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imes New Roman" w:eastAsiaTheme="minorHAnsi" w:hAnsi="Times New Roman" w:cs="Times New Roman"/>
          <w:color w:val="auto"/>
          <w:sz w:val="24"/>
          <w:szCs w:val="24"/>
        </w:rPr>
        <w:id w:val="1877340656"/>
        <w:docPartObj>
          <w:docPartGallery w:val="Table of Contents"/>
          <w:docPartUnique/>
        </w:docPartObj>
      </w:sdtPr>
      <w:sdtEndPr>
        <w:rPr>
          <w:rFonts w:asciiTheme="minorHAnsi" w:hAnsiTheme="minorHAnsi" w:cstheme="minorBidi"/>
          <w:sz w:val="22"/>
          <w:szCs w:val="22"/>
        </w:rPr>
      </w:sdtEndPr>
      <w:sdtContent>
        <w:p w14:paraId="02E6EE77" w14:textId="77777777" w:rsidR="003B622F" w:rsidRPr="009F0708" w:rsidRDefault="009F0708">
          <w:pPr>
            <w:pStyle w:val="Titolosommario"/>
            <w:rPr>
              <w:rStyle w:val="TitolocapitoloCarattere"/>
              <w:color w:val="auto"/>
            </w:rPr>
          </w:pPr>
          <w:r w:rsidRPr="009F0708">
            <w:rPr>
              <w:rStyle w:val="TitolocapitoloCarattere"/>
              <w:color w:val="auto"/>
            </w:rPr>
            <w:t>Indice</w:t>
          </w:r>
        </w:p>
        <w:p w14:paraId="7056EB39" w14:textId="77777777" w:rsidR="009F0708" w:rsidRDefault="009F0708" w:rsidP="00D74A82">
          <w:pPr>
            <w:pStyle w:val="Sommario1"/>
            <w:rPr>
              <w:rFonts w:ascii="Times New Roman" w:hAnsi="Times New Roman"/>
              <w:bCs/>
              <w:smallCaps/>
              <w:sz w:val="24"/>
              <w:szCs w:val="24"/>
            </w:rPr>
          </w:pPr>
        </w:p>
        <w:p w14:paraId="518AD90D" w14:textId="77777777" w:rsidR="003B622F" w:rsidRPr="00317679" w:rsidRDefault="003B622F" w:rsidP="00D74A82">
          <w:pPr>
            <w:pStyle w:val="Sommario1"/>
            <w:rPr>
              <w:rFonts w:ascii="Times New Roman" w:hAnsi="Times New Roman"/>
              <w:sz w:val="24"/>
              <w:szCs w:val="24"/>
            </w:rPr>
          </w:pPr>
          <w:r w:rsidRPr="00317679">
            <w:rPr>
              <w:rFonts w:ascii="Times New Roman" w:hAnsi="Times New Roman"/>
              <w:bCs/>
              <w:smallCaps/>
              <w:sz w:val="24"/>
              <w:szCs w:val="24"/>
            </w:rPr>
            <w:t>Introduzione</w:t>
          </w:r>
          <w:r w:rsidRPr="00317679">
            <w:rPr>
              <w:rFonts w:ascii="Times New Roman" w:hAnsi="Times New Roman"/>
              <w:sz w:val="24"/>
              <w:szCs w:val="24"/>
            </w:rPr>
            <w:ptab w:relativeTo="margin" w:alignment="right" w:leader="dot"/>
          </w:r>
          <w:r w:rsidR="009F0708">
            <w:rPr>
              <w:rFonts w:ascii="Times New Roman" w:hAnsi="Times New Roman"/>
              <w:bCs/>
              <w:sz w:val="24"/>
              <w:szCs w:val="24"/>
            </w:rPr>
            <w:t>3</w:t>
          </w:r>
        </w:p>
        <w:p w14:paraId="56B5B57E" w14:textId="77777777" w:rsidR="00667B02" w:rsidRPr="00317679" w:rsidRDefault="00667B02">
          <w:pPr>
            <w:pStyle w:val="Sommario1"/>
            <w:rPr>
              <w:rFonts w:ascii="Times New Roman" w:hAnsi="Times New Roman"/>
              <w:sz w:val="24"/>
              <w:szCs w:val="24"/>
            </w:rPr>
          </w:pPr>
        </w:p>
        <w:p w14:paraId="14008096" w14:textId="77777777" w:rsidR="003B622F" w:rsidRPr="00317679" w:rsidRDefault="00D74A82">
          <w:pPr>
            <w:pStyle w:val="Sommario1"/>
            <w:rPr>
              <w:rFonts w:ascii="Times New Roman" w:hAnsi="Times New Roman"/>
              <w:sz w:val="24"/>
              <w:szCs w:val="24"/>
            </w:rPr>
          </w:pPr>
          <w:r w:rsidRPr="00317679">
            <w:rPr>
              <w:rFonts w:ascii="Times New Roman" w:hAnsi="Times New Roman"/>
              <w:smallCaps/>
              <w:sz w:val="24"/>
              <w:szCs w:val="24"/>
            </w:rPr>
            <w:t>C</w:t>
          </w:r>
          <w:r w:rsidR="00317679" w:rsidRPr="00317679">
            <w:rPr>
              <w:rFonts w:ascii="Times New Roman" w:hAnsi="Times New Roman"/>
              <w:smallCaps/>
              <w:sz w:val="24"/>
              <w:szCs w:val="24"/>
            </w:rPr>
            <w:t>apitolo I</w:t>
          </w:r>
          <w:r w:rsidRPr="00317679">
            <w:rPr>
              <w:rFonts w:ascii="Times New Roman" w:hAnsi="Times New Roman"/>
              <w:smallCaps/>
              <w:sz w:val="24"/>
              <w:szCs w:val="24"/>
            </w:rPr>
            <w:t xml:space="preserve">. I </w:t>
          </w:r>
          <w:r w:rsidR="00317679" w:rsidRPr="00317679">
            <w:rPr>
              <w:rFonts w:ascii="Times New Roman" w:hAnsi="Times New Roman"/>
              <w:smallCaps/>
              <w:sz w:val="24"/>
              <w:szCs w:val="24"/>
            </w:rPr>
            <w:t>Signori</w:t>
          </w:r>
          <w:r w:rsidRPr="00317679">
            <w:rPr>
              <w:rFonts w:ascii="Times New Roman" w:hAnsi="Times New Roman"/>
              <w:smallCaps/>
              <w:sz w:val="24"/>
              <w:szCs w:val="24"/>
            </w:rPr>
            <w:t xml:space="preserve"> </w:t>
          </w:r>
          <w:r w:rsidR="00317679" w:rsidRPr="00317679">
            <w:rPr>
              <w:rFonts w:ascii="Times New Roman" w:hAnsi="Times New Roman"/>
              <w:smallCaps/>
              <w:sz w:val="24"/>
              <w:szCs w:val="24"/>
            </w:rPr>
            <w:t>e</w:t>
          </w:r>
          <w:r w:rsidRPr="00317679">
            <w:rPr>
              <w:rFonts w:ascii="Times New Roman" w:hAnsi="Times New Roman"/>
              <w:smallCaps/>
              <w:sz w:val="24"/>
              <w:szCs w:val="24"/>
            </w:rPr>
            <w:t xml:space="preserve"> </w:t>
          </w:r>
          <w:r w:rsidR="00317679" w:rsidRPr="00317679">
            <w:rPr>
              <w:rFonts w:ascii="Times New Roman" w:hAnsi="Times New Roman"/>
              <w:smallCaps/>
              <w:sz w:val="24"/>
              <w:szCs w:val="24"/>
            </w:rPr>
            <w:t>le loro biblioteche nella</w:t>
          </w:r>
          <w:r w:rsidRPr="00317679">
            <w:rPr>
              <w:rFonts w:ascii="Times New Roman" w:hAnsi="Times New Roman"/>
              <w:smallCaps/>
              <w:sz w:val="24"/>
              <w:szCs w:val="24"/>
            </w:rPr>
            <w:t xml:space="preserve"> </w:t>
          </w:r>
          <w:r w:rsidR="00317679" w:rsidRPr="00317679">
            <w:rPr>
              <w:rFonts w:ascii="Times New Roman" w:hAnsi="Times New Roman"/>
              <w:smallCaps/>
              <w:sz w:val="24"/>
              <w:szCs w:val="24"/>
            </w:rPr>
            <w:t>seconda metà del Quattrocento</w:t>
          </w:r>
          <w:r w:rsidR="003B622F" w:rsidRPr="00317679">
            <w:rPr>
              <w:rFonts w:ascii="Times New Roman" w:hAnsi="Times New Roman"/>
              <w:sz w:val="24"/>
              <w:szCs w:val="24"/>
            </w:rPr>
            <w:ptab w:relativeTo="margin" w:alignment="right" w:leader="dot"/>
          </w:r>
          <w:r w:rsidR="009F0708">
            <w:rPr>
              <w:rFonts w:ascii="Times New Roman" w:hAnsi="Times New Roman"/>
              <w:sz w:val="24"/>
              <w:szCs w:val="24"/>
            </w:rPr>
            <w:t>1</w:t>
          </w:r>
          <w:r w:rsidR="006C340C">
            <w:rPr>
              <w:rFonts w:ascii="Times New Roman" w:hAnsi="Times New Roman"/>
              <w:sz w:val="24"/>
              <w:szCs w:val="24"/>
            </w:rPr>
            <w:t>1</w:t>
          </w:r>
        </w:p>
        <w:p w14:paraId="7251BDDA" w14:textId="77777777" w:rsidR="003B622F" w:rsidRPr="00317679" w:rsidRDefault="00317679" w:rsidP="006641BB">
          <w:pPr>
            <w:pStyle w:val="Sommario2"/>
            <w:rPr>
              <w:rFonts w:ascii="Times New Roman" w:hAnsi="Times New Roman"/>
              <w:sz w:val="24"/>
              <w:szCs w:val="24"/>
            </w:rPr>
          </w:pPr>
          <w:r>
            <w:rPr>
              <w:rFonts w:ascii="Times New Roman" w:hAnsi="Times New Roman"/>
              <w:sz w:val="24"/>
              <w:szCs w:val="24"/>
            </w:rPr>
            <w:t xml:space="preserve"> </w:t>
          </w:r>
          <w:r w:rsidR="00D74A82" w:rsidRPr="00317679">
            <w:rPr>
              <w:rFonts w:ascii="Times New Roman" w:hAnsi="Times New Roman"/>
              <w:sz w:val="24"/>
              <w:szCs w:val="24"/>
            </w:rPr>
            <w:t xml:space="preserve">1. Organizzazione delle raccolte </w:t>
          </w:r>
          <w:r w:rsidR="003B622F" w:rsidRPr="00317679">
            <w:rPr>
              <w:rFonts w:ascii="Times New Roman" w:hAnsi="Times New Roman"/>
              <w:sz w:val="24"/>
              <w:szCs w:val="24"/>
            </w:rPr>
            <w:ptab w:relativeTo="margin" w:alignment="right" w:leader="dot"/>
          </w:r>
          <w:r w:rsidR="009F0708">
            <w:rPr>
              <w:rFonts w:ascii="Times New Roman" w:hAnsi="Times New Roman"/>
              <w:sz w:val="24"/>
              <w:szCs w:val="24"/>
            </w:rPr>
            <w:t>1</w:t>
          </w:r>
          <w:r w:rsidR="006C340C">
            <w:rPr>
              <w:rFonts w:ascii="Times New Roman" w:hAnsi="Times New Roman"/>
              <w:sz w:val="24"/>
              <w:szCs w:val="24"/>
            </w:rPr>
            <w:t>1</w:t>
          </w:r>
        </w:p>
        <w:p w14:paraId="44ED3959" w14:textId="77777777" w:rsidR="00D74A82" w:rsidRPr="00317679" w:rsidRDefault="00D74A82" w:rsidP="00D74A82">
          <w:pPr>
            <w:pStyle w:val="Sommario3"/>
            <w:ind w:left="0"/>
            <w:rPr>
              <w:rFonts w:ascii="Times New Roman" w:hAnsi="Times New Roman"/>
              <w:sz w:val="24"/>
              <w:szCs w:val="24"/>
            </w:rPr>
          </w:pPr>
          <w:r w:rsidRPr="00317679">
            <w:rPr>
              <w:rFonts w:ascii="Times New Roman" w:hAnsi="Times New Roman"/>
              <w:sz w:val="24"/>
              <w:szCs w:val="24"/>
            </w:rPr>
            <w:t xml:space="preserve">     2. Stampe e manoscritti. Officine proprie o committenze esterne? </w:t>
          </w:r>
          <w:r w:rsidR="003B622F" w:rsidRPr="00317679">
            <w:rPr>
              <w:rFonts w:ascii="Times New Roman" w:hAnsi="Times New Roman"/>
              <w:sz w:val="24"/>
              <w:szCs w:val="24"/>
            </w:rPr>
            <w:ptab w:relativeTo="margin" w:alignment="right" w:leader="dot"/>
          </w:r>
          <w:r w:rsidR="009F0708">
            <w:rPr>
              <w:rFonts w:ascii="Times New Roman" w:hAnsi="Times New Roman"/>
              <w:sz w:val="24"/>
              <w:szCs w:val="24"/>
            </w:rPr>
            <w:t>3</w:t>
          </w:r>
          <w:r w:rsidR="009C4A91">
            <w:rPr>
              <w:rFonts w:ascii="Times New Roman" w:hAnsi="Times New Roman"/>
              <w:sz w:val="24"/>
              <w:szCs w:val="24"/>
            </w:rPr>
            <w:t>8</w:t>
          </w:r>
        </w:p>
        <w:p w14:paraId="5BBDED90" w14:textId="77777777" w:rsidR="00424880" w:rsidRPr="00317679" w:rsidRDefault="00424880" w:rsidP="00D74A82">
          <w:pPr>
            <w:spacing w:after="0" w:line="360" w:lineRule="auto"/>
            <w:jc w:val="both"/>
            <w:rPr>
              <w:rFonts w:ascii="Times New Roman" w:hAnsi="Times New Roman" w:cs="Times New Roman"/>
              <w:sz w:val="24"/>
              <w:szCs w:val="24"/>
            </w:rPr>
          </w:pPr>
          <w:r w:rsidRPr="00317679">
            <w:rPr>
              <w:rFonts w:ascii="Times New Roman" w:hAnsi="Times New Roman" w:cs="Times New Roman"/>
              <w:sz w:val="24"/>
              <w:szCs w:val="24"/>
            </w:rPr>
            <w:t xml:space="preserve">     </w:t>
          </w:r>
          <w:r w:rsidR="00D74A82" w:rsidRPr="00317679">
            <w:rPr>
              <w:rFonts w:ascii="Times New Roman" w:hAnsi="Times New Roman" w:cs="Times New Roman"/>
              <w:sz w:val="24"/>
              <w:szCs w:val="24"/>
            </w:rPr>
            <w:t>2.</w:t>
          </w:r>
          <w:r w:rsidRPr="00317679">
            <w:rPr>
              <w:rFonts w:ascii="Times New Roman" w:hAnsi="Times New Roman" w:cs="Times New Roman"/>
              <w:sz w:val="24"/>
              <w:szCs w:val="24"/>
            </w:rPr>
            <w:t>1. Il principe in tipografia.</w:t>
          </w:r>
          <w:r w:rsidR="00D74A82" w:rsidRPr="00317679">
            <w:rPr>
              <w:rFonts w:ascii="Times New Roman" w:hAnsi="Times New Roman" w:cs="Times New Roman"/>
              <w:sz w:val="24"/>
              <w:szCs w:val="24"/>
            </w:rPr>
            <w:ptab w:relativeTo="margin" w:alignment="right" w:leader="dot"/>
          </w:r>
          <w:r w:rsidR="009F0708">
            <w:rPr>
              <w:rFonts w:ascii="Times New Roman" w:hAnsi="Times New Roman" w:cs="Times New Roman"/>
              <w:sz w:val="24"/>
              <w:szCs w:val="24"/>
            </w:rPr>
            <w:t>5</w:t>
          </w:r>
          <w:r w:rsidR="009C4A91">
            <w:rPr>
              <w:rFonts w:ascii="Times New Roman" w:hAnsi="Times New Roman" w:cs="Times New Roman"/>
              <w:sz w:val="24"/>
              <w:szCs w:val="24"/>
            </w:rPr>
            <w:t>6</w:t>
          </w:r>
        </w:p>
        <w:p w14:paraId="204F8C2D" w14:textId="77777777" w:rsidR="00424880" w:rsidRPr="00317679" w:rsidRDefault="00424880" w:rsidP="00D74A82">
          <w:pPr>
            <w:spacing w:after="0" w:line="360" w:lineRule="auto"/>
            <w:jc w:val="both"/>
            <w:rPr>
              <w:rFonts w:ascii="Times New Roman" w:hAnsi="Times New Roman" w:cs="Times New Roman"/>
              <w:i/>
              <w:sz w:val="24"/>
              <w:szCs w:val="24"/>
            </w:rPr>
          </w:pPr>
          <w:r w:rsidRPr="00317679">
            <w:rPr>
              <w:rFonts w:ascii="Times New Roman" w:hAnsi="Times New Roman" w:cs="Times New Roman"/>
              <w:sz w:val="24"/>
              <w:szCs w:val="24"/>
            </w:rPr>
            <w:t xml:space="preserve">     3. I generi letterari</w:t>
          </w:r>
          <w:r w:rsidRPr="00317679">
            <w:rPr>
              <w:rFonts w:ascii="Times New Roman" w:hAnsi="Times New Roman" w:cs="Times New Roman"/>
              <w:sz w:val="24"/>
              <w:szCs w:val="24"/>
            </w:rPr>
            <w:ptab w:relativeTo="margin" w:alignment="right" w:leader="dot"/>
          </w:r>
          <w:r w:rsidR="009F0708">
            <w:rPr>
              <w:rFonts w:ascii="Times New Roman" w:hAnsi="Times New Roman" w:cs="Times New Roman"/>
              <w:sz w:val="24"/>
              <w:szCs w:val="24"/>
            </w:rPr>
            <w:t>6</w:t>
          </w:r>
          <w:r w:rsidR="009C4A91">
            <w:rPr>
              <w:rFonts w:ascii="Times New Roman" w:hAnsi="Times New Roman" w:cs="Times New Roman"/>
              <w:sz w:val="24"/>
              <w:szCs w:val="24"/>
            </w:rPr>
            <w:t>7</w:t>
          </w:r>
          <w:r w:rsidRPr="00317679">
            <w:rPr>
              <w:rFonts w:ascii="Times New Roman" w:hAnsi="Times New Roman" w:cs="Times New Roman"/>
              <w:i/>
              <w:sz w:val="24"/>
              <w:szCs w:val="24"/>
            </w:rPr>
            <w:t xml:space="preserve"> </w:t>
          </w:r>
        </w:p>
        <w:p w14:paraId="26C14C2D" w14:textId="77777777" w:rsidR="00424880" w:rsidRPr="00317679" w:rsidRDefault="00424880" w:rsidP="00D74A82">
          <w:pPr>
            <w:spacing w:after="0" w:line="360" w:lineRule="auto"/>
            <w:jc w:val="both"/>
            <w:rPr>
              <w:rFonts w:ascii="Times New Roman" w:hAnsi="Times New Roman" w:cs="Times New Roman"/>
              <w:i/>
              <w:sz w:val="24"/>
              <w:szCs w:val="24"/>
            </w:rPr>
          </w:pPr>
          <w:r w:rsidRPr="00317679">
            <w:rPr>
              <w:rFonts w:ascii="Times New Roman" w:hAnsi="Times New Roman" w:cs="Times New Roman"/>
              <w:sz w:val="24"/>
              <w:szCs w:val="24"/>
            </w:rPr>
            <w:t xml:space="preserve">     4. La rappresentazione della corte attraverso i libri. Testi e miniature come immagini della corte</w:t>
          </w:r>
          <w:r w:rsidR="00317679">
            <w:rPr>
              <w:rFonts w:ascii="Times New Roman" w:hAnsi="Times New Roman" w:cs="Times New Roman"/>
              <w:sz w:val="24"/>
              <w:szCs w:val="24"/>
            </w:rPr>
            <w:t xml:space="preserve"> </w:t>
          </w:r>
          <w:r w:rsidRPr="00317679">
            <w:rPr>
              <w:rFonts w:ascii="Times New Roman" w:hAnsi="Times New Roman" w:cs="Times New Roman"/>
              <w:sz w:val="24"/>
              <w:szCs w:val="24"/>
            </w:rPr>
            <w:t>e del suo cerimoniale.</w:t>
          </w:r>
          <w:r w:rsidRPr="00317679">
            <w:rPr>
              <w:rFonts w:ascii="Times New Roman" w:hAnsi="Times New Roman" w:cs="Times New Roman"/>
              <w:sz w:val="24"/>
              <w:szCs w:val="24"/>
            </w:rPr>
            <w:ptab w:relativeTo="margin" w:alignment="right" w:leader="dot"/>
          </w:r>
          <w:r w:rsidR="009F0708">
            <w:rPr>
              <w:rFonts w:ascii="Times New Roman" w:hAnsi="Times New Roman" w:cs="Times New Roman"/>
              <w:sz w:val="24"/>
              <w:szCs w:val="24"/>
            </w:rPr>
            <w:t>7</w:t>
          </w:r>
          <w:r w:rsidR="009C4A91">
            <w:rPr>
              <w:rFonts w:ascii="Times New Roman" w:hAnsi="Times New Roman" w:cs="Times New Roman"/>
              <w:sz w:val="24"/>
              <w:szCs w:val="24"/>
            </w:rPr>
            <w:t>9</w:t>
          </w:r>
          <w:r w:rsidRPr="00317679">
            <w:rPr>
              <w:rFonts w:ascii="Times New Roman" w:hAnsi="Times New Roman" w:cs="Times New Roman"/>
              <w:i/>
              <w:sz w:val="24"/>
              <w:szCs w:val="24"/>
            </w:rPr>
            <w:t xml:space="preserve">  </w:t>
          </w:r>
        </w:p>
        <w:p w14:paraId="60942C2B" w14:textId="77777777" w:rsidR="00424880" w:rsidRPr="00317679" w:rsidRDefault="006641BB" w:rsidP="00424880">
          <w:pPr>
            <w:jc w:val="both"/>
            <w:rPr>
              <w:rFonts w:ascii="Times New Roman" w:hAnsi="Times New Roman" w:cs="Times New Roman"/>
              <w:sz w:val="24"/>
              <w:szCs w:val="24"/>
            </w:rPr>
          </w:pPr>
          <w:r w:rsidRPr="00317679">
            <w:rPr>
              <w:rFonts w:ascii="Times New Roman" w:hAnsi="Times New Roman" w:cs="Times New Roman"/>
              <w:sz w:val="24"/>
              <w:szCs w:val="24"/>
            </w:rPr>
            <w:t xml:space="preserve">    </w:t>
          </w:r>
          <w:r w:rsidR="009F0708">
            <w:rPr>
              <w:rFonts w:ascii="Times New Roman" w:hAnsi="Times New Roman" w:cs="Times New Roman"/>
              <w:sz w:val="24"/>
              <w:szCs w:val="24"/>
            </w:rPr>
            <w:t xml:space="preserve"> </w:t>
          </w:r>
          <w:r w:rsidR="00424880" w:rsidRPr="00317679">
            <w:rPr>
              <w:rFonts w:ascii="Times New Roman" w:hAnsi="Times New Roman" w:cs="Times New Roman"/>
              <w:sz w:val="24"/>
              <w:szCs w:val="24"/>
            </w:rPr>
            <w:t>5. La fucina fiorentina.</w:t>
          </w:r>
          <w:r w:rsidR="00424880" w:rsidRPr="00317679">
            <w:rPr>
              <w:rFonts w:ascii="Times New Roman" w:hAnsi="Times New Roman" w:cs="Times New Roman"/>
              <w:sz w:val="24"/>
              <w:szCs w:val="24"/>
            </w:rPr>
            <w:ptab w:relativeTo="margin" w:alignment="right" w:leader="dot"/>
          </w:r>
          <w:r w:rsidR="009F0708">
            <w:rPr>
              <w:rFonts w:ascii="Times New Roman" w:hAnsi="Times New Roman" w:cs="Times New Roman"/>
              <w:sz w:val="24"/>
              <w:szCs w:val="24"/>
            </w:rPr>
            <w:t>95</w:t>
          </w:r>
          <w:r w:rsidR="00424880" w:rsidRPr="00317679">
            <w:rPr>
              <w:rFonts w:ascii="Times New Roman" w:hAnsi="Times New Roman" w:cs="Times New Roman"/>
              <w:sz w:val="24"/>
              <w:szCs w:val="24"/>
            </w:rPr>
            <w:t xml:space="preserve">  </w:t>
          </w:r>
        </w:p>
        <w:p w14:paraId="2F6F54F3" w14:textId="77777777" w:rsidR="00424880" w:rsidRPr="00317679" w:rsidRDefault="006641BB" w:rsidP="00D74A82">
          <w:pPr>
            <w:spacing w:after="0" w:line="360" w:lineRule="auto"/>
            <w:jc w:val="both"/>
            <w:rPr>
              <w:rFonts w:ascii="Times New Roman" w:hAnsi="Times New Roman" w:cs="Times New Roman"/>
              <w:sz w:val="24"/>
              <w:szCs w:val="24"/>
            </w:rPr>
          </w:pPr>
          <w:r w:rsidRPr="00317679">
            <w:rPr>
              <w:rFonts w:ascii="Times New Roman" w:hAnsi="Times New Roman" w:cs="Times New Roman"/>
              <w:sz w:val="24"/>
              <w:szCs w:val="24"/>
            </w:rPr>
            <w:t xml:space="preserve">     </w:t>
          </w:r>
          <w:r w:rsidR="00424880" w:rsidRPr="00317679">
            <w:rPr>
              <w:rFonts w:ascii="Times New Roman" w:hAnsi="Times New Roman" w:cs="Times New Roman"/>
              <w:sz w:val="24"/>
              <w:szCs w:val="24"/>
            </w:rPr>
            <w:t>5.1.</w:t>
          </w:r>
          <w:r w:rsidR="005734A3" w:rsidRPr="00317679">
            <w:rPr>
              <w:rFonts w:ascii="Times New Roman" w:hAnsi="Times New Roman" w:cs="Times New Roman"/>
              <w:sz w:val="24"/>
              <w:szCs w:val="24"/>
            </w:rPr>
            <w:t xml:space="preserve"> Committenza di libri ai maestri fiorentini dalle corti italiane ed europee</w:t>
          </w:r>
          <w:r w:rsidR="00424880" w:rsidRPr="00317679">
            <w:rPr>
              <w:rFonts w:ascii="Times New Roman" w:hAnsi="Times New Roman" w:cs="Times New Roman"/>
              <w:sz w:val="24"/>
              <w:szCs w:val="24"/>
            </w:rPr>
            <w:ptab w:relativeTo="margin" w:alignment="right" w:leader="dot"/>
          </w:r>
          <w:r w:rsidR="003B2F41">
            <w:rPr>
              <w:rFonts w:ascii="Times New Roman" w:hAnsi="Times New Roman" w:cs="Times New Roman"/>
              <w:sz w:val="24"/>
              <w:szCs w:val="24"/>
            </w:rPr>
            <w:t>9</w:t>
          </w:r>
          <w:r w:rsidR="009C4A91">
            <w:rPr>
              <w:rFonts w:ascii="Times New Roman" w:hAnsi="Times New Roman" w:cs="Times New Roman"/>
              <w:sz w:val="24"/>
              <w:szCs w:val="24"/>
            </w:rPr>
            <w:t>8</w:t>
          </w:r>
          <w:r w:rsidR="00424880" w:rsidRPr="00317679">
            <w:rPr>
              <w:rFonts w:ascii="Times New Roman" w:hAnsi="Times New Roman" w:cs="Times New Roman"/>
              <w:sz w:val="24"/>
              <w:szCs w:val="24"/>
            </w:rPr>
            <w:t xml:space="preserve"> </w:t>
          </w:r>
        </w:p>
        <w:p w14:paraId="5D1AB442" w14:textId="77777777" w:rsidR="006641BB" w:rsidRPr="00317679" w:rsidRDefault="006641BB" w:rsidP="00D74A82">
          <w:pPr>
            <w:spacing w:after="0" w:line="360" w:lineRule="auto"/>
            <w:jc w:val="both"/>
            <w:rPr>
              <w:rFonts w:ascii="Times New Roman" w:hAnsi="Times New Roman" w:cs="Times New Roman"/>
              <w:sz w:val="24"/>
              <w:szCs w:val="24"/>
            </w:rPr>
          </w:pPr>
          <w:r w:rsidRPr="00317679">
            <w:rPr>
              <w:rFonts w:ascii="Times New Roman" w:hAnsi="Times New Roman" w:cs="Times New Roman"/>
              <w:sz w:val="24"/>
              <w:szCs w:val="24"/>
            </w:rPr>
            <w:t xml:space="preserve">     </w:t>
          </w:r>
          <w:r w:rsidR="00424880" w:rsidRPr="00317679">
            <w:rPr>
              <w:rFonts w:ascii="Times New Roman" w:hAnsi="Times New Roman" w:cs="Times New Roman"/>
              <w:sz w:val="24"/>
              <w:szCs w:val="24"/>
            </w:rPr>
            <w:t>5.</w:t>
          </w:r>
          <w:r w:rsidR="00AF4EC4" w:rsidRPr="00317679">
            <w:rPr>
              <w:rFonts w:ascii="Times New Roman" w:hAnsi="Times New Roman" w:cs="Times New Roman"/>
              <w:sz w:val="24"/>
              <w:szCs w:val="24"/>
            </w:rPr>
            <w:t>2</w:t>
          </w:r>
          <w:r w:rsidR="00424880" w:rsidRPr="00317679">
            <w:rPr>
              <w:rFonts w:ascii="Times New Roman" w:hAnsi="Times New Roman" w:cs="Times New Roman"/>
              <w:sz w:val="24"/>
              <w:szCs w:val="24"/>
            </w:rPr>
            <w:t>.</w:t>
          </w:r>
          <w:r w:rsidR="00424880" w:rsidRPr="00317679">
            <w:rPr>
              <w:rFonts w:ascii="Times New Roman" w:hAnsi="Times New Roman" w:cs="Times New Roman"/>
              <w:sz w:val="24"/>
              <w:szCs w:val="24"/>
            </w:rPr>
            <w:ptab w:relativeTo="margin" w:alignment="right" w:leader="dot"/>
          </w:r>
          <w:r w:rsidR="005734A3" w:rsidRPr="00317679">
            <w:rPr>
              <w:rFonts w:ascii="Times New Roman" w:hAnsi="Times New Roman" w:cs="Times New Roman"/>
              <w:sz w:val="24"/>
              <w:szCs w:val="24"/>
            </w:rPr>
            <w:t xml:space="preserve"> Un poeta fiorentino al servizio del principe: Naldo Naldi e il </w:t>
          </w:r>
          <w:r w:rsidR="005734A3" w:rsidRPr="00317679">
            <w:rPr>
              <w:rFonts w:ascii="Times New Roman" w:hAnsi="Times New Roman" w:cs="Times New Roman"/>
              <w:i/>
              <w:sz w:val="24"/>
              <w:szCs w:val="24"/>
            </w:rPr>
            <w:t>De laudibus augustae bibliothecae</w:t>
          </w:r>
          <w:r w:rsidR="005734A3" w:rsidRPr="00317679">
            <w:rPr>
              <w:rFonts w:ascii="Times New Roman" w:hAnsi="Times New Roman" w:cs="Times New Roman"/>
              <w:sz w:val="24"/>
              <w:szCs w:val="24"/>
            </w:rPr>
            <w:t xml:space="preserve"> per Mattia Corvino</w:t>
          </w:r>
          <w:r w:rsidR="00424880" w:rsidRPr="00317679">
            <w:rPr>
              <w:rFonts w:ascii="Times New Roman" w:hAnsi="Times New Roman" w:cs="Times New Roman"/>
              <w:sz w:val="24"/>
              <w:szCs w:val="24"/>
            </w:rPr>
            <w:ptab w:relativeTo="margin" w:alignment="right" w:leader="dot"/>
          </w:r>
          <w:r w:rsidR="003B2F41">
            <w:rPr>
              <w:rFonts w:ascii="Times New Roman" w:hAnsi="Times New Roman" w:cs="Times New Roman"/>
              <w:sz w:val="24"/>
              <w:szCs w:val="24"/>
            </w:rPr>
            <w:t>10</w:t>
          </w:r>
          <w:r w:rsidR="00BB3E4E">
            <w:rPr>
              <w:rFonts w:ascii="Times New Roman" w:hAnsi="Times New Roman" w:cs="Times New Roman"/>
              <w:sz w:val="24"/>
              <w:szCs w:val="24"/>
            </w:rPr>
            <w:t>5</w:t>
          </w:r>
        </w:p>
        <w:p w14:paraId="64823AD7" w14:textId="77777777" w:rsidR="00FA76DF" w:rsidRPr="00317679" w:rsidRDefault="006641BB" w:rsidP="006641BB">
          <w:pPr>
            <w:jc w:val="both"/>
            <w:rPr>
              <w:rFonts w:ascii="Times New Roman" w:hAnsi="Times New Roman" w:cs="Times New Roman"/>
              <w:sz w:val="24"/>
              <w:szCs w:val="24"/>
            </w:rPr>
          </w:pPr>
          <w:r w:rsidRPr="00317679">
            <w:rPr>
              <w:rFonts w:ascii="Times New Roman" w:hAnsi="Times New Roman" w:cs="Times New Roman"/>
              <w:sz w:val="24"/>
              <w:szCs w:val="24"/>
            </w:rPr>
            <w:t xml:space="preserve">    </w:t>
          </w:r>
          <w:r w:rsidR="009F0708">
            <w:rPr>
              <w:rFonts w:ascii="Times New Roman" w:hAnsi="Times New Roman" w:cs="Times New Roman"/>
              <w:sz w:val="24"/>
              <w:szCs w:val="24"/>
            </w:rPr>
            <w:t xml:space="preserve"> </w:t>
          </w:r>
          <w:r w:rsidRPr="00317679">
            <w:rPr>
              <w:rFonts w:ascii="Times New Roman" w:hAnsi="Times New Roman" w:cs="Times New Roman"/>
              <w:sz w:val="24"/>
              <w:szCs w:val="24"/>
            </w:rPr>
            <w:t>6. Ospiti e ambasciatori in visita alla biblioteca di corte</w:t>
          </w:r>
          <w:r w:rsidRPr="00317679">
            <w:rPr>
              <w:rFonts w:ascii="Times New Roman" w:hAnsi="Times New Roman" w:cs="Times New Roman"/>
              <w:i/>
              <w:sz w:val="24"/>
              <w:szCs w:val="24"/>
            </w:rPr>
            <w:t>.</w:t>
          </w:r>
          <w:r w:rsidRPr="00317679">
            <w:rPr>
              <w:rFonts w:ascii="Times New Roman" w:hAnsi="Times New Roman" w:cs="Times New Roman"/>
              <w:sz w:val="24"/>
              <w:szCs w:val="24"/>
            </w:rPr>
            <w:ptab w:relativeTo="margin" w:alignment="right" w:leader="dot"/>
          </w:r>
          <w:r w:rsidR="003B2F41">
            <w:rPr>
              <w:rFonts w:ascii="Times New Roman" w:hAnsi="Times New Roman" w:cs="Times New Roman"/>
              <w:sz w:val="24"/>
              <w:szCs w:val="24"/>
            </w:rPr>
            <w:t>114</w:t>
          </w:r>
        </w:p>
        <w:p w14:paraId="73183566" w14:textId="77777777" w:rsidR="00FA76DF" w:rsidRPr="00317679" w:rsidRDefault="00FA76DF" w:rsidP="006641BB">
          <w:pPr>
            <w:jc w:val="both"/>
            <w:rPr>
              <w:rFonts w:ascii="Times New Roman" w:hAnsi="Times New Roman" w:cs="Times New Roman"/>
              <w:i/>
              <w:sz w:val="24"/>
              <w:szCs w:val="24"/>
            </w:rPr>
          </w:pPr>
        </w:p>
        <w:p w14:paraId="02C58E75" w14:textId="77777777" w:rsidR="00FA76DF" w:rsidRPr="00317679" w:rsidRDefault="00FA76DF" w:rsidP="00FA76DF">
          <w:pPr>
            <w:pStyle w:val="Sommario1"/>
            <w:rPr>
              <w:rFonts w:ascii="Times New Roman" w:hAnsi="Times New Roman"/>
              <w:sz w:val="24"/>
              <w:szCs w:val="24"/>
            </w:rPr>
          </w:pPr>
          <w:r w:rsidRPr="00317679">
            <w:rPr>
              <w:rFonts w:ascii="Times New Roman" w:hAnsi="Times New Roman"/>
              <w:sz w:val="24"/>
              <w:szCs w:val="24"/>
            </w:rPr>
            <w:t xml:space="preserve">CAPITOLO II. I </w:t>
          </w:r>
          <w:r w:rsidRPr="00317679">
            <w:rPr>
              <w:rFonts w:ascii="Times New Roman" w:hAnsi="Times New Roman"/>
              <w:smallCaps/>
              <w:sz w:val="24"/>
              <w:szCs w:val="24"/>
            </w:rPr>
            <w:t>libretti per nozze a stampa</w:t>
          </w:r>
          <w:r w:rsidRPr="00317679">
            <w:rPr>
              <w:rFonts w:ascii="Times New Roman" w:hAnsi="Times New Roman"/>
              <w:sz w:val="24"/>
              <w:szCs w:val="24"/>
            </w:rPr>
            <w:t xml:space="preserve"> </w:t>
          </w:r>
          <w:r w:rsidRPr="00317679">
            <w:rPr>
              <w:rFonts w:ascii="Times New Roman" w:hAnsi="Times New Roman"/>
              <w:sz w:val="24"/>
              <w:szCs w:val="24"/>
            </w:rPr>
            <w:ptab w:relativeTo="margin" w:alignment="right" w:leader="dot"/>
          </w:r>
          <w:r w:rsidR="00F305E9">
            <w:rPr>
              <w:rFonts w:ascii="Times New Roman" w:hAnsi="Times New Roman"/>
              <w:bCs/>
              <w:sz w:val="24"/>
              <w:szCs w:val="24"/>
            </w:rPr>
            <w:t>12</w:t>
          </w:r>
          <w:r w:rsidR="00F4314D">
            <w:rPr>
              <w:rFonts w:ascii="Times New Roman" w:hAnsi="Times New Roman"/>
              <w:bCs/>
              <w:sz w:val="24"/>
              <w:szCs w:val="24"/>
            </w:rPr>
            <w:t>1</w:t>
          </w:r>
        </w:p>
        <w:p w14:paraId="6FF6D07A" w14:textId="77777777" w:rsidR="00FA76DF" w:rsidRPr="00317679" w:rsidRDefault="00317679" w:rsidP="00FA76DF">
          <w:pPr>
            <w:pStyle w:val="Sommario2"/>
            <w:rPr>
              <w:rFonts w:ascii="Times New Roman" w:hAnsi="Times New Roman"/>
              <w:sz w:val="24"/>
              <w:szCs w:val="24"/>
            </w:rPr>
          </w:pPr>
          <w:r>
            <w:rPr>
              <w:rFonts w:ascii="Times New Roman" w:hAnsi="Times New Roman"/>
              <w:sz w:val="24"/>
              <w:szCs w:val="24"/>
            </w:rPr>
            <w:t xml:space="preserve"> </w:t>
          </w:r>
          <w:r w:rsidR="00FA76DF" w:rsidRPr="00317679">
            <w:rPr>
              <w:rFonts w:ascii="Times New Roman" w:hAnsi="Times New Roman"/>
              <w:sz w:val="24"/>
              <w:szCs w:val="24"/>
            </w:rPr>
            <w:t xml:space="preserve">1. Quali libri per quali matrimoni? Vicende editoriali degli incunaboli per nozze </w:t>
          </w:r>
          <w:r w:rsidR="00FA76DF" w:rsidRPr="00317679">
            <w:rPr>
              <w:rFonts w:ascii="Times New Roman" w:hAnsi="Times New Roman"/>
              <w:sz w:val="24"/>
              <w:szCs w:val="24"/>
            </w:rPr>
            <w:ptab w:relativeTo="margin" w:alignment="right" w:leader="dot"/>
          </w:r>
          <w:r w:rsidR="00F305E9">
            <w:rPr>
              <w:rFonts w:ascii="Times New Roman" w:hAnsi="Times New Roman"/>
              <w:sz w:val="24"/>
              <w:szCs w:val="24"/>
            </w:rPr>
            <w:t>12</w:t>
          </w:r>
          <w:r w:rsidR="00F4314D">
            <w:rPr>
              <w:rFonts w:ascii="Times New Roman" w:hAnsi="Times New Roman"/>
              <w:sz w:val="24"/>
              <w:szCs w:val="24"/>
            </w:rPr>
            <w:t>1</w:t>
          </w:r>
        </w:p>
        <w:p w14:paraId="6AA8DE71" w14:textId="77777777" w:rsidR="00FA76DF" w:rsidRPr="00317679" w:rsidRDefault="00FA76DF" w:rsidP="00FA76DF">
          <w:pPr>
            <w:pStyle w:val="Sommario3"/>
            <w:ind w:left="0"/>
            <w:rPr>
              <w:rFonts w:ascii="Times New Roman" w:hAnsi="Times New Roman"/>
              <w:sz w:val="24"/>
              <w:szCs w:val="24"/>
            </w:rPr>
          </w:pPr>
          <w:r w:rsidRPr="00317679">
            <w:rPr>
              <w:rFonts w:ascii="Times New Roman" w:hAnsi="Times New Roman"/>
              <w:sz w:val="24"/>
              <w:szCs w:val="24"/>
            </w:rPr>
            <w:t xml:space="preserve">     2. </w:t>
          </w:r>
          <w:r w:rsidR="00667B02" w:rsidRPr="00317679">
            <w:rPr>
              <w:rFonts w:ascii="Times New Roman" w:hAnsi="Times New Roman"/>
              <w:sz w:val="24"/>
              <w:szCs w:val="24"/>
            </w:rPr>
            <w:t>Le nozze di Costanzo Sforza e Camilla d’Aragona. I manoscritti e la stampa (1475</w:t>
          </w:r>
          <w:r w:rsidR="00FB2803" w:rsidRPr="00317679">
            <w:rPr>
              <w:rFonts w:ascii="Times New Roman" w:hAnsi="Times New Roman"/>
              <w:sz w:val="24"/>
              <w:szCs w:val="24"/>
            </w:rPr>
            <w:t>)</w:t>
          </w:r>
          <w:r w:rsidRPr="00317679">
            <w:rPr>
              <w:rFonts w:ascii="Times New Roman" w:hAnsi="Times New Roman"/>
              <w:sz w:val="24"/>
              <w:szCs w:val="24"/>
            </w:rPr>
            <w:t xml:space="preserve"> </w:t>
          </w:r>
          <w:r w:rsidRPr="00317679">
            <w:rPr>
              <w:rFonts w:ascii="Times New Roman" w:hAnsi="Times New Roman"/>
              <w:sz w:val="24"/>
              <w:szCs w:val="24"/>
            </w:rPr>
            <w:ptab w:relativeTo="margin" w:alignment="right" w:leader="dot"/>
          </w:r>
          <w:r w:rsidR="00F305E9">
            <w:rPr>
              <w:rFonts w:ascii="Times New Roman" w:hAnsi="Times New Roman"/>
              <w:sz w:val="24"/>
              <w:szCs w:val="24"/>
            </w:rPr>
            <w:t>12</w:t>
          </w:r>
          <w:r w:rsidR="00F4314D">
            <w:rPr>
              <w:rFonts w:ascii="Times New Roman" w:hAnsi="Times New Roman"/>
              <w:sz w:val="24"/>
              <w:szCs w:val="24"/>
            </w:rPr>
            <w:t>9</w:t>
          </w:r>
        </w:p>
        <w:p w14:paraId="6B6A8B36" w14:textId="77777777" w:rsidR="00FA76DF" w:rsidRPr="00317679" w:rsidRDefault="00FA76DF" w:rsidP="00FA76DF">
          <w:pPr>
            <w:spacing w:after="0" w:line="360" w:lineRule="auto"/>
            <w:jc w:val="both"/>
            <w:rPr>
              <w:rFonts w:ascii="Times New Roman" w:hAnsi="Times New Roman" w:cs="Times New Roman"/>
              <w:sz w:val="24"/>
              <w:szCs w:val="24"/>
            </w:rPr>
          </w:pPr>
          <w:r w:rsidRPr="00317679">
            <w:rPr>
              <w:rFonts w:ascii="Times New Roman" w:hAnsi="Times New Roman" w:cs="Times New Roman"/>
              <w:sz w:val="24"/>
              <w:szCs w:val="24"/>
            </w:rPr>
            <w:t xml:space="preserve">     </w:t>
          </w:r>
          <w:r w:rsidR="00667B02" w:rsidRPr="00317679">
            <w:rPr>
              <w:rFonts w:ascii="Times New Roman" w:hAnsi="Times New Roman" w:cs="Times New Roman"/>
              <w:sz w:val="24"/>
              <w:szCs w:val="24"/>
            </w:rPr>
            <w:t>3</w:t>
          </w:r>
          <w:r w:rsidRPr="00317679">
            <w:rPr>
              <w:rFonts w:ascii="Times New Roman" w:hAnsi="Times New Roman" w:cs="Times New Roman"/>
              <w:sz w:val="24"/>
              <w:szCs w:val="24"/>
            </w:rPr>
            <w:t xml:space="preserve">. </w:t>
          </w:r>
          <w:r w:rsidR="00667B02" w:rsidRPr="00317679">
            <w:rPr>
              <w:rFonts w:ascii="Times New Roman" w:hAnsi="Times New Roman" w:cs="Times New Roman"/>
              <w:sz w:val="24"/>
              <w:szCs w:val="24"/>
            </w:rPr>
            <w:t>Un incunabolo per il matrimonio di Sigismondo d’Asburgo e Caterina di Sassonia (1484)</w:t>
          </w:r>
          <w:r w:rsidRPr="00317679">
            <w:rPr>
              <w:rFonts w:ascii="Times New Roman" w:hAnsi="Times New Roman" w:cs="Times New Roman"/>
              <w:sz w:val="24"/>
              <w:szCs w:val="24"/>
            </w:rPr>
            <w:t>.</w:t>
          </w:r>
          <w:r w:rsidRPr="00317679">
            <w:rPr>
              <w:rFonts w:ascii="Times New Roman" w:hAnsi="Times New Roman" w:cs="Times New Roman"/>
              <w:sz w:val="24"/>
              <w:szCs w:val="24"/>
            </w:rPr>
            <w:ptab w:relativeTo="margin" w:alignment="right" w:leader="dot"/>
          </w:r>
          <w:r w:rsidR="00F305E9">
            <w:rPr>
              <w:rFonts w:ascii="Times New Roman" w:hAnsi="Times New Roman" w:cs="Times New Roman"/>
              <w:sz w:val="24"/>
              <w:szCs w:val="24"/>
            </w:rPr>
            <w:t>14</w:t>
          </w:r>
          <w:r w:rsidR="00F4314D">
            <w:rPr>
              <w:rFonts w:ascii="Times New Roman" w:hAnsi="Times New Roman" w:cs="Times New Roman"/>
              <w:sz w:val="24"/>
              <w:szCs w:val="24"/>
            </w:rPr>
            <w:t>7</w:t>
          </w:r>
        </w:p>
        <w:p w14:paraId="716B819D" w14:textId="77777777" w:rsidR="00667B02" w:rsidRPr="00317679" w:rsidRDefault="00FA76DF" w:rsidP="00FA76DF">
          <w:pPr>
            <w:jc w:val="both"/>
            <w:rPr>
              <w:rFonts w:ascii="Times New Roman" w:hAnsi="Times New Roman" w:cs="Times New Roman"/>
              <w:sz w:val="24"/>
              <w:szCs w:val="24"/>
            </w:rPr>
          </w:pPr>
          <w:r w:rsidRPr="00317679">
            <w:rPr>
              <w:rFonts w:ascii="Times New Roman" w:hAnsi="Times New Roman" w:cs="Times New Roman"/>
              <w:sz w:val="24"/>
              <w:szCs w:val="24"/>
            </w:rPr>
            <w:t xml:space="preserve">     </w:t>
          </w:r>
          <w:r w:rsidR="00667B02" w:rsidRPr="00317679">
            <w:rPr>
              <w:rFonts w:ascii="Times New Roman" w:hAnsi="Times New Roman" w:cs="Times New Roman"/>
              <w:sz w:val="24"/>
              <w:szCs w:val="24"/>
            </w:rPr>
            <w:t>4</w:t>
          </w:r>
          <w:r w:rsidRPr="00317679">
            <w:rPr>
              <w:rFonts w:ascii="Times New Roman" w:hAnsi="Times New Roman" w:cs="Times New Roman"/>
              <w:sz w:val="24"/>
              <w:szCs w:val="24"/>
            </w:rPr>
            <w:t xml:space="preserve">. </w:t>
          </w:r>
          <w:r w:rsidR="00667B02" w:rsidRPr="00317679">
            <w:rPr>
              <w:rFonts w:ascii="Times New Roman" w:hAnsi="Times New Roman" w:cs="Times New Roman"/>
              <w:sz w:val="24"/>
              <w:szCs w:val="24"/>
            </w:rPr>
            <w:t>I libretti per le nozze di Annibale II Bentivoglio e Lucrezia d’Este (1487)</w:t>
          </w:r>
          <w:r w:rsidRPr="00317679">
            <w:rPr>
              <w:rFonts w:ascii="Times New Roman" w:hAnsi="Times New Roman" w:cs="Times New Roman"/>
              <w:sz w:val="24"/>
              <w:szCs w:val="24"/>
            </w:rPr>
            <w:ptab w:relativeTo="margin" w:alignment="right" w:leader="dot"/>
          </w:r>
          <w:r w:rsidR="00F305E9">
            <w:rPr>
              <w:rFonts w:ascii="Times New Roman" w:hAnsi="Times New Roman" w:cs="Times New Roman"/>
              <w:sz w:val="24"/>
              <w:szCs w:val="24"/>
            </w:rPr>
            <w:t>14</w:t>
          </w:r>
          <w:r w:rsidR="00F4314D">
            <w:rPr>
              <w:rFonts w:ascii="Times New Roman" w:hAnsi="Times New Roman" w:cs="Times New Roman"/>
              <w:sz w:val="24"/>
              <w:szCs w:val="24"/>
            </w:rPr>
            <w:t>9</w:t>
          </w:r>
        </w:p>
        <w:p w14:paraId="44584C8F" w14:textId="77777777" w:rsidR="00667B02" w:rsidRPr="00317679" w:rsidRDefault="00667B02" w:rsidP="00FA76DF">
          <w:pPr>
            <w:jc w:val="both"/>
            <w:rPr>
              <w:rFonts w:ascii="Times New Roman" w:hAnsi="Times New Roman" w:cs="Times New Roman"/>
              <w:i/>
              <w:sz w:val="24"/>
              <w:szCs w:val="24"/>
            </w:rPr>
          </w:pPr>
          <w:r w:rsidRPr="00317679">
            <w:rPr>
              <w:rFonts w:ascii="Times New Roman" w:hAnsi="Times New Roman" w:cs="Times New Roman"/>
              <w:sz w:val="24"/>
              <w:szCs w:val="24"/>
            </w:rPr>
            <w:t xml:space="preserve">     5. Un incunabolo per lo sposalizio di Gian Galeazzo Sforza e Isabella d’Aragona (1489)</w:t>
          </w:r>
          <w:r w:rsidRPr="00317679">
            <w:rPr>
              <w:rFonts w:ascii="Times New Roman" w:hAnsi="Times New Roman" w:cs="Times New Roman"/>
              <w:sz w:val="24"/>
              <w:szCs w:val="24"/>
            </w:rPr>
            <w:ptab w:relativeTo="margin" w:alignment="right" w:leader="dot"/>
          </w:r>
          <w:r w:rsidR="00F305E9">
            <w:rPr>
              <w:rFonts w:ascii="Times New Roman" w:hAnsi="Times New Roman" w:cs="Times New Roman"/>
              <w:sz w:val="24"/>
              <w:szCs w:val="24"/>
            </w:rPr>
            <w:t>1</w:t>
          </w:r>
          <w:r w:rsidRPr="00317679">
            <w:rPr>
              <w:rFonts w:ascii="Times New Roman" w:hAnsi="Times New Roman" w:cs="Times New Roman"/>
              <w:sz w:val="24"/>
              <w:szCs w:val="24"/>
            </w:rPr>
            <w:t>6</w:t>
          </w:r>
          <w:r w:rsidR="00F4314D">
            <w:rPr>
              <w:rFonts w:ascii="Times New Roman" w:hAnsi="Times New Roman" w:cs="Times New Roman"/>
              <w:sz w:val="24"/>
              <w:szCs w:val="24"/>
            </w:rPr>
            <w:t>9</w:t>
          </w:r>
          <w:r w:rsidRPr="00317679">
            <w:rPr>
              <w:rFonts w:ascii="Times New Roman" w:hAnsi="Times New Roman" w:cs="Times New Roman"/>
              <w:i/>
              <w:sz w:val="24"/>
              <w:szCs w:val="24"/>
            </w:rPr>
            <w:t xml:space="preserve">  </w:t>
          </w:r>
        </w:p>
        <w:p w14:paraId="0A7DF2C7" w14:textId="77777777" w:rsidR="00667B02" w:rsidRPr="00317679" w:rsidRDefault="00667B02" w:rsidP="00FA76DF">
          <w:pPr>
            <w:jc w:val="both"/>
            <w:rPr>
              <w:rFonts w:ascii="Times New Roman" w:hAnsi="Times New Roman" w:cs="Times New Roman"/>
              <w:i/>
              <w:sz w:val="24"/>
              <w:szCs w:val="24"/>
            </w:rPr>
          </w:pPr>
          <w:r w:rsidRPr="00317679">
            <w:rPr>
              <w:rFonts w:ascii="Times New Roman" w:hAnsi="Times New Roman" w:cs="Times New Roman"/>
              <w:sz w:val="24"/>
              <w:szCs w:val="24"/>
            </w:rPr>
            <w:t xml:space="preserve">     6. Lo sposalizio di Massimiliano I d’Absurgo e Bianca Maria Sforza (1493)</w:t>
          </w:r>
          <w:r w:rsidRPr="00317679">
            <w:rPr>
              <w:rFonts w:ascii="Times New Roman" w:hAnsi="Times New Roman" w:cs="Times New Roman"/>
              <w:sz w:val="24"/>
              <w:szCs w:val="24"/>
            </w:rPr>
            <w:ptab w:relativeTo="margin" w:alignment="right" w:leader="dot"/>
          </w:r>
          <w:r w:rsidR="00F305E9">
            <w:rPr>
              <w:rFonts w:ascii="Times New Roman" w:hAnsi="Times New Roman" w:cs="Times New Roman"/>
              <w:sz w:val="24"/>
              <w:szCs w:val="24"/>
            </w:rPr>
            <w:t>19</w:t>
          </w:r>
          <w:r w:rsidR="009D62A3">
            <w:rPr>
              <w:rFonts w:ascii="Times New Roman" w:hAnsi="Times New Roman" w:cs="Times New Roman"/>
              <w:sz w:val="24"/>
              <w:szCs w:val="24"/>
            </w:rPr>
            <w:t>9</w:t>
          </w:r>
          <w:r w:rsidRPr="00317679">
            <w:rPr>
              <w:rFonts w:ascii="Times New Roman" w:hAnsi="Times New Roman" w:cs="Times New Roman"/>
              <w:i/>
              <w:sz w:val="24"/>
              <w:szCs w:val="24"/>
            </w:rPr>
            <w:t xml:space="preserve">  </w:t>
          </w:r>
        </w:p>
        <w:p w14:paraId="1CD77431" w14:textId="77777777" w:rsidR="00667B02" w:rsidRPr="00317679" w:rsidRDefault="00667B02" w:rsidP="00FA76DF">
          <w:pPr>
            <w:jc w:val="both"/>
            <w:rPr>
              <w:rFonts w:ascii="Times New Roman" w:hAnsi="Times New Roman" w:cs="Times New Roman"/>
              <w:i/>
              <w:sz w:val="24"/>
              <w:szCs w:val="24"/>
            </w:rPr>
          </w:pPr>
        </w:p>
        <w:p w14:paraId="1091429C" w14:textId="77777777" w:rsidR="00667B02" w:rsidRPr="00317679" w:rsidRDefault="00667B02" w:rsidP="00667B02">
          <w:pPr>
            <w:pStyle w:val="Sommario1"/>
            <w:rPr>
              <w:rFonts w:ascii="Times New Roman" w:hAnsi="Times New Roman"/>
              <w:sz w:val="24"/>
              <w:szCs w:val="24"/>
            </w:rPr>
          </w:pPr>
          <w:r w:rsidRPr="00317679">
            <w:rPr>
              <w:rFonts w:ascii="Times New Roman" w:hAnsi="Times New Roman"/>
              <w:sz w:val="24"/>
              <w:szCs w:val="24"/>
            </w:rPr>
            <w:t>CAPITOLO III. La festa nuziale</w:t>
          </w:r>
          <w:r w:rsidRPr="00317679">
            <w:rPr>
              <w:rFonts w:ascii="Times New Roman" w:hAnsi="Times New Roman"/>
              <w:sz w:val="24"/>
              <w:szCs w:val="24"/>
            </w:rPr>
            <w:ptab w:relativeTo="margin" w:alignment="right" w:leader="dot"/>
          </w:r>
          <w:r w:rsidR="000B3488">
            <w:rPr>
              <w:rFonts w:ascii="Times New Roman" w:hAnsi="Times New Roman"/>
              <w:bCs/>
              <w:sz w:val="24"/>
              <w:szCs w:val="24"/>
            </w:rPr>
            <w:t>21</w:t>
          </w:r>
          <w:r w:rsidR="009D62A3">
            <w:rPr>
              <w:rFonts w:ascii="Times New Roman" w:hAnsi="Times New Roman"/>
              <w:bCs/>
              <w:sz w:val="24"/>
              <w:szCs w:val="24"/>
            </w:rPr>
            <w:t>7</w:t>
          </w:r>
        </w:p>
        <w:p w14:paraId="2FB5271A" w14:textId="77777777" w:rsidR="00667B02" w:rsidRPr="00317679" w:rsidRDefault="00317679" w:rsidP="00667B02">
          <w:pPr>
            <w:pStyle w:val="Sommario2"/>
            <w:rPr>
              <w:rFonts w:ascii="Times New Roman" w:hAnsi="Times New Roman"/>
              <w:sz w:val="24"/>
              <w:szCs w:val="24"/>
            </w:rPr>
          </w:pPr>
          <w:r>
            <w:rPr>
              <w:rFonts w:ascii="Times New Roman" w:hAnsi="Times New Roman"/>
              <w:sz w:val="24"/>
              <w:szCs w:val="24"/>
            </w:rPr>
            <w:t xml:space="preserve">  </w:t>
          </w:r>
          <w:r w:rsidR="00667B02" w:rsidRPr="00317679">
            <w:rPr>
              <w:rFonts w:ascii="Times New Roman" w:hAnsi="Times New Roman"/>
              <w:sz w:val="24"/>
              <w:szCs w:val="24"/>
            </w:rPr>
            <w:t>1.</w:t>
          </w:r>
          <w:r w:rsidR="00DC063C" w:rsidRPr="00317679">
            <w:rPr>
              <w:rFonts w:ascii="Times New Roman" w:hAnsi="Times New Roman"/>
              <w:sz w:val="24"/>
              <w:szCs w:val="24"/>
            </w:rPr>
            <w:t xml:space="preserve"> Il viaggio della sposa. Per mare e per terra </w:t>
          </w:r>
          <w:r w:rsidR="00667B02" w:rsidRPr="00317679">
            <w:rPr>
              <w:rFonts w:ascii="Times New Roman" w:hAnsi="Times New Roman"/>
              <w:sz w:val="24"/>
              <w:szCs w:val="24"/>
            </w:rPr>
            <w:ptab w:relativeTo="margin" w:alignment="right" w:leader="dot"/>
          </w:r>
          <w:r w:rsidR="000B3488">
            <w:rPr>
              <w:rFonts w:ascii="Times New Roman" w:hAnsi="Times New Roman"/>
              <w:sz w:val="24"/>
              <w:szCs w:val="24"/>
            </w:rPr>
            <w:t>21</w:t>
          </w:r>
          <w:r w:rsidR="009D62A3">
            <w:rPr>
              <w:rFonts w:ascii="Times New Roman" w:hAnsi="Times New Roman"/>
              <w:sz w:val="24"/>
              <w:szCs w:val="24"/>
            </w:rPr>
            <w:t>7</w:t>
          </w:r>
        </w:p>
        <w:p w14:paraId="53A9CE69" w14:textId="77777777" w:rsidR="00667B02" w:rsidRPr="00317679" w:rsidRDefault="00667B02" w:rsidP="00667B02">
          <w:pPr>
            <w:pStyle w:val="Sommario3"/>
            <w:ind w:left="0"/>
            <w:rPr>
              <w:rFonts w:ascii="Times New Roman" w:hAnsi="Times New Roman"/>
              <w:sz w:val="24"/>
              <w:szCs w:val="24"/>
            </w:rPr>
          </w:pPr>
          <w:r w:rsidRPr="00317679">
            <w:rPr>
              <w:rFonts w:ascii="Times New Roman" w:hAnsi="Times New Roman"/>
              <w:sz w:val="24"/>
              <w:szCs w:val="24"/>
            </w:rPr>
            <w:t xml:space="preserve">     </w:t>
          </w:r>
          <w:r w:rsidR="009F0708">
            <w:rPr>
              <w:rFonts w:ascii="Times New Roman" w:hAnsi="Times New Roman"/>
              <w:sz w:val="24"/>
              <w:szCs w:val="24"/>
            </w:rPr>
            <w:t xml:space="preserve"> </w:t>
          </w:r>
          <w:r w:rsidRPr="00317679">
            <w:rPr>
              <w:rFonts w:ascii="Times New Roman" w:hAnsi="Times New Roman"/>
              <w:sz w:val="24"/>
              <w:szCs w:val="24"/>
            </w:rPr>
            <w:t xml:space="preserve">2. </w:t>
          </w:r>
          <w:r w:rsidR="00FB2803" w:rsidRPr="00317679">
            <w:rPr>
              <w:rFonts w:ascii="Times New Roman" w:hAnsi="Times New Roman"/>
              <w:sz w:val="24"/>
              <w:szCs w:val="24"/>
            </w:rPr>
            <w:t>L’ingresso in città e il ‘decor’ delle vie cittadine</w:t>
          </w:r>
          <w:r w:rsidRPr="00317679">
            <w:rPr>
              <w:rFonts w:ascii="Times New Roman" w:hAnsi="Times New Roman"/>
              <w:sz w:val="24"/>
              <w:szCs w:val="24"/>
            </w:rPr>
            <w:t xml:space="preserve"> </w:t>
          </w:r>
          <w:r w:rsidRPr="00317679">
            <w:rPr>
              <w:rFonts w:ascii="Times New Roman" w:hAnsi="Times New Roman"/>
              <w:sz w:val="24"/>
              <w:szCs w:val="24"/>
            </w:rPr>
            <w:ptab w:relativeTo="margin" w:alignment="right" w:leader="dot"/>
          </w:r>
          <w:r w:rsidR="00C40B3C">
            <w:rPr>
              <w:rFonts w:ascii="Times New Roman" w:hAnsi="Times New Roman"/>
              <w:sz w:val="24"/>
              <w:szCs w:val="24"/>
            </w:rPr>
            <w:t>23</w:t>
          </w:r>
          <w:r w:rsidR="009D62A3">
            <w:rPr>
              <w:rFonts w:ascii="Times New Roman" w:hAnsi="Times New Roman"/>
              <w:sz w:val="24"/>
              <w:szCs w:val="24"/>
            </w:rPr>
            <w:t>5</w:t>
          </w:r>
        </w:p>
        <w:p w14:paraId="3460744D" w14:textId="77777777" w:rsidR="00667B02" w:rsidRPr="00317679" w:rsidRDefault="00667B02" w:rsidP="00667B02">
          <w:pPr>
            <w:spacing w:after="0" w:line="360" w:lineRule="auto"/>
            <w:jc w:val="both"/>
            <w:rPr>
              <w:rFonts w:ascii="Times New Roman" w:hAnsi="Times New Roman" w:cs="Times New Roman"/>
              <w:sz w:val="24"/>
              <w:szCs w:val="24"/>
            </w:rPr>
          </w:pPr>
          <w:r w:rsidRPr="00317679">
            <w:rPr>
              <w:rFonts w:ascii="Times New Roman" w:hAnsi="Times New Roman" w:cs="Times New Roman"/>
              <w:sz w:val="24"/>
              <w:szCs w:val="24"/>
            </w:rPr>
            <w:t xml:space="preserve">     </w:t>
          </w:r>
          <w:r w:rsidR="009F0708">
            <w:rPr>
              <w:rFonts w:ascii="Times New Roman" w:hAnsi="Times New Roman" w:cs="Times New Roman"/>
              <w:sz w:val="24"/>
              <w:szCs w:val="24"/>
            </w:rPr>
            <w:t xml:space="preserve"> </w:t>
          </w:r>
          <w:r w:rsidR="00FB2803" w:rsidRPr="00317679">
            <w:rPr>
              <w:rFonts w:ascii="Times New Roman" w:hAnsi="Times New Roman" w:cs="Times New Roman"/>
              <w:sz w:val="24"/>
              <w:szCs w:val="24"/>
            </w:rPr>
            <w:t>2.1.</w:t>
          </w:r>
          <w:r w:rsidR="00FB2803" w:rsidRPr="00317679">
            <w:rPr>
              <w:rFonts w:ascii="Times New Roman" w:hAnsi="Times New Roman" w:cs="Times New Roman"/>
              <w:i/>
              <w:sz w:val="24"/>
              <w:szCs w:val="24"/>
            </w:rPr>
            <w:t xml:space="preserve"> </w:t>
          </w:r>
          <w:r w:rsidR="00FB2803" w:rsidRPr="00317679">
            <w:rPr>
              <w:rFonts w:ascii="Times New Roman" w:hAnsi="Times New Roman" w:cs="Times New Roman"/>
              <w:sz w:val="24"/>
              <w:szCs w:val="24"/>
            </w:rPr>
            <w:t>Carri, ingegni e girandole: il contributo delle maestranze fiorentine</w:t>
          </w:r>
          <w:r w:rsidRPr="00317679">
            <w:rPr>
              <w:rFonts w:ascii="Times New Roman" w:hAnsi="Times New Roman" w:cs="Times New Roman"/>
              <w:sz w:val="24"/>
              <w:szCs w:val="24"/>
            </w:rPr>
            <w:ptab w:relativeTo="margin" w:alignment="right" w:leader="dot"/>
          </w:r>
          <w:r w:rsidR="00C40B3C">
            <w:rPr>
              <w:rFonts w:ascii="Times New Roman" w:hAnsi="Times New Roman" w:cs="Times New Roman"/>
              <w:sz w:val="24"/>
              <w:szCs w:val="24"/>
            </w:rPr>
            <w:t>24</w:t>
          </w:r>
          <w:r w:rsidR="009D62A3">
            <w:rPr>
              <w:rFonts w:ascii="Times New Roman" w:hAnsi="Times New Roman" w:cs="Times New Roman"/>
              <w:sz w:val="24"/>
              <w:szCs w:val="24"/>
            </w:rPr>
            <w:t>7</w:t>
          </w:r>
        </w:p>
        <w:p w14:paraId="735A85DC" w14:textId="77777777" w:rsidR="00667B02" w:rsidRPr="00317679" w:rsidRDefault="00667B02" w:rsidP="00667B02">
          <w:pPr>
            <w:jc w:val="both"/>
            <w:rPr>
              <w:rFonts w:ascii="Times New Roman" w:hAnsi="Times New Roman" w:cs="Times New Roman"/>
              <w:sz w:val="24"/>
              <w:szCs w:val="24"/>
            </w:rPr>
          </w:pPr>
          <w:r w:rsidRPr="00317679">
            <w:rPr>
              <w:rFonts w:ascii="Times New Roman" w:hAnsi="Times New Roman" w:cs="Times New Roman"/>
              <w:sz w:val="24"/>
              <w:szCs w:val="24"/>
            </w:rPr>
            <w:t xml:space="preserve">     </w:t>
          </w:r>
          <w:r w:rsidR="009F0708">
            <w:rPr>
              <w:rFonts w:ascii="Times New Roman" w:hAnsi="Times New Roman" w:cs="Times New Roman"/>
              <w:sz w:val="24"/>
              <w:szCs w:val="24"/>
            </w:rPr>
            <w:t xml:space="preserve"> </w:t>
          </w:r>
          <w:r w:rsidR="00F16A1D" w:rsidRPr="00317679">
            <w:rPr>
              <w:rFonts w:ascii="Times New Roman" w:hAnsi="Times New Roman" w:cs="Times New Roman"/>
              <w:sz w:val="24"/>
              <w:szCs w:val="24"/>
            </w:rPr>
            <w:t>3</w:t>
          </w:r>
          <w:r w:rsidRPr="00317679">
            <w:rPr>
              <w:rFonts w:ascii="Times New Roman" w:hAnsi="Times New Roman" w:cs="Times New Roman"/>
              <w:sz w:val="24"/>
              <w:szCs w:val="24"/>
            </w:rPr>
            <w:t xml:space="preserve">. </w:t>
          </w:r>
          <w:r w:rsidR="00F16A1D" w:rsidRPr="00317679">
            <w:rPr>
              <w:rFonts w:ascii="Times New Roman" w:hAnsi="Times New Roman" w:cs="Times New Roman"/>
              <w:sz w:val="24"/>
              <w:szCs w:val="24"/>
            </w:rPr>
            <w:t>La cerimonia nuziale:</w:t>
          </w:r>
          <w:r w:rsidR="00B82D7E" w:rsidRPr="00317679">
            <w:rPr>
              <w:rFonts w:ascii="Times New Roman" w:hAnsi="Times New Roman" w:cs="Times New Roman"/>
              <w:sz w:val="24"/>
              <w:szCs w:val="24"/>
            </w:rPr>
            <w:t xml:space="preserve"> </w:t>
          </w:r>
          <w:r w:rsidR="00F16A1D" w:rsidRPr="00317679">
            <w:rPr>
              <w:rFonts w:ascii="Times New Roman" w:hAnsi="Times New Roman" w:cs="Times New Roman"/>
              <w:sz w:val="24"/>
              <w:szCs w:val="24"/>
            </w:rPr>
            <w:t>addobbi e apparati ecclesiastici,</w:t>
          </w:r>
          <w:r w:rsidR="00B82D7E" w:rsidRPr="00317679">
            <w:rPr>
              <w:rFonts w:ascii="Times New Roman" w:hAnsi="Times New Roman" w:cs="Times New Roman"/>
              <w:sz w:val="24"/>
              <w:szCs w:val="24"/>
            </w:rPr>
            <w:t xml:space="preserve"> </w:t>
          </w:r>
          <w:r w:rsidR="00F16A1D" w:rsidRPr="00317679">
            <w:rPr>
              <w:rFonts w:ascii="Times New Roman" w:hAnsi="Times New Roman" w:cs="Times New Roman"/>
              <w:sz w:val="24"/>
              <w:szCs w:val="24"/>
            </w:rPr>
            <w:t>modifiche liturgiche,</w:t>
          </w:r>
          <w:r w:rsidR="00B82D7E" w:rsidRPr="00317679">
            <w:rPr>
              <w:rFonts w:ascii="Times New Roman" w:hAnsi="Times New Roman" w:cs="Times New Roman"/>
              <w:sz w:val="24"/>
              <w:szCs w:val="24"/>
            </w:rPr>
            <w:t xml:space="preserve"> </w:t>
          </w:r>
          <w:r w:rsidR="00F16A1D" w:rsidRPr="00317679">
            <w:rPr>
              <w:rFonts w:ascii="Times New Roman" w:hAnsi="Times New Roman" w:cs="Times New Roman"/>
              <w:sz w:val="24"/>
              <w:szCs w:val="24"/>
            </w:rPr>
            <w:t xml:space="preserve">investiture </w:t>
          </w:r>
          <w:r w:rsidR="00FD159B" w:rsidRPr="00317679">
            <w:rPr>
              <w:rFonts w:ascii="Times New Roman" w:hAnsi="Times New Roman" w:cs="Times New Roman"/>
              <w:sz w:val="24"/>
              <w:szCs w:val="24"/>
            </w:rPr>
            <w:t xml:space="preserve">       </w:t>
          </w:r>
          <w:r w:rsidR="00F16A1D" w:rsidRPr="00317679">
            <w:rPr>
              <w:rFonts w:ascii="Times New Roman" w:hAnsi="Times New Roman" w:cs="Times New Roman"/>
              <w:sz w:val="24"/>
              <w:szCs w:val="24"/>
            </w:rPr>
            <w:t>cavalleresche</w:t>
          </w:r>
          <w:r w:rsidRPr="00317679">
            <w:rPr>
              <w:rFonts w:ascii="Times New Roman" w:hAnsi="Times New Roman" w:cs="Times New Roman"/>
              <w:sz w:val="24"/>
              <w:szCs w:val="24"/>
            </w:rPr>
            <w:ptab w:relativeTo="margin" w:alignment="right" w:leader="dot"/>
          </w:r>
          <w:r w:rsidR="00C40B3C">
            <w:rPr>
              <w:rFonts w:ascii="Times New Roman" w:hAnsi="Times New Roman" w:cs="Times New Roman"/>
              <w:sz w:val="24"/>
              <w:szCs w:val="24"/>
            </w:rPr>
            <w:t>25</w:t>
          </w:r>
          <w:r w:rsidR="009D62A3">
            <w:rPr>
              <w:rFonts w:ascii="Times New Roman" w:hAnsi="Times New Roman" w:cs="Times New Roman"/>
              <w:sz w:val="24"/>
              <w:szCs w:val="24"/>
            </w:rPr>
            <w:t>7</w:t>
          </w:r>
        </w:p>
        <w:p w14:paraId="72CE4B98" w14:textId="77777777" w:rsidR="00667B02" w:rsidRPr="00317679" w:rsidRDefault="00667B02" w:rsidP="00667B02">
          <w:pPr>
            <w:jc w:val="both"/>
            <w:rPr>
              <w:rFonts w:ascii="Times New Roman" w:hAnsi="Times New Roman" w:cs="Times New Roman"/>
              <w:i/>
              <w:sz w:val="24"/>
              <w:szCs w:val="24"/>
            </w:rPr>
          </w:pPr>
          <w:r w:rsidRPr="00317679">
            <w:rPr>
              <w:rFonts w:ascii="Times New Roman" w:hAnsi="Times New Roman" w:cs="Times New Roman"/>
              <w:sz w:val="24"/>
              <w:szCs w:val="24"/>
            </w:rPr>
            <w:t xml:space="preserve">     </w:t>
          </w:r>
          <w:r w:rsidR="009F0708">
            <w:rPr>
              <w:rFonts w:ascii="Times New Roman" w:hAnsi="Times New Roman" w:cs="Times New Roman"/>
              <w:sz w:val="24"/>
              <w:szCs w:val="24"/>
            </w:rPr>
            <w:t xml:space="preserve"> </w:t>
          </w:r>
          <w:r w:rsidR="00F16A1D" w:rsidRPr="00317679">
            <w:rPr>
              <w:rFonts w:ascii="Times New Roman" w:hAnsi="Times New Roman" w:cs="Times New Roman"/>
              <w:sz w:val="24"/>
              <w:szCs w:val="24"/>
            </w:rPr>
            <w:t>4</w:t>
          </w:r>
          <w:r w:rsidRPr="00317679">
            <w:rPr>
              <w:rFonts w:ascii="Times New Roman" w:hAnsi="Times New Roman" w:cs="Times New Roman"/>
              <w:sz w:val="24"/>
              <w:szCs w:val="24"/>
            </w:rPr>
            <w:t xml:space="preserve">. </w:t>
          </w:r>
          <w:r w:rsidR="00B82D7E" w:rsidRPr="00317679">
            <w:rPr>
              <w:rFonts w:ascii="Times New Roman" w:hAnsi="Times New Roman" w:cs="Times New Roman"/>
              <w:sz w:val="24"/>
              <w:szCs w:val="24"/>
            </w:rPr>
            <w:t xml:space="preserve">Il banchetto: disposizione della sala, ingegni, figuranti </w:t>
          </w:r>
          <w:r w:rsidRPr="00317679">
            <w:rPr>
              <w:rFonts w:ascii="Times New Roman" w:hAnsi="Times New Roman" w:cs="Times New Roman"/>
              <w:sz w:val="24"/>
              <w:szCs w:val="24"/>
            </w:rPr>
            <w:ptab w:relativeTo="margin" w:alignment="right" w:leader="dot"/>
          </w:r>
          <w:r w:rsidR="00B25460">
            <w:rPr>
              <w:rFonts w:ascii="Times New Roman" w:hAnsi="Times New Roman" w:cs="Times New Roman"/>
              <w:sz w:val="24"/>
              <w:szCs w:val="24"/>
            </w:rPr>
            <w:t>2</w:t>
          </w:r>
          <w:r w:rsidRPr="00317679">
            <w:rPr>
              <w:rFonts w:ascii="Times New Roman" w:hAnsi="Times New Roman" w:cs="Times New Roman"/>
              <w:sz w:val="24"/>
              <w:szCs w:val="24"/>
            </w:rPr>
            <w:t>6</w:t>
          </w:r>
          <w:r w:rsidR="00C46E76">
            <w:rPr>
              <w:rFonts w:ascii="Times New Roman" w:hAnsi="Times New Roman" w:cs="Times New Roman"/>
              <w:sz w:val="24"/>
              <w:szCs w:val="24"/>
            </w:rPr>
            <w:t>5</w:t>
          </w:r>
          <w:r w:rsidRPr="00317679">
            <w:rPr>
              <w:rFonts w:ascii="Times New Roman" w:hAnsi="Times New Roman" w:cs="Times New Roman"/>
              <w:i/>
              <w:sz w:val="24"/>
              <w:szCs w:val="24"/>
            </w:rPr>
            <w:t xml:space="preserve">  </w:t>
          </w:r>
        </w:p>
        <w:p w14:paraId="6F36FE07" w14:textId="77777777" w:rsidR="00B82D7E" w:rsidRPr="00317679" w:rsidRDefault="00667B02" w:rsidP="00667B02">
          <w:pPr>
            <w:jc w:val="both"/>
            <w:rPr>
              <w:rFonts w:ascii="Times New Roman" w:hAnsi="Times New Roman" w:cs="Times New Roman"/>
              <w:sz w:val="24"/>
              <w:szCs w:val="24"/>
            </w:rPr>
          </w:pPr>
          <w:r w:rsidRPr="00317679">
            <w:rPr>
              <w:rFonts w:ascii="Times New Roman" w:hAnsi="Times New Roman" w:cs="Times New Roman"/>
              <w:sz w:val="24"/>
              <w:szCs w:val="24"/>
            </w:rPr>
            <w:lastRenderedPageBreak/>
            <w:t xml:space="preserve">     </w:t>
          </w:r>
          <w:r w:rsidR="009F0708">
            <w:rPr>
              <w:rFonts w:ascii="Times New Roman" w:hAnsi="Times New Roman" w:cs="Times New Roman"/>
              <w:sz w:val="24"/>
              <w:szCs w:val="24"/>
            </w:rPr>
            <w:t xml:space="preserve"> </w:t>
          </w:r>
          <w:r w:rsidR="00B82D7E" w:rsidRPr="00317679">
            <w:rPr>
              <w:rFonts w:ascii="Times New Roman" w:hAnsi="Times New Roman" w:cs="Times New Roman"/>
              <w:sz w:val="24"/>
              <w:szCs w:val="24"/>
            </w:rPr>
            <w:t>5</w:t>
          </w:r>
          <w:r w:rsidRPr="00317679">
            <w:rPr>
              <w:rFonts w:ascii="Times New Roman" w:hAnsi="Times New Roman" w:cs="Times New Roman"/>
              <w:sz w:val="24"/>
              <w:szCs w:val="24"/>
            </w:rPr>
            <w:t xml:space="preserve">. </w:t>
          </w:r>
          <w:r w:rsidR="00B82D7E" w:rsidRPr="00317679">
            <w:rPr>
              <w:rFonts w:ascii="Times New Roman" w:hAnsi="Times New Roman" w:cs="Times New Roman"/>
              <w:sz w:val="24"/>
              <w:szCs w:val="24"/>
            </w:rPr>
            <w:t xml:space="preserve">Balli, tornei e giostre </w:t>
          </w:r>
          <w:r w:rsidRPr="00317679">
            <w:rPr>
              <w:rFonts w:ascii="Times New Roman" w:hAnsi="Times New Roman" w:cs="Times New Roman"/>
              <w:sz w:val="24"/>
              <w:szCs w:val="24"/>
            </w:rPr>
            <w:ptab w:relativeTo="margin" w:alignment="right" w:leader="dot"/>
          </w:r>
          <w:r w:rsidR="00B25460">
            <w:rPr>
              <w:rFonts w:ascii="Times New Roman" w:hAnsi="Times New Roman" w:cs="Times New Roman"/>
              <w:sz w:val="24"/>
              <w:szCs w:val="24"/>
            </w:rPr>
            <w:t>28</w:t>
          </w:r>
          <w:r w:rsidR="00C46E76">
            <w:rPr>
              <w:rFonts w:ascii="Times New Roman" w:hAnsi="Times New Roman" w:cs="Times New Roman"/>
              <w:sz w:val="24"/>
              <w:szCs w:val="24"/>
            </w:rPr>
            <w:t>2</w:t>
          </w:r>
        </w:p>
        <w:p w14:paraId="2BBC3D78" w14:textId="77777777" w:rsidR="00D74A82" w:rsidRPr="00317679" w:rsidRDefault="00B82D7E" w:rsidP="00FA76AD">
          <w:pPr>
            <w:jc w:val="both"/>
            <w:rPr>
              <w:rFonts w:ascii="Times New Roman" w:hAnsi="Times New Roman" w:cs="Times New Roman"/>
              <w:i/>
              <w:sz w:val="24"/>
              <w:szCs w:val="24"/>
            </w:rPr>
          </w:pPr>
          <w:r w:rsidRPr="00317679">
            <w:rPr>
              <w:rFonts w:ascii="Times New Roman" w:hAnsi="Times New Roman" w:cs="Times New Roman"/>
              <w:sz w:val="24"/>
              <w:szCs w:val="24"/>
            </w:rPr>
            <w:t xml:space="preserve">     </w:t>
          </w:r>
          <w:r w:rsidR="009F0708">
            <w:rPr>
              <w:rFonts w:ascii="Times New Roman" w:hAnsi="Times New Roman" w:cs="Times New Roman"/>
              <w:sz w:val="24"/>
              <w:szCs w:val="24"/>
            </w:rPr>
            <w:t xml:space="preserve"> </w:t>
          </w:r>
          <w:r w:rsidRPr="00317679">
            <w:rPr>
              <w:rFonts w:ascii="Times New Roman" w:hAnsi="Times New Roman" w:cs="Times New Roman"/>
              <w:sz w:val="24"/>
              <w:szCs w:val="24"/>
            </w:rPr>
            <w:t xml:space="preserve">6. Spettacoli teatrali: comedie classiche e sacre rappresentazioni </w:t>
          </w:r>
          <w:r w:rsidRPr="00317679">
            <w:rPr>
              <w:rFonts w:ascii="Times New Roman" w:hAnsi="Times New Roman" w:cs="Times New Roman"/>
              <w:sz w:val="24"/>
              <w:szCs w:val="24"/>
            </w:rPr>
            <w:ptab w:relativeTo="margin" w:alignment="right" w:leader="dot"/>
          </w:r>
          <w:r w:rsidR="00B25460">
            <w:rPr>
              <w:rFonts w:ascii="Times New Roman" w:hAnsi="Times New Roman" w:cs="Times New Roman"/>
              <w:sz w:val="24"/>
              <w:szCs w:val="24"/>
            </w:rPr>
            <w:t>29</w:t>
          </w:r>
          <w:r w:rsidR="00C46E76">
            <w:rPr>
              <w:rFonts w:ascii="Times New Roman" w:hAnsi="Times New Roman" w:cs="Times New Roman"/>
              <w:sz w:val="24"/>
              <w:szCs w:val="24"/>
            </w:rPr>
            <w:t>8</w:t>
          </w:r>
          <w:r w:rsidRPr="00317679">
            <w:rPr>
              <w:rFonts w:ascii="Times New Roman" w:hAnsi="Times New Roman" w:cs="Times New Roman"/>
              <w:i/>
              <w:sz w:val="24"/>
              <w:szCs w:val="24"/>
            </w:rPr>
            <w:t xml:space="preserve"> </w:t>
          </w:r>
          <w:r w:rsidR="00667B02" w:rsidRPr="00317679">
            <w:rPr>
              <w:rFonts w:ascii="Times New Roman" w:hAnsi="Times New Roman" w:cs="Times New Roman"/>
              <w:i/>
              <w:sz w:val="24"/>
              <w:szCs w:val="24"/>
            </w:rPr>
            <w:t xml:space="preserve">  </w:t>
          </w:r>
        </w:p>
        <w:p w14:paraId="6F8EDFDC" w14:textId="77777777" w:rsidR="001E754F" w:rsidRDefault="001E754F" w:rsidP="00FA76AD">
          <w:pPr>
            <w:pStyle w:val="Sommario1"/>
            <w:rPr>
              <w:rFonts w:ascii="Times New Roman" w:hAnsi="Times New Roman"/>
              <w:smallCaps/>
              <w:sz w:val="24"/>
              <w:szCs w:val="24"/>
            </w:rPr>
          </w:pPr>
        </w:p>
        <w:p w14:paraId="572EEEC3" w14:textId="77777777" w:rsidR="001E754F" w:rsidRDefault="001E754F" w:rsidP="00FA76AD">
          <w:pPr>
            <w:pStyle w:val="Sommario1"/>
            <w:rPr>
              <w:rFonts w:ascii="Times New Roman" w:hAnsi="Times New Roman"/>
              <w:smallCaps/>
              <w:sz w:val="24"/>
              <w:szCs w:val="24"/>
            </w:rPr>
          </w:pPr>
          <w:r>
            <w:rPr>
              <w:rFonts w:ascii="Times New Roman" w:hAnsi="Times New Roman"/>
              <w:smallCaps/>
              <w:sz w:val="24"/>
              <w:szCs w:val="24"/>
            </w:rPr>
            <w:t>Conclusioni</w:t>
          </w:r>
          <w:r w:rsidRPr="00317679">
            <w:rPr>
              <w:rFonts w:ascii="Times New Roman" w:hAnsi="Times New Roman"/>
              <w:sz w:val="24"/>
              <w:szCs w:val="24"/>
            </w:rPr>
            <w:ptab w:relativeTo="margin" w:alignment="right" w:leader="dot"/>
          </w:r>
          <w:r>
            <w:rPr>
              <w:rFonts w:ascii="Times New Roman" w:hAnsi="Times New Roman"/>
              <w:sz w:val="24"/>
              <w:szCs w:val="24"/>
            </w:rPr>
            <w:t>32</w:t>
          </w:r>
          <w:r w:rsidR="00C46E76">
            <w:rPr>
              <w:rFonts w:ascii="Times New Roman" w:hAnsi="Times New Roman"/>
              <w:sz w:val="24"/>
              <w:szCs w:val="24"/>
            </w:rPr>
            <w:t>5</w:t>
          </w:r>
        </w:p>
        <w:p w14:paraId="3E8A81C9" w14:textId="77777777" w:rsidR="001E754F" w:rsidRDefault="001E754F" w:rsidP="00FA76AD">
          <w:pPr>
            <w:pStyle w:val="Sommario1"/>
            <w:rPr>
              <w:rFonts w:ascii="Times New Roman" w:hAnsi="Times New Roman"/>
              <w:smallCaps/>
              <w:sz w:val="24"/>
              <w:szCs w:val="24"/>
            </w:rPr>
          </w:pPr>
        </w:p>
        <w:p w14:paraId="62A1D8C7" w14:textId="77777777" w:rsidR="00FA76AD" w:rsidRDefault="00FA76AD" w:rsidP="00FA76AD">
          <w:pPr>
            <w:pStyle w:val="Sommario1"/>
            <w:rPr>
              <w:rFonts w:ascii="Times New Roman" w:hAnsi="Times New Roman"/>
              <w:bCs/>
              <w:sz w:val="24"/>
              <w:szCs w:val="24"/>
            </w:rPr>
          </w:pPr>
          <w:r w:rsidRPr="00317679">
            <w:rPr>
              <w:rFonts w:ascii="Times New Roman" w:hAnsi="Times New Roman"/>
              <w:smallCaps/>
              <w:sz w:val="24"/>
              <w:szCs w:val="24"/>
            </w:rPr>
            <w:t>A</w:t>
          </w:r>
          <w:r w:rsidR="00317679" w:rsidRPr="00317679">
            <w:rPr>
              <w:rFonts w:ascii="Times New Roman" w:hAnsi="Times New Roman"/>
              <w:smallCaps/>
              <w:sz w:val="24"/>
              <w:szCs w:val="24"/>
            </w:rPr>
            <w:t>ppendici</w:t>
          </w:r>
          <w:r w:rsidRPr="00317679">
            <w:rPr>
              <w:rFonts w:ascii="Times New Roman" w:hAnsi="Times New Roman"/>
              <w:sz w:val="24"/>
              <w:szCs w:val="24"/>
            </w:rPr>
            <w:ptab w:relativeTo="margin" w:alignment="right" w:leader="dot"/>
          </w:r>
          <w:r w:rsidR="00B25460">
            <w:rPr>
              <w:rFonts w:ascii="Times New Roman" w:hAnsi="Times New Roman"/>
              <w:bCs/>
              <w:sz w:val="24"/>
              <w:szCs w:val="24"/>
            </w:rPr>
            <w:t>32</w:t>
          </w:r>
          <w:r w:rsidR="00C46E76">
            <w:rPr>
              <w:rFonts w:ascii="Times New Roman" w:hAnsi="Times New Roman"/>
              <w:bCs/>
              <w:sz w:val="24"/>
              <w:szCs w:val="24"/>
            </w:rPr>
            <w:t>9</w:t>
          </w:r>
        </w:p>
        <w:p w14:paraId="7606458C" w14:textId="77777777" w:rsidR="00C46E76" w:rsidRPr="00C46E76" w:rsidRDefault="00C46E76" w:rsidP="00C46E76">
          <w:pPr>
            <w:rPr>
              <w:lang w:eastAsia="it-IT"/>
            </w:rPr>
          </w:pPr>
        </w:p>
        <w:p w14:paraId="69A70458" w14:textId="77777777" w:rsidR="00FA76AD" w:rsidRPr="00317679" w:rsidRDefault="00317679" w:rsidP="00FA76AD">
          <w:pPr>
            <w:pStyle w:val="Sommario2"/>
            <w:rPr>
              <w:rFonts w:ascii="Times New Roman" w:hAnsi="Times New Roman"/>
              <w:sz w:val="24"/>
              <w:szCs w:val="24"/>
            </w:rPr>
          </w:pPr>
          <w:r>
            <w:rPr>
              <w:rFonts w:ascii="Times New Roman" w:hAnsi="Times New Roman"/>
              <w:sz w:val="24"/>
              <w:szCs w:val="24"/>
            </w:rPr>
            <w:t xml:space="preserve"> </w:t>
          </w:r>
          <w:r w:rsidR="00FA76AD" w:rsidRPr="00317679">
            <w:rPr>
              <w:rFonts w:ascii="Times New Roman" w:hAnsi="Times New Roman"/>
              <w:sz w:val="24"/>
              <w:szCs w:val="24"/>
            </w:rPr>
            <w:t>Appendice I. Catalogo degli incunaboli italiani editi per nozze</w:t>
          </w:r>
          <w:r w:rsidR="00FA76AD" w:rsidRPr="00317679">
            <w:rPr>
              <w:rFonts w:ascii="Times New Roman" w:hAnsi="Times New Roman"/>
              <w:sz w:val="24"/>
              <w:szCs w:val="24"/>
            </w:rPr>
            <w:ptab w:relativeTo="margin" w:alignment="right" w:leader="dot"/>
          </w:r>
          <w:r w:rsidR="00B25460">
            <w:rPr>
              <w:rFonts w:ascii="Times New Roman" w:hAnsi="Times New Roman"/>
              <w:sz w:val="24"/>
              <w:szCs w:val="24"/>
            </w:rPr>
            <w:t>3</w:t>
          </w:r>
          <w:r w:rsidR="00DB356E">
            <w:rPr>
              <w:rFonts w:ascii="Times New Roman" w:hAnsi="Times New Roman"/>
              <w:sz w:val="24"/>
              <w:szCs w:val="24"/>
            </w:rPr>
            <w:t>31</w:t>
          </w:r>
        </w:p>
        <w:p w14:paraId="475E80CE" w14:textId="77777777" w:rsidR="00FA76AD" w:rsidRPr="00317679" w:rsidRDefault="00FA76AD" w:rsidP="00FA76AD">
          <w:pPr>
            <w:pStyle w:val="Sommario3"/>
            <w:ind w:left="0"/>
            <w:rPr>
              <w:rFonts w:ascii="Times New Roman" w:hAnsi="Times New Roman"/>
              <w:sz w:val="24"/>
              <w:szCs w:val="24"/>
            </w:rPr>
          </w:pPr>
          <w:r w:rsidRPr="00317679">
            <w:rPr>
              <w:rFonts w:ascii="Times New Roman" w:hAnsi="Times New Roman"/>
              <w:sz w:val="24"/>
              <w:szCs w:val="24"/>
            </w:rPr>
            <w:t xml:space="preserve">     </w:t>
          </w:r>
          <w:r w:rsidR="00CB30AE" w:rsidRPr="00317679">
            <w:rPr>
              <w:rFonts w:ascii="Times New Roman" w:hAnsi="Times New Roman"/>
              <w:sz w:val="24"/>
              <w:szCs w:val="24"/>
            </w:rPr>
            <w:t xml:space="preserve">Appendice II. Edizione delle </w:t>
          </w:r>
          <w:r w:rsidR="00CB30AE" w:rsidRPr="00317679">
            <w:rPr>
              <w:rFonts w:ascii="Times New Roman" w:hAnsi="Times New Roman"/>
              <w:i/>
              <w:sz w:val="24"/>
              <w:szCs w:val="24"/>
            </w:rPr>
            <w:t>Nuptiae illustrissimi Ducis Mediolani</w:t>
          </w:r>
          <w:r w:rsidR="00CB30AE" w:rsidRPr="00317679">
            <w:rPr>
              <w:rFonts w:ascii="Times New Roman" w:hAnsi="Times New Roman"/>
              <w:sz w:val="24"/>
              <w:szCs w:val="24"/>
            </w:rPr>
            <w:t xml:space="preserve"> di Stefano Dolcino</w:t>
          </w:r>
          <w:r w:rsidRPr="00317679">
            <w:rPr>
              <w:rFonts w:ascii="Times New Roman" w:hAnsi="Times New Roman"/>
              <w:sz w:val="24"/>
              <w:szCs w:val="24"/>
            </w:rPr>
            <w:ptab w:relativeTo="margin" w:alignment="right" w:leader="dot"/>
          </w:r>
          <w:r w:rsidR="00B25460">
            <w:rPr>
              <w:rFonts w:ascii="Times New Roman" w:hAnsi="Times New Roman"/>
              <w:sz w:val="24"/>
              <w:szCs w:val="24"/>
            </w:rPr>
            <w:t>3</w:t>
          </w:r>
          <w:r w:rsidR="00DB356E">
            <w:rPr>
              <w:rFonts w:ascii="Times New Roman" w:hAnsi="Times New Roman"/>
              <w:sz w:val="24"/>
              <w:szCs w:val="24"/>
            </w:rPr>
            <w:t>43</w:t>
          </w:r>
        </w:p>
        <w:p w14:paraId="0F803AB4" w14:textId="77777777" w:rsidR="00FA76AD" w:rsidRPr="00317679" w:rsidRDefault="00FA76AD" w:rsidP="00FA76AD">
          <w:pPr>
            <w:spacing w:after="0" w:line="360" w:lineRule="auto"/>
            <w:jc w:val="both"/>
            <w:rPr>
              <w:rFonts w:ascii="Times New Roman" w:hAnsi="Times New Roman" w:cs="Times New Roman"/>
              <w:sz w:val="24"/>
              <w:szCs w:val="24"/>
            </w:rPr>
          </w:pPr>
          <w:r w:rsidRPr="00317679">
            <w:rPr>
              <w:rFonts w:ascii="Times New Roman" w:hAnsi="Times New Roman" w:cs="Times New Roman"/>
              <w:sz w:val="24"/>
              <w:szCs w:val="24"/>
            </w:rPr>
            <w:t xml:space="preserve">     </w:t>
          </w:r>
          <w:r w:rsidR="00CB30AE" w:rsidRPr="00317679">
            <w:rPr>
              <w:rFonts w:ascii="Times New Roman" w:hAnsi="Times New Roman" w:cs="Times New Roman"/>
              <w:sz w:val="24"/>
              <w:szCs w:val="24"/>
            </w:rPr>
            <w:t>Appendice III. Una ricognizione documentaria. L’archivio sforzesco della BnF</w:t>
          </w:r>
          <w:r w:rsidRPr="00317679">
            <w:rPr>
              <w:rFonts w:ascii="Times New Roman" w:hAnsi="Times New Roman" w:cs="Times New Roman"/>
              <w:sz w:val="24"/>
              <w:szCs w:val="24"/>
            </w:rPr>
            <w:ptab w:relativeTo="margin" w:alignment="right" w:leader="dot"/>
          </w:r>
          <w:r w:rsidR="00B25460">
            <w:rPr>
              <w:rFonts w:ascii="Times New Roman" w:hAnsi="Times New Roman" w:cs="Times New Roman"/>
              <w:sz w:val="24"/>
              <w:szCs w:val="24"/>
            </w:rPr>
            <w:t>38</w:t>
          </w:r>
          <w:r w:rsidR="006131D4">
            <w:rPr>
              <w:rFonts w:ascii="Times New Roman" w:hAnsi="Times New Roman" w:cs="Times New Roman"/>
              <w:sz w:val="24"/>
              <w:szCs w:val="24"/>
            </w:rPr>
            <w:t>5</w:t>
          </w:r>
        </w:p>
        <w:p w14:paraId="4558B307" w14:textId="77777777" w:rsidR="00E51CE5" w:rsidRDefault="00E51CE5" w:rsidP="00FA76AD">
          <w:pPr>
            <w:jc w:val="both"/>
            <w:rPr>
              <w:rFonts w:ascii="Times New Roman" w:hAnsi="Times New Roman" w:cs="Times New Roman"/>
              <w:sz w:val="24"/>
              <w:szCs w:val="24"/>
            </w:rPr>
          </w:pPr>
        </w:p>
        <w:p w14:paraId="76D8F0C0" w14:textId="77777777" w:rsidR="00FA76AD" w:rsidRDefault="00CB30AE" w:rsidP="00FA76AD">
          <w:pPr>
            <w:jc w:val="both"/>
            <w:rPr>
              <w:rFonts w:ascii="Times New Roman" w:hAnsi="Times New Roman" w:cs="Times New Roman"/>
              <w:sz w:val="24"/>
              <w:szCs w:val="24"/>
            </w:rPr>
          </w:pPr>
          <w:r w:rsidRPr="00317679">
            <w:rPr>
              <w:rFonts w:ascii="Times New Roman" w:hAnsi="Times New Roman" w:cs="Times New Roman"/>
              <w:smallCaps/>
              <w:sz w:val="24"/>
              <w:szCs w:val="24"/>
            </w:rPr>
            <w:t>Bibliografia</w:t>
          </w:r>
          <w:r w:rsidRPr="00317679">
            <w:rPr>
              <w:rFonts w:ascii="Times New Roman" w:hAnsi="Times New Roman" w:cs="Times New Roman"/>
              <w:sz w:val="24"/>
              <w:szCs w:val="24"/>
            </w:rPr>
            <w:t xml:space="preserve"> </w:t>
          </w:r>
          <w:r w:rsidR="00FA76AD" w:rsidRPr="00317679">
            <w:rPr>
              <w:rFonts w:ascii="Times New Roman" w:hAnsi="Times New Roman" w:cs="Times New Roman"/>
              <w:sz w:val="24"/>
              <w:szCs w:val="24"/>
            </w:rPr>
            <w:ptab w:relativeTo="margin" w:alignment="right" w:leader="dot"/>
          </w:r>
          <w:r w:rsidR="00B25460">
            <w:rPr>
              <w:rFonts w:ascii="Times New Roman" w:hAnsi="Times New Roman" w:cs="Times New Roman"/>
              <w:sz w:val="24"/>
              <w:szCs w:val="24"/>
            </w:rPr>
            <w:t>4</w:t>
          </w:r>
          <w:r w:rsidR="006131D4">
            <w:rPr>
              <w:rFonts w:ascii="Times New Roman" w:hAnsi="Times New Roman" w:cs="Times New Roman"/>
              <w:sz w:val="24"/>
              <w:szCs w:val="24"/>
            </w:rPr>
            <w:t>13</w:t>
          </w:r>
        </w:p>
        <w:p w14:paraId="7B98F473" w14:textId="77777777" w:rsidR="00E51CE5" w:rsidRDefault="00E51CE5" w:rsidP="00945026">
          <w:pPr>
            <w:jc w:val="both"/>
            <w:rPr>
              <w:rFonts w:ascii="Times New Roman" w:hAnsi="Times New Roman" w:cs="Times New Roman"/>
              <w:smallCaps/>
              <w:sz w:val="24"/>
              <w:szCs w:val="24"/>
            </w:rPr>
          </w:pPr>
        </w:p>
        <w:p w14:paraId="35E6E5FA" w14:textId="77777777" w:rsidR="00945026" w:rsidRPr="00317679" w:rsidRDefault="00945026" w:rsidP="00945026">
          <w:pPr>
            <w:jc w:val="both"/>
            <w:rPr>
              <w:rFonts w:ascii="Times New Roman" w:hAnsi="Times New Roman" w:cs="Times New Roman"/>
              <w:sz w:val="24"/>
              <w:szCs w:val="24"/>
            </w:rPr>
          </w:pPr>
          <w:r>
            <w:rPr>
              <w:rFonts w:ascii="Times New Roman" w:hAnsi="Times New Roman" w:cs="Times New Roman"/>
              <w:smallCaps/>
              <w:sz w:val="24"/>
              <w:szCs w:val="24"/>
            </w:rPr>
            <w:t>Allegato. Fonti iconografiche</w:t>
          </w:r>
          <w:r w:rsidRPr="00317679">
            <w:rPr>
              <w:rFonts w:ascii="Times New Roman" w:hAnsi="Times New Roman" w:cs="Times New Roman"/>
              <w:sz w:val="24"/>
              <w:szCs w:val="24"/>
            </w:rPr>
            <w:t xml:space="preserve"> </w:t>
          </w:r>
          <w:r w:rsidRPr="00317679">
            <w:rPr>
              <w:rFonts w:ascii="Times New Roman" w:hAnsi="Times New Roman" w:cs="Times New Roman"/>
              <w:sz w:val="24"/>
              <w:szCs w:val="24"/>
            </w:rPr>
            <w:ptab w:relativeTo="margin" w:alignment="right" w:leader="dot"/>
          </w:r>
          <w:r w:rsidR="008C5711">
            <w:rPr>
              <w:rFonts w:ascii="Times New Roman" w:hAnsi="Times New Roman" w:cs="Times New Roman"/>
              <w:sz w:val="24"/>
              <w:szCs w:val="24"/>
            </w:rPr>
            <w:t>4</w:t>
          </w:r>
          <w:r w:rsidR="006131D4">
            <w:rPr>
              <w:rFonts w:ascii="Times New Roman" w:hAnsi="Times New Roman" w:cs="Times New Roman"/>
              <w:sz w:val="24"/>
              <w:szCs w:val="24"/>
            </w:rPr>
            <w:t>51</w:t>
          </w:r>
        </w:p>
        <w:p w14:paraId="76116795" w14:textId="77777777" w:rsidR="00945026" w:rsidRDefault="00945026" w:rsidP="00FA76AD">
          <w:pPr>
            <w:jc w:val="both"/>
            <w:rPr>
              <w:rFonts w:ascii="Times New Roman" w:hAnsi="Times New Roman" w:cs="Times New Roman"/>
              <w:sz w:val="24"/>
              <w:szCs w:val="24"/>
            </w:rPr>
          </w:pPr>
        </w:p>
        <w:p w14:paraId="14BFAF13" w14:textId="77777777" w:rsidR="00F84045" w:rsidRPr="00317679" w:rsidRDefault="00F84045" w:rsidP="00FA76AD">
          <w:pPr>
            <w:jc w:val="both"/>
            <w:rPr>
              <w:rFonts w:ascii="Times New Roman" w:hAnsi="Times New Roman" w:cs="Times New Roman"/>
              <w:sz w:val="24"/>
              <w:szCs w:val="24"/>
            </w:rPr>
          </w:pPr>
          <w:r>
            <w:rPr>
              <w:rFonts w:ascii="Times New Roman" w:hAnsi="Times New Roman" w:cs="Times New Roman"/>
              <w:smallCaps/>
              <w:sz w:val="24"/>
              <w:szCs w:val="24"/>
            </w:rPr>
            <w:t>Indice dei nomi</w:t>
          </w:r>
          <w:r w:rsidRPr="00317679">
            <w:rPr>
              <w:rFonts w:ascii="Times New Roman" w:hAnsi="Times New Roman" w:cs="Times New Roman"/>
              <w:sz w:val="24"/>
              <w:szCs w:val="24"/>
            </w:rPr>
            <w:t xml:space="preserve"> </w:t>
          </w:r>
          <w:r w:rsidRPr="00317679">
            <w:rPr>
              <w:rFonts w:ascii="Times New Roman" w:hAnsi="Times New Roman" w:cs="Times New Roman"/>
              <w:sz w:val="24"/>
              <w:szCs w:val="24"/>
            </w:rPr>
            <w:ptab w:relativeTo="margin" w:alignment="right" w:leader="dot"/>
          </w:r>
          <w:r w:rsidR="00944163">
            <w:rPr>
              <w:rFonts w:ascii="Times New Roman" w:hAnsi="Times New Roman" w:cs="Times New Roman"/>
              <w:sz w:val="24"/>
              <w:szCs w:val="24"/>
            </w:rPr>
            <w:t>507</w:t>
          </w:r>
        </w:p>
        <w:p w14:paraId="18AC2DC4" w14:textId="77777777" w:rsidR="00D74A82" w:rsidRPr="00D74A82" w:rsidRDefault="00D74A82" w:rsidP="00D74A82">
          <w:pPr>
            <w:rPr>
              <w:lang w:eastAsia="it-IT"/>
            </w:rPr>
          </w:pPr>
        </w:p>
        <w:p w14:paraId="20648515" w14:textId="77777777" w:rsidR="00D74A82" w:rsidRPr="00D74A82" w:rsidRDefault="00D74A82" w:rsidP="00D74A82">
          <w:pPr>
            <w:rPr>
              <w:lang w:eastAsia="it-IT"/>
            </w:rPr>
          </w:pPr>
        </w:p>
        <w:p w14:paraId="4B52380A" w14:textId="77777777" w:rsidR="00D74A82" w:rsidRDefault="00D74A82" w:rsidP="00D74A82">
          <w:pPr>
            <w:rPr>
              <w:lang w:eastAsia="it-IT"/>
            </w:rPr>
          </w:pPr>
        </w:p>
        <w:p w14:paraId="2C3CC76D" w14:textId="77777777" w:rsidR="003B622F" w:rsidRPr="00D74A82" w:rsidRDefault="007C62AF" w:rsidP="00D74A82">
          <w:pPr>
            <w:rPr>
              <w:lang w:eastAsia="it-IT"/>
            </w:rPr>
          </w:pPr>
        </w:p>
      </w:sdtContent>
    </w:sdt>
    <w:p w14:paraId="32BB7ABD" w14:textId="77777777" w:rsidR="00C4421F" w:rsidRDefault="00C4421F" w:rsidP="00C67E37">
      <w:pPr>
        <w:spacing w:after="0" w:line="360" w:lineRule="auto"/>
        <w:rPr>
          <w:rFonts w:ascii="Times New Roman" w:hAnsi="Times New Roman" w:cs="Times New Roman"/>
          <w:smallCaps/>
          <w:sz w:val="24"/>
          <w:szCs w:val="24"/>
        </w:rPr>
      </w:pPr>
    </w:p>
    <w:p w14:paraId="5D606BD7" w14:textId="77777777" w:rsidR="00317679" w:rsidRDefault="00317679" w:rsidP="002A0B98">
      <w:pPr>
        <w:spacing w:line="259" w:lineRule="auto"/>
        <w:rPr>
          <w:rFonts w:ascii="Times New Roman" w:hAnsi="Times New Roman" w:cs="Times New Roman"/>
          <w:smallCaps/>
          <w:sz w:val="24"/>
          <w:szCs w:val="24"/>
        </w:rPr>
      </w:pPr>
      <w:r>
        <w:rPr>
          <w:rFonts w:ascii="Times New Roman" w:hAnsi="Times New Roman" w:cs="Times New Roman"/>
          <w:smallCaps/>
          <w:sz w:val="24"/>
          <w:szCs w:val="24"/>
        </w:rPr>
        <w:br w:type="page"/>
      </w:r>
    </w:p>
    <w:p w14:paraId="5716065F" w14:textId="77777777" w:rsidR="00E15276" w:rsidRDefault="00E15276" w:rsidP="00E15276">
      <w:pPr>
        <w:spacing w:after="0" w:line="360" w:lineRule="auto"/>
        <w:ind w:firstLine="397"/>
        <w:jc w:val="center"/>
        <w:rPr>
          <w:rFonts w:ascii="Times New Roman" w:hAnsi="Times New Roman" w:cs="Times New Roman"/>
          <w:smallCaps/>
          <w:sz w:val="24"/>
          <w:szCs w:val="24"/>
        </w:rPr>
      </w:pPr>
      <w:r>
        <w:rPr>
          <w:rFonts w:ascii="Times New Roman" w:hAnsi="Times New Roman" w:cs="Times New Roman"/>
          <w:smallCaps/>
          <w:sz w:val="24"/>
          <w:szCs w:val="24"/>
        </w:rPr>
        <w:lastRenderedPageBreak/>
        <w:t>Introduzione</w:t>
      </w:r>
    </w:p>
    <w:p w14:paraId="02FF609A" w14:textId="77777777" w:rsidR="00E15276" w:rsidRDefault="00E15276" w:rsidP="00E15276">
      <w:pPr>
        <w:spacing w:after="0" w:line="360" w:lineRule="auto"/>
        <w:ind w:firstLine="397"/>
        <w:jc w:val="both"/>
        <w:rPr>
          <w:rFonts w:ascii="Times New Roman" w:hAnsi="Times New Roman" w:cs="Times New Roman"/>
          <w:sz w:val="24"/>
          <w:szCs w:val="24"/>
        </w:rPr>
      </w:pPr>
    </w:p>
    <w:p w14:paraId="1A29B19D" w14:textId="77777777" w:rsidR="00E15276" w:rsidRDefault="00E15276" w:rsidP="00E15276">
      <w:pPr>
        <w:spacing w:after="0" w:line="360" w:lineRule="auto"/>
        <w:ind w:firstLine="397"/>
        <w:jc w:val="both"/>
        <w:rPr>
          <w:rFonts w:ascii="Times New Roman" w:hAnsi="Times New Roman" w:cs="Times New Roman"/>
          <w:sz w:val="24"/>
          <w:szCs w:val="24"/>
        </w:rPr>
      </w:pPr>
    </w:p>
    <w:p w14:paraId="4C8F9A52" w14:textId="77777777" w:rsidR="00E15276" w:rsidRDefault="00E15276" w:rsidP="00E152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festa nuziale costituisce un tema di ricerca interessante per gli studiosi delle culture della rappresentazione rinascimentale. All’insieme delle celebrazioni e degli apparati decorativi urbani per l’accoglienza degli sposi spettava, infatti, il compito di rendere esplicite le alleanze intercorrenti tra le famiglie del patriziato cittadino o tra le case regnanti di diversi stati italiani</w:t>
      </w:r>
      <w:r w:rsidR="00407580">
        <w:rPr>
          <w:rFonts w:ascii="Times New Roman" w:hAnsi="Times New Roman" w:cs="Times New Roman"/>
          <w:sz w:val="24"/>
          <w:szCs w:val="24"/>
        </w:rPr>
        <w:t xml:space="preserve"> e stranieri</w:t>
      </w:r>
      <w:r>
        <w:rPr>
          <w:rFonts w:ascii="Times New Roman" w:hAnsi="Times New Roman" w:cs="Times New Roman"/>
          <w:sz w:val="24"/>
          <w:szCs w:val="24"/>
        </w:rPr>
        <w:t>, oltre che di esprimere visivamente il potere del principe sulla propria città. L’obiettivo richiedeva sovente l’ingaggio di artisti, di musici e di maestranze artigiane che della progettazione delle feste avevano fatto un personale punto di forza professionale, tanto da essere contesi dalle corti dal gusto teatrale più aggiornato e da permettere</w:t>
      </w:r>
      <w:r w:rsidR="00106BB8">
        <w:rPr>
          <w:rFonts w:ascii="Times New Roman" w:hAnsi="Times New Roman" w:cs="Times New Roman"/>
          <w:sz w:val="24"/>
          <w:szCs w:val="24"/>
        </w:rPr>
        <w:t xml:space="preserve"> con </w:t>
      </w:r>
      <w:r>
        <w:rPr>
          <w:rFonts w:ascii="Times New Roman" w:hAnsi="Times New Roman" w:cs="Times New Roman"/>
          <w:sz w:val="24"/>
          <w:szCs w:val="24"/>
        </w:rPr>
        <w:t>i loro spostamenti la circolazione di saperi e di forme diverse dello spettacolo.</w:t>
      </w:r>
      <w:r>
        <w:rPr>
          <w:rStyle w:val="Rimandonotaapidipagina"/>
          <w:rFonts w:ascii="Times New Roman" w:hAnsi="Times New Roman" w:cs="Times New Roman"/>
          <w:sz w:val="24"/>
          <w:szCs w:val="24"/>
        </w:rPr>
        <w:footnoteReference w:id="1"/>
      </w:r>
      <w:r>
        <w:rPr>
          <w:rFonts w:ascii="Times New Roman" w:hAnsi="Times New Roman" w:cs="Times New Roman"/>
          <w:sz w:val="24"/>
          <w:szCs w:val="24"/>
        </w:rPr>
        <w:t xml:space="preserve">  </w:t>
      </w:r>
    </w:p>
    <w:p w14:paraId="3C2014CE"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passaggio per la Penisola della macchina trionfale che tra il maggio e il giugno del 1473 accompagnò Eleonora d’Aragona, sposa di Ercole I d’Este, da Napoli a Ferrara, con soste a Roma, Siena e Firenze, illustra bene come le forme delle celebrazioni si declinassero sulla base delle differenze dei sistemi politici delle città coinvolte: allo sfarzo tardogotico delle cerimonie della corte aragonese, fece seguito, a Roma, il gusto umanisticamente aggiornato del ricevimento del cardinal Pietro Riario; mentre </w:t>
      </w:r>
      <w:r w:rsidR="00475A69">
        <w:rPr>
          <w:rFonts w:ascii="Times New Roman" w:hAnsi="Times New Roman" w:cs="Times New Roman"/>
          <w:sz w:val="24"/>
          <w:szCs w:val="24"/>
        </w:rPr>
        <w:t xml:space="preserve">furono </w:t>
      </w:r>
      <w:r>
        <w:rPr>
          <w:rFonts w:ascii="Times New Roman" w:hAnsi="Times New Roman" w:cs="Times New Roman"/>
          <w:sz w:val="24"/>
          <w:szCs w:val="24"/>
        </w:rPr>
        <w:t>domestic</w:t>
      </w:r>
      <w:r w:rsidR="00002C03">
        <w:rPr>
          <w:rFonts w:ascii="Times New Roman" w:hAnsi="Times New Roman" w:cs="Times New Roman"/>
          <w:sz w:val="24"/>
          <w:szCs w:val="24"/>
        </w:rPr>
        <w:t>he</w:t>
      </w:r>
      <w:r>
        <w:rPr>
          <w:rFonts w:ascii="Times New Roman" w:hAnsi="Times New Roman" w:cs="Times New Roman"/>
          <w:sz w:val="24"/>
          <w:szCs w:val="24"/>
        </w:rPr>
        <w:t xml:space="preserve"> e borghes</w:t>
      </w:r>
      <w:r w:rsidR="00002C03">
        <w:rPr>
          <w:rFonts w:ascii="Times New Roman" w:hAnsi="Times New Roman" w:cs="Times New Roman"/>
          <w:sz w:val="24"/>
          <w:szCs w:val="24"/>
        </w:rPr>
        <w:t>i</w:t>
      </w:r>
      <w:r>
        <w:rPr>
          <w:rFonts w:ascii="Times New Roman" w:hAnsi="Times New Roman" w:cs="Times New Roman"/>
          <w:sz w:val="24"/>
          <w:szCs w:val="24"/>
        </w:rPr>
        <w:t xml:space="preserve"> l</w:t>
      </w:r>
      <w:r w:rsidR="00002C03">
        <w:rPr>
          <w:rFonts w:ascii="Times New Roman" w:hAnsi="Times New Roman" w:cs="Times New Roman"/>
          <w:sz w:val="24"/>
          <w:szCs w:val="24"/>
        </w:rPr>
        <w:t xml:space="preserve">e </w:t>
      </w:r>
      <w:r>
        <w:rPr>
          <w:rFonts w:ascii="Times New Roman" w:hAnsi="Times New Roman" w:cs="Times New Roman"/>
          <w:sz w:val="24"/>
          <w:szCs w:val="24"/>
        </w:rPr>
        <w:t>ospitalità del Comune di Siena, con il ballo e la fontana zampillante vino predisposti innanzi a casa Pecci, e della Signoria di Firenze, che ricevette la sposa e la onorò nel corso dei festeggiamenti patronali per san Giovanni Battista.</w:t>
      </w:r>
    </w:p>
    <w:p w14:paraId="35CAF495"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Le descrizioni dei banchetti e degli spettacoli realizzati per questo matrimonio sono tramandate da un’ampia varietà di scritture: lettere della stessa Eleonora e dei membri del suo corteo</w:t>
      </w:r>
      <w:r w:rsidR="00B158C3">
        <w:rPr>
          <w:rFonts w:ascii="Times New Roman" w:hAnsi="Times New Roman" w:cs="Times New Roman"/>
          <w:sz w:val="24"/>
          <w:szCs w:val="24"/>
        </w:rPr>
        <w:t>;</w:t>
      </w:r>
      <w:r>
        <w:rPr>
          <w:rFonts w:ascii="Times New Roman" w:hAnsi="Times New Roman" w:cs="Times New Roman"/>
          <w:sz w:val="24"/>
          <w:szCs w:val="24"/>
        </w:rPr>
        <w:t xml:space="preserve"> missive degli ambasciatori del duca di Ferrara</w:t>
      </w:r>
      <w:r w:rsidR="00B158C3">
        <w:rPr>
          <w:rFonts w:ascii="Times New Roman" w:hAnsi="Times New Roman" w:cs="Times New Roman"/>
          <w:sz w:val="24"/>
          <w:szCs w:val="24"/>
        </w:rPr>
        <w:t>;</w:t>
      </w:r>
      <w:r>
        <w:rPr>
          <w:rFonts w:ascii="Times New Roman" w:hAnsi="Times New Roman" w:cs="Times New Roman"/>
          <w:sz w:val="24"/>
          <w:szCs w:val="24"/>
        </w:rPr>
        <w:t xml:space="preserve"> poemetti encomiastici</w:t>
      </w:r>
      <w:r w:rsidR="00B158C3">
        <w:rPr>
          <w:rFonts w:ascii="Times New Roman" w:hAnsi="Times New Roman" w:cs="Times New Roman"/>
          <w:sz w:val="24"/>
          <w:szCs w:val="24"/>
        </w:rPr>
        <w:t>;</w:t>
      </w:r>
      <w:r>
        <w:rPr>
          <w:rFonts w:ascii="Times New Roman" w:hAnsi="Times New Roman" w:cs="Times New Roman"/>
          <w:sz w:val="24"/>
          <w:szCs w:val="24"/>
        </w:rPr>
        <w:t xml:space="preserve"> diari e cronache cittadine.</w:t>
      </w:r>
      <w:r>
        <w:rPr>
          <w:rStyle w:val="Rimandonotaapidipagina"/>
          <w:rFonts w:ascii="Times New Roman" w:hAnsi="Times New Roman" w:cs="Times New Roman"/>
          <w:sz w:val="24"/>
          <w:szCs w:val="24"/>
        </w:rPr>
        <w:footnoteReference w:id="2"/>
      </w:r>
      <w:r>
        <w:rPr>
          <w:rFonts w:ascii="Times New Roman" w:hAnsi="Times New Roman" w:cs="Times New Roman"/>
          <w:sz w:val="24"/>
          <w:szCs w:val="24"/>
        </w:rPr>
        <w:t xml:space="preserve"> La lettura comparata di questi testi – caratterizzati dalle diversità di cultura e di </w:t>
      </w:r>
      <w:r>
        <w:rPr>
          <w:rFonts w:ascii="Times New Roman" w:hAnsi="Times New Roman" w:cs="Times New Roman"/>
          <w:sz w:val="24"/>
          <w:szCs w:val="24"/>
        </w:rPr>
        <w:lastRenderedPageBreak/>
        <w:t xml:space="preserve">sensibilità dei loro estensori – dà accesso a una pluralità di punti di vista sugli eventi indispensabile per un’ermeneutica della festa che voglia coglierne l’idea strutturante, il modello ideale d’ispirazione e il messaggio trasmesso al pubblico degli spettatori coinvolti. </w:t>
      </w:r>
    </w:p>
    <w:p w14:paraId="4615D87D"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Data la natura effimera delle forme dello spettacolo, le parole con cui i contemporanei riferirono dei festeggiamenti andranno assunte come strumento interpretativo primario, oltre che documentario, dell’importanza di simili celebrazioni per l’elaborazione della cultura teatrale italiana.</w:t>
      </w:r>
      <w:r>
        <w:rPr>
          <w:rStyle w:val="Rimandonotaapidipagina"/>
          <w:rFonts w:ascii="Times New Roman" w:hAnsi="Times New Roman" w:cs="Times New Roman"/>
          <w:sz w:val="24"/>
          <w:szCs w:val="24"/>
        </w:rPr>
        <w:footnoteReference w:id="3"/>
      </w:r>
      <w:r>
        <w:rPr>
          <w:rFonts w:ascii="Times New Roman" w:hAnsi="Times New Roman" w:cs="Times New Roman"/>
          <w:sz w:val="24"/>
          <w:szCs w:val="24"/>
        </w:rPr>
        <w:t xml:space="preserve"> Si potrà così valutare in un’ottica più precisa, ad esempio, come l’apparato predisposto a Roma per il banchetto nuziale della principessa aragonese, del quale il cronista Stefano Infessura descrisse dettagliatamente le logge posticce in legno, la fontana provvisoria e l’ampio velario che ricoprì tutta la Piazza Santi Apostoli, potesse divenire allo sguardo sintetico d</w:t>
      </w:r>
      <w:r w:rsidR="00106BB8">
        <w:rPr>
          <w:rFonts w:ascii="Times New Roman" w:hAnsi="Times New Roman" w:cs="Times New Roman"/>
          <w:sz w:val="24"/>
          <w:szCs w:val="24"/>
        </w:rPr>
        <w:t>el dotto</w:t>
      </w:r>
      <w:r>
        <w:rPr>
          <w:rFonts w:ascii="Times New Roman" w:hAnsi="Times New Roman" w:cs="Times New Roman"/>
          <w:sz w:val="24"/>
          <w:szCs w:val="24"/>
        </w:rPr>
        <w:t xml:space="preserve"> Emilio Boccabella il bellissimo </w:t>
      </w:r>
      <w:r>
        <w:rPr>
          <w:rFonts w:ascii="Times New Roman" w:hAnsi="Times New Roman" w:cs="Times New Roman"/>
          <w:i/>
          <w:sz w:val="24"/>
          <w:szCs w:val="24"/>
        </w:rPr>
        <w:t>theatrum</w:t>
      </w:r>
      <w:r>
        <w:rPr>
          <w:rFonts w:ascii="Times New Roman" w:hAnsi="Times New Roman" w:cs="Times New Roman"/>
          <w:sz w:val="24"/>
          <w:szCs w:val="24"/>
        </w:rPr>
        <w:t xml:space="preserve"> delle celebrazioni cantato nel suo poema sullo sposalizio.   </w:t>
      </w:r>
    </w:p>
    <w:p w14:paraId="4F1EFD83"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P</w:t>
      </w:r>
      <w:r w:rsidR="00106BB8">
        <w:rPr>
          <w:rFonts w:ascii="Times New Roman" w:hAnsi="Times New Roman" w:cs="Times New Roman"/>
          <w:sz w:val="24"/>
          <w:szCs w:val="24"/>
        </w:rPr>
        <w:t>r</w:t>
      </w:r>
      <w:r>
        <w:rPr>
          <w:rFonts w:ascii="Times New Roman" w:hAnsi="Times New Roman" w:cs="Times New Roman"/>
          <w:sz w:val="24"/>
          <w:szCs w:val="24"/>
        </w:rPr>
        <w:t>oprio la critica e il confronto tra le fonti, ossia una lettura comparata e non gerarchizzata dei diversi documenti sulle feste nuziali rinascimentali, sono stati scelti come fondamento delle mie ricerche, che ho condotto con quanta più attenzione fosse possibile ai differenti contesti sociali e culturali di produzione delle testimonianze, con l’ambizione di riuscire a riannodare le fila della rete di relazioni tra artisti, letterati, performers e nobili mecenati che furono protagonisti degli spettacoli e delle cerimonie dinastiche ed egualmente delle vicende che determinarono la loro registrazione documentale.</w:t>
      </w:r>
      <w:r>
        <w:rPr>
          <w:rStyle w:val="Rimandonotaapidipagina"/>
          <w:rFonts w:ascii="Times New Roman" w:hAnsi="Times New Roman" w:cs="Times New Roman"/>
          <w:sz w:val="24"/>
          <w:szCs w:val="24"/>
        </w:rPr>
        <w:footnoteReference w:id="4"/>
      </w:r>
      <w:r>
        <w:rPr>
          <w:rFonts w:ascii="Times New Roman" w:hAnsi="Times New Roman" w:cs="Times New Roman"/>
          <w:sz w:val="24"/>
          <w:szCs w:val="24"/>
        </w:rPr>
        <w:t xml:space="preserve"> </w:t>
      </w:r>
    </w:p>
    <w:p w14:paraId="72F07D14" w14:textId="77777777" w:rsidR="00622FD7" w:rsidRDefault="00E15276" w:rsidP="00622FD7">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partecipazione effettiva degli autori delle cronache ai fatti narrati consente di distinguere le testimonianze scritte tra fonti dirette, come le lettere dei membri del corteo che accompagnò la novella duchessa di Ferrara nel suo viaggio; e indirette, come l’esaltazione delle nozze bolognesi, nel gennaio del 1487, tra Annibale II Bentivoglio e Lucrezia d’Este, affidata al </w:t>
      </w:r>
      <w:r>
        <w:rPr>
          <w:rFonts w:ascii="Times New Roman" w:hAnsi="Times New Roman" w:cs="Times New Roman"/>
          <w:i/>
          <w:sz w:val="24"/>
          <w:szCs w:val="24"/>
        </w:rPr>
        <w:t xml:space="preserve">Carmen Nuptiale </w:t>
      </w:r>
      <w:r>
        <w:rPr>
          <w:rFonts w:ascii="Times New Roman" w:hAnsi="Times New Roman" w:cs="Times New Roman"/>
          <w:sz w:val="24"/>
          <w:szCs w:val="24"/>
        </w:rPr>
        <w:t xml:space="preserve">del poeta fiorentino Naldo Naldi, </w:t>
      </w:r>
      <w:r w:rsidR="00322BA0">
        <w:rPr>
          <w:rFonts w:ascii="Times New Roman" w:hAnsi="Times New Roman" w:cs="Times New Roman"/>
          <w:sz w:val="24"/>
          <w:szCs w:val="24"/>
        </w:rPr>
        <w:t xml:space="preserve">che non vi aveva assistito, </w:t>
      </w:r>
      <w:r>
        <w:rPr>
          <w:rFonts w:ascii="Times New Roman" w:hAnsi="Times New Roman" w:cs="Times New Roman"/>
          <w:sz w:val="24"/>
          <w:szCs w:val="24"/>
        </w:rPr>
        <w:t xml:space="preserve">scritto per volere di Lorenzo de’ Medici un anno dopo le celebrazioni. </w:t>
      </w:r>
    </w:p>
    <w:p w14:paraId="0EFB5717" w14:textId="77777777" w:rsidR="00E15276" w:rsidRDefault="00622FD7" w:rsidP="00622FD7">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C</w:t>
      </w:r>
      <w:r w:rsidR="00E15276">
        <w:rPr>
          <w:rFonts w:ascii="Times New Roman" w:hAnsi="Times New Roman" w:cs="Times New Roman"/>
          <w:sz w:val="24"/>
          <w:szCs w:val="24"/>
        </w:rPr>
        <w:t>onsidera</w:t>
      </w:r>
      <w:r>
        <w:rPr>
          <w:rFonts w:ascii="Times New Roman" w:hAnsi="Times New Roman" w:cs="Times New Roman"/>
          <w:sz w:val="24"/>
          <w:szCs w:val="24"/>
        </w:rPr>
        <w:t>ndo invece</w:t>
      </w:r>
      <w:r w:rsidR="00E15276">
        <w:rPr>
          <w:rFonts w:ascii="Times New Roman" w:hAnsi="Times New Roman" w:cs="Times New Roman"/>
          <w:sz w:val="24"/>
          <w:szCs w:val="24"/>
        </w:rPr>
        <w:t xml:space="preserve"> l’aspetto della committenza o</w:t>
      </w:r>
      <w:r w:rsidR="00322BA0">
        <w:rPr>
          <w:rFonts w:ascii="Times New Roman" w:hAnsi="Times New Roman" w:cs="Times New Roman"/>
          <w:sz w:val="24"/>
          <w:szCs w:val="24"/>
        </w:rPr>
        <w:t>,</w:t>
      </w:r>
      <w:r w:rsidR="00E15276">
        <w:rPr>
          <w:rFonts w:ascii="Times New Roman" w:hAnsi="Times New Roman" w:cs="Times New Roman"/>
          <w:sz w:val="24"/>
          <w:szCs w:val="24"/>
        </w:rPr>
        <w:t xml:space="preserve"> quanto meno</w:t>
      </w:r>
      <w:r w:rsidR="00322BA0">
        <w:rPr>
          <w:rFonts w:ascii="Times New Roman" w:hAnsi="Times New Roman" w:cs="Times New Roman"/>
          <w:sz w:val="24"/>
          <w:szCs w:val="24"/>
        </w:rPr>
        <w:t>,</w:t>
      </w:r>
      <w:r w:rsidR="00E15276">
        <w:rPr>
          <w:rFonts w:ascii="Times New Roman" w:hAnsi="Times New Roman" w:cs="Times New Roman"/>
          <w:sz w:val="24"/>
          <w:szCs w:val="24"/>
        </w:rPr>
        <w:t xml:space="preserve"> del patrocinio dei principi alla composizione di </w:t>
      </w:r>
      <w:r w:rsidR="006E4267">
        <w:rPr>
          <w:rFonts w:ascii="Times New Roman" w:hAnsi="Times New Roman" w:cs="Times New Roman"/>
          <w:sz w:val="24"/>
          <w:szCs w:val="24"/>
        </w:rPr>
        <w:t>opere</w:t>
      </w:r>
      <w:r w:rsidR="00E15276">
        <w:rPr>
          <w:rFonts w:ascii="Times New Roman" w:hAnsi="Times New Roman" w:cs="Times New Roman"/>
          <w:sz w:val="24"/>
          <w:szCs w:val="24"/>
        </w:rPr>
        <w:t xml:space="preserve"> </w:t>
      </w:r>
      <w:r>
        <w:rPr>
          <w:rFonts w:ascii="Times New Roman" w:hAnsi="Times New Roman" w:cs="Times New Roman"/>
          <w:sz w:val="24"/>
          <w:szCs w:val="24"/>
        </w:rPr>
        <w:t>letterari</w:t>
      </w:r>
      <w:r w:rsidR="006E4267">
        <w:rPr>
          <w:rFonts w:ascii="Times New Roman" w:hAnsi="Times New Roman" w:cs="Times New Roman"/>
          <w:sz w:val="24"/>
          <w:szCs w:val="24"/>
        </w:rPr>
        <w:t>e</w:t>
      </w:r>
      <w:r>
        <w:rPr>
          <w:rFonts w:ascii="Times New Roman" w:hAnsi="Times New Roman" w:cs="Times New Roman"/>
          <w:sz w:val="24"/>
          <w:szCs w:val="24"/>
        </w:rPr>
        <w:t xml:space="preserve"> </w:t>
      </w:r>
      <w:r w:rsidR="00865482">
        <w:rPr>
          <w:rFonts w:ascii="Times New Roman" w:hAnsi="Times New Roman" w:cs="Times New Roman"/>
          <w:sz w:val="24"/>
          <w:szCs w:val="24"/>
        </w:rPr>
        <w:t>su</w:t>
      </w:r>
      <w:r w:rsidR="00E15276">
        <w:rPr>
          <w:rFonts w:ascii="Times New Roman" w:hAnsi="Times New Roman" w:cs="Times New Roman"/>
          <w:sz w:val="24"/>
          <w:szCs w:val="24"/>
        </w:rPr>
        <w:t>i festeggiamenti</w:t>
      </w:r>
      <w:r>
        <w:rPr>
          <w:rFonts w:ascii="Times New Roman" w:hAnsi="Times New Roman" w:cs="Times New Roman"/>
          <w:sz w:val="24"/>
          <w:szCs w:val="24"/>
        </w:rPr>
        <w:t xml:space="preserve"> </w:t>
      </w:r>
      <w:r w:rsidR="00E15276">
        <w:rPr>
          <w:rFonts w:ascii="Times New Roman" w:hAnsi="Times New Roman" w:cs="Times New Roman"/>
          <w:sz w:val="24"/>
          <w:szCs w:val="24"/>
        </w:rPr>
        <w:t xml:space="preserve">e </w:t>
      </w:r>
      <w:r w:rsidR="00865482">
        <w:rPr>
          <w:rFonts w:ascii="Times New Roman" w:hAnsi="Times New Roman" w:cs="Times New Roman"/>
          <w:sz w:val="24"/>
          <w:szCs w:val="24"/>
        </w:rPr>
        <w:t>sug</w:t>
      </w:r>
      <w:r w:rsidR="00E15276">
        <w:rPr>
          <w:rFonts w:ascii="Times New Roman" w:hAnsi="Times New Roman" w:cs="Times New Roman"/>
          <w:sz w:val="24"/>
          <w:szCs w:val="24"/>
        </w:rPr>
        <w:t>li spettacoli in onore degli sposi</w:t>
      </w:r>
      <w:r w:rsidR="009F71F4">
        <w:rPr>
          <w:rFonts w:ascii="Times New Roman" w:hAnsi="Times New Roman" w:cs="Times New Roman"/>
          <w:sz w:val="24"/>
          <w:szCs w:val="24"/>
        </w:rPr>
        <w:t>,</w:t>
      </w:r>
      <w:r w:rsidR="00E15276">
        <w:rPr>
          <w:rFonts w:ascii="Times New Roman" w:hAnsi="Times New Roman" w:cs="Times New Roman"/>
          <w:sz w:val="24"/>
          <w:szCs w:val="24"/>
        </w:rPr>
        <w:t xml:space="preserve"> </w:t>
      </w:r>
      <w:r>
        <w:rPr>
          <w:rFonts w:ascii="Times New Roman" w:hAnsi="Times New Roman" w:cs="Times New Roman"/>
          <w:sz w:val="24"/>
          <w:szCs w:val="24"/>
        </w:rPr>
        <w:t>è</w:t>
      </w:r>
      <w:r w:rsidR="009F71F4">
        <w:rPr>
          <w:rFonts w:ascii="Times New Roman" w:hAnsi="Times New Roman" w:cs="Times New Roman"/>
          <w:sz w:val="24"/>
          <w:szCs w:val="24"/>
        </w:rPr>
        <w:t xml:space="preserve"> possibile</w:t>
      </w:r>
      <w:r w:rsidR="00E15276">
        <w:rPr>
          <w:rFonts w:ascii="Times New Roman" w:hAnsi="Times New Roman" w:cs="Times New Roman"/>
          <w:sz w:val="24"/>
          <w:szCs w:val="24"/>
        </w:rPr>
        <w:t xml:space="preserve"> </w:t>
      </w:r>
      <w:r w:rsidR="00AC64B5">
        <w:rPr>
          <w:rFonts w:ascii="Times New Roman" w:hAnsi="Times New Roman" w:cs="Times New Roman"/>
          <w:sz w:val="24"/>
          <w:szCs w:val="24"/>
        </w:rPr>
        <w:t xml:space="preserve">riconoscere </w:t>
      </w:r>
      <w:r w:rsidR="00865482">
        <w:rPr>
          <w:rFonts w:ascii="Times New Roman" w:hAnsi="Times New Roman" w:cs="Times New Roman"/>
          <w:sz w:val="24"/>
          <w:szCs w:val="24"/>
        </w:rPr>
        <w:t>a</w:t>
      </w:r>
      <w:r w:rsidR="006E4267">
        <w:rPr>
          <w:rFonts w:ascii="Times New Roman" w:hAnsi="Times New Roman" w:cs="Times New Roman"/>
          <w:sz w:val="24"/>
          <w:szCs w:val="24"/>
        </w:rPr>
        <w:t>i</w:t>
      </w:r>
      <w:r w:rsidR="009F71F4">
        <w:rPr>
          <w:rFonts w:ascii="Times New Roman" w:hAnsi="Times New Roman" w:cs="Times New Roman"/>
          <w:sz w:val="24"/>
          <w:szCs w:val="24"/>
        </w:rPr>
        <w:t xml:space="preserve"> </w:t>
      </w:r>
      <w:r w:rsidR="006E4267">
        <w:rPr>
          <w:rFonts w:ascii="Times New Roman" w:hAnsi="Times New Roman" w:cs="Times New Roman"/>
          <w:sz w:val="24"/>
          <w:szCs w:val="24"/>
        </w:rPr>
        <w:t>testi richiesti dai nobili mecenati</w:t>
      </w:r>
      <w:r w:rsidR="00865482">
        <w:rPr>
          <w:rFonts w:ascii="Times New Roman" w:hAnsi="Times New Roman" w:cs="Times New Roman"/>
          <w:sz w:val="24"/>
          <w:szCs w:val="24"/>
        </w:rPr>
        <w:t xml:space="preserve"> il valore di </w:t>
      </w:r>
      <w:r w:rsidR="00E15276">
        <w:rPr>
          <w:rFonts w:ascii="Times New Roman" w:hAnsi="Times New Roman" w:cs="Times New Roman"/>
          <w:sz w:val="24"/>
          <w:szCs w:val="24"/>
        </w:rPr>
        <w:t>fonti ufficiali</w:t>
      </w:r>
      <w:r>
        <w:rPr>
          <w:rFonts w:ascii="Times New Roman" w:hAnsi="Times New Roman" w:cs="Times New Roman"/>
          <w:sz w:val="24"/>
          <w:szCs w:val="24"/>
        </w:rPr>
        <w:t xml:space="preserve">; </w:t>
      </w:r>
      <w:r w:rsidR="00865482">
        <w:rPr>
          <w:rFonts w:ascii="Times New Roman" w:hAnsi="Times New Roman" w:cs="Times New Roman"/>
          <w:sz w:val="24"/>
          <w:szCs w:val="24"/>
        </w:rPr>
        <w:t xml:space="preserve">mentre </w:t>
      </w:r>
      <w:r>
        <w:rPr>
          <w:rFonts w:ascii="Times New Roman" w:hAnsi="Times New Roman" w:cs="Times New Roman"/>
          <w:sz w:val="24"/>
          <w:szCs w:val="24"/>
        </w:rPr>
        <w:t xml:space="preserve">le </w:t>
      </w:r>
      <w:r>
        <w:rPr>
          <w:rFonts w:ascii="Times New Roman" w:hAnsi="Times New Roman" w:cs="Times New Roman"/>
          <w:sz w:val="24"/>
          <w:szCs w:val="24"/>
        </w:rPr>
        <w:lastRenderedPageBreak/>
        <w:t xml:space="preserve">descrizioni annotate in diari, in cronache cittadine o nelle lettere private di spettatori che </w:t>
      </w:r>
      <w:r w:rsidR="00AC64B5">
        <w:rPr>
          <w:rFonts w:ascii="Times New Roman" w:hAnsi="Times New Roman" w:cs="Times New Roman"/>
          <w:sz w:val="24"/>
          <w:szCs w:val="24"/>
        </w:rPr>
        <w:t xml:space="preserve">per varie ragioni </w:t>
      </w:r>
      <w:r>
        <w:rPr>
          <w:rFonts w:ascii="Times New Roman" w:hAnsi="Times New Roman" w:cs="Times New Roman"/>
          <w:sz w:val="24"/>
          <w:szCs w:val="24"/>
        </w:rPr>
        <w:t>presenziarono alle feste</w:t>
      </w:r>
      <w:r w:rsidR="00865482">
        <w:rPr>
          <w:rFonts w:ascii="Times New Roman" w:hAnsi="Times New Roman" w:cs="Times New Roman"/>
          <w:sz w:val="24"/>
          <w:szCs w:val="24"/>
        </w:rPr>
        <w:t xml:space="preserve"> </w:t>
      </w:r>
      <w:r w:rsidR="00A526AF">
        <w:rPr>
          <w:rFonts w:ascii="Times New Roman" w:hAnsi="Times New Roman" w:cs="Times New Roman"/>
          <w:sz w:val="24"/>
          <w:szCs w:val="24"/>
        </w:rPr>
        <w:t>former</w:t>
      </w:r>
      <w:r w:rsidR="00AC64B5">
        <w:rPr>
          <w:rFonts w:ascii="Times New Roman" w:hAnsi="Times New Roman" w:cs="Times New Roman"/>
          <w:sz w:val="24"/>
          <w:szCs w:val="24"/>
        </w:rPr>
        <w:t>anno l’insieme delle</w:t>
      </w:r>
      <w:r>
        <w:rPr>
          <w:rFonts w:ascii="Times New Roman" w:hAnsi="Times New Roman" w:cs="Times New Roman"/>
          <w:sz w:val="24"/>
          <w:szCs w:val="24"/>
        </w:rPr>
        <w:t xml:space="preserve"> </w:t>
      </w:r>
      <w:r w:rsidR="009F71F4">
        <w:rPr>
          <w:rFonts w:ascii="Times New Roman" w:hAnsi="Times New Roman" w:cs="Times New Roman"/>
          <w:sz w:val="24"/>
          <w:szCs w:val="24"/>
        </w:rPr>
        <w:t>fonti</w:t>
      </w:r>
      <w:r w:rsidR="00E15276">
        <w:rPr>
          <w:rFonts w:ascii="Times New Roman" w:hAnsi="Times New Roman" w:cs="Times New Roman"/>
          <w:sz w:val="24"/>
          <w:szCs w:val="24"/>
        </w:rPr>
        <w:t xml:space="preserve"> </w:t>
      </w:r>
      <w:r w:rsidR="007978F8">
        <w:rPr>
          <w:rFonts w:ascii="Times New Roman" w:hAnsi="Times New Roman" w:cs="Times New Roman"/>
          <w:sz w:val="24"/>
          <w:szCs w:val="24"/>
        </w:rPr>
        <w:t xml:space="preserve">non </w:t>
      </w:r>
      <w:r w:rsidR="00E15276">
        <w:rPr>
          <w:rFonts w:ascii="Times New Roman" w:hAnsi="Times New Roman" w:cs="Times New Roman"/>
          <w:sz w:val="24"/>
          <w:szCs w:val="24"/>
        </w:rPr>
        <w:t>ufficiali</w:t>
      </w:r>
      <w:r w:rsidR="00AC64B5">
        <w:rPr>
          <w:rFonts w:ascii="Times New Roman" w:hAnsi="Times New Roman" w:cs="Times New Roman"/>
          <w:sz w:val="24"/>
          <w:szCs w:val="24"/>
        </w:rPr>
        <w:t xml:space="preserve"> sugli eventi.  </w:t>
      </w:r>
    </w:p>
    <w:p w14:paraId="5B48B358"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Si può poi osservare come alcune delle descrizioni ufficiali ci siano giunte sia per mezzo di codici manoscritti, offerti ai membri delle famiglie protagoniste del matrimonio o a personaggi di rango loro legati, sia d</w:t>
      </w:r>
      <w:r w:rsidR="00B8421A">
        <w:rPr>
          <w:rFonts w:ascii="Times New Roman" w:hAnsi="Times New Roman" w:cs="Times New Roman"/>
          <w:sz w:val="24"/>
          <w:szCs w:val="24"/>
        </w:rPr>
        <w:t xml:space="preserve">i </w:t>
      </w:r>
      <w:r>
        <w:rPr>
          <w:rFonts w:ascii="Times New Roman" w:hAnsi="Times New Roman" w:cs="Times New Roman"/>
          <w:sz w:val="24"/>
          <w:szCs w:val="24"/>
        </w:rPr>
        <w:t xml:space="preserve">incunaboli, per i quali è più complesso identificare il pubblico dei destinatari. In occasione delle nozze principesche vennero, infatti, date alle stampe sia raffinate relazioni in latino dei festeggiamenti, scritte da umanisti apprezzati e rinomati, sia prose e poesie in volgare di modesto valore letterario, </w:t>
      </w:r>
      <w:r w:rsidR="00AC64B5">
        <w:rPr>
          <w:rFonts w:ascii="Times New Roman" w:hAnsi="Times New Roman" w:cs="Times New Roman"/>
          <w:sz w:val="24"/>
          <w:szCs w:val="24"/>
        </w:rPr>
        <w:t xml:space="preserve">pervenute </w:t>
      </w:r>
      <w:r>
        <w:rPr>
          <w:rFonts w:ascii="Times New Roman" w:hAnsi="Times New Roman" w:cs="Times New Roman"/>
          <w:sz w:val="24"/>
          <w:szCs w:val="24"/>
        </w:rPr>
        <w:t xml:space="preserve">fino ai nostri giorni in libretti di poche carte, dalla grafica e dalla fattura estremamente semplici, e dall’aspetto paragonabile a quello delle contemporanee stampe popolari.  </w:t>
      </w:r>
    </w:p>
    <w:p w14:paraId="0F151455"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In queste pagine si è provato a indagare la particolare natura di questi stampati, ricostruendone le vicende redazionali e cercando di fare luce sulle personalità degli autori, editori e stampatori che li produssero, al fine di verificare la possibilità che, nell’Italia del secolo XV, vi fosse un uso congiunto dello spettacolo, della letteratura e dell’editoria finalizzato all’esaltazione dell’immagine pubblica dei coniugi attraverso i fasti dei loro festeggiamenti nuziali. </w:t>
      </w:r>
    </w:p>
    <w:p w14:paraId="36B9C0CB"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 partire dagli anni 1463-1464 – quando i tedeschi Arnold Pannartz e Conrad Schweynheym recarono per primi in Italia le attrezzature tipografiche e le competenze necessarie per avviare delle stamperie – fino alla fine dell’età degli incunaboli furono quattro i matrimoni per i quali vennero impressi degli opuscoli con relazioni dei festeggiamenti, che affiancarono</w:t>
      </w:r>
      <w:r w:rsidR="00B8421A">
        <w:rPr>
          <w:rFonts w:ascii="Times New Roman" w:hAnsi="Times New Roman" w:cs="Times New Roman"/>
          <w:sz w:val="24"/>
          <w:szCs w:val="24"/>
        </w:rPr>
        <w:t>,</w:t>
      </w:r>
      <w:r>
        <w:rPr>
          <w:rFonts w:ascii="Times New Roman" w:hAnsi="Times New Roman" w:cs="Times New Roman"/>
          <w:sz w:val="24"/>
          <w:szCs w:val="24"/>
        </w:rPr>
        <w:t xml:space="preserve"> nelle biblioteche dei signori italiani del Rinascimento</w:t>
      </w:r>
      <w:r w:rsidR="00B8421A">
        <w:rPr>
          <w:rFonts w:ascii="Times New Roman" w:hAnsi="Times New Roman" w:cs="Times New Roman"/>
          <w:sz w:val="24"/>
          <w:szCs w:val="24"/>
        </w:rPr>
        <w:t>,</w:t>
      </w:r>
      <w:r>
        <w:rPr>
          <w:rFonts w:ascii="Times New Roman" w:hAnsi="Times New Roman" w:cs="Times New Roman"/>
          <w:sz w:val="24"/>
          <w:szCs w:val="24"/>
        </w:rPr>
        <w:t xml:space="preserve"> altre descrizioni tramandate solamente da codici preziosi finemente miniati. Ho tentato pertanto di indagare quali scelte </w:t>
      </w:r>
      <w:r w:rsidR="00B8421A">
        <w:rPr>
          <w:rFonts w:ascii="Times New Roman" w:hAnsi="Times New Roman" w:cs="Times New Roman"/>
          <w:sz w:val="24"/>
          <w:szCs w:val="24"/>
        </w:rPr>
        <w:t xml:space="preserve">fecero </w:t>
      </w:r>
      <w:r>
        <w:rPr>
          <w:rFonts w:ascii="Times New Roman" w:hAnsi="Times New Roman" w:cs="Times New Roman"/>
          <w:sz w:val="24"/>
          <w:szCs w:val="24"/>
        </w:rPr>
        <w:t xml:space="preserve">i principi rispetto alla possibilità di affidare alle pagine di manoscritti o di incunaboli un resoconto delle proprie feste dinastiche e di verificare come tale complesso sistema di comunicazione – bisognoso di letterati, copisti, miniatori, stampatori, rilegatori – si inserisse nel quadro più ampio della produzione di libri destinati alla corte. Di questi documenti si è poi proposto l’impiego come fonti per lo studio dello spettacolo.  </w:t>
      </w:r>
    </w:p>
    <w:p w14:paraId="0F260344"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capitolo I di questa tesi è stato quindi dedicato a una storia comparata, fino ad oggi non ancora tracciata, delle biblioteche dei signori italiani del Rinascimento, la quale si è soffermata sull’analisi delle modalità con cui i principi provvidero all’allestimento di raccolte librarie rinomate in tutta Europa per le numerose opere letterarie e per la bellezza dei codici miniati. Nell’epoca in esame, infatti, la ricercatezza del libro manoscritto conseguì vette di straordinaria finezza, accogliendo le novità figurative della coeva arte rinascimentale ed elaborando, sotto il patrocinio di aristocratici mecenati, i linguaggi e le specificità delle diverse scuole regionali italiane della miniatura. Ho scelto pertanto alcune opere esemplari, eseguite dai miniatori attivi </w:t>
      </w:r>
      <w:r>
        <w:rPr>
          <w:rFonts w:ascii="Times New Roman" w:hAnsi="Times New Roman" w:cs="Times New Roman"/>
          <w:sz w:val="24"/>
          <w:szCs w:val="24"/>
        </w:rPr>
        <w:lastRenderedPageBreak/>
        <w:t>per i marchesi di Mantova, per i duchi di Milano, di Ferrara e di Urbino, per i pontefici, per i re di Napoli e per i Medici di Firenze, al fine d</w:t>
      </w:r>
      <w:r w:rsidR="00B8421A">
        <w:rPr>
          <w:rFonts w:ascii="Times New Roman" w:hAnsi="Times New Roman" w:cs="Times New Roman"/>
          <w:sz w:val="24"/>
          <w:szCs w:val="24"/>
        </w:rPr>
        <w:t>i evidenziare</w:t>
      </w:r>
      <w:r>
        <w:rPr>
          <w:rFonts w:ascii="Times New Roman" w:hAnsi="Times New Roman" w:cs="Times New Roman"/>
          <w:sz w:val="24"/>
          <w:szCs w:val="24"/>
        </w:rPr>
        <w:t xml:space="preserve"> la varietà delle culture dell’illustrazione libraria affinate nei principali centri del Rinascimento, le quali, divenute strumento rappresentativo del potere e del gusto artistico dei mecenati, poterono viaggiare tra le corti europee grazie alle pagine dei testi offerti in omaggio a sovrani, alti prelati e nobili dignitari. </w:t>
      </w:r>
    </w:p>
    <w:p w14:paraId="4058012C"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Allo studio delle passioni dei principi bibliofili si è affiancato quello del loro atteggiamento nei confronti della stampa, che ha messo in luce come i governanti fossero in vero alquanto reticenti rispetto a</w:t>
      </w:r>
      <w:r w:rsidR="00DD0692">
        <w:rPr>
          <w:rFonts w:ascii="Times New Roman" w:hAnsi="Times New Roman" w:cs="Times New Roman"/>
          <w:sz w:val="24"/>
          <w:szCs w:val="24"/>
        </w:rPr>
        <w:t>lla possibilità di</w:t>
      </w:r>
      <w:r>
        <w:rPr>
          <w:rFonts w:ascii="Times New Roman" w:hAnsi="Times New Roman" w:cs="Times New Roman"/>
          <w:sz w:val="24"/>
          <w:szCs w:val="24"/>
        </w:rPr>
        <w:t xml:space="preserve"> un sostegno all’editoria quattrocentesca, </w:t>
      </w:r>
      <w:r w:rsidR="00B8421A">
        <w:rPr>
          <w:rFonts w:ascii="Times New Roman" w:hAnsi="Times New Roman" w:cs="Times New Roman"/>
          <w:sz w:val="24"/>
          <w:szCs w:val="24"/>
        </w:rPr>
        <w:t xml:space="preserve">come testimoniano </w:t>
      </w:r>
      <w:r>
        <w:rPr>
          <w:rFonts w:ascii="Times New Roman" w:hAnsi="Times New Roman" w:cs="Times New Roman"/>
          <w:sz w:val="24"/>
          <w:szCs w:val="24"/>
        </w:rPr>
        <w:t xml:space="preserve">tanto la scarsità di stampe direttamente finanziate, quanto la scelta di non dotarsi di proprie tipografie di fiducia. </w:t>
      </w:r>
    </w:p>
    <w:p w14:paraId="0B31DB0A"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Furono altri, dunque, i protagonisti delle vicende editoriali che interessarono gli opuscoli pubblicati per gli sponsali di Costanzo Sforza e Camilla d’Aragona (Pesaro, maggio 1475), di Annibale Bentivoglio e Lucrezia d’Este (Bologna, gennaio-febbraio 1487), di Gian Galeazzo Sforza e Isabella d’Aragona (Milano, febbraio 1489), e dell’imperatore Massimiliano I d’Asburgo con Bianca Maria Sforza (Milano, </w:t>
      </w:r>
      <w:r>
        <w:rPr>
          <w:rFonts w:ascii="Times New Roman" w:hAnsi="Times New Roman"/>
          <w:sz w:val="24"/>
          <w:szCs w:val="24"/>
        </w:rPr>
        <w:t>novembre 1493), su</w:t>
      </w:r>
      <w:r>
        <w:rPr>
          <w:rFonts w:ascii="Times New Roman" w:hAnsi="Times New Roman" w:cs="Times New Roman"/>
          <w:sz w:val="24"/>
          <w:szCs w:val="24"/>
        </w:rPr>
        <w:t xml:space="preserve">lle quali mi sono soffermato nel capitolo II. </w:t>
      </w:r>
    </w:p>
    <w:p w14:paraId="12ACD13F"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Per ciascuno di questi libretti sono state redatte delle schede bibliografiche descrittive che</w:t>
      </w:r>
      <w:r w:rsidR="00B8421A">
        <w:rPr>
          <w:rFonts w:ascii="Times New Roman" w:hAnsi="Times New Roman" w:cs="Times New Roman"/>
          <w:sz w:val="24"/>
          <w:szCs w:val="24"/>
        </w:rPr>
        <w:t>,</w:t>
      </w:r>
      <w:r>
        <w:rPr>
          <w:rFonts w:ascii="Times New Roman" w:hAnsi="Times New Roman" w:cs="Times New Roman"/>
          <w:sz w:val="24"/>
          <w:szCs w:val="24"/>
        </w:rPr>
        <w:t xml:space="preserve"> raccolte nell’</w:t>
      </w:r>
      <w:r>
        <w:rPr>
          <w:rFonts w:ascii="Times New Roman" w:hAnsi="Times New Roman" w:cs="Times New Roman"/>
          <w:i/>
          <w:sz w:val="24"/>
          <w:szCs w:val="24"/>
        </w:rPr>
        <w:t>Appendice</w:t>
      </w:r>
      <w:r>
        <w:rPr>
          <w:rFonts w:ascii="Times New Roman" w:hAnsi="Times New Roman" w:cs="Times New Roman"/>
          <w:sz w:val="24"/>
          <w:szCs w:val="24"/>
        </w:rPr>
        <w:t xml:space="preserve"> </w:t>
      </w:r>
      <w:r>
        <w:rPr>
          <w:rFonts w:ascii="Times New Roman" w:hAnsi="Times New Roman" w:cs="Times New Roman"/>
          <w:i/>
          <w:sz w:val="24"/>
          <w:szCs w:val="24"/>
        </w:rPr>
        <w:t>I</w:t>
      </w:r>
      <w:r w:rsidR="00B8421A">
        <w:rPr>
          <w:rFonts w:ascii="Times New Roman" w:hAnsi="Times New Roman" w:cs="Times New Roman"/>
          <w:sz w:val="24"/>
          <w:szCs w:val="24"/>
        </w:rPr>
        <w:t xml:space="preserve">, </w:t>
      </w:r>
      <w:r>
        <w:rPr>
          <w:rFonts w:ascii="Times New Roman" w:hAnsi="Times New Roman" w:cs="Times New Roman"/>
          <w:sz w:val="24"/>
          <w:szCs w:val="24"/>
        </w:rPr>
        <w:t xml:space="preserve">formano il primo catalogo completo degli incunaboli italiani per nozze. Dalla loro analisi è emerso con maggiore chiarezza come la presenza della descrizione a stampa di un matrimonio principesco, nel XV secolo, non </w:t>
      </w:r>
      <w:r w:rsidR="00B8421A">
        <w:rPr>
          <w:rFonts w:ascii="Times New Roman" w:hAnsi="Times New Roman" w:cs="Times New Roman"/>
          <w:sz w:val="24"/>
          <w:szCs w:val="24"/>
        </w:rPr>
        <w:t>fosse</w:t>
      </w:r>
      <w:r>
        <w:rPr>
          <w:rFonts w:ascii="Times New Roman" w:hAnsi="Times New Roman" w:cs="Times New Roman"/>
          <w:sz w:val="24"/>
          <w:szCs w:val="24"/>
        </w:rPr>
        <w:t xml:space="preserve"> d</w:t>
      </w:r>
      <w:r w:rsidR="00B8421A">
        <w:rPr>
          <w:rFonts w:ascii="Times New Roman" w:hAnsi="Times New Roman" w:cs="Times New Roman"/>
          <w:sz w:val="24"/>
          <w:szCs w:val="24"/>
        </w:rPr>
        <w:t>ovuta</w:t>
      </w:r>
      <w:r>
        <w:rPr>
          <w:rFonts w:ascii="Times New Roman" w:hAnsi="Times New Roman" w:cs="Times New Roman"/>
          <w:sz w:val="24"/>
          <w:szCs w:val="24"/>
        </w:rPr>
        <w:t xml:space="preserve"> alla diretta committenza degli sposi o delle loro famiglie, che si limitarono piuttosto a concedere il patrocinio all’operazione editoriale, bensì all’azione congiunta di autori, editori e tipografi interessati a legare il loro nome a una casa regnante che gradisse la circolazione del resoconto per accrescere il proprio prestigio. Delle stampe nuziali, messe a paragone con le relazioni manoscritte sui medesimi eventi, mi sono servito per ricostruire la serie dei festeggiamenti organizzati, prestando particolare attenzione al lessico e alle metafore usate dagli autori dei resoconti quali possibili indizi per comprendere il significato e gli intenti comunicativi delle feste e degli spettacoli. </w:t>
      </w:r>
    </w:p>
    <w:p w14:paraId="0AE423B9"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Si è osservato inoltre come la scrittura di tali componimenti, sperimentale nel Quattrocento, abbia definito progressivamente le proprie forme e i propri modelli, fino a divenire un autentico genere letterario di successo nel secolo successivo, quello del </w:t>
      </w:r>
      <w:r>
        <w:rPr>
          <w:rFonts w:ascii="Times New Roman" w:hAnsi="Times New Roman" w:cs="Times New Roman"/>
          <w:i/>
          <w:sz w:val="24"/>
          <w:szCs w:val="24"/>
        </w:rPr>
        <w:t>livret</w:t>
      </w:r>
      <w:r>
        <w:rPr>
          <w:rFonts w:ascii="Times New Roman" w:hAnsi="Times New Roman" w:cs="Times New Roman"/>
          <w:sz w:val="24"/>
          <w:szCs w:val="24"/>
        </w:rPr>
        <w:t xml:space="preserve">, il libretto d’occasione dedicato alle lodi delle feste dinastiche principesche. Al fine di illustrare questo processo ho condotto l’edizione delle </w:t>
      </w:r>
      <w:r>
        <w:rPr>
          <w:rFonts w:ascii="Times New Roman" w:hAnsi="Times New Roman" w:cs="Times New Roman"/>
          <w:i/>
          <w:sz w:val="24"/>
          <w:szCs w:val="24"/>
        </w:rPr>
        <w:t>Nuptiae illustrissimi ducis Mediolani</w:t>
      </w:r>
      <w:r>
        <w:rPr>
          <w:rFonts w:ascii="Times New Roman" w:hAnsi="Times New Roman" w:cs="Times New Roman"/>
          <w:sz w:val="24"/>
          <w:szCs w:val="24"/>
        </w:rPr>
        <w:t xml:space="preserve"> di Stefano Dolcino in onore dello sposalizio di Gian Galeazzo Sforza del febbraio 1489, di cui fornisco il testo e la traduzione nell’</w:t>
      </w:r>
      <w:r>
        <w:rPr>
          <w:rFonts w:ascii="Times New Roman" w:hAnsi="Times New Roman" w:cs="Times New Roman"/>
          <w:i/>
          <w:sz w:val="24"/>
          <w:szCs w:val="24"/>
        </w:rPr>
        <w:t>Appendice II</w:t>
      </w:r>
      <w:r>
        <w:rPr>
          <w:rFonts w:ascii="Times New Roman" w:hAnsi="Times New Roman" w:cs="Times New Roman"/>
          <w:sz w:val="24"/>
          <w:szCs w:val="24"/>
        </w:rPr>
        <w:t xml:space="preserve">. Le fasce dell’apparato delle fonti rivelano come la composizione della cronaca fosse stata ispirata dalla precedente edizione delle </w:t>
      </w:r>
      <w:r>
        <w:rPr>
          <w:rFonts w:ascii="Times New Roman" w:hAnsi="Times New Roman" w:cs="Times New Roman"/>
          <w:i/>
          <w:sz w:val="24"/>
          <w:szCs w:val="24"/>
        </w:rPr>
        <w:t>Nuptiae Bentivolorum</w:t>
      </w:r>
      <w:r>
        <w:rPr>
          <w:rFonts w:ascii="Times New Roman" w:hAnsi="Times New Roman" w:cs="Times New Roman"/>
          <w:sz w:val="24"/>
          <w:szCs w:val="24"/>
        </w:rPr>
        <w:t xml:space="preserve"> del dotto Filippo </w:t>
      </w:r>
      <w:r>
        <w:rPr>
          <w:rFonts w:ascii="Times New Roman" w:hAnsi="Times New Roman" w:cs="Times New Roman"/>
          <w:sz w:val="24"/>
          <w:szCs w:val="24"/>
        </w:rPr>
        <w:lastRenderedPageBreak/>
        <w:t xml:space="preserve">Beroaldo, impressa nel 1487 per il matrimonio di Annibale Bentivoglio con dedica al segretario del duca di Milano, Bartolomeo Calco, la quale a sua volta ispirò anche le </w:t>
      </w:r>
      <w:r w:rsidRPr="002C5653">
        <w:rPr>
          <w:rFonts w:ascii="Times New Roman" w:hAnsi="Times New Roman" w:cs="Times New Roman"/>
          <w:i/>
          <w:sz w:val="24"/>
          <w:szCs w:val="24"/>
        </w:rPr>
        <w:t>Nuptiae mediolanensium ducum</w:t>
      </w:r>
      <w:r>
        <w:rPr>
          <w:rFonts w:ascii="Times New Roman" w:hAnsi="Times New Roman" w:cs="Times New Roman"/>
          <w:sz w:val="24"/>
          <w:szCs w:val="24"/>
        </w:rPr>
        <w:t xml:space="preserve"> di Tristano Calco, sempre dedicate allo sposalizio sforzesco del 1489. </w:t>
      </w:r>
    </w:p>
    <w:p w14:paraId="6D3B2EC5"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circolazione tra le corti di questi opuscoli – scritti letterari di raffinata fattura e ricchi di notizie sull’organizzazione e talvolta, persino, sulla vita materiale degli spettacoli – mi ha spinto a cercare quali altri testi conservati nelle biblioteche dei principi potessero contenere informazioni sulla cultura della festa capaci di ispirare gli ideatori dei programmi dei festeggiamenti. Dalle pagine della </w:t>
      </w:r>
      <w:r>
        <w:rPr>
          <w:rFonts w:ascii="Times New Roman" w:hAnsi="Times New Roman" w:cs="Times New Roman"/>
          <w:i/>
          <w:sz w:val="24"/>
          <w:szCs w:val="24"/>
        </w:rPr>
        <w:t>Roma triumphans</w:t>
      </w:r>
      <w:r>
        <w:rPr>
          <w:rFonts w:ascii="Times New Roman" w:hAnsi="Times New Roman" w:cs="Times New Roman"/>
          <w:sz w:val="24"/>
          <w:szCs w:val="24"/>
        </w:rPr>
        <w:t xml:space="preserve"> di Flavio Biondo, del </w:t>
      </w:r>
      <w:r>
        <w:rPr>
          <w:rFonts w:ascii="Times New Roman" w:hAnsi="Times New Roman" w:cs="Times New Roman"/>
          <w:i/>
          <w:sz w:val="24"/>
          <w:szCs w:val="24"/>
        </w:rPr>
        <w:t>De conviventia</w:t>
      </w:r>
      <w:r>
        <w:rPr>
          <w:rFonts w:ascii="Times New Roman" w:hAnsi="Times New Roman" w:cs="Times New Roman"/>
          <w:sz w:val="24"/>
          <w:szCs w:val="24"/>
        </w:rPr>
        <w:t xml:space="preserve"> di Giovanni Pontano, del </w:t>
      </w:r>
      <w:r>
        <w:rPr>
          <w:rFonts w:ascii="Times New Roman" w:hAnsi="Times New Roman" w:cs="Times New Roman"/>
          <w:i/>
          <w:sz w:val="24"/>
          <w:szCs w:val="24"/>
        </w:rPr>
        <w:t>De honesta voluptate</w:t>
      </w:r>
      <w:r>
        <w:rPr>
          <w:rFonts w:ascii="Times New Roman" w:hAnsi="Times New Roman" w:cs="Times New Roman"/>
          <w:sz w:val="24"/>
          <w:szCs w:val="24"/>
        </w:rPr>
        <w:t xml:space="preserve"> di Bartolomeo Platina – presenti negli inventari delle raccolte librarie dei loro dedicatari ma anche di altri autorevoli mecenati – giungevano infatti le meravigliose descrizioni degli ingressi trionfali e dei superbi banchetti dell’antichità che diedero forma all’immaginario festeggiante rinascimentale e classicheggiante.</w:t>
      </w:r>
    </w:p>
    <w:p w14:paraId="127E2F1C"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Ho provato dunque a verificare come la lettura di queste opere potesse influenzare la progettazione delle architetture effimere, l</w:t>
      </w:r>
      <w:r w:rsidR="00B8421A">
        <w:rPr>
          <w:rFonts w:ascii="Times New Roman" w:hAnsi="Times New Roman" w:cs="Times New Roman"/>
          <w:sz w:val="24"/>
          <w:szCs w:val="24"/>
        </w:rPr>
        <w:t>a</w:t>
      </w:r>
      <w:r>
        <w:rPr>
          <w:rFonts w:ascii="Times New Roman" w:hAnsi="Times New Roman" w:cs="Times New Roman"/>
          <w:sz w:val="24"/>
          <w:szCs w:val="24"/>
        </w:rPr>
        <w:t xml:space="preserve"> scelt</w:t>
      </w:r>
      <w:r w:rsidR="00B8421A">
        <w:rPr>
          <w:rFonts w:ascii="Times New Roman" w:hAnsi="Times New Roman" w:cs="Times New Roman"/>
          <w:sz w:val="24"/>
          <w:szCs w:val="24"/>
        </w:rPr>
        <w:t>a</w:t>
      </w:r>
      <w:r>
        <w:rPr>
          <w:rFonts w:ascii="Times New Roman" w:hAnsi="Times New Roman" w:cs="Times New Roman"/>
          <w:sz w:val="24"/>
          <w:szCs w:val="24"/>
        </w:rPr>
        <w:t xml:space="preserve"> dei soggetti degli </w:t>
      </w:r>
      <w:r>
        <w:rPr>
          <w:rFonts w:ascii="Times New Roman" w:hAnsi="Times New Roman" w:cs="Times New Roman"/>
          <w:i/>
          <w:sz w:val="24"/>
          <w:szCs w:val="24"/>
        </w:rPr>
        <w:t>entremets</w:t>
      </w:r>
      <w:r>
        <w:rPr>
          <w:rFonts w:ascii="Times New Roman" w:hAnsi="Times New Roman" w:cs="Times New Roman"/>
          <w:sz w:val="24"/>
          <w:szCs w:val="24"/>
        </w:rPr>
        <w:t xml:space="preserve"> dei banchetti, la successione dei gesti cerimoniali degli sposalizi.  </w:t>
      </w:r>
    </w:p>
    <w:p w14:paraId="0DE1FC3F"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risultato di questa ricerca è raccolto nel capitolo III, dove ho proposto un’analisi comparata delle feste nuziali più importanti per gli equilibri tra gli stati italiani celebrate nell’età degli incunaboli, considerando con attenzione i contesti politici e culturali delle città che le ospitarono. </w:t>
      </w:r>
    </w:p>
    <w:p w14:paraId="3196C3C5"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Le modifiche dei programmi cerimoniali e la varietà di decorazioni degli apparati viari si sono rivelate strumenti capaci di rappresentare il diverso rapporto tra i principi e le loro città, mentre la festa nuziale si è dimostrata un’occasione privilegiata d’incontro tra culture performative differenti, sulle quali si è tentato di spendere alcune considerazioni. In particolare, si è cercato di seguire gli spostamenti tra le corti italiane delle maestranze fiorentine esperte nella realizzazione di spettacoli, le quali trasformarono i tradizionali edifizi delle processioni di san Giovanni in carri trionfali, destinati a rendere omaggio alle virtù delle principesse, e adattarono gli ingegni brunelleschiani delle recite dell’</w:t>
      </w:r>
      <w:r>
        <w:rPr>
          <w:rFonts w:ascii="Times New Roman" w:hAnsi="Times New Roman" w:cs="Times New Roman"/>
          <w:i/>
          <w:sz w:val="24"/>
          <w:szCs w:val="24"/>
        </w:rPr>
        <w:t>Annunciazione</w:t>
      </w:r>
      <w:r>
        <w:rPr>
          <w:rFonts w:ascii="Times New Roman" w:hAnsi="Times New Roman" w:cs="Times New Roman"/>
          <w:sz w:val="24"/>
          <w:szCs w:val="24"/>
        </w:rPr>
        <w:t xml:space="preserve"> e dell’</w:t>
      </w:r>
      <w:r>
        <w:rPr>
          <w:rFonts w:ascii="Times New Roman" w:hAnsi="Times New Roman" w:cs="Times New Roman"/>
          <w:i/>
          <w:sz w:val="24"/>
          <w:szCs w:val="24"/>
        </w:rPr>
        <w:t>Ascensione</w:t>
      </w:r>
      <w:r>
        <w:rPr>
          <w:rFonts w:ascii="Times New Roman" w:hAnsi="Times New Roman" w:cs="Times New Roman"/>
          <w:sz w:val="24"/>
          <w:szCs w:val="24"/>
        </w:rPr>
        <w:t xml:space="preserve"> delle chiese d’Oltrarno alle esigenze sceniche delle rappresentazioni allegoriche e delle commedie classiche allestite durante i ricevimenti cortigiani.  </w:t>
      </w:r>
    </w:p>
    <w:p w14:paraId="7FE12FF5"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Nell’analisi comparata delle feste ho frequentemente impiegato alcuni documenti inediti sugli sposalizi di Ippolita Sforza e di Isabella d’Aragona reperiti presso il fondo manoscritti della Bibliothèque Nationale de France durante un soggiorno di studi trascorso a Parigi, nel mio secondo anno di dottorato, come ospite del LaMOP, </w:t>
      </w:r>
      <w:r w:rsidRPr="00984866">
        <w:rPr>
          <w:rFonts w:ascii="Times New Roman" w:hAnsi="Times New Roman" w:cs="Times New Roman"/>
          <w:i/>
          <w:sz w:val="24"/>
          <w:szCs w:val="24"/>
        </w:rPr>
        <w:t>Laboratoire de médiévistique occidentale de Paris</w:t>
      </w:r>
      <w:r>
        <w:rPr>
          <w:rFonts w:ascii="Times New Roman" w:hAnsi="Times New Roman" w:cs="Times New Roman"/>
          <w:sz w:val="24"/>
          <w:szCs w:val="24"/>
        </w:rPr>
        <w:t>. I loro testi sono qui pubblicati nell’</w:t>
      </w:r>
      <w:r>
        <w:rPr>
          <w:rFonts w:ascii="Times New Roman" w:hAnsi="Times New Roman" w:cs="Times New Roman"/>
          <w:i/>
          <w:sz w:val="24"/>
          <w:szCs w:val="24"/>
        </w:rPr>
        <w:t>Appendice III</w:t>
      </w:r>
      <w:r>
        <w:rPr>
          <w:rFonts w:ascii="Times New Roman" w:hAnsi="Times New Roman" w:cs="Times New Roman"/>
          <w:sz w:val="24"/>
          <w:szCs w:val="24"/>
        </w:rPr>
        <w:t xml:space="preserve">. Soprattutto un’attenta lettura dell’anonima </w:t>
      </w:r>
      <w:r>
        <w:rPr>
          <w:rFonts w:ascii="Times New Roman" w:hAnsi="Times New Roman" w:cs="Times New Roman"/>
          <w:i/>
          <w:sz w:val="24"/>
          <w:szCs w:val="24"/>
        </w:rPr>
        <w:t>Descriptione</w:t>
      </w:r>
      <w:r>
        <w:rPr>
          <w:rFonts w:ascii="Times New Roman" w:hAnsi="Times New Roman" w:cs="Times New Roman"/>
          <w:sz w:val="24"/>
          <w:szCs w:val="24"/>
        </w:rPr>
        <w:t xml:space="preserve"> delle feste milanesi per l’ingresso di Isabella d’Aragona nel 1489 ha permesso di fare </w:t>
      </w:r>
      <w:r>
        <w:rPr>
          <w:rFonts w:ascii="Times New Roman" w:hAnsi="Times New Roman" w:cs="Times New Roman"/>
          <w:sz w:val="24"/>
          <w:szCs w:val="24"/>
        </w:rPr>
        <w:lastRenderedPageBreak/>
        <w:t xml:space="preserve">chiarezza su alcune caratteristiche degli apparati effimeri costruiti per il matrimonio della principessa, alla cui progettazione lavorarono probabilmente Leonardo da Vinci e Donato Bramante. </w:t>
      </w:r>
    </w:p>
    <w:p w14:paraId="7CF9D092"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Il coinvolgimento di artisti di primaria importanza è stato di stimolo alla ricerca di fonti iconografiche coeve che potessero contenere traccia della fiorente vita dello spettacolo rinascimentale – qui raccolte nell’</w:t>
      </w:r>
      <w:r>
        <w:rPr>
          <w:rFonts w:ascii="Times New Roman" w:hAnsi="Times New Roman" w:cs="Times New Roman"/>
          <w:i/>
          <w:sz w:val="24"/>
          <w:szCs w:val="24"/>
        </w:rPr>
        <w:t>Allegato</w:t>
      </w:r>
      <w:r>
        <w:rPr>
          <w:rFonts w:ascii="Times New Roman" w:hAnsi="Times New Roman" w:cs="Times New Roman"/>
          <w:sz w:val="24"/>
          <w:szCs w:val="24"/>
        </w:rPr>
        <w:t xml:space="preserve">. </w:t>
      </w:r>
      <w:r>
        <w:rPr>
          <w:rFonts w:ascii="Times New Roman" w:hAnsi="Times New Roman" w:cs="Times New Roman"/>
          <w:i/>
          <w:sz w:val="24"/>
          <w:szCs w:val="24"/>
        </w:rPr>
        <w:t>Fonti iconografiche</w:t>
      </w:r>
      <w:r>
        <w:rPr>
          <w:rFonts w:ascii="Times New Roman" w:hAnsi="Times New Roman" w:cs="Times New Roman"/>
          <w:sz w:val="24"/>
          <w:szCs w:val="24"/>
        </w:rPr>
        <w:t xml:space="preserve"> –, cercandole principalmente nelle miniature dei lussuosi codici principeschi, spesso commissionati proprio in occasione di sposalizi e fino a oggi poco considerati dagli storici del teatro. </w:t>
      </w:r>
    </w:p>
    <w:p w14:paraId="16C379F0"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ricerca di figurazioni pittoriche ispirate alle decorazioni effimere della festa o ad allestimenti teatrali è risultata complessa. Essa deve, infatti, tenere presente diversi parametri di giudizio che evitino errati accostamenti delle </w:t>
      </w:r>
      <w:r w:rsidR="00605D22">
        <w:rPr>
          <w:rFonts w:ascii="Times New Roman" w:hAnsi="Times New Roman" w:cs="Times New Roman"/>
          <w:sz w:val="24"/>
          <w:szCs w:val="24"/>
        </w:rPr>
        <w:t xml:space="preserve">testimonianze </w:t>
      </w:r>
      <w:r>
        <w:rPr>
          <w:rFonts w:ascii="Times New Roman" w:hAnsi="Times New Roman" w:cs="Times New Roman"/>
          <w:sz w:val="24"/>
          <w:szCs w:val="24"/>
        </w:rPr>
        <w:t xml:space="preserve">iconografiche a contesti non pertinenti: l’area di produzione dell’opera, la sua datazione, la possibilità che l’artista abbia effettivamente assistito ad allestimenti di cui le sue creazioni </w:t>
      </w:r>
      <w:r w:rsidR="00CE4901">
        <w:rPr>
          <w:rFonts w:ascii="Times New Roman" w:hAnsi="Times New Roman" w:cs="Times New Roman"/>
          <w:sz w:val="24"/>
          <w:szCs w:val="24"/>
        </w:rPr>
        <w:t xml:space="preserve">potrebbero </w:t>
      </w:r>
      <w:r>
        <w:rPr>
          <w:rFonts w:ascii="Times New Roman" w:hAnsi="Times New Roman" w:cs="Times New Roman"/>
          <w:sz w:val="24"/>
          <w:szCs w:val="24"/>
        </w:rPr>
        <w:t>ricord</w:t>
      </w:r>
      <w:r w:rsidR="00CE4901">
        <w:rPr>
          <w:rFonts w:ascii="Times New Roman" w:hAnsi="Times New Roman" w:cs="Times New Roman"/>
          <w:sz w:val="24"/>
          <w:szCs w:val="24"/>
        </w:rPr>
        <w:t>are</w:t>
      </w:r>
      <w:r>
        <w:rPr>
          <w:rFonts w:ascii="Times New Roman" w:hAnsi="Times New Roman" w:cs="Times New Roman"/>
          <w:sz w:val="24"/>
          <w:szCs w:val="24"/>
        </w:rPr>
        <w:t xml:space="preserve"> alcuni elementi e le possibili richieste del committente rispetto alla progettazione dell’opera d’arte. Solo così il documento iconografico potrà fornire altre informazioni sugli spettacoli non trasmesse dalle fonti scritte, oltre all’auspicato termine di confronto visuale tanto prezioso per lo storico. </w:t>
      </w:r>
    </w:p>
    <w:p w14:paraId="64299A44"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Senza entrare in schemi classificatori eccessivamente rigidi, credo che le fonti iconografiche possano essere distinte in due ampie categorie: quelle intenzionali, in cui l’opera rivela chiaramente il proposito dell’artefice di ritrarre un evento performativo storicamente riconoscibile, e quelle preterintenzionali, in cui si conserva solo la memoria di un’azione spettacolare, ravvisabile nella disposizione degli spazi, nella ritrattistica dei personaggi, nelle loro movenze e nella loro gestualità.</w:t>
      </w:r>
      <w:r>
        <w:rPr>
          <w:rStyle w:val="Rimandonotaapidipagina"/>
          <w:rFonts w:ascii="Times New Roman" w:hAnsi="Times New Roman" w:cs="Times New Roman"/>
          <w:sz w:val="24"/>
          <w:szCs w:val="24"/>
        </w:rPr>
        <w:footnoteReference w:id="5"/>
      </w:r>
      <w:r>
        <w:rPr>
          <w:rFonts w:ascii="Times New Roman" w:hAnsi="Times New Roman" w:cs="Times New Roman"/>
          <w:sz w:val="24"/>
          <w:szCs w:val="24"/>
        </w:rPr>
        <w:t xml:space="preserve"> </w:t>
      </w:r>
    </w:p>
    <w:p w14:paraId="2B1017BE"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Un esempio di fonte iconografica intenzionale si può ravvisare nell’affresco anonimo dell’Ospedale di Santo Spirito in Sassia che ritrae l’incontro in Vaticano tra papa Sisto IV ed Eleonora d’Aragona nel corso della sosta romana del suo corteo nuziale (fig. 51), mentre un caso d’iconografia preterintenzionale si noterà nelle architetture con balconata per i musici e festoni di verzura con putti arrampicati che incorniciano lo sposalizio della Vergine miniato da Cristoforo </w:t>
      </w:r>
      <w:r>
        <w:rPr>
          <w:rFonts w:ascii="Times New Roman" w:hAnsi="Times New Roman" w:cs="Times New Roman"/>
          <w:sz w:val="24"/>
          <w:szCs w:val="24"/>
        </w:rPr>
        <w:lastRenderedPageBreak/>
        <w:t xml:space="preserve">de Predis nel </w:t>
      </w:r>
      <w:r>
        <w:rPr>
          <w:rFonts w:ascii="Times New Roman" w:hAnsi="Times New Roman" w:cs="Times New Roman"/>
          <w:i/>
          <w:sz w:val="24"/>
          <w:szCs w:val="24"/>
        </w:rPr>
        <w:t>Libro d’ore Borromeo</w:t>
      </w:r>
      <w:r>
        <w:rPr>
          <w:rFonts w:ascii="Times New Roman" w:hAnsi="Times New Roman" w:cs="Times New Roman"/>
          <w:sz w:val="24"/>
          <w:szCs w:val="24"/>
        </w:rPr>
        <w:t xml:space="preserve"> al f. 15v (fig. 52), esempi dei quali tratteremo più diffusamente nelle pagine seguenti.</w:t>
      </w:r>
    </w:p>
    <w:p w14:paraId="236BA33A"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Se, come ha osservato Fabrizio Cruciani, «nella storiografia il teatro sembra attuarsi e svelarsi sempre come teatro e altro (teatro e …</w:t>
      </w:r>
      <w:r w:rsidR="007B0D59">
        <w:rPr>
          <w:rFonts w:ascii="Times New Roman" w:hAnsi="Times New Roman" w:cs="Times New Roman"/>
          <w:sz w:val="24"/>
          <w:szCs w:val="24"/>
        </w:rPr>
        <w:t xml:space="preserve"> </w:t>
      </w:r>
      <w:r>
        <w:rPr>
          <w:rFonts w:ascii="Times New Roman" w:hAnsi="Times New Roman" w:cs="Times New Roman"/>
          <w:sz w:val="24"/>
          <w:szCs w:val="24"/>
        </w:rPr>
        <w:t>istanze rappresentative, bisogni espressivi, società, commercio, utopia, comportamenti, forme, visioni, letteratura, musica, arti plastiche e figurative, estetica, pedagogia, ecc.)» e se «gli studi di teatro sono il luogo dialettico in cui convergono situazioni e problematiche diverse in sé e nella loro provenienza: il luogo dei possibili»,</w:t>
      </w:r>
      <w:r>
        <w:rPr>
          <w:rStyle w:val="Rimandonotaapidipagina"/>
          <w:rFonts w:ascii="Times New Roman" w:hAnsi="Times New Roman" w:cs="Times New Roman"/>
          <w:sz w:val="24"/>
          <w:szCs w:val="24"/>
        </w:rPr>
        <w:footnoteReference w:id="6"/>
      </w:r>
      <w:r>
        <w:rPr>
          <w:rFonts w:ascii="Times New Roman" w:hAnsi="Times New Roman" w:cs="Times New Roman"/>
          <w:sz w:val="24"/>
          <w:szCs w:val="24"/>
        </w:rPr>
        <w:t xml:space="preserve"> nella mia ricerca il teatro si è forse attuato e svelato come teatro ed editoria, all’interno di uno studio che ha provato a fare interagire i “possibili” della bibliologia e della storia dello spettacolo rinascimentale. </w:t>
      </w:r>
    </w:p>
    <w:p w14:paraId="73619B52" w14:textId="77777777" w:rsidR="00E15276" w:rsidRDefault="00E15276" w:rsidP="00E15276">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Spero, in questo modo, di avere fornito un contributo di qualche utilità agli studi storico-teatrali, quanto meno nella pubblicazione dei “documenti” raccolti per intraprendere questo “studio comparato della festa nuziale rinascimentale” e nell’avere illustrato ancora una volta come le ricerche sulla storia dello spettacolo possano essere un fecondo terreno d’incontro tra differenti metodologie di ricerca storica. </w:t>
      </w:r>
    </w:p>
    <w:p w14:paraId="02907BEC" w14:textId="77777777" w:rsidR="00AF4F0D" w:rsidRDefault="00AF4F0D" w:rsidP="00AF4F0D">
      <w:pPr>
        <w:spacing w:line="259" w:lineRule="auto"/>
        <w:rPr>
          <w:rFonts w:ascii="Times New Roman" w:hAnsi="Times New Roman" w:cs="Times New Roman"/>
          <w:sz w:val="24"/>
          <w:szCs w:val="24"/>
        </w:rPr>
      </w:pPr>
    </w:p>
    <w:p w14:paraId="7BEECC32" w14:textId="77777777" w:rsidR="00AF4F0D" w:rsidRDefault="00AF4F0D" w:rsidP="00AF4F0D">
      <w:pPr>
        <w:spacing w:line="259" w:lineRule="auto"/>
      </w:pPr>
    </w:p>
    <w:p w14:paraId="131C949A" w14:textId="77777777" w:rsidR="00AF4F0D" w:rsidRDefault="00AF4F0D" w:rsidP="00AF4F0D">
      <w:pPr>
        <w:spacing w:line="259" w:lineRule="auto"/>
      </w:pPr>
    </w:p>
    <w:p w14:paraId="4A7D9ADB" w14:textId="77777777" w:rsidR="00AF4F0D" w:rsidRDefault="00AF4F0D" w:rsidP="00AF4F0D">
      <w:pPr>
        <w:spacing w:line="259" w:lineRule="auto"/>
      </w:pPr>
    </w:p>
    <w:p w14:paraId="4FAAA544" w14:textId="77777777" w:rsidR="00AF4F0D" w:rsidRDefault="00AF4F0D" w:rsidP="00AF4F0D">
      <w:pPr>
        <w:spacing w:line="259" w:lineRule="auto"/>
      </w:pPr>
    </w:p>
    <w:p w14:paraId="6092F625" w14:textId="77777777" w:rsidR="00AF4F0D" w:rsidRDefault="00AF4F0D" w:rsidP="00AF4F0D">
      <w:pPr>
        <w:spacing w:line="259" w:lineRule="auto"/>
      </w:pPr>
    </w:p>
    <w:p w14:paraId="00F9DE7C" w14:textId="77777777" w:rsidR="00AF4F0D" w:rsidRDefault="00AF4F0D" w:rsidP="00AF4F0D">
      <w:pPr>
        <w:spacing w:line="259" w:lineRule="auto"/>
      </w:pPr>
    </w:p>
    <w:p w14:paraId="0CD8E3E3" w14:textId="77777777" w:rsidR="00AF4F0D" w:rsidRDefault="00AF4F0D" w:rsidP="00AF4F0D">
      <w:pPr>
        <w:spacing w:line="259" w:lineRule="auto"/>
      </w:pPr>
    </w:p>
    <w:p w14:paraId="77AB2EB7" w14:textId="77777777" w:rsidR="00AF4F0D" w:rsidRDefault="00AF4F0D" w:rsidP="00AF4F0D">
      <w:pPr>
        <w:spacing w:line="259" w:lineRule="auto"/>
      </w:pPr>
    </w:p>
    <w:p w14:paraId="7D2C111C" w14:textId="77777777" w:rsidR="00AF4F0D" w:rsidRDefault="00AF4F0D" w:rsidP="00AF4F0D">
      <w:pPr>
        <w:spacing w:line="259" w:lineRule="auto"/>
      </w:pPr>
    </w:p>
    <w:p w14:paraId="1E9953B0" w14:textId="77777777" w:rsidR="00AF4F0D" w:rsidRDefault="00AF4F0D" w:rsidP="00AF4F0D">
      <w:pPr>
        <w:spacing w:line="259" w:lineRule="auto"/>
      </w:pPr>
    </w:p>
    <w:p w14:paraId="7B2C4BCB" w14:textId="77777777" w:rsidR="00AF4F0D" w:rsidRDefault="00AF4F0D" w:rsidP="00AF4F0D">
      <w:pPr>
        <w:spacing w:line="259" w:lineRule="auto"/>
      </w:pPr>
    </w:p>
    <w:p w14:paraId="6D64A82C" w14:textId="77777777" w:rsidR="00AF4F0D" w:rsidRDefault="00AF4F0D" w:rsidP="00AF4F0D">
      <w:pPr>
        <w:spacing w:line="259" w:lineRule="auto"/>
      </w:pPr>
    </w:p>
    <w:p w14:paraId="4994A2E2" w14:textId="77777777" w:rsidR="00AF4F0D" w:rsidRDefault="00AF4F0D" w:rsidP="00AF4F0D">
      <w:pPr>
        <w:spacing w:line="259" w:lineRule="auto"/>
      </w:pPr>
    </w:p>
    <w:p w14:paraId="66399E87" w14:textId="77777777" w:rsidR="00AF4F0D" w:rsidRDefault="00AF4F0D" w:rsidP="00AF4F0D">
      <w:pPr>
        <w:spacing w:line="360" w:lineRule="auto"/>
        <w:jc w:val="both"/>
        <w:rPr>
          <w:rFonts w:ascii="Times New Roman" w:hAnsi="Times New Roman" w:cs="Times New Roman"/>
          <w:sz w:val="24"/>
          <w:szCs w:val="24"/>
        </w:rPr>
      </w:pPr>
    </w:p>
    <w:p w14:paraId="4B83867F" w14:textId="77777777" w:rsidR="00390A35" w:rsidRDefault="00390A35" w:rsidP="00AF4F0D">
      <w:pPr>
        <w:pStyle w:val="Titolocapitolo"/>
      </w:pPr>
    </w:p>
    <w:p w14:paraId="0FCB8DBB" w14:textId="77777777" w:rsidR="002A0B98" w:rsidRDefault="002A0B98" w:rsidP="00AF4F0D">
      <w:pPr>
        <w:pStyle w:val="Titolocapitolo"/>
      </w:pPr>
    </w:p>
    <w:p w14:paraId="0F08FF60" w14:textId="77777777" w:rsidR="00AF4F0D" w:rsidRDefault="00AF4F0D" w:rsidP="00AF4F0D">
      <w:pPr>
        <w:pStyle w:val="Titolocapitolo"/>
      </w:pPr>
      <w:r>
        <w:lastRenderedPageBreak/>
        <w:t>Ringraziamenti</w:t>
      </w:r>
    </w:p>
    <w:p w14:paraId="6739C171" w14:textId="77777777" w:rsidR="00AF4F0D" w:rsidRDefault="00AF4F0D" w:rsidP="00AF4F0D">
      <w:pPr>
        <w:spacing w:line="360" w:lineRule="auto"/>
        <w:jc w:val="both"/>
        <w:rPr>
          <w:rFonts w:ascii="Times New Roman" w:hAnsi="Times New Roman" w:cs="Times New Roman"/>
          <w:sz w:val="24"/>
          <w:szCs w:val="24"/>
        </w:rPr>
      </w:pPr>
    </w:p>
    <w:p w14:paraId="2DBEF567" w14:textId="77777777" w:rsidR="00AF4F0D" w:rsidRDefault="00AF4F0D" w:rsidP="00AF4F0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 conclusione d</w:t>
      </w:r>
      <w:r w:rsidR="00A57790">
        <w:rPr>
          <w:rFonts w:ascii="Times New Roman" w:hAnsi="Times New Roman" w:cs="Times New Roman"/>
          <w:sz w:val="24"/>
          <w:szCs w:val="24"/>
        </w:rPr>
        <w:t>i questo</w:t>
      </w:r>
      <w:r>
        <w:rPr>
          <w:rFonts w:ascii="Times New Roman" w:hAnsi="Times New Roman" w:cs="Times New Roman"/>
          <w:sz w:val="24"/>
          <w:szCs w:val="24"/>
        </w:rPr>
        <w:t xml:space="preserve"> </w:t>
      </w:r>
      <w:r w:rsidR="00A57790">
        <w:rPr>
          <w:rFonts w:ascii="Times New Roman" w:hAnsi="Times New Roman" w:cs="Times New Roman"/>
          <w:sz w:val="24"/>
          <w:szCs w:val="24"/>
        </w:rPr>
        <w:t>percorso di studi</w:t>
      </w:r>
      <w:r>
        <w:rPr>
          <w:rFonts w:ascii="Times New Roman" w:hAnsi="Times New Roman" w:cs="Times New Roman"/>
          <w:sz w:val="24"/>
          <w:szCs w:val="24"/>
        </w:rPr>
        <w:t xml:space="preserve"> vorrei ringraziare le persone che mi hanno accompagnato e sostenuto maggiormente.</w:t>
      </w:r>
    </w:p>
    <w:p w14:paraId="11D932BC" w14:textId="77777777" w:rsidR="00AF4F0D" w:rsidRDefault="00AF4F0D" w:rsidP="00034D73">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prof.ssa Sara Mamone ha creduto nella validità del mio progetto di ricerca ed è stata mia tutor nel dottorato in Storia delle arti e dello spettacolo </w:t>
      </w:r>
      <w:r w:rsidR="00034D73">
        <w:rPr>
          <w:rFonts w:ascii="Times New Roman" w:hAnsi="Times New Roman" w:cs="Times New Roman"/>
          <w:sz w:val="24"/>
          <w:szCs w:val="24"/>
        </w:rPr>
        <w:t>del</w:t>
      </w:r>
      <w:r>
        <w:rPr>
          <w:rFonts w:ascii="Times New Roman" w:hAnsi="Times New Roman" w:cs="Times New Roman"/>
          <w:sz w:val="24"/>
          <w:szCs w:val="24"/>
        </w:rPr>
        <w:t xml:space="preserve">l’Università degli Studi di Firenze. Grazie alle sue lezioni ho iniziato ad acquisire una metodologia con cui considerare quella partita senza fine tra arte e spettacolo i cui esiti rappresentarono, in immagini tanto affascinanti, la politica, i sogni e le speranze della società d’Antico regime.  </w:t>
      </w:r>
    </w:p>
    <w:p w14:paraId="547C0041" w14:textId="77777777" w:rsidR="00AF4F0D" w:rsidRDefault="00AF4F0D" w:rsidP="00034D73">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La prof.ssa Paola Ventrone mi ha assistito con disponibilità e costante attenzione</w:t>
      </w:r>
      <w:r w:rsidR="00034D73">
        <w:rPr>
          <w:rFonts w:ascii="Times New Roman" w:hAnsi="Times New Roman" w:cs="Times New Roman"/>
          <w:sz w:val="24"/>
          <w:szCs w:val="24"/>
        </w:rPr>
        <w:t xml:space="preserve"> durante la</w:t>
      </w:r>
      <w:r w:rsidR="00034D73" w:rsidRPr="00034D73">
        <w:rPr>
          <w:rFonts w:ascii="Times New Roman" w:hAnsi="Times New Roman" w:cs="Times New Roman"/>
          <w:sz w:val="24"/>
          <w:szCs w:val="24"/>
        </w:rPr>
        <w:t xml:space="preserve"> </w:t>
      </w:r>
      <w:r w:rsidR="00034D73">
        <w:rPr>
          <w:rFonts w:ascii="Times New Roman" w:hAnsi="Times New Roman" w:cs="Times New Roman"/>
          <w:sz w:val="24"/>
          <w:szCs w:val="24"/>
        </w:rPr>
        <w:t>stesura dell’elaborato</w:t>
      </w:r>
      <w:r>
        <w:rPr>
          <w:rFonts w:ascii="Times New Roman" w:hAnsi="Times New Roman" w:cs="Times New Roman"/>
          <w:sz w:val="24"/>
          <w:szCs w:val="24"/>
        </w:rPr>
        <w:t>, mettendo il suo tempo e l’ampio bagaglio delle sue conoscenze a mia disposizione. Sul suo esempio di rigore metodologico e di chiarezza nella scrittura io mi sforzo di comprendere qualcosa di quella civiltà teatrale del Rinascimento, della quale tante volte abbiamo ragionato insieme</w:t>
      </w:r>
      <w:r w:rsidR="00034D73">
        <w:rPr>
          <w:rFonts w:ascii="Times New Roman" w:hAnsi="Times New Roman" w:cs="Times New Roman"/>
          <w:sz w:val="24"/>
          <w:szCs w:val="24"/>
        </w:rPr>
        <w:t xml:space="preserve"> in questi anni.</w:t>
      </w:r>
    </w:p>
    <w:p w14:paraId="3422B307" w14:textId="77777777" w:rsidR="00AF4F0D" w:rsidRDefault="00AF4F0D" w:rsidP="00034D73">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prof. Darwin Smith mi ha accolto generosamente presso il </w:t>
      </w:r>
      <w:r>
        <w:rPr>
          <w:rFonts w:ascii="Times New Roman" w:hAnsi="Times New Roman" w:cs="Times New Roman"/>
          <w:i/>
          <w:sz w:val="24"/>
          <w:szCs w:val="24"/>
        </w:rPr>
        <w:t>Laboratoire de médiévistique occidentale de Paris</w:t>
      </w:r>
      <w:r>
        <w:rPr>
          <w:rFonts w:ascii="Times New Roman" w:hAnsi="Times New Roman" w:cs="Times New Roman"/>
          <w:sz w:val="24"/>
          <w:szCs w:val="24"/>
        </w:rPr>
        <w:t xml:space="preserve"> dell’Università Paris Sorbonne I, del quale ho avuto l’onore di essere ospite, e mi ha mostrato come allargare lo sguardo delle mie ricerche a un orizzonte più ampio ed europeo. </w:t>
      </w:r>
    </w:p>
    <w:p w14:paraId="323ADF39" w14:textId="77777777" w:rsidR="009F7102" w:rsidRDefault="00AF4F0D" w:rsidP="00034D73">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Con il prof. Edoardo Roberto Barbieri ho più volte parlato dei miei studi sul rapporto tra i principi del Rinascimento e la stampa. Da questo confronto ho tratto preziose informazioni</w:t>
      </w:r>
      <w:r w:rsidR="009F7102">
        <w:rPr>
          <w:rFonts w:ascii="Times New Roman" w:hAnsi="Times New Roman" w:cs="Times New Roman"/>
          <w:sz w:val="24"/>
          <w:szCs w:val="24"/>
        </w:rPr>
        <w:t xml:space="preserve"> e</w:t>
      </w:r>
      <w:r>
        <w:rPr>
          <w:rFonts w:ascii="Times New Roman" w:hAnsi="Times New Roman" w:cs="Times New Roman"/>
          <w:sz w:val="24"/>
          <w:szCs w:val="24"/>
        </w:rPr>
        <w:t xml:space="preserve"> i suoi corsi all’Università Cattolica di Milano mi hanno fornito le conoscenze di bibliologia indispensabili per svolgere quest</w:t>
      </w:r>
      <w:r w:rsidR="009F7102">
        <w:rPr>
          <w:rFonts w:ascii="Times New Roman" w:hAnsi="Times New Roman" w:cs="Times New Roman"/>
          <w:sz w:val="24"/>
          <w:szCs w:val="24"/>
        </w:rPr>
        <w:t xml:space="preserve">a ambiziosa tesi sui libri per </w:t>
      </w:r>
      <w:r>
        <w:rPr>
          <w:rFonts w:ascii="Times New Roman" w:hAnsi="Times New Roman" w:cs="Times New Roman"/>
          <w:sz w:val="24"/>
          <w:szCs w:val="24"/>
        </w:rPr>
        <w:t>n</w:t>
      </w:r>
      <w:r w:rsidR="009F7102">
        <w:rPr>
          <w:rFonts w:ascii="Times New Roman" w:hAnsi="Times New Roman" w:cs="Times New Roman"/>
          <w:sz w:val="24"/>
          <w:szCs w:val="24"/>
        </w:rPr>
        <w:t>oz</w:t>
      </w:r>
      <w:r w:rsidR="000E4945">
        <w:rPr>
          <w:rFonts w:ascii="Times New Roman" w:hAnsi="Times New Roman" w:cs="Times New Roman"/>
          <w:sz w:val="24"/>
          <w:szCs w:val="24"/>
        </w:rPr>
        <w:t>z</w:t>
      </w:r>
      <w:r w:rsidR="009F7102">
        <w:rPr>
          <w:rFonts w:ascii="Times New Roman" w:hAnsi="Times New Roman" w:cs="Times New Roman"/>
          <w:sz w:val="24"/>
          <w:szCs w:val="24"/>
        </w:rPr>
        <w:t xml:space="preserve">e. </w:t>
      </w:r>
    </w:p>
    <w:p w14:paraId="179252B8" w14:textId="77777777" w:rsidR="009F7102" w:rsidRDefault="009F7102" w:rsidP="00034D73">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prof.ssa Marzia Pieri, con gentilezza e generosità, mi ha accompagnato nelle ultime fasi del dottorato, incoraggiandomi a credere nelle mie potenzialità e nel buon esito di queste ricerche.  </w:t>
      </w:r>
    </w:p>
    <w:p w14:paraId="637C1B7B" w14:textId="77777777" w:rsidR="00034D73" w:rsidRDefault="00AF4F0D" w:rsidP="00034D73">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Alex Pepino e Alessandro Tedesco, amici e compagni di studi, hanno letto parte di questo testo e discusso con me di storia, di libri e di uomini del Rinascimento. </w:t>
      </w:r>
    </w:p>
    <w:p w14:paraId="2B373831" w14:textId="77777777" w:rsidR="00AF4F0D" w:rsidRDefault="00AF4F0D" w:rsidP="00034D73">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 </w:t>
      </w:r>
      <w:r w:rsidR="00034D73">
        <w:rPr>
          <w:rFonts w:ascii="Times New Roman" w:hAnsi="Times New Roman" w:cs="Times New Roman"/>
          <w:sz w:val="24"/>
          <w:szCs w:val="24"/>
        </w:rPr>
        <w:t>tutti costoro</w:t>
      </w:r>
      <w:r>
        <w:rPr>
          <w:rFonts w:ascii="Times New Roman" w:hAnsi="Times New Roman" w:cs="Times New Roman"/>
          <w:sz w:val="24"/>
          <w:szCs w:val="24"/>
        </w:rPr>
        <w:t xml:space="preserve"> va la mia riconoscenza per avere condiviso con me il tesoro delle loro conoscenze e per avermi donato un affetto inestimabile.  </w:t>
      </w:r>
    </w:p>
    <w:p w14:paraId="007388F8" w14:textId="77777777" w:rsidR="00AF4F0D" w:rsidRDefault="00AF4F0D" w:rsidP="00475A8C">
      <w:pPr>
        <w:pStyle w:val="Nessunaspaziatura"/>
        <w:spacing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Infine, desidero ringraziare, per il sostegno con cui mi hanno incoraggiato, mio papà, mia sorella Laura, mio cognato Tiziano e mia cugina Emanuela. che lavorano nella nostra tipografia a Germignaga, sul Lago Maggiore. A loro, anche se le nostre opinioni sono differenti, io continuo a ripetere che un in-folio ha due carte, un in-quarto ne ha quattro, un in-ottavo ne ha otto. E questo, in fondo, non fa che spiegarci come nella vita non ci resti che cercare, magari stando sulla realtà con metodi e modi differenti, un piccolo, chiaro orizzonte di </w:t>
      </w:r>
      <w:r w:rsidR="002A0B98">
        <w:rPr>
          <w:rFonts w:ascii="Times New Roman" w:hAnsi="Times New Roman" w:cs="Times New Roman"/>
          <w:sz w:val="24"/>
          <w:szCs w:val="24"/>
        </w:rPr>
        <w:t>v</w:t>
      </w:r>
      <w:r>
        <w:rPr>
          <w:rFonts w:ascii="Times New Roman" w:hAnsi="Times New Roman" w:cs="Times New Roman"/>
          <w:sz w:val="24"/>
          <w:szCs w:val="24"/>
        </w:rPr>
        <w:t xml:space="preserve">erità. </w:t>
      </w:r>
    </w:p>
    <w:p w14:paraId="6B5A4B69" w14:textId="77777777" w:rsidR="00426D6A" w:rsidRDefault="00426D6A" w:rsidP="00E74FC7">
      <w:pPr>
        <w:spacing w:line="259" w:lineRule="auto"/>
        <w:jc w:val="both"/>
        <w:rPr>
          <w:rFonts w:ascii="Times New Roman" w:hAnsi="Times New Roman" w:cs="Times New Roman"/>
          <w:sz w:val="24"/>
          <w:szCs w:val="24"/>
        </w:rPr>
      </w:pPr>
    </w:p>
    <w:p w14:paraId="020BF9A1" w14:textId="77777777" w:rsidR="00AF4F0D" w:rsidRDefault="00AF4F0D" w:rsidP="00426D6A">
      <w:pPr>
        <w:jc w:val="center"/>
        <w:rPr>
          <w:rFonts w:ascii="Times New Roman" w:hAnsi="Times New Roman" w:cs="Times New Roman"/>
          <w:smallCaps/>
          <w:sz w:val="24"/>
          <w:szCs w:val="24"/>
        </w:rPr>
      </w:pPr>
    </w:p>
    <w:p w14:paraId="20744585" w14:textId="77777777" w:rsidR="00426D6A" w:rsidRPr="00096909" w:rsidRDefault="00426D6A" w:rsidP="00426D6A">
      <w:pPr>
        <w:jc w:val="center"/>
        <w:rPr>
          <w:rFonts w:ascii="Times New Roman" w:hAnsi="Times New Roman" w:cs="Times New Roman"/>
          <w:smallCaps/>
          <w:sz w:val="24"/>
          <w:szCs w:val="24"/>
        </w:rPr>
      </w:pPr>
      <w:r w:rsidRPr="00096909">
        <w:rPr>
          <w:rFonts w:ascii="Times New Roman" w:hAnsi="Times New Roman" w:cs="Times New Roman"/>
          <w:smallCaps/>
          <w:sz w:val="24"/>
          <w:szCs w:val="24"/>
        </w:rPr>
        <w:t>Capitolo I</w:t>
      </w:r>
    </w:p>
    <w:p w14:paraId="279BC35B" w14:textId="77777777" w:rsidR="00426D6A" w:rsidRPr="00096909" w:rsidRDefault="00426D6A" w:rsidP="00426D6A">
      <w:pPr>
        <w:tabs>
          <w:tab w:val="left" w:pos="1843"/>
        </w:tabs>
        <w:jc w:val="center"/>
        <w:rPr>
          <w:rFonts w:ascii="Times New Roman" w:hAnsi="Times New Roman" w:cs="Times New Roman"/>
          <w:smallCaps/>
          <w:sz w:val="24"/>
          <w:szCs w:val="24"/>
        </w:rPr>
      </w:pPr>
      <w:r w:rsidRPr="00096909">
        <w:rPr>
          <w:rFonts w:ascii="Times New Roman" w:hAnsi="Times New Roman" w:cs="Times New Roman"/>
          <w:smallCaps/>
          <w:sz w:val="24"/>
          <w:szCs w:val="24"/>
        </w:rPr>
        <w:t>I signori e le loro biblioteche nella seconda metà del Quattrocento</w:t>
      </w:r>
    </w:p>
    <w:p w14:paraId="1DA241D8" w14:textId="77777777" w:rsidR="00426D6A" w:rsidRPr="00096909" w:rsidRDefault="00426D6A" w:rsidP="00426D6A">
      <w:pPr>
        <w:jc w:val="both"/>
        <w:rPr>
          <w:rFonts w:ascii="Times New Roman" w:hAnsi="Times New Roman" w:cs="Times New Roman"/>
          <w:sz w:val="24"/>
          <w:szCs w:val="24"/>
        </w:rPr>
      </w:pPr>
    </w:p>
    <w:p w14:paraId="74C4AF64" w14:textId="77777777" w:rsidR="00426D6A" w:rsidRPr="00096909" w:rsidRDefault="00426D6A" w:rsidP="00426D6A">
      <w:pPr>
        <w:jc w:val="both"/>
        <w:rPr>
          <w:rFonts w:ascii="Times New Roman" w:hAnsi="Times New Roman" w:cs="Times New Roman"/>
          <w:sz w:val="24"/>
          <w:szCs w:val="24"/>
        </w:rPr>
      </w:pPr>
    </w:p>
    <w:p w14:paraId="38898AD0" w14:textId="77777777" w:rsidR="00426D6A" w:rsidRPr="00096909" w:rsidRDefault="00426D6A" w:rsidP="00426D6A">
      <w:pPr>
        <w:jc w:val="both"/>
        <w:rPr>
          <w:rFonts w:ascii="Times New Roman" w:hAnsi="Times New Roman" w:cs="Times New Roman"/>
          <w:sz w:val="24"/>
          <w:szCs w:val="24"/>
        </w:rPr>
      </w:pPr>
      <w:r w:rsidRPr="00096909">
        <w:rPr>
          <w:rFonts w:ascii="Times New Roman" w:hAnsi="Times New Roman" w:cs="Times New Roman"/>
          <w:sz w:val="24"/>
          <w:szCs w:val="24"/>
        </w:rPr>
        <w:t>1</w:t>
      </w:r>
      <w:r w:rsidRPr="00096909">
        <w:rPr>
          <w:rFonts w:ascii="Times New Roman" w:hAnsi="Times New Roman" w:cs="Times New Roman"/>
          <w:i/>
          <w:sz w:val="24"/>
          <w:szCs w:val="24"/>
        </w:rPr>
        <w:t>. Organizzazione delle raccolte</w:t>
      </w:r>
    </w:p>
    <w:p w14:paraId="0F9F0E3B" w14:textId="77777777" w:rsidR="00426D6A" w:rsidRPr="00096909" w:rsidRDefault="00426D6A" w:rsidP="00426D6A">
      <w:pPr>
        <w:spacing w:line="360" w:lineRule="auto"/>
        <w:jc w:val="both"/>
        <w:rPr>
          <w:rFonts w:ascii="Times New Roman" w:hAnsi="Times New Roman" w:cs="Times New Roman"/>
          <w:sz w:val="24"/>
          <w:szCs w:val="24"/>
        </w:rPr>
      </w:pPr>
    </w:p>
    <w:p w14:paraId="63F1978B" w14:textId="77777777" w:rsidR="00426D6A" w:rsidRPr="00096909" w:rsidRDefault="00426D6A" w:rsidP="00426D6A">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Alla morte di Francesco I Gonzaga, quarto signore di Mantova, fu redatta una lista dei beni di sua proprietà, comprendente l’elenco dei 392 manoscritti conservati “in camera librarie” presso il castello di San Giorgio.</w:t>
      </w:r>
      <w:r w:rsidRPr="00096909">
        <w:rPr>
          <w:rStyle w:val="Rimandonotaapidipagina"/>
          <w:rFonts w:ascii="Times New Roman" w:hAnsi="Times New Roman" w:cs="Times New Roman"/>
          <w:sz w:val="24"/>
          <w:szCs w:val="24"/>
        </w:rPr>
        <w:footnoteReference w:id="7"/>
      </w:r>
      <w:r w:rsidRPr="00096909">
        <w:rPr>
          <w:rFonts w:ascii="Times New Roman" w:hAnsi="Times New Roman" w:cs="Times New Roman"/>
          <w:sz w:val="24"/>
          <w:szCs w:val="24"/>
        </w:rPr>
        <w:t xml:space="preserve"> Questo documento, risalente all’aprile 1407, può essere scelto come punto di partenza per un’indagine sulle modalità di formazione delle collezioni librarie dei signori italiani del Rinascimento. È infatti il più antico inventario conservato di una delle biblioteche appartenute alle famiglie regnanti sulla Penisola nella seconda metà del Quattrocento e</w:t>
      </w:r>
      <w:r w:rsidR="00203CA7">
        <w:rPr>
          <w:rFonts w:ascii="Times New Roman" w:hAnsi="Times New Roman" w:cs="Times New Roman"/>
          <w:sz w:val="24"/>
          <w:szCs w:val="24"/>
        </w:rPr>
        <w:t>,</w:t>
      </w:r>
      <w:r w:rsidRPr="00096909">
        <w:rPr>
          <w:rFonts w:ascii="Times New Roman" w:hAnsi="Times New Roman" w:cs="Times New Roman"/>
          <w:sz w:val="24"/>
          <w:szCs w:val="24"/>
        </w:rPr>
        <w:t xml:space="preserve"> sebbene testimoni un momento remoto della storia della raccolta della corte di Mantova, offre tuttavia una testimonianza chiara di come a quell’epoca si procedette alla formazione delle collezioni. </w:t>
      </w:r>
    </w:p>
    <w:p w14:paraId="464F8C7B"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Alla voce numero 6 il testo annovera un </w:t>
      </w:r>
      <w:r w:rsidRPr="00096909">
        <w:rPr>
          <w:rFonts w:ascii="Times New Roman" w:hAnsi="Times New Roman" w:cs="Times New Roman"/>
          <w:i/>
          <w:sz w:val="24"/>
          <w:szCs w:val="24"/>
        </w:rPr>
        <w:t>Tresor,</w:t>
      </w:r>
      <w:r w:rsidRPr="00096909">
        <w:rPr>
          <w:rFonts w:ascii="Times New Roman" w:hAnsi="Times New Roman" w:cs="Times New Roman"/>
          <w:sz w:val="24"/>
          <w:szCs w:val="24"/>
        </w:rPr>
        <w:t xml:space="preserve"> identificato con uno dei due esemplari dell’opera di Brunetto Latini che il 25 settembre 1325 Filippone Bonacolsi menzionava nel suo testamento, richiedendone il riscatto agli eredi, da</w:t>
      </w:r>
      <w:r w:rsidR="00203CA7">
        <w:rPr>
          <w:rFonts w:ascii="Times New Roman" w:hAnsi="Times New Roman" w:cs="Times New Roman"/>
          <w:sz w:val="24"/>
          <w:szCs w:val="24"/>
        </w:rPr>
        <w:t>to</w:t>
      </w:r>
      <w:r w:rsidRPr="00096909">
        <w:rPr>
          <w:rFonts w:ascii="Times New Roman" w:hAnsi="Times New Roman" w:cs="Times New Roman"/>
          <w:sz w:val="24"/>
          <w:szCs w:val="24"/>
        </w:rPr>
        <w:t xml:space="preserve"> che egli lo aveva impegnato presso il banchiere fiorentino Blancocio Capersari insieme ad un </w:t>
      </w:r>
      <w:r w:rsidRPr="00096909">
        <w:rPr>
          <w:rFonts w:ascii="Times New Roman" w:hAnsi="Times New Roman" w:cs="Times New Roman"/>
          <w:i/>
          <w:sz w:val="24"/>
          <w:szCs w:val="24"/>
        </w:rPr>
        <w:t>Cesarianus</w:t>
      </w:r>
      <w:r w:rsidRPr="00096909">
        <w:rPr>
          <w:rFonts w:ascii="Times New Roman" w:hAnsi="Times New Roman" w:cs="Times New Roman"/>
          <w:sz w:val="24"/>
          <w:szCs w:val="24"/>
        </w:rPr>
        <w:t xml:space="preserve">, un </w:t>
      </w:r>
      <w:r w:rsidRPr="00096909">
        <w:rPr>
          <w:rFonts w:ascii="Times New Roman" w:hAnsi="Times New Roman" w:cs="Times New Roman"/>
          <w:i/>
          <w:sz w:val="24"/>
          <w:szCs w:val="24"/>
        </w:rPr>
        <w:t>Sidrac</w:t>
      </w:r>
      <w:r w:rsidRPr="00096909">
        <w:rPr>
          <w:rFonts w:ascii="Times New Roman" w:hAnsi="Times New Roman" w:cs="Times New Roman"/>
          <w:sz w:val="24"/>
          <w:szCs w:val="24"/>
        </w:rPr>
        <w:t xml:space="preserve">, un </w:t>
      </w:r>
      <w:r w:rsidRPr="00096909">
        <w:rPr>
          <w:rFonts w:ascii="Times New Roman" w:hAnsi="Times New Roman" w:cs="Times New Roman"/>
          <w:i/>
          <w:sz w:val="24"/>
          <w:szCs w:val="24"/>
        </w:rPr>
        <w:t>Tristanus</w:t>
      </w:r>
      <w:r w:rsidRPr="00096909">
        <w:rPr>
          <w:rFonts w:ascii="Times New Roman" w:hAnsi="Times New Roman" w:cs="Times New Roman"/>
          <w:sz w:val="24"/>
          <w:szCs w:val="24"/>
        </w:rPr>
        <w:t xml:space="preserve"> e un </w:t>
      </w:r>
      <w:r w:rsidRPr="00096909">
        <w:rPr>
          <w:rFonts w:ascii="Times New Roman" w:hAnsi="Times New Roman" w:cs="Times New Roman"/>
          <w:i/>
          <w:sz w:val="24"/>
          <w:szCs w:val="24"/>
        </w:rPr>
        <w:t>Trojano</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8"/>
      </w:r>
      <w:r w:rsidRPr="00096909">
        <w:rPr>
          <w:rFonts w:ascii="Times New Roman" w:hAnsi="Times New Roman" w:cs="Times New Roman"/>
          <w:sz w:val="24"/>
          <w:szCs w:val="24"/>
        </w:rPr>
        <w:t xml:space="preserve"> L’eredità di Filippone giunse così tra le mani di Rinaldo e Botirone Bonacolsi. Ma nell’agosto 1328, dopo la violenta presa della città da parte di Ludovico I Gonzaga in cui Rinaldo perse la vita, le loro proprietà furono requisite dal nuovo capitano del popolo, e i libri e l’archivio dei Bonacolsi incamerati dai Gonzaga.</w:t>
      </w:r>
      <w:r w:rsidRPr="00096909">
        <w:rPr>
          <w:rStyle w:val="Rimandonotaapidipagina"/>
          <w:rFonts w:ascii="Times New Roman" w:hAnsi="Times New Roman" w:cs="Times New Roman"/>
          <w:sz w:val="24"/>
          <w:szCs w:val="24"/>
        </w:rPr>
        <w:footnoteReference w:id="9"/>
      </w:r>
      <w:r w:rsidRPr="00096909">
        <w:rPr>
          <w:rFonts w:ascii="Times New Roman" w:hAnsi="Times New Roman" w:cs="Times New Roman"/>
          <w:sz w:val="24"/>
          <w:szCs w:val="24"/>
        </w:rPr>
        <w:t xml:space="preserve">  </w:t>
      </w:r>
    </w:p>
    <w:p w14:paraId="74CD347B"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Grazie alla spoliazione dei beni dei rivali sopraffatti ebbe dunque origine il nucleo primario della biblioteca, che i discendenti di Ludovico I ebbero cura di ampliare. Una cura che già al tempo </w:t>
      </w:r>
      <w:r w:rsidRPr="00096909">
        <w:rPr>
          <w:rFonts w:ascii="Times New Roman" w:hAnsi="Times New Roman" w:cs="Times New Roman"/>
          <w:sz w:val="24"/>
          <w:szCs w:val="24"/>
        </w:rPr>
        <w:lastRenderedPageBreak/>
        <w:t>di Guido Gonzaga poté contare sulla consulenza di fini intellettuali, come Francesco Petrarca, che fu più volte suo ospite e che con lui intrattenne una corrispondenza epistolare, incoraggiandolo ad allestire una raccolta ricca di opere della classicità, alla quale contribuì il poeta stesso donando alcuni volumi.</w:t>
      </w:r>
      <w:r w:rsidRPr="00096909">
        <w:rPr>
          <w:rStyle w:val="Rimandonotaapidipagina"/>
          <w:rFonts w:ascii="Times New Roman" w:hAnsi="Times New Roman" w:cs="Times New Roman"/>
          <w:sz w:val="24"/>
          <w:szCs w:val="24"/>
        </w:rPr>
        <w:footnoteReference w:id="10"/>
      </w:r>
    </w:p>
    <w:p w14:paraId="7F633ECD"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In quegli stessi anni i marchesi Gonzaga intensificarono le relazioni con le corti dei nobili loro alleati per il reperimento di testi filologicamente corretti, e la notorietà della loro biblioteca crebbe ampiamente, come attesta l’epistola che nel novembre 1395 </w:t>
      </w:r>
      <w:bookmarkStart w:id="5" w:name="_Hlk535664907"/>
      <w:r w:rsidRPr="00096909">
        <w:rPr>
          <w:rFonts w:ascii="Times New Roman" w:hAnsi="Times New Roman" w:cs="Times New Roman"/>
          <w:sz w:val="24"/>
          <w:szCs w:val="24"/>
        </w:rPr>
        <w:t xml:space="preserve">Coluccio Salutati </w:t>
      </w:r>
      <w:bookmarkEnd w:id="5"/>
      <w:r w:rsidRPr="00096909">
        <w:rPr>
          <w:rFonts w:ascii="Times New Roman" w:hAnsi="Times New Roman" w:cs="Times New Roman"/>
          <w:sz w:val="24"/>
          <w:szCs w:val="24"/>
        </w:rPr>
        <w:t xml:space="preserve">indirizzava a </w:t>
      </w:r>
      <w:bookmarkStart w:id="6" w:name="_Hlk535665084"/>
      <w:r w:rsidRPr="00096909">
        <w:rPr>
          <w:rFonts w:ascii="Times New Roman" w:hAnsi="Times New Roman" w:cs="Times New Roman"/>
          <w:sz w:val="24"/>
          <w:szCs w:val="24"/>
        </w:rPr>
        <w:t>Gian Francesco I</w:t>
      </w:r>
      <w:bookmarkEnd w:id="6"/>
      <w:r w:rsidRPr="00096909">
        <w:rPr>
          <w:rFonts w:ascii="Times New Roman" w:hAnsi="Times New Roman" w:cs="Times New Roman"/>
          <w:sz w:val="24"/>
          <w:szCs w:val="24"/>
        </w:rPr>
        <w:t>. Pieno d’ammirazione per la libreria, il cancelliere fiorentino si augurava di poterne consultare l’antichissimo codice di Ennio, e affermava: «</w:t>
      </w:r>
      <w:r w:rsidRPr="00096909">
        <w:rPr>
          <w:rFonts w:ascii="Times New Roman" w:hAnsi="Times New Roman" w:cs="Times New Roman"/>
          <w:i/>
          <w:sz w:val="24"/>
          <w:szCs w:val="24"/>
        </w:rPr>
        <w:t>Scio, magnificentissime Domine mi, penes te maximam copiam esse librorum, multasque te congregasse qui non possent alibi forsitan reperiri</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1"/>
      </w:r>
    </w:p>
    <w:p w14:paraId="1D6D42E0"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Dal 1414, inoltre, la biblioteca acco</w:t>
      </w:r>
      <w:r>
        <w:rPr>
          <w:rFonts w:ascii="Times New Roman" w:hAnsi="Times New Roman" w:cs="Times New Roman"/>
          <w:sz w:val="24"/>
          <w:szCs w:val="24"/>
        </w:rPr>
        <w:t>lse</w:t>
      </w:r>
      <w:r w:rsidRPr="00096909">
        <w:rPr>
          <w:rFonts w:ascii="Times New Roman" w:hAnsi="Times New Roman" w:cs="Times New Roman"/>
          <w:sz w:val="24"/>
          <w:szCs w:val="24"/>
        </w:rPr>
        <w:t xml:space="preserve"> i libri confiscati a </w:t>
      </w:r>
      <w:bookmarkStart w:id="7" w:name="_Hlk535665210"/>
      <w:r w:rsidRPr="00096909">
        <w:rPr>
          <w:rFonts w:ascii="Times New Roman" w:hAnsi="Times New Roman" w:cs="Times New Roman"/>
          <w:sz w:val="24"/>
          <w:szCs w:val="24"/>
        </w:rPr>
        <w:t>Carlo Albertini, conte di Prato</w:t>
      </w:r>
      <w:bookmarkEnd w:id="7"/>
      <w:r w:rsidRPr="00096909">
        <w:rPr>
          <w:rFonts w:ascii="Times New Roman" w:hAnsi="Times New Roman" w:cs="Times New Roman"/>
          <w:sz w:val="24"/>
          <w:szCs w:val="24"/>
        </w:rPr>
        <w:t xml:space="preserve">, sospettato di avere ordito una congiura ai danni del Gonzaga insieme a </w:t>
      </w:r>
      <w:bookmarkStart w:id="8" w:name="_Hlk535665261"/>
      <w:r w:rsidRPr="00096909">
        <w:rPr>
          <w:rFonts w:ascii="Times New Roman" w:hAnsi="Times New Roman" w:cs="Times New Roman"/>
          <w:sz w:val="24"/>
          <w:szCs w:val="24"/>
        </w:rPr>
        <w:t xml:space="preserve">Martino dei Pegorini </w:t>
      </w:r>
      <w:bookmarkEnd w:id="8"/>
      <w:r w:rsidRPr="00096909">
        <w:rPr>
          <w:rFonts w:ascii="Times New Roman" w:hAnsi="Times New Roman" w:cs="Times New Roman"/>
          <w:sz w:val="24"/>
          <w:szCs w:val="24"/>
        </w:rPr>
        <w:t xml:space="preserve">e </w:t>
      </w:r>
      <w:bookmarkStart w:id="9" w:name="_Hlk535665292"/>
      <w:r w:rsidRPr="00096909">
        <w:rPr>
          <w:rFonts w:ascii="Times New Roman" w:hAnsi="Times New Roman" w:cs="Times New Roman"/>
          <w:sz w:val="24"/>
          <w:szCs w:val="24"/>
        </w:rPr>
        <w:t>Gabriele Faraone</w:t>
      </w:r>
      <w:bookmarkEnd w:id="9"/>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2"/>
      </w:r>
      <w:r w:rsidRPr="00096909">
        <w:rPr>
          <w:rFonts w:ascii="Times New Roman" w:hAnsi="Times New Roman" w:cs="Times New Roman"/>
          <w:sz w:val="24"/>
          <w:szCs w:val="24"/>
        </w:rPr>
        <w:t xml:space="preserve"> Sempre durante il marchesato di Gian Francesco, la presenza di Vittorino da Feltre quale precettore dei figli del marchese (Ludovico, Carlo, Gian Lucido, Margherita, Cecilia e Alessandro), fece di Mantova una tra le corti più apprezzate del Quattrocento per quanto pertiene l’ambito culturale. All’esperienza pedagogica d’eccellenza di Ca’ Zoiosa l’umanista accost</w:t>
      </w:r>
      <w:r>
        <w:rPr>
          <w:rFonts w:ascii="Times New Roman" w:hAnsi="Times New Roman" w:cs="Times New Roman"/>
          <w:sz w:val="24"/>
          <w:szCs w:val="24"/>
        </w:rPr>
        <w:t>ò, infatti,</w:t>
      </w:r>
      <w:r w:rsidRPr="00096909">
        <w:rPr>
          <w:rFonts w:ascii="Times New Roman" w:hAnsi="Times New Roman" w:cs="Times New Roman"/>
          <w:sz w:val="24"/>
          <w:szCs w:val="24"/>
        </w:rPr>
        <w:t xml:space="preserve"> un importante stimolo alla copiatura in loco delle opere dei classici latini, tra cui i testi di Cicerone affidati all’allievo </w:t>
      </w:r>
      <w:bookmarkStart w:id="10" w:name="_Hlk535665943"/>
      <w:r w:rsidRPr="00096909">
        <w:rPr>
          <w:rFonts w:ascii="Times New Roman" w:hAnsi="Times New Roman" w:cs="Times New Roman"/>
          <w:sz w:val="24"/>
          <w:szCs w:val="24"/>
        </w:rPr>
        <w:t>Francesco Calcagnini</w:t>
      </w:r>
      <w:bookmarkEnd w:id="10"/>
      <w:r>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3"/>
      </w:r>
      <w:r w:rsidRPr="00096909">
        <w:rPr>
          <w:rFonts w:ascii="Times New Roman" w:hAnsi="Times New Roman" w:cs="Times New Roman"/>
          <w:sz w:val="24"/>
          <w:szCs w:val="24"/>
        </w:rPr>
        <w:t xml:space="preserve"> </w:t>
      </w:r>
      <w:r>
        <w:rPr>
          <w:rFonts w:ascii="Times New Roman" w:hAnsi="Times New Roman" w:cs="Times New Roman"/>
          <w:sz w:val="24"/>
          <w:szCs w:val="24"/>
        </w:rPr>
        <w:t>e p</w:t>
      </w:r>
      <w:r w:rsidRPr="00096909">
        <w:rPr>
          <w:rFonts w:ascii="Times New Roman" w:hAnsi="Times New Roman" w:cs="Times New Roman"/>
          <w:sz w:val="24"/>
          <w:szCs w:val="24"/>
        </w:rPr>
        <w:t xml:space="preserve">er primo introdusse in città lo studio del greco, di cui sollecitò il reperimento dei principali capolavori letterari, come le </w:t>
      </w:r>
      <w:r w:rsidRPr="00096909">
        <w:rPr>
          <w:rFonts w:ascii="Times New Roman" w:hAnsi="Times New Roman" w:cs="Times New Roman"/>
          <w:i/>
          <w:sz w:val="24"/>
          <w:szCs w:val="24"/>
        </w:rPr>
        <w:t>Vite parallele</w:t>
      </w:r>
      <w:r w:rsidRPr="00096909">
        <w:rPr>
          <w:rFonts w:ascii="Times New Roman" w:hAnsi="Times New Roman" w:cs="Times New Roman"/>
          <w:sz w:val="24"/>
          <w:szCs w:val="24"/>
        </w:rPr>
        <w:t xml:space="preserve"> di </w:t>
      </w:r>
      <w:bookmarkStart w:id="11" w:name="_Hlk535666041"/>
      <w:r w:rsidRPr="00096909">
        <w:rPr>
          <w:rFonts w:ascii="Times New Roman" w:hAnsi="Times New Roman" w:cs="Times New Roman"/>
          <w:sz w:val="24"/>
          <w:szCs w:val="24"/>
        </w:rPr>
        <w:t>Plutarco</w:t>
      </w:r>
      <w:bookmarkEnd w:id="11"/>
      <w:r w:rsidRPr="00096909">
        <w:rPr>
          <w:rFonts w:ascii="Times New Roman" w:hAnsi="Times New Roman" w:cs="Times New Roman"/>
          <w:sz w:val="24"/>
          <w:szCs w:val="24"/>
        </w:rPr>
        <w:t>, copiate per i Gonzaga nel 1431 a</w:t>
      </w:r>
      <w:r>
        <w:rPr>
          <w:rFonts w:ascii="Times New Roman" w:hAnsi="Times New Roman" w:cs="Times New Roman"/>
          <w:sz w:val="24"/>
          <w:szCs w:val="24"/>
        </w:rPr>
        <w:t xml:space="preserve"> opera di</w:t>
      </w:r>
      <w:r w:rsidRPr="00096909">
        <w:rPr>
          <w:rFonts w:ascii="Times New Roman" w:hAnsi="Times New Roman" w:cs="Times New Roman"/>
          <w:sz w:val="24"/>
          <w:szCs w:val="24"/>
        </w:rPr>
        <w:t xml:space="preserve"> </w:t>
      </w:r>
      <w:bookmarkStart w:id="12" w:name="_Hlk535666091"/>
      <w:r w:rsidRPr="00096909">
        <w:rPr>
          <w:rFonts w:ascii="Times New Roman" w:hAnsi="Times New Roman" w:cs="Times New Roman"/>
          <w:sz w:val="24"/>
          <w:szCs w:val="24"/>
        </w:rPr>
        <w:t xml:space="preserve">Gerardo da Patrasso </w:t>
      </w:r>
      <w:bookmarkEnd w:id="12"/>
      <w:r w:rsidRPr="00096909">
        <w:rPr>
          <w:rFonts w:ascii="Times New Roman" w:hAnsi="Times New Roman" w:cs="Times New Roman"/>
          <w:sz w:val="24"/>
          <w:szCs w:val="24"/>
        </w:rPr>
        <w:t>dal più antico manoscritto noto dell’opera, recato in Italia nel 1423 dall'Aurispa.</w:t>
      </w:r>
      <w:r w:rsidRPr="00096909">
        <w:rPr>
          <w:rStyle w:val="Rimandonotaapidipagina"/>
          <w:rFonts w:ascii="Times New Roman" w:hAnsi="Times New Roman" w:cs="Times New Roman"/>
          <w:sz w:val="24"/>
          <w:szCs w:val="24"/>
        </w:rPr>
        <w:footnoteReference w:id="14"/>
      </w:r>
      <w:r w:rsidRPr="00096909">
        <w:rPr>
          <w:rFonts w:ascii="Times New Roman" w:hAnsi="Times New Roman" w:cs="Times New Roman"/>
          <w:sz w:val="24"/>
          <w:szCs w:val="24"/>
        </w:rPr>
        <w:t xml:space="preserve"> </w:t>
      </w:r>
    </w:p>
    <w:p w14:paraId="03AB3D5B"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Una grida del 1434</w:t>
      </w:r>
      <w:r>
        <w:rPr>
          <w:rFonts w:ascii="Times New Roman" w:hAnsi="Times New Roman" w:cs="Times New Roman"/>
          <w:sz w:val="24"/>
          <w:szCs w:val="24"/>
        </w:rPr>
        <w:t xml:space="preserve"> </w:t>
      </w:r>
      <w:r w:rsidRPr="00096909">
        <w:rPr>
          <w:rFonts w:ascii="Times New Roman" w:hAnsi="Times New Roman" w:cs="Times New Roman"/>
          <w:sz w:val="24"/>
          <w:szCs w:val="24"/>
        </w:rPr>
        <w:t>intima</w:t>
      </w:r>
      <w:r>
        <w:rPr>
          <w:rFonts w:ascii="Times New Roman" w:hAnsi="Times New Roman" w:cs="Times New Roman"/>
          <w:sz w:val="24"/>
          <w:szCs w:val="24"/>
        </w:rPr>
        <w:t>nte</w:t>
      </w:r>
      <w:r w:rsidRPr="00096909">
        <w:rPr>
          <w:rFonts w:ascii="Times New Roman" w:hAnsi="Times New Roman" w:cs="Times New Roman"/>
          <w:sz w:val="24"/>
          <w:szCs w:val="24"/>
        </w:rPr>
        <w:t xml:space="preserve"> la restituzione dei volumi gonzagheschi a Vittorino testimonia espressamente come il pedagogo fosse stato preposto alla gestione della biblioteca di corte, compito nel quale </w:t>
      </w:r>
      <w:r>
        <w:rPr>
          <w:rFonts w:ascii="Times New Roman" w:hAnsi="Times New Roman" w:cs="Times New Roman"/>
          <w:sz w:val="24"/>
          <w:szCs w:val="24"/>
        </w:rPr>
        <w:t xml:space="preserve">egli </w:t>
      </w:r>
      <w:r w:rsidRPr="00096909">
        <w:rPr>
          <w:rFonts w:ascii="Times New Roman" w:hAnsi="Times New Roman" w:cs="Times New Roman"/>
          <w:sz w:val="24"/>
          <w:szCs w:val="24"/>
        </w:rPr>
        <w:t>fu assai liberale, concedendo libri in prestito a diversi lettori, tanto che alla sua morte, nel 1446, si rese necessaria una seconda grida per revocare tutti i prestiti.</w:t>
      </w:r>
      <w:r w:rsidRPr="00096909">
        <w:rPr>
          <w:rStyle w:val="Rimandonotaapidipagina"/>
          <w:rFonts w:ascii="Times New Roman" w:hAnsi="Times New Roman" w:cs="Times New Roman"/>
          <w:sz w:val="24"/>
          <w:szCs w:val="24"/>
        </w:rPr>
        <w:footnoteReference w:id="15"/>
      </w:r>
      <w:r w:rsidRPr="00096909">
        <w:rPr>
          <w:rFonts w:ascii="Times New Roman" w:hAnsi="Times New Roman" w:cs="Times New Roman"/>
          <w:sz w:val="24"/>
          <w:szCs w:val="24"/>
        </w:rPr>
        <w:t xml:space="preserve"> I volumi </w:t>
      </w:r>
      <w:r>
        <w:rPr>
          <w:rFonts w:ascii="Times New Roman" w:hAnsi="Times New Roman" w:cs="Times New Roman"/>
          <w:sz w:val="24"/>
          <w:szCs w:val="24"/>
        </w:rPr>
        <w:t>di proprietà di</w:t>
      </w:r>
      <w:r w:rsidRPr="00096909">
        <w:rPr>
          <w:rFonts w:ascii="Times New Roman" w:hAnsi="Times New Roman" w:cs="Times New Roman"/>
          <w:sz w:val="24"/>
          <w:szCs w:val="24"/>
        </w:rPr>
        <w:t xml:space="preserve"> Vittorino furono invece ereditati da </w:t>
      </w:r>
      <w:bookmarkStart w:id="13" w:name="_Hlk535666832"/>
      <w:r w:rsidRPr="00096909">
        <w:rPr>
          <w:rFonts w:ascii="Times New Roman" w:hAnsi="Times New Roman" w:cs="Times New Roman"/>
          <w:sz w:val="24"/>
          <w:szCs w:val="24"/>
        </w:rPr>
        <w:t>Jacopo da San Cassiano</w:t>
      </w:r>
      <w:bookmarkEnd w:id="13"/>
      <w:r w:rsidRPr="00096909">
        <w:rPr>
          <w:rFonts w:ascii="Times New Roman" w:hAnsi="Times New Roman" w:cs="Times New Roman"/>
          <w:sz w:val="24"/>
          <w:szCs w:val="24"/>
        </w:rPr>
        <w:t>, suo discepolo e successore nella guida di Ca’ Zoiosa, ma successivamente rilevati dal marchese Ludovico II. Quest’ultimo fu davvero collezionista sensibile e nel 1461 riuscì ad acquistare</w:t>
      </w:r>
      <w:r>
        <w:rPr>
          <w:rFonts w:ascii="Times New Roman" w:hAnsi="Times New Roman" w:cs="Times New Roman"/>
          <w:sz w:val="24"/>
          <w:szCs w:val="24"/>
        </w:rPr>
        <w:t>,</w:t>
      </w:r>
      <w:r w:rsidRPr="00096909">
        <w:rPr>
          <w:rFonts w:ascii="Times New Roman" w:hAnsi="Times New Roman" w:cs="Times New Roman"/>
          <w:sz w:val="24"/>
          <w:szCs w:val="24"/>
        </w:rPr>
        <w:t xml:space="preserve"> grazie alla mediazione di </w:t>
      </w:r>
      <w:bookmarkStart w:id="14" w:name="_Hlk535666924"/>
      <w:r w:rsidRPr="00096909">
        <w:rPr>
          <w:rFonts w:ascii="Times New Roman" w:hAnsi="Times New Roman" w:cs="Times New Roman"/>
          <w:sz w:val="24"/>
          <w:szCs w:val="24"/>
        </w:rPr>
        <w:t>Gregorio Tifernate</w:t>
      </w:r>
      <w:bookmarkEnd w:id="14"/>
      <w:r>
        <w:rPr>
          <w:rFonts w:ascii="Times New Roman" w:hAnsi="Times New Roman" w:cs="Times New Roman"/>
          <w:sz w:val="24"/>
          <w:szCs w:val="24"/>
        </w:rPr>
        <w:t>,</w:t>
      </w:r>
      <w:r w:rsidRPr="00096909">
        <w:rPr>
          <w:rFonts w:ascii="Times New Roman" w:hAnsi="Times New Roman" w:cs="Times New Roman"/>
          <w:sz w:val="24"/>
          <w:szCs w:val="24"/>
        </w:rPr>
        <w:t xml:space="preserve"> la maggior parte dei codici greci appartenuti a Giovanni Aurispa, morto a Ferrara alla fine di maggio del 1459.</w:t>
      </w:r>
      <w:r w:rsidRPr="00096909">
        <w:rPr>
          <w:rStyle w:val="Rimandonotaapidipagina"/>
          <w:rFonts w:ascii="Times New Roman" w:hAnsi="Times New Roman" w:cs="Times New Roman"/>
          <w:sz w:val="24"/>
          <w:szCs w:val="24"/>
        </w:rPr>
        <w:footnoteReference w:id="16"/>
      </w:r>
      <w:r w:rsidRPr="00096909">
        <w:rPr>
          <w:rFonts w:ascii="Times New Roman" w:hAnsi="Times New Roman" w:cs="Times New Roman"/>
          <w:sz w:val="24"/>
          <w:szCs w:val="24"/>
        </w:rPr>
        <w:t xml:space="preserve"> </w:t>
      </w:r>
    </w:p>
    <w:p w14:paraId="5B5D8574"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Non minore fu il desiderio del principe di possedere le opere degli antichi in una lezione filologicamente corretta. Nel 1459, ad esempio, in occasione della dieta di Mantova, ricevette in dono da papa Pio II un esemplare della </w:t>
      </w:r>
      <w:r w:rsidRPr="00096909">
        <w:rPr>
          <w:rFonts w:ascii="Times New Roman" w:hAnsi="Times New Roman" w:cs="Times New Roman"/>
          <w:i/>
          <w:sz w:val="24"/>
          <w:szCs w:val="24"/>
        </w:rPr>
        <w:t>Naturalis Historia</w:t>
      </w:r>
      <w:r w:rsidRPr="00096909">
        <w:rPr>
          <w:rFonts w:ascii="Times New Roman" w:hAnsi="Times New Roman" w:cs="Times New Roman"/>
          <w:sz w:val="24"/>
          <w:szCs w:val="24"/>
        </w:rPr>
        <w:t xml:space="preserve"> che, rivelatosi scorretto, fu scartato nella laboriosa redazione del Plinio gonzaghesco avviata nel 1463, per la quale si richiese invece a Borso d’Este l’invio di un codice allestito a Ferrara da Guarino Veronese e </w:t>
      </w:r>
      <w:r>
        <w:rPr>
          <w:rFonts w:ascii="Times New Roman" w:hAnsi="Times New Roman" w:cs="Times New Roman"/>
          <w:sz w:val="24"/>
          <w:szCs w:val="24"/>
        </w:rPr>
        <w:t xml:space="preserve">da </w:t>
      </w:r>
      <w:r w:rsidRPr="00096909">
        <w:rPr>
          <w:rFonts w:ascii="Times New Roman" w:hAnsi="Times New Roman" w:cs="Times New Roman"/>
          <w:sz w:val="24"/>
          <w:szCs w:val="24"/>
        </w:rPr>
        <w:t>Guglielmo Cappello.</w:t>
      </w:r>
      <w:r w:rsidRPr="00096909">
        <w:rPr>
          <w:rStyle w:val="Rimandonotaapidipagina"/>
          <w:rFonts w:ascii="Times New Roman" w:hAnsi="Times New Roman" w:cs="Times New Roman"/>
          <w:sz w:val="24"/>
          <w:szCs w:val="24"/>
        </w:rPr>
        <w:footnoteReference w:id="17"/>
      </w:r>
      <w:r w:rsidRPr="00096909">
        <w:rPr>
          <w:rFonts w:ascii="Times New Roman" w:hAnsi="Times New Roman" w:cs="Times New Roman"/>
          <w:sz w:val="24"/>
          <w:szCs w:val="24"/>
        </w:rPr>
        <w:t xml:space="preserve"> </w:t>
      </w:r>
    </w:p>
    <w:p w14:paraId="2DD5923A"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Una simile passione da bibliofilo fu forse frutto degli insegnamenti di Vittorino, maestro</w:t>
      </w:r>
      <w:r>
        <w:rPr>
          <w:rFonts w:ascii="Times New Roman" w:hAnsi="Times New Roman" w:cs="Times New Roman"/>
          <w:sz w:val="24"/>
          <w:szCs w:val="24"/>
        </w:rPr>
        <w:t>,</w:t>
      </w:r>
      <w:r w:rsidRPr="00096909">
        <w:rPr>
          <w:rFonts w:ascii="Times New Roman" w:hAnsi="Times New Roman" w:cs="Times New Roman"/>
          <w:sz w:val="24"/>
          <w:szCs w:val="24"/>
        </w:rPr>
        <w:t xml:space="preserve"> del resto</w:t>
      </w:r>
      <w:r>
        <w:rPr>
          <w:rFonts w:ascii="Times New Roman" w:hAnsi="Times New Roman" w:cs="Times New Roman"/>
          <w:sz w:val="24"/>
          <w:szCs w:val="24"/>
        </w:rPr>
        <w:t>,</w:t>
      </w:r>
      <w:r w:rsidRPr="00096909">
        <w:rPr>
          <w:rFonts w:ascii="Times New Roman" w:hAnsi="Times New Roman" w:cs="Times New Roman"/>
          <w:sz w:val="24"/>
          <w:szCs w:val="24"/>
        </w:rPr>
        <w:t xml:space="preserve"> anche della moglie di Ludovico, </w:t>
      </w:r>
      <w:bookmarkStart w:id="15" w:name="_Hlk535667230"/>
      <w:r w:rsidRPr="00096909">
        <w:rPr>
          <w:rFonts w:ascii="Times New Roman" w:hAnsi="Times New Roman" w:cs="Times New Roman"/>
          <w:sz w:val="24"/>
          <w:szCs w:val="24"/>
        </w:rPr>
        <w:t>Barbara Hohenzollern di Brandeburgo</w:t>
      </w:r>
      <w:bookmarkEnd w:id="15"/>
      <w:r w:rsidRPr="00096909">
        <w:rPr>
          <w:rFonts w:ascii="Times New Roman" w:hAnsi="Times New Roman" w:cs="Times New Roman"/>
          <w:sz w:val="24"/>
          <w:szCs w:val="24"/>
        </w:rPr>
        <w:t>. Ci è giunta la lista dei settantuno volumi appartenuti alla marchesa, redatta in</w:t>
      </w:r>
      <w:r>
        <w:rPr>
          <w:rFonts w:ascii="Times New Roman" w:hAnsi="Times New Roman" w:cs="Times New Roman"/>
          <w:sz w:val="24"/>
          <w:szCs w:val="24"/>
        </w:rPr>
        <w:t xml:space="preserve"> </w:t>
      </w:r>
      <w:r w:rsidRPr="00096909">
        <w:rPr>
          <w:rFonts w:ascii="Times New Roman" w:hAnsi="Times New Roman" w:cs="Times New Roman"/>
          <w:sz w:val="24"/>
          <w:szCs w:val="24"/>
        </w:rPr>
        <w:t>calce al suo testamento. Essa ci informa sull’allestimento di una collezione libraria autonoma, composta da codici da lei personalmente selezionati, e che ella volle fossero ripartiti tra i suoi eredi maschi minori dopo la sua morte: il cardinale Francesco, i marchesi Gian Francesco e Rodolfo, il protonotario apostolico Ludovico; tutti a loro volta proprietari di pregevoli biblioteche. La divisione prova come ciascun membro della famiglia Gonzaga possedesse proprie collezioni librarie, la cui formazione avanzò in parallelo all’ampliamento della raccolta ufficiale di palazzo, il così detto ‘fondo antico’, alienato dall’ultimo duca Ferdinando Carlo Gonzaga a Venezia nel 1707.</w:t>
      </w:r>
      <w:r w:rsidRPr="00096909">
        <w:rPr>
          <w:rStyle w:val="Rimandonotaapidipagina"/>
          <w:rFonts w:ascii="Times New Roman" w:hAnsi="Times New Roman" w:cs="Times New Roman"/>
          <w:sz w:val="24"/>
          <w:szCs w:val="24"/>
        </w:rPr>
        <w:footnoteReference w:id="18"/>
      </w:r>
      <w:r w:rsidRPr="00096909">
        <w:rPr>
          <w:rFonts w:ascii="Times New Roman" w:hAnsi="Times New Roman" w:cs="Times New Roman"/>
          <w:sz w:val="24"/>
          <w:szCs w:val="24"/>
        </w:rPr>
        <w:t xml:space="preserve">  </w:t>
      </w:r>
    </w:p>
    <w:p w14:paraId="755781CD"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L’arrivo e la partenza di volumi da e per altre corti fu dunque un fenomeno assolutamente usuale nella Mantova del Quattrocento, favorito dalle relazioni diplomatiche</w:t>
      </w:r>
      <w:r>
        <w:rPr>
          <w:rFonts w:ascii="Times New Roman" w:hAnsi="Times New Roman" w:cs="Times New Roman"/>
          <w:sz w:val="24"/>
          <w:szCs w:val="24"/>
        </w:rPr>
        <w:t xml:space="preserve"> e</w:t>
      </w:r>
      <w:r w:rsidRPr="00096909">
        <w:rPr>
          <w:rFonts w:ascii="Times New Roman" w:hAnsi="Times New Roman" w:cs="Times New Roman"/>
          <w:sz w:val="24"/>
          <w:szCs w:val="24"/>
        </w:rPr>
        <w:t xml:space="preserve"> dalle eredità parentali de</w:t>
      </w:r>
      <w:r>
        <w:rPr>
          <w:rFonts w:ascii="Times New Roman" w:hAnsi="Times New Roman" w:cs="Times New Roman"/>
          <w:sz w:val="24"/>
          <w:szCs w:val="24"/>
        </w:rPr>
        <w:t>i</w:t>
      </w:r>
      <w:r w:rsidRPr="00096909">
        <w:rPr>
          <w:rFonts w:ascii="Times New Roman" w:hAnsi="Times New Roman" w:cs="Times New Roman"/>
          <w:sz w:val="24"/>
          <w:szCs w:val="24"/>
        </w:rPr>
        <w:t xml:space="preserve"> </w:t>
      </w:r>
      <w:r>
        <w:rPr>
          <w:rFonts w:ascii="Times New Roman" w:hAnsi="Times New Roman" w:cs="Times New Roman"/>
          <w:sz w:val="24"/>
          <w:szCs w:val="24"/>
        </w:rPr>
        <w:t>Gonzaga</w:t>
      </w:r>
      <w:r w:rsidRPr="00096909">
        <w:rPr>
          <w:rFonts w:ascii="Times New Roman" w:hAnsi="Times New Roman" w:cs="Times New Roman"/>
          <w:sz w:val="24"/>
          <w:szCs w:val="24"/>
        </w:rPr>
        <w:t xml:space="preserve">, e ancora dai lasciti testamentari degli intellettuali </w:t>
      </w:r>
      <w:r>
        <w:rPr>
          <w:rFonts w:ascii="Times New Roman" w:hAnsi="Times New Roman" w:cs="Times New Roman"/>
          <w:sz w:val="24"/>
          <w:szCs w:val="24"/>
        </w:rPr>
        <w:t xml:space="preserve">loro </w:t>
      </w:r>
      <w:r w:rsidRPr="00096909">
        <w:rPr>
          <w:rFonts w:ascii="Times New Roman" w:hAnsi="Times New Roman" w:cs="Times New Roman"/>
          <w:sz w:val="24"/>
          <w:szCs w:val="24"/>
        </w:rPr>
        <w:t>legati. Tra gli interessi dei possidenti non era certo alieno l’aspetto del valore economico dei codici, spesso notevole in virtù della ricercatezza dei materiali e dell’esecuzione artistica cui giunse il manoscritto miniato nella seconda metà del XV secolo. Come in questo contesto aristocratico i libri potessero costituire anche un ‘bene rifugio’ è attestato, ad esempio, dal caso della biblioteca di Giovan Mario Filelfo, che la vedova Marietta cedette nel 1480 al marchese Federico I nel tentativo di saldare i debiti lasciati dal marito.</w:t>
      </w:r>
      <w:r w:rsidRPr="00096909">
        <w:rPr>
          <w:rStyle w:val="Rimandonotaapidipagina"/>
          <w:rFonts w:ascii="Times New Roman" w:hAnsi="Times New Roman" w:cs="Times New Roman"/>
          <w:sz w:val="24"/>
          <w:szCs w:val="24"/>
        </w:rPr>
        <w:footnoteReference w:id="19"/>
      </w:r>
    </w:p>
    <w:p w14:paraId="391B814C"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La composizione delle biblioteche signorili ci è spesso nota, del resto, grazie a inventari scritti per ragioni amministrative, per le quali l</w:t>
      </w:r>
      <w:r w:rsidR="00030D6C">
        <w:rPr>
          <w:rFonts w:ascii="Times New Roman" w:hAnsi="Times New Roman" w:cs="Times New Roman"/>
          <w:sz w:val="24"/>
          <w:szCs w:val="24"/>
        </w:rPr>
        <w:t>a</w:t>
      </w:r>
      <w:r w:rsidRPr="00096909">
        <w:rPr>
          <w:rFonts w:ascii="Times New Roman" w:hAnsi="Times New Roman" w:cs="Times New Roman"/>
          <w:sz w:val="24"/>
          <w:szCs w:val="24"/>
        </w:rPr>
        <w:t xml:space="preserve"> val</w:t>
      </w:r>
      <w:r w:rsidR="00030D6C">
        <w:rPr>
          <w:rFonts w:ascii="Times New Roman" w:hAnsi="Times New Roman" w:cs="Times New Roman"/>
          <w:sz w:val="24"/>
          <w:szCs w:val="24"/>
        </w:rPr>
        <w:t>utazione</w:t>
      </w:r>
      <w:r w:rsidRPr="00096909">
        <w:rPr>
          <w:rFonts w:ascii="Times New Roman" w:hAnsi="Times New Roman" w:cs="Times New Roman"/>
          <w:sz w:val="24"/>
          <w:szCs w:val="24"/>
        </w:rPr>
        <w:t xml:space="preserve"> monetario delle collezioni ebbe considerevole interesse. È il caso della </w:t>
      </w:r>
      <w:r w:rsidRPr="00096909">
        <w:rPr>
          <w:rFonts w:ascii="Times New Roman" w:hAnsi="Times New Roman" w:cs="Times New Roman"/>
          <w:i/>
          <w:sz w:val="24"/>
          <w:szCs w:val="24"/>
        </w:rPr>
        <w:t>Consignatio librorum illustrissimi principis et excellentissimi Domini Ducis Mediolani</w:t>
      </w:r>
      <w:r w:rsidRPr="00096909">
        <w:rPr>
          <w:rFonts w:ascii="Times New Roman" w:hAnsi="Times New Roman" w:cs="Times New Roman"/>
          <w:sz w:val="24"/>
          <w:szCs w:val="24"/>
        </w:rPr>
        <w:t>, stesa tra il 4 e l’8 gennaio 1426 a istanza di Filippo Maria Visconti dai maestri delle entrate Agostino da Sclafernati e Lorenzo da Re</w:t>
      </w:r>
      <w:r w:rsidR="00030D6C">
        <w:rPr>
          <w:rFonts w:ascii="Times New Roman" w:hAnsi="Times New Roman" w:cs="Times New Roman"/>
          <w:sz w:val="24"/>
          <w:szCs w:val="24"/>
        </w:rPr>
        <w:t>g</w:t>
      </w:r>
      <w:r w:rsidRPr="00096909">
        <w:rPr>
          <w:rFonts w:ascii="Times New Roman" w:hAnsi="Times New Roman" w:cs="Times New Roman"/>
          <w:sz w:val="24"/>
          <w:szCs w:val="24"/>
        </w:rPr>
        <w:t>gio e dai castellani Giovanni Billie e Giovanni Calcaterra.</w:t>
      </w:r>
      <w:r w:rsidRPr="00096909">
        <w:rPr>
          <w:rStyle w:val="Rimandonotaapidipagina"/>
          <w:rFonts w:ascii="Times New Roman" w:hAnsi="Times New Roman" w:cs="Times New Roman"/>
          <w:sz w:val="24"/>
          <w:szCs w:val="24"/>
        </w:rPr>
        <w:footnoteReference w:id="20"/>
      </w:r>
      <w:r w:rsidRPr="00096909">
        <w:rPr>
          <w:rFonts w:ascii="Times New Roman" w:hAnsi="Times New Roman" w:cs="Times New Roman"/>
          <w:sz w:val="24"/>
          <w:szCs w:val="24"/>
        </w:rPr>
        <w:t xml:space="preserve"> Si tratta di una registrazione particolareggiata, che specifica la collocazione dei volumi all’interno della torre del castello di Pavia</w:t>
      </w:r>
      <w:r w:rsidR="00AA07F6">
        <w:rPr>
          <w:rFonts w:ascii="Times New Roman" w:hAnsi="Times New Roman" w:cs="Times New Roman"/>
          <w:sz w:val="24"/>
          <w:szCs w:val="24"/>
        </w:rPr>
        <w:t xml:space="preserve"> che fu</w:t>
      </w:r>
      <w:r w:rsidRPr="00096909">
        <w:rPr>
          <w:rFonts w:ascii="Times New Roman" w:hAnsi="Times New Roman" w:cs="Times New Roman"/>
          <w:sz w:val="24"/>
          <w:szCs w:val="24"/>
        </w:rPr>
        <w:t xml:space="preserve"> sede </w:t>
      </w:r>
      <w:r>
        <w:rPr>
          <w:rFonts w:ascii="Times New Roman" w:hAnsi="Times New Roman" w:cs="Times New Roman"/>
          <w:sz w:val="24"/>
          <w:szCs w:val="24"/>
        </w:rPr>
        <w:t>del</w:t>
      </w:r>
      <w:r w:rsidRPr="00096909">
        <w:rPr>
          <w:rFonts w:ascii="Times New Roman" w:hAnsi="Times New Roman" w:cs="Times New Roman"/>
          <w:sz w:val="24"/>
          <w:szCs w:val="24"/>
        </w:rPr>
        <w:t xml:space="preserve">la biblioteca ducale, oltre ad autore e titolo, </w:t>
      </w:r>
      <w:r w:rsidRPr="00096909">
        <w:rPr>
          <w:rFonts w:ascii="Times New Roman" w:hAnsi="Times New Roman" w:cs="Times New Roman"/>
          <w:i/>
          <w:sz w:val="24"/>
          <w:szCs w:val="24"/>
        </w:rPr>
        <w:t>incipit</w:t>
      </w:r>
      <w:r w:rsidRPr="00096909">
        <w:rPr>
          <w:rFonts w:ascii="Times New Roman" w:hAnsi="Times New Roman" w:cs="Times New Roman"/>
          <w:sz w:val="24"/>
          <w:szCs w:val="24"/>
        </w:rPr>
        <w:t xml:space="preserve"> ed </w:t>
      </w:r>
      <w:r w:rsidRPr="00096909">
        <w:rPr>
          <w:rFonts w:ascii="Times New Roman" w:hAnsi="Times New Roman" w:cs="Times New Roman"/>
          <w:i/>
          <w:sz w:val="24"/>
          <w:szCs w:val="24"/>
        </w:rPr>
        <w:t>explicit</w:t>
      </w:r>
      <w:r w:rsidRPr="00096909">
        <w:rPr>
          <w:rFonts w:ascii="Times New Roman" w:hAnsi="Times New Roman" w:cs="Times New Roman"/>
          <w:sz w:val="24"/>
          <w:szCs w:val="24"/>
        </w:rPr>
        <w:t xml:space="preserve">, antica segnatura in cifre romane e, in alcuni casi, tipo di legatura, ornamentazione, consistenza materiale. L’annotazione di una simile messe di dati avrà </w:t>
      </w:r>
      <w:r>
        <w:rPr>
          <w:rFonts w:ascii="Times New Roman" w:hAnsi="Times New Roman" w:cs="Times New Roman"/>
          <w:sz w:val="24"/>
          <w:szCs w:val="24"/>
        </w:rPr>
        <w:t xml:space="preserve">presumibilmente </w:t>
      </w:r>
      <w:r w:rsidRPr="00096909">
        <w:rPr>
          <w:rFonts w:ascii="Times New Roman" w:hAnsi="Times New Roman" w:cs="Times New Roman"/>
          <w:sz w:val="24"/>
          <w:szCs w:val="24"/>
        </w:rPr>
        <w:t>richiesto un tempo maggiore d’esecuzione rispetto a quello dichiarato dal documento, per il quale Ugo Rozzo ha supposto il ricorso a un precedente catalogo appartenuto a Marziano Rampini da Sant’Alosio, precettore e segretario di Filippo Maria Visconti e forse primo bibliotecario della raccolta pavese. La morte del Rampini, nel 1425, avrebbe reso necessaria l’operazione inventariale in vista di un passaggio delle consegne al nuovo funzionario preposto: una ragione organizzativa, quindi, in tutto simile a quella che determinò la scrittura dei successivi inventari della raccolta negli anni 1459, 1488 e 1490.</w:t>
      </w:r>
      <w:r w:rsidRPr="00096909">
        <w:rPr>
          <w:rStyle w:val="Rimandonotaapidipagina"/>
          <w:rFonts w:ascii="Times New Roman" w:hAnsi="Times New Roman" w:cs="Times New Roman"/>
          <w:sz w:val="24"/>
          <w:szCs w:val="24"/>
        </w:rPr>
        <w:footnoteReference w:id="21"/>
      </w:r>
      <w:r w:rsidRPr="00096909">
        <w:rPr>
          <w:rFonts w:ascii="Times New Roman" w:hAnsi="Times New Roman" w:cs="Times New Roman"/>
          <w:sz w:val="24"/>
          <w:szCs w:val="24"/>
        </w:rPr>
        <w:t xml:space="preserve"> </w:t>
      </w:r>
    </w:p>
    <w:p w14:paraId="6F3C02C5"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Sorprende l’elevato numero di 988 codici registrati nella </w:t>
      </w:r>
      <w:r w:rsidRPr="00096909">
        <w:rPr>
          <w:rFonts w:ascii="Times New Roman" w:hAnsi="Times New Roman" w:cs="Times New Roman"/>
          <w:i/>
          <w:sz w:val="24"/>
          <w:szCs w:val="24"/>
        </w:rPr>
        <w:t>Consignatio</w:t>
      </w:r>
      <w:r w:rsidRPr="00096909">
        <w:rPr>
          <w:rFonts w:ascii="Times New Roman" w:hAnsi="Times New Roman" w:cs="Times New Roman"/>
          <w:sz w:val="24"/>
          <w:szCs w:val="24"/>
        </w:rPr>
        <w:t xml:space="preserve">, comprensiva del </w:t>
      </w:r>
      <w:r w:rsidRPr="00096909">
        <w:rPr>
          <w:rFonts w:ascii="Times New Roman" w:hAnsi="Times New Roman" w:cs="Times New Roman"/>
          <w:i/>
          <w:sz w:val="24"/>
          <w:szCs w:val="24"/>
        </w:rPr>
        <w:t>corpus</w:t>
      </w:r>
      <w:r w:rsidRPr="00096909">
        <w:rPr>
          <w:rFonts w:ascii="Times New Roman" w:hAnsi="Times New Roman" w:cs="Times New Roman"/>
          <w:sz w:val="24"/>
          <w:szCs w:val="24"/>
        </w:rPr>
        <w:t xml:space="preserve"> riunito da Galeazzo II Visconti tra il 1361 e il 1365 nel castello pavese – dove, forse su suggerimento del Petrarca, fu collocata una prima collezione di volumi, poi accresciuta dai </w:t>
      </w:r>
      <w:r w:rsidRPr="00096909">
        <w:rPr>
          <w:rFonts w:ascii="Times New Roman" w:hAnsi="Times New Roman" w:cs="Times New Roman"/>
          <w:sz w:val="24"/>
          <w:szCs w:val="24"/>
        </w:rPr>
        <w:lastRenderedPageBreak/>
        <w:t xml:space="preserve">successivi duchi di Milano – e dei manoscritti miniati portati in dote dalla Francia da Bianca di Savoia nel 1350. </w:t>
      </w:r>
    </w:p>
    <w:p w14:paraId="6C432850"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A quest’ultimi, per spiegare l’abbondanza di testi francesi nella lista in esame, bisognerà unire la serie di codici giunti a Pavia nel 1360 in seguito alle nozze di Isabella di Valois con Gian Galeazzo Visconti. Quest’ultimo ampliò considerevolmente la biblioteca incamera</w:t>
      </w:r>
      <w:r>
        <w:rPr>
          <w:rFonts w:ascii="Times New Roman" w:hAnsi="Times New Roman" w:cs="Times New Roman"/>
          <w:sz w:val="24"/>
          <w:szCs w:val="24"/>
        </w:rPr>
        <w:t>ndo</w:t>
      </w:r>
      <w:r w:rsidRPr="00096909">
        <w:rPr>
          <w:rFonts w:ascii="Times New Roman" w:hAnsi="Times New Roman" w:cs="Times New Roman"/>
          <w:sz w:val="24"/>
          <w:szCs w:val="24"/>
        </w:rPr>
        <w:t xml:space="preserve"> i libri appartenuti allo zio Bernabò Visconti, spodestato e mandato a morte nel dicembre 1385, e quelli confiscati al cancelliere Pasquino Capelli, accusato d’alto tradimento e morto in carcere nel 1398.</w:t>
      </w:r>
      <w:r w:rsidRPr="00096909">
        <w:rPr>
          <w:rStyle w:val="Rimandonotaapidipagina"/>
          <w:rFonts w:ascii="Times New Roman" w:hAnsi="Times New Roman" w:cs="Times New Roman"/>
          <w:sz w:val="24"/>
          <w:szCs w:val="24"/>
        </w:rPr>
        <w:footnoteReference w:id="22"/>
      </w:r>
      <w:r w:rsidRPr="00096909">
        <w:rPr>
          <w:rFonts w:ascii="Times New Roman" w:hAnsi="Times New Roman" w:cs="Times New Roman"/>
          <w:sz w:val="24"/>
          <w:szCs w:val="24"/>
        </w:rPr>
        <w:t xml:space="preserve"> Fu sempre Gian Galeazzo, inoltre, a decidere di annettere alla raccolta pavese i manoscritti facenti parte dei bottini strappati alle città sottomesse </w:t>
      </w:r>
      <w:r w:rsidR="00151691">
        <w:rPr>
          <w:rFonts w:ascii="Times New Roman" w:hAnsi="Times New Roman" w:cs="Times New Roman"/>
          <w:sz w:val="24"/>
          <w:szCs w:val="24"/>
        </w:rPr>
        <w:t xml:space="preserve">dalle armate viscontee </w:t>
      </w:r>
      <w:r w:rsidRPr="00096909">
        <w:rPr>
          <w:rFonts w:ascii="Times New Roman" w:hAnsi="Times New Roman" w:cs="Times New Roman"/>
          <w:sz w:val="24"/>
          <w:szCs w:val="24"/>
        </w:rPr>
        <w:t>tra il 1387 e il 1402: Verona, Vicenza, Padova, Pisa, Siena, Lucca, Perugia, Bologna. Giunsero così a Pavia gli antichissimi codici della biblioteca capitolare di Verona e buona parte dei libri del Petrarca annoverati tra i beni del signore di Padova, Francesco il Vecchio da Carrara.</w:t>
      </w:r>
      <w:r w:rsidRPr="00096909">
        <w:rPr>
          <w:rStyle w:val="Rimandonotaapidipagina"/>
          <w:rFonts w:ascii="Times New Roman" w:hAnsi="Times New Roman" w:cs="Times New Roman"/>
          <w:sz w:val="24"/>
          <w:szCs w:val="24"/>
        </w:rPr>
        <w:footnoteReference w:id="23"/>
      </w:r>
      <w:r w:rsidRPr="00096909">
        <w:rPr>
          <w:rFonts w:ascii="Times New Roman" w:hAnsi="Times New Roman" w:cs="Times New Roman"/>
          <w:sz w:val="24"/>
          <w:szCs w:val="24"/>
        </w:rPr>
        <w:t xml:space="preserve"> </w:t>
      </w:r>
    </w:p>
    <w:p w14:paraId="676E82DD"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Nella prima metà del Quattrocento, la collezione Viscontea, forte dei suoi 988 titoli, poteva pertanto già rivaleggiare in estensione con quella che Filippo il Buono, duca di Borgogna, avrebbe allestito tra il 1419 e il 1467, radunando circa novecento volumi, o con quella regale di Carlo V di Francia, che nel 1380, anno del decesso del monarca, contava </w:t>
      </w:r>
      <w:r>
        <w:rPr>
          <w:rFonts w:ascii="Times New Roman" w:hAnsi="Times New Roman" w:cs="Times New Roman"/>
          <w:sz w:val="24"/>
          <w:szCs w:val="24"/>
        </w:rPr>
        <w:t>895</w:t>
      </w:r>
      <w:r w:rsidRPr="00096909">
        <w:rPr>
          <w:rFonts w:ascii="Times New Roman" w:hAnsi="Times New Roman" w:cs="Times New Roman"/>
          <w:sz w:val="24"/>
          <w:szCs w:val="24"/>
        </w:rPr>
        <w:t xml:space="preserve"> esemplari, cui se ne aggiungevano circa un centinaio di proprietà personale del re.</w:t>
      </w:r>
      <w:r w:rsidRPr="00096909">
        <w:rPr>
          <w:rStyle w:val="Rimandonotaapidipagina"/>
          <w:rFonts w:ascii="Times New Roman" w:hAnsi="Times New Roman" w:cs="Times New Roman"/>
          <w:sz w:val="24"/>
          <w:szCs w:val="24"/>
        </w:rPr>
        <w:footnoteReference w:id="24"/>
      </w:r>
      <w:r w:rsidRPr="00096909">
        <w:rPr>
          <w:rFonts w:ascii="Times New Roman" w:hAnsi="Times New Roman" w:cs="Times New Roman"/>
          <w:sz w:val="24"/>
          <w:szCs w:val="24"/>
        </w:rPr>
        <w:t xml:space="preserve"> </w:t>
      </w:r>
    </w:p>
    <w:p w14:paraId="159F5797"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Si comprende così quale responsabilità culturale gravò sulle spalle di Francesco I Sforza quando, divenuto signore di Milano e consolidato il proprio potere grazie alla Pace di Lodi del 1454, avviò un riordino degli spazi bibliotecari, richiedendo a tal fine nel 1456 al cancelliere Facino da Fabriano un inventario dei libri conservati nel castello di Pavia.</w:t>
      </w:r>
      <w:r w:rsidRPr="00096909">
        <w:rPr>
          <w:rStyle w:val="Rimandonotaapidipagina"/>
          <w:rFonts w:ascii="Times New Roman" w:hAnsi="Times New Roman" w:cs="Times New Roman"/>
          <w:sz w:val="24"/>
          <w:szCs w:val="24"/>
        </w:rPr>
        <w:footnoteReference w:id="25"/>
      </w:r>
      <w:r w:rsidRPr="00096909">
        <w:rPr>
          <w:rFonts w:ascii="Times New Roman" w:hAnsi="Times New Roman" w:cs="Times New Roman"/>
          <w:sz w:val="24"/>
          <w:szCs w:val="24"/>
        </w:rPr>
        <w:t xml:space="preserve"> Esso, redatto nel 1459, risulta meno </w:t>
      </w:r>
      <w:r w:rsidR="00772531">
        <w:rPr>
          <w:rFonts w:ascii="Times New Roman" w:hAnsi="Times New Roman" w:cs="Times New Roman"/>
          <w:sz w:val="24"/>
          <w:szCs w:val="24"/>
        </w:rPr>
        <w:t xml:space="preserve">dettagliato </w:t>
      </w:r>
      <w:r w:rsidRPr="00096909">
        <w:rPr>
          <w:rFonts w:ascii="Times New Roman" w:hAnsi="Times New Roman" w:cs="Times New Roman"/>
          <w:sz w:val="24"/>
          <w:szCs w:val="24"/>
        </w:rPr>
        <w:t xml:space="preserve">dell’elenco del 1426 quanto alle caratteristiche codicologiche dei volumi, ma offre alcune indicazioni sulla loro disposizione nei locali della libreria, ripartendo in sezioni </w:t>
      </w:r>
      <w:r w:rsidRPr="00096909">
        <w:rPr>
          <w:rFonts w:ascii="Times New Roman" w:hAnsi="Times New Roman" w:cs="Times New Roman"/>
          <w:sz w:val="24"/>
          <w:szCs w:val="24"/>
        </w:rPr>
        <w:lastRenderedPageBreak/>
        <w:t>tematiche i suoi 824 testi. Numero considerevolmente ridotto rispetto alla precedente registrazione d’epoca viscontea, che si spiega con le sottrazioni intercorse tra il 1447 e il 1450, ovvero negli anni segnati dal turbolento passaggio dal dominio visconteo a quello sforzesco e dall’istaurazione della Repubblica Ambrosiana.</w:t>
      </w:r>
    </w:p>
    <w:p w14:paraId="1CF006A3"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Tra l’1 e il 5 ottobre 1469, per volere di Galeazzo Maria Sforza, furono invece collocati nelle librerie pavesi 126 volumi </w:t>
      </w:r>
      <w:r>
        <w:rPr>
          <w:rFonts w:ascii="Times New Roman" w:hAnsi="Times New Roman" w:cs="Times New Roman"/>
          <w:sz w:val="24"/>
          <w:szCs w:val="24"/>
        </w:rPr>
        <w:t>di proprietà de</w:t>
      </w:r>
      <w:r w:rsidRPr="00096909">
        <w:rPr>
          <w:rFonts w:ascii="Times New Roman" w:hAnsi="Times New Roman" w:cs="Times New Roman"/>
          <w:sz w:val="24"/>
          <w:szCs w:val="24"/>
        </w:rPr>
        <w:t>lla sua famiglia e precedentemente custoditi a Milano, diversi dei quali marcati dagli stemmi dei genitori, Francesco I e Bona di Savoia.</w:t>
      </w:r>
      <w:r w:rsidRPr="00096909">
        <w:rPr>
          <w:rStyle w:val="Rimandonotaapidipagina"/>
          <w:rFonts w:ascii="Times New Roman" w:hAnsi="Times New Roman" w:cs="Times New Roman"/>
          <w:sz w:val="24"/>
          <w:szCs w:val="24"/>
        </w:rPr>
        <w:footnoteReference w:id="26"/>
      </w:r>
      <w:r w:rsidRPr="00096909">
        <w:rPr>
          <w:rFonts w:ascii="Times New Roman" w:hAnsi="Times New Roman" w:cs="Times New Roman"/>
          <w:sz w:val="24"/>
          <w:szCs w:val="24"/>
        </w:rPr>
        <w:t xml:space="preserve"> Nel medesimo anno</w:t>
      </w:r>
      <w:r>
        <w:rPr>
          <w:rFonts w:ascii="Times New Roman" w:hAnsi="Times New Roman" w:cs="Times New Roman"/>
          <w:sz w:val="24"/>
          <w:szCs w:val="24"/>
        </w:rPr>
        <w:t xml:space="preserve"> </w:t>
      </w:r>
      <w:r w:rsidRPr="00096909">
        <w:rPr>
          <w:rFonts w:ascii="Times New Roman" w:hAnsi="Times New Roman" w:cs="Times New Roman"/>
          <w:sz w:val="24"/>
          <w:szCs w:val="24"/>
        </w:rPr>
        <w:t>risulta assegnato alla carica di custode della biblioteca Zunino da Casolotte,</w:t>
      </w:r>
      <w:r w:rsidRPr="00096909">
        <w:rPr>
          <w:rStyle w:val="Rimandonotaapidipagina"/>
          <w:rFonts w:ascii="Times New Roman" w:hAnsi="Times New Roman" w:cs="Times New Roman"/>
          <w:sz w:val="24"/>
          <w:szCs w:val="24"/>
        </w:rPr>
        <w:footnoteReference w:id="27"/>
      </w:r>
      <w:r w:rsidRPr="00096909">
        <w:rPr>
          <w:rFonts w:ascii="Times New Roman" w:hAnsi="Times New Roman" w:cs="Times New Roman"/>
          <w:sz w:val="24"/>
          <w:szCs w:val="24"/>
        </w:rPr>
        <w:t xml:space="preserve"> mentre dal 1478 l’incarico passò a Tristano Calco, parente del primo segretario ducale Bartolomeo Calco e dotto storiografo al servizio di Ludovico il Moro.</w:t>
      </w:r>
      <w:r w:rsidRPr="00096909">
        <w:rPr>
          <w:rStyle w:val="Rimandonotaapidipagina"/>
          <w:rFonts w:ascii="Times New Roman" w:hAnsi="Times New Roman" w:cs="Times New Roman"/>
          <w:sz w:val="24"/>
          <w:szCs w:val="24"/>
        </w:rPr>
        <w:footnoteReference w:id="28"/>
      </w:r>
      <w:r w:rsidRPr="00096909">
        <w:rPr>
          <w:rFonts w:ascii="Times New Roman" w:hAnsi="Times New Roman" w:cs="Times New Roman"/>
          <w:sz w:val="24"/>
          <w:szCs w:val="24"/>
        </w:rPr>
        <w:t xml:space="preserve"> Durante la sua gestione, grazie al patrocinio dei duchi Gian Galeazzo e Ludovico, la raccolta crebbe notevolmente, come certificano gli inventari stesi nel 1488 e nel 1490, concordi nello stimare a 947 unità l’estensione del fondo sforzesco.</w:t>
      </w:r>
      <w:r w:rsidRPr="00096909">
        <w:rPr>
          <w:rStyle w:val="Rimandonotaapidipagina"/>
          <w:rFonts w:ascii="Times New Roman" w:hAnsi="Times New Roman" w:cs="Times New Roman"/>
          <w:sz w:val="24"/>
          <w:szCs w:val="24"/>
        </w:rPr>
        <w:footnoteReference w:id="29"/>
      </w:r>
      <w:r w:rsidRPr="00096909">
        <w:rPr>
          <w:rFonts w:ascii="Times New Roman" w:hAnsi="Times New Roman" w:cs="Times New Roman"/>
          <w:sz w:val="24"/>
          <w:szCs w:val="24"/>
        </w:rPr>
        <w:t xml:space="preserve"> Tra le loro voci non è stato possibile rintracciare i manoscritti </w:t>
      </w:r>
      <w:r>
        <w:rPr>
          <w:rFonts w:ascii="Times New Roman" w:hAnsi="Times New Roman" w:cs="Times New Roman"/>
          <w:sz w:val="24"/>
          <w:szCs w:val="24"/>
        </w:rPr>
        <w:t xml:space="preserve">appartenuti </w:t>
      </w:r>
      <w:r w:rsidRPr="00096909">
        <w:rPr>
          <w:rFonts w:ascii="Times New Roman" w:hAnsi="Times New Roman" w:cs="Times New Roman"/>
          <w:sz w:val="24"/>
          <w:szCs w:val="24"/>
        </w:rPr>
        <w:t>all’</w:t>
      </w:r>
      <w:r w:rsidR="0078312A">
        <w:rPr>
          <w:rFonts w:ascii="Times New Roman" w:hAnsi="Times New Roman" w:cs="Times New Roman"/>
          <w:sz w:val="24"/>
          <w:szCs w:val="24"/>
        </w:rPr>
        <w:t>ampia</w:t>
      </w:r>
      <w:r w:rsidRPr="00096909">
        <w:rPr>
          <w:rFonts w:ascii="Times New Roman" w:hAnsi="Times New Roman" w:cs="Times New Roman"/>
          <w:sz w:val="24"/>
          <w:szCs w:val="24"/>
        </w:rPr>
        <w:t xml:space="preserve"> collezione del cancelliere Cicco Simonetta, anche se è molto probabile che essi, come la restante parte dei suoi beni, fossero stati requisiti</w:t>
      </w:r>
      <w:r>
        <w:rPr>
          <w:rFonts w:ascii="Times New Roman" w:hAnsi="Times New Roman" w:cs="Times New Roman"/>
          <w:sz w:val="24"/>
          <w:szCs w:val="24"/>
        </w:rPr>
        <w:t>,</w:t>
      </w:r>
      <w:r w:rsidRPr="00096909">
        <w:rPr>
          <w:rFonts w:ascii="Times New Roman" w:hAnsi="Times New Roman" w:cs="Times New Roman"/>
          <w:sz w:val="24"/>
          <w:szCs w:val="24"/>
        </w:rPr>
        <w:t xml:space="preserve"> dopo il suo arresto nel 1479 per alto tradimento, e inviati ad arricchire gli scaffali del castello di Pavia.</w:t>
      </w:r>
      <w:r w:rsidRPr="00096909">
        <w:rPr>
          <w:rStyle w:val="Rimandonotaapidipagina"/>
          <w:rFonts w:ascii="Times New Roman" w:hAnsi="Times New Roman" w:cs="Times New Roman"/>
          <w:sz w:val="24"/>
          <w:szCs w:val="24"/>
        </w:rPr>
        <w:footnoteReference w:id="30"/>
      </w:r>
    </w:p>
    <w:p w14:paraId="3F3B5955"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Tra il 1491 e il 1492 il Moro sollecitò a Erasmo Brasca l’acquisto di alcuni codici in Francia, e nel 1494 il duca di Bari entrò in possesso dei libri lasciatigli in eredità da Giorgio Merula.</w:t>
      </w:r>
      <w:r w:rsidRPr="00096909">
        <w:rPr>
          <w:rStyle w:val="Rimandonotaapidipagina"/>
          <w:rFonts w:ascii="Times New Roman" w:hAnsi="Times New Roman" w:cs="Times New Roman"/>
          <w:sz w:val="24"/>
          <w:szCs w:val="24"/>
        </w:rPr>
        <w:footnoteReference w:id="31"/>
      </w:r>
      <w:r w:rsidRPr="00096909">
        <w:rPr>
          <w:rFonts w:ascii="Times New Roman" w:hAnsi="Times New Roman" w:cs="Times New Roman"/>
          <w:sz w:val="24"/>
          <w:szCs w:val="24"/>
        </w:rPr>
        <w:t xml:space="preserve"> Inoltre, negli anni del suo ducato, Ludovico commissionò importanti traduzioni di testi filosofici </w:t>
      </w:r>
      <w:r w:rsidRPr="00096909">
        <w:rPr>
          <w:rFonts w:ascii="Times New Roman" w:hAnsi="Times New Roman" w:cs="Times New Roman"/>
          <w:sz w:val="24"/>
          <w:szCs w:val="24"/>
        </w:rPr>
        <w:lastRenderedPageBreak/>
        <w:t>e teologici ebraic</w:t>
      </w:r>
      <w:r>
        <w:rPr>
          <w:rFonts w:ascii="Times New Roman" w:hAnsi="Times New Roman" w:cs="Times New Roman"/>
          <w:sz w:val="24"/>
          <w:szCs w:val="24"/>
        </w:rPr>
        <w:t>i</w:t>
      </w:r>
      <w:r w:rsidRPr="00096909">
        <w:rPr>
          <w:rFonts w:ascii="Times New Roman" w:hAnsi="Times New Roman" w:cs="Times New Roman"/>
          <w:sz w:val="24"/>
          <w:szCs w:val="24"/>
        </w:rPr>
        <w:t>, solo parzialmente annotati nel computo della raccolta vergato nel 1490, data dopo la quale, purtroppo, le informazioni sul fondo pavese risultano sporadiche.</w:t>
      </w:r>
      <w:r w:rsidRPr="00096909">
        <w:rPr>
          <w:rStyle w:val="Rimandonotaapidipagina"/>
          <w:rFonts w:ascii="Times New Roman" w:hAnsi="Times New Roman" w:cs="Times New Roman"/>
          <w:sz w:val="24"/>
          <w:szCs w:val="24"/>
        </w:rPr>
        <w:footnoteReference w:id="32"/>
      </w:r>
      <w:r w:rsidRPr="00096909">
        <w:rPr>
          <w:rFonts w:ascii="Times New Roman" w:hAnsi="Times New Roman" w:cs="Times New Roman"/>
          <w:sz w:val="24"/>
          <w:szCs w:val="24"/>
        </w:rPr>
        <w:t xml:space="preserve"> </w:t>
      </w:r>
    </w:p>
    <w:p w14:paraId="62DEDB9B"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Va infine segnalato come durante l’età sforzesca, in perfetta continuità con quanto accaduto al tempo dei Visconti, principi italiani e stranieri offrissero manoscritti preziosi in dono ai duchi di Milano. Tra i possibili esempi basti quello del sontuoso </w:t>
      </w:r>
      <w:r w:rsidRPr="00096909">
        <w:rPr>
          <w:rFonts w:ascii="Times New Roman" w:hAnsi="Times New Roman" w:cs="Times New Roman"/>
          <w:i/>
          <w:sz w:val="24"/>
          <w:szCs w:val="24"/>
        </w:rPr>
        <w:t>Armorial de l’ordre du Croissant</w:t>
      </w:r>
      <w:r w:rsidRPr="00096909">
        <w:rPr>
          <w:rFonts w:ascii="Times New Roman" w:hAnsi="Times New Roman" w:cs="Times New Roman"/>
          <w:sz w:val="24"/>
          <w:szCs w:val="24"/>
        </w:rPr>
        <w:t xml:space="preserve"> fatto miniare per Francesco Sforza da Renato d’Angiò, raffinato bibliofilo, nel 1449</w:t>
      </w:r>
      <w:r>
        <w:rPr>
          <w:rFonts w:ascii="Times New Roman" w:hAnsi="Times New Roman" w:cs="Times New Roman"/>
          <w:sz w:val="24"/>
          <w:szCs w:val="24"/>
        </w:rPr>
        <w:t xml:space="preserve">, </w:t>
      </w:r>
      <w:r w:rsidRPr="00096909">
        <w:rPr>
          <w:rFonts w:ascii="Times New Roman" w:hAnsi="Times New Roman" w:cs="Times New Roman"/>
          <w:sz w:val="24"/>
          <w:szCs w:val="24"/>
        </w:rPr>
        <w:t>in occasione dell’elezione del futuro duca di Milano nell’ordine di sua istituzione.</w:t>
      </w:r>
      <w:r w:rsidRPr="00096909">
        <w:rPr>
          <w:rStyle w:val="Rimandonotaapidipagina"/>
          <w:rFonts w:ascii="Times New Roman" w:hAnsi="Times New Roman" w:cs="Times New Roman"/>
          <w:sz w:val="24"/>
          <w:szCs w:val="24"/>
        </w:rPr>
        <w:footnoteReference w:id="33"/>
      </w:r>
      <w:r w:rsidRPr="00096909">
        <w:rPr>
          <w:rFonts w:ascii="Times New Roman" w:hAnsi="Times New Roman" w:cs="Times New Roman"/>
          <w:sz w:val="24"/>
          <w:szCs w:val="24"/>
        </w:rPr>
        <w:t xml:space="preserve"> L’episodio attesta come l’arrivo di manoscritti pregiati a corte fosse comune </w:t>
      </w:r>
      <w:r w:rsidR="00CF4901" w:rsidRPr="00096909">
        <w:rPr>
          <w:rFonts w:ascii="Times New Roman" w:hAnsi="Times New Roman" w:cs="Times New Roman"/>
          <w:sz w:val="24"/>
          <w:szCs w:val="24"/>
        </w:rPr>
        <w:t xml:space="preserve">in occasioni </w:t>
      </w:r>
      <w:r w:rsidR="00CF4901">
        <w:rPr>
          <w:rFonts w:ascii="Times New Roman" w:hAnsi="Times New Roman" w:cs="Times New Roman"/>
          <w:sz w:val="24"/>
          <w:szCs w:val="24"/>
        </w:rPr>
        <w:t>in cui</w:t>
      </w:r>
      <w:r w:rsidR="00CF4901" w:rsidRPr="00096909">
        <w:rPr>
          <w:rFonts w:ascii="Times New Roman" w:hAnsi="Times New Roman" w:cs="Times New Roman"/>
          <w:sz w:val="24"/>
          <w:szCs w:val="24"/>
        </w:rPr>
        <w:t xml:space="preserve"> </w:t>
      </w:r>
      <w:r w:rsidR="00CF4901">
        <w:rPr>
          <w:rFonts w:ascii="Times New Roman" w:hAnsi="Times New Roman" w:cs="Times New Roman"/>
          <w:sz w:val="24"/>
          <w:szCs w:val="24"/>
        </w:rPr>
        <w:t xml:space="preserve">era </w:t>
      </w:r>
      <w:r w:rsidR="00CF4901" w:rsidRPr="00096909">
        <w:rPr>
          <w:rFonts w:ascii="Times New Roman" w:hAnsi="Times New Roman" w:cs="Times New Roman"/>
          <w:sz w:val="24"/>
          <w:szCs w:val="24"/>
        </w:rPr>
        <w:t>opportuno consolidare importanti relazioni diplomatiche</w:t>
      </w:r>
      <w:r w:rsidR="00CF4901">
        <w:rPr>
          <w:rFonts w:ascii="Times New Roman" w:hAnsi="Times New Roman" w:cs="Times New Roman"/>
          <w:sz w:val="24"/>
          <w:szCs w:val="24"/>
        </w:rPr>
        <w:t>,</w:t>
      </w:r>
      <w:r w:rsidR="00CF4901" w:rsidRPr="00096909">
        <w:rPr>
          <w:rFonts w:ascii="Times New Roman" w:hAnsi="Times New Roman" w:cs="Times New Roman"/>
          <w:sz w:val="24"/>
          <w:szCs w:val="24"/>
        </w:rPr>
        <w:t xml:space="preserve"> </w:t>
      </w:r>
      <w:r w:rsidR="00CF4901">
        <w:rPr>
          <w:rFonts w:ascii="Times New Roman" w:hAnsi="Times New Roman" w:cs="Times New Roman"/>
          <w:sz w:val="24"/>
          <w:szCs w:val="24"/>
        </w:rPr>
        <w:t>quali, come vedremo,</w:t>
      </w:r>
      <w:r w:rsidRPr="00096909">
        <w:rPr>
          <w:rFonts w:ascii="Times New Roman" w:hAnsi="Times New Roman" w:cs="Times New Roman"/>
          <w:sz w:val="24"/>
          <w:szCs w:val="24"/>
        </w:rPr>
        <w:t xml:space="preserve"> </w:t>
      </w:r>
      <w:r w:rsidR="00CF4901">
        <w:rPr>
          <w:rFonts w:ascii="Times New Roman" w:hAnsi="Times New Roman" w:cs="Times New Roman"/>
          <w:sz w:val="24"/>
          <w:szCs w:val="24"/>
        </w:rPr>
        <w:t>le</w:t>
      </w:r>
      <w:r w:rsidRPr="00096909">
        <w:rPr>
          <w:rFonts w:ascii="Times New Roman" w:hAnsi="Times New Roman" w:cs="Times New Roman"/>
          <w:sz w:val="24"/>
          <w:szCs w:val="24"/>
        </w:rPr>
        <w:t xml:space="preserve"> celebrazioni dinastiche. </w:t>
      </w:r>
    </w:p>
    <w:p w14:paraId="1A9BBF53"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 questa fonte di nuove acquisizioni fondata sulla dinamica del dono aristocratico, si aggiunga che nello stesso anno 1361, </w:t>
      </w:r>
      <w:r>
        <w:rPr>
          <w:rFonts w:ascii="Times New Roman" w:hAnsi="Times New Roman" w:cs="Times New Roman"/>
          <w:sz w:val="24"/>
          <w:szCs w:val="24"/>
        </w:rPr>
        <w:t xml:space="preserve">quando </w:t>
      </w:r>
      <w:r w:rsidRPr="00096909">
        <w:rPr>
          <w:rFonts w:ascii="Times New Roman" w:hAnsi="Times New Roman" w:cs="Times New Roman"/>
          <w:sz w:val="24"/>
          <w:szCs w:val="24"/>
        </w:rPr>
        <w:t xml:space="preserve">Galeazzo II avviava il progetto della biblioteca castellana, giunse a Pavia la bolla dell’imperatore Carlo IV di Lussemburgo, emanata su richiesta del Visconti, che concedeva l’istituzione dell’Università in città. Nel corso del secolo XV lo </w:t>
      </w:r>
      <w:r w:rsidRPr="00096909">
        <w:rPr>
          <w:rFonts w:ascii="Times New Roman" w:hAnsi="Times New Roman" w:cs="Times New Roman"/>
          <w:i/>
          <w:sz w:val="24"/>
          <w:szCs w:val="24"/>
        </w:rPr>
        <w:t>Studium</w:t>
      </w:r>
      <w:r w:rsidRPr="00096909">
        <w:rPr>
          <w:rFonts w:ascii="Times New Roman" w:hAnsi="Times New Roman" w:cs="Times New Roman"/>
          <w:sz w:val="24"/>
          <w:szCs w:val="24"/>
        </w:rPr>
        <w:t xml:space="preserve"> godette del patronato ducale e i suoi docenti furono solleciti nell’offrire le loro opere ai signori di Milano </w:t>
      </w:r>
      <w:r>
        <w:rPr>
          <w:rFonts w:ascii="Times New Roman" w:hAnsi="Times New Roman" w:cs="Times New Roman"/>
          <w:sz w:val="24"/>
          <w:szCs w:val="24"/>
        </w:rPr>
        <w:t xml:space="preserve">in raffinati </w:t>
      </w:r>
      <w:r w:rsidRPr="00096909">
        <w:rPr>
          <w:rFonts w:ascii="Times New Roman" w:hAnsi="Times New Roman" w:cs="Times New Roman"/>
          <w:sz w:val="24"/>
          <w:szCs w:val="24"/>
        </w:rPr>
        <w:t xml:space="preserve">manoscritti di dedica. Si trattò frequentemente di testi giuridici, come il </w:t>
      </w:r>
      <w:r w:rsidRPr="00096909">
        <w:rPr>
          <w:rFonts w:ascii="Times New Roman" w:hAnsi="Times New Roman" w:cs="Times New Roman"/>
          <w:i/>
          <w:sz w:val="24"/>
          <w:szCs w:val="24"/>
        </w:rPr>
        <w:t>Liber de usibus feudorum</w:t>
      </w:r>
      <w:r w:rsidRPr="00096909">
        <w:rPr>
          <w:rFonts w:ascii="Times New Roman" w:hAnsi="Times New Roman" w:cs="Times New Roman"/>
          <w:sz w:val="24"/>
          <w:szCs w:val="24"/>
        </w:rPr>
        <w:t xml:space="preserve"> di Bartolomeo Barattieri, docente all’università dal 1421 al 1447, offerto nel 1442 a Filippo Maria Visconti, o il </w:t>
      </w:r>
      <w:r w:rsidRPr="00096909">
        <w:rPr>
          <w:rFonts w:ascii="Times New Roman" w:hAnsi="Times New Roman" w:cs="Times New Roman"/>
          <w:i/>
          <w:sz w:val="24"/>
          <w:szCs w:val="24"/>
        </w:rPr>
        <w:t>De impedimentis matrimonii</w:t>
      </w:r>
      <w:r w:rsidRPr="00096909">
        <w:rPr>
          <w:rFonts w:ascii="Times New Roman" w:hAnsi="Times New Roman" w:cs="Times New Roman"/>
          <w:sz w:val="24"/>
          <w:szCs w:val="24"/>
        </w:rPr>
        <w:t xml:space="preserve"> di Girolamo Mangiaria, cattedratico a Pavia dal 1437, che nel 1465 ne donò un esemplare miniato al duca Galeazzo Maria Sforza.</w:t>
      </w:r>
      <w:r w:rsidRPr="00096909">
        <w:rPr>
          <w:rStyle w:val="Rimandonotaapidipagina"/>
          <w:rFonts w:ascii="Times New Roman" w:hAnsi="Times New Roman" w:cs="Times New Roman"/>
          <w:sz w:val="24"/>
          <w:szCs w:val="24"/>
        </w:rPr>
        <w:footnoteReference w:id="34"/>
      </w:r>
      <w:r w:rsidRPr="00096909">
        <w:rPr>
          <w:rFonts w:ascii="Times New Roman" w:hAnsi="Times New Roman" w:cs="Times New Roman"/>
          <w:sz w:val="24"/>
          <w:szCs w:val="24"/>
        </w:rPr>
        <w:t xml:space="preserve"> </w:t>
      </w:r>
    </w:p>
    <w:p w14:paraId="640789D9"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storia della biblioteca Visconti-Sforza si chiuse con la caduta del dominio </w:t>
      </w:r>
      <w:r>
        <w:rPr>
          <w:rFonts w:ascii="Times New Roman" w:hAnsi="Times New Roman" w:cs="Times New Roman"/>
          <w:sz w:val="24"/>
          <w:szCs w:val="24"/>
        </w:rPr>
        <w:t>del Moro</w:t>
      </w:r>
      <w:r w:rsidRPr="00096909">
        <w:rPr>
          <w:rFonts w:ascii="Times New Roman" w:hAnsi="Times New Roman" w:cs="Times New Roman"/>
          <w:sz w:val="24"/>
          <w:szCs w:val="24"/>
        </w:rPr>
        <w:t xml:space="preserve">. Durante le operazioni militari per la presa di Milano da parte di Luigi XII, Pavia fu visitata dal re, il 2 ottobre 1499. Egli incaricò Théodore Guayner, medico originario della cittadina lombarda, già al servizio di Carlo VIII, di richiedere agli abitanti una lista completa dei libri conservati a corte. Questi promisero la stesura del documento e il monarca si impegnò a lasciare i volumi dentro le mura del capoluogo ticinese. </w:t>
      </w:r>
      <w:r>
        <w:rPr>
          <w:rFonts w:ascii="Times New Roman" w:hAnsi="Times New Roman" w:cs="Times New Roman"/>
          <w:sz w:val="24"/>
          <w:szCs w:val="24"/>
        </w:rPr>
        <w:t xml:space="preserve">Ma </w:t>
      </w:r>
      <w:r w:rsidRPr="00096909">
        <w:rPr>
          <w:rFonts w:ascii="Times New Roman" w:hAnsi="Times New Roman" w:cs="Times New Roman"/>
          <w:sz w:val="24"/>
          <w:szCs w:val="24"/>
        </w:rPr>
        <w:t xml:space="preserve">nel febbraio </w:t>
      </w:r>
      <w:r>
        <w:rPr>
          <w:rFonts w:ascii="Times New Roman" w:hAnsi="Times New Roman" w:cs="Times New Roman"/>
          <w:sz w:val="24"/>
          <w:szCs w:val="24"/>
        </w:rPr>
        <w:t xml:space="preserve">del </w:t>
      </w:r>
      <w:r w:rsidRPr="00096909">
        <w:rPr>
          <w:rFonts w:ascii="Times New Roman" w:hAnsi="Times New Roman" w:cs="Times New Roman"/>
          <w:sz w:val="24"/>
          <w:szCs w:val="24"/>
        </w:rPr>
        <w:t>1500</w:t>
      </w:r>
      <w:r>
        <w:rPr>
          <w:rFonts w:ascii="Times New Roman" w:hAnsi="Times New Roman" w:cs="Times New Roman"/>
          <w:sz w:val="24"/>
          <w:szCs w:val="24"/>
        </w:rPr>
        <w:t xml:space="preserve">, poiché </w:t>
      </w:r>
      <w:r w:rsidRPr="00096909">
        <w:rPr>
          <w:rFonts w:ascii="Times New Roman" w:hAnsi="Times New Roman" w:cs="Times New Roman"/>
          <w:sz w:val="24"/>
          <w:szCs w:val="24"/>
        </w:rPr>
        <w:t xml:space="preserve">i pavesi sostennero le rivendicazioni </w:t>
      </w:r>
      <w:r w:rsidRPr="00096909">
        <w:rPr>
          <w:rFonts w:ascii="Times New Roman" w:hAnsi="Times New Roman" w:cs="Times New Roman"/>
          <w:sz w:val="24"/>
          <w:szCs w:val="24"/>
        </w:rPr>
        <w:lastRenderedPageBreak/>
        <w:t>de</w:t>
      </w:r>
      <w:r>
        <w:rPr>
          <w:rFonts w:ascii="Times New Roman" w:hAnsi="Times New Roman" w:cs="Times New Roman"/>
          <w:sz w:val="24"/>
          <w:szCs w:val="24"/>
        </w:rPr>
        <w:t>llo sposdestato duca Ludovico,</w:t>
      </w:r>
      <w:r w:rsidRPr="00096909">
        <w:rPr>
          <w:rFonts w:ascii="Times New Roman" w:hAnsi="Times New Roman" w:cs="Times New Roman"/>
          <w:sz w:val="24"/>
          <w:szCs w:val="24"/>
        </w:rPr>
        <w:t xml:space="preserve"> Luigi si considerò sciolto dai patti e ordinò l’invio </w:t>
      </w:r>
      <w:r>
        <w:rPr>
          <w:rFonts w:ascii="Times New Roman" w:hAnsi="Times New Roman" w:cs="Times New Roman"/>
          <w:sz w:val="24"/>
          <w:szCs w:val="24"/>
        </w:rPr>
        <w:t>o</w:t>
      </w:r>
      <w:r w:rsidRPr="00096909">
        <w:rPr>
          <w:rFonts w:ascii="Times New Roman" w:hAnsi="Times New Roman" w:cs="Times New Roman"/>
          <w:sz w:val="24"/>
          <w:szCs w:val="24"/>
        </w:rPr>
        <w:t>ltralpe di un’ampia parte della raccolta ancora prima della vittoria definitiva riportata sul</w:t>
      </w:r>
      <w:r>
        <w:rPr>
          <w:rFonts w:ascii="Times New Roman" w:hAnsi="Times New Roman" w:cs="Times New Roman"/>
          <w:sz w:val="24"/>
          <w:szCs w:val="24"/>
        </w:rPr>
        <w:t xml:space="preserve"> Moro</w:t>
      </w:r>
      <w:r w:rsidRPr="00096909">
        <w:rPr>
          <w:rFonts w:ascii="Times New Roman" w:hAnsi="Times New Roman" w:cs="Times New Roman"/>
          <w:sz w:val="24"/>
          <w:szCs w:val="24"/>
        </w:rPr>
        <w:t xml:space="preserve"> a Novara, il 10 aprile dello stesso anno.</w:t>
      </w:r>
      <w:r w:rsidRPr="00096909">
        <w:rPr>
          <w:rStyle w:val="Rimandonotaapidipagina"/>
          <w:rFonts w:ascii="Times New Roman" w:hAnsi="Times New Roman" w:cs="Times New Roman"/>
        </w:rPr>
        <w:footnoteReference w:id="35"/>
      </w:r>
      <w:r w:rsidRPr="00096909">
        <w:rPr>
          <w:rFonts w:ascii="Times New Roman" w:hAnsi="Times New Roman" w:cs="Times New Roman"/>
          <w:sz w:val="24"/>
          <w:szCs w:val="24"/>
        </w:rPr>
        <w:t xml:space="preserve"> </w:t>
      </w:r>
    </w:p>
    <w:p w14:paraId="10403A9A"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Come già visto a Mantova per la famiglia Gonzaga, bisognerà considerare come il deposito librario ubicato nella torre castellana di Pavia non abbracciasse la totalità dei libri degli Sforza. Alla morte di Bona di Savoia, ad esempio, si procedette alla registrazione di tutti i suoi beni conservati nelle sale del castello di Fossano, dove </w:t>
      </w:r>
      <w:r>
        <w:rPr>
          <w:rFonts w:ascii="Times New Roman" w:hAnsi="Times New Roman" w:cs="Times New Roman"/>
          <w:sz w:val="24"/>
          <w:szCs w:val="24"/>
        </w:rPr>
        <w:t xml:space="preserve">ella </w:t>
      </w:r>
      <w:r w:rsidRPr="00096909">
        <w:rPr>
          <w:rFonts w:ascii="Times New Roman" w:hAnsi="Times New Roman" w:cs="Times New Roman"/>
          <w:sz w:val="24"/>
          <w:szCs w:val="24"/>
        </w:rPr>
        <w:t>aveva abitato dalla primavera del 1500. Tra questi figuravano anche alcune letture devozionali e libri di preghiera, in latino e in volgare, per un totale di 42 unità.</w:t>
      </w:r>
      <w:r w:rsidRPr="00096909">
        <w:rPr>
          <w:rStyle w:val="Rimandonotaapidipagina"/>
          <w:rFonts w:ascii="Times New Roman" w:hAnsi="Times New Roman" w:cs="Times New Roman"/>
          <w:sz w:val="24"/>
          <w:szCs w:val="24"/>
        </w:rPr>
        <w:footnoteReference w:id="36"/>
      </w:r>
    </w:p>
    <w:p w14:paraId="0B14E796"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Alla biblioteca ufficiale, patrimonio rappresentativo del potere</w:t>
      </w:r>
      <w:r w:rsidRPr="009E0E7B">
        <w:rPr>
          <w:rFonts w:ascii="Times New Roman" w:hAnsi="Times New Roman" w:cs="Times New Roman"/>
          <w:sz w:val="24"/>
          <w:szCs w:val="24"/>
        </w:rPr>
        <w:t xml:space="preserve"> </w:t>
      </w:r>
      <w:r w:rsidRPr="00096909">
        <w:rPr>
          <w:rFonts w:ascii="Times New Roman" w:hAnsi="Times New Roman" w:cs="Times New Roman"/>
          <w:sz w:val="24"/>
          <w:szCs w:val="24"/>
        </w:rPr>
        <w:t xml:space="preserve">del principe, si affiancavano dunque le collezioni personali dei singoli membri della famiglia ducale, esattamente come documenta anche il primo inventario noto della biblioteca della corte di Ferrara, compilato per il marchese </w:t>
      </w:r>
      <w:bookmarkStart w:id="26" w:name="_Hlk535674490"/>
      <w:r w:rsidRPr="00096909">
        <w:rPr>
          <w:rFonts w:ascii="Times New Roman" w:hAnsi="Times New Roman" w:cs="Times New Roman"/>
          <w:sz w:val="24"/>
          <w:szCs w:val="24"/>
        </w:rPr>
        <w:t xml:space="preserve">Niccolò III d’Este </w:t>
      </w:r>
      <w:bookmarkEnd w:id="26"/>
      <w:r w:rsidRPr="00096909">
        <w:rPr>
          <w:rFonts w:ascii="Times New Roman" w:hAnsi="Times New Roman" w:cs="Times New Roman"/>
          <w:sz w:val="24"/>
          <w:szCs w:val="24"/>
        </w:rPr>
        <w:t xml:space="preserve">da </w:t>
      </w:r>
      <w:bookmarkStart w:id="27" w:name="_Hlk535674536"/>
      <w:r w:rsidRPr="00096909">
        <w:rPr>
          <w:rFonts w:ascii="Times New Roman" w:hAnsi="Times New Roman" w:cs="Times New Roman"/>
          <w:sz w:val="24"/>
          <w:szCs w:val="24"/>
        </w:rPr>
        <w:t>Piero di Lardi</w:t>
      </w:r>
      <w:bookmarkEnd w:id="27"/>
      <w:r w:rsidRPr="00096909">
        <w:rPr>
          <w:rFonts w:ascii="Times New Roman" w:hAnsi="Times New Roman" w:cs="Times New Roman"/>
          <w:sz w:val="24"/>
          <w:szCs w:val="24"/>
        </w:rPr>
        <w:t xml:space="preserve"> e registrato nel 1436 dal notaio </w:t>
      </w:r>
      <w:bookmarkStart w:id="28" w:name="_Hlk535674577"/>
      <w:r w:rsidRPr="00096909">
        <w:rPr>
          <w:rFonts w:ascii="Times New Roman" w:hAnsi="Times New Roman" w:cs="Times New Roman"/>
          <w:sz w:val="24"/>
          <w:szCs w:val="24"/>
        </w:rPr>
        <w:t>Valerio di Betto</w:t>
      </w:r>
      <w:bookmarkEnd w:id="28"/>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37"/>
      </w:r>
      <w:r w:rsidRPr="00096909">
        <w:rPr>
          <w:rFonts w:ascii="Times New Roman" w:hAnsi="Times New Roman" w:cs="Times New Roman"/>
          <w:sz w:val="24"/>
          <w:szCs w:val="24"/>
        </w:rPr>
        <w:t xml:space="preserve"> Questo testo fu steso in vista dell’entrata in ruolo del nuovo amministratore </w:t>
      </w:r>
      <w:r>
        <w:rPr>
          <w:rFonts w:ascii="Times New Roman" w:hAnsi="Times New Roman" w:cs="Times New Roman"/>
          <w:sz w:val="24"/>
          <w:szCs w:val="24"/>
        </w:rPr>
        <w:t>“</w:t>
      </w:r>
      <w:r w:rsidRPr="00B73313">
        <w:rPr>
          <w:rFonts w:ascii="Times New Roman" w:hAnsi="Times New Roman" w:cs="Times New Roman"/>
          <w:sz w:val="24"/>
          <w:szCs w:val="24"/>
        </w:rPr>
        <w:t>ufficiale sovra li drapamenta</w:t>
      </w:r>
      <w:r>
        <w:rPr>
          <w:rFonts w:ascii="Times New Roman" w:hAnsi="Times New Roman" w:cs="Times New Roman"/>
          <w:sz w:val="24"/>
          <w:szCs w:val="24"/>
        </w:rPr>
        <w:t>”</w:t>
      </w:r>
      <w:r w:rsidRPr="00096909">
        <w:rPr>
          <w:rFonts w:ascii="Times New Roman" w:hAnsi="Times New Roman" w:cs="Times New Roman"/>
          <w:sz w:val="24"/>
          <w:szCs w:val="24"/>
        </w:rPr>
        <w:t xml:space="preserve">, </w:t>
      </w:r>
      <w:bookmarkStart w:id="29" w:name="_Hlk535674672"/>
      <w:r w:rsidRPr="00096909">
        <w:rPr>
          <w:rFonts w:ascii="Times New Roman" w:hAnsi="Times New Roman" w:cs="Times New Roman"/>
          <w:sz w:val="24"/>
          <w:szCs w:val="24"/>
        </w:rPr>
        <w:t>Giovanni di Piero da Pavia</w:t>
      </w:r>
      <w:bookmarkEnd w:id="29"/>
      <w:r w:rsidRPr="00096909">
        <w:rPr>
          <w:rFonts w:ascii="Times New Roman" w:hAnsi="Times New Roman" w:cs="Times New Roman"/>
          <w:sz w:val="24"/>
          <w:szCs w:val="24"/>
        </w:rPr>
        <w:t>. L’elenco dei libri era quindi una sezione ristretta del computo dei beni mobili della residenza. Esso segnala come, dei 276 manoscritti presenti nella torre di Rigobello, gli ultimi otto menzionati fossero da poco rientrati in sede, essendo stati in precedenza collocati nello studio di Leonello, figlio del marchese, per agevolare la</w:t>
      </w:r>
      <w:r>
        <w:rPr>
          <w:rFonts w:ascii="Times New Roman" w:hAnsi="Times New Roman" w:cs="Times New Roman"/>
          <w:sz w:val="24"/>
          <w:szCs w:val="24"/>
        </w:rPr>
        <w:t xml:space="preserve"> sua</w:t>
      </w:r>
      <w:r w:rsidRPr="00096909">
        <w:rPr>
          <w:rFonts w:ascii="Times New Roman" w:hAnsi="Times New Roman" w:cs="Times New Roman"/>
          <w:sz w:val="24"/>
          <w:szCs w:val="24"/>
        </w:rPr>
        <w:t xml:space="preserve"> lettura. Come osserva </w:t>
      </w:r>
      <w:bookmarkStart w:id="30" w:name="_Hlk535674735"/>
      <w:r w:rsidRPr="00096909">
        <w:rPr>
          <w:rFonts w:ascii="Times New Roman" w:hAnsi="Times New Roman" w:cs="Times New Roman"/>
          <w:sz w:val="24"/>
          <w:szCs w:val="24"/>
        </w:rPr>
        <w:t>Amedeo Quondam</w:t>
      </w:r>
      <w:bookmarkEnd w:id="30"/>
      <w:r w:rsidRPr="00096909">
        <w:rPr>
          <w:rFonts w:ascii="Times New Roman" w:hAnsi="Times New Roman" w:cs="Times New Roman"/>
          <w:sz w:val="24"/>
          <w:szCs w:val="24"/>
        </w:rPr>
        <w:t>, l’informazione spiega non solo come nel castello fossero presenti più raccolte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una pubblica o ufficiale e altre private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ma anche come potessero esserci ambienti di lettura differenti, conformi alle esigenze del principe.</w:t>
      </w:r>
      <w:r w:rsidRPr="00096909">
        <w:rPr>
          <w:rStyle w:val="Rimandonotaapidipagina"/>
          <w:rFonts w:ascii="Times New Roman" w:hAnsi="Times New Roman" w:cs="Times New Roman"/>
          <w:sz w:val="24"/>
          <w:szCs w:val="24"/>
        </w:rPr>
        <w:footnoteReference w:id="38"/>
      </w:r>
      <w:r w:rsidRPr="00096909">
        <w:rPr>
          <w:rFonts w:ascii="Times New Roman" w:hAnsi="Times New Roman" w:cs="Times New Roman"/>
          <w:sz w:val="24"/>
          <w:szCs w:val="24"/>
        </w:rPr>
        <w:t xml:space="preserve"> </w:t>
      </w:r>
    </w:p>
    <w:p w14:paraId="3C051D77"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Nell’elenco del 1436, inoltre, non si fa menzione di un gruppo di 21 testi di diritto che Niccolò III aveva prelevato nel 1434 dalla biblioteca del suo segretario e cancelliere Giacomo Giglioli, suicidatosi dopo la carcerazione a seguito dell’accusa di alto tradimento e lesa maestà.</w:t>
      </w:r>
      <w:r w:rsidRPr="00096909">
        <w:rPr>
          <w:rStyle w:val="Rimandonotaapidipagina"/>
          <w:rFonts w:ascii="Times New Roman" w:hAnsi="Times New Roman" w:cs="Times New Roman"/>
          <w:sz w:val="24"/>
          <w:szCs w:val="24"/>
        </w:rPr>
        <w:footnoteReference w:id="39"/>
      </w:r>
      <w:r w:rsidRPr="00096909">
        <w:rPr>
          <w:rFonts w:ascii="Times New Roman" w:hAnsi="Times New Roman" w:cs="Times New Roman"/>
          <w:sz w:val="24"/>
          <w:szCs w:val="24"/>
        </w:rPr>
        <w:t xml:space="preserve"> </w:t>
      </w:r>
    </w:p>
    <w:p w14:paraId="2B482C02"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Della riserva libraria di Leonello, marchese di Ferrara dal 1441 al 1450, cólto promotore dell’umanesimo a Ferrara, non ci è pervenuto invece alcun inventario, e anche le informazioni sulla biblioteca della torre sono scarse nel tempo del suo dominio. Sappiamo tuttavia che dal 1442 il marchese vi prepose il copista Biagio Bosoni da Cremona, documentato nel ruolo di bibliotecario fino al 1459.</w:t>
      </w:r>
      <w:r w:rsidRPr="00096909">
        <w:rPr>
          <w:rStyle w:val="Rimandonotaapidipagina"/>
          <w:rFonts w:ascii="Times New Roman" w:hAnsi="Times New Roman" w:cs="Times New Roman"/>
          <w:sz w:val="24"/>
          <w:szCs w:val="24"/>
        </w:rPr>
        <w:footnoteReference w:id="40"/>
      </w:r>
      <w:r w:rsidRPr="00096909">
        <w:rPr>
          <w:rFonts w:ascii="Times New Roman" w:hAnsi="Times New Roman" w:cs="Times New Roman"/>
          <w:sz w:val="24"/>
          <w:szCs w:val="24"/>
        </w:rPr>
        <w:t xml:space="preserve"> Le ambizioni culturali del principe e la sua passione per le lettere sono però note grazie alla corrispondenza epistolare che egli intrattenne con Guarino Veronese, del quale era stato allievo dal 1429. Vi abbondano i consigli letterari e le disquisizioni di soggetto filologico, indizio della varietà di letture classiche confluite alla corte negli anni del suo marchesato, se non nella biblioteca ufficiale, certo in quella personale di Leonello.</w:t>
      </w:r>
      <w:r w:rsidRPr="00096909">
        <w:rPr>
          <w:rStyle w:val="Rimandonotaapidipagina"/>
          <w:rFonts w:ascii="Times New Roman" w:hAnsi="Times New Roman" w:cs="Times New Roman"/>
          <w:sz w:val="24"/>
          <w:szCs w:val="24"/>
        </w:rPr>
        <w:footnoteReference w:id="41"/>
      </w:r>
      <w:r w:rsidRPr="00096909">
        <w:rPr>
          <w:rFonts w:ascii="Times New Roman" w:hAnsi="Times New Roman" w:cs="Times New Roman"/>
          <w:sz w:val="24"/>
          <w:szCs w:val="24"/>
        </w:rPr>
        <w:t xml:space="preserve"> </w:t>
      </w:r>
    </w:p>
    <w:p w14:paraId="0ACD1109"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Nel 1467 fu invece registrato presso il notaio Giacomo de Curlo un </w:t>
      </w:r>
      <w:r w:rsidRPr="00096909">
        <w:rPr>
          <w:rFonts w:ascii="Times New Roman" w:hAnsi="Times New Roman" w:cs="Times New Roman"/>
          <w:i/>
          <w:sz w:val="24"/>
          <w:szCs w:val="24"/>
        </w:rPr>
        <w:t>Inventarium et descriptio librorum et voluminum existentium in Bibliotecha Turis Magne Palatii</w:t>
      </w:r>
      <w:r w:rsidRPr="00096909">
        <w:rPr>
          <w:rFonts w:ascii="Times New Roman" w:hAnsi="Times New Roman" w:cs="Times New Roman"/>
          <w:sz w:val="24"/>
          <w:szCs w:val="24"/>
        </w:rPr>
        <w:t xml:space="preserve"> stilato da Niccolò Tossici, Scipione Fontana e Francesco Putti.</w:t>
      </w:r>
      <w:r w:rsidRPr="00096909">
        <w:rPr>
          <w:rStyle w:val="Rimandonotaapidipagina"/>
          <w:rFonts w:ascii="Times New Roman" w:hAnsi="Times New Roman" w:cs="Times New Roman"/>
          <w:sz w:val="24"/>
          <w:szCs w:val="24"/>
        </w:rPr>
        <w:footnoteReference w:id="42"/>
      </w:r>
      <w:r w:rsidRPr="00096909">
        <w:rPr>
          <w:rFonts w:ascii="Times New Roman" w:hAnsi="Times New Roman" w:cs="Times New Roman"/>
          <w:sz w:val="24"/>
          <w:szCs w:val="24"/>
        </w:rPr>
        <w:t xml:space="preserve"> Il manoscritto, mutilo, classifica i libri in base alla lingua di composizione </w:t>
      </w:r>
      <w:r>
        <w:rPr>
          <w:rFonts w:ascii="Times New Roman" w:hAnsi="Times New Roman" w:cs="Times New Roman"/>
          <w:sz w:val="24"/>
          <w:szCs w:val="24"/>
        </w:rPr>
        <w:t>(</w:t>
      </w:r>
      <w:r w:rsidRPr="00096909">
        <w:rPr>
          <w:rFonts w:ascii="Times New Roman" w:hAnsi="Times New Roman" w:cs="Times New Roman"/>
          <w:sz w:val="24"/>
          <w:szCs w:val="24"/>
        </w:rPr>
        <w:t>122 volumi latini, 28 volgari</w:t>
      </w:r>
      <w:r>
        <w:rPr>
          <w:rFonts w:ascii="Times New Roman" w:hAnsi="Times New Roman" w:cs="Times New Roman"/>
          <w:sz w:val="24"/>
          <w:szCs w:val="24"/>
        </w:rPr>
        <w:t>)</w:t>
      </w:r>
      <w:r w:rsidRPr="00096909">
        <w:rPr>
          <w:rFonts w:ascii="Times New Roman" w:hAnsi="Times New Roman" w:cs="Times New Roman"/>
          <w:sz w:val="24"/>
          <w:szCs w:val="24"/>
        </w:rPr>
        <w:t xml:space="preserve"> e registra 25 esemplari come momentaneamente assenti perché dati in prestito. Le sue voci si rivelano molto attente alle questioni propriamente codicologiche, tra le quali l’indicazione della scrittura impiegata: dominano</w:t>
      </w:r>
      <w:r w:rsidRPr="00096909">
        <w:rPr>
          <w:rStyle w:val="Rimandocommento"/>
        </w:rPr>
        <w:t xml:space="preserve"> </w:t>
      </w:r>
      <w:r w:rsidRPr="00096909">
        <w:rPr>
          <w:rFonts w:ascii="Times New Roman" w:hAnsi="Times New Roman" w:cs="Times New Roman"/>
          <w:sz w:val="24"/>
          <w:szCs w:val="24"/>
        </w:rPr>
        <w:t>la</w:t>
      </w:r>
      <w:r w:rsidRPr="00096909">
        <w:rPr>
          <w:rFonts w:ascii="Times New Roman" w:hAnsi="Times New Roman" w:cs="Times New Roman"/>
          <w:i/>
          <w:sz w:val="24"/>
          <w:szCs w:val="24"/>
        </w:rPr>
        <w:t xml:space="preserve"> littera textualis</w:t>
      </w:r>
      <w:r w:rsidRPr="00096909">
        <w:rPr>
          <w:rFonts w:ascii="Times New Roman" w:hAnsi="Times New Roman" w:cs="Times New Roman"/>
          <w:sz w:val="24"/>
          <w:szCs w:val="24"/>
        </w:rPr>
        <w:t xml:space="preserve"> e la </w:t>
      </w:r>
      <w:r w:rsidRPr="00096909">
        <w:rPr>
          <w:rFonts w:ascii="Times New Roman" w:hAnsi="Times New Roman" w:cs="Times New Roman"/>
          <w:i/>
          <w:sz w:val="24"/>
          <w:szCs w:val="24"/>
        </w:rPr>
        <w:t>minuta corsiva</w:t>
      </w:r>
      <w:r w:rsidRPr="00096909">
        <w:rPr>
          <w:rFonts w:ascii="Times New Roman" w:hAnsi="Times New Roman" w:cs="Times New Roman"/>
          <w:sz w:val="24"/>
          <w:szCs w:val="24"/>
        </w:rPr>
        <w:t>, espressioni di un gusto ancora medievale per la grafica della raccolta, la quale appare indifferente al rinnovamento culturale e stilistico dell’umanesimo.</w:t>
      </w:r>
    </w:p>
    <w:p w14:paraId="7813449B"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Anche gli inventari redatti negli anni 1474, 1480, 1488, </w:t>
      </w:r>
      <w:r>
        <w:rPr>
          <w:rFonts w:ascii="Times New Roman" w:hAnsi="Times New Roman" w:cs="Times New Roman"/>
          <w:sz w:val="24"/>
          <w:szCs w:val="24"/>
        </w:rPr>
        <w:t xml:space="preserve">sotto </w:t>
      </w:r>
      <w:r w:rsidRPr="00096909">
        <w:rPr>
          <w:rFonts w:ascii="Times New Roman" w:hAnsi="Times New Roman" w:cs="Times New Roman"/>
          <w:sz w:val="24"/>
          <w:szCs w:val="24"/>
        </w:rPr>
        <w:t>il ducato di Ercole I</w:t>
      </w:r>
      <w:r>
        <w:rPr>
          <w:rFonts w:ascii="Times New Roman" w:hAnsi="Times New Roman" w:cs="Times New Roman"/>
          <w:sz w:val="24"/>
          <w:szCs w:val="24"/>
        </w:rPr>
        <w:t>,</w:t>
      </w:r>
      <w:r w:rsidRPr="00096909">
        <w:rPr>
          <w:rFonts w:ascii="Times New Roman" w:hAnsi="Times New Roman" w:cs="Times New Roman"/>
          <w:sz w:val="24"/>
          <w:szCs w:val="24"/>
        </w:rPr>
        <w:t xml:space="preserve"> non segnalano cambiamenti d’orientamento o considerevoli ampliamenti per la biblioteca della torre, che nell’ultimo elenco comprende solo 205 volumi raggruppati nuovamente in base alla lingua di scrittura, in maniera da rispecchiare un possibile ordine di collocazione negli armadi.</w:t>
      </w:r>
      <w:r w:rsidRPr="00096909">
        <w:rPr>
          <w:rStyle w:val="Rimandonotaapidipagina"/>
          <w:rFonts w:ascii="Times New Roman" w:hAnsi="Times New Roman" w:cs="Times New Roman"/>
          <w:sz w:val="24"/>
          <w:szCs w:val="24"/>
        </w:rPr>
        <w:footnoteReference w:id="43"/>
      </w:r>
      <w:r w:rsidRPr="00096909">
        <w:rPr>
          <w:rFonts w:ascii="Times New Roman" w:hAnsi="Times New Roman" w:cs="Times New Roman"/>
          <w:sz w:val="24"/>
          <w:szCs w:val="24"/>
        </w:rPr>
        <w:t xml:space="preserve"> Non è dunque tra questi scaffali che vanno cercati i codici confezionati dai miniatori di Ercole e le opere a lui offerte dagli umanisti e dai letterati della sua cerchia. Essi si ritrovavano invece in una collezione privata schedata nel 1495 per ordine del duca dal camerlengo Girolamo Giglioli.</w:t>
      </w:r>
      <w:r w:rsidRPr="00096909">
        <w:rPr>
          <w:rStyle w:val="Rimandonotaapidipagina"/>
          <w:rFonts w:ascii="Times New Roman" w:hAnsi="Times New Roman" w:cs="Times New Roman"/>
          <w:sz w:val="24"/>
          <w:szCs w:val="24"/>
        </w:rPr>
        <w:footnoteReference w:id="44"/>
      </w:r>
      <w:r w:rsidRPr="00096909">
        <w:rPr>
          <w:rFonts w:ascii="Times New Roman" w:hAnsi="Times New Roman" w:cs="Times New Roman"/>
          <w:sz w:val="24"/>
          <w:szCs w:val="24"/>
        </w:rPr>
        <w:t xml:space="preserve"> La </w:t>
      </w:r>
      <w:r w:rsidRPr="00096909">
        <w:rPr>
          <w:rFonts w:ascii="Times New Roman" w:hAnsi="Times New Roman" w:cs="Times New Roman"/>
          <w:sz w:val="24"/>
          <w:szCs w:val="24"/>
        </w:rPr>
        <w:lastRenderedPageBreak/>
        <w:t>lista, questa volta in ordine alfabetico, contempla 512 titoli riposti «ne l’oratorio de la Excellentia del Signore». Si tratta di un insieme molto eterogeneo di letture tra le quali si segnalano, in mezzo alle opere dei classici e ai testi d’erudizione umanistica, cinque titoli a stampa e un piccolo gruppo di libri in spagnolo, lingua importata alla corte dalla duchessa Eleonora d’Aragona. Anche per la principessa possediamo un inventario di 71 volumi, che conferma il disegno estense di una pluralità di collezioni disposte in più luoghi del castello ma in dialogo con la raccolta centrale.</w:t>
      </w:r>
      <w:r w:rsidRPr="00096909">
        <w:rPr>
          <w:rStyle w:val="Rimandonotaapidipagina"/>
          <w:rFonts w:ascii="Times New Roman" w:hAnsi="Times New Roman" w:cs="Times New Roman"/>
          <w:sz w:val="24"/>
          <w:szCs w:val="24"/>
        </w:rPr>
        <w:footnoteReference w:id="45"/>
      </w:r>
      <w:r w:rsidRPr="00096909">
        <w:rPr>
          <w:rFonts w:ascii="Times New Roman" w:hAnsi="Times New Roman" w:cs="Times New Roman"/>
          <w:sz w:val="24"/>
          <w:szCs w:val="24"/>
        </w:rPr>
        <w:t xml:space="preserve"> Scorrendo i titoli dell’inventario del 1495 emerge inoltre come nel suo oratorio Ercole I conservasse anche alcuni dei libri appartenuti un tempo a Leonello e a Borso d’Este, come le copie di dedica degli scritti di Basinio Basini, Flavio Biondo, Tito Strozzi, Leon Battista Alberti.</w:t>
      </w:r>
      <w:r w:rsidRPr="00096909">
        <w:rPr>
          <w:rStyle w:val="Rimandonotaapidipagina"/>
          <w:rFonts w:ascii="Times New Roman" w:hAnsi="Times New Roman" w:cs="Times New Roman"/>
          <w:sz w:val="24"/>
          <w:szCs w:val="24"/>
        </w:rPr>
        <w:footnoteReference w:id="46"/>
      </w:r>
      <w:r w:rsidRPr="00096909">
        <w:rPr>
          <w:rFonts w:ascii="Times New Roman" w:hAnsi="Times New Roman" w:cs="Times New Roman"/>
          <w:sz w:val="24"/>
          <w:szCs w:val="24"/>
        </w:rPr>
        <w:t xml:space="preserve"> Fatto che induce a suppore un atteggiamento piuttosto disinvolto dei duchi d’Este nell’arricchire le loro biblioteche private con i volumi dei predecessori, senza preoccuparsi di assegnarli alla raccolta ufficiale di famiglia.</w:t>
      </w:r>
    </w:p>
    <w:p w14:paraId="163BF34F"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Finora abbiamo osservato come la formazione delle biblioteche signorili del Rinascimento abbia richiesto</w:t>
      </w:r>
      <w:r w:rsidRPr="00096909">
        <w:rPr>
          <w:rStyle w:val="Rimandocommento"/>
        </w:rPr>
        <w:t xml:space="preserve"> </w:t>
      </w:r>
      <w:r w:rsidRPr="00096909">
        <w:rPr>
          <w:rStyle w:val="Rimandocommento"/>
          <w:rFonts w:ascii="Times New Roman" w:hAnsi="Times New Roman" w:cs="Times New Roman"/>
          <w:sz w:val="24"/>
          <w:szCs w:val="24"/>
        </w:rPr>
        <w:t>l</w:t>
      </w:r>
      <w:r w:rsidRPr="00096909">
        <w:rPr>
          <w:rFonts w:ascii="Times New Roman" w:hAnsi="Times New Roman" w:cs="Times New Roman"/>
          <w:sz w:val="24"/>
          <w:szCs w:val="24"/>
        </w:rPr>
        <w:t xml:space="preserve">a disponibilità economica di un principe promotore delle lettere, alla cui ambizione la presenza di un intellettuale umanista potesse offrirsi come ordinatrice di un ampio patrimonio librario, espressione non solo del potere economico e politico del possessore, ma anche del prestigio culturale da lui raggiunto. </w:t>
      </w:r>
    </w:p>
    <w:p w14:paraId="14F1E110"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Nel contesto repubblicano fiorentino questa dinamica di mecenatismo culturale si complicò ulteriormente. La fondazione della prima biblioteca pubblica del Rinascimento rientrò infatti nell’orbita delle aspettative di potere sulla città coltivate dai Medici.</w:t>
      </w:r>
      <w:r w:rsidRPr="00096909">
        <w:rPr>
          <w:rStyle w:val="Rimandonotaapidipagina"/>
          <w:rFonts w:ascii="Times New Roman" w:hAnsi="Times New Roman" w:cs="Times New Roman"/>
          <w:sz w:val="24"/>
          <w:szCs w:val="24"/>
        </w:rPr>
        <w:footnoteReference w:id="47"/>
      </w:r>
      <w:r w:rsidRPr="00096909">
        <w:rPr>
          <w:rFonts w:ascii="Times New Roman" w:hAnsi="Times New Roman" w:cs="Times New Roman"/>
          <w:sz w:val="24"/>
          <w:szCs w:val="24"/>
        </w:rPr>
        <w:t xml:space="preserve"> </w:t>
      </w:r>
    </w:p>
    <w:p w14:paraId="1E53E19B"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Nell’estate del 1436 i domenicani riformati presero possesso del convento silvestrino di San Marco, caduto in rovina a causa di un grave incendio che ne aveva distrutto un dormitorio e parte della chiesa conventuale. Il restauro del plesso godette dell’appoggio economico di Cosimo il Vecchio de’ Medici e di suo fratello Lorenzo, rientrati a Firenze dall’esilio quasi due anni prima, i quali commissionarono a Michelozzo Michelozzi il progetto di riqualifica</w:t>
      </w:r>
      <w:r>
        <w:rPr>
          <w:rFonts w:ascii="Times New Roman" w:hAnsi="Times New Roman" w:cs="Times New Roman"/>
          <w:sz w:val="24"/>
          <w:szCs w:val="24"/>
        </w:rPr>
        <w:t>zione</w:t>
      </w:r>
      <w:r w:rsidRPr="00096909">
        <w:rPr>
          <w:rFonts w:ascii="Times New Roman" w:hAnsi="Times New Roman" w:cs="Times New Roman"/>
          <w:sz w:val="24"/>
          <w:szCs w:val="24"/>
        </w:rPr>
        <w:t xml:space="preserve"> dell’area.</w:t>
      </w:r>
      <w:r w:rsidRPr="00096909">
        <w:rPr>
          <w:rStyle w:val="Rimandonotaapidipagina"/>
          <w:rFonts w:ascii="Times New Roman" w:hAnsi="Times New Roman" w:cs="Times New Roman"/>
          <w:sz w:val="24"/>
          <w:szCs w:val="24"/>
        </w:rPr>
        <w:footnoteReference w:id="48"/>
      </w:r>
      <w:r w:rsidRPr="00096909">
        <w:rPr>
          <w:rFonts w:ascii="Times New Roman" w:hAnsi="Times New Roman" w:cs="Times New Roman"/>
          <w:sz w:val="24"/>
          <w:szCs w:val="24"/>
        </w:rPr>
        <w:t xml:space="preserve"> </w:t>
      </w:r>
    </w:p>
    <w:p w14:paraId="1302B308"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A partire dal 1441 l’edificio </w:t>
      </w:r>
      <w:r>
        <w:rPr>
          <w:rFonts w:ascii="Times New Roman" w:hAnsi="Times New Roman" w:cs="Times New Roman"/>
          <w:sz w:val="24"/>
          <w:szCs w:val="24"/>
        </w:rPr>
        <w:t>fu</w:t>
      </w:r>
      <w:r w:rsidRPr="00096909">
        <w:rPr>
          <w:rFonts w:ascii="Times New Roman" w:hAnsi="Times New Roman" w:cs="Times New Roman"/>
          <w:sz w:val="24"/>
          <w:szCs w:val="24"/>
        </w:rPr>
        <w:t xml:space="preserve"> dot</w:t>
      </w:r>
      <w:r>
        <w:rPr>
          <w:rFonts w:ascii="Times New Roman" w:hAnsi="Times New Roman" w:cs="Times New Roman"/>
          <w:sz w:val="24"/>
          <w:szCs w:val="24"/>
        </w:rPr>
        <w:t>ato</w:t>
      </w:r>
      <w:r w:rsidRPr="00096909">
        <w:rPr>
          <w:rFonts w:ascii="Times New Roman" w:hAnsi="Times New Roman" w:cs="Times New Roman"/>
          <w:sz w:val="24"/>
          <w:szCs w:val="24"/>
        </w:rPr>
        <w:t xml:space="preserve"> di un locale per la lettura, mentre il 22 gennaio dello stesso anno Niccolò Niccoli, prossimo </w:t>
      </w:r>
      <w:r w:rsidR="00527AD8" w:rsidRPr="00096909">
        <w:rPr>
          <w:rFonts w:ascii="Times New Roman" w:hAnsi="Times New Roman" w:cs="Times New Roman"/>
          <w:sz w:val="24"/>
          <w:szCs w:val="24"/>
        </w:rPr>
        <w:t xml:space="preserve">ormai </w:t>
      </w:r>
      <w:r w:rsidRPr="00096909">
        <w:rPr>
          <w:rFonts w:ascii="Times New Roman" w:hAnsi="Times New Roman" w:cs="Times New Roman"/>
          <w:sz w:val="24"/>
          <w:szCs w:val="24"/>
        </w:rPr>
        <w:t xml:space="preserve">alla morte, </w:t>
      </w:r>
      <w:r>
        <w:rPr>
          <w:rFonts w:ascii="Times New Roman" w:hAnsi="Times New Roman" w:cs="Times New Roman"/>
          <w:sz w:val="24"/>
          <w:szCs w:val="24"/>
        </w:rPr>
        <w:t>fe</w:t>
      </w:r>
      <w:r w:rsidRPr="00096909">
        <w:rPr>
          <w:rFonts w:ascii="Times New Roman" w:hAnsi="Times New Roman" w:cs="Times New Roman"/>
          <w:sz w:val="24"/>
          <w:szCs w:val="24"/>
        </w:rPr>
        <w:t>ce testamento e impegn</w:t>
      </w:r>
      <w:r>
        <w:rPr>
          <w:rFonts w:ascii="Times New Roman" w:hAnsi="Times New Roman" w:cs="Times New Roman"/>
          <w:sz w:val="24"/>
          <w:szCs w:val="24"/>
        </w:rPr>
        <w:t>ò</w:t>
      </w:r>
      <w:r w:rsidRPr="00096909">
        <w:rPr>
          <w:rFonts w:ascii="Times New Roman" w:hAnsi="Times New Roman" w:cs="Times New Roman"/>
          <w:sz w:val="24"/>
          <w:szCs w:val="24"/>
        </w:rPr>
        <w:t xml:space="preserve"> gli esecutori testamentari a prendere in custodia i suoi libri allo scopo di farne una biblioteca pubblica, votata allo studio e accessibile ad un’ampia comunità di studiosi. Nel novero degli </w:t>
      </w:r>
      <w:r w:rsidRPr="00096909">
        <w:rPr>
          <w:rFonts w:ascii="Times New Roman" w:hAnsi="Times New Roman" w:cs="Times New Roman"/>
          <w:i/>
          <w:sz w:val="24"/>
          <w:szCs w:val="24"/>
        </w:rPr>
        <w:t>optimis ac peritissimis viris sibique amicis</w:t>
      </w:r>
      <w:r w:rsidRPr="00096909">
        <w:rPr>
          <w:rFonts w:ascii="Times New Roman" w:hAnsi="Times New Roman" w:cs="Times New Roman"/>
          <w:sz w:val="24"/>
          <w:szCs w:val="24"/>
        </w:rPr>
        <w:t xml:space="preserve"> cui Niccoli lasciava i suoi beni figurava anche Cosimo il Vecchio, che il 6 aprile 1441, saldati i debiti lasciati dall’umanista, ottenne dagli altri esecutori l’autorizzazione ad assegnare il lascito librario al convento di San Marco.</w:t>
      </w:r>
      <w:r w:rsidRPr="00096909">
        <w:rPr>
          <w:rStyle w:val="Rimandonotaapidipagina"/>
          <w:rFonts w:ascii="Times New Roman" w:hAnsi="Times New Roman" w:cs="Times New Roman"/>
          <w:sz w:val="24"/>
          <w:szCs w:val="24"/>
        </w:rPr>
        <w:footnoteReference w:id="49"/>
      </w:r>
      <w:r w:rsidRPr="00096909">
        <w:rPr>
          <w:rFonts w:ascii="Times New Roman" w:hAnsi="Times New Roman" w:cs="Times New Roman"/>
          <w:sz w:val="24"/>
          <w:szCs w:val="24"/>
        </w:rPr>
        <w:t xml:space="preserve"> Nell’attesa della fine dei lavori in corso presso l’edificio conventuale, Cosimo ospitò probabilmente presso di sé gli oltre quattrocento codici ereditati, ordinandone poi la disposizione nell’ultimata sala di lettura progettata da Michelozzo nel 1444.</w:t>
      </w:r>
      <w:r w:rsidRPr="00096909">
        <w:rPr>
          <w:rStyle w:val="Rimandonotaapidipagina"/>
          <w:rFonts w:ascii="Times New Roman" w:hAnsi="Times New Roman" w:cs="Times New Roman"/>
          <w:sz w:val="24"/>
          <w:szCs w:val="24"/>
        </w:rPr>
        <w:footnoteReference w:id="50"/>
      </w:r>
      <w:r w:rsidRPr="00096909">
        <w:rPr>
          <w:rFonts w:ascii="Times New Roman" w:hAnsi="Times New Roman" w:cs="Times New Roman"/>
          <w:sz w:val="24"/>
          <w:szCs w:val="24"/>
        </w:rPr>
        <w:t xml:space="preserve"> Nella nuova collezione dei domenicani entrarono inoltre trentanove volumi appartenuti a Coluccio Salutati: non solo quelli che dalla raccolta del cancelliere erano pervenuti al Niccoli, ma anche quelli giunti a Cosimo de’ Medici, a Filippo Pieruzzi e un Seneca posseduto da Vespasiano da Bisticci.</w:t>
      </w:r>
      <w:r w:rsidRPr="00096909">
        <w:rPr>
          <w:rStyle w:val="Rimandonotaapidipagina"/>
          <w:rFonts w:ascii="Times New Roman" w:hAnsi="Times New Roman" w:cs="Times New Roman"/>
          <w:sz w:val="24"/>
          <w:szCs w:val="24"/>
        </w:rPr>
        <w:footnoteReference w:id="51"/>
      </w:r>
      <w:r w:rsidRPr="00096909">
        <w:rPr>
          <w:rFonts w:ascii="Times New Roman" w:hAnsi="Times New Roman" w:cs="Times New Roman"/>
          <w:sz w:val="24"/>
          <w:szCs w:val="24"/>
        </w:rPr>
        <w:t xml:space="preserve"> A quest’ultimo, protagonista indiscusso del mercato del libro manoscritto del Quattrocento fiorentino, si deve un ricordo importante sull’atteggiamento del Medici nei confronti della biblioteca della quale aveva incentivato la fondazione: </w:t>
      </w:r>
    </w:p>
    <w:p w14:paraId="699AE477" w14:textId="77777777" w:rsidR="00426D6A" w:rsidRPr="00096909" w:rsidRDefault="00426D6A" w:rsidP="00426D6A">
      <w:pPr>
        <w:spacing w:after="0" w:line="360" w:lineRule="auto"/>
        <w:ind w:firstLine="454"/>
        <w:jc w:val="both"/>
        <w:rPr>
          <w:rFonts w:ascii="Times New Roman" w:hAnsi="Times New Roman" w:cs="Times New Roman"/>
          <w:sz w:val="24"/>
          <w:szCs w:val="24"/>
        </w:rPr>
      </w:pPr>
    </w:p>
    <w:p w14:paraId="763B89A9" w14:textId="77777777" w:rsidR="00426D6A" w:rsidRPr="00096909" w:rsidRDefault="00426D6A" w:rsidP="00426D6A">
      <w:pPr>
        <w:spacing w:after="0" w:line="360" w:lineRule="auto"/>
        <w:ind w:left="567" w:right="567" w:firstLine="454"/>
        <w:jc w:val="both"/>
        <w:rPr>
          <w:rFonts w:ascii="Times New Roman" w:hAnsi="Times New Roman" w:cs="Times New Roman"/>
          <w:sz w:val="24"/>
          <w:szCs w:val="24"/>
        </w:rPr>
      </w:pPr>
      <w:r w:rsidRPr="00096909">
        <w:rPr>
          <w:rFonts w:ascii="Times New Roman" w:hAnsi="Times New Roman" w:cs="Times New Roman"/>
          <w:sz w:val="20"/>
          <w:szCs w:val="20"/>
        </w:rPr>
        <w:t xml:space="preserve">Avuti Cosimo i libri di Nicolao, volle vedere lo inventario per vedere quegli che mancassino alla libreria, et mandò in più luoghi per averne, et dove ne poté trovare ne comperò, et molti ne fece scrivere, et tutte queste spese della libreria si pagavano al banco per poliza di frate Giuliano Lapaccini, uomo degnissimo, come innanzi s’è detto, et tutto faceva a fine che dette ispese si facessino et non si avessi ogni volta a trovare lui. Finita la libraria come ella sta, non li pareva avere soperito a quanto era la sua </w:t>
      </w:r>
      <w:r w:rsidRPr="00096909">
        <w:rPr>
          <w:rFonts w:ascii="Times New Roman" w:hAnsi="Times New Roman" w:cs="Times New Roman"/>
          <w:sz w:val="20"/>
          <w:szCs w:val="20"/>
        </w:rPr>
        <w:lastRenderedPageBreak/>
        <w:t>volontà, et volevasi fare una agiunta di tutti i libri che vi mancassino, ma prevento dalla morte non poté</w:t>
      </w:r>
      <w:r w:rsidRPr="00096909">
        <w:rPr>
          <w:rFonts w:ascii="Times New Roman" w:hAnsi="Times New Roman" w:cs="Times New Roman"/>
          <w:sz w:val="24"/>
          <w:szCs w:val="24"/>
        </w:rPr>
        <w:t>.</w:t>
      </w:r>
      <w:r w:rsidRPr="00096909">
        <w:rPr>
          <w:rStyle w:val="Rimandonotaapidipagina"/>
          <w:rFonts w:ascii="Times New Roman" w:hAnsi="Times New Roman" w:cs="Times New Roman"/>
        </w:rPr>
        <w:footnoteReference w:id="52"/>
      </w:r>
      <w:r w:rsidRPr="00096909">
        <w:rPr>
          <w:rFonts w:ascii="Times New Roman" w:hAnsi="Times New Roman" w:cs="Times New Roman"/>
          <w:sz w:val="24"/>
          <w:szCs w:val="24"/>
        </w:rPr>
        <w:t xml:space="preserve"> </w:t>
      </w:r>
    </w:p>
    <w:p w14:paraId="651D0FD4" w14:textId="77777777" w:rsidR="00426D6A" w:rsidRPr="00096909" w:rsidRDefault="00426D6A" w:rsidP="00426D6A">
      <w:pPr>
        <w:spacing w:after="0" w:line="240" w:lineRule="auto"/>
        <w:ind w:left="567" w:right="567" w:firstLine="454"/>
        <w:jc w:val="both"/>
        <w:rPr>
          <w:rFonts w:ascii="Times New Roman" w:hAnsi="Times New Roman" w:cs="Times New Roman"/>
          <w:sz w:val="24"/>
          <w:szCs w:val="24"/>
        </w:rPr>
      </w:pPr>
    </w:p>
    <w:p w14:paraId="26F52689" w14:textId="77777777" w:rsidR="00426D6A" w:rsidRPr="00096909" w:rsidRDefault="00426D6A" w:rsidP="00ED7CA5">
      <w:pPr>
        <w:spacing w:after="0" w:line="240" w:lineRule="auto"/>
        <w:jc w:val="both"/>
        <w:rPr>
          <w:rFonts w:ascii="Times New Roman" w:hAnsi="Times New Roman" w:cs="Times New Roman"/>
          <w:sz w:val="24"/>
          <w:szCs w:val="24"/>
        </w:rPr>
      </w:pPr>
    </w:p>
    <w:p w14:paraId="25D42C8A"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Cosimo risulta pertanto impegnato personalmente nelle campagne per il rifornimento di libri, al punto da concedere un credito illimitato a fra Giuliano Lapaccini per </w:t>
      </w:r>
      <w:r>
        <w:rPr>
          <w:rFonts w:ascii="Times New Roman" w:hAnsi="Times New Roman" w:cs="Times New Roman"/>
          <w:sz w:val="24"/>
          <w:szCs w:val="24"/>
        </w:rPr>
        <w:t xml:space="preserve">acquistare </w:t>
      </w:r>
      <w:r w:rsidRPr="00096909">
        <w:rPr>
          <w:rFonts w:ascii="Times New Roman" w:hAnsi="Times New Roman" w:cs="Times New Roman"/>
          <w:sz w:val="24"/>
          <w:szCs w:val="24"/>
        </w:rPr>
        <w:t>i testi necessari. Nel 1444 egli inviò quest’ultimo, con lo stazionario Pietro Bettucci, a Bologna per reperire opere di diritto per il valore di 400 fiorini d’oro. L’anno seguente Lapaccini e Vespasiano da Bisticci si rivolsero invece ai francescani di Lucca, dai quali comprarono libri per 250 fiorini.</w:t>
      </w:r>
      <w:r w:rsidRPr="00096909">
        <w:rPr>
          <w:rStyle w:val="Rimandonotaapidipagina"/>
          <w:rFonts w:ascii="Times New Roman" w:hAnsi="Times New Roman" w:cs="Times New Roman"/>
          <w:sz w:val="24"/>
          <w:szCs w:val="24"/>
        </w:rPr>
        <w:footnoteReference w:id="53"/>
      </w:r>
    </w:p>
    <w:p w14:paraId="57BD6AA5"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Nel 1462 Cosimo stesso acquist</w:t>
      </w:r>
      <w:r>
        <w:rPr>
          <w:rFonts w:ascii="Times New Roman" w:hAnsi="Times New Roman" w:cs="Times New Roman"/>
          <w:sz w:val="24"/>
          <w:szCs w:val="24"/>
        </w:rPr>
        <w:t>ò</w:t>
      </w:r>
      <w:r w:rsidRPr="00096909">
        <w:rPr>
          <w:rFonts w:ascii="Times New Roman" w:hAnsi="Times New Roman" w:cs="Times New Roman"/>
          <w:sz w:val="24"/>
          <w:szCs w:val="24"/>
        </w:rPr>
        <w:t xml:space="preserve"> </w:t>
      </w:r>
      <w:r w:rsidR="00ED7CA5" w:rsidRPr="00096909">
        <w:rPr>
          <w:rFonts w:ascii="Times New Roman" w:hAnsi="Times New Roman" w:cs="Times New Roman"/>
          <w:sz w:val="24"/>
          <w:szCs w:val="24"/>
        </w:rPr>
        <w:t xml:space="preserve">quindici volumi di materie scientifiche </w:t>
      </w:r>
      <w:r w:rsidRPr="00096909">
        <w:rPr>
          <w:rFonts w:ascii="Times New Roman" w:hAnsi="Times New Roman" w:cs="Times New Roman"/>
          <w:sz w:val="24"/>
          <w:szCs w:val="24"/>
        </w:rPr>
        <w:t>dagli eredi di Filippo Pieruzzi da Vertine per donarli a san Marco, mostrandosi dunque personalmente attivo nell’arricchimento della biblioteca. Secondo il computo di Berthold L. Ullman, le sue donazioni al convento furono in totale 251 e terminarono nell’anno della morte 1464.</w:t>
      </w:r>
      <w:r w:rsidRPr="00096909">
        <w:rPr>
          <w:rStyle w:val="Rimandonotaapidipagina"/>
          <w:rFonts w:ascii="Times New Roman" w:hAnsi="Times New Roman" w:cs="Times New Roman"/>
          <w:sz w:val="24"/>
          <w:szCs w:val="24"/>
        </w:rPr>
        <w:footnoteReference w:id="54"/>
      </w:r>
      <w:r w:rsidRPr="00096909">
        <w:rPr>
          <w:rFonts w:ascii="Times New Roman" w:hAnsi="Times New Roman" w:cs="Times New Roman"/>
          <w:sz w:val="24"/>
          <w:szCs w:val="24"/>
        </w:rPr>
        <w:t xml:space="preserve"> </w:t>
      </w:r>
    </w:p>
    <w:p w14:paraId="18B124D8" w14:textId="77777777" w:rsidR="00426D6A" w:rsidRDefault="00426D6A" w:rsidP="00426D6A">
      <w:pPr>
        <w:tabs>
          <w:tab w:val="left" w:pos="4111"/>
        </w:tabs>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Negli anni seguenti la famiglia Medici fu in vero più propensa ad ampliare la propria biblioteca, sita nel palazzo di via Larga, piuttosto che l’ambiziosa fondazione cosmiana. Piero di Cosimo donò due soli volumi alla libreria domenicana, e Piero di Lorenzo il Magnifico soltanto uno.</w:t>
      </w:r>
      <w:r w:rsidRPr="00096909">
        <w:rPr>
          <w:rStyle w:val="Rimandonotaapidipagina"/>
          <w:rFonts w:ascii="Times New Roman" w:hAnsi="Times New Roman" w:cs="Times New Roman"/>
          <w:sz w:val="24"/>
          <w:szCs w:val="24"/>
        </w:rPr>
        <w:footnoteReference w:id="55"/>
      </w:r>
      <w:r w:rsidRPr="00096909">
        <w:rPr>
          <w:rFonts w:ascii="Times New Roman" w:hAnsi="Times New Roman" w:cs="Times New Roman"/>
          <w:sz w:val="24"/>
          <w:szCs w:val="24"/>
        </w:rPr>
        <w:t xml:space="preserve"> </w:t>
      </w:r>
    </w:p>
    <w:p w14:paraId="5EDF3155" w14:textId="77777777" w:rsidR="00426D6A" w:rsidRPr="00096909" w:rsidRDefault="00426D6A" w:rsidP="00426D6A">
      <w:pPr>
        <w:tabs>
          <w:tab w:val="left" w:pos="4111"/>
        </w:tabs>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Gli eredi Medici tennero del resto un atteggiamento simile pure nei confronti di un’altra istituzione che aveva beneficiato delle attenzioni di Cosimo: la Badia di Fiesole e la sua biblioteca, assegnata nel 1439 da papa Eugenio IV alle cure dei canonici regolari agostiniani.</w:t>
      </w:r>
      <w:r w:rsidRPr="00096909">
        <w:rPr>
          <w:rStyle w:val="Rimandonotaapidipagina"/>
          <w:rFonts w:ascii="Times New Roman" w:hAnsi="Times New Roman" w:cs="Times New Roman"/>
          <w:sz w:val="24"/>
          <w:szCs w:val="24"/>
        </w:rPr>
        <w:footnoteReference w:id="56"/>
      </w:r>
      <w:r w:rsidRPr="00096909">
        <w:rPr>
          <w:rFonts w:ascii="Times New Roman" w:hAnsi="Times New Roman" w:cs="Times New Roman"/>
          <w:sz w:val="24"/>
          <w:szCs w:val="24"/>
        </w:rPr>
        <w:t xml:space="preserve"> Grazie al finanziamento di Cosimo e alla sua confidenza con il canonico Taddeo Maffei da Verona, tra il 1456 e il 1460 si procedette alla ristrutturazione della chiesa e della Badia. Ad esso seguì il cospicuo progetto della biblioteca,</w:t>
      </w:r>
      <w:r w:rsidRPr="00096909">
        <w:rPr>
          <w:rStyle w:val="Rimandonotaapidipagina"/>
          <w:rFonts w:ascii="Times New Roman" w:hAnsi="Times New Roman" w:cs="Times New Roman"/>
          <w:sz w:val="24"/>
          <w:szCs w:val="24"/>
        </w:rPr>
        <w:t xml:space="preserve"> </w:t>
      </w:r>
      <w:r w:rsidRPr="00096909">
        <w:rPr>
          <w:rStyle w:val="Rimandonotaapidipagina"/>
          <w:rFonts w:ascii="Times New Roman" w:hAnsi="Times New Roman" w:cs="Times New Roman"/>
          <w:sz w:val="24"/>
          <w:szCs w:val="24"/>
        </w:rPr>
        <w:footnoteReference w:id="57"/>
      </w:r>
      <w:r w:rsidRPr="00096909">
        <w:rPr>
          <w:rFonts w:ascii="Times New Roman" w:hAnsi="Times New Roman" w:cs="Times New Roman"/>
          <w:sz w:val="24"/>
          <w:szCs w:val="24"/>
        </w:rPr>
        <w:t xml:space="preserve"> alla quale finché fu in vita, come attesta Vespasiano da Bisticci, egli provvide con pari munificenza rispetto a San Marco: </w:t>
      </w:r>
    </w:p>
    <w:p w14:paraId="337472EE" w14:textId="77777777" w:rsidR="00426D6A" w:rsidRPr="00096909" w:rsidRDefault="00426D6A" w:rsidP="00426D6A">
      <w:pPr>
        <w:spacing w:after="0" w:line="360" w:lineRule="auto"/>
        <w:ind w:firstLine="454"/>
        <w:jc w:val="both"/>
        <w:rPr>
          <w:rFonts w:ascii="Times New Roman" w:hAnsi="Times New Roman" w:cs="Times New Roman"/>
          <w:sz w:val="24"/>
          <w:szCs w:val="24"/>
        </w:rPr>
      </w:pPr>
    </w:p>
    <w:p w14:paraId="1569E144" w14:textId="77777777" w:rsidR="00426D6A" w:rsidRPr="00096909" w:rsidRDefault="00426D6A" w:rsidP="00426D6A">
      <w:pPr>
        <w:spacing w:after="0" w:line="360" w:lineRule="auto"/>
        <w:ind w:left="567" w:right="567" w:firstLine="454"/>
        <w:jc w:val="both"/>
        <w:rPr>
          <w:rFonts w:ascii="Times New Roman" w:hAnsi="Times New Roman" w:cs="Times New Roman"/>
          <w:sz w:val="24"/>
          <w:szCs w:val="24"/>
        </w:rPr>
      </w:pPr>
      <w:r w:rsidRPr="00096909">
        <w:rPr>
          <w:rFonts w:ascii="Times New Roman" w:hAnsi="Times New Roman" w:cs="Times New Roman"/>
          <w:sz w:val="20"/>
          <w:szCs w:val="20"/>
        </w:rPr>
        <w:t>Avendo finito la casa et buona parte della chiesa pensava in che modo quello luogo avessi a essere abitato da uomini da bene et literati, et per questo fece pensiero di farvi una degna libreria, et un dì sendo io in camera sua, mi disse: che modo mi dai tu a fornire questa libreria di libri? Risposi che avendogli a comperare sarebbe impossibile perché non se ne troverebbe. Dissemi: che modo si potrebbe tenere a fornirla? Dissigli che bisognava fargli iscrivere. Rispuose se io volevo pigliare questa cura. Risposegli essere contento. Dissemi che io cominciassi a mia posta ché tutto rimeteva in me, et che l’ordine de’ danari che bisognassino dì per dì commisse a don Arcangelo, priore allora del detto monastero, che facessi le polize al banco lui, et sarebbono pagati</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58"/>
      </w:r>
    </w:p>
    <w:p w14:paraId="19F3A826" w14:textId="77777777" w:rsidR="00426D6A" w:rsidRPr="00096909" w:rsidRDefault="00426D6A" w:rsidP="00426D6A">
      <w:pPr>
        <w:spacing w:after="0" w:line="360" w:lineRule="auto"/>
        <w:ind w:firstLine="454"/>
        <w:jc w:val="both"/>
        <w:rPr>
          <w:rFonts w:ascii="Times New Roman" w:hAnsi="Times New Roman" w:cs="Times New Roman"/>
          <w:sz w:val="24"/>
          <w:szCs w:val="24"/>
        </w:rPr>
      </w:pPr>
    </w:p>
    <w:p w14:paraId="3386875B" w14:textId="77777777" w:rsidR="00426D6A" w:rsidRPr="00096909" w:rsidRDefault="00426D6A" w:rsidP="00426D6A">
      <w:pPr>
        <w:spacing w:after="0" w:line="360" w:lineRule="auto"/>
        <w:ind w:firstLine="454"/>
        <w:jc w:val="both"/>
        <w:rPr>
          <w:rFonts w:ascii="Times New Roman" w:hAnsi="Times New Roman" w:cs="Times New Roman"/>
          <w:sz w:val="24"/>
          <w:szCs w:val="24"/>
        </w:rPr>
      </w:pPr>
    </w:p>
    <w:p w14:paraId="4B0387D3"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Nel periodo 1462-1464 Vespasiano rifornì la libreria fiesolana di ben 111 manoscritti; parte dei quali, secondo gli studi a essi dedicati da Albinia de la Mare, sarebbero stati in realtà acquistati a Bologna e </w:t>
      </w:r>
      <w:r>
        <w:rPr>
          <w:rFonts w:ascii="Times New Roman" w:hAnsi="Times New Roman" w:cs="Times New Roman"/>
          <w:sz w:val="24"/>
          <w:szCs w:val="24"/>
        </w:rPr>
        <w:t xml:space="preserve">a </w:t>
      </w:r>
      <w:r w:rsidRPr="00096909">
        <w:rPr>
          <w:rFonts w:ascii="Times New Roman" w:hAnsi="Times New Roman" w:cs="Times New Roman"/>
          <w:sz w:val="24"/>
          <w:szCs w:val="24"/>
        </w:rPr>
        <w:t>Milano, e non confezionati dai copisti del Bisticci.</w:t>
      </w:r>
      <w:r w:rsidRPr="00096909">
        <w:rPr>
          <w:rStyle w:val="Rimandonotaapidipagina"/>
          <w:rFonts w:ascii="Times New Roman" w:hAnsi="Times New Roman" w:cs="Times New Roman"/>
          <w:sz w:val="24"/>
          <w:szCs w:val="24"/>
        </w:rPr>
        <w:footnoteReference w:id="59"/>
      </w:r>
      <w:r w:rsidRPr="00096909">
        <w:rPr>
          <w:rFonts w:ascii="Times New Roman" w:hAnsi="Times New Roman" w:cs="Times New Roman"/>
          <w:sz w:val="24"/>
          <w:szCs w:val="24"/>
        </w:rPr>
        <w:t xml:space="preserve"> È tuttavia interessante quanto rivela una lettera di quest’ultimo a Cosimo de’ Medici inviata nei primi mesi del 1464. Vedendosi negare dalla biblioteca di San Marco il prestito di alcune opere per realizzarne delle copie destinate alla Badia, Vespasiano domandò al Medici di intervenire affinché i domenicani facessero un’eccezione al divieto di far uscire i libri dal convento sotto pena di scomunica.</w:t>
      </w:r>
      <w:r w:rsidRPr="00096909">
        <w:rPr>
          <w:rStyle w:val="Rimandonotaapidipagina"/>
          <w:rFonts w:ascii="Times New Roman" w:hAnsi="Times New Roman" w:cs="Times New Roman"/>
          <w:sz w:val="24"/>
          <w:szCs w:val="24"/>
        </w:rPr>
        <w:footnoteReference w:id="60"/>
      </w:r>
      <w:r w:rsidRPr="00096909">
        <w:rPr>
          <w:rFonts w:ascii="Times New Roman" w:hAnsi="Times New Roman" w:cs="Times New Roman"/>
          <w:sz w:val="24"/>
          <w:szCs w:val="24"/>
        </w:rPr>
        <w:t xml:space="preserve"> È quindi </w:t>
      </w:r>
      <w:r w:rsidR="00CA2176">
        <w:rPr>
          <w:rFonts w:ascii="Times New Roman" w:hAnsi="Times New Roman" w:cs="Times New Roman"/>
          <w:sz w:val="24"/>
          <w:szCs w:val="24"/>
        </w:rPr>
        <w:t xml:space="preserve">chiaro </w:t>
      </w:r>
      <w:r w:rsidRPr="00096909">
        <w:rPr>
          <w:rFonts w:ascii="Times New Roman" w:hAnsi="Times New Roman" w:cs="Times New Roman"/>
          <w:sz w:val="24"/>
          <w:szCs w:val="24"/>
        </w:rPr>
        <w:t xml:space="preserve">come il libraio riconoscesse a Cosimo un’autorità sulla libreria di San Marco superiore a quella di un semplice benefattore, tanto che la raccolta conventuale era </w:t>
      </w:r>
      <w:r w:rsidRPr="00096909">
        <w:rPr>
          <w:rFonts w:ascii="Times New Roman" w:hAnsi="Times New Roman" w:cs="Times New Roman"/>
          <w:i/>
          <w:sz w:val="24"/>
          <w:szCs w:val="24"/>
        </w:rPr>
        <w:t>vulgariter</w:t>
      </w:r>
      <w:r w:rsidRPr="00096909">
        <w:rPr>
          <w:rFonts w:ascii="Times New Roman" w:hAnsi="Times New Roman" w:cs="Times New Roman"/>
          <w:sz w:val="24"/>
          <w:szCs w:val="24"/>
        </w:rPr>
        <w:t xml:space="preserve"> nominata </w:t>
      </w:r>
      <w:r w:rsidRPr="00096909">
        <w:rPr>
          <w:rFonts w:ascii="Times New Roman" w:hAnsi="Times New Roman" w:cs="Times New Roman"/>
          <w:i/>
          <w:sz w:val="24"/>
          <w:szCs w:val="24"/>
        </w:rPr>
        <w:t>Bibliotheca Cosmi</w:t>
      </w:r>
      <w:r w:rsidRPr="00096909">
        <w:rPr>
          <w:rFonts w:ascii="Times New Roman" w:hAnsi="Times New Roman" w:cs="Times New Roman"/>
          <w:sz w:val="24"/>
          <w:szCs w:val="24"/>
        </w:rPr>
        <w:t>. Nell’economia dei patronati medicei essa si configurò dunque progressivamente come un bene della famiglia stessa, abitualmente frequentata dagli intellettuali ad essa legati.</w:t>
      </w:r>
    </w:p>
    <w:p w14:paraId="617E745B"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Considerando lo sforzo nell’accrescere le due collezioni pubbliche cui si è accennato, non sorprenderà forse che la biblioteca di Cosimo e di suo fratello Lorenzo de’ Medici, secondo un inventario datato 1418, contasse solamente 66 volumi, ereditati in seguito dal figlio Piero. Il Gottoso unì poi a questi libri quelli di suo fratello Giovanni, deceduto nel dicembre 1463, con il quale aveva rivaleggiato nell’acquisizione di codici ornati delle opere dell’antichità.</w:t>
      </w:r>
      <w:r w:rsidRPr="00096909">
        <w:rPr>
          <w:rStyle w:val="Rimandonotaapidipagina"/>
          <w:rFonts w:ascii="Times New Roman" w:hAnsi="Times New Roman" w:cs="Times New Roman"/>
          <w:sz w:val="24"/>
          <w:szCs w:val="24"/>
        </w:rPr>
        <w:footnoteReference w:id="61"/>
      </w:r>
    </w:p>
    <w:p w14:paraId="4B42A492"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Della biblioteca di Piero possediamo due inventari compilati da Gentile Becchi, precettore di Lorenzo il Magnifico e poi vescovo di Arezzo. Il primo fu redatto in volgare nel 1456. Il secondo, in lingua latina, nel 1465, riporta indicazioni più precise riguardo al titolo, all’autore e alla tipologia di scrittura e di legatura dei manoscritti.</w:t>
      </w:r>
      <w:r w:rsidRPr="00096909">
        <w:rPr>
          <w:rStyle w:val="Rimandonotaapidipagina"/>
          <w:rFonts w:ascii="Times New Roman" w:hAnsi="Times New Roman" w:cs="Times New Roman"/>
          <w:sz w:val="24"/>
          <w:szCs w:val="24"/>
        </w:rPr>
        <w:footnoteReference w:id="62"/>
      </w:r>
      <w:r w:rsidRPr="00096909">
        <w:rPr>
          <w:rFonts w:ascii="Times New Roman" w:hAnsi="Times New Roman" w:cs="Times New Roman"/>
          <w:sz w:val="24"/>
          <w:szCs w:val="24"/>
        </w:rPr>
        <w:t xml:space="preserve"> Proprio quest’ultima costituisce una particolarità nell’organizzazione del corpus dei circa 150 volumi, dal momento che il loro soggetto era riconoscibile in base al colore delle legature in pelle: azzurro per gli scritti di letteratura sacra, giallo per le opere di grammatica, cremisi per quelle di poesia, bianco per la filosofia, verde per le antichità classiche.</w:t>
      </w:r>
      <w:r w:rsidRPr="00096909">
        <w:rPr>
          <w:rStyle w:val="Rimandonotaapidipagina"/>
          <w:rFonts w:ascii="Times New Roman" w:hAnsi="Times New Roman" w:cs="Times New Roman"/>
          <w:sz w:val="24"/>
          <w:szCs w:val="24"/>
        </w:rPr>
        <w:footnoteReference w:id="63"/>
      </w:r>
      <w:r w:rsidRPr="00096909">
        <w:rPr>
          <w:rFonts w:ascii="Times New Roman" w:hAnsi="Times New Roman" w:cs="Times New Roman"/>
          <w:sz w:val="24"/>
          <w:szCs w:val="24"/>
        </w:rPr>
        <w:t xml:space="preserve"> </w:t>
      </w:r>
    </w:p>
    <w:p w14:paraId="56B042E3"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Con i loro vivaci colori, i libri erano dunque parte integrante e caratterizzante dell’elegante arredamento dello studiolo di Piero, posto al piano nobile del palazzo di via Larga, luogo destinato all’esposizione degli oggetti rari della collezione medicea, impreziosito dal pavimento di piastrelle in terracotta invetriata opera di Luca della Robbia. Di una </w:t>
      </w:r>
      <w:r>
        <w:rPr>
          <w:rFonts w:ascii="Times New Roman" w:hAnsi="Times New Roman" w:cs="Times New Roman"/>
          <w:sz w:val="24"/>
          <w:szCs w:val="24"/>
        </w:rPr>
        <w:t xml:space="preserve">simile </w:t>
      </w:r>
      <w:r w:rsidRPr="00096909">
        <w:rPr>
          <w:rFonts w:ascii="Times New Roman" w:hAnsi="Times New Roman" w:cs="Times New Roman"/>
          <w:sz w:val="24"/>
          <w:szCs w:val="24"/>
        </w:rPr>
        <w:t xml:space="preserve">fruizione principalmente estetica dell’oggetto libro da parte di Piero sarebbero indizi </w:t>
      </w:r>
      <w:r>
        <w:rPr>
          <w:rFonts w:ascii="Times New Roman" w:hAnsi="Times New Roman" w:cs="Times New Roman"/>
          <w:sz w:val="24"/>
          <w:szCs w:val="24"/>
        </w:rPr>
        <w:t xml:space="preserve">anche </w:t>
      </w:r>
      <w:r w:rsidRPr="00096909">
        <w:rPr>
          <w:rFonts w:ascii="Times New Roman" w:hAnsi="Times New Roman" w:cs="Times New Roman"/>
          <w:sz w:val="24"/>
          <w:szCs w:val="24"/>
        </w:rPr>
        <w:t>l’esiguo numero di volumi entrati nella sua collezione tra la redazione del primo e del secondo inventario e il fatto che nel suo epistolario, a fronte di notizie documentate fin dal 1438 sul rapporto del mecenate con pittori come Domenico Veneziano e Filippo Lippi, si debba attendere il gennaio del 1456 per trovare informazioni sull’acquisto di libri.</w:t>
      </w:r>
      <w:r w:rsidRPr="00096909">
        <w:rPr>
          <w:rStyle w:val="Rimandonotaapidipagina"/>
          <w:rFonts w:ascii="Times New Roman" w:hAnsi="Times New Roman" w:cs="Times New Roman"/>
          <w:sz w:val="24"/>
          <w:szCs w:val="24"/>
        </w:rPr>
        <w:footnoteReference w:id="64"/>
      </w:r>
      <w:r w:rsidRPr="00096909">
        <w:rPr>
          <w:rFonts w:ascii="Times New Roman" w:hAnsi="Times New Roman" w:cs="Times New Roman"/>
          <w:sz w:val="24"/>
          <w:szCs w:val="24"/>
        </w:rPr>
        <w:t xml:space="preserve">     </w:t>
      </w:r>
    </w:p>
    <w:p w14:paraId="4302F41A"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Nel 1469, alla sua morte, i volumi furono uniti a quelli della moglie Lucrezia Tornabuoni e dei figli Lorenzo e Giuliano. </w:t>
      </w:r>
      <w:r w:rsidRPr="00ED39FC">
        <w:rPr>
          <w:rFonts w:ascii="Times New Roman" w:hAnsi="Times New Roman" w:cs="Times New Roman"/>
          <w:sz w:val="24"/>
          <w:szCs w:val="24"/>
        </w:rPr>
        <w:t>I</w:t>
      </w:r>
      <w:r w:rsidRPr="00096909">
        <w:rPr>
          <w:rFonts w:ascii="Times New Roman" w:hAnsi="Times New Roman" w:cs="Times New Roman"/>
          <w:i/>
          <w:sz w:val="24"/>
          <w:szCs w:val="24"/>
        </w:rPr>
        <w:t xml:space="preserve"> Ricordi dei libri prestati</w:t>
      </w:r>
      <w:r w:rsidRPr="00096909">
        <w:rPr>
          <w:rFonts w:ascii="Times New Roman" w:hAnsi="Times New Roman" w:cs="Times New Roman"/>
          <w:sz w:val="24"/>
          <w:szCs w:val="24"/>
        </w:rPr>
        <w:t>, conservati presso l’Archivio di Stato di Firenze, attestano come nel periodo 1480-1491 nella biblioteca fossero ben determinabili i libri posseduti da ciascun membro della famiglia Medici, dato che attesta una ripartizione del patrimonio librario familiare simile a quella vigente nelle corti padane già prese in esame.</w:t>
      </w:r>
      <w:r w:rsidRPr="00096909">
        <w:rPr>
          <w:rStyle w:val="Rimandonotaapidipagina"/>
          <w:rFonts w:ascii="Times New Roman" w:hAnsi="Times New Roman" w:cs="Times New Roman"/>
          <w:sz w:val="24"/>
          <w:szCs w:val="24"/>
        </w:rPr>
        <w:footnoteReference w:id="65"/>
      </w:r>
      <w:r w:rsidRPr="00096909">
        <w:rPr>
          <w:rFonts w:ascii="Times New Roman" w:hAnsi="Times New Roman" w:cs="Times New Roman"/>
          <w:sz w:val="24"/>
          <w:szCs w:val="24"/>
        </w:rPr>
        <w:t xml:space="preserve"> </w:t>
      </w:r>
    </w:p>
    <w:p w14:paraId="635B6A07"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Pr>
          <w:rFonts w:ascii="Times New Roman" w:hAnsi="Times New Roman" w:cs="Times New Roman"/>
          <w:sz w:val="24"/>
          <w:szCs w:val="24"/>
        </w:rPr>
        <w:t>C</w:t>
      </w:r>
      <w:r w:rsidRPr="00096909">
        <w:rPr>
          <w:rFonts w:ascii="Times New Roman" w:hAnsi="Times New Roman" w:cs="Times New Roman"/>
          <w:sz w:val="24"/>
          <w:szCs w:val="24"/>
        </w:rPr>
        <w:t xml:space="preserve">on Lorenzo il Magnifico la raccolta medicea raggiunse il suo massimo sviluppo, prendendo forma sulla base di un solido progetto culturale: quello di un’ampia biblioteca capace di assolvere alle esigenze di studio degli umanisti raccolti attorno alla figura di Angelo Poliziano. Quest’ultimo era certo assegnato alla funzione di bibliotecario mediceo almeno dal 1491, come documentano </w:t>
      </w:r>
      <w:r w:rsidRPr="00096909">
        <w:rPr>
          <w:rFonts w:ascii="Times New Roman" w:hAnsi="Times New Roman" w:cs="Times New Roman"/>
          <w:sz w:val="24"/>
          <w:szCs w:val="24"/>
        </w:rPr>
        <w:lastRenderedPageBreak/>
        <w:t xml:space="preserve">una voce dei menzionati </w:t>
      </w:r>
      <w:r w:rsidRPr="00096909">
        <w:rPr>
          <w:rFonts w:ascii="Times New Roman" w:hAnsi="Times New Roman" w:cs="Times New Roman"/>
          <w:i/>
          <w:sz w:val="24"/>
          <w:szCs w:val="24"/>
        </w:rPr>
        <w:t>Ricordi</w:t>
      </w:r>
      <w:r w:rsidRPr="00096909">
        <w:rPr>
          <w:rFonts w:ascii="Times New Roman" w:hAnsi="Times New Roman" w:cs="Times New Roman"/>
          <w:sz w:val="24"/>
          <w:szCs w:val="24"/>
        </w:rPr>
        <w:t xml:space="preserve"> del 9 ottobre di quell’anno, che annota un prestito delle opere di Aristotele «per ordine di messer Angelo nostro», e le varie testimonianze offerte riguardo a tale incarico dall’umanista stesso nelle </w:t>
      </w:r>
      <w:r w:rsidRPr="00096909">
        <w:rPr>
          <w:rFonts w:ascii="Times New Roman" w:hAnsi="Times New Roman" w:cs="Times New Roman"/>
          <w:i/>
          <w:sz w:val="24"/>
          <w:szCs w:val="24"/>
        </w:rPr>
        <w:t>Centuriae</w:t>
      </w:r>
      <w:r w:rsidRPr="00096909">
        <w:rPr>
          <w:rFonts w:ascii="Times New Roman" w:hAnsi="Times New Roman" w:cs="Times New Roman"/>
          <w:sz w:val="24"/>
          <w:szCs w:val="24"/>
        </w:rPr>
        <w:t xml:space="preserve"> e nel suo epistolario.</w:t>
      </w:r>
      <w:r w:rsidRPr="00096909">
        <w:rPr>
          <w:rStyle w:val="Rimandonotaapidipagina"/>
          <w:rFonts w:ascii="Times New Roman" w:hAnsi="Times New Roman" w:cs="Times New Roman"/>
          <w:sz w:val="24"/>
          <w:szCs w:val="24"/>
        </w:rPr>
        <w:footnoteReference w:id="66"/>
      </w:r>
      <w:r w:rsidRPr="00096909">
        <w:rPr>
          <w:rFonts w:ascii="Times New Roman" w:hAnsi="Times New Roman" w:cs="Times New Roman"/>
          <w:sz w:val="24"/>
          <w:szCs w:val="24"/>
        </w:rPr>
        <w:t xml:space="preserve"> </w:t>
      </w:r>
    </w:p>
    <w:p w14:paraId="44FF6D8D"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L’incremento della biblioteca del Magnifico fu possibile grazie ad alcune importanti acquisizioni. </w:t>
      </w:r>
      <w:r w:rsidRPr="00096909">
        <w:rPr>
          <w:rFonts w:ascii="Times New Roman" w:hAnsi="Times New Roman" w:cs="Times New Roman"/>
          <w:i/>
          <w:sz w:val="24"/>
          <w:szCs w:val="24"/>
        </w:rPr>
        <w:t>In primis</w:t>
      </w:r>
      <w:r w:rsidRPr="00096909">
        <w:rPr>
          <w:rFonts w:ascii="Times New Roman" w:hAnsi="Times New Roman" w:cs="Times New Roman"/>
          <w:sz w:val="24"/>
          <w:szCs w:val="24"/>
        </w:rPr>
        <w:t>, quella della parte più cospicua dei manoscritti di Francesco Filelfo, caratterizzata da un importante gruppo di volumi reperiti dall’erudito negli anni 1421-1427 durante i suoi viaggi a Costantinopoli. Successivamente, nel gennaio del 1478, Goro, priore di Santa Croce sull’Arno, camerario del vescovo di Lucca, inviò al Magnifico 67 volumi greci. Infine, nel 1491, i figli di Francesco Sassetti misero a disposizione di Lorenzo altri 67 libri appartenuti all’agente del Banco mediceo a Lione, prontamente acquistati.</w:t>
      </w:r>
      <w:r w:rsidRPr="00096909">
        <w:rPr>
          <w:rStyle w:val="Rimandonotaapidipagina"/>
          <w:rFonts w:ascii="Times New Roman" w:hAnsi="Times New Roman" w:cs="Times New Roman"/>
          <w:sz w:val="24"/>
          <w:szCs w:val="24"/>
        </w:rPr>
        <w:footnoteReference w:id="67"/>
      </w:r>
      <w:r w:rsidRPr="00096909">
        <w:rPr>
          <w:rFonts w:ascii="Times New Roman" w:hAnsi="Times New Roman" w:cs="Times New Roman"/>
          <w:sz w:val="24"/>
          <w:szCs w:val="24"/>
        </w:rPr>
        <w:t xml:space="preserve"> Nello stesso anno il Medici demandò a suo figlio Piero le trattative per la compravendita di alcuni volumi miniati commissionati da Mattia Corvino, re d’Ungheria, a cartolai fiorentini. Molti di essi sono oggi stati identificati tra i manoscritti della Biblioteca Laurenziana di Firenze, come l’esemplare di Appiano decorato da Attavante Attavanti, Plut. 68. 19.</w:t>
      </w:r>
      <w:r w:rsidRPr="00096909">
        <w:rPr>
          <w:rStyle w:val="Rimandonotaapidipagina"/>
          <w:rFonts w:ascii="Times New Roman" w:hAnsi="Times New Roman" w:cs="Times New Roman"/>
          <w:sz w:val="24"/>
          <w:szCs w:val="24"/>
        </w:rPr>
        <w:footnoteReference w:id="68"/>
      </w:r>
      <w:r w:rsidRPr="00096909">
        <w:rPr>
          <w:rFonts w:ascii="Times New Roman" w:hAnsi="Times New Roman" w:cs="Times New Roman"/>
          <w:sz w:val="24"/>
          <w:szCs w:val="24"/>
        </w:rPr>
        <w:t xml:space="preserve"> </w:t>
      </w:r>
    </w:p>
    <w:p w14:paraId="161AA05A"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All’aumento del numero di opere di letteratura greca contribuirono infine i due viaggi di Giano Lascaris in Grecia e a Costantinopoli, svolti a distanza ravvicinata negli anni 1490-1492. Il rientro del dotto grecista dalla sua ultima spedizione portò a Firenze, pochi mesi dopo la morte di Lorenzo, circa duecento manoscritti, risultato insigne di una campagna volta a fare fronte ai desideri </w:t>
      </w:r>
      <w:r>
        <w:rPr>
          <w:rFonts w:ascii="Times New Roman" w:hAnsi="Times New Roman" w:cs="Times New Roman"/>
          <w:sz w:val="24"/>
          <w:szCs w:val="24"/>
        </w:rPr>
        <w:t xml:space="preserve">di scritti dell’antichità </w:t>
      </w:r>
      <w:r w:rsidRPr="00096909">
        <w:rPr>
          <w:rFonts w:ascii="Times New Roman" w:hAnsi="Times New Roman" w:cs="Times New Roman"/>
          <w:sz w:val="24"/>
          <w:szCs w:val="24"/>
        </w:rPr>
        <w:t>dei letterati d’osservanza medicea, descritt</w:t>
      </w:r>
      <w:r>
        <w:rPr>
          <w:rFonts w:ascii="Times New Roman" w:hAnsi="Times New Roman" w:cs="Times New Roman"/>
          <w:sz w:val="24"/>
          <w:szCs w:val="24"/>
        </w:rPr>
        <w:t>i</w:t>
      </w:r>
      <w:r w:rsidRPr="00096909">
        <w:rPr>
          <w:rFonts w:ascii="Times New Roman" w:hAnsi="Times New Roman" w:cs="Times New Roman"/>
          <w:sz w:val="24"/>
          <w:szCs w:val="24"/>
        </w:rPr>
        <w:t xml:space="preserve"> nel codice Vat. Gr. 1412, che registra l’elenco dei </w:t>
      </w:r>
      <w:r w:rsidRPr="00096909">
        <w:rPr>
          <w:rFonts w:ascii="Times New Roman" w:hAnsi="Times New Roman" w:cs="Times New Roman"/>
          <w:i/>
          <w:sz w:val="24"/>
          <w:szCs w:val="24"/>
        </w:rPr>
        <w:t>desiderata</w:t>
      </w:r>
      <w:r w:rsidRPr="00096909">
        <w:rPr>
          <w:rFonts w:ascii="Times New Roman" w:hAnsi="Times New Roman" w:cs="Times New Roman"/>
          <w:sz w:val="24"/>
          <w:szCs w:val="24"/>
        </w:rPr>
        <w:t xml:space="preserve"> formulato dal Magnifico e da Poliziano, da Pico e da Ficino in previsione del viaggio.</w:t>
      </w:r>
      <w:r w:rsidRPr="00096909">
        <w:rPr>
          <w:rStyle w:val="Rimandonotaapidipagina"/>
          <w:rFonts w:ascii="Times New Roman" w:hAnsi="Times New Roman" w:cs="Times New Roman"/>
          <w:sz w:val="24"/>
          <w:szCs w:val="24"/>
        </w:rPr>
        <w:footnoteReference w:id="69"/>
      </w:r>
      <w:r w:rsidRPr="00096909">
        <w:rPr>
          <w:rFonts w:ascii="Times New Roman" w:hAnsi="Times New Roman" w:cs="Times New Roman"/>
          <w:sz w:val="24"/>
          <w:szCs w:val="24"/>
        </w:rPr>
        <w:t xml:space="preserve"> </w:t>
      </w:r>
    </w:p>
    <w:p w14:paraId="16866647"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L’ultima immagine della biblioteca medicea relativa al periodo del quale ci occupiamo è trasmessa da un inventario steso per conto della Signoria di Firenze dopo la cacciata di Piero dalla </w:t>
      </w:r>
      <w:r w:rsidRPr="00096909">
        <w:rPr>
          <w:rFonts w:ascii="Times New Roman" w:hAnsi="Times New Roman" w:cs="Times New Roman"/>
          <w:sz w:val="24"/>
          <w:szCs w:val="24"/>
        </w:rPr>
        <w:lastRenderedPageBreak/>
        <w:t>città, il 9 ottobre 1494. Evitando parzialmente la dispersione della collezione, i libri furono dati in pegno ai domenicani di San Marco per 2000 fiorini e in data 20 ottobre 1495 Lascaris e il cancelliere Bartolomeo Ciani provvidero alla scrittura di un inventario, che elenca oltre mille manoscritti.</w:t>
      </w:r>
      <w:r w:rsidRPr="00096909">
        <w:rPr>
          <w:rStyle w:val="Rimandonotaapidipagina"/>
          <w:rFonts w:ascii="Times New Roman" w:hAnsi="Times New Roman" w:cs="Times New Roman"/>
          <w:sz w:val="24"/>
          <w:szCs w:val="24"/>
        </w:rPr>
        <w:footnoteReference w:id="70"/>
      </w:r>
      <w:r w:rsidRPr="00096909">
        <w:rPr>
          <w:rFonts w:ascii="Times New Roman" w:hAnsi="Times New Roman" w:cs="Times New Roman"/>
          <w:sz w:val="24"/>
          <w:szCs w:val="24"/>
        </w:rPr>
        <w:t xml:space="preserve"> Si chiudeva così la parabola tutta ascendente della raccolta privata medicea, che nell’ambito delle coeve biblioteche allestite dai signori italiani del Rinascimento si distinse per la strutturazione su un chiaro progetto culturale formulato dagli intellettuali legati ai Medici: il recupero di tutto il sapere accessibile, con un particolare riguardo all’antichità. </w:t>
      </w:r>
    </w:p>
    <w:p w14:paraId="3D0E7381"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Fu forse questo ricorso alle competenze degli umanisti attivi in città a caratterizzare anche lo stimolo dato dalla famiglia al mercato librario locale, fin dai tempi di Cosimo il Vecchio, quando per l’allestimento della raccolta di San Marco fu richiesta la consulenza di Tommaso Parentucelli da Sarzana. Riservando alle pagine che seguiranno osservazioni sull’importanza del suo contributo alla formazione e all’organizzazione della biblioteca conventuale domenicana, dedicheremo invece qui alcune considerazioni sul suo ruolo nell’istituzione della Biblioteca Apostolica Vaticana. </w:t>
      </w:r>
    </w:p>
    <w:p w14:paraId="6E72012A"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Elevato al soglio pontificio il 6 marzo 1447, Parentucelli venne celebrato dai suoi contemporanei quale ottimo papa umanista e infaticabile restauratore della dignità dell’Urbe, che abbellì ammodernando il palazzo pontificio e dotandolo di una biblioteca capace di fronteggiare le esigenze degli studiosi di umanità del suo tempo. Il 30 aprile 1451 il papa dett</w:t>
      </w:r>
      <w:r w:rsidR="001E2C1B">
        <w:rPr>
          <w:rFonts w:ascii="Times New Roman" w:hAnsi="Times New Roman" w:cs="Times New Roman"/>
          <w:sz w:val="24"/>
          <w:szCs w:val="24"/>
        </w:rPr>
        <w:t>ò</w:t>
      </w:r>
      <w:r w:rsidRPr="00096909">
        <w:rPr>
          <w:rFonts w:ascii="Times New Roman" w:hAnsi="Times New Roman" w:cs="Times New Roman"/>
          <w:sz w:val="24"/>
          <w:szCs w:val="24"/>
        </w:rPr>
        <w:t xml:space="preserve"> a Poggio Bracciolini un breve indirizzato ad Enoch da Ascoli in cui sintetizzava così il progetto da lui avviato: </w:t>
      </w:r>
    </w:p>
    <w:p w14:paraId="26A39847" w14:textId="77777777" w:rsidR="00426D6A" w:rsidRPr="00096909" w:rsidRDefault="00426D6A" w:rsidP="00426D6A">
      <w:pPr>
        <w:spacing w:after="0" w:line="360" w:lineRule="auto"/>
        <w:ind w:firstLine="454"/>
        <w:jc w:val="both"/>
        <w:rPr>
          <w:rFonts w:ascii="Times New Roman" w:hAnsi="Times New Roman" w:cs="Times New Roman"/>
          <w:sz w:val="20"/>
          <w:szCs w:val="20"/>
        </w:rPr>
      </w:pPr>
    </w:p>
    <w:p w14:paraId="6D15A48C" w14:textId="77777777" w:rsidR="00426D6A" w:rsidRPr="00096909" w:rsidRDefault="00426D6A" w:rsidP="00426D6A">
      <w:pPr>
        <w:spacing w:after="0" w:line="360" w:lineRule="auto"/>
        <w:ind w:left="567" w:right="567" w:firstLine="454"/>
        <w:jc w:val="both"/>
        <w:rPr>
          <w:rFonts w:ascii="Times New Roman" w:hAnsi="Times New Roman" w:cs="Times New Roman"/>
          <w:sz w:val="20"/>
          <w:szCs w:val="20"/>
        </w:rPr>
      </w:pPr>
      <w:r w:rsidRPr="00096909">
        <w:rPr>
          <w:rFonts w:ascii="Times New Roman" w:hAnsi="Times New Roman" w:cs="Times New Roman"/>
          <w:i/>
          <w:sz w:val="20"/>
          <w:szCs w:val="20"/>
        </w:rPr>
        <w:t>Iamdiu decrevimus atque ad id omni studio operam damus ut pro communi doctorum virorum commodo habeamus librorum omnium tum latinorum tum grecorum bibliotecam condecentem pontificis et sedis apostolicae dignitati, et iam ex iis qui reperiuntur omnis generis scriptorum maiorem partem habemus</w:t>
      </w:r>
      <w:r w:rsidRPr="00096909">
        <w:rPr>
          <w:rFonts w:ascii="Times New Roman" w:hAnsi="Times New Roman" w:cs="Times New Roman"/>
          <w:sz w:val="20"/>
          <w:szCs w:val="20"/>
        </w:rPr>
        <w:t>.</w:t>
      </w:r>
      <w:r w:rsidRPr="00096909">
        <w:rPr>
          <w:rStyle w:val="Rimandonotaapidipagina"/>
          <w:rFonts w:ascii="Times New Roman" w:hAnsi="Times New Roman" w:cs="Times New Roman"/>
        </w:rPr>
        <w:footnoteReference w:id="71"/>
      </w:r>
      <w:r w:rsidRPr="00096909">
        <w:rPr>
          <w:rFonts w:ascii="Times New Roman" w:hAnsi="Times New Roman" w:cs="Times New Roman"/>
          <w:sz w:val="20"/>
          <w:szCs w:val="20"/>
        </w:rPr>
        <w:t xml:space="preserve"> </w:t>
      </w:r>
    </w:p>
    <w:p w14:paraId="72567702" w14:textId="77777777" w:rsidR="00426D6A" w:rsidRPr="00096909" w:rsidRDefault="00426D6A" w:rsidP="00426D6A">
      <w:pPr>
        <w:spacing w:after="0" w:line="360" w:lineRule="auto"/>
        <w:ind w:firstLine="454"/>
        <w:jc w:val="both"/>
        <w:rPr>
          <w:rFonts w:ascii="Times New Roman" w:hAnsi="Times New Roman" w:cs="Times New Roman"/>
          <w:sz w:val="20"/>
          <w:szCs w:val="20"/>
        </w:rPr>
      </w:pPr>
    </w:p>
    <w:p w14:paraId="7A207425" w14:textId="77777777" w:rsidR="00426D6A" w:rsidRPr="00096909" w:rsidRDefault="00426D6A" w:rsidP="00426D6A">
      <w:pPr>
        <w:spacing w:after="0" w:line="360" w:lineRule="auto"/>
        <w:ind w:firstLine="454"/>
        <w:jc w:val="both"/>
        <w:rPr>
          <w:rFonts w:ascii="Times New Roman" w:hAnsi="Times New Roman" w:cs="Times New Roman"/>
          <w:sz w:val="20"/>
          <w:szCs w:val="20"/>
        </w:rPr>
      </w:pPr>
    </w:p>
    <w:p w14:paraId="4A14A959"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Sebbene nel secolo scorso sia stato reputato opportuno assegnare a Sisto IV l’effettiva apertura della Vaticana,</w:t>
      </w:r>
      <w:r w:rsidRPr="00096909">
        <w:rPr>
          <w:rStyle w:val="Rimandonotaapidipagina"/>
          <w:rFonts w:ascii="Times New Roman" w:hAnsi="Times New Roman" w:cs="Times New Roman"/>
          <w:sz w:val="24"/>
          <w:szCs w:val="24"/>
        </w:rPr>
        <w:footnoteReference w:id="72"/>
      </w:r>
      <w:r w:rsidRPr="00096909">
        <w:rPr>
          <w:rFonts w:ascii="Times New Roman" w:hAnsi="Times New Roman" w:cs="Times New Roman"/>
          <w:sz w:val="24"/>
          <w:szCs w:val="24"/>
        </w:rPr>
        <w:t xml:space="preserve"> il documento citato è oggi considerato la prova dell’avviamento </w:t>
      </w:r>
      <w:r w:rsidRPr="00096909">
        <w:rPr>
          <w:rFonts w:ascii="Times New Roman" w:hAnsi="Times New Roman" w:cs="Times New Roman"/>
          <w:sz w:val="24"/>
          <w:szCs w:val="24"/>
        </w:rPr>
        <w:lastRenderedPageBreak/>
        <w:t xml:space="preserve">dell’istituzione </w:t>
      </w:r>
      <w:r>
        <w:rPr>
          <w:rFonts w:ascii="Times New Roman" w:hAnsi="Times New Roman" w:cs="Times New Roman"/>
          <w:sz w:val="24"/>
          <w:szCs w:val="24"/>
        </w:rPr>
        <w:t xml:space="preserve">già </w:t>
      </w:r>
      <w:r w:rsidRPr="00096909">
        <w:rPr>
          <w:rFonts w:ascii="Times New Roman" w:hAnsi="Times New Roman" w:cs="Times New Roman"/>
          <w:sz w:val="24"/>
          <w:szCs w:val="24"/>
        </w:rPr>
        <w:t>nel corso del pontificato nicolino, come del resto afferma</w:t>
      </w:r>
      <w:r w:rsidR="00DF5A17">
        <w:rPr>
          <w:rFonts w:ascii="Times New Roman" w:hAnsi="Times New Roman" w:cs="Times New Roman"/>
          <w:sz w:val="24"/>
          <w:szCs w:val="24"/>
        </w:rPr>
        <w:t>to da</w:t>
      </w:r>
      <w:r w:rsidRPr="00096909">
        <w:rPr>
          <w:rFonts w:ascii="Times New Roman" w:hAnsi="Times New Roman" w:cs="Times New Roman"/>
          <w:sz w:val="24"/>
          <w:szCs w:val="24"/>
        </w:rPr>
        <w:t xml:space="preserve"> </w:t>
      </w:r>
      <w:bookmarkStart w:id="40" w:name="_Hlk535776446"/>
      <w:r w:rsidRPr="00096909">
        <w:rPr>
          <w:rFonts w:ascii="Times New Roman" w:hAnsi="Times New Roman" w:cs="Times New Roman"/>
          <w:sz w:val="24"/>
          <w:szCs w:val="24"/>
        </w:rPr>
        <w:t>Giannozzo Manetti</w:t>
      </w:r>
      <w:bookmarkEnd w:id="40"/>
      <w:r w:rsidRPr="00096909">
        <w:rPr>
          <w:rFonts w:ascii="Times New Roman" w:hAnsi="Times New Roman" w:cs="Times New Roman"/>
          <w:sz w:val="24"/>
          <w:szCs w:val="24"/>
        </w:rPr>
        <w:t xml:space="preserve"> nel </w:t>
      </w:r>
      <w:r w:rsidRPr="00096909">
        <w:rPr>
          <w:rFonts w:ascii="Times New Roman" w:hAnsi="Times New Roman" w:cs="Times New Roman"/>
          <w:i/>
          <w:sz w:val="24"/>
          <w:szCs w:val="24"/>
        </w:rPr>
        <w:t>De vita et gestis Nicolai quinti summi pontificis</w:t>
      </w:r>
      <w:r w:rsidRPr="00096909">
        <w:rPr>
          <w:rFonts w:ascii="Times New Roman" w:hAnsi="Times New Roman" w:cs="Times New Roman"/>
          <w:sz w:val="24"/>
          <w:szCs w:val="24"/>
        </w:rPr>
        <w:t xml:space="preserve"> e</w:t>
      </w:r>
      <w:r w:rsidR="00DF5A17">
        <w:rPr>
          <w:rFonts w:ascii="Times New Roman" w:hAnsi="Times New Roman" w:cs="Times New Roman"/>
          <w:sz w:val="24"/>
          <w:szCs w:val="24"/>
        </w:rPr>
        <w:t xml:space="preserve"> da</w:t>
      </w:r>
      <w:r w:rsidRPr="00096909">
        <w:rPr>
          <w:rFonts w:ascii="Times New Roman" w:hAnsi="Times New Roman" w:cs="Times New Roman"/>
          <w:sz w:val="24"/>
          <w:szCs w:val="24"/>
        </w:rPr>
        <w:t xml:space="preserve"> Vespasiano da Bisticci nella </w:t>
      </w:r>
      <w:r w:rsidRPr="00096909">
        <w:rPr>
          <w:rFonts w:ascii="Times New Roman" w:hAnsi="Times New Roman" w:cs="Times New Roman"/>
          <w:i/>
          <w:sz w:val="24"/>
          <w:szCs w:val="24"/>
        </w:rPr>
        <w:t>Vita</w:t>
      </w:r>
      <w:r w:rsidRPr="00096909">
        <w:rPr>
          <w:rFonts w:ascii="Times New Roman" w:hAnsi="Times New Roman" w:cs="Times New Roman"/>
          <w:sz w:val="24"/>
          <w:szCs w:val="24"/>
        </w:rPr>
        <w:t xml:space="preserve"> </w:t>
      </w:r>
      <w:r w:rsidR="00DF5A17">
        <w:rPr>
          <w:rFonts w:ascii="Times New Roman" w:hAnsi="Times New Roman" w:cs="Times New Roman"/>
          <w:sz w:val="24"/>
          <w:szCs w:val="24"/>
        </w:rPr>
        <w:t>che</w:t>
      </w:r>
      <w:r w:rsidRPr="00096909">
        <w:rPr>
          <w:rFonts w:ascii="Times New Roman" w:hAnsi="Times New Roman" w:cs="Times New Roman"/>
          <w:sz w:val="24"/>
          <w:szCs w:val="24"/>
        </w:rPr>
        <w:t xml:space="preserve"> dedic</w:t>
      </w:r>
      <w:r w:rsidR="00DF5A17">
        <w:rPr>
          <w:rFonts w:ascii="Times New Roman" w:hAnsi="Times New Roman" w:cs="Times New Roman"/>
          <w:sz w:val="24"/>
          <w:szCs w:val="24"/>
        </w:rPr>
        <w:t>ò</w:t>
      </w:r>
      <w:r w:rsidRPr="00096909">
        <w:rPr>
          <w:rFonts w:ascii="Times New Roman" w:hAnsi="Times New Roman" w:cs="Times New Roman"/>
          <w:sz w:val="24"/>
          <w:szCs w:val="24"/>
        </w:rPr>
        <w:t xml:space="preserve"> al Parentucelli.</w:t>
      </w:r>
      <w:r w:rsidRPr="00096909">
        <w:rPr>
          <w:rStyle w:val="Rimandonotaapidipagina"/>
          <w:rFonts w:ascii="Times New Roman" w:hAnsi="Times New Roman" w:cs="Times New Roman"/>
          <w:sz w:val="24"/>
          <w:szCs w:val="24"/>
        </w:rPr>
        <w:footnoteReference w:id="73"/>
      </w:r>
      <w:r w:rsidRPr="00096909">
        <w:rPr>
          <w:rFonts w:ascii="Times New Roman" w:hAnsi="Times New Roman" w:cs="Times New Roman"/>
          <w:sz w:val="24"/>
          <w:szCs w:val="24"/>
        </w:rPr>
        <w:t xml:space="preserve"> Nonostante entrambi i testi tradiscano un intento celebrativo dell’età di Niccolò V, essi sono concordi nel datare l’apertura della biblioteca all’anno giubilare 1450 e nell’affermare che il papa vi prepose il bibliotecario </w:t>
      </w:r>
      <w:bookmarkStart w:id="42" w:name="_Hlk535776524"/>
      <w:r w:rsidRPr="00096909">
        <w:rPr>
          <w:rFonts w:ascii="Times New Roman" w:hAnsi="Times New Roman" w:cs="Times New Roman"/>
          <w:sz w:val="24"/>
          <w:szCs w:val="24"/>
        </w:rPr>
        <w:t>Giovanni Tortelli</w:t>
      </w:r>
      <w:bookmarkEnd w:id="42"/>
      <w:r w:rsidRPr="00096909">
        <w:rPr>
          <w:rFonts w:ascii="Times New Roman" w:hAnsi="Times New Roman" w:cs="Times New Roman"/>
          <w:sz w:val="24"/>
          <w:szCs w:val="24"/>
        </w:rPr>
        <w:t>, al quale fu affidata la stesura di un inventario del fondo</w:t>
      </w:r>
      <w:r>
        <w:rPr>
          <w:rFonts w:ascii="Times New Roman" w:hAnsi="Times New Roman" w:cs="Times New Roman"/>
          <w:sz w:val="24"/>
          <w:szCs w:val="24"/>
        </w:rPr>
        <w:t xml:space="preserve"> librario</w:t>
      </w:r>
      <w:r w:rsidRPr="00096909">
        <w:rPr>
          <w:rFonts w:ascii="Times New Roman" w:hAnsi="Times New Roman" w:cs="Times New Roman"/>
          <w:sz w:val="24"/>
          <w:szCs w:val="24"/>
        </w:rPr>
        <w:t>, purtroppo mai pervenuto. Manetti e Vespasiano riferiscono inoltre dell’assidua richiesta da parte del pontefice di traduzioni dal greco in latino a Valla, Decembrio, Perotti, Gaza, Trapezunzio, Bracciolini.</w:t>
      </w:r>
      <w:r w:rsidRPr="00096909">
        <w:rPr>
          <w:rStyle w:val="Rimandonotaapidipagina"/>
          <w:rFonts w:ascii="Times New Roman" w:hAnsi="Times New Roman" w:cs="Times New Roman"/>
          <w:sz w:val="24"/>
          <w:szCs w:val="24"/>
        </w:rPr>
        <w:footnoteReference w:id="74"/>
      </w:r>
      <w:r w:rsidRPr="00096909">
        <w:rPr>
          <w:rFonts w:ascii="Times New Roman" w:hAnsi="Times New Roman" w:cs="Times New Roman"/>
          <w:sz w:val="24"/>
          <w:szCs w:val="24"/>
        </w:rPr>
        <w:t xml:space="preserve"> </w:t>
      </w:r>
    </w:p>
    <w:p w14:paraId="15B1A98E"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In precedenza, anche Eugenio IV, rientrato a Roma nel 1443, aveva commissionato a Traversari e a Tortelli versioni di testi greci, e si era occupato del recupero di alcuni dei manoscritti appartenuti a suo zio, Gregorio XII. Nel 1441 circa sessanta codici arabi e copti erano stati inoltre offerti a Eugenio IV dalla delegazione greca presente al Concilio di Firenze.</w:t>
      </w:r>
      <w:r w:rsidRPr="00096909">
        <w:rPr>
          <w:rStyle w:val="Rimandonotaapidipagina"/>
          <w:rFonts w:ascii="Times New Roman" w:hAnsi="Times New Roman" w:cs="Times New Roman"/>
          <w:sz w:val="24"/>
          <w:szCs w:val="24"/>
        </w:rPr>
        <w:footnoteReference w:id="75"/>
      </w:r>
      <w:r w:rsidRPr="00096909">
        <w:rPr>
          <w:rFonts w:ascii="Times New Roman" w:hAnsi="Times New Roman" w:cs="Times New Roman"/>
          <w:sz w:val="24"/>
          <w:szCs w:val="24"/>
        </w:rPr>
        <w:t xml:space="preserve"> </w:t>
      </w:r>
    </w:p>
    <w:p w14:paraId="5BC2677A"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Il Parentucelli unì a questa raccolta eugeniana, composta di circa 350 testi, i libri della sua biblioteca personale e proseguì nel recupero dei volumi più pregiati rimasti ad Avignone dopo il ritorno in Italia dei papi: un gruppo di manoscritti liturgici e le opere di san Tommaso copiate per Giovanni XXII in occasione della canonizzazione del </w:t>
      </w:r>
      <w:r w:rsidRPr="00096909">
        <w:rPr>
          <w:rFonts w:ascii="Times New Roman" w:hAnsi="Times New Roman" w:cs="Times New Roman"/>
          <w:i/>
          <w:sz w:val="24"/>
          <w:szCs w:val="24"/>
        </w:rPr>
        <w:t>doctor angelicus</w:t>
      </w:r>
      <w:r w:rsidRPr="00096909">
        <w:rPr>
          <w:rFonts w:ascii="Times New Roman" w:hAnsi="Times New Roman" w:cs="Times New Roman"/>
          <w:sz w:val="24"/>
          <w:szCs w:val="24"/>
        </w:rPr>
        <w:t xml:space="preserve">. </w:t>
      </w:r>
      <w:r>
        <w:rPr>
          <w:rFonts w:ascii="Times New Roman" w:hAnsi="Times New Roman" w:cs="Times New Roman"/>
          <w:sz w:val="24"/>
          <w:szCs w:val="24"/>
        </w:rPr>
        <w:t>D</w:t>
      </w:r>
      <w:r w:rsidRPr="00096909">
        <w:rPr>
          <w:rFonts w:ascii="Times New Roman" w:hAnsi="Times New Roman" w:cs="Times New Roman"/>
          <w:sz w:val="24"/>
          <w:szCs w:val="24"/>
        </w:rPr>
        <w:t>urante il regno di Niccolò</w:t>
      </w:r>
      <w:r>
        <w:rPr>
          <w:rFonts w:ascii="Times New Roman" w:hAnsi="Times New Roman" w:cs="Times New Roman"/>
          <w:sz w:val="24"/>
          <w:szCs w:val="24"/>
        </w:rPr>
        <w:t xml:space="preserve"> </w:t>
      </w:r>
      <w:r w:rsidRPr="00096909">
        <w:rPr>
          <w:rFonts w:ascii="Times New Roman" w:hAnsi="Times New Roman" w:cs="Times New Roman"/>
          <w:sz w:val="24"/>
          <w:szCs w:val="24"/>
        </w:rPr>
        <w:t>V</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f</w:t>
      </w:r>
      <w:r w:rsidRPr="00096909">
        <w:rPr>
          <w:rFonts w:ascii="Times New Roman" w:hAnsi="Times New Roman" w:cs="Times New Roman"/>
          <w:sz w:val="24"/>
          <w:szCs w:val="24"/>
        </w:rPr>
        <w:t>urono inoltre acquisite, le biblioteche dell’arcivescovo di Milano Enrico Rampini d</w:t>
      </w:r>
      <w:r w:rsidR="00164B95">
        <w:rPr>
          <w:rFonts w:ascii="Times New Roman" w:hAnsi="Times New Roman" w:cs="Times New Roman"/>
          <w:sz w:val="24"/>
          <w:szCs w:val="24"/>
        </w:rPr>
        <w:t>a</w:t>
      </w:r>
      <w:r w:rsidRPr="00096909">
        <w:rPr>
          <w:rFonts w:ascii="Times New Roman" w:hAnsi="Times New Roman" w:cs="Times New Roman"/>
          <w:sz w:val="24"/>
          <w:szCs w:val="24"/>
        </w:rPr>
        <w:t xml:space="preserve"> Sant’Alosio e del prelato </w:t>
      </w:r>
      <w:bookmarkStart w:id="45" w:name="_Hlk535777271"/>
      <w:r w:rsidRPr="00096909">
        <w:rPr>
          <w:rFonts w:ascii="Times New Roman" w:hAnsi="Times New Roman" w:cs="Times New Roman"/>
          <w:sz w:val="24"/>
          <w:szCs w:val="24"/>
        </w:rPr>
        <w:t>Cristoforo Garatone</w:t>
      </w:r>
      <w:bookmarkEnd w:id="45"/>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76"/>
      </w:r>
      <w:r w:rsidRPr="00096909">
        <w:rPr>
          <w:rFonts w:ascii="Times New Roman" w:hAnsi="Times New Roman" w:cs="Times New Roman"/>
          <w:sz w:val="24"/>
          <w:szCs w:val="24"/>
        </w:rPr>
        <w:t xml:space="preserve"> </w:t>
      </w:r>
    </w:p>
    <w:p w14:paraId="4C08AAAE"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Alla morte del pontefice, </w:t>
      </w:r>
      <w:r>
        <w:rPr>
          <w:rFonts w:ascii="Times New Roman" w:hAnsi="Times New Roman" w:cs="Times New Roman"/>
          <w:sz w:val="24"/>
          <w:szCs w:val="24"/>
        </w:rPr>
        <w:t>il</w:t>
      </w:r>
      <w:r w:rsidRPr="00096909">
        <w:rPr>
          <w:rFonts w:ascii="Times New Roman" w:hAnsi="Times New Roman" w:cs="Times New Roman"/>
          <w:sz w:val="24"/>
          <w:szCs w:val="24"/>
        </w:rPr>
        <w:t xml:space="preserve"> suo successore, Callisto III Borgia,</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ordinò all’agostiniano Cosimo di Monserrat di preparare una lista dei libri lasciati in eredità. L’inventario, tripartito, documenta la presenza nei palazzi vaticani di 1239 manoscritti, suddivisi in codici greci e latini, oltre a un gruppo di volumi che al momento della morte del Parentucelli si trovavano nel suo </w:t>
      </w:r>
      <w:r w:rsidRPr="00096909">
        <w:rPr>
          <w:rFonts w:ascii="Times New Roman" w:hAnsi="Times New Roman" w:cs="Times New Roman"/>
          <w:i/>
          <w:sz w:val="24"/>
          <w:szCs w:val="24"/>
        </w:rPr>
        <w:t>cubiculum</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77"/>
      </w:r>
      <w:r w:rsidRPr="00096909">
        <w:rPr>
          <w:rFonts w:ascii="Times New Roman" w:hAnsi="Times New Roman" w:cs="Times New Roman"/>
          <w:sz w:val="24"/>
          <w:szCs w:val="24"/>
        </w:rPr>
        <w:t xml:space="preserve"> </w:t>
      </w:r>
      <w:r w:rsidRPr="00096909">
        <w:rPr>
          <w:rFonts w:ascii="Times New Roman" w:hAnsi="Times New Roman" w:cs="Times New Roman"/>
          <w:sz w:val="24"/>
          <w:szCs w:val="24"/>
        </w:rPr>
        <w:lastRenderedPageBreak/>
        <w:t xml:space="preserve">Vi si annota inoltre la concessione di alcuni prestiti a Isidoro di Kiev e al cardinale Bessarione – prova della possibilità di fruizione ‘allargata’ della raccolta già in questa fase originaria –, che, insieme all’abitudine del papa di trattenere </w:t>
      </w:r>
      <w:r w:rsidR="00393ED3">
        <w:rPr>
          <w:rFonts w:ascii="Times New Roman" w:hAnsi="Times New Roman" w:cs="Times New Roman"/>
          <w:sz w:val="24"/>
          <w:szCs w:val="24"/>
        </w:rPr>
        <w:t>ne</w:t>
      </w:r>
      <w:r w:rsidRPr="00096909">
        <w:rPr>
          <w:rFonts w:ascii="Times New Roman" w:hAnsi="Times New Roman" w:cs="Times New Roman"/>
          <w:sz w:val="24"/>
          <w:szCs w:val="24"/>
        </w:rPr>
        <w:t xml:space="preserve">i suoi appartamenti alcune letture, restituisce un ritratto della Vaticana e del suo uso da parte dei sovrani pontefici non dissimile da quello che interessò le biblioteche principesche finora considerate. </w:t>
      </w:r>
    </w:p>
    <w:p w14:paraId="0388BC9E"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Sebbene la figura di Callisto III sia stata </w:t>
      </w:r>
      <w:r>
        <w:rPr>
          <w:rFonts w:ascii="Times New Roman" w:hAnsi="Times New Roman" w:cs="Times New Roman"/>
          <w:sz w:val="24"/>
          <w:szCs w:val="24"/>
        </w:rPr>
        <w:t xml:space="preserve">ritratta </w:t>
      </w:r>
      <w:r w:rsidRPr="00096909">
        <w:rPr>
          <w:rFonts w:ascii="Times New Roman" w:hAnsi="Times New Roman" w:cs="Times New Roman"/>
          <w:sz w:val="24"/>
          <w:szCs w:val="24"/>
        </w:rPr>
        <w:t xml:space="preserve">negli scritti di Aurispa, di Filelfo e di Bisticci come genericamente disinteressata agli </w:t>
      </w:r>
      <w:r w:rsidRPr="00096909">
        <w:rPr>
          <w:rFonts w:ascii="Times New Roman" w:hAnsi="Times New Roman" w:cs="Times New Roman"/>
          <w:i/>
          <w:sz w:val="24"/>
          <w:szCs w:val="24"/>
        </w:rPr>
        <w:t>studia humanitatis</w:t>
      </w:r>
      <w:r w:rsidRPr="00096909">
        <w:rPr>
          <w:rFonts w:ascii="Times New Roman" w:hAnsi="Times New Roman" w:cs="Times New Roman"/>
          <w:sz w:val="24"/>
          <w:szCs w:val="24"/>
        </w:rPr>
        <w:t xml:space="preserve"> e dispergitrice del patrimonio librario raccolto dal Parentucelli, bisognerà notare come nelle liste composte da Monserrat si segnali invece la presenza di 243 volumi di differenti discipline giuridiche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trasferiti </w:t>
      </w:r>
      <w:r w:rsidRPr="00096909">
        <w:rPr>
          <w:rFonts w:ascii="Times New Roman" w:hAnsi="Times New Roman" w:cs="Times New Roman"/>
          <w:sz w:val="24"/>
          <w:szCs w:val="24"/>
        </w:rPr>
        <w:t>a Roma per volere del Borgia, espressione della sua ampia cultura giuridica</w:t>
      </w:r>
      <w:r>
        <w:rPr>
          <w:rFonts w:ascii="Times New Roman" w:hAnsi="Times New Roman" w:cs="Times New Roman"/>
          <w:sz w:val="24"/>
          <w:szCs w:val="24"/>
        </w:rPr>
        <w:t xml:space="preserve"> –, i quali</w:t>
      </w:r>
      <w:r w:rsidRPr="00096909">
        <w:rPr>
          <w:rFonts w:ascii="Times New Roman" w:hAnsi="Times New Roman" w:cs="Times New Roman"/>
          <w:sz w:val="24"/>
          <w:szCs w:val="24"/>
        </w:rPr>
        <w:t xml:space="preserve"> formarono un repertorio librario di esclusiva proprietà del pontefice e dopo la sua morte entrarono nella Vaticana, arricchendola di una aggiornata sezione di giurisprudenza.</w:t>
      </w:r>
      <w:r w:rsidRPr="00096909">
        <w:rPr>
          <w:rStyle w:val="Rimandonotaapidipagina"/>
          <w:rFonts w:ascii="Times New Roman" w:hAnsi="Times New Roman" w:cs="Times New Roman"/>
          <w:sz w:val="24"/>
          <w:szCs w:val="24"/>
        </w:rPr>
        <w:footnoteReference w:id="78"/>
      </w:r>
      <w:r w:rsidRPr="00096909">
        <w:rPr>
          <w:rFonts w:ascii="Times New Roman" w:hAnsi="Times New Roman" w:cs="Times New Roman"/>
          <w:sz w:val="24"/>
          <w:szCs w:val="24"/>
        </w:rPr>
        <w:t xml:space="preserve"> </w:t>
      </w:r>
    </w:p>
    <w:p w14:paraId="2FB89FFD"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La netta distinzione tra una biblioteca di palazzo e una collezione privata a disposizione del papa regnante appare evidente anche nell’età di Pio II (1458-1464), durante la quale la biblioteca Palatina non registrò un incremento, forse in ragione delle lunghe assenze del Piccolomini da Roma</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L</w:t>
      </w:r>
      <w:r w:rsidRPr="00096909">
        <w:rPr>
          <w:rFonts w:ascii="Times New Roman" w:hAnsi="Times New Roman" w:cs="Times New Roman"/>
          <w:sz w:val="24"/>
          <w:szCs w:val="24"/>
        </w:rPr>
        <w:t xml:space="preserve">e </w:t>
      </w:r>
      <w:r>
        <w:rPr>
          <w:rFonts w:ascii="Times New Roman" w:hAnsi="Times New Roman" w:cs="Times New Roman"/>
          <w:sz w:val="24"/>
          <w:szCs w:val="24"/>
        </w:rPr>
        <w:t>sue</w:t>
      </w:r>
      <w:r w:rsidRPr="00096909">
        <w:rPr>
          <w:rFonts w:ascii="Times New Roman" w:hAnsi="Times New Roman" w:cs="Times New Roman"/>
          <w:sz w:val="24"/>
          <w:szCs w:val="24"/>
        </w:rPr>
        <w:t xml:space="preserve"> committenze furono </w:t>
      </w:r>
      <w:r>
        <w:rPr>
          <w:rFonts w:ascii="Times New Roman" w:hAnsi="Times New Roman" w:cs="Times New Roman"/>
          <w:sz w:val="24"/>
          <w:szCs w:val="24"/>
        </w:rPr>
        <w:t>piuttosto</w:t>
      </w:r>
      <w:r w:rsidRPr="00096909">
        <w:rPr>
          <w:rFonts w:ascii="Times New Roman" w:hAnsi="Times New Roman" w:cs="Times New Roman"/>
          <w:sz w:val="24"/>
          <w:szCs w:val="24"/>
        </w:rPr>
        <w:t xml:space="preserve"> destinate all’arricchimento della </w:t>
      </w:r>
      <w:r>
        <w:rPr>
          <w:rFonts w:ascii="Times New Roman" w:hAnsi="Times New Roman" w:cs="Times New Roman"/>
          <w:sz w:val="24"/>
          <w:szCs w:val="24"/>
        </w:rPr>
        <w:t>propria</w:t>
      </w:r>
      <w:r w:rsidRPr="00096909">
        <w:rPr>
          <w:rFonts w:ascii="Times New Roman" w:hAnsi="Times New Roman" w:cs="Times New Roman"/>
          <w:sz w:val="24"/>
          <w:szCs w:val="24"/>
        </w:rPr>
        <w:t xml:space="preserve"> collezione</w:t>
      </w:r>
      <w:r>
        <w:rPr>
          <w:rFonts w:ascii="Times New Roman" w:hAnsi="Times New Roman" w:cs="Times New Roman"/>
          <w:sz w:val="24"/>
          <w:szCs w:val="24"/>
        </w:rPr>
        <w:t xml:space="preserve"> personale</w:t>
      </w:r>
      <w:r w:rsidRPr="00096909">
        <w:rPr>
          <w:rFonts w:ascii="Times New Roman" w:hAnsi="Times New Roman" w:cs="Times New Roman"/>
          <w:sz w:val="24"/>
          <w:szCs w:val="24"/>
        </w:rPr>
        <w:t>, trasportata dopo il suo decesso nella celebre Biblioteca Piccolomini, annessa al duomo di Siena e affrescata da Pinturicchio, l’allestimento della quale fu affidato al nipote Francesco Todeschini.</w:t>
      </w:r>
      <w:r w:rsidRPr="00096909">
        <w:rPr>
          <w:rStyle w:val="Rimandonotaapidipagina"/>
          <w:rFonts w:ascii="Times New Roman" w:hAnsi="Times New Roman" w:cs="Times New Roman"/>
          <w:sz w:val="24"/>
          <w:szCs w:val="24"/>
        </w:rPr>
        <w:footnoteReference w:id="79"/>
      </w:r>
      <w:r w:rsidRPr="00096909">
        <w:rPr>
          <w:rFonts w:ascii="Times New Roman" w:hAnsi="Times New Roman" w:cs="Times New Roman"/>
          <w:sz w:val="24"/>
          <w:szCs w:val="24"/>
        </w:rPr>
        <w:t xml:space="preserve"> </w:t>
      </w:r>
    </w:p>
    <w:p w14:paraId="58DE754A"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Confluirono invece nei fondi della Vaticana i libri di Paolo II Barbo, che sebbene sia ricordato principalmente come estimatore di arte e di antichità, riunì una corposa selezione di manoscritti nei suoi appartamenti in Palazzo Venezia, tra i quali quelli appartenuti al vescovo di Brescia Pietro del Monte, del quale era stato nominato esecutore testamentario. Per volere d</w:t>
      </w:r>
      <w:r>
        <w:rPr>
          <w:rFonts w:ascii="Times New Roman" w:hAnsi="Times New Roman" w:cs="Times New Roman"/>
          <w:sz w:val="24"/>
          <w:szCs w:val="24"/>
        </w:rPr>
        <w:t xml:space="preserve">el </w:t>
      </w:r>
      <w:r w:rsidRPr="00096909">
        <w:rPr>
          <w:rFonts w:ascii="Times New Roman" w:hAnsi="Times New Roman" w:cs="Times New Roman"/>
          <w:sz w:val="24"/>
          <w:szCs w:val="24"/>
        </w:rPr>
        <w:t>Barbo venne nominato inoltre bibliotecario vaticano Giovanni Andrea Bussi, colto editore di testi classici e promotore dell’introduzione a Roma della stampa, e fu acquisita la biblioteca, ricca di testi greci, del cardinale Isidoro di Kiev, deceduto nel 1465. Il 20 marzo 1471, infine, il Barbo dett</w:t>
      </w:r>
      <w:r>
        <w:rPr>
          <w:rFonts w:ascii="Times New Roman" w:hAnsi="Times New Roman" w:cs="Times New Roman"/>
          <w:sz w:val="24"/>
          <w:szCs w:val="24"/>
        </w:rPr>
        <w:t>ò</w:t>
      </w:r>
      <w:r w:rsidRPr="00096909">
        <w:rPr>
          <w:rFonts w:ascii="Times New Roman" w:hAnsi="Times New Roman" w:cs="Times New Roman"/>
          <w:sz w:val="24"/>
          <w:szCs w:val="24"/>
        </w:rPr>
        <w:t xml:space="preserve"> a Leonardo Dati, pochi mesi prima di morire, un breve che ordinava il trasporto a Roma dei volumi </w:t>
      </w:r>
      <w:r w:rsidRPr="00096909">
        <w:rPr>
          <w:rFonts w:ascii="Times New Roman" w:hAnsi="Times New Roman" w:cs="Times New Roman"/>
          <w:sz w:val="24"/>
          <w:szCs w:val="24"/>
        </w:rPr>
        <w:lastRenderedPageBreak/>
        <w:t xml:space="preserve">della biblioteca di Montecassino, del quale egli aveva mantenuto la carica di abate dopo l’elezione al soglio </w:t>
      </w:r>
      <w:r w:rsidR="00AD0760">
        <w:rPr>
          <w:rFonts w:ascii="Times New Roman" w:hAnsi="Times New Roman" w:cs="Times New Roman"/>
          <w:sz w:val="24"/>
          <w:szCs w:val="24"/>
        </w:rPr>
        <w:t>petrino</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80"/>
      </w:r>
      <w:r w:rsidRPr="00096909">
        <w:rPr>
          <w:rFonts w:ascii="Times New Roman" w:hAnsi="Times New Roman" w:cs="Times New Roman"/>
          <w:sz w:val="24"/>
          <w:szCs w:val="24"/>
        </w:rPr>
        <w:t xml:space="preserve">   </w:t>
      </w:r>
    </w:p>
    <w:p w14:paraId="6946838D"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Con papa Sisto IV si avviò un’opera di ordinamento efficace del fondo bibliotecario e si procedette al suo ampliamento in maniera più continuativa. Fu preposto a tale lavoro di ammodernamento il dotto Bartolomeo Platina, indicato </w:t>
      </w:r>
      <w:r w:rsidRPr="00096909">
        <w:rPr>
          <w:rFonts w:ascii="Times New Roman" w:hAnsi="Times New Roman" w:cs="Times New Roman"/>
          <w:i/>
          <w:sz w:val="24"/>
          <w:szCs w:val="24"/>
        </w:rPr>
        <w:t>gubernator et custos</w:t>
      </w:r>
      <w:r w:rsidRPr="00096909">
        <w:rPr>
          <w:rFonts w:ascii="Times New Roman" w:hAnsi="Times New Roman" w:cs="Times New Roman"/>
          <w:sz w:val="24"/>
          <w:szCs w:val="24"/>
        </w:rPr>
        <w:t xml:space="preserve"> della biblioteca nella bolla </w:t>
      </w:r>
      <w:r w:rsidRPr="00096909">
        <w:rPr>
          <w:rFonts w:ascii="Times New Roman" w:hAnsi="Times New Roman" w:cs="Times New Roman"/>
          <w:i/>
          <w:sz w:val="24"/>
          <w:szCs w:val="24"/>
        </w:rPr>
        <w:t>Ad decorem militantis ecclesiae</w:t>
      </w:r>
      <w:r w:rsidRPr="00096909">
        <w:rPr>
          <w:rFonts w:ascii="Times New Roman" w:hAnsi="Times New Roman" w:cs="Times New Roman"/>
          <w:sz w:val="24"/>
          <w:szCs w:val="24"/>
        </w:rPr>
        <w:t xml:space="preserve"> del 28 febbraio 1475, con la quale il papa gli imponeva di raccogliere in un unico luogo i libri lasciati in Vaticano dai suoi predecessori, di servirsi di un fondo erogato dal depositario e dai chierici della camera Apostolica per sostenere le spese di gestione della biblioteca, di pagare i salari del personale e di redigere una documentazione annuale delle spese e delle risorse economiche ricevute.</w:t>
      </w:r>
      <w:r w:rsidRPr="00096909">
        <w:rPr>
          <w:rStyle w:val="Rimandonotaapidipagina"/>
          <w:rFonts w:ascii="Times New Roman" w:hAnsi="Times New Roman" w:cs="Times New Roman"/>
          <w:sz w:val="24"/>
          <w:szCs w:val="24"/>
        </w:rPr>
        <w:footnoteReference w:id="81"/>
      </w:r>
      <w:r w:rsidRPr="00096909">
        <w:rPr>
          <w:rFonts w:ascii="Times New Roman" w:hAnsi="Times New Roman" w:cs="Times New Roman"/>
          <w:sz w:val="24"/>
          <w:szCs w:val="24"/>
        </w:rPr>
        <w:t xml:space="preserve"> </w:t>
      </w:r>
    </w:p>
    <w:p w14:paraId="5131B919" w14:textId="77777777" w:rsidR="00426D6A" w:rsidRPr="00096909" w:rsidRDefault="00426D6A" w:rsidP="00426D6A">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politica delle acquisizioni poté così beneficiare di finanziamenti stabili, con i quali il deposito librario, inventariato da Platina nel 1475, passò nel 1481 da 2545 a 3679 volumi.</w:t>
      </w:r>
      <w:r w:rsidRPr="00096909">
        <w:rPr>
          <w:rStyle w:val="Rimandonotaapidipagina"/>
          <w:rFonts w:ascii="Times New Roman" w:hAnsi="Times New Roman" w:cs="Times New Roman"/>
          <w:sz w:val="24"/>
          <w:szCs w:val="24"/>
        </w:rPr>
        <w:footnoteReference w:id="82"/>
      </w:r>
      <w:r w:rsidRPr="00096909">
        <w:rPr>
          <w:rFonts w:ascii="Times New Roman" w:hAnsi="Times New Roman" w:cs="Times New Roman"/>
          <w:sz w:val="24"/>
          <w:szCs w:val="24"/>
        </w:rPr>
        <w:t xml:space="preserve"> L’incremento procedette inoltre, come di consueto, con l’incameramento di importanti biblioteche. Nel 1473 morì il cardinale francese Jean Jouffroy, che in gioventù era stato raccoglitore appassionato di codici d’età carolingia e romanica in biblioteche conventuali francesi fino ad allora poco esplorate dagli umanisti. Sebbene egli avesse destinato al monastero parigino di Saint-Denis la sezione romana della sua collezione, </w:t>
      </w:r>
      <w:r>
        <w:rPr>
          <w:rFonts w:ascii="Times New Roman" w:hAnsi="Times New Roman" w:cs="Times New Roman"/>
          <w:sz w:val="24"/>
          <w:szCs w:val="24"/>
        </w:rPr>
        <w:t xml:space="preserve">questa </w:t>
      </w:r>
      <w:r w:rsidRPr="00096909">
        <w:rPr>
          <w:rFonts w:ascii="Times New Roman" w:hAnsi="Times New Roman" w:cs="Times New Roman"/>
          <w:sz w:val="24"/>
          <w:szCs w:val="24"/>
        </w:rPr>
        <w:t>fu assorbita dalla Vaticana, dove i codici figurano già nell’inventario del 1475.</w:t>
      </w:r>
      <w:r w:rsidRPr="00096909">
        <w:rPr>
          <w:rStyle w:val="Rimandonotaapidipagina"/>
          <w:rFonts w:ascii="Times New Roman" w:hAnsi="Times New Roman" w:cs="Times New Roman"/>
          <w:sz w:val="24"/>
          <w:szCs w:val="24"/>
        </w:rPr>
        <w:footnoteReference w:id="83"/>
      </w:r>
      <w:r w:rsidRPr="00096909">
        <w:rPr>
          <w:rFonts w:ascii="Times New Roman" w:hAnsi="Times New Roman" w:cs="Times New Roman"/>
          <w:sz w:val="24"/>
          <w:szCs w:val="24"/>
        </w:rPr>
        <w:t xml:space="preserve"> Vi entrarono inoltre le raccolte librarie di Juan Torquemada, di </w:t>
      </w:r>
      <w:bookmarkStart w:id="47" w:name="_Hlk535779041"/>
      <w:r w:rsidRPr="00096909">
        <w:rPr>
          <w:rFonts w:ascii="Times New Roman" w:hAnsi="Times New Roman" w:cs="Times New Roman"/>
          <w:sz w:val="24"/>
          <w:szCs w:val="24"/>
        </w:rPr>
        <w:t xml:space="preserve">Rodrigo Sanchez </w:t>
      </w:r>
      <w:bookmarkEnd w:id="47"/>
      <w:r w:rsidRPr="00096909">
        <w:rPr>
          <w:rFonts w:ascii="Times New Roman" w:hAnsi="Times New Roman" w:cs="Times New Roman"/>
          <w:sz w:val="24"/>
          <w:szCs w:val="24"/>
        </w:rPr>
        <w:t>de Arevalo, di Jean de Mella, nello stesso anno 1473; di Nicolò de Donis, nel 1477; di Gaspare di Sant’Angelo, nel 1481.</w:t>
      </w:r>
      <w:r w:rsidRPr="00096909">
        <w:rPr>
          <w:rStyle w:val="Rimandonotaapidipagina"/>
          <w:rFonts w:ascii="Times New Roman" w:hAnsi="Times New Roman" w:cs="Times New Roman"/>
          <w:sz w:val="24"/>
          <w:szCs w:val="24"/>
        </w:rPr>
        <w:footnoteReference w:id="84"/>
      </w:r>
    </w:p>
    <w:p w14:paraId="7B96DE1A" w14:textId="77777777" w:rsidR="00426D6A" w:rsidRPr="00096909" w:rsidRDefault="00426D6A" w:rsidP="00426D6A">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Alla prima biblioteca, ove Platina aveva raccolto i libri per volere del papa, posta in tre sale comunicanti – rispettivamente per i testi latini, greci e i documenti – con ingresso dal cortile del </w:t>
      </w:r>
      <w:r w:rsidRPr="00096909">
        <w:rPr>
          <w:rFonts w:ascii="Times New Roman" w:hAnsi="Times New Roman" w:cs="Times New Roman"/>
          <w:sz w:val="24"/>
          <w:szCs w:val="24"/>
        </w:rPr>
        <w:lastRenderedPageBreak/>
        <w:t xml:space="preserve">Pappagallo e affacci sul cortile del Belvedere, fu necessario aggiungere una quarta sala, la </w:t>
      </w:r>
      <w:r w:rsidRPr="00096909">
        <w:rPr>
          <w:rFonts w:ascii="Times New Roman" w:hAnsi="Times New Roman" w:cs="Times New Roman"/>
          <w:i/>
          <w:sz w:val="24"/>
          <w:szCs w:val="24"/>
        </w:rPr>
        <w:t>bibliotheca nova</w:t>
      </w:r>
      <w:r w:rsidRPr="00096909">
        <w:rPr>
          <w:rFonts w:ascii="Times New Roman" w:hAnsi="Times New Roman" w:cs="Times New Roman"/>
          <w:sz w:val="24"/>
          <w:szCs w:val="24"/>
        </w:rPr>
        <w:t xml:space="preserve"> o </w:t>
      </w:r>
      <w:r w:rsidRPr="00096909">
        <w:rPr>
          <w:rFonts w:ascii="Times New Roman" w:hAnsi="Times New Roman" w:cs="Times New Roman"/>
          <w:i/>
          <w:sz w:val="24"/>
          <w:szCs w:val="24"/>
        </w:rPr>
        <w:t>magna secreta</w:t>
      </w:r>
      <w:r w:rsidRPr="00096909">
        <w:rPr>
          <w:rFonts w:ascii="Times New Roman" w:hAnsi="Times New Roman" w:cs="Times New Roman"/>
          <w:sz w:val="24"/>
          <w:szCs w:val="24"/>
        </w:rPr>
        <w:t xml:space="preserve">, destinata ad accogliere i documenti d’archivio. </w:t>
      </w:r>
    </w:p>
    <w:p w14:paraId="65D38C78"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Vennero inoltre allestiti un laboratorio per la legatura dei libri e un alloggio notturno per il bibliotecario. Alla Vaticana, negli anni 1475-1481, infatti, lavoravano i custodi </w:t>
      </w:r>
      <w:bookmarkStart w:id="48" w:name="_Hlk535779098"/>
      <w:r w:rsidRPr="00096909">
        <w:rPr>
          <w:rFonts w:ascii="Times New Roman" w:hAnsi="Times New Roman" w:cs="Times New Roman"/>
          <w:sz w:val="24"/>
          <w:szCs w:val="24"/>
        </w:rPr>
        <w:t>Pietro Dom</w:t>
      </w:r>
      <w:r>
        <w:rPr>
          <w:rFonts w:ascii="Times New Roman" w:hAnsi="Times New Roman" w:cs="Times New Roman"/>
          <w:sz w:val="24"/>
          <w:szCs w:val="24"/>
        </w:rPr>
        <w:t>e</w:t>
      </w:r>
      <w:r w:rsidRPr="00096909">
        <w:rPr>
          <w:rFonts w:ascii="Times New Roman" w:hAnsi="Times New Roman" w:cs="Times New Roman"/>
          <w:sz w:val="24"/>
          <w:szCs w:val="24"/>
        </w:rPr>
        <w:t>nico Guazzelli</w:t>
      </w:r>
      <w:bookmarkEnd w:id="48"/>
      <w:r w:rsidRPr="00096909">
        <w:rPr>
          <w:rFonts w:ascii="Times New Roman" w:hAnsi="Times New Roman" w:cs="Times New Roman"/>
          <w:sz w:val="24"/>
          <w:szCs w:val="24"/>
        </w:rPr>
        <w:t xml:space="preserve"> e </w:t>
      </w:r>
      <w:bookmarkStart w:id="49" w:name="_Hlk535779135"/>
      <w:r w:rsidRPr="00096909">
        <w:rPr>
          <w:rFonts w:ascii="Times New Roman" w:hAnsi="Times New Roman" w:cs="Times New Roman"/>
          <w:sz w:val="24"/>
          <w:szCs w:val="24"/>
        </w:rPr>
        <w:t xml:space="preserve">Giosia Trovarelli </w:t>
      </w:r>
      <w:bookmarkEnd w:id="49"/>
      <w:r w:rsidRPr="00096909">
        <w:rPr>
          <w:rFonts w:ascii="Times New Roman" w:hAnsi="Times New Roman" w:cs="Times New Roman"/>
          <w:sz w:val="24"/>
          <w:szCs w:val="24"/>
        </w:rPr>
        <w:t xml:space="preserve">da Ripatransone, insieme al maestro rilegatore </w:t>
      </w:r>
      <w:bookmarkStart w:id="50" w:name="_Hlk535779187"/>
      <w:r w:rsidRPr="00096909">
        <w:rPr>
          <w:rFonts w:ascii="Times New Roman" w:hAnsi="Times New Roman" w:cs="Times New Roman"/>
          <w:sz w:val="24"/>
          <w:szCs w:val="24"/>
        </w:rPr>
        <w:t xml:space="preserve">Jean Chadel </w:t>
      </w:r>
      <w:bookmarkEnd w:id="50"/>
      <w:r w:rsidRPr="00096909">
        <w:rPr>
          <w:rFonts w:ascii="Times New Roman" w:hAnsi="Times New Roman" w:cs="Times New Roman"/>
          <w:sz w:val="24"/>
          <w:szCs w:val="24"/>
        </w:rPr>
        <w:t xml:space="preserve">e al copista </w:t>
      </w:r>
      <w:bookmarkStart w:id="51" w:name="_Hlk535779223"/>
      <w:r w:rsidRPr="00096909">
        <w:rPr>
          <w:rFonts w:ascii="Times New Roman" w:hAnsi="Times New Roman" w:cs="Times New Roman"/>
          <w:sz w:val="24"/>
          <w:szCs w:val="24"/>
        </w:rPr>
        <w:t>Salvato da Cagli</w:t>
      </w:r>
      <w:bookmarkEnd w:id="51"/>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85"/>
      </w:r>
      <w:r w:rsidRPr="00096909">
        <w:rPr>
          <w:rFonts w:ascii="Times New Roman" w:hAnsi="Times New Roman" w:cs="Times New Roman"/>
          <w:sz w:val="24"/>
          <w:szCs w:val="24"/>
        </w:rPr>
        <w:t xml:space="preserve">  </w:t>
      </w:r>
    </w:p>
    <w:p w14:paraId="7FC0CFB3"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Sorprende l’ampiezza della documentazione prodotta negli anni dell’amministrazione di Platina. Dal 28 febbraio 1475 egli incominciò a tenere un registro dei prestiti librari, mentre dal 30 giugno inaugurò un registro contabile per le spese sostenute.</w:t>
      </w:r>
      <w:r w:rsidRPr="00096909">
        <w:rPr>
          <w:rStyle w:val="Rimandonotaapidipagina"/>
          <w:rFonts w:ascii="Times New Roman" w:hAnsi="Times New Roman" w:cs="Times New Roman"/>
          <w:sz w:val="24"/>
          <w:szCs w:val="24"/>
        </w:rPr>
        <w:footnoteReference w:id="86"/>
      </w:r>
      <w:r w:rsidRPr="00096909">
        <w:rPr>
          <w:rFonts w:ascii="Times New Roman" w:hAnsi="Times New Roman" w:cs="Times New Roman"/>
          <w:sz w:val="24"/>
          <w:szCs w:val="24"/>
        </w:rPr>
        <w:t xml:space="preserve"> Conformemente a quanto enunciato nella</w:t>
      </w:r>
      <w:r>
        <w:rPr>
          <w:rFonts w:ascii="Times New Roman" w:hAnsi="Times New Roman" w:cs="Times New Roman"/>
          <w:sz w:val="24"/>
          <w:szCs w:val="24"/>
        </w:rPr>
        <w:t xml:space="preserve"> bolla</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Ad decorem</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la biblioteca fu aperta al pubblico, come attesta la rappresentazione della visita del pontefice alla biblioteca raffigurata nell’affresco anonimo dell’Ospedale di Santo Spirito in Sassia, databile al 1476-1481, nel quale Sisto IV e i suoi nipoti, Raffaele Riario e </w:t>
      </w:r>
      <w:bookmarkStart w:id="52" w:name="_Hlk535779351"/>
      <w:r w:rsidRPr="00096909">
        <w:rPr>
          <w:rFonts w:ascii="Times New Roman" w:hAnsi="Times New Roman" w:cs="Times New Roman"/>
          <w:sz w:val="24"/>
          <w:szCs w:val="24"/>
        </w:rPr>
        <w:t>Giovanni della Rovere</w:t>
      </w:r>
      <w:bookmarkEnd w:id="52"/>
      <w:r w:rsidRPr="00096909">
        <w:rPr>
          <w:rFonts w:ascii="Times New Roman" w:hAnsi="Times New Roman" w:cs="Times New Roman"/>
          <w:sz w:val="24"/>
          <w:szCs w:val="24"/>
        </w:rPr>
        <w:t>, accedono ai locali di lettura, mentre due laici e un chierico siedono intenti alla consultazione dei testi disposti sui banchi (fig. 1).</w:t>
      </w:r>
      <w:r w:rsidRPr="00096909">
        <w:rPr>
          <w:rStyle w:val="Rimandonotaapidipagina"/>
          <w:rFonts w:ascii="Times New Roman" w:hAnsi="Times New Roman" w:cs="Times New Roman"/>
          <w:sz w:val="24"/>
          <w:szCs w:val="24"/>
        </w:rPr>
        <w:footnoteReference w:id="87"/>
      </w:r>
    </w:p>
    <w:p w14:paraId="22ED0CC0"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L’organizzazione e la gestione della Vaticana messe a fuoco durante il papato sistino si mantennero </w:t>
      </w:r>
      <w:r>
        <w:rPr>
          <w:rFonts w:ascii="Times New Roman" w:hAnsi="Times New Roman" w:cs="Times New Roman"/>
          <w:sz w:val="24"/>
          <w:szCs w:val="24"/>
        </w:rPr>
        <w:t xml:space="preserve">pressoché </w:t>
      </w:r>
      <w:r w:rsidRPr="00096909">
        <w:rPr>
          <w:rFonts w:ascii="Times New Roman" w:hAnsi="Times New Roman" w:cs="Times New Roman"/>
          <w:sz w:val="24"/>
          <w:szCs w:val="24"/>
        </w:rPr>
        <w:t>inalterate fino alla fine del secolo XV, mentre la documentazione disponibile sulla gestione dell’istituzione risulta meno abbondante negli ultimi due decenni del secolo.</w:t>
      </w:r>
      <w:r w:rsidRPr="00096909">
        <w:rPr>
          <w:rStyle w:val="Rimandonotaapidipagina"/>
          <w:rFonts w:ascii="Times New Roman" w:hAnsi="Times New Roman" w:cs="Times New Roman"/>
          <w:sz w:val="24"/>
          <w:szCs w:val="24"/>
        </w:rPr>
        <w:footnoteReference w:id="88"/>
      </w:r>
      <w:r w:rsidRPr="00096909">
        <w:rPr>
          <w:rFonts w:ascii="Times New Roman" w:hAnsi="Times New Roman" w:cs="Times New Roman"/>
          <w:sz w:val="24"/>
          <w:szCs w:val="24"/>
        </w:rPr>
        <w:t xml:space="preserve"> Innocenzo VIII Cibo assegnò l’incarico di bibliotecario prima al monaco guglielminita romano Cristoforo Persona, poi a Giovanni Lorenzi, protetto del cardinale Marco Barbo, camerlengo di Santa Romana Chiesa e nipote di Paolo II, del quale, dopo la morte, fu incamerata la biblioteca di testi greci.</w:t>
      </w:r>
      <w:r w:rsidRPr="00096909">
        <w:rPr>
          <w:rStyle w:val="Rimandonotaapidipagina"/>
          <w:rFonts w:ascii="Times New Roman" w:hAnsi="Times New Roman" w:cs="Times New Roman"/>
          <w:sz w:val="24"/>
          <w:szCs w:val="24"/>
        </w:rPr>
        <w:footnoteReference w:id="89"/>
      </w:r>
      <w:r w:rsidRPr="00096909">
        <w:rPr>
          <w:rFonts w:ascii="Times New Roman" w:hAnsi="Times New Roman" w:cs="Times New Roman"/>
          <w:sz w:val="24"/>
          <w:szCs w:val="24"/>
        </w:rPr>
        <w:t xml:space="preserve"> Stessa sorte spettò ai circa cinquecento volumi della spodestata regina di Cipro Carlotta di Lusignano, che chiudono la serie delle acquisizioni quattrocentesche. </w:t>
      </w:r>
    </w:p>
    <w:p w14:paraId="7B0EEC00"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La biblioteca Palatina, strumento del potere dei papi, ambiva a rappresentare con la sua imponenza il trionfo dell’autorità pontificia, una volta fugati i dubbi sulla sua superiorità universale espressi nei </w:t>
      </w:r>
      <w:r>
        <w:rPr>
          <w:rFonts w:ascii="Times New Roman" w:hAnsi="Times New Roman" w:cs="Times New Roman"/>
          <w:sz w:val="24"/>
          <w:szCs w:val="24"/>
        </w:rPr>
        <w:t xml:space="preserve">decenni precedenti del secolo XV nei </w:t>
      </w:r>
      <w:r w:rsidRPr="00096909">
        <w:rPr>
          <w:rFonts w:ascii="Times New Roman" w:hAnsi="Times New Roman" w:cs="Times New Roman"/>
          <w:sz w:val="24"/>
          <w:szCs w:val="24"/>
        </w:rPr>
        <w:t xml:space="preserve">concili di Costanza, </w:t>
      </w:r>
      <w:r>
        <w:rPr>
          <w:rFonts w:ascii="Times New Roman" w:hAnsi="Times New Roman" w:cs="Times New Roman"/>
          <w:sz w:val="24"/>
          <w:szCs w:val="24"/>
        </w:rPr>
        <w:t xml:space="preserve">di </w:t>
      </w:r>
      <w:r w:rsidRPr="00096909">
        <w:rPr>
          <w:rFonts w:ascii="Times New Roman" w:hAnsi="Times New Roman" w:cs="Times New Roman"/>
          <w:sz w:val="24"/>
          <w:szCs w:val="24"/>
        </w:rPr>
        <w:t xml:space="preserve">Basilea e </w:t>
      </w:r>
      <w:r>
        <w:rPr>
          <w:rFonts w:ascii="Times New Roman" w:hAnsi="Times New Roman" w:cs="Times New Roman"/>
          <w:sz w:val="24"/>
          <w:szCs w:val="24"/>
        </w:rPr>
        <w:t xml:space="preserve">di </w:t>
      </w:r>
      <w:r w:rsidRPr="00096909">
        <w:rPr>
          <w:rFonts w:ascii="Times New Roman" w:hAnsi="Times New Roman" w:cs="Times New Roman"/>
          <w:sz w:val="24"/>
          <w:szCs w:val="24"/>
        </w:rPr>
        <w:t xml:space="preserve">Firenze. Nel panorama dell’Italia rinascimentale essa costituiva un </w:t>
      </w:r>
      <w:r w:rsidRPr="00096909">
        <w:rPr>
          <w:rFonts w:ascii="Times New Roman" w:hAnsi="Times New Roman" w:cs="Times New Roman"/>
          <w:i/>
          <w:sz w:val="24"/>
          <w:szCs w:val="24"/>
        </w:rPr>
        <w:t>unicum</w:t>
      </w:r>
      <w:r w:rsidRPr="00096909">
        <w:rPr>
          <w:rFonts w:ascii="Times New Roman" w:hAnsi="Times New Roman" w:cs="Times New Roman"/>
          <w:sz w:val="24"/>
          <w:szCs w:val="24"/>
        </w:rPr>
        <w:t xml:space="preserve"> per il fatto di non dipendere dalle mire di una famiglia signorile ma direttamente dal vertice in terra della Chiesa Cattolica, di cui essa testimoniava il prestigio culturale e la solidità della dottrina e del magistero. </w:t>
      </w:r>
    </w:p>
    <w:p w14:paraId="0680BC6E"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raccolta aragonese, riunita a Napoli da Alfonso V d’Aragona dopo il suo trionfale ingresso nel febbraio del 1443, presenta invece un’altra singolarità: fu l’unica biblioteca regia presente in Italia nel Quattrocento. Una nota di pagamento ai bibliotecari Luis Cescases e Tommaso Aulesa in data 9 maggio 1443 rivela come i libri fossero stati in un primo momento collocati in Castel Capuano, in stanze attigue a quelle </w:t>
      </w:r>
      <w:r>
        <w:rPr>
          <w:rFonts w:ascii="Times New Roman" w:hAnsi="Times New Roman" w:cs="Times New Roman"/>
          <w:sz w:val="24"/>
          <w:szCs w:val="24"/>
        </w:rPr>
        <w:t>in cui</w:t>
      </w:r>
      <w:r w:rsidRPr="00096909">
        <w:rPr>
          <w:rFonts w:ascii="Times New Roman" w:hAnsi="Times New Roman" w:cs="Times New Roman"/>
          <w:sz w:val="24"/>
          <w:szCs w:val="24"/>
        </w:rPr>
        <w:t xml:space="preserve"> il re faceva predisporre uno studiolo personale,</w:t>
      </w:r>
      <w:r w:rsidRPr="00096909">
        <w:rPr>
          <w:rStyle w:val="Rimandonotaapidipagina"/>
          <w:rFonts w:ascii="Times New Roman" w:hAnsi="Times New Roman" w:cs="Times New Roman"/>
          <w:sz w:val="24"/>
          <w:szCs w:val="24"/>
        </w:rPr>
        <w:footnoteReference w:id="90"/>
      </w:r>
      <w:r w:rsidRPr="00096909">
        <w:rPr>
          <w:rFonts w:ascii="Times New Roman" w:hAnsi="Times New Roman" w:cs="Times New Roman"/>
          <w:sz w:val="24"/>
          <w:szCs w:val="24"/>
        </w:rPr>
        <w:t xml:space="preserve"> mentre dal 1455, furono trasferiti in un non precisato locale di Castel Nuovo, restaurato dal sovrano ed eletto a sua residenza.</w:t>
      </w:r>
      <w:r w:rsidRPr="00096909">
        <w:rPr>
          <w:rStyle w:val="Rimandonotaapidipagina"/>
          <w:rFonts w:ascii="Times New Roman" w:hAnsi="Times New Roman" w:cs="Times New Roman"/>
          <w:sz w:val="24"/>
          <w:szCs w:val="24"/>
        </w:rPr>
        <w:footnoteReference w:id="91"/>
      </w:r>
      <w:r w:rsidRPr="00096909">
        <w:rPr>
          <w:rFonts w:ascii="Times New Roman" w:hAnsi="Times New Roman" w:cs="Times New Roman"/>
          <w:sz w:val="24"/>
          <w:szCs w:val="24"/>
        </w:rPr>
        <w:t xml:space="preserve"> </w:t>
      </w:r>
    </w:p>
    <w:p w14:paraId="13C98854"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All’assenza di un inventario completo della raccolta aragonese fa fronte, in buona parte, il monumentale lavoro di Tammaro De Marinis, che, individuati 639 volumi di proprietà degli Aragonesi, pubblic</w:t>
      </w:r>
      <w:r>
        <w:rPr>
          <w:rFonts w:ascii="Times New Roman" w:hAnsi="Times New Roman" w:cs="Times New Roman"/>
          <w:sz w:val="24"/>
          <w:szCs w:val="24"/>
        </w:rPr>
        <w:t>ò</w:t>
      </w:r>
      <w:r w:rsidRPr="00096909">
        <w:rPr>
          <w:rFonts w:ascii="Times New Roman" w:hAnsi="Times New Roman" w:cs="Times New Roman"/>
          <w:sz w:val="24"/>
          <w:szCs w:val="24"/>
        </w:rPr>
        <w:t xml:space="preserve"> un’ampia documentazione riguardo all’interesse diretto del Magnanimo alla composizione di una collezione libraria molto apprezzata nel suo tempo.</w:t>
      </w:r>
      <w:r w:rsidRPr="00096909">
        <w:rPr>
          <w:rStyle w:val="Rimandonotaapidipagina"/>
          <w:rFonts w:ascii="Times New Roman" w:hAnsi="Times New Roman" w:cs="Times New Roman"/>
          <w:sz w:val="24"/>
          <w:szCs w:val="24"/>
        </w:rPr>
        <w:footnoteReference w:id="92"/>
      </w:r>
      <w:r w:rsidRPr="00096909">
        <w:rPr>
          <w:rFonts w:ascii="Times New Roman" w:hAnsi="Times New Roman" w:cs="Times New Roman"/>
          <w:sz w:val="24"/>
          <w:szCs w:val="24"/>
        </w:rPr>
        <w:t xml:space="preserve"> </w:t>
      </w:r>
    </w:p>
    <w:p w14:paraId="357FB31E"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Già nel 1417, un anno dopo l’ascesa al trono, un inventario attesta la presenza di 61 manoscritti tra i beni del re; mentre </w:t>
      </w:r>
      <w:r w:rsidR="001C42CD">
        <w:rPr>
          <w:rFonts w:ascii="Times New Roman" w:hAnsi="Times New Roman" w:cs="Times New Roman"/>
          <w:sz w:val="24"/>
          <w:szCs w:val="24"/>
        </w:rPr>
        <w:t>ne</w:t>
      </w:r>
      <w:r w:rsidRPr="00096909">
        <w:rPr>
          <w:rFonts w:ascii="Times New Roman" w:hAnsi="Times New Roman" w:cs="Times New Roman"/>
          <w:sz w:val="24"/>
          <w:szCs w:val="24"/>
        </w:rPr>
        <w:t xml:space="preserve">gli anni precedenti al 1438 una serie di missive della cancelleria reale lo vedono impegnato </w:t>
      </w:r>
      <w:r w:rsidR="005F3283">
        <w:rPr>
          <w:rFonts w:ascii="Times New Roman" w:hAnsi="Times New Roman" w:cs="Times New Roman"/>
          <w:sz w:val="24"/>
          <w:szCs w:val="24"/>
        </w:rPr>
        <w:t xml:space="preserve">a </w:t>
      </w:r>
      <w:r w:rsidRPr="00096909">
        <w:rPr>
          <w:rFonts w:ascii="Times New Roman" w:hAnsi="Times New Roman" w:cs="Times New Roman"/>
          <w:sz w:val="24"/>
          <w:szCs w:val="24"/>
        </w:rPr>
        <w:t xml:space="preserve">richiedere libri a personalità altolocate del suo tempo: una Bibbia francese a Bianca di Sicilia, le </w:t>
      </w:r>
      <w:r w:rsidRPr="00096909">
        <w:rPr>
          <w:rFonts w:ascii="Times New Roman" w:hAnsi="Times New Roman" w:cs="Times New Roman"/>
          <w:i/>
          <w:sz w:val="24"/>
          <w:szCs w:val="24"/>
        </w:rPr>
        <w:t>Historiae</w:t>
      </w:r>
      <w:r w:rsidRPr="00096909">
        <w:rPr>
          <w:rFonts w:ascii="Times New Roman" w:hAnsi="Times New Roman" w:cs="Times New Roman"/>
          <w:sz w:val="24"/>
          <w:szCs w:val="24"/>
        </w:rPr>
        <w:t xml:space="preserve"> di Pompeo Trogo a Enrico Villena, le </w:t>
      </w:r>
      <w:r w:rsidRPr="00096909">
        <w:rPr>
          <w:rFonts w:ascii="Times New Roman" w:hAnsi="Times New Roman" w:cs="Times New Roman"/>
          <w:i/>
          <w:sz w:val="24"/>
          <w:szCs w:val="24"/>
        </w:rPr>
        <w:t>Epistolae</w:t>
      </w:r>
      <w:r w:rsidRPr="00096909">
        <w:rPr>
          <w:rFonts w:ascii="Times New Roman" w:hAnsi="Times New Roman" w:cs="Times New Roman"/>
          <w:sz w:val="24"/>
          <w:szCs w:val="24"/>
        </w:rPr>
        <w:t xml:space="preserve"> di san Girolamo al vescovo di Majorca, le </w:t>
      </w:r>
      <w:r w:rsidRPr="00096909">
        <w:rPr>
          <w:rFonts w:ascii="Times New Roman" w:hAnsi="Times New Roman" w:cs="Times New Roman"/>
          <w:i/>
          <w:sz w:val="24"/>
          <w:szCs w:val="24"/>
        </w:rPr>
        <w:t>Decadi</w:t>
      </w:r>
      <w:r w:rsidRPr="00096909">
        <w:rPr>
          <w:rFonts w:ascii="Times New Roman" w:hAnsi="Times New Roman" w:cs="Times New Roman"/>
          <w:sz w:val="24"/>
          <w:szCs w:val="24"/>
        </w:rPr>
        <w:t xml:space="preserve"> di Livio a Pietro di Castiglia.</w:t>
      </w:r>
      <w:r w:rsidRPr="00096909">
        <w:rPr>
          <w:rStyle w:val="Rimandonotaapidipagina"/>
          <w:rFonts w:ascii="Times New Roman" w:hAnsi="Times New Roman" w:cs="Times New Roman"/>
          <w:sz w:val="24"/>
          <w:szCs w:val="24"/>
        </w:rPr>
        <w:footnoteReference w:id="93"/>
      </w:r>
      <w:r w:rsidRPr="00096909">
        <w:rPr>
          <w:rFonts w:ascii="Times New Roman" w:hAnsi="Times New Roman" w:cs="Times New Roman"/>
          <w:sz w:val="24"/>
          <w:szCs w:val="24"/>
        </w:rPr>
        <w:t xml:space="preserve"> </w:t>
      </w:r>
    </w:p>
    <w:p w14:paraId="7F074D00"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L’idea di riunire una biblioteca nel dominio italiano di recente conquista, quale «specchio ideologico e ritratto simbolico di un potere supremo»,</w:t>
      </w:r>
      <w:r w:rsidRPr="00096909">
        <w:rPr>
          <w:rStyle w:val="Rimandonotaapidipagina"/>
          <w:rFonts w:ascii="Times New Roman" w:hAnsi="Times New Roman" w:cs="Times New Roman"/>
          <w:sz w:val="24"/>
          <w:szCs w:val="24"/>
        </w:rPr>
        <w:footnoteReference w:id="94"/>
      </w:r>
      <w:r w:rsidRPr="00096909">
        <w:rPr>
          <w:rFonts w:ascii="Times New Roman" w:hAnsi="Times New Roman" w:cs="Times New Roman"/>
          <w:sz w:val="24"/>
          <w:szCs w:val="24"/>
        </w:rPr>
        <w:t xml:space="preserve"> maturò forse nel sovrano dopo aver </w:t>
      </w:r>
      <w:r w:rsidRPr="00096909">
        <w:rPr>
          <w:rFonts w:ascii="Times New Roman" w:hAnsi="Times New Roman" w:cs="Times New Roman"/>
          <w:sz w:val="24"/>
          <w:szCs w:val="24"/>
        </w:rPr>
        <w:lastRenderedPageBreak/>
        <w:t xml:space="preserve">visitato la raccolta di libri di Filippo Maria Visconti a Pavia, del quale egli fu prigioniero in seguito alla sconfitta nella battaglia di Ponza del 5 agosto 1435. Lo spettacolo di questo tesoro visconteo dovette influenzare la fantasia del futuro regnate. </w:t>
      </w:r>
      <w:r>
        <w:rPr>
          <w:rFonts w:ascii="Times New Roman" w:hAnsi="Times New Roman" w:cs="Times New Roman"/>
          <w:sz w:val="24"/>
          <w:szCs w:val="24"/>
        </w:rPr>
        <w:t>N</w:t>
      </w:r>
      <w:r w:rsidRPr="00096909">
        <w:rPr>
          <w:rFonts w:ascii="Times New Roman" w:hAnsi="Times New Roman" w:cs="Times New Roman"/>
          <w:sz w:val="24"/>
          <w:szCs w:val="24"/>
        </w:rPr>
        <w:t xml:space="preserve">egli anni 1450-1458, </w:t>
      </w:r>
      <w:r>
        <w:rPr>
          <w:rFonts w:ascii="Times New Roman" w:hAnsi="Times New Roman" w:cs="Times New Roman"/>
          <w:sz w:val="24"/>
          <w:szCs w:val="24"/>
        </w:rPr>
        <w:t>l</w:t>
      </w:r>
      <w:r w:rsidRPr="00096909">
        <w:rPr>
          <w:rFonts w:ascii="Times New Roman" w:hAnsi="Times New Roman" w:cs="Times New Roman"/>
          <w:sz w:val="24"/>
          <w:szCs w:val="24"/>
        </w:rPr>
        <w:t xml:space="preserve">e cedole della tesoreria aragonese offrono, infatti, prove numerose di un’intensa attività della corte napoletana volta a munirsi di materiali scrittorii, e conservano diversi pagamenti a copisti e miniatori per la realizzazione di manoscritti. Della produzione di libri per volontà di Alfonso tratteremo nel paragrafo seguente. Qui basti segnalare che la biblioteca da lui lasciata in eredità al figlio Ferrante, nel 1458, si mostrava perfettamente in grado di fare fronte alla richiesta di letture avanzata dalla corte e fioriva di opere dedicate dagli umanisti del suo </w:t>
      </w:r>
      <w:r w:rsidRPr="00096909">
        <w:rPr>
          <w:rFonts w:ascii="Times New Roman" w:hAnsi="Times New Roman" w:cs="Times New Roman"/>
          <w:i/>
          <w:sz w:val="24"/>
          <w:szCs w:val="24"/>
        </w:rPr>
        <w:t>entourage</w:t>
      </w:r>
      <w:r w:rsidRPr="00096909">
        <w:rPr>
          <w:rFonts w:ascii="Times New Roman" w:hAnsi="Times New Roman" w:cs="Times New Roman"/>
          <w:sz w:val="24"/>
          <w:szCs w:val="24"/>
        </w:rPr>
        <w:t>, come Lorenzo Valla, Bartolomeo Facio, Antonio Beccadelli, che egli riuniva ogni giorno dopo pranzo nei locali della biblioteca, nella cosiddetta ‘ora del libro’, per la lettura delle opere di Livio.</w:t>
      </w:r>
      <w:r w:rsidRPr="00096909">
        <w:rPr>
          <w:rStyle w:val="Rimandonotaapidipagina"/>
          <w:rFonts w:ascii="Times New Roman" w:hAnsi="Times New Roman" w:cs="Times New Roman"/>
          <w:sz w:val="24"/>
          <w:szCs w:val="24"/>
        </w:rPr>
        <w:footnoteReference w:id="95"/>
      </w:r>
      <w:r w:rsidRPr="00096909">
        <w:rPr>
          <w:rFonts w:ascii="Times New Roman" w:hAnsi="Times New Roman" w:cs="Times New Roman"/>
          <w:sz w:val="24"/>
          <w:szCs w:val="24"/>
        </w:rPr>
        <w:t xml:space="preserve"> </w:t>
      </w:r>
    </w:p>
    <w:p w14:paraId="562207AA"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L’erede al trono aragonese non fu secondo al padre nella committenza di opere letterarie e nell’acquisto di codici. Su suggerimento del consigliere Jacopo Acciaiuoli, Ferrante concesse un privilegio a Vespasiano da Bisticci per l’importazione di libri da Firenze a Napoli,</w:t>
      </w:r>
      <w:r w:rsidRPr="00096909">
        <w:rPr>
          <w:rStyle w:val="Rimandonotaapidipagina"/>
          <w:rFonts w:ascii="Times New Roman" w:hAnsi="Times New Roman" w:cs="Times New Roman"/>
          <w:sz w:val="24"/>
          <w:szCs w:val="24"/>
        </w:rPr>
        <w:footnoteReference w:id="96"/>
      </w:r>
      <w:r w:rsidRPr="00096909">
        <w:rPr>
          <w:rFonts w:ascii="Times New Roman" w:hAnsi="Times New Roman" w:cs="Times New Roman"/>
          <w:sz w:val="24"/>
          <w:szCs w:val="24"/>
        </w:rPr>
        <w:t xml:space="preserve"> e sotto il suo regno si procedette ad una generale riorganizzazione della gestione della biblioteca alfonsina, dota</w:t>
      </w:r>
      <w:r>
        <w:rPr>
          <w:rFonts w:ascii="Times New Roman" w:hAnsi="Times New Roman" w:cs="Times New Roman"/>
          <w:sz w:val="24"/>
          <w:szCs w:val="24"/>
        </w:rPr>
        <w:t>ndola</w:t>
      </w:r>
      <w:r w:rsidRPr="00096909">
        <w:rPr>
          <w:rFonts w:ascii="Times New Roman" w:hAnsi="Times New Roman" w:cs="Times New Roman"/>
          <w:sz w:val="24"/>
          <w:szCs w:val="24"/>
        </w:rPr>
        <w:t xml:space="preserve"> di personale specializzato, di scribi, di miniatori</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w:t>
      </w:r>
    </w:p>
    <w:p w14:paraId="728CD89A"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Le vicende del regno tutt’altro che pacifico di Ferrante trovarono un riflesso pressoché immediato in quelle della sua raccolta libraria. Nel 1481, dopo aver sostenuto campagne militari contro Firenze tra il 1478 e il 1480 e temendo l’avanzata di Maometto II, che l’11 agosto 1480 aveva conquistato Otranto, il re dovette impegnare presso il banchiere fiorentino Battista Pandolfini 266 dei suoi volumi per ottenere un prestito di 38.000 ducati. In tale occasione fu preparata una lista dei libri depositati presso la banca, che risulta tra le poche testimonianze della raccolta a questa altezza cronologica.</w:t>
      </w:r>
      <w:r w:rsidRPr="00096909">
        <w:rPr>
          <w:rStyle w:val="Rimandonotaapidipagina"/>
          <w:rFonts w:ascii="Times New Roman" w:hAnsi="Times New Roman" w:cs="Times New Roman"/>
          <w:sz w:val="24"/>
          <w:szCs w:val="24"/>
        </w:rPr>
        <w:footnoteReference w:id="97"/>
      </w:r>
      <w:r w:rsidRPr="00096909">
        <w:rPr>
          <w:rFonts w:ascii="Times New Roman" w:hAnsi="Times New Roman" w:cs="Times New Roman"/>
          <w:sz w:val="24"/>
          <w:szCs w:val="24"/>
        </w:rPr>
        <w:t xml:space="preserve"> L’episodio prova come, in un momento di particolare difficoltà, </w:t>
      </w:r>
      <w:r>
        <w:rPr>
          <w:rFonts w:ascii="Times New Roman" w:hAnsi="Times New Roman" w:cs="Times New Roman"/>
          <w:sz w:val="24"/>
          <w:szCs w:val="24"/>
        </w:rPr>
        <w:t xml:space="preserve">anche </w:t>
      </w:r>
      <w:r w:rsidRPr="00096909">
        <w:rPr>
          <w:rFonts w:ascii="Times New Roman" w:hAnsi="Times New Roman" w:cs="Times New Roman"/>
          <w:sz w:val="24"/>
          <w:szCs w:val="24"/>
        </w:rPr>
        <w:t xml:space="preserve">i volumi della collezione regia potessero assolvere una potenziale funzione di bene rifugio, mentre la storia della biblioteca rifletteva efficacemente </w:t>
      </w:r>
      <w:r w:rsidR="00341AB5">
        <w:rPr>
          <w:rFonts w:ascii="Times New Roman" w:hAnsi="Times New Roman" w:cs="Times New Roman"/>
          <w:sz w:val="24"/>
          <w:szCs w:val="24"/>
        </w:rPr>
        <w:t xml:space="preserve">le fasi </w:t>
      </w:r>
      <w:r w:rsidRPr="00096909">
        <w:rPr>
          <w:rFonts w:ascii="Times New Roman" w:hAnsi="Times New Roman" w:cs="Times New Roman"/>
          <w:sz w:val="24"/>
          <w:szCs w:val="24"/>
        </w:rPr>
        <w:t>tanto di instabilità quanto di stabilità politica attraversat</w:t>
      </w:r>
      <w:r w:rsidR="00341AB5">
        <w:rPr>
          <w:rFonts w:ascii="Times New Roman" w:hAnsi="Times New Roman" w:cs="Times New Roman"/>
          <w:sz w:val="24"/>
          <w:szCs w:val="24"/>
        </w:rPr>
        <w:t>e</w:t>
      </w:r>
      <w:r w:rsidRPr="00096909">
        <w:rPr>
          <w:rFonts w:ascii="Times New Roman" w:hAnsi="Times New Roman" w:cs="Times New Roman"/>
          <w:sz w:val="24"/>
          <w:szCs w:val="24"/>
        </w:rPr>
        <w:t xml:space="preserve"> dal regno del proprietario. </w:t>
      </w:r>
    </w:p>
    <w:p w14:paraId="205E6F9A"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Più tardi, infatti, sedata la congiura dei baroni napoletani nel 1486, Ferrante requisì i libri dei ribelli</w:t>
      </w:r>
      <w:r>
        <w:rPr>
          <w:rFonts w:ascii="Times New Roman" w:hAnsi="Times New Roman" w:cs="Times New Roman"/>
          <w:sz w:val="24"/>
          <w:szCs w:val="24"/>
        </w:rPr>
        <w:t>:</w:t>
      </w:r>
      <w:r w:rsidRPr="00096909">
        <w:rPr>
          <w:rFonts w:ascii="Times New Roman" w:hAnsi="Times New Roman" w:cs="Times New Roman"/>
          <w:sz w:val="24"/>
          <w:szCs w:val="24"/>
        </w:rPr>
        <w:t xml:space="preserve"> Giovanni II Caracciolo, duca di Melfi; Pietro de Guevara, principe di Sirignano; Angilberto del Balzo, conte di Ugento; Girolamo Sanseverino, principe di Bisignano; e</w:t>
      </w:r>
      <w:r w:rsidR="00185F47">
        <w:rPr>
          <w:rFonts w:ascii="Times New Roman" w:hAnsi="Times New Roman" w:cs="Times New Roman"/>
          <w:sz w:val="24"/>
          <w:szCs w:val="24"/>
        </w:rPr>
        <w:t xml:space="preserve"> </w:t>
      </w:r>
      <w:r w:rsidR="00185F47" w:rsidRPr="00096909">
        <w:rPr>
          <w:rFonts w:ascii="Times New Roman" w:hAnsi="Times New Roman" w:cs="Times New Roman"/>
          <w:sz w:val="24"/>
          <w:szCs w:val="24"/>
        </w:rPr>
        <w:t>Antonello Petrucci</w:t>
      </w:r>
      <w:r w:rsidR="00185F47">
        <w:rPr>
          <w:rFonts w:ascii="Times New Roman" w:hAnsi="Times New Roman" w:cs="Times New Roman"/>
          <w:sz w:val="24"/>
          <w:szCs w:val="24"/>
        </w:rPr>
        <w:t>, suo</w:t>
      </w:r>
      <w:r w:rsidRPr="00096909">
        <w:rPr>
          <w:rFonts w:ascii="Times New Roman" w:hAnsi="Times New Roman" w:cs="Times New Roman"/>
          <w:sz w:val="24"/>
          <w:szCs w:val="24"/>
        </w:rPr>
        <w:t xml:space="preserve"> segretario personale.</w:t>
      </w:r>
      <w:r w:rsidRPr="00096909">
        <w:rPr>
          <w:rStyle w:val="Rimandonotaapidipagina"/>
          <w:rFonts w:ascii="Times New Roman" w:hAnsi="Times New Roman" w:cs="Times New Roman"/>
          <w:sz w:val="24"/>
          <w:szCs w:val="24"/>
        </w:rPr>
        <w:footnoteReference w:id="98"/>
      </w:r>
      <w:r w:rsidRPr="00096909">
        <w:rPr>
          <w:rFonts w:ascii="Times New Roman" w:hAnsi="Times New Roman" w:cs="Times New Roman"/>
          <w:sz w:val="24"/>
          <w:szCs w:val="24"/>
        </w:rPr>
        <w:t xml:space="preserve"> Nello stesso anno, la raccolta si arricchì dei libri di proprietà del figlio di Ferrante, il cardinale Giovanni d’Aragona, morto il 17 ottobre 1485: 65 testi, compresi alcuni incunaboli, di letteratura latina e greca, e delle opere degli umanisti suoi contemporanei. Dalle loro pagine il sovrano fece rimuovere gli stemmi cardinalizi sormontati dal galero per sostituirli con i propri con la corona regia.</w:t>
      </w:r>
      <w:r w:rsidRPr="00096909">
        <w:rPr>
          <w:rStyle w:val="Rimandonotaapidipagina"/>
          <w:rFonts w:ascii="Times New Roman" w:hAnsi="Times New Roman" w:cs="Times New Roman"/>
          <w:sz w:val="24"/>
          <w:szCs w:val="24"/>
        </w:rPr>
        <w:footnoteReference w:id="99"/>
      </w:r>
      <w:r w:rsidRPr="00096909">
        <w:rPr>
          <w:rFonts w:ascii="Times New Roman" w:hAnsi="Times New Roman" w:cs="Times New Roman"/>
          <w:sz w:val="24"/>
          <w:szCs w:val="24"/>
        </w:rPr>
        <w:t xml:space="preserve"> </w:t>
      </w:r>
    </w:p>
    <w:p w14:paraId="61EC30E6"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Anche la moglie di Ferrante, Isabella di Chiaromonte, possedette alcuni libri, probabilmente testi per la devozione privata che alla sua morte passarono alla chiesa domenicana di San Pietro Martire, nella quale la regina trovò sepoltura. Nel 1482 è, infatti, attestato un pagamento, da parte del duca Alfonso di Calabria, al copista Venceslao Crispo per la scrittura di un quinterno mancante a un messale comprato presso il monastero «de sancto Pietro Martire che fo de la serenissima regina soa matre». Mancando un inventario dei beni della pia consorte, non è possibile valutare l’entità di questa collezione, probabilmente giunta in buona parte a corte dopo le nozze con Ferrante celebrate nel maggio 1444. Ciò che ci interessa è tuttavia come Isabella si sentisse libera di gestire la propria raccolta in maniera totalmente autonoma, lasciandola in eredità ai domenicani, ai quali in vita era stata particolarmente legata, senza timore di determinare una dispersione del fondo librario aragonese.</w:t>
      </w:r>
      <w:r w:rsidRPr="00096909">
        <w:rPr>
          <w:rStyle w:val="Rimandonotaapidipagina"/>
          <w:rFonts w:ascii="Times New Roman" w:hAnsi="Times New Roman" w:cs="Times New Roman"/>
          <w:sz w:val="24"/>
          <w:szCs w:val="24"/>
        </w:rPr>
        <w:footnoteReference w:id="100"/>
      </w:r>
      <w:r w:rsidRPr="00096909">
        <w:rPr>
          <w:rFonts w:ascii="Times New Roman" w:hAnsi="Times New Roman" w:cs="Times New Roman"/>
          <w:sz w:val="24"/>
          <w:szCs w:val="24"/>
        </w:rPr>
        <w:t xml:space="preserve"> </w:t>
      </w:r>
    </w:p>
    <w:p w14:paraId="3D1CCC1C"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Alla morte di Ferrante fu incoronato re di Napoli, l’8 maggio 1494, Alfonso, duca di Calabria. Davanti alla minaccia della calata in Italia di Carlo VIII, Alfonso II abdicò però in favore di suo figlio Ferrante II, il 23 gennaio 1495, e decise di lasciare Napoli per rifugiarsi a Ischia, dove recò alcuni dei volumi della biblioteca regia. Come già aveva fatto sua madre Isabella di Chiaromonte, ne donò altri agli ordini religiosi napoletani che più avevano goduto della sua benevolenza: </w:t>
      </w:r>
      <w:r w:rsidRPr="00096909">
        <w:rPr>
          <w:rFonts w:ascii="Times New Roman" w:hAnsi="Times New Roman" w:cs="Times New Roman"/>
          <w:sz w:val="24"/>
          <w:szCs w:val="24"/>
        </w:rPr>
        <w:lastRenderedPageBreak/>
        <w:t>certosini, benedettini e olivetani. Una sezione della collezione fu così messa in salvo dalle truppe del re francese, le quali, dando fede a un documento datato 18 settembre 1498, in seguito della campagna napoletana riportarono ad Amboise 1140 volumi degli Aragona.</w:t>
      </w:r>
      <w:r w:rsidRPr="00096909">
        <w:rPr>
          <w:rStyle w:val="Rimandonotaapidipagina"/>
          <w:rFonts w:ascii="Times New Roman" w:hAnsi="Times New Roman" w:cs="Times New Roman"/>
          <w:sz w:val="24"/>
          <w:szCs w:val="24"/>
        </w:rPr>
        <w:footnoteReference w:id="101"/>
      </w:r>
      <w:r w:rsidRPr="00096909">
        <w:rPr>
          <w:rFonts w:ascii="Times New Roman" w:hAnsi="Times New Roman" w:cs="Times New Roman"/>
          <w:sz w:val="24"/>
          <w:szCs w:val="24"/>
        </w:rPr>
        <w:t xml:space="preserve"> </w:t>
      </w:r>
    </w:p>
    <w:p w14:paraId="14CF1EDF"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Un'altra parte della raccolta libraria aragonese lasciò Napoli quando Federico I, zio di Ferrante II, succeduto al nipote nel 1496, prese la via dell’esilio per la Francia. Di </w:t>
      </w:r>
      <w:r>
        <w:rPr>
          <w:rFonts w:ascii="Times New Roman" w:hAnsi="Times New Roman" w:cs="Times New Roman"/>
          <w:sz w:val="24"/>
          <w:szCs w:val="24"/>
        </w:rPr>
        <w:t xml:space="preserve">questa biblioteca </w:t>
      </w:r>
      <w:r w:rsidRPr="00096909">
        <w:rPr>
          <w:rFonts w:ascii="Times New Roman" w:hAnsi="Times New Roman" w:cs="Times New Roman"/>
          <w:sz w:val="24"/>
          <w:szCs w:val="24"/>
        </w:rPr>
        <w:t>138 libri furono venduti nel 1502 dalla moglie di Federico, Isabella del Balzo, caduta in gravi ristrettezze economiche, al cardinale bibliofilo Georges d’Amboise. Rimasta vedova di Federico il 9 settembre 1504, Isabella fu espulsa dalla Francia e trovò accoglienza presso la corte di Alfonso I d’Este, ove fece recapitare la parte rimanente dei libri ancora in suo possesso, poi venduti all’umanista Celio Calcagnini.</w:t>
      </w:r>
      <w:r w:rsidRPr="00096909">
        <w:rPr>
          <w:rStyle w:val="Rimandonotaapidipagina"/>
          <w:rFonts w:ascii="Times New Roman" w:hAnsi="Times New Roman" w:cs="Times New Roman"/>
          <w:sz w:val="24"/>
          <w:szCs w:val="24"/>
        </w:rPr>
        <w:footnoteReference w:id="102"/>
      </w:r>
      <w:r w:rsidRPr="00096909">
        <w:rPr>
          <w:rFonts w:ascii="Times New Roman" w:hAnsi="Times New Roman" w:cs="Times New Roman"/>
          <w:sz w:val="24"/>
          <w:szCs w:val="24"/>
        </w:rPr>
        <w:t xml:space="preserve"> Ancora una volta i volumi, che avevano rappresentato il potere della corona d’Aragona e il prestigio culturale conseguito dalla casata, avevano seguito i loro proprietari nell’avversa sorte. </w:t>
      </w:r>
    </w:p>
    <w:p w14:paraId="68E01C8A"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Migliore fortuna spettò alla biblioteca di Federico da Montefeltro, che insieme a quella di Malatesta Novello, signore di Cesena, è l’unica del Rinascimento italiano giunta pressoché intatta fino ai giorni nostri.</w:t>
      </w:r>
      <w:r w:rsidRPr="00096909">
        <w:rPr>
          <w:rStyle w:val="Rimandonotaapidipagina"/>
          <w:rFonts w:ascii="Times New Roman" w:hAnsi="Times New Roman" w:cs="Times New Roman"/>
          <w:sz w:val="24"/>
          <w:szCs w:val="24"/>
        </w:rPr>
        <w:footnoteReference w:id="103"/>
      </w:r>
      <w:r w:rsidRPr="00096909">
        <w:rPr>
          <w:rFonts w:ascii="Times New Roman" w:hAnsi="Times New Roman" w:cs="Times New Roman"/>
          <w:sz w:val="24"/>
          <w:szCs w:val="24"/>
        </w:rPr>
        <w:t xml:space="preserve"> Secondo la testimonianza di Vespasiano da Bisticci, il duca ne intraprese l’allestimento a partire dal 1465, anno in cui iniziarono anche le committenze federiciane al libraio.</w:t>
      </w:r>
      <w:r w:rsidRPr="00096909">
        <w:rPr>
          <w:rStyle w:val="Rimandonotaapidipagina"/>
          <w:rFonts w:ascii="Times New Roman" w:hAnsi="Times New Roman" w:cs="Times New Roman"/>
          <w:sz w:val="24"/>
          <w:szCs w:val="24"/>
        </w:rPr>
        <w:footnoteReference w:id="104"/>
      </w:r>
      <w:r w:rsidRPr="00096909">
        <w:rPr>
          <w:rFonts w:ascii="Times New Roman" w:hAnsi="Times New Roman" w:cs="Times New Roman"/>
          <w:sz w:val="24"/>
          <w:szCs w:val="24"/>
        </w:rPr>
        <w:t xml:space="preserve"> Pur valutando cautamente questa notizia, dovuta a un intento celebrativo dell’autore delle </w:t>
      </w:r>
      <w:r w:rsidRPr="00096909">
        <w:rPr>
          <w:rFonts w:ascii="Times New Roman" w:hAnsi="Times New Roman" w:cs="Times New Roman"/>
          <w:i/>
          <w:sz w:val="24"/>
          <w:szCs w:val="24"/>
        </w:rPr>
        <w:t>Vite</w:t>
      </w:r>
      <w:r w:rsidRPr="00096909">
        <w:rPr>
          <w:rFonts w:ascii="Times New Roman" w:hAnsi="Times New Roman" w:cs="Times New Roman"/>
          <w:sz w:val="24"/>
          <w:szCs w:val="24"/>
        </w:rPr>
        <w:t>, e per quanto sia stato rettamente osservato come già i conti Antonio e Guidantonio da Montefeltro avessero posseduto un centinaio di manoscritti,</w:t>
      </w:r>
      <w:r w:rsidRPr="00096909">
        <w:rPr>
          <w:rStyle w:val="Rimandonotaapidipagina"/>
          <w:rFonts w:ascii="Times New Roman" w:hAnsi="Times New Roman" w:cs="Times New Roman"/>
          <w:sz w:val="24"/>
          <w:szCs w:val="24"/>
        </w:rPr>
        <w:footnoteReference w:id="105"/>
      </w:r>
      <w:r w:rsidRPr="00096909">
        <w:rPr>
          <w:rFonts w:ascii="Times New Roman" w:hAnsi="Times New Roman" w:cs="Times New Roman"/>
          <w:sz w:val="24"/>
          <w:szCs w:val="24"/>
        </w:rPr>
        <w:t xml:space="preserve"> fu grazie alle risorse di Federico che Urbino si dotò di una collezione pregevole, composta da 808 volumi latini, greci ed ebraici, in larga parte di provenienza fiorentina. </w:t>
      </w:r>
    </w:p>
    <w:p w14:paraId="78B3B791"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L’“indice vecchio”, compilato dal bibliotecario Agapito da Urbino nel 1487 su istanza di Guidubaldo da Montefeltro, riporta l’esatta disposizione dei testi nelle otto “scanzie” che arredavano i locali della libreria</w:t>
      </w:r>
      <w:r w:rsidR="007E4509">
        <w:rPr>
          <w:rFonts w:ascii="Times New Roman" w:hAnsi="Times New Roman" w:cs="Times New Roman"/>
          <w:sz w:val="24"/>
          <w:szCs w:val="24"/>
        </w:rPr>
        <w:t>,</w:t>
      </w:r>
      <w:r w:rsidRPr="00096909">
        <w:rPr>
          <w:rFonts w:ascii="Times New Roman" w:hAnsi="Times New Roman" w:cs="Times New Roman"/>
          <w:sz w:val="24"/>
          <w:szCs w:val="24"/>
        </w:rPr>
        <w:t xml:space="preserve"> insieme alla descrizione delle preziose legature e all’elenco dei </w:t>
      </w:r>
      <w:r w:rsidRPr="00096909">
        <w:rPr>
          <w:rFonts w:ascii="Times New Roman" w:hAnsi="Times New Roman" w:cs="Times New Roman"/>
          <w:sz w:val="24"/>
          <w:szCs w:val="24"/>
        </w:rPr>
        <w:lastRenderedPageBreak/>
        <w:t>prestiti concessi.</w:t>
      </w:r>
      <w:r w:rsidRPr="00096909">
        <w:rPr>
          <w:rStyle w:val="Rimandonotaapidipagina"/>
          <w:rFonts w:ascii="Times New Roman" w:hAnsi="Times New Roman" w:cs="Times New Roman"/>
          <w:sz w:val="24"/>
          <w:szCs w:val="24"/>
        </w:rPr>
        <w:footnoteReference w:id="106"/>
      </w:r>
      <w:r w:rsidRPr="00096909">
        <w:rPr>
          <w:rFonts w:ascii="Times New Roman" w:hAnsi="Times New Roman" w:cs="Times New Roman"/>
          <w:sz w:val="24"/>
          <w:szCs w:val="24"/>
        </w:rPr>
        <w:t xml:space="preserve"> Tra il 1496 e il 1498 il bibliotecario vi a</w:t>
      </w:r>
      <w:r>
        <w:rPr>
          <w:rFonts w:ascii="Times New Roman" w:hAnsi="Times New Roman" w:cs="Times New Roman"/>
          <w:sz w:val="24"/>
          <w:szCs w:val="24"/>
        </w:rPr>
        <w:t>ggiun</w:t>
      </w:r>
      <w:r w:rsidRPr="00096909">
        <w:rPr>
          <w:rFonts w:ascii="Times New Roman" w:hAnsi="Times New Roman" w:cs="Times New Roman"/>
          <w:sz w:val="24"/>
          <w:szCs w:val="24"/>
        </w:rPr>
        <w:t xml:space="preserve">se una seconda lista di volumi provenienti </w:t>
      </w:r>
      <w:r w:rsidRPr="00096909">
        <w:rPr>
          <w:rFonts w:ascii="Times New Roman" w:hAnsi="Times New Roman" w:cs="Times New Roman"/>
          <w:i/>
          <w:sz w:val="24"/>
          <w:szCs w:val="24"/>
        </w:rPr>
        <w:t>ex alia bibliotheca</w:t>
      </w:r>
      <w:r w:rsidRPr="00096909">
        <w:rPr>
          <w:rFonts w:ascii="Times New Roman" w:hAnsi="Times New Roman" w:cs="Times New Roman"/>
          <w:sz w:val="24"/>
          <w:szCs w:val="24"/>
        </w:rPr>
        <w:t>: una cinquantina di titoli, diversi dei quali a stampa, ma registrati con un numero minore d’informazioni, tanto che è poco agevole comprender</w:t>
      </w:r>
      <w:r>
        <w:rPr>
          <w:rFonts w:ascii="Times New Roman" w:hAnsi="Times New Roman" w:cs="Times New Roman"/>
          <w:sz w:val="24"/>
          <w:szCs w:val="24"/>
        </w:rPr>
        <w:t>n</w:t>
      </w:r>
      <w:r w:rsidRPr="00096909">
        <w:rPr>
          <w:rFonts w:ascii="Times New Roman" w:hAnsi="Times New Roman" w:cs="Times New Roman"/>
          <w:sz w:val="24"/>
          <w:szCs w:val="24"/>
        </w:rPr>
        <w:t>e la natura. Sappiamo però che questa seconda raccolta si trovava in altri locali del palazzo ducale e annoverava i volumi in corso di realizzazione in loco</w:t>
      </w:r>
      <w:r w:rsidR="0027767E">
        <w:rPr>
          <w:rFonts w:ascii="Times New Roman" w:hAnsi="Times New Roman" w:cs="Times New Roman"/>
          <w:sz w:val="24"/>
          <w:szCs w:val="24"/>
        </w:rPr>
        <w:t>,</w:t>
      </w:r>
      <w:r w:rsidRPr="00096909">
        <w:rPr>
          <w:rFonts w:ascii="Times New Roman" w:hAnsi="Times New Roman" w:cs="Times New Roman"/>
          <w:sz w:val="24"/>
          <w:szCs w:val="24"/>
        </w:rPr>
        <w:t xml:space="preserve"> i pezzi meno pregiati delle acquisizioni dei Montefeltro, e</w:t>
      </w:r>
      <w:r w:rsidR="0039201D">
        <w:rPr>
          <w:rFonts w:ascii="Times New Roman" w:hAnsi="Times New Roman" w:cs="Times New Roman"/>
          <w:sz w:val="24"/>
          <w:szCs w:val="24"/>
        </w:rPr>
        <w:t xml:space="preserve"> probabilmente</w:t>
      </w:r>
      <w:r w:rsidRPr="00096909">
        <w:rPr>
          <w:rFonts w:ascii="Times New Roman" w:hAnsi="Times New Roman" w:cs="Times New Roman"/>
          <w:sz w:val="24"/>
          <w:szCs w:val="24"/>
        </w:rPr>
        <w:t xml:space="preserve"> le opere di più frequente consultazione.</w:t>
      </w:r>
      <w:r w:rsidRPr="00096909">
        <w:rPr>
          <w:rStyle w:val="Rimandonotaapidipagina"/>
          <w:rFonts w:ascii="Times New Roman" w:hAnsi="Times New Roman" w:cs="Times New Roman"/>
          <w:sz w:val="24"/>
          <w:szCs w:val="24"/>
        </w:rPr>
        <w:footnoteReference w:id="107"/>
      </w:r>
      <w:r w:rsidRPr="00096909">
        <w:rPr>
          <w:rFonts w:ascii="Times New Roman" w:hAnsi="Times New Roman" w:cs="Times New Roman"/>
          <w:sz w:val="24"/>
          <w:szCs w:val="24"/>
        </w:rPr>
        <w:t xml:space="preserve"> </w:t>
      </w:r>
    </w:p>
    <w:p w14:paraId="219622EC"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Alle committenze </w:t>
      </w:r>
      <w:r>
        <w:rPr>
          <w:rFonts w:ascii="Times New Roman" w:hAnsi="Times New Roman" w:cs="Times New Roman"/>
          <w:sz w:val="24"/>
          <w:szCs w:val="24"/>
        </w:rPr>
        <w:t>per il</w:t>
      </w:r>
      <w:r w:rsidRPr="00096909">
        <w:rPr>
          <w:rFonts w:ascii="Times New Roman" w:hAnsi="Times New Roman" w:cs="Times New Roman"/>
          <w:sz w:val="24"/>
          <w:szCs w:val="24"/>
        </w:rPr>
        <w:t xml:space="preserve"> Bisticci, orientate alla formazione di una raccolta libraria moderna e fortemente influenzata dal modello di quella fiorentina di San Marco, Federico affiancò un’accorta campagna di acquisti di collezioni apprezzate all’epoca, alla stregua degli altri principi contemporanei di cui si è fatta menzione. Comperò, ad esempio, sette libri appartenuti a Poggio Bracciolini, grazie ai contatti con suo figlio Jacopo; i volumi greci della biblioteca di Palla Strozzi; </w:t>
      </w:r>
      <w:r w:rsidR="0039201D">
        <w:rPr>
          <w:rFonts w:ascii="Times New Roman" w:hAnsi="Times New Roman" w:cs="Times New Roman"/>
          <w:sz w:val="24"/>
          <w:szCs w:val="24"/>
        </w:rPr>
        <w:t xml:space="preserve">e </w:t>
      </w:r>
      <w:r w:rsidRPr="00096909">
        <w:rPr>
          <w:rFonts w:ascii="Times New Roman" w:hAnsi="Times New Roman" w:cs="Times New Roman"/>
          <w:sz w:val="24"/>
          <w:szCs w:val="24"/>
        </w:rPr>
        <w:t>due codici, l’Urb. Lat. 78 e 196, confezionati per il cardinale Bessarione.</w:t>
      </w:r>
      <w:r w:rsidRPr="00096909">
        <w:rPr>
          <w:rStyle w:val="Rimandonotaapidipagina"/>
          <w:rFonts w:ascii="Times New Roman" w:hAnsi="Times New Roman" w:cs="Times New Roman"/>
          <w:sz w:val="24"/>
          <w:szCs w:val="24"/>
        </w:rPr>
        <w:footnoteReference w:id="108"/>
      </w:r>
    </w:p>
    <w:p w14:paraId="17C68B48"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Sorprende, nelle vicende di questo signore del Rinascimento, la rapidità con cui egli si dotò di una biblioteca capace di reggere il confronto con quelle dei principi suoi contemporanei. Si trattò presumibilmente di una scelta maturata alla fine degli anni Sessanta del Quattrocento, dopo le vittorie riportate a Fano e a Senigallia su </w:t>
      </w:r>
      <w:bookmarkStart w:id="57" w:name="_Hlk535828222"/>
      <w:r w:rsidRPr="00096909">
        <w:rPr>
          <w:rFonts w:ascii="Times New Roman" w:hAnsi="Times New Roman" w:cs="Times New Roman"/>
          <w:sz w:val="24"/>
          <w:szCs w:val="24"/>
        </w:rPr>
        <w:t xml:space="preserve">Sigismondo Pandolfo Malatesta </w:t>
      </w:r>
      <w:bookmarkEnd w:id="57"/>
      <w:r w:rsidRPr="00096909">
        <w:rPr>
          <w:rFonts w:ascii="Times New Roman" w:hAnsi="Times New Roman" w:cs="Times New Roman"/>
          <w:sz w:val="24"/>
          <w:szCs w:val="24"/>
        </w:rPr>
        <w:t>nel 1463, volta a ingentilire la propria immagine di condottiero eccellente e, al tempo stesso, di conquistatore del feudo per mezzo della violenta uccisione del fratellastro Oddantonio.</w:t>
      </w:r>
      <w:r w:rsidRPr="00096909">
        <w:rPr>
          <w:rStyle w:val="Rimandonotaapidipagina"/>
          <w:rFonts w:ascii="Times New Roman" w:hAnsi="Times New Roman" w:cs="Times New Roman"/>
          <w:sz w:val="24"/>
          <w:szCs w:val="24"/>
        </w:rPr>
        <w:footnoteReference w:id="109"/>
      </w:r>
    </w:p>
    <w:p w14:paraId="36DA10F0"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Un’impennata nelle acquisizioni di libri si ebbe dopo la conquista di Volterra per conto dei fiorentini nel 1472, vittoria che segnò l’apice della fama </w:t>
      </w:r>
      <w:r w:rsidR="000056EC">
        <w:rPr>
          <w:rFonts w:ascii="Times New Roman" w:hAnsi="Times New Roman" w:cs="Times New Roman"/>
          <w:sz w:val="24"/>
          <w:szCs w:val="24"/>
        </w:rPr>
        <w:t>di Federico</w:t>
      </w:r>
      <w:r w:rsidR="000056EC" w:rsidRPr="00096909">
        <w:rPr>
          <w:rFonts w:ascii="Times New Roman" w:hAnsi="Times New Roman" w:cs="Times New Roman"/>
          <w:sz w:val="24"/>
          <w:szCs w:val="24"/>
        </w:rPr>
        <w:t xml:space="preserve"> </w:t>
      </w:r>
      <w:r w:rsidR="000056EC">
        <w:rPr>
          <w:rFonts w:ascii="Times New Roman" w:hAnsi="Times New Roman" w:cs="Times New Roman"/>
          <w:sz w:val="24"/>
          <w:szCs w:val="24"/>
        </w:rPr>
        <w:t>quale</w:t>
      </w:r>
      <w:r w:rsidRPr="00096909">
        <w:rPr>
          <w:rFonts w:ascii="Times New Roman" w:hAnsi="Times New Roman" w:cs="Times New Roman"/>
          <w:sz w:val="24"/>
          <w:szCs w:val="24"/>
        </w:rPr>
        <w:t xml:space="preserve"> capitano di ventura. Parte dei proventi delle campagne militari del Montefeltro furono</w:t>
      </w:r>
      <w:r>
        <w:rPr>
          <w:rFonts w:ascii="Times New Roman" w:hAnsi="Times New Roman" w:cs="Times New Roman"/>
          <w:sz w:val="24"/>
          <w:szCs w:val="24"/>
        </w:rPr>
        <w:t xml:space="preserve"> </w:t>
      </w:r>
      <w:r w:rsidRPr="00096909">
        <w:rPr>
          <w:rFonts w:ascii="Times New Roman" w:hAnsi="Times New Roman" w:cs="Times New Roman"/>
          <w:sz w:val="24"/>
          <w:szCs w:val="24"/>
        </w:rPr>
        <w:t>impiegati</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infatti,</w:t>
      </w:r>
      <w:r w:rsidRPr="00096909">
        <w:rPr>
          <w:rFonts w:ascii="Times New Roman" w:hAnsi="Times New Roman" w:cs="Times New Roman"/>
          <w:sz w:val="24"/>
          <w:szCs w:val="24"/>
        </w:rPr>
        <w:t xml:space="preserve"> per rifornire le sue librerie, che cominciarono ad accogliere negli stessi anni un corposo numero di opere dedica</w:t>
      </w:r>
      <w:r>
        <w:rPr>
          <w:rFonts w:ascii="Times New Roman" w:hAnsi="Times New Roman" w:cs="Times New Roman"/>
          <w:sz w:val="24"/>
          <w:szCs w:val="24"/>
        </w:rPr>
        <w:t>tegli</w:t>
      </w:r>
      <w:r w:rsidRPr="00096909">
        <w:rPr>
          <w:rFonts w:ascii="Times New Roman" w:hAnsi="Times New Roman" w:cs="Times New Roman"/>
          <w:sz w:val="24"/>
          <w:szCs w:val="24"/>
        </w:rPr>
        <w:t xml:space="preserve"> da intellettuali di primissimo ordine, quali </w:t>
      </w:r>
      <w:bookmarkStart w:id="58" w:name="_Hlk535828565"/>
      <w:r w:rsidRPr="00096909">
        <w:rPr>
          <w:rFonts w:ascii="Times New Roman" w:hAnsi="Times New Roman" w:cs="Times New Roman"/>
          <w:sz w:val="24"/>
          <w:szCs w:val="24"/>
        </w:rPr>
        <w:t>Cristoforo Landino</w:t>
      </w:r>
      <w:bookmarkEnd w:id="58"/>
      <w:r w:rsidRPr="00096909">
        <w:rPr>
          <w:rFonts w:ascii="Times New Roman" w:hAnsi="Times New Roman" w:cs="Times New Roman"/>
          <w:sz w:val="24"/>
          <w:szCs w:val="24"/>
        </w:rPr>
        <w:t xml:space="preserve">, </w:t>
      </w:r>
      <w:bookmarkStart w:id="59" w:name="_Hlk535828599"/>
      <w:r w:rsidRPr="00096909">
        <w:rPr>
          <w:rFonts w:ascii="Times New Roman" w:hAnsi="Times New Roman" w:cs="Times New Roman"/>
          <w:sz w:val="24"/>
          <w:szCs w:val="24"/>
        </w:rPr>
        <w:t>Alamanno Rinuccini</w:t>
      </w:r>
      <w:bookmarkEnd w:id="59"/>
      <w:r w:rsidRPr="00096909">
        <w:rPr>
          <w:rFonts w:ascii="Times New Roman" w:hAnsi="Times New Roman" w:cs="Times New Roman"/>
          <w:sz w:val="24"/>
          <w:szCs w:val="24"/>
        </w:rPr>
        <w:t xml:space="preserve">, </w:t>
      </w:r>
      <w:bookmarkStart w:id="60" w:name="_Hlk535828631"/>
      <w:r w:rsidRPr="00096909">
        <w:rPr>
          <w:rFonts w:ascii="Times New Roman" w:hAnsi="Times New Roman" w:cs="Times New Roman"/>
          <w:sz w:val="24"/>
          <w:szCs w:val="24"/>
        </w:rPr>
        <w:lastRenderedPageBreak/>
        <w:t>Donato Acciaiuoli</w:t>
      </w:r>
      <w:bookmarkEnd w:id="60"/>
      <w:r w:rsidRPr="00096909">
        <w:rPr>
          <w:rFonts w:ascii="Times New Roman" w:hAnsi="Times New Roman" w:cs="Times New Roman"/>
          <w:sz w:val="24"/>
          <w:szCs w:val="24"/>
        </w:rPr>
        <w:t xml:space="preserve">, Giovanni Pontano, Giorgio Merula, forse incoraggiati a intrattenere rapporti con Federico dalla definitiva concessione del titolo ducale, giunta da Sisto IV nel 1474. </w:t>
      </w:r>
    </w:p>
    <w:p w14:paraId="66C8A179"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Pr>
          <w:rFonts w:ascii="Times New Roman" w:hAnsi="Times New Roman" w:cs="Times New Roman"/>
          <w:sz w:val="24"/>
          <w:szCs w:val="24"/>
        </w:rPr>
        <w:t>Sempre in</w:t>
      </w:r>
      <w:r w:rsidRPr="00096909">
        <w:rPr>
          <w:rFonts w:ascii="Times New Roman" w:hAnsi="Times New Roman" w:cs="Times New Roman"/>
          <w:sz w:val="24"/>
          <w:szCs w:val="24"/>
        </w:rPr>
        <w:t xml:space="preserve"> seguito </w:t>
      </w:r>
      <w:r>
        <w:rPr>
          <w:rFonts w:ascii="Times New Roman" w:hAnsi="Times New Roman" w:cs="Times New Roman"/>
          <w:sz w:val="24"/>
          <w:szCs w:val="24"/>
        </w:rPr>
        <w:t>a</w:t>
      </w:r>
      <w:r w:rsidRPr="00096909">
        <w:rPr>
          <w:rFonts w:ascii="Times New Roman" w:hAnsi="Times New Roman" w:cs="Times New Roman"/>
          <w:sz w:val="24"/>
          <w:szCs w:val="24"/>
        </w:rPr>
        <w:t>lla presa d</w:t>
      </w:r>
      <w:r>
        <w:rPr>
          <w:rFonts w:ascii="Times New Roman" w:hAnsi="Times New Roman" w:cs="Times New Roman"/>
          <w:sz w:val="24"/>
          <w:szCs w:val="24"/>
        </w:rPr>
        <w:t xml:space="preserve">ella cittadina toscana </w:t>
      </w:r>
      <w:r w:rsidRPr="00096909">
        <w:rPr>
          <w:rFonts w:ascii="Times New Roman" w:hAnsi="Times New Roman" w:cs="Times New Roman"/>
          <w:sz w:val="24"/>
          <w:szCs w:val="24"/>
        </w:rPr>
        <w:t>pervennero al palazzo di Urbino</w:t>
      </w:r>
      <w:r>
        <w:rPr>
          <w:rFonts w:ascii="Times New Roman" w:hAnsi="Times New Roman" w:cs="Times New Roman"/>
          <w:sz w:val="24"/>
          <w:szCs w:val="24"/>
        </w:rPr>
        <w:t xml:space="preserve"> anche</w:t>
      </w:r>
      <w:r w:rsidRPr="00096909">
        <w:rPr>
          <w:rFonts w:ascii="Times New Roman" w:hAnsi="Times New Roman" w:cs="Times New Roman"/>
          <w:sz w:val="24"/>
          <w:szCs w:val="24"/>
        </w:rPr>
        <w:t xml:space="preserve"> 83 manoscritti selezionati dalla ricca </w:t>
      </w:r>
      <w:r w:rsidR="00DB1A11">
        <w:rPr>
          <w:rFonts w:ascii="Times New Roman" w:hAnsi="Times New Roman" w:cs="Times New Roman"/>
          <w:sz w:val="24"/>
          <w:szCs w:val="24"/>
        </w:rPr>
        <w:t xml:space="preserve">raccolta </w:t>
      </w:r>
      <w:r w:rsidRPr="00096909">
        <w:rPr>
          <w:rFonts w:ascii="Times New Roman" w:hAnsi="Times New Roman" w:cs="Times New Roman"/>
          <w:sz w:val="24"/>
          <w:szCs w:val="24"/>
        </w:rPr>
        <w:t xml:space="preserve">di testi ebraici del mercante </w:t>
      </w:r>
      <w:bookmarkStart w:id="61" w:name="_Hlk535828722"/>
      <w:r w:rsidRPr="00096909">
        <w:rPr>
          <w:rFonts w:ascii="Times New Roman" w:hAnsi="Times New Roman" w:cs="Times New Roman"/>
          <w:sz w:val="24"/>
          <w:szCs w:val="24"/>
        </w:rPr>
        <w:t xml:space="preserve">Mesullam ben Menahem </w:t>
      </w:r>
      <w:bookmarkEnd w:id="61"/>
      <w:r w:rsidRPr="00096909">
        <w:rPr>
          <w:rFonts w:ascii="Times New Roman" w:hAnsi="Times New Roman" w:cs="Times New Roman"/>
          <w:sz w:val="24"/>
          <w:szCs w:val="24"/>
        </w:rPr>
        <w:t>da Volterra.</w:t>
      </w:r>
      <w:r w:rsidRPr="00096909">
        <w:rPr>
          <w:rStyle w:val="Rimandonotaapidipagina"/>
          <w:rFonts w:ascii="Times New Roman" w:hAnsi="Times New Roman" w:cs="Times New Roman"/>
          <w:sz w:val="24"/>
          <w:szCs w:val="24"/>
        </w:rPr>
        <w:footnoteReference w:id="110"/>
      </w:r>
      <w:r w:rsidRPr="00096909">
        <w:rPr>
          <w:rFonts w:ascii="Times New Roman" w:hAnsi="Times New Roman" w:cs="Times New Roman"/>
          <w:sz w:val="24"/>
          <w:szCs w:val="24"/>
        </w:rPr>
        <w:t xml:space="preserve"> </w:t>
      </w:r>
    </w:p>
    <w:p w14:paraId="39E79A71"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collezione libraria urbinate, rappresentazione delle ambizioni culturali del suo proprietario, fu in tutto una biblioteca per il principe, selezionata </w:t>
      </w:r>
      <w:r>
        <w:rPr>
          <w:rFonts w:ascii="Times New Roman" w:hAnsi="Times New Roman" w:cs="Times New Roman"/>
          <w:sz w:val="24"/>
          <w:szCs w:val="24"/>
        </w:rPr>
        <w:t xml:space="preserve">per rispondere al </w:t>
      </w:r>
      <w:r w:rsidRPr="00096909">
        <w:rPr>
          <w:rFonts w:ascii="Times New Roman" w:hAnsi="Times New Roman" w:cs="Times New Roman"/>
          <w:sz w:val="24"/>
          <w:szCs w:val="24"/>
        </w:rPr>
        <w:t>desiderio di consolidamento e rappresentazione della propria immagine di Signore, manifestazione diretta della carriera tutta in crescendo di Federico da Montefeltro e dei suoi interessi di bibliofilo.</w:t>
      </w:r>
      <w:r w:rsidRPr="00096909">
        <w:rPr>
          <w:rStyle w:val="Rimandonotaapidipagina"/>
          <w:rFonts w:ascii="Times New Roman" w:hAnsi="Times New Roman" w:cs="Times New Roman"/>
          <w:sz w:val="24"/>
          <w:szCs w:val="24"/>
        </w:rPr>
        <w:footnoteReference w:id="111"/>
      </w:r>
      <w:r w:rsidRPr="00096909">
        <w:rPr>
          <w:rFonts w:ascii="Times New Roman" w:hAnsi="Times New Roman" w:cs="Times New Roman"/>
          <w:sz w:val="24"/>
          <w:szCs w:val="24"/>
        </w:rPr>
        <w:t xml:space="preserve"> Alla scelta dei titoli pare, infatti, soprintendesse lui personalmente, coadiuvato dal fratello e fidatissimo collaboratore </w:t>
      </w:r>
      <w:bookmarkStart w:id="63" w:name="_Hlk535828784"/>
      <w:r w:rsidRPr="00096909">
        <w:rPr>
          <w:rFonts w:ascii="Times New Roman" w:hAnsi="Times New Roman" w:cs="Times New Roman"/>
          <w:sz w:val="24"/>
          <w:szCs w:val="24"/>
        </w:rPr>
        <w:t xml:space="preserve">Ottaviano Ubaldini </w:t>
      </w:r>
      <w:bookmarkEnd w:id="63"/>
      <w:r w:rsidRPr="00096909">
        <w:rPr>
          <w:rFonts w:ascii="Times New Roman" w:hAnsi="Times New Roman" w:cs="Times New Roman"/>
          <w:sz w:val="24"/>
          <w:szCs w:val="24"/>
        </w:rPr>
        <w:t>della Carda.</w:t>
      </w:r>
      <w:r w:rsidRPr="00096909">
        <w:rPr>
          <w:rStyle w:val="Rimandonotaapidipagina"/>
          <w:rFonts w:ascii="Times New Roman" w:hAnsi="Times New Roman" w:cs="Times New Roman"/>
          <w:sz w:val="24"/>
          <w:szCs w:val="24"/>
        </w:rPr>
        <w:footnoteReference w:id="112"/>
      </w:r>
      <w:r w:rsidRPr="00096909">
        <w:rPr>
          <w:rFonts w:ascii="Times New Roman" w:hAnsi="Times New Roman" w:cs="Times New Roman"/>
          <w:sz w:val="24"/>
          <w:szCs w:val="24"/>
        </w:rPr>
        <w:t xml:space="preserve"> Fu forse </w:t>
      </w:r>
      <w:r>
        <w:rPr>
          <w:rFonts w:ascii="Times New Roman" w:hAnsi="Times New Roman" w:cs="Times New Roman"/>
          <w:sz w:val="24"/>
          <w:szCs w:val="24"/>
        </w:rPr>
        <w:t>in ragione dell</w:t>
      </w:r>
      <w:r w:rsidRPr="00096909">
        <w:rPr>
          <w:rFonts w:ascii="Times New Roman" w:hAnsi="Times New Roman" w:cs="Times New Roman"/>
          <w:sz w:val="24"/>
          <w:szCs w:val="24"/>
        </w:rPr>
        <w:t>o</w:t>
      </w:r>
      <w:r>
        <w:rPr>
          <w:rFonts w:ascii="Times New Roman" w:hAnsi="Times New Roman" w:cs="Times New Roman"/>
          <w:sz w:val="24"/>
          <w:szCs w:val="24"/>
        </w:rPr>
        <w:t xml:space="preserve"> stretto</w:t>
      </w:r>
      <w:r w:rsidRPr="00096909">
        <w:rPr>
          <w:rFonts w:ascii="Times New Roman" w:hAnsi="Times New Roman" w:cs="Times New Roman"/>
          <w:sz w:val="24"/>
          <w:szCs w:val="24"/>
        </w:rPr>
        <w:t xml:space="preserve"> rapport</w:t>
      </w:r>
      <w:r>
        <w:rPr>
          <w:rFonts w:ascii="Times New Roman" w:hAnsi="Times New Roman" w:cs="Times New Roman"/>
          <w:sz w:val="24"/>
          <w:szCs w:val="24"/>
        </w:rPr>
        <w:t>o</w:t>
      </w:r>
      <w:r w:rsidRPr="00096909">
        <w:rPr>
          <w:rFonts w:ascii="Times New Roman" w:hAnsi="Times New Roman" w:cs="Times New Roman"/>
          <w:sz w:val="24"/>
          <w:szCs w:val="24"/>
        </w:rPr>
        <w:t xml:space="preserve"> tra il duca e la sua libreria che il suo successore, Guidubaldo, personalità certo di non minore levatura culturale rispetto al padre, decise di annettere alla raccolta soltanto pochi altri esemplari; quasi per preservarne intatto l’aspetto. </w:t>
      </w:r>
    </w:p>
    <w:p w14:paraId="051CA1B8"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 tale proposito va segnalata la ricercatezza estetica dei volumi di Federico, il quale fece realizzare legature in materiali preziosi per incrementare lo splendore della libreria. Sebbene molte di </w:t>
      </w:r>
      <w:r>
        <w:rPr>
          <w:rFonts w:ascii="Times New Roman" w:hAnsi="Times New Roman" w:cs="Times New Roman"/>
          <w:sz w:val="24"/>
          <w:szCs w:val="24"/>
        </w:rPr>
        <w:t xml:space="preserve">queste </w:t>
      </w:r>
      <w:r w:rsidRPr="00096909">
        <w:rPr>
          <w:rFonts w:ascii="Times New Roman" w:hAnsi="Times New Roman" w:cs="Times New Roman"/>
          <w:sz w:val="24"/>
          <w:szCs w:val="24"/>
        </w:rPr>
        <w:t xml:space="preserve">siano state asportate </w:t>
      </w:r>
      <w:r>
        <w:rPr>
          <w:rFonts w:ascii="Times New Roman" w:hAnsi="Times New Roman" w:cs="Times New Roman"/>
          <w:sz w:val="24"/>
          <w:szCs w:val="24"/>
        </w:rPr>
        <w:t>in</w:t>
      </w:r>
      <w:r w:rsidRPr="00096909">
        <w:rPr>
          <w:rFonts w:ascii="Times New Roman" w:hAnsi="Times New Roman" w:cs="Times New Roman"/>
          <w:sz w:val="24"/>
          <w:szCs w:val="24"/>
        </w:rPr>
        <w:t xml:space="preserve"> seguito </w:t>
      </w:r>
      <w:r>
        <w:rPr>
          <w:rFonts w:ascii="Times New Roman" w:hAnsi="Times New Roman" w:cs="Times New Roman"/>
          <w:sz w:val="24"/>
          <w:szCs w:val="24"/>
        </w:rPr>
        <w:t>a</w:t>
      </w:r>
      <w:r w:rsidRPr="00096909">
        <w:rPr>
          <w:rFonts w:ascii="Times New Roman" w:hAnsi="Times New Roman" w:cs="Times New Roman"/>
          <w:sz w:val="24"/>
          <w:szCs w:val="24"/>
        </w:rPr>
        <w:t xml:space="preserve">lla presa di Urbino da parte del Valentino, le indicazioni registrate nell’Indice vecchio permettono di farsi un’idea di come la scelta dei colori delle coperte in cuoio rosso o verde, oppure più raramente in seta azzurra, gialla, dorata, facilitasse l’identificazione dei volumi, sprovvisti di segnatura. La selezione dei colori non fu vincolata alla materia trattata nei testi </w:t>
      </w:r>
      <w:r w:rsidR="00FF3570">
        <w:rPr>
          <w:rFonts w:ascii="Times New Roman" w:hAnsi="Times New Roman" w:cs="Times New Roman"/>
          <w:sz w:val="24"/>
          <w:szCs w:val="24"/>
        </w:rPr>
        <w:t>(</w:t>
      </w:r>
      <w:r w:rsidRPr="00096909">
        <w:rPr>
          <w:rFonts w:ascii="Times New Roman" w:hAnsi="Times New Roman" w:cs="Times New Roman"/>
          <w:sz w:val="24"/>
          <w:szCs w:val="24"/>
        </w:rPr>
        <w:t>come nello studiolo di Piero de’ Medici</w:t>
      </w:r>
      <w:r w:rsidR="00FF3570">
        <w:rPr>
          <w:rFonts w:ascii="Times New Roman" w:hAnsi="Times New Roman" w:cs="Times New Roman"/>
          <w:sz w:val="24"/>
          <w:szCs w:val="24"/>
        </w:rPr>
        <w:t>),</w:t>
      </w:r>
      <w:r w:rsidRPr="00096909">
        <w:rPr>
          <w:rFonts w:ascii="Times New Roman" w:hAnsi="Times New Roman" w:cs="Times New Roman"/>
          <w:sz w:val="24"/>
          <w:szCs w:val="24"/>
        </w:rPr>
        <w:t xml:space="preserve"> bensì alla predilezione accordata dal proprietario ad alcune letture. </w:t>
      </w:r>
      <w:r w:rsidR="009A294B">
        <w:rPr>
          <w:rFonts w:ascii="Times New Roman" w:hAnsi="Times New Roman" w:cs="Times New Roman"/>
          <w:sz w:val="24"/>
          <w:szCs w:val="24"/>
        </w:rPr>
        <w:t>A</w:t>
      </w:r>
      <w:r w:rsidR="009A294B" w:rsidRPr="00096909">
        <w:rPr>
          <w:rFonts w:ascii="Times New Roman" w:hAnsi="Times New Roman" w:cs="Times New Roman"/>
          <w:sz w:val="24"/>
          <w:szCs w:val="24"/>
        </w:rPr>
        <w:t>d esempio</w:t>
      </w:r>
      <w:r w:rsidR="009A294B">
        <w:rPr>
          <w:rFonts w:ascii="Times New Roman" w:hAnsi="Times New Roman" w:cs="Times New Roman"/>
          <w:sz w:val="24"/>
          <w:szCs w:val="24"/>
        </w:rPr>
        <w:t>,</w:t>
      </w:r>
      <w:r w:rsidR="009A294B" w:rsidRPr="00096909">
        <w:rPr>
          <w:rFonts w:ascii="Times New Roman" w:hAnsi="Times New Roman" w:cs="Times New Roman"/>
          <w:sz w:val="24"/>
          <w:szCs w:val="24"/>
        </w:rPr>
        <w:t xml:space="preserve"> </w:t>
      </w:r>
      <w:r w:rsidR="009A294B">
        <w:rPr>
          <w:rFonts w:ascii="Times New Roman" w:hAnsi="Times New Roman" w:cs="Times New Roman"/>
          <w:sz w:val="24"/>
          <w:szCs w:val="24"/>
        </w:rPr>
        <w:t>i</w:t>
      </w:r>
      <w:r w:rsidRPr="00096909">
        <w:rPr>
          <w:rFonts w:ascii="Times New Roman" w:hAnsi="Times New Roman" w:cs="Times New Roman"/>
          <w:sz w:val="24"/>
          <w:szCs w:val="24"/>
        </w:rPr>
        <w:t xml:space="preserve">l duca fece rivestire elegantemente in pelle rossa 25 codici di soggetto vario, dalla traduzione dei </w:t>
      </w:r>
      <w:r w:rsidRPr="00096909">
        <w:rPr>
          <w:rFonts w:ascii="Times New Roman" w:hAnsi="Times New Roman" w:cs="Times New Roman"/>
          <w:i/>
          <w:sz w:val="24"/>
          <w:szCs w:val="24"/>
        </w:rPr>
        <w:t>Vangeli</w:t>
      </w:r>
      <w:r w:rsidRPr="00096909">
        <w:rPr>
          <w:rFonts w:ascii="Times New Roman" w:hAnsi="Times New Roman" w:cs="Times New Roman"/>
          <w:sz w:val="24"/>
          <w:szCs w:val="24"/>
        </w:rPr>
        <w:t xml:space="preserve"> di Gianozzo Manetti, ad alcune opere dei Padri Chiesa, al </w:t>
      </w:r>
      <w:r w:rsidRPr="00096909">
        <w:rPr>
          <w:rFonts w:ascii="Times New Roman" w:hAnsi="Times New Roman" w:cs="Times New Roman"/>
          <w:i/>
          <w:sz w:val="24"/>
          <w:szCs w:val="24"/>
        </w:rPr>
        <w:t>Canzoniere</w:t>
      </w:r>
      <w:r w:rsidRPr="00096909">
        <w:rPr>
          <w:rFonts w:ascii="Times New Roman" w:hAnsi="Times New Roman" w:cs="Times New Roman"/>
          <w:sz w:val="24"/>
          <w:szCs w:val="24"/>
        </w:rPr>
        <w:t xml:space="preserve"> di Petrarca.</w:t>
      </w:r>
      <w:r w:rsidRPr="00096909">
        <w:rPr>
          <w:rStyle w:val="Rimandonotaapidipagina"/>
          <w:rFonts w:ascii="Times New Roman" w:hAnsi="Times New Roman" w:cs="Times New Roman"/>
          <w:sz w:val="24"/>
          <w:szCs w:val="24"/>
        </w:rPr>
        <w:footnoteReference w:id="113"/>
      </w:r>
      <w:r w:rsidRPr="00096909">
        <w:rPr>
          <w:rFonts w:ascii="Times New Roman" w:hAnsi="Times New Roman" w:cs="Times New Roman"/>
          <w:sz w:val="24"/>
          <w:szCs w:val="24"/>
        </w:rPr>
        <w:t xml:space="preserve"> </w:t>
      </w:r>
    </w:p>
    <w:p w14:paraId="3674B9F4" w14:textId="77777777" w:rsidR="00426D6A" w:rsidRPr="00096909" w:rsidRDefault="00426D6A" w:rsidP="00426D6A">
      <w:pPr>
        <w:pStyle w:val="Nessunaspaziatura"/>
        <w:spacing w:line="360" w:lineRule="auto"/>
        <w:ind w:firstLine="454"/>
        <w:jc w:val="both"/>
        <w:rPr>
          <w:rFonts w:ascii="Times New Roman" w:hAnsi="Times New Roman" w:cs="Times New Roman"/>
          <w:sz w:val="24"/>
          <w:szCs w:val="24"/>
        </w:rPr>
      </w:pPr>
      <w:r>
        <w:rPr>
          <w:rFonts w:ascii="Times New Roman" w:hAnsi="Times New Roman" w:cs="Times New Roman"/>
          <w:sz w:val="24"/>
          <w:szCs w:val="24"/>
        </w:rPr>
        <w:t>A</w:t>
      </w:r>
      <w:r w:rsidRPr="00096909">
        <w:rPr>
          <w:rFonts w:ascii="Times New Roman" w:hAnsi="Times New Roman" w:cs="Times New Roman"/>
          <w:sz w:val="24"/>
          <w:szCs w:val="24"/>
        </w:rPr>
        <w:t xml:space="preserve">nche se influenzato nella scelta dei titoli dal confronto con gli inventari delle maggiori biblioteche dell’epoca che il Bisticci ebbe modo di mostrargli – tra cui quelle di Pavia, di San </w:t>
      </w:r>
      <w:r w:rsidRPr="00096909">
        <w:rPr>
          <w:rFonts w:ascii="Times New Roman" w:hAnsi="Times New Roman" w:cs="Times New Roman"/>
          <w:sz w:val="24"/>
          <w:szCs w:val="24"/>
        </w:rPr>
        <w:lastRenderedPageBreak/>
        <w:t xml:space="preserve">Marco a Firenze e del Vaticano –, </w:t>
      </w:r>
      <w:r w:rsidR="009A294B">
        <w:rPr>
          <w:rFonts w:ascii="Times New Roman" w:hAnsi="Times New Roman" w:cs="Times New Roman"/>
          <w:sz w:val="24"/>
          <w:szCs w:val="24"/>
        </w:rPr>
        <w:t xml:space="preserve">fu dunque </w:t>
      </w:r>
      <w:r w:rsidRPr="00096909">
        <w:rPr>
          <w:rFonts w:ascii="Times New Roman" w:hAnsi="Times New Roman" w:cs="Times New Roman"/>
          <w:sz w:val="24"/>
          <w:szCs w:val="24"/>
        </w:rPr>
        <w:t xml:space="preserve">Federico </w:t>
      </w:r>
      <w:r w:rsidR="009A294B">
        <w:rPr>
          <w:rFonts w:ascii="Times New Roman" w:hAnsi="Times New Roman" w:cs="Times New Roman"/>
          <w:sz w:val="24"/>
          <w:szCs w:val="24"/>
        </w:rPr>
        <w:t xml:space="preserve">a </w:t>
      </w:r>
      <w:r w:rsidRPr="00096909">
        <w:rPr>
          <w:rFonts w:ascii="Times New Roman" w:hAnsi="Times New Roman" w:cs="Times New Roman"/>
          <w:sz w:val="24"/>
          <w:szCs w:val="24"/>
        </w:rPr>
        <w:t>deci</w:t>
      </w:r>
      <w:r w:rsidR="009A294B">
        <w:rPr>
          <w:rFonts w:ascii="Times New Roman" w:hAnsi="Times New Roman" w:cs="Times New Roman"/>
          <w:sz w:val="24"/>
          <w:szCs w:val="24"/>
        </w:rPr>
        <w:t>d</w:t>
      </w:r>
      <w:r w:rsidRPr="00096909">
        <w:rPr>
          <w:rFonts w:ascii="Times New Roman" w:hAnsi="Times New Roman" w:cs="Times New Roman"/>
          <w:sz w:val="24"/>
          <w:szCs w:val="24"/>
        </w:rPr>
        <w:t>e</w:t>
      </w:r>
      <w:r w:rsidR="009A294B">
        <w:rPr>
          <w:rFonts w:ascii="Times New Roman" w:hAnsi="Times New Roman" w:cs="Times New Roman"/>
          <w:sz w:val="24"/>
          <w:szCs w:val="24"/>
        </w:rPr>
        <w:t>re</w:t>
      </w:r>
      <w:r w:rsidRPr="00096909">
        <w:rPr>
          <w:rFonts w:ascii="Times New Roman" w:hAnsi="Times New Roman" w:cs="Times New Roman"/>
          <w:sz w:val="24"/>
          <w:szCs w:val="24"/>
        </w:rPr>
        <w:t xml:space="preserve"> quali opere letterarie includere nella collezione, rendendola uno strumento comunicativo efficace del </w:t>
      </w:r>
      <w:r>
        <w:rPr>
          <w:rFonts w:ascii="Times New Roman" w:hAnsi="Times New Roman" w:cs="Times New Roman"/>
          <w:sz w:val="24"/>
          <w:szCs w:val="24"/>
        </w:rPr>
        <w:t>proprio</w:t>
      </w:r>
      <w:r w:rsidRPr="00096909">
        <w:rPr>
          <w:rFonts w:ascii="Times New Roman" w:hAnsi="Times New Roman" w:cs="Times New Roman"/>
          <w:sz w:val="24"/>
          <w:szCs w:val="24"/>
        </w:rPr>
        <w:t xml:space="preserve"> carisma e del </w:t>
      </w:r>
      <w:r>
        <w:rPr>
          <w:rFonts w:ascii="Times New Roman" w:hAnsi="Times New Roman" w:cs="Times New Roman"/>
          <w:sz w:val="24"/>
          <w:szCs w:val="24"/>
        </w:rPr>
        <w:t>proprio</w:t>
      </w:r>
      <w:r w:rsidRPr="00096909">
        <w:rPr>
          <w:rFonts w:ascii="Times New Roman" w:hAnsi="Times New Roman" w:cs="Times New Roman"/>
          <w:sz w:val="24"/>
          <w:szCs w:val="24"/>
        </w:rPr>
        <w:t xml:space="preserve"> potere.</w:t>
      </w:r>
      <w:r w:rsidRPr="00096909">
        <w:rPr>
          <w:rStyle w:val="Rimandonotaapidipagina"/>
          <w:rFonts w:ascii="Times New Roman" w:hAnsi="Times New Roman" w:cs="Times New Roman"/>
          <w:sz w:val="24"/>
          <w:szCs w:val="24"/>
        </w:rPr>
        <w:footnoteReference w:id="114"/>
      </w:r>
      <w:r w:rsidRPr="00096909">
        <w:rPr>
          <w:rFonts w:ascii="Times New Roman" w:hAnsi="Times New Roman" w:cs="Times New Roman"/>
          <w:sz w:val="24"/>
          <w:szCs w:val="24"/>
        </w:rPr>
        <w:t xml:space="preserve"> Le vicende della sua biblioteca </w:t>
      </w:r>
      <w:r>
        <w:rPr>
          <w:rFonts w:ascii="Times New Roman" w:hAnsi="Times New Roman" w:cs="Times New Roman"/>
          <w:sz w:val="24"/>
          <w:szCs w:val="24"/>
        </w:rPr>
        <w:t xml:space="preserve">furono il </w:t>
      </w:r>
      <w:r w:rsidRPr="00096909">
        <w:rPr>
          <w:rFonts w:ascii="Times New Roman" w:hAnsi="Times New Roman" w:cs="Times New Roman"/>
          <w:sz w:val="24"/>
          <w:szCs w:val="24"/>
        </w:rPr>
        <w:t xml:space="preserve">suggello di </w:t>
      </w:r>
      <w:r>
        <w:rPr>
          <w:rFonts w:ascii="Times New Roman" w:hAnsi="Times New Roman" w:cs="Times New Roman"/>
          <w:sz w:val="24"/>
          <w:szCs w:val="24"/>
        </w:rPr>
        <w:t>una progressiva</w:t>
      </w:r>
      <w:r w:rsidRPr="00096909">
        <w:rPr>
          <w:rFonts w:ascii="Times New Roman" w:hAnsi="Times New Roman" w:cs="Times New Roman"/>
          <w:sz w:val="24"/>
          <w:szCs w:val="24"/>
        </w:rPr>
        <w:t xml:space="preserve"> presa di coscienza</w:t>
      </w:r>
      <w:r>
        <w:rPr>
          <w:rFonts w:ascii="Times New Roman" w:hAnsi="Times New Roman" w:cs="Times New Roman"/>
          <w:sz w:val="24"/>
          <w:szCs w:val="24"/>
        </w:rPr>
        <w:t>,</w:t>
      </w:r>
      <w:r w:rsidRPr="00096909">
        <w:rPr>
          <w:rFonts w:ascii="Times New Roman" w:hAnsi="Times New Roman" w:cs="Times New Roman"/>
          <w:sz w:val="24"/>
          <w:szCs w:val="24"/>
        </w:rPr>
        <w:t xml:space="preserve"> durat</w:t>
      </w:r>
      <w:r>
        <w:rPr>
          <w:rFonts w:ascii="Times New Roman" w:hAnsi="Times New Roman" w:cs="Times New Roman"/>
          <w:sz w:val="24"/>
          <w:szCs w:val="24"/>
        </w:rPr>
        <w:t>a</w:t>
      </w:r>
      <w:r w:rsidRPr="00096909">
        <w:rPr>
          <w:rFonts w:ascii="Times New Roman" w:hAnsi="Times New Roman" w:cs="Times New Roman"/>
          <w:sz w:val="24"/>
          <w:szCs w:val="24"/>
        </w:rPr>
        <w:t xml:space="preserve"> per tutto il Quattrocento</w:t>
      </w:r>
      <w:r>
        <w:rPr>
          <w:rFonts w:ascii="Times New Roman" w:hAnsi="Times New Roman" w:cs="Times New Roman"/>
          <w:sz w:val="24"/>
          <w:szCs w:val="24"/>
        </w:rPr>
        <w:t>,</w:t>
      </w:r>
      <w:r w:rsidRPr="00096909">
        <w:rPr>
          <w:rFonts w:ascii="Times New Roman" w:hAnsi="Times New Roman" w:cs="Times New Roman"/>
          <w:sz w:val="24"/>
          <w:szCs w:val="24"/>
        </w:rPr>
        <w:t xml:space="preserve"> della capacità dei libri di esprimere il prestigio di un principato.    </w:t>
      </w:r>
    </w:p>
    <w:p w14:paraId="370EA2A1"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Nel secolo successivo il sogno di una libreria magnifica, scrigno di codici miniati e di testi rari, fu sommerso dal diluvio di edizioni permesso dall’avanzamento tecnologico della stampa a caratteri mobili, che rese disponibile un vasto numero di titoli a un costo decisamente inferiore rispetto a quello dei manoscritti. Il fascino del codice miniato non perse certo la sua attrattiva, ma nei cinquant’anni successivi all’invenzione dell’arte tipografica il mondo si riempì di stampati: nel solo ambito degli stati italiani, nell’età degli incunaboli apparvero ben 10.013 edizioni; e tra il 1501 e il 1600 furono 62.262 i titoli impressi in Italia.</w:t>
      </w:r>
      <w:r w:rsidRPr="00096909">
        <w:rPr>
          <w:rStyle w:val="Rimandonotaapidipagina"/>
          <w:rFonts w:ascii="Times New Roman" w:hAnsi="Times New Roman" w:cs="Times New Roman"/>
          <w:sz w:val="24"/>
          <w:szCs w:val="24"/>
        </w:rPr>
        <w:footnoteReference w:id="115"/>
      </w:r>
      <w:r w:rsidRPr="00096909">
        <w:rPr>
          <w:rFonts w:ascii="Times New Roman" w:hAnsi="Times New Roman" w:cs="Times New Roman"/>
          <w:sz w:val="24"/>
          <w:szCs w:val="24"/>
        </w:rPr>
        <w:t xml:space="preserve"> </w:t>
      </w:r>
    </w:p>
    <w:p w14:paraId="4781BDEC" w14:textId="77777777" w:rsidR="00426D6A" w:rsidRPr="00096909" w:rsidRDefault="00426D6A" w:rsidP="00426D6A">
      <w:pPr>
        <w:spacing w:after="0" w:line="360" w:lineRule="auto"/>
        <w:ind w:firstLine="454"/>
        <w:jc w:val="both"/>
        <w:rPr>
          <w:rFonts w:ascii="Times New Roman" w:hAnsi="Times New Roman" w:cs="Times New Roman"/>
          <w:sz w:val="24"/>
          <w:szCs w:val="24"/>
        </w:rPr>
      </w:pPr>
      <w:r>
        <w:rPr>
          <w:rFonts w:ascii="Times New Roman" w:hAnsi="Times New Roman" w:cs="Times New Roman"/>
          <w:sz w:val="24"/>
          <w:szCs w:val="24"/>
        </w:rPr>
        <w:t>L’</w:t>
      </w:r>
      <w:r w:rsidRPr="00096909">
        <w:rPr>
          <w:rFonts w:ascii="Times New Roman" w:hAnsi="Times New Roman" w:cs="Times New Roman"/>
          <w:sz w:val="24"/>
          <w:szCs w:val="24"/>
        </w:rPr>
        <w:t>invasione editoriale decretò una progressiva perdita d’interesse dei principi per l’allestimento delle biblioteche. I libri non stupivano più. Anche l’imperatore Massimiliano I d’Asburgo, per quanto attento nell’impiegare la stampa a fini propagandistici, mantenne una biblioteca in linea con i parametri del secolo precedente, senza pretese di universalità; e se sappiamo che Mattia Corvino</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del quale tratteremo oltre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custodiva la sua nota biblioteca a lato della sala del trono, non sappiamo con precisione dove Enrico VIII, re d’Inghilterra, tenesse la sua, dispersa tra le residenze di Whitehall, Hampton Court e Greenwich.</w:t>
      </w:r>
      <w:r w:rsidRPr="00096909">
        <w:rPr>
          <w:rStyle w:val="Rimandonotaapidipagina"/>
          <w:rFonts w:ascii="Times New Roman" w:hAnsi="Times New Roman" w:cs="Times New Roman"/>
          <w:sz w:val="24"/>
          <w:szCs w:val="24"/>
        </w:rPr>
        <w:footnoteReference w:id="116"/>
      </w:r>
    </w:p>
    <w:p w14:paraId="575FF2DB" w14:textId="77777777" w:rsidR="00033A17" w:rsidRDefault="00426D6A" w:rsidP="00426D6A">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Tuttavia, alle soglie del Cinquecento, </w:t>
      </w:r>
      <w:r w:rsidR="00FF3570">
        <w:rPr>
          <w:rFonts w:ascii="Times New Roman" w:hAnsi="Times New Roman" w:cs="Times New Roman"/>
          <w:sz w:val="24"/>
          <w:szCs w:val="24"/>
        </w:rPr>
        <w:t xml:space="preserve">si assistette </w:t>
      </w:r>
      <w:r w:rsidRPr="00096909">
        <w:rPr>
          <w:rFonts w:ascii="Times New Roman" w:hAnsi="Times New Roman" w:cs="Times New Roman"/>
          <w:sz w:val="24"/>
          <w:szCs w:val="24"/>
        </w:rPr>
        <w:t>a un affinamento dei caratteri del libro manoscritto. Librai e cartolai compresero che per resistere all’avanzare dell’industria tipografica era necessario offrire sul mercato un prodotto</w:t>
      </w:r>
      <w:r>
        <w:rPr>
          <w:rFonts w:ascii="Times New Roman" w:hAnsi="Times New Roman" w:cs="Times New Roman"/>
          <w:sz w:val="24"/>
          <w:szCs w:val="24"/>
        </w:rPr>
        <w:t xml:space="preserve"> lussuoso,</w:t>
      </w:r>
      <w:r w:rsidRPr="00096909">
        <w:rPr>
          <w:rFonts w:ascii="Times New Roman" w:hAnsi="Times New Roman" w:cs="Times New Roman"/>
          <w:sz w:val="24"/>
          <w:szCs w:val="24"/>
        </w:rPr>
        <w:t xml:space="preserve"> destinato ad acquirenti più pretenziosi di quelli delle economiche edizioni incunabole, la cui ricercatezza raggiunse vette incomparabili e per il quale gli artisti coinvolti crearono un linguaggio figurativo in grado di esprimere ricchezza, gloria e fama del possessore. Un vero e proprio </w:t>
      </w:r>
      <w:r w:rsidRPr="00096909">
        <w:rPr>
          <w:rFonts w:ascii="Times New Roman" w:hAnsi="Times New Roman" w:cs="Times New Roman"/>
          <w:i/>
          <w:sz w:val="24"/>
          <w:szCs w:val="24"/>
        </w:rPr>
        <w:t>status symbol</w:t>
      </w:r>
      <w:r w:rsidRPr="00096909">
        <w:rPr>
          <w:rFonts w:ascii="Times New Roman" w:hAnsi="Times New Roman" w:cs="Times New Roman"/>
          <w:sz w:val="24"/>
          <w:szCs w:val="24"/>
        </w:rPr>
        <w:t xml:space="preserve"> nelle mani del principe della Rinascenza, che imparò </w:t>
      </w:r>
      <w:r w:rsidR="00FF3570" w:rsidRPr="00096909">
        <w:rPr>
          <w:rFonts w:ascii="Times New Roman" w:hAnsi="Times New Roman" w:cs="Times New Roman"/>
          <w:sz w:val="24"/>
          <w:szCs w:val="24"/>
        </w:rPr>
        <w:t xml:space="preserve">presto </w:t>
      </w:r>
      <w:r w:rsidRPr="00096909">
        <w:rPr>
          <w:rFonts w:ascii="Times New Roman" w:hAnsi="Times New Roman" w:cs="Times New Roman"/>
          <w:sz w:val="24"/>
          <w:szCs w:val="24"/>
        </w:rPr>
        <w:t xml:space="preserve">come servirsi tanto dei volumi a stampa quanto dei manoscritti per rappresentare visivamente il proprio potere.   </w:t>
      </w:r>
    </w:p>
    <w:p w14:paraId="16F49986" w14:textId="77777777" w:rsidR="00033A17" w:rsidRDefault="00033A17" w:rsidP="00426D6A">
      <w:pPr>
        <w:spacing w:after="0" w:line="360" w:lineRule="auto"/>
        <w:ind w:firstLine="454"/>
        <w:jc w:val="both"/>
        <w:rPr>
          <w:rFonts w:ascii="Times New Roman" w:hAnsi="Times New Roman" w:cs="Times New Roman"/>
          <w:sz w:val="24"/>
          <w:szCs w:val="24"/>
        </w:rPr>
      </w:pPr>
    </w:p>
    <w:p w14:paraId="40B2549D" w14:textId="77777777" w:rsidR="00033A17" w:rsidRDefault="00033A17" w:rsidP="00426D6A">
      <w:pPr>
        <w:spacing w:after="0" w:line="360" w:lineRule="auto"/>
        <w:ind w:firstLine="454"/>
        <w:jc w:val="both"/>
        <w:rPr>
          <w:rFonts w:ascii="Times New Roman" w:hAnsi="Times New Roman" w:cs="Times New Roman"/>
          <w:sz w:val="24"/>
          <w:szCs w:val="24"/>
        </w:rPr>
      </w:pPr>
    </w:p>
    <w:p w14:paraId="1464E7F3" w14:textId="77777777" w:rsidR="00033A17" w:rsidRPr="00096909" w:rsidRDefault="00033A17" w:rsidP="00033A17">
      <w:pPr>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2. </w:t>
      </w:r>
      <w:r w:rsidRPr="00096909">
        <w:rPr>
          <w:rFonts w:ascii="Times New Roman" w:hAnsi="Times New Roman" w:cs="Times New Roman"/>
          <w:i/>
          <w:sz w:val="24"/>
          <w:szCs w:val="24"/>
        </w:rPr>
        <w:t>Stampe e manoscritti. Officine proprie o committenze esterne?</w:t>
      </w:r>
      <w:r w:rsidRPr="00096909">
        <w:rPr>
          <w:rFonts w:ascii="Times New Roman" w:hAnsi="Times New Roman" w:cs="Times New Roman"/>
          <w:sz w:val="24"/>
          <w:szCs w:val="24"/>
        </w:rPr>
        <w:t xml:space="preserve"> </w:t>
      </w:r>
    </w:p>
    <w:p w14:paraId="7E2311BE" w14:textId="77777777" w:rsidR="00033A17" w:rsidRPr="00096909" w:rsidRDefault="00033A17" w:rsidP="00033A17">
      <w:pPr>
        <w:spacing w:after="0" w:line="360" w:lineRule="auto"/>
        <w:jc w:val="both"/>
        <w:rPr>
          <w:rFonts w:ascii="Times New Roman" w:hAnsi="Times New Roman" w:cs="Times New Roman"/>
          <w:sz w:val="24"/>
          <w:szCs w:val="24"/>
        </w:rPr>
      </w:pPr>
    </w:p>
    <w:p w14:paraId="226C9645" w14:textId="77777777" w:rsidR="00033A17" w:rsidRPr="00096909" w:rsidRDefault="00033A17" w:rsidP="00033A17">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Il primo giugno 1453 il patrizio veneziano Jacopo Antonio Marcello inviò un raffinato manoscritto della </w:t>
      </w:r>
      <w:r w:rsidRPr="00096909">
        <w:rPr>
          <w:rFonts w:ascii="Times New Roman" w:hAnsi="Times New Roman" w:cs="Times New Roman"/>
          <w:i/>
          <w:sz w:val="24"/>
          <w:szCs w:val="24"/>
        </w:rPr>
        <w:t>Passio Mauritii et sotiorum e</w:t>
      </w:r>
      <w:r>
        <w:rPr>
          <w:rFonts w:ascii="Times New Roman" w:hAnsi="Times New Roman" w:cs="Times New Roman"/>
          <w:i/>
          <w:sz w:val="24"/>
          <w:szCs w:val="24"/>
        </w:rPr>
        <w:t>i</w:t>
      </w:r>
      <w:r w:rsidRPr="00096909">
        <w:rPr>
          <w:rFonts w:ascii="Times New Roman" w:hAnsi="Times New Roman" w:cs="Times New Roman"/>
          <w:i/>
          <w:sz w:val="24"/>
          <w:szCs w:val="24"/>
        </w:rPr>
        <w:t>us</w:t>
      </w:r>
      <w:r w:rsidRPr="00096909">
        <w:rPr>
          <w:rFonts w:ascii="Times New Roman" w:hAnsi="Times New Roman" w:cs="Times New Roman"/>
          <w:sz w:val="24"/>
          <w:szCs w:val="24"/>
        </w:rPr>
        <w:t xml:space="preserve"> al cancelliere di Renato d’Angiò, Jean Cossa, senescalco di Provenza. Nella lettera di dedica l’offerente si rivolgeva al Cossa e ai nobili cavalieri del </w:t>
      </w:r>
      <w:r w:rsidRPr="00096909">
        <w:rPr>
          <w:rFonts w:ascii="Times New Roman" w:hAnsi="Times New Roman" w:cs="Times New Roman"/>
          <w:i/>
          <w:sz w:val="24"/>
          <w:szCs w:val="24"/>
        </w:rPr>
        <w:t>Croissant</w:t>
      </w:r>
      <w:r w:rsidRPr="00096909">
        <w:rPr>
          <w:rFonts w:ascii="Times New Roman" w:hAnsi="Times New Roman" w:cs="Times New Roman"/>
          <w:sz w:val="24"/>
          <w:szCs w:val="24"/>
        </w:rPr>
        <w:t xml:space="preserve"> scusandosi per non poter essere presente al capitolo annuale dell’ordine, al quale era stato elevato nell’agosto del 1449, essendo impegnato in importanti campagne militari alla testa dell’esercito veneziano contro le armate di Francesco Sforza, al quale aveva da poco sottratto gli avamposti di Quinzano d’Oglio e Pontevico. </w:t>
      </w:r>
    </w:p>
    <w:p w14:paraId="3ACD8C70"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Il manoscritto, conservato presso la Bibliothèque de l’Arsenal di Parigi,</w:t>
      </w:r>
      <w:r w:rsidRPr="00096909">
        <w:rPr>
          <w:rStyle w:val="Rimandonotaapidipagina"/>
          <w:rFonts w:ascii="Times New Roman" w:hAnsi="Times New Roman" w:cs="Times New Roman"/>
          <w:sz w:val="24"/>
          <w:szCs w:val="24"/>
        </w:rPr>
        <w:footnoteReference w:id="117"/>
      </w:r>
      <w:r w:rsidRPr="00096909">
        <w:rPr>
          <w:rFonts w:ascii="Times New Roman" w:hAnsi="Times New Roman" w:cs="Times New Roman"/>
          <w:sz w:val="24"/>
          <w:szCs w:val="24"/>
        </w:rPr>
        <w:t xml:space="preserve"> reca al foglio Cv una miniatura a piena pagina raffigurante l’assemblea dei cavalieri riunita sotto la protezione del patrono san Maurizio (fig. 2), e al foglio 38v un ritratto di profilo a mezzo busto di Jacopo Marcello (fig. 3), con il motto dell’ordine cavalleresco ben visibile sulla fascia dorata che ne adorna l’abito di velluto rosso ([</w:t>
      </w:r>
      <w:r w:rsidRPr="00096909">
        <w:rPr>
          <w:rFonts w:ascii="Times New Roman" w:hAnsi="Times New Roman" w:cs="Times New Roman"/>
          <w:i/>
          <w:sz w:val="24"/>
          <w:szCs w:val="24"/>
        </w:rPr>
        <w:t>Crois</w:t>
      </w:r>
      <w:r w:rsidRPr="00096909">
        <w:rPr>
          <w:rFonts w:ascii="Times New Roman" w:hAnsi="Times New Roman" w:cs="Times New Roman"/>
          <w:sz w:val="24"/>
          <w:szCs w:val="24"/>
        </w:rPr>
        <w:t>]</w:t>
      </w:r>
      <w:r w:rsidRPr="00096909">
        <w:rPr>
          <w:rFonts w:ascii="Times New Roman" w:hAnsi="Times New Roman" w:cs="Times New Roman"/>
          <w:i/>
          <w:sz w:val="24"/>
          <w:szCs w:val="24"/>
        </w:rPr>
        <w:t>sant</w:t>
      </w:r>
      <w:r w:rsidRPr="00096909">
        <w:rPr>
          <w:rFonts w:ascii="Times New Roman" w:hAnsi="Times New Roman" w:cs="Times New Roman"/>
          <w:sz w:val="24"/>
          <w:szCs w:val="24"/>
        </w:rPr>
        <w:t xml:space="preserve">). Assegnate un tempo a Mantegna, queste miniature sono state più recentemente attribuite a Giovanni Bellini (se non a suo padre Jacopo), forse influenzato dalla lezione di Andrea, che nello stesso anno 1453 ne aveva sposato la sorella Nicolosa. Senza entrare nel merito di queste problematiche attributive, mi pare interessante evidenziare </w:t>
      </w:r>
      <w:r>
        <w:rPr>
          <w:rFonts w:ascii="Times New Roman" w:hAnsi="Times New Roman" w:cs="Times New Roman"/>
          <w:sz w:val="24"/>
          <w:szCs w:val="24"/>
        </w:rPr>
        <w:t xml:space="preserve">il proposito </w:t>
      </w:r>
      <w:r w:rsidRPr="00096909">
        <w:rPr>
          <w:rFonts w:ascii="Times New Roman" w:hAnsi="Times New Roman" w:cs="Times New Roman"/>
          <w:sz w:val="24"/>
          <w:szCs w:val="24"/>
        </w:rPr>
        <w:t xml:space="preserve">del committente di fornire al Cossa, uomo di fiducia di Renato d’Angiò, un manoscritto pregevole, uscito dalla </w:t>
      </w:r>
      <w:r>
        <w:rPr>
          <w:rFonts w:ascii="Times New Roman" w:hAnsi="Times New Roman" w:cs="Times New Roman"/>
          <w:sz w:val="24"/>
          <w:szCs w:val="24"/>
        </w:rPr>
        <w:t xml:space="preserve">rinomata </w:t>
      </w:r>
      <w:r w:rsidRPr="00096909">
        <w:rPr>
          <w:rFonts w:ascii="Times New Roman" w:hAnsi="Times New Roman" w:cs="Times New Roman"/>
          <w:sz w:val="24"/>
          <w:szCs w:val="24"/>
        </w:rPr>
        <w:t xml:space="preserve">bottega dei Bellini, la quale aveva influito in maniera determinante sulle sorti della pittura veneta del Rinascimento e aveva saputo dialogare con i più colti umanisti dell’epoca. Il dono esportava dunque alla corte di Provenza alcuni dei canoni figurativi propri del </w:t>
      </w:r>
      <w:r>
        <w:rPr>
          <w:rFonts w:ascii="Times New Roman" w:hAnsi="Times New Roman" w:cs="Times New Roman"/>
          <w:sz w:val="24"/>
          <w:szCs w:val="24"/>
        </w:rPr>
        <w:t>R</w:t>
      </w:r>
      <w:r w:rsidRPr="00096909">
        <w:rPr>
          <w:rFonts w:ascii="Times New Roman" w:hAnsi="Times New Roman" w:cs="Times New Roman"/>
          <w:sz w:val="24"/>
          <w:szCs w:val="24"/>
        </w:rPr>
        <w:t xml:space="preserve">inascimento veneto – sottili variazioni cromatiche, sensibilità nell’uso delle lumeggiature, echi archeologici nella trattazione della figura del santo patrono dell’ordine, volumetrie e descrizioni dei panneggi già mantegnesche – che sarebbero stati in grado di manifestare il gusto raffinato del Marcello e, allo stesso tempo, l’origine veneta tanto dell’opera quanto del suo donatore.  </w:t>
      </w:r>
    </w:p>
    <w:p w14:paraId="7A918771"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Il caso dell’offerta di questo codice documenta il genere d’aspettative che un signore italiano della Rinascenza poteva maturare nei riguardi della committenza di un manoscritto miniato. Nella seconda metà del secolo XV</w:t>
      </w:r>
      <w:r>
        <w:rPr>
          <w:rFonts w:ascii="Times New Roman" w:hAnsi="Times New Roman" w:cs="Times New Roman"/>
          <w:sz w:val="24"/>
          <w:szCs w:val="24"/>
        </w:rPr>
        <w:t>,</w:t>
      </w:r>
      <w:r w:rsidRPr="00096909">
        <w:rPr>
          <w:rFonts w:ascii="Times New Roman" w:hAnsi="Times New Roman" w:cs="Times New Roman"/>
          <w:sz w:val="24"/>
          <w:szCs w:val="24"/>
        </w:rPr>
        <w:t xml:space="preserve"> infatti,</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andarono affinandosi </w:t>
      </w:r>
      <w:r>
        <w:rPr>
          <w:rFonts w:ascii="Times New Roman" w:hAnsi="Times New Roman" w:cs="Times New Roman"/>
          <w:sz w:val="24"/>
          <w:szCs w:val="24"/>
        </w:rPr>
        <w:t xml:space="preserve">le caratteristiche </w:t>
      </w:r>
      <w:r w:rsidRPr="00096909">
        <w:rPr>
          <w:rFonts w:ascii="Times New Roman" w:hAnsi="Times New Roman" w:cs="Times New Roman"/>
          <w:sz w:val="24"/>
          <w:szCs w:val="24"/>
        </w:rPr>
        <w:t xml:space="preserve">dell’arte della miniatura delle scuole regionali italiane, che trovarono all’ombra delle corti e delle istituzioni ecclesiastiche un luogo sicuro di elaborazione delle nuove tendenze artistiche. A questo processo </w:t>
      </w:r>
      <w:r w:rsidRPr="00096909">
        <w:rPr>
          <w:rFonts w:ascii="Times New Roman" w:hAnsi="Times New Roman" w:cs="Times New Roman"/>
          <w:sz w:val="24"/>
          <w:szCs w:val="24"/>
        </w:rPr>
        <w:lastRenderedPageBreak/>
        <w:t>non furono aliene le pretese dei</w:t>
      </w:r>
      <w:r>
        <w:rPr>
          <w:rFonts w:ascii="Times New Roman" w:hAnsi="Times New Roman" w:cs="Times New Roman"/>
          <w:sz w:val="24"/>
          <w:szCs w:val="24"/>
        </w:rPr>
        <w:t xml:space="preserve"> principi</w:t>
      </w:r>
      <w:r w:rsidRPr="00096909">
        <w:rPr>
          <w:rFonts w:ascii="Times New Roman" w:hAnsi="Times New Roman" w:cs="Times New Roman"/>
          <w:sz w:val="24"/>
          <w:szCs w:val="24"/>
        </w:rPr>
        <w:t>, che si dotarono di copisti, miniatori</w:t>
      </w:r>
      <w:r>
        <w:rPr>
          <w:rFonts w:ascii="Times New Roman" w:hAnsi="Times New Roman" w:cs="Times New Roman"/>
          <w:sz w:val="24"/>
          <w:szCs w:val="24"/>
        </w:rPr>
        <w:t xml:space="preserve"> e</w:t>
      </w:r>
      <w:r w:rsidRPr="00096909">
        <w:rPr>
          <w:rFonts w:ascii="Times New Roman" w:hAnsi="Times New Roman" w:cs="Times New Roman"/>
          <w:sz w:val="24"/>
          <w:szCs w:val="24"/>
        </w:rPr>
        <w:t xml:space="preserve"> rilegatori di </w:t>
      </w:r>
      <w:r>
        <w:rPr>
          <w:rFonts w:ascii="Times New Roman" w:hAnsi="Times New Roman" w:cs="Times New Roman"/>
          <w:sz w:val="24"/>
          <w:szCs w:val="24"/>
        </w:rPr>
        <w:t>proprio</w:t>
      </w:r>
      <w:r w:rsidRPr="00096909">
        <w:rPr>
          <w:rFonts w:ascii="Times New Roman" w:hAnsi="Times New Roman" w:cs="Times New Roman"/>
          <w:sz w:val="24"/>
          <w:szCs w:val="24"/>
        </w:rPr>
        <w:t xml:space="preserve"> gradimento per l’allestimento delle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biblioteche. Per alcune di esse furono predisposti degli </w:t>
      </w:r>
      <w:r w:rsidRPr="00096909">
        <w:rPr>
          <w:rFonts w:ascii="Times New Roman" w:hAnsi="Times New Roman" w:cs="Times New Roman"/>
          <w:i/>
          <w:sz w:val="24"/>
          <w:szCs w:val="24"/>
        </w:rPr>
        <w:t>scriptoria</w:t>
      </w:r>
      <w:r w:rsidRPr="00096909">
        <w:rPr>
          <w:rFonts w:ascii="Times New Roman" w:hAnsi="Times New Roman" w:cs="Times New Roman"/>
          <w:sz w:val="24"/>
          <w:szCs w:val="24"/>
        </w:rPr>
        <w:t xml:space="preserve">, capaci di fornire al </w:t>
      </w:r>
      <w:r>
        <w:rPr>
          <w:rFonts w:ascii="Times New Roman" w:hAnsi="Times New Roman" w:cs="Times New Roman"/>
          <w:sz w:val="24"/>
          <w:szCs w:val="24"/>
        </w:rPr>
        <w:t xml:space="preserve">committente </w:t>
      </w:r>
      <w:r w:rsidRPr="00096909">
        <w:rPr>
          <w:rFonts w:ascii="Times New Roman" w:hAnsi="Times New Roman" w:cs="Times New Roman"/>
          <w:sz w:val="24"/>
          <w:szCs w:val="24"/>
        </w:rPr>
        <w:t>i testi di cui desiderava entrare in possesso in una veste grafica capace di rappresentarne il gusto e l</w:t>
      </w:r>
      <w:r>
        <w:rPr>
          <w:rFonts w:ascii="Times New Roman" w:hAnsi="Times New Roman" w:cs="Times New Roman"/>
          <w:sz w:val="24"/>
          <w:szCs w:val="24"/>
        </w:rPr>
        <w:t>’</w:t>
      </w:r>
      <w:r w:rsidRPr="00096909">
        <w:rPr>
          <w:rFonts w:ascii="Times New Roman" w:hAnsi="Times New Roman" w:cs="Times New Roman"/>
          <w:sz w:val="24"/>
          <w:szCs w:val="24"/>
        </w:rPr>
        <w:t>eleganza. In alternativa egli poteva avvalersi della consulenza di cartolai, che delegavano alle varie maestranze specializzate la realizzazione del manufatto, o rivolgersi direttamente alla bottega di un miniatore per la decorazione di un manoscritto.</w:t>
      </w:r>
      <w:r w:rsidRPr="00096909">
        <w:rPr>
          <w:rStyle w:val="Rimandonotaapidipagina"/>
          <w:rFonts w:ascii="Times New Roman" w:hAnsi="Times New Roman" w:cs="Times New Roman"/>
          <w:sz w:val="24"/>
          <w:szCs w:val="24"/>
        </w:rPr>
        <w:footnoteReference w:id="118"/>
      </w:r>
      <w:r w:rsidRPr="00096909">
        <w:rPr>
          <w:rFonts w:ascii="Times New Roman" w:hAnsi="Times New Roman" w:cs="Times New Roman"/>
          <w:sz w:val="24"/>
          <w:szCs w:val="24"/>
        </w:rPr>
        <w:t xml:space="preserve"> </w:t>
      </w:r>
    </w:p>
    <w:p w14:paraId="3C05E353" w14:textId="3DFD0B5A"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presenza di un nutrito gruppo di calligrafi e decoratori è documentata per la corte di Mantova già nel secondo e nel terzo decennio del XV secolo. </w:t>
      </w:r>
      <w:bookmarkStart w:id="64" w:name="_Hlk535829739"/>
      <w:r w:rsidRPr="00096909">
        <w:rPr>
          <w:rFonts w:ascii="Times New Roman" w:hAnsi="Times New Roman" w:cs="Times New Roman"/>
          <w:sz w:val="24"/>
          <w:szCs w:val="24"/>
        </w:rPr>
        <w:t>Ramo de Ramedellis</w:t>
      </w:r>
      <w:bookmarkEnd w:id="64"/>
      <w:r w:rsidRPr="00096909">
        <w:rPr>
          <w:rFonts w:ascii="Times New Roman" w:hAnsi="Times New Roman" w:cs="Times New Roman"/>
          <w:sz w:val="24"/>
          <w:szCs w:val="24"/>
        </w:rPr>
        <w:t>, copista e miniatore tra i più attivi di questo primo periodo, sottoscrisse, ad esempio, nel 1398 un esemplare dell’</w:t>
      </w:r>
      <w:r w:rsidRPr="00096909">
        <w:rPr>
          <w:rFonts w:ascii="Times New Roman" w:hAnsi="Times New Roman" w:cs="Times New Roman"/>
          <w:i/>
          <w:sz w:val="24"/>
          <w:szCs w:val="24"/>
        </w:rPr>
        <w:t>Africa</w:t>
      </w:r>
      <w:r w:rsidRPr="00096909">
        <w:rPr>
          <w:rFonts w:ascii="Times New Roman" w:hAnsi="Times New Roman" w:cs="Times New Roman"/>
          <w:sz w:val="24"/>
          <w:szCs w:val="24"/>
        </w:rPr>
        <w:t xml:space="preserve"> di Petrarca per </w:t>
      </w:r>
      <w:bookmarkStart w:id="65" w:name="_Hlk535829788"/>
      <w:r w:rsidRPr="00096909">
        <w:rPr>
          <w:rFonts w:ascii="Times New Roman" w:hAnsi="Times New Roman" w:cs="Times New Roman"/>
          <w:sz w:val="24"/>
          <w:szCs w:val="24"/>
        </w:rPr>
        <w:t>Margherita Malatesta</w:t>
      </w:r>
      <w:bookmarkEnd w:id="65"/>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19"/>
      </w:r>
      <w:r w:rsidRPr="00096909">
        <w:rPr>
          <w:rFonts w:ascii="Times New Roman" w:hAnsi="Times New Roman" w:cs="Times New Roman"/>
          <w:sz w:val="24"/>
          <w:szCs w:val="24"/>
        </w:rPr>
        <w:t xml:space="preserve"> mentre negli anni 1415-1416 fu impegnato nella realizzazione dei tre volumi del </w:t>
      </w:r>
      <w:r w:rsidRPr="00096909">
        <w:rPr>
          <w:rFonts w:ascii="Times New Roman" w:hAnsi="Times New Roman" w:cs="Times New Roman"/>
          <w:i/>
          <w:sz w:val="24"/>
          <w:szCs w:val="24"/>
        </w:rPr>
        <w:t>Commento</w:t>
      </w:r>
      <w:r w:rsidRPr="00096909">
        <w:rPr>
          <w:rFonts w:ascii="Times New Roman" w:hAnsi="Times New Roman" w:cs="Times New Roman"/>
          <w:sz w:val="24"/>
          <w:szCs w:val="24"/>
        </w:rPr>
        <w:t xml:space="preserve"> di </w:t>
      </w:r>
      <w:bookmarkStart w:id="66" w:name="_Hlk535829832"/>
      <w:r w:rsidRPr="00096909">
        <w:rPr>
          <w:rFonts w:ascii="Times New Roman" w:hAnsi="Times New Roman" w:cs="Times New Roman"/>
          <w:sz w:val="24"/>
          <w:szCs w:val="24"/>
        </w:rPr>
        <w:t xml:space="preserve">Benvenuto da Imola </w:t>
      </w:r>
      <w:bookmarkEnd w:id="66"/>
      <w:r w:rsidRPr="00096909">
        <w:rPr>
          <w:rFonts w:ascii="Times New Roman" w:hAnsi="Times New Roman" w:cs="Times New Roman"/>
          <w:sz w:val="24"/>
          <w:szCs w:val="24"/>
        </w:rPr>
        <w:t xml:space="preserve">alla </w:t>
      </w:r>
      <w:r w:rsidRPr="00096909">
        <w:rPr>
          <w:rFonts w:ascii="Times New Roman" w:hAnsi="Times New Roman" w:cs="Times New Roman"/>
          <w:i/>
          <w:sz w:val="24"/>
          <w:szCs w:val="24"/>
        </w:rPr>
        <w:t>Divina Commedia</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20"/>
      </w:r>
      <w:r w:rsidRPr="00096909">
        <w:rPr>
          <w:rFonts w:ascii="Times New Roman" w:hAnsi="Times New Roman" w:cs="Times New Roman"/>
          <w:sz w:val="24"/>
          <w:szCs w:val="24"/>
        </w:rPr>
        <w:t xml:space="preserve"> Al foglio 126r del primo di essi è presente la sottoscrizione «</w:t>
      </w:r>
      <w:r w:rsidRPr="00096909">
        <w:rPr>
          <w:rFonts w:ascii="Times New Roman" w:hAnsi="Times New Roman" w:cs="Times New Roman"/>
          <w:i/>
          <w:sz w:val="24"/>
          <w:szCs w:val="24"/>
        </w:rPr>
        <w:t>Ramus de Ramedellis qui scriptum hoc correxit et iminiavit. Anno domini millesimo quadrigentesimo sexto decimo apud aulam Magnifice domine Mantuane in suo offitio pincernatus</w:t>
      </w:r>
      <w:r w:rsidRPr="00096909">
        <w:rPr>
          <w:rFonts w:ascii="Times New Roman" w:hAnsi="Times New Roman" w:cs="Times New Roman"/>
          <w:sz w:val="24"/>
          <w:szCs w:val="24"/>
        </w:rPr>
        <w:t>»</w:t>
      </w:r>
      <w:r>
        <w:rPr>
          <w:rFonts w:ascii="Times New Roman" w:hAnsi="Times New Roman" w:cs="Times New Roman"/>
          <w:sz w:val="24"/>
          <w:szCs w:val="24"/>
        </w:rPr>
        <w:t xml:space="preserve">, la quale </w:t>
      </w:r>
      <w:r w:rsidRPr="00096909">
        <w:rPr>
          <w:rFonts w:ascii="Times New Roman" w:hAnsi="Times New Roman" w:cs="Times New Roman"/>
          <w:sz w:val="24"/>
          <w:szCs w:val="24"/>
        </w:rPr>
        <w:t>mi pare rivel</w:t>
      </w:r>
      <w:r>
        <w:rPr>
          <w:rFonts w:ascii="Times New Roman" w:hAnsi="Times New Roman" w:cs="Times New Roman"/>
          <w:sz w:val="24"/>
          <w:szCs w:val="24"/>
        </w:rPr>
        <w:t>i</w:t>
      </w:r>
      <w:r w:rsidRPr="00096909">
        <w:rPr>
          <w:rFonts w:ascii="Times New Roman" w:hAnsi="Times New Roman" w:cs="Times New Roman"/>
          <w:sz w:val="24"/>
          <w:szCs w:val="24"/>
        </w:rPr>
        <w:t xml:space="preserve"> come presso l’“aula” dei Gonzaga fossero presenti, già a quest’altezza cronologica, locali riservati a</w:t>
      </w:r>
      <w:r>
        <w:rPr>
          <w:rFonts w:ascii="Times New Roman" w:hAnsi="Times New Roman" w:cs="Times New Roman"/>
          <w:sz w:val="24"/>
          <w:szCs w:val="24"/>
        </w:rPr>
        <w:t>d</w:t>
      </w:r>
      <w:r w:rsidRPr="00096909">
        <w:rPr>
          <w:rFonts w:ascii="Times New Roman" w:hAnsi="Times New Roman" w:cs="Times New Roman"/>
          <w:sz w:val="24"/>
          <w:szCs w:val="24"/>
        </w:rPr>
        <w:t xml:space="preserve"> artigiani stipendiati per la preparazione di libri, se non propriamente un’officina istituzionalizzata. Del resto, nei registri di spesa di </w:t>
      </w:r>
      <w:bookmarkStart w:id="67" w:name="_Hlk535830042"/>
      <w:r w:rsidRPr="00096909">
        <w:rPr>
          <w:rFonts w:ascii="Times New Roman" w:hAnsi="Times New Roman" w:cs="Times New Roman"/>
          <w:sz w:val="24"/>
          <w:szCs w:val="24"/>
        </w:rPr>
        <w:t xml:space="preserve">Paola Malatesta </w:t>
      </w:r>
      <w:bookmarkEnd w:id="67"/>
      <w:r w:rsidRPr="00096909">
        <w:rPr>
          <w:rFonts w:ascii="Times New Roman" w:hAnsi="Times New Roman" w:cs="Times New Roman"/>
          <w:sz w:val="24"/>
          <w:szCs w:val="24"/>
        </w:rPr>
        <w:t xml:space="preserve">si possono rintracciare i nomi di dieci artigiani rubricati come </w:t>
      </w:r>
      <w:r w:rsidRPr="00096909">
        <w:rPr>
          <w:rFonts w:ascii="Times New Roman" w:hAnsi="Times New Roman" w:cs="Times New Roman"/>
          <w:i/>
          <w:sz w:val="24"/>
          <w:szCs w:val="24"/>
        </w:rPr>
        <w:t>scriptores</w:t>
      </w:r>
      <w:r w:rsidRPr="00096909">
        <w:rPr>
          <w:rFonts w:ascii="Times New Roman" w:hAnsi="Times New Roman" w:cs="Times New Roman"/>
          <w:sz w:val="24"/>
          <w:szCs w:val="24"/>
        </w:rPr>
        <w:t xml:space="preserve"> e di quattro miniatori, variamente indicati con la dicitura </w:t>
      </w:r>
      <w:r w:rsidRPr="00096909">
        <w:rPr>
          <w:rFonts w:ascii="Times New Roman" w:hAnsi="Times New Roman" w:cs="Times New Roman"/>
          <w:i/>
          <w:sz w:val="24"/>
          <w:szCs w:val="24"/>
        </w:rPr>
        <w:t>inminiator</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miniator</w:t>
      </w:r>
      <w:r w:rsidRPr="00096909">
        <w:rPr>
          <w:rFonts w:ascii="Times New Roman" w:hAnsi="Times New Roman" w:cs="Times New Roman"/>
          <w:sz w:val="24"/>
          <w:szCs w:val="24"/>
        </w:rPr>
        <w:t xml:space="preserve"> o </w:t>
      </w:r>
      <w:r w:rsidRPr="00096909">
        <w:rPr>
          <w:rFonts w:ascii="Times New Roman" w:hAnsi="Times New Roman" w:cs="Times New Roman"/>
          <w:i/>
          <w:sz w:val="24"/>
          <w:szCs w:val="24"/>
        </w:rPr>
        <w:t>pictor</w:t>
      </w:r>
      <w:r w:rsidRPr="00096909">
        <w:rPr>
          <w:rFonts w:ascii="Times New Roman" w:hAnsi="Times New Roman" w:cs="Times New Roman"/>
          <w:sz w:val="24"/>
          <w:szCs w:val="24"/>
        </w:rPr>
        <w:t>, operanti tra il 1418 e il 1443.</w:t>
      </w:r>
      <w:r w:rsidRPr="00096909">
        <w:rPr>
          <w:rStyle w:val="Rimandonotaapidipagina"/>
          <w:rFonts w:ascii="Times New Roman" w:hAnsi="Times New Roman" w:cs="Times New Roman"/>
          <w:sz w:val="24"/>
          <w:szCs w:val="24"/>
        </w:rPr>
        <w:footnoteReference w:id="121"/>
      </w:r>
      <w:r w:rsidRPr="00096909">
        <w:rPr>
          <w:rFonts w:ascii="Times New Roman" w:hAnsi="Times New Roman" w:cs="Times New Roman"/>
          <w:sz w:val="24"/>
          <w:szCs w:val="24"/>
        </w:rPr>
        <w:t xml:space="preserve"> Tra costoro viene annoverato </w:t>
      </w:r>
      <w:bookmarkStart w:id="68" w:name="_Hlk535829987"/>
      <w:r w:rsidRPr="00096909">
        <w:rPr>
          <w:rFonts w:ascii="Times New Roman" w:hAnsi="Times New Roman" w:cs="Times New Roman"/>
          <w:sz w:val="24"/>
          <w:szCs w:val="24"/>
        </w:rPr>
        <w:t>Giovanni Belbello da Pavia</w:t>
      </w:r>
      <w:bookmarkEnd w:id="68"/>
      <w:r w:rsidRPr="00096909">
        <w:rPr>
          <w:rFonts w:ascii="Times New Roman" w:hAnsi="Times New Roman" w:cs="Times New Roman"/>
          <w:sz w:val="24"/>
          <w:szCs w:val="24"/>
        </w:rPr>
        <w:t xml:space="preserve">, beneficiario di pagamenti da parte della corte a partire dal 1442, anno in cui </w:t>
      </w:r>
      <w:bookmarkStart w:id="69" w:name="_Hlk535830100"/>
      <w:r w:rsidRPr="00096909">
        <w:rPr>
          <w:rFonts w:ascii="Times New Roman" w:hAnsi="Times New Roman" w:cs="Times New Roman"/>
          <w:sz w:val="24"/>
          <w:szCs w:val="24"/>
        </w:rPr>
        <w:t xml:space="preserve">Giovan Francesco Capilupi </w:t>
      </w:r>
      <w:bookmarkEnd w:id="69"/>
      <w:r w:rsidRPr="00096909">
        <w:rPr>
          <w:rFonts w:ascii="Times New Roman" w:hAnsi="Times New Roman" w:cs="Times New Roman"/>
          <w:sz w:val="24"/>
          <w:szCs w:val="24"/>
        </w:rPr>
        <w:t xml:space="preserve">registrò il suo nome tra le spese per il soggiorno pavese (1439-1444) del protonotaro apostolico Gian Lucido Gonzaga, elargendogli un acconto per alcuni fogli d’oro fino, presumibilmente </w:t>
      </w:r>
      <w:r>
        <w:rPr>
          <w:rFonts w:ascii="Times New Roman" w:hAnsi="Times New Roman" w:cs="Times New Roman"/>
          <w:sz w:val="24"/>
          <w:szCs w:val="24"/>
        </w:rPr>
        <w:t xml:space="preserve">destinati </w:t>
      </w:r>
      <w:r w:rsidRPr="00096909">
        <w:rPr>
          <w:rFonts w:ascii="Times New Roman" w:hAnsi="Times New Roman" w:cs="Times New Roman"/>
          <w:sz w:val="24"/>
          <w:szCs w:val="24"/>
        </w:rPr>
        <w:t xml:space="preserve">ad una delle più interessanti committenze librarie del secondo </w:t>
      </w:r>
      <w:r>
        <w:rPr>
          <w:rFonts w:ascii="Times New Roman" w:hAnsi="Times New Roman" w:cs="Times New Roman"/>
          <w:sz w:val="24"/>
          <w:szCs w:val="24"/>
        </w:rPr>
        <w:t>Q</w:t>
      </w:r>
      <w:r w:rsidRPr="00096909">
        <w:rPr>
          <w:rFonts w:ascii="Times New Roman" w:hAnsi="Times New Roman" w:cs="Times New Roman"/>
          <w:sz w:val="24"/>
          <w:szCs w:val="24"/>
        </w:rPr>
        <w:t xml:space="preserve">uattrocento: il Messale detto “di Barbara di Brandeburgo”, richiesto a Pavia nei primi mesi del </w:t>
      </w:r>
      <w:r w:rsidRPr="00096909">
        <w:rPr>
          <w:rFonts w:ascii="Times New Roman" w:hAnsi="Times New Roman" w:cs="Times New Roman"/>
          <w:sz w:val="24"/>
          <w:szCs w:val="24"/>
        </w:rPr>
        <w:lastRenderedPageBreak/>
        <w:t xml:space="preserve">1442 da Gian Lucido Gonzaga al copista </w:t>
      </w:r>
      <w:bookmarkStart w:id="70" w:name="_Hlk535830145"/>
      <w:r w:rsidRPr="00096909">
        <w:rPr>
          <w:rFonts w:ascii="Times New Roman" w:hAnsi="Times New Roman" w:cs="Times New Roman"/>
          <w:sz w:val="24"/>
          <w:szCs w:val="24"/>
        </w:rPr>
        <w:t xml:space="preserve">Pietro Paolo Marono </w:t>
      </w:r>
      <w:bookmarkEnd w:id="70"/>
      <w:r w:rsidRPr="00096909">
        <w:rPr>
          <w:rFonts w:ascii="Times New Roman" w:hAnsi="Times New Roman" w:cs="Times New Roman"/>
          <w:sz w:val="24"/>
          <w:szCs w:val="24"/>
        </w:rPr>
        <w:t>e all’illustratore Be</w:t>
      </w:r>
      <w:r w:rsidR="00A8325B">
        <w:rPr>
          <w:rFonts w:ascii="Times New Roman" w:hAnsi="Times New Roman" w:cs="Times New Roman"/>
          <w:sz w:val="24"/>
          <w:szCs w:val="24"/>
        </w:rPr>
        <w:t>l</w:t>
      </w:r>
      <w:r w:rsidRPr="00096909">
        <w:rPr>
          <w:rFonts w:ascii="Times New Roman" w:hAnsi="Times New Roman" w:cs="Times New Roman"/>
          <w:sz w:val="24"/>
          <w:szCs w:val="24"/>
        </w:rPr>
        <w:t>bello.</w:t>
      </w:r>
      <w:r w:rsidRPr="00096909">
        <w:rPr>
          <w:rStyle w:val="Rimandonotaapidipagina"/>
          <w:rFonts w:ascii="Times New Roman" w:hAnsi="Times New Roman" w:cs="Times New Roman"/>
          <w:sz w:val="24"/>
          <w:szCs w:val="24"/>
        </w:rPr>
        <w:footnoteReference w:id="122"/>
      </w:r>
      <w:r w:rsidRPr="00096909">
        <w:rPr>
          <w:rFonts w:ascii="Times New Roman" w:hAnsi="Times New Roman" w:cs="Times New Roman"/>
          <w:sz w:val="24"/>
          <w:szCs w:val="24"/>
        </w:rPr>
        <w:t xml:space="preserve"> Le vicende di questo manoscritto aiutano a comprendere come la realizzazione di opere miniate potesse risultare laboriosa e prolungata, con spostamenti tra più città delle maestranze selezionate, che lasciavano tempo ai committenti per la modifica d</w:t>
      </w:r>
      <w:r>
        <w:rPr>
          <w:rFonts w:ascii="Times New Roman" w:hAnsi="Times New Roman" w:cs="Times New Roman"/>
          <w:sz w:val="24"/>
          <w:szCs w:val="24"/>
        </w:rPr>
        <w:t>e</w:t>
      </w:r>
      <w:r w:rsidRPr="00096909">
        <w:rPr>
          <w:rFonts w:ascii="Times New Roman" w:hAnsi="Times New Roman" w:cs="Times New Roman"/>
          <w:sz w:val="24"/>
          <w:szCs w:val="24"/>
        </w:rPr>
        <w:t xml:space="preserve">i piani illustrativi e variazioni degli artisti ingaggiati. </w:t>
      </w:r>
    </w:p>
    <w:p w14:paraId="48EEC8EF" w14:textId="5CC584A1"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I registri di pagamenti di casa Gonzaga informano su versamenti in favore di Be</w:t>
      </w:r>
      <w:r w:rsidR="00A8325B">
        <w:rPr>
          <w:rFonts w:ascii="Times New Roman" w:hAnsi="Times New Roman" w:cs="Times New Roman"/>
          <w:sz w:val="24"/>
          <w:szCs w:val="24"/>
        </w:rPr>
        <w:t>l</w:t>
      </w:r>
      <w:r w:rsidRPr="00096909">
        <w:rPr>
          <w:rFonts w:ascii="Times New Roman" w:hAnsi="Times New Roman" w:cs="Times New Roman"/>
          <w:sz w:val="24"/>
          <w:szCs w:val="24"/>
        </w:rPr>
        <w:t xml:space="preserve">bello negli anni 1443-1444, </w:t>
      </w:r>
      <w:r>
        <w:rPr>
          <w:rFonts w:ascii="Times New Roman" w:hAnsi="Times New Roman" w:cs="Times New Roman"/>
          <w:sz w:val="24"/>
          <w:szCs w:val="24"/>
        </w:rPr>
        <w:t xml:space="preserve">quando </w:t>
      </w:r>
      <w:r w:rsidRPr="00096909">
        <w:rPr>
          <w:rFonts w:ascii="Times New Roman" w:hAnsi="Times New Roman" w:cs="Times New Roman"/>
          <w:sz w:val="24"/>
          <w:szCs w:val="24"/>
        </w:rPr>
        <w:t>il suo lavoro si svolse con continuità e con periodici spostamenti tra Pavia e Mantova. Nel 1448, alla morte di Gian Lucido, fu Paola</w:t>
      </w:r>
      <w:r>
        <w:rPr>
          <w:rFonts w:ascii="Times New Roman" w:hAnsi="Times New Roman" w:cs="Times New Roman"/>
          <w:sz w:val="24"/>
          <w:szCs w:val="24"/>
        </w:rPr>
        <w:t xml:space="preserve"> Malatesta</w:t>
      </w:r>
      <w:r w:rsidRPr="00096909">
        <w:rPr>
          <w:rFonts w:ascii="Times New Roman" w:hAnsi="Times New Roman" w:cs="Times New Roman"/>
          <w:sz w:val="24"/>
          <w:szCs w:val="24"/>
        </w:rPr>
        <w:t>, madre del presule, a seguire</w:t>
      </w:r>
      <w:r>
        <w:rPr>
          <w:rFonts w:ascii="Times New Roman" w:hAnsi="Times New Roman" w:cs="Times New Roman"/>
          <w:sz w:val="24"/>
          <w:szCs w:val="24"/>
        </w:rPr>
        <w:t xml:space="preserve"> in un primo momento</w:t>
      </w:r>
      <w:r w:rsidRPr="00096909">
        <w:rPr>
          <w:rFonts w:ascii="Times New Roman" w:hAnsi="Times New Roman" w:cs="Times New Roman"/>
          <w:sz w:val="24"/>
          <w:szCs w:val="24"/>
        </w:rPr>
        <w:t xml:space="preserve"> il proseguimento della decorazione del Messale, come documentano diverse lettere degli anni 1448-1449 con informazioni sull’invio da Pavia di quaderni completati e sull’avanzamento di quelli ancora in lavorazione. Parallelamente, tra il gennaio e l’agosto del 1449, furono spedite missive al Marono richiedenti il suo trasferimento a Mantova per seguire la copiatura del testo liturgico, terminata presumibilmente entro l’agosto del 1453. Una condanna per sodomia inferta a Be</w:t>
      </w:r>
      <w:r w:rsidR="00A8325B">
        <w:rPr>
          <w:rFonts w:ascii="Times New Roman" w:hAnsi="Times New Roman" w:cs="Times New Roman"/>
          <w:sz w:val="24"/>
          <w:szCs w:val="24"/>
        </w:rPr>
        <w:t>l</w:t>
      </w:r>
      <w:r w:rsidRPr="00096909">
        <w:rPr>
          <w:rFonts w:ascii="Times New Roman" w:hAnsi="Times New Roman" w:cs="Times New Roman"/>
          <w:sz w:val="24"/>
          <w:szCs w:val="24"/>
        </w:rPr>
        <w:t xml:space="preserve">bello nel 1450 rallentò però la decorazione del volume, su cui siamo nuovamente informati a partire dal 1458, quando </w:t>
      </w:r>
      <w:bookmarkStart w:id="71" w:name="_Hlk535830232"/>
      <w:r w:rsidRPr="00096909">
        <w:rPr>
          <w:rFonts w:ascii="Times New Roman" w:hAnsi="Times New Roman" w:cs="Times New Roman"/>
          <w:sz w:val="24"/>
          <w:szCs w:val="24"/>
        </w:rPr>
        <w:t xml:space="preserve">Bartolomeo Bonatti </w:t>
      </w:r>
      <w:bookmarkEnd w:id="71"/>
      <w:r w:rsidRPr="00096909">
        <w:rPr>
          <w:rFonts w:ascii="Times New Roman" w:hAnsi="Times New Roman" w:cs="Times New Roman"/>
          <w:sz w:val="24"/>
          <w:szCs w:val="24"/>
        </w:rPr>
        <w:t xml:space="preserve">scrisse alla marchesa </w:t>
      </w:r>
      <w:r>
        <w:rPr>
          <w:rFonts w:ascii="Times New Roman" w:hAnsi="Times New Roman" w:cs="Times New Roman"/>
          <w:sz w:val="24"/>
          <w:szCs w:val="24"/>
        </w:rPr>
        <w:t xml:space="preserve">Barbara </w:t>
      </w:r>
      <w:r w:rsidRPr="00096909">
        <w:rPr>
          <w:rFonts w:ascii="Times New Roman" w:hAnsi="Times New Roman" w:cs="Times New Roman"/>
          <w:sz w:val="24"/>
          <w:szCs w:val="24"/>
        </w:rPr>
        <w:t>Gonzaga</w:t>
      </w:r>
      <w:r>
        <w:rPr>
          <w:rFonts w:ascii="Times New Roman" w:hAnsi="Times New Roman" w:cs="Times New Roman"/>
          <w:sz w:val="24"/>
          <w:szCs w:val="24"/>
        </w:rPr>
        <w:t>, nuova patrona dell’impresa del Messale,</w:t>
      </w:r>
      <w:r w:rsidRPr="00096909">
        <w:rPr>
          <w:rFonts w:ascii="Times New Roman" w:hAnsi="Times New Roman" w:cs="Times New Roman"/>
          <w:sz w:val="24"/>
          <w:szCs w:val="24"/>
        </w:rPr>
        <w:t xml:space="preserve"> di avere rintracciato l’artista alla corte milanese di </w:t>
      </w:r>
      <w:bookmarkStart w:id="72" w:name="_Hlk535830280"/>
      <w:r w:rsidRPr="00096909">
        <w:rPr>
          <w:rFonts w:ascii="Times New Roman" w:hAnsi="Times New Roman" w:cs="Times New Roman"/>
          <w:sz w:val="24"/>
          <w:szCs w:val="24"/>
        </w:rPr>
        <w:t>Bianca Maria Visconti</w:t>
      </w:r>
      <w:bookmarkEnd w:id="72"/>
      <w:r w:rsidRPr="00096909">
        <w:rPr>
          <w:rFonts w:ascii="Times New Roman" w:hAnsi="Times New Roman" w:cs="Times New Roman"/>
          <w:sz w:val="24"/>
          <w:szCs w:val="24"/>
        </w:rPr>
        <w:t>. Da una lettera di Barbara sappiamo che nel maggio 1460 il manoscritto era stato inviato a Milano perché Be</w:t>
      </w:r>
      <w:r w:rsidR="00A8325B">
        <w:rPr>
          <w:rFonts w:ascii="Times New Roman" w:hAnsi="Times New Roman" w:cs="Times New Roman"/>
          <w:sz w:val="24"/>
          <w:szCs w:val="24"/>
        </w:rPr>
        <w:t>l</w:t>
      </w:r>
      <w:r w:rsidRPr="00096909">
        <w:rPr>
          <w:rFonts w:ascii="Times New Roman" w:hAnsi="Times New Roman" w:cs="Times New Roman"/>
          <w:sz w:val="24"/>
          <w:szCs w:val="24"/>
        </w:rPr>
        <w:t xml:space="preserve">bello lo completasse, mentre nella corrispondenza tra la marchesa e il cardinale Francesco Gonzaga si trovano informazioni sulla presenza di almeno una parte del codice a Pavia nel 1461, dove il pittore si dichiarava impegnato nel suo compimento e disposto a trasferirsi alla corte di Mantova per concludere l’impresa. </w:t>
      </w:r>
    </w:p>
    <w:p w14:paraId="0B9F543E" w14:textId="1A9FD904"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Il 10 novembre dello stesso anno la nobildonna comunicò però al figlio la decisione di congedare Be</w:t>
      </w:r>
      <w:r w:rsidR="00A8325B">
        <w:rPr>
          <w:rFonts w:ascii="Times New Roman" w:hAnsi="Times New Roman" w:cs="Times New Roman"/>
          <w:sz w:val="24"/>
          <w:szCs w:val="24"/>
        </w:rPr>
        <w:t>l</w:t>
      </w:r>
      <w:r w:rsidRPr="00096909">
        <w:rPr>
          <w:rFonts w:ascii="Times New Roman" w:hAnsi="Times New Roman" w:cs="Times New Roman"/>
          <w:sz w:val="24"/>
          <w:szCs w:val="24"/>
        </w:rPr>
        <w:t>bello e di assegnare la committenza ad «un zovene di questa terra el quale minia molto bene», avendo già preso accordi col Mantegna perché procedesse all’ingaggio dell’artista.</w:t>
      </w:r>
      <w:r w:rsidRPr="00096909">
        <w:rPr>
          <w:rStyle w:val="Rimandonotaapidipagina"/>
          <w:rFonts w:ascii="Times New Roman" w:hAnsi="Times New Roman" w:cs="Times New Roman"/>
          <w:sz w:val="24"/>
          <w:szCs w:val="24"/>
        </w:rPr>
        <w:footnoteReference w:id="123"/>
      </w:r>
      <w:r w:rsidRPr="00096909">
        <w:rPr>
          <w:rFonts w:ascii="Times New Roman" w:hAnsi="Times New Roman" w:cs="Times New Roman"/>
          <w:sz w:val="24"/>
          <w:szCs w:val="24"/>
        </w:rPr>
        <w:t xml:space="preserve"> Il “zovene” prediletto da Barbara, che tra il 1461 e il 1468 condusse a termine l’illustrazione del Messale, fu </w:t>
      </w:r>
      <w:bookmarkStart w:id="73" w:name="_Hlk535830487"/>
      <w:r w:rsidRPr="00096909">
        <w:rPr>
          <w:rFonts w:ascii="Times New Roman" w:hAnsi="Times New Roman" w:cs="Times New Roman"/>
          <w:sz w:val="24"/>
          <w:szCs w:val="24"/>
        </w:rPr>
        <w:t>Girolamo da Cremona</w:t>
      </w:r>
      <w:bookmarkEnd w:id="73"/>
      <w:r w:rsidRPr="00096909">
        <w:rPr>
          <w:rFonts w:ascii="Times New Roman" w:hAnsi="Times New Roman" w:cs="Times New Roman"/>
          <w:sz w:val="24"/>
          <w:szCs w:val="24"/>
        </w:rPr>
        <w:t xml:space="preserve">, figlio del pittore cremonese </w:t>
      </w:r>
      <w:bookmarkStart w:id="74" w:name="_Hlk535830527"/>
      <w:r w:rsidRPr="00096909">
        <w:rPr>
          <w:rFonts w:ascii="Times New Roman" w:hAnsi="Times New Roman" w:cs="Times New Roman"/>
          <w:sz w:val="24"/>
          <w:szCs w:val="24"/>
        </w:rPr>
        <w:t>Zanino dei Corradi</w:t>
      </w:r>
      <w:bookmarkEnd w:id="74"/>
      <w:r w:rsidRPr="00096909">
        <w:rPr>
          <w:rFonts w:ascii="Times New Roman" w:hAnsi="Times New Roman" w:cs="Times New Roman"/>
          <w:sz w:val="24"/>
          <w:szCs w:val="24"/>
        </w:rPr>
        <w:t xml:space="preserve">, attivo per i marchesi di Mantova dal 1419 al 1443. Sebbene fosse a buon diritto “di questa terra”, la sua formazione si era svolta presso un’altra corte italiana ben aggiornata sull’evoluzione del gusto del minio: Ferrara. Qui egli era stato impegnato nel più importante cantiere dell’epoca, su cui oltre </w:t>
      </w:r>
      <w:r w:rsidRPr="00096909">
        <w:rPr>
          <w:rFonts w:ascii="Times New Roman" w:hAnsi="Times New Roman" w:cs="Times New Roman"/>
          <w:sz w:val="24"/>
          <w:szCs w:val="24"/>
        </w:rPr>
        <w:lastRenderedPageBreak/>
        <w:t xml:space="preserve">spenderemo alcune osservazioni: la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di Borso d’Este, in cui interventi di sua mano si identificano nelle pagine del secondo volume, completato tra il 1458 e il 1461.</w:t>
      </w:r>
    </w:p>
    <w:p w14:paraId="7A6F72B6"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È interessante osservare le differenze di stile che distinguono l’arte di Belbello da quella del più giovane Girolamo da Cremona. Il primo trasse le sue abilità figurative dall’ambito </w:t>
      </w:r>
      <w:r w:rsidRPr="00096909">
        <w:rPr>
          <w:rFonts w:ascii="Times New Roman" w:hAnsi="Times New Roman" w:cs="Times New Roman"/>
          <w:i/>
          <w:sz w:val="24"/>
          <w:szCs w:val="24"/>
        </w:rPr>
        <w:t>dell’ouvraige de Lombardie</w:t>
      </w:r>
      <w:r w:rsidRPr="00096909">
        <w:rPr>
          <w:rFonts w:ascii="Times New Roman" w:hAnsi="Times New Roman" w:cs="Times New Roman"/>
          <w:sz w:val="24"/>
          <w:szCs w:val="24"/>
        </w:rPr>
        <w:t xml:space="preserve">, mediando il gusto goticheggiante di </w:t>
      </w:r>
      <w:bookmarkStart w:id="75" w:name="_Hlk535830589"/>
      <w:r w:rsidRPr="00096909">
        <w:rPr>
          <w:rFonts w:ascii="Times New Roman" w:hAnsi="Times New Roman" w:cs="Times New Roman"/>
          <w:sz w:val="24"/>
          <w:szCs w:val="24"/>
        </w:rPr>
        <w:t xml:space="preserve">Michelino da Besozzo </w:t>
      </w:r>
      <w:bookmarkEnd w:id="75"/>
      <w:r w:rsidRPr="00096909">
        <w:rPr>
          <w:rFonts w:ascii="Times New Roman" w:hAnsi="Times New Roman" w:cs="Times New Roman"/>
          <w:sz w:val="24"/>
          <w:szCs w:val="24"/>
        </w:rPr>
        <w:t>con una personale propensione alla caratterizzazione espressiva delle figure.</w:t>
      </w:r>
      <w:r w:rsidRPr="00096909">
        <w:rPr>
          <w:rStyle w:val="Rimandonotaapidipagina"/>
          <w:rFonts w:ascii="Times New Roman" w:hAnsi="Times New Roman" w:cs="Times New Roman"/>
          <w:sz w:val="24"/>
          <w:szCs w:val="24"/>
        </w:rPr>
        <w:footnoteReference w:id="124"/>
      </w:r>
      <w:r w:rsidRPr="00096909">
        <w:rPr>
          <w:rFonts w:ascii="Times New Roman" w:hAnsi="Times New Roman" w:cs="Times New Roman"/>
          <w:sz w:val="24"/>
          <w:szCs w:val="24"/>
        </w:rPr>
        <w:t xml:space="preserve"> </w:t>
      </w:r>
      <w:r>
        <w:rPr>
          <w:rFonts w:ascii="Times New Roman" w:hAnsi="Times New Roman" w:cs="Times New Roman"/>
          <w:sz w:val="24"/>
          <w:szCs w:val="24"/>
        </w:rPr>
        <w:t>Manca ai</w:t>
      </w:r>
      <w:r w:rsidRPr="00096909">
        <w:rPr>
          <w:rFonts w:ascii="Times New Roman" w:hAnsi="Times New Roman" w:cs="Times New Roman"/>
          <w:sz w:val="24"/>
          <w:szCs w:val="24"/>
        </w:rPr>
        <w:t xml:space="preserve"> suoi personaggi</w:t>
      </w:r>
      <w:r>
        <w:rPr>
          <w:rFonts w:ascii="Times New Roman" w:hAnsi="Times New Roman" w:cs="Times New Roman"/>
          <w:sz w:val="24"/>
          <w:szCs w:val="24"/>
        </w:rPr>
        <w:t xml:space="preserve">, tuttavia, </w:t>
      </w:r>
      <w:r w:rsidRPr="00096909">
        <w:rPr>
          <w:rFonts w:ascii="Times New Roman" w:hAnsi="Times New Roman" w:cs="Times New Roman"/>
          <w:sz w:val="24"/>
          <w:szCs w:val="24"/>
        </w:rPr>
        <w:t xml:space="preserve">la fisicità materica del Rinascimento, e se nella costruzione delle cornici del </w:t>
      </w:r>
      <w:r w:rsidRPr="00096909">
        <w:rPr>
          <w:rFonts w:ascii="Times New Roman" w:hAnsi="Times New Roman" w:cs="Times New Roman"/>
          <w:i/>
          <w:sz w:val="24"/>
          <w:szCs w:val="24"/>
        </w:rPr>
        <w:t>Messale</w:t>
      </w:r>
      <w:r>
        <w:rPr>
          <w:rFonts w:ascii="Times New Roman" w:hAnsi="Times New Roman" w:cs="Times New Roman"/>
          <w:i/>
          <w:sz w:val="24"/>
          <w:szCs w:val="24"/>
        </w:rPr>
        <w:t xml:space="preserve"> </w:t>
      </w:r>
      <w:r w:rsidRPr="00126F05">
        <w:rPr>
          <w:rFonts w:ascii="Times New Roman" w:hAnsi="Times New Roman" w:cs="Times New Roman"/>
          <w:sz w:val="24"/>
          <w:szCs w:val="24"/>
        </w:rPr>
        <w:t>Belbello</w:t>
      </w:r>
      <w:r>
        <w:rPr>
          <w:rFonts w:ascii="Times New Roman" w:hAnsi="Times New Roman" w:cs="Times New Roman"/>
          <w:sz w:val="24"/>
          <w:szCs w:val="24"/>
        </w:rPr>
        <w:t xml:space="preserve">, </w:t>
      </w:r>
      <w:r w:rsidRPr="00096909">
        <w:rPr>
          <w:rFonts w:ascii="Times New Roman" w:hAnsi="Times New Roman" w:cs="Times New Roman"/>
          <w:sz w:val="24"/>
          <w:szCs w:val="24"/>
        </w:rPr>
        <w:t>dal 1460-1461</w:t>
      </w:r>
      <w:r>
        <w:rPr>
          <w:rFonts w:ascii="Times New Roman" w:hAnsi="Times New Roman" w:cs="Times New Roman"/>
          <w:sz w:val="24"/>
          <w:szCs w:val="24"/>
        </w:rPr>
        <w:t>,</w:t>
      </w:r>
      <w:r w:rsidRPr="00096909">
        <w:rPr>
          <w:rFonts w:ascii="Times New Roman" w:hAnsi="Times New Roman" w:cs="Times New Roman"/>
          <w:sz w:val="24"/>
          <w:szCs w:val="24"/>
        </w:rPr>
        <w:t xml:space="preserve"> abbandona progressivamente </w:t>
      </w:r>
      <w:r>
        <w:rPr>
          <w:rFonts w:ascii="Times New Roman" w:hAnsi="Times New Roman" w:cs="Times New Roman"/>
          <w:sz w:val="24"/>
          <w:szCs w:val="24"/>
        </w:rPr>
        <w:t>l’</w:t>
      </w:r>
      <w:r w:rsidRPr="00096909">
        <w:rPr>
          <w:rFonts w:ascii="Times New Roman" w:hAnsi="Times New Roman" w:cs="Times New Roman"/>
          <w:sz w:val="24"/>
          <w:szCs w:val="24"/>
        </w:rPr>
        <w:t xml:space="preserve">impiego dei listelli incrociati agli angoli in favore di una decorazione più moderna, popolata di fiori e animali, nella </w:t>
      </w:r>
      <w:r w:rsidRPr="00096909">
        <w:rPr>
          <w:rFonts w:ascii="Times New Roman" w:hAnsi="Times New Roman" w:cs="Times New Roman"/>
          <w:i/>
          <w:sz w:val="24"/>
          <w:szCs w:val="24"/>
        </w:rPr>
        <w:t>Pentecoste</w:t>
      </w:r>
      <w:r w:rsidRPr="00096909">
        <w:rPr>
          <w:rFonts w:ascii="Times New Roman" w:hAnsi="Times New Roman" w:cs="Times New Roman"/>
          <w:sz w:val="24"/>
          <w:szCs w:val="24"/>
        </w:rPr>
        <w:t xml:space="preserve"> al foglio 209r (fig. 4), la composizione risulta priva di una misurata gestione dello spazio, la prospettiva del cenacolo è più intuita che reale, i gesti degli apostoli, irradiati dallo Spirito Santo, non risultano in dialogo tra loro, e non viene meno l’atmosfera fiabesca che segna larga parte della produzione dell’artista.</w:t>
      </w:r>
      <w:r w:rsidRPr="00096909">
        <w:rPr>
          <w:rStyle w:val="Rimandonotaapidipagina"/>
          <w:rFonts w:ascii="Times New Roman" w:hAnsi="Times New Roman" w:cs="Times New Roman"/>
          <w:sz w:val="24"/>
          <w:szCs w:val="24"/>
        </w:rPr>
        <w:footnoteReference w:id="125"/>
      </w:r>
      <w:r w:rsidRPr="00096909">
        <w:rPr>
          <w:rFonts w:ascii="Times New Roman" w:hAnsi="Times New Roman" w:cs="Times New Roman"/>
          <w:sz w:val="24"/>
          <w:szCs w:val="24"/>
        </w:rPr>
        <w:t xml:space="preserve"> </w:t>
      </w:r>
    </w:p>
    <w:p w14:paraId="2090A60E" w14:textId="77777777" w:rsidR="00033A17"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Il confronto con la </w:t>
      </w:r>
      <w:r w:rsidRPr="00096909">
        <w:rPr>
          <w:rFonts w:ascii="Times New Roman" w:hAnsi="Times New Roman" w:cs="Times New Roman"/>
          <w:i/>
          <w:sz w:val="24"/>
          <w:szCs w:val="24"/>
        </w:rPr>
        <w:t>Crocifissione</w:t>
      </w:r>
      <w:r w:rsidRPr="00096909">
        <w:rPr>
          <w:rFonts w:ascii="Times New Roman" w:hAnsi="Times New Roman" w:cs="Times New Roman"/>
          <w:sz w:val="24"/>
          <w:szCs w:val="24"/>
        </w:rPr>
        <w:t xml:space="preserve"> a piena pagina di Girolamo da Cremona del foglio 182v (fig. 5) illustra invece quale fosse il temperamento del secondo miniatore. Meditata la lezione del Mantegna, l</w:t>
      </w:r>
      <w:r w:rsidR="00484BCE">
        <w:rPr>
          <w:rFonts w:ascii="Times New Roman" w:hAnsi="Times New Roman" w:cs="Times New Roman"/>
          <w:sz w:val="24"/>
          <w:szCs w:val="24"/>
        </w:rPr>
        <w:t>e</w:t>
      </w:r>
      <w:r w:rsidRPr="00096909">
        <w:rPr>
          <w:rFonts w:ascii="Times New Roman" w:hAnsi="Times New Roman" w:cs="Times New Roman"/>
          <w:sz w:val="24"/>
          <w:szCs w:val="24"/>
        </w:rPr>
        <w:t xml:space="preserve"> volumetri</w:t>
      </w:r>
      <w:r w:rsidR="004B71DC">
        <w:rPr>
          <w:rFonts w:ascii="Times New Roman" w:hAnsi="Times New Roman" w:cs="Times New Roman"/>
          <w:sz w:val="24"/>
          <w:szCs w:val="24"/>
        </w:rPr>
        <w:t>e</w:t>
      </w:r>
      <w:r w:rsidRPr="00096909">
        <w:rPr>
          <w:rFonts w:ascii="Times New Roman" w:hAnsi="Times New Roman" w:cs="Times New Roman"/>
          <w:sz w:val="24"/>
          <w:szCs w:val="24"/>
        </w:rPr>
        <w:t xml:space="preserve"> della Vergine e di san Giovanni abita</w:t>
      </w:r>
      <w:r w:rsidR="004B71DC">
        <w:rPr>
          <w:rFonts w:ascii="Times New Roman" w:hAnsi="Times New Roman" w:cs="Times New Roman"/>
          <w:sz w:val="24"/>
          <w:szCs w:val="24"/>
        </w:rPr>
        <w:t>no</w:t>
      </w:r>
      <w:r w:rsidRPr="00096909">
        <w:rPr>
          <w:rFonts w:ascii="Times New Roman" w:hAnsi="Times New Roman" w:cs="Times New Roman"/>
          <w:sz w:val="24"/>
          <w:szCs w:val="24"/>
        </w:rPr>
        <w:t xml:space="preserve"> qui con naturalezza uno spazio prospettico perfettamente scorciato. Domina l’attenzione al dettaglio e alla resa naturalistica delle espressioni dei volti, dei corpi, dei panneggi e dello sfondo paesaggistico, inquadrati da una cornice di gioielli e di perle disposti in armoniosa simmetria, secondo una tipologia decorativa destinata a trovare fortuna nella miniatura d’area veneto-padovana del decennio successivo.</w:t>
      </w:r>
      <w:r w:rsidRPr="00096909">
        <w:rPr>
          <w:rStyle w:val="Rimandonotaapidipagina"/>
          <w:rFonts w:ascii="Times New Roman" w:hAnsi="Times New Roman" w:cs="Times New Roman"/>
          <w:sz w:val="24"/>
          <w:szCs w:val="24"/>
        </w:rPr>
        <w:footnoteReference w:id="126"/>
      </w:r>
      <w:r w:rsidRPr="00096909">
        <w:rPr>
          <w:rFonts w:ascii="Times New Roman" w:hAnsi="Times New Roman" w:cs="Times New Roman"/>
          <w:sz w:val="24"/>
          <w:szCs w:val="24"/>
        </w:rPr>
        <w:t xml:space="preserve"> </w:t>
      </w:r>
    </w:p>
    <w:p w14:paraId="683F3D54"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decisione della marchesa di Mantova di assegnare a Girolamo il </w:t>
      </w:r>
      <w:r>
        <w:rPr>
          <w:rFonts w:ascii="Times New Roman" w:hAnsi="Times New Roman" w:cs="Times New Roman"/>
          <w:sz w:val="24"/>
          <w:szCs w:val="24"/>
        </w:rPr>
        <w:t xml:space="preserve">completamento </w:t>
      </w:r>
      <w:r w:rsidRPr="00096909">
        <w:rPr>
          <w:rFonts w:ascii="Times New Roman" w:hAnsi="Times New Roman" w:cs="Times New Roman"/>
          <w:sz w:val="24"/>
          <w:szCs w:val="24"/>
        </w:rPr>
        <w:t xml:space="preserve">del Messale potrebbe dunque essere l’indizio di un cambio di tendenze in favore di un gusto ornamentale capace di fare propri i canoni del Rinascimento delle corti padane senza tagliare i ponti con la tradizione figurativa del gotico internazionale. </w:t>
      </w:r>
    </w:p>
    <w:p w14:paraId="5D209BFA"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Oltre che sul contributo di celebri miniatori, nell’età di Ludovico e di Federico I la corte di Mantova poté contare sull’opera di apprezzati calligrafi. In aggiunta al Marono, lavorarono per i </w:t>
      </w:r>
      <w:r w:rsidRPr="00096909">
        <w:rPr>
          <w:rFonts w:ascii="Times New Roman" w:hAnsi="Times New Roman" w:cs="Times New Roman"/>
          <w:sz w:val="24"/>
          <w:szCs w:val="24"/>
        </w:rPr>
        <w:lastRenderedPageBreak/>
        <w:t xml:space="preserve">Gonzaga </w:t>
      </w:r>
      <w:bookmarkStart w:id="76" w:name="_Hlk535830718"/>
      <w:r w:rsidRPr="00096909">
        <w:rPr>
          <w:rFonts w:ascii="Times New Roman" w:hAnsi="Times New Roman" w:cs="Times New Roman"/>
          <w:sz w:val="24"/>
          <w:szCs w:val="24"/>
        </w:rPr>
        <w:t xml:space="preserve">Bartolomeo Sanvito </w:t>
      </w:r>
      <w:bookmarkEnd w:id="76"/>
      <w:r w:rsidRPr="00096909">
        <w:rPr>
          <w:rFonts w:ascii="Times New Roman" w:hAnsi="Times New Roman" w:cs="Times New Roman"/>
          <w:sz w:val="24"/>
          <w:szCs w:val="24"/>
        </w:rPr>
        <w:t xml:space="preserve">e </w:t>
      </w:r>
      <w:bookmarkStart w:id="77" w:name="_Hlk535830787"/>
      <w:r w:rsidRPr="00096909">
        <w:rPr>
          <w:rFonts w:ascii="Times New Roman" w:hAnsi="Times New Roman" w:cs="Times New Roman"/>
          <w:sz w:val="24"/>
          <w:szCs w:val="24"/>
        </w:rPr>
        <w:t>Matteo Contugi da Volterra</w:t>
      </w:r>
      <w:bookmarkEnd w:id="77"/>
      <w:r w:rsidRPr="00096909">
        <w:rPr>
          <w:rFonts w:ascii="Times New Roman" w:hAnsi="Times New Roman" w:cs="Times New Roman"/>
          <w:sz w:val="24"/>
          <w:szCs w:val="24"/>
        </w:rPr>
        <w:t xml:space="preserve">, che per Ludovico </w:t>
      </w:r>
      <w:r>
        <w:rPr>
          <w:rFonts w:ascii="Times New Roman" w:hAnsi="Times New Roman" w:cs="Times New Roman"/>
          <w:sz w:val="24"/>
          <w:szCs w:val="24"/>
        </w:rPr>
        <w:t xml:space="preserve">copiò </w:t>
      </w:r>
      <w:r w:rsidRPr="00096909">
        <w:rPr>
          <w:rFonts w:ascii="Times New Roman" w:hAnsi="Times New Roman" w:cs="Times New Roman"/>
          <w:sz w:val="24"/>
          <w:szCs w:val="24"/>
        </w:rPr>
        <w:t xml:space="preserve">il menzionato Plinio di Torino e, nella primavera del 1469, il codice con le commedie di Plauto illustrato dal ferrarese </w:t>
      </w:r>
      <w:bookmarkStart w:id="78" w:name="_Hlk528508375"/>
      <w:r w:rsidRPr="00096909">
        <w:rPr>
          <w:rFonts w:ascii="Times New Roman" w:hAnsi="Times New Roman" w:cs="Times New Roman"/>
          <w:sz w:val="24"/>
          <w:szCs w:val="24"/>
        </w:rPr>
        <w:t>Guglielmo Giraldi</w:t>
      </w:r>
      <w:bookmarkEnd w:id="78"/>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27"/>
      </w:r>
      <w:r w:rsidRPr="00096909">
        <w:rPr>
          <w:rFonts w:ascii="Times New Roman" w:hAnsi="Times New Roman" w:cs="Times New Roman"/>
          <w:sz w:val="24"/>
          <w:szCs w:val="24"/>
        </w:rPr>
        <w:t xml:space="preserve"> </w:t>
      </w:r>
    </w:p>
    <w:p w14:paraId="470CA534"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L’attività di quest’ultimo artista è interessante per tracciare alcune delle frequenti relazioni </w:t>
      </w:r>
      <w:r>
        <w:rPr>
          <w:rFonts w:ascii="Times New Roman" w:hAnsi="Times New Roman" w:cs="Times New Roman"/>
          <w:sz w:val="24"/>
          <w:szCs w:val="24"/>
        </w:rPr>
        <w:t xml:space="preserve">intercorse </w:t>
      </w:r>
      <w:r w:rsidRPr="00096909">
        <w:rPr>
          <w:rFonts w:ascii="Times New Roman" w:hAnsi="Times New Roman" w:cs="Times New Roman"/>
          <w:sz w:val="24"/>
          <w:szCs w:val="24"/>
        </w:rPr>
        <w:t xml:space="preserve">tra i Gonzaga e gli Este riguardanti il commercio di libri. Un pagamento del duca Borso al Giraldi, in data 22 dicembre 1467 per un </w:t>
      </w:r>
      <w:r w:rsidRPr="00096909">
        <w:rPr>
          <w:rFonts w:ascii="Times New Roman" w:hAnsi="Times New Roman" w:cs="Times New Roman"/>
          <w:i/>
          <w:sz w:val="24"/>
          <w:szCs w:val="24"/>
        </w:rPr>
        <w:t>Offiziolo</w:t>
      </w:r>
      <w:r w:rsidRPr="00096909">
        <w:rPr>
          <w:rFonts w:ascii="Times New Roman" w:hAnsi="Times New Roman" w:cs="Times New Roman"/>
          <w:sz w:val="24"/>
          <w:szCs w:val="24"/>
        </w:rPr>
        <w:t xml:space="preserve"> della Vergine destinato a Cecilia Gonzaga, prova, ad esempio, come egli avesse commissionato l’opera per conto della casata alleata.</w:t>
      </w:r>
      <w:r w:rsidRPr="00096909">
        <w:rPr>
          <w:rStyle w:val="Rimandonotaapidipagina"/>
          <w:rFonts w:ascii="Times New Roman" w:hAnsi="Times New Roman" w:cs="Times New Roman"/>
          <w:sz w:val="24"/>
          <w:szCs w:val="24"/>
        </w:rPr>
        <w:footnoteReference w:id="128"/>
      </w:r>
    </w:p>
    <w:p w14:paraId="4B2A9E7F"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In una missiva del 2 ottobre 1468 indirizzata a Ludovico Gonzaga è invece Matteo Contugi</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svolgendo forse una funzione d’informatore sulle maestranze attive in altre corti che potessero interessare il suo Signore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a proporre Giraldi per la decorazione del celebre Plinio torinese; mentre in una seconda lettera del 12 maggio1469 l’artista medesimo chiese a</w:t>
      </w:r>
      <w:r w:rsidR="00164AD1">
        <w:rPr>
          <w:rFonts w:ascii="Times New Roman" w:hAnsi="Times New Roman" w:cs="Times New Roman"/>
          <w:sz w:val="24"/>
          <w:szCs w:val="24"/>
        </w:rPr>
        <w:t>lla marchesa</w:t>
      </w:r>
      <w:r w:rsidRPr="00096909">
        <w:rPr>
          <w:rFonts w:ascii="Times New Roman" w:hAnsi="Times New Roman" w:cs="Times New Roman"/>
          <w:sz w:val="24"/>
          <w:szCs w:val="24"/>
        </w:rPr>
        <w:t xml:space="preserve"> Barbara il compenso per un offiziolo a lei venduto nella primavera dello stesso anno, quando si era recato a Mantova per miniare dei libri. Un ultimo documento del 10 giugno 1469 informa sui dettagli della confezione del codice e sulla preparazione da parte di Giraldi della legatura, con una tale precisione che si è supposta un’autentica attività di cartolaio da parte del miniatore ferrarese. </w:t>
      </w:r>
    </w:p>
    <w:p w14:paraId="3D0F497A"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Insieme all’aggiornamento figurale sui canoni di Piero della Francesca, visibile nel </w:t>
      </w:r>
      <w:bookmarkStart w:id="79" w:name="_Hlk528508295"/>
      <w:r w:rsidRPr="00096909">
        <w:rPr>
          <w:rFonts w:ascii="Times New Roman" w:hAnsi="Times New Roman" w:cs="Times New Roman"/>
          <w:i/>
          <w:sz w:val="24"/>
          <w:szCs w:val="24"/>
        </w:rPr>
        <w:t>Parto di Alcmena</w:t>
      </w:r>
      <w:r w:rsidRPr="00096909">
        <w:rPr>
          <w:rFonts w:ascii="Times New Roman" w:hAnsi="Times New Roman" w:cs="Times New Roman"/>
          <w:sz w:val="24"/>
          <w:szCs w:val="24"/>
        </w:rPr>
        <w:t xml:space="preserve"> </w:t>
      </w:r>
      <w:bookmarkEnd w:id="79"/>
      <w:r w:rsidRPr="00096909">
        <w:rPr>
          <w:rFonts w:ascii="Times New Roman" w:hAnsi="Times New Roman" w:cs="Times New Roman"/>
          <w:sz w:val="24"/>
          <w:szCs w:val="24"/>
        </w:rPr>
        <w:t>del foglio 1r del Plauto madrileno (fig. 6), e all’introduzione a Mantova dell’ornato a cappi intrecciati, presente nelle iniziali dell’</w:t>
      </w:r>
      <w:r w:rsidRPr="00096909">
        <w:rPr>
          <w:rFonts w:ascii="Times New Roman" w:hAnsi="Times New Roman" w:cs="Times New Roman"/>
          <w:i/>
          <w:sz w:val="24"/>
          <w:szCs w:val="24"/>
        </w:rPr>
        <w:t>incipit</w:t>
      </w:r>
      <w:r w:rsidRPr="00096909">
        <w:rPr>
          <w:rFonts w:ascii="Times New Roman" w:hAnsi="Times New Roman" w:cs="Times New Roman"/>
          <w:sz w:val="24"/>
          <w:szCs w:val="24"/>
        </w:rPr>
        <w:t xml:space="preserve"> di ciascuna commedia, sarebbe quindi proprio del Giraldi un certo talento imprenditoriale nel munirsi di un </w:t>
      </w:r>
      <w:r w:rsidRPr="00096909">
        <w:rPr>
          <w:rFonts w:ascii="Times New Roman" w:hAnsi="Times New Roman" w:cs="Times New Roman"/>
          <w:i/>
          <w:sz w:val="24"/>
          <w:szCs w:val="24"/>
        </w:rPr>
        <w:t>atelier</w:t>
      </w:r>
      <w:r w:rsidRPr="00096909">
        <w:rPr>
          <w:rFonts w:ascii="Times New Roman" w:hAnsi="Times New Roman" w:cs="Times New Roman"/>
          <w:sz w:val="24"/>
          <w:szCs w:val="24"/>
        </w:rPr>
        <w:t xml:space="preserve"> capace di seguire tutte le fasi di preparazione del manoscritto e di procurarsi una clientela aristocratica.</w:t>
      </w:r>
      <w:r w:rsidRPr="00096909">
        <w:rPr>
          <w:rStyle w:val="Rimandonotaapidipagina"/>
          <w:rFonts w:ascii="Times New Roman" w:hAnsi="Times New Roman" w:cs="Times New Roman"/>
          <w:sz w:val="24"/>
          <w:szCs w:val="24"/>
        </w:rPr>
        <w:footnoteReference w:id="129"/>
      </w:r>
      <w:r w:rsidRPr="00096909">
        <w:rPr>
          <w:rFonts w:ascii="Times New Roman" w:hAnsi="Times New Roman" w:cs="Times New Roman"/>
          <w:sz w:val="24"/>
          <w:szCs w:val="24"/>
        </w:rPr>
        <w:t xml:space="preserve"> </w:t>
      </w:r>
    </w:p>
    <w:p w14:paraId="0E8290E9"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La rete di relazioni tra le due corti padane facilitò certamente la circolazione delle maestranze del libro, come illustra la stessa carriera di Giraldi, avviatasi nell’ambito della corte di Leonello d’Este, dove andò definendosi un filone d’illustrazione dei testi antichi, apprezzato dallo stesso Guarino Veronese, che prediligeva un ornato semplice, recuperando la veste dei codici romanici.</w:t>
      </w:r>
      <w:r w:rsidRPr="00096909">
        <w:rPr>
          <w:rStyle w:val="Rimandonotaapidipagina"/>
          <w:rFonts w:ascii="Times New Roman" w:hAnsi="Times New Roman" w:cs="Times New Roman"/>
          <w:sz w:val="24"/>
          <w:szCs w:val="24"/>
        </w:rPr>
        <w:footnoteReference w:id="130"/>
      </w:r>
      <w:r w:rsidRPr="00096909">
        <w:rPr>
          <w:rFonts w:ascii="Times New Roman" w:hAnsi="Times New Roman" w:cs="Times New Roman"/>
          <w:sz w:val="24"/>
          <w:szCs w:val="24"/>
        </w:rPr>
        <w:t xml:space="preserve"> Ne sono esempio le iniziali a bianchi girari del primo codice noto di Giraldi, le </w:t>
      </w:r>
      <w:r w:rsidRPr="00096909">
        <w:rPr>
          <w:rFonts w:ascii="Times New Roman" w:hAnsi="Times New Roman" w:cs="Times New Roman"/>
          <w:i/>
          <w:sz w:val="24"/>
          <w:szCs w:val="24"/>
        </w:rPr>
        <w:t xml:space="preserve">Noctes </w:t>
      </w:r>
      <w:r w:rsidRPr="00096909">
        <w:rPr>
          <w:rFonts w:ascii="Times New Roman" w:hAnsi="Times New Roman" w:cs="Times New Roman"/>
          <w:i/>
          <w:sz w:val="24"/>
          <w:szCs w:val="24"/>
        </w:rPr>
        <w:lastRenderedPageBreak/>
        <w:t>Atticae</w:t>
      </w:r>
      <w:r w:rsidRPr="00096909">
        <w:rPr>
          <w:rFonts w:ascii="Times New Roman" w:hAnsi="Times New Roman" w:cs="Times New Roman"/>
          <w:sz w:val="24"/>
          <w:szCs w:val="24"/>
        </w:rPr>
        <w:t xml:space="preserve"> di Aulo Gellio del 1448,</w:t>
      </w:r>
      <w:r w:rsidRPr="00096909">
        <w:rPr>
          <w:rStyle w:val="Rimandonotaapidipagina"/>
          <w:rFonts w:ascii="Times New Roman" w:hAnsi="Times New Roman" w:cs="Times New Roman"/>
          <w:sz w:val="24"/>
          <w:szCs w:val="24"/>
        </w:rPr>
        <w:footnoteReference w:id="131"/>
      </w:r>
      <w:r w:rsidRPr="00096909">
        <w:rPr>
          <w:rFonts w:ascii="Times New Roman" w:hAnsi="Times New Roman" w:cs="Times New Roman"/>
          <w:sz w:val="24"/>
          <w:szCs w:val="24"/>
        </w:rPr>
        <w:t xml:space="preserve"> e le sue miniature a piena pagina ai fogli 90v e 91r (fig. 7), caratterizzate da una vivace cromia ispirata dalla pittura di luce toscana, appresa forse dal confronto con Agnolo da Siena, residente negli stessi anni alla corte per lavorare allo studio di Belfiore. </w:t>
      </w:r>
    </w:p>
    <w:p w14:paraId="41FDE7FA"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La penetrazione di tratti caratteristici della miniatura toscana, tra cui la prospettiva della piazza di Atene che accoglie l’assemblea dei dotti in dialogo con l’autore, è del resto evidente nella adozione della decorazione a bianchi girari, ornato tipicamente fiorentino importato a Ferrara da Giovanni Falconi e da Jacopino d’Arezzo.</w:t>
      </w:r>
      <w:r w:rsidRPr="00096909">
        <w:rPr>
          <w:rStyle w:val="Rimandonotaapidipagina"/>
          <w:rFonts w:ascii="Times New Roman" w:hAnsi="Times New Roman" w:cs="Times New Roman"/>
          <w:sz w:val="24"/>
          <w:szCs w:val="24"/>
        </w:rPr>
        <w:footnoteReference w:id="132"/>
      </w:r>
      <w:r w:rsidRPr="00096909">
        <w:rPr>
          <w:rFonts w:ascii="Times New Roman" w:hAnsi="Times New Roman" w:cs="Times New Roman"/>
          <w:sz w:val="24"/>
          <w:szCs w:val="24"/>
        </w:rPr>
        <w:t xml:space="preserve"> </w:t>
      </w:r>
    </w:p>
    <w:p w14:paraId="44B9378A"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La corte estense, disponibile ad accogliere gli stilemi illustrativi più diffusi del tempo, seppe non di meno affinarli e declinarli secondo i propri linguaggi figurativi. Ne è prova il capolavoro emblematico della miniatura ferrarese del Quattrocento, immagine perfetta dell’estro artistico del successore di L</w:t>
      </w:r>
      <w:r w:rsidR="00F51B12">
        <w:rPr>
          <w:rFonts w:ascii="Times New Roman" w:hAnsi="Times New Roman" w:cs="Times New Roman"/>
          <w:sz w:val="24"/>
          <w:szCs w:val="24"/>
        </w:rPr>
        <w:t>e</w:t>
      </w:r>
      <w:r w:rsidRPr="00096909">
        <w:rPr>
          <w:rFonts w:ascii="Times New Roman" w:hAnsi="Times New Roman" w:cs="Times New Roman"/>
          <w:sz w:val="24"/>
          <w:szCs w:val="24"/>
        </w:rPr>
        <w:t>onello:</w:t>
      </w:r>
      <w:r w:rsidRPr="00096909">
        <w:rPr>
          <w:rStyle w:val="Rimandonotaapidipagina"/>
          <w:rFonts w:ascii="Times New Roman" w:hAnsi="Times New Roman" w:cs="Times New Roman"/>
          <w:sz w:val="24"/>
          <w:szCs w:val="24"/>
        </w:rPr>
        <w:footnoteReference w:id="133"/>
      </w:r>
      <w:r w:rsidRPr="00096909">
        <w:rPr>
          <w:rFonts w:ascii="Times New Roman" w:hAnsi="Times New Roman" w:cs="Times New Roman"/>
          <w:sz w:val="24"/>
          <w:szCs w:val="24"/>
        </w:rPr>
        <w:t xml:space="preserve"> la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di Borso d’Este, eseguita tra il 1455 e il 1461 da Taddeo Crivelli e Franco dei Russi, coadiuvati da almeno diciassette miniatori, tra cui Giorgio d’Alemagna e Marco dell’Avogaro, Girolamo da Cremona e Guglielmo Giraldi. Per agevolare i due maestri nella decorazione del manoscritto – vergato in grafia semigotica da Pier Paolo Maron</w:t>
      </w:r>
      <w:r>
        <w:rPr>
          <w:rFonts w:ascii="Times New Roman" w:hAnsi="Times New Roman" w:cs="Times New Roman"/>
          <w:sz w:val="24"/>
          <w:szCs w:val="24"/>
        </w:rPr>
        <w:t>o</w:t>
      </w:r>
      <w:r w:rsidRPr="00096909">
        <w:rPr>
          <w:rFonts w:ascii="Times New Roman" w:hAnsi="Times New Roman" w:cs="Times New Roman"/>
          <w:sz w:val="24"/>
          <w:szCs w:val="24"/>
        </w:rPr>
        <w:t xml:space="preserve"> che, come visto, avrebbe poi ricevuto importanti committenze da Barbara Gonzaga – Borso affittò una casa munita di locali</w:t>
      </w:r>
      <w:r>
        <w:rPr>
          <w:rFonts w:ascii="Times New Roman" w:hAnsi="Times New Roman" w:cs="Times New Roman"/>
          <w:sz w:val="24"/>
          <w:szCs w:val="24"/>
        </w:rPr>
        <w:t>,</w:t>
      </w:r>
      <w:r w:rsidRPr="00096909">
        <w:rPr>
          <w:rFonts w:ascii="Times New Roman" w:hAnsi="Times New Roman" w:cs="Times New Roman"/>
          <w:sz w:val="24"/>
          <w:szCs w:val="24"/>
        </w:rPr>
        <w:t xml:space="preserve"> dove essi potessero lavorare e soggiornare.</w:t>
      </w:r>
      <w:r w:rsidRPr="00096909">
        <w:rPr>
          <w:rStyle w:val="Rimandonotaapidipagina"/>
          <w:rFonts w:ascii="Times New Roman" w:hAnsi="Times New Roman" w:cs="Times New Roman"/>
          <w:sz w:val="24"/>
          <w:szCs w:val="24"/>
        </w:rPr>
        <w:footnoteReference w:id="134"/>
      </w:r>
      <w:r w:rsidRPr="00096909">
        <w:rPr>
          <w:rFonts w:ascii="Times New Roman" w:hAnsi="Times New Roman" w:cs="Times New Roman"/>
          <w:sz w:val="24"/>
          <w:szCs w:val="24"/>
        </w:rPr>
        <w:t xml:space="preserve"> Il gesto attesta l’attenzione del duca allo svolgimento dell’impresa, ma anche l’occasionalità di una simile operazione e la mancanza di uno </w:t>
      </w:r>
      <w:r w:rsidRPr="00096909">
        <w:rPr>
          <w:rFonts w:ascii="Times New Roman" w:hAnsi="Times New Roman" w:cs="Times New Roman"/>
          <w:i/>
          <w:sz w:val="24"/>
          <w:szCs w:val="24"/>
        </w:rPr>
        <w:t>scriptorium</w:t>
      </w:r>
      <w:r w:rsidRPr="00096909">
        <w:rPr>
          <w:rFonts w:ascii="Times New Roman" w:hAnsi="Times New Roman" w:cs="Times New Roman"/>
          <w:sz w:val="24"/>
          <w:szCs w:val="24"/>
        </w:rPr>
        <w:t xml:space="preserve"> stabile presso la corte.</w:t>
      </w:r>
      <w:r w:rsidRPr="00096909">
        <w:rPr>
          <w:rStyle w:val="Rimandonotaapidipagina"/>
          <w:rFonts w:ascii="Times New Roman" w:hAnsi="Times New Roman" w:cs="Times New Roman"/>
          <w:sz w:val="24"/>
          <w:szCs w:val="24"/>
        </w:rPr>
        <w:footnoteReference w:id="135"/>
      </w:r>
      <w:r w:rsidRPr="00096909">
        <w:rPr>
          <w:rFonts w:ascii="Times New Roman" w:hAnsi="Times New Roman" w:cs="Times New Roman"/>
          <w:sz w:val="24"/>
          <w:szCs w:val="24"/>
        </w:rPr>
        <w:t xml:space="preserve"> </w:t>
      </w:r>
    </w:p>
    <w:p w14:paraId="10947B2F"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L’équipe dei pittori, sotto la guida di Crivelli e dei Russi, procedette al minio </w:t>
      </w:r>
      <w:r>
        <w:rPr>
          <w:rFonts w:ascii="Times New Roman" w:hAnsi="Times New Roman" w:cs="Times New Roman"/>
          <w:sz w:val="24"/>
          <w:szCs w:val="24"/>
        </w:rPr>
        <w:t>su</w:t>
      </w:r>
      <w:r w:rsidRPr="00096909">
        <w:rPr>
          <w:rFonts w:ascii="Times New Roman" w:hAnsi="Times New Roman" w:cs="Times New Roman"/>
          <w:sz w:val="24"/>
          <w:szCs w:val="24"/>
        </w:rPr>
        <w:t xml:space="preserve">l recto e </w:t>
      </w:r>
      <w:r>
        <w:rPr>
          <w:rFonts w:ascii="Times New Roman" w:hAnsi="Times New Roman" w:cs="Times New Roman"/>
          <w:sz w:val="24"/>
          <w:szCs w:val="24"/>
        </w:rPr>
        <w:t>su</w:t>
      </w:r>
      <w:r w:rsidRPr="00096909">
        <w:rPr>
          <w:rFonts w:ascii="Times New Roman" w:hAnsi="Times New Roman" w:cs="Times New Roman"/>
          <w:sz w:val="24"/>
          <w:szCs w:val="24"/>
        </w:rPr>
        <w:t xml:space="preserve">l verso di ciascuno dei 604 fogli dell’opera, con un’esuberanza e una maestria tecnica che nelle pagine d’apertura dei singoli libri della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raggiunse vette di straordinaria finezza. Lungo i </w:t>
      </w:r>
      <w:r w:rsidRPr="00096909">
        <w:rPr>
          <w:rFonts w:ascii="Times New Roman" w:hAnsi="Times New Roman" w:cs="Times New Roman"/>
          <w:sz w:val="24"/>
          <w:szCs w:val="24"/>
        </w:rPr>
        <w:lastRenderedPageBreak/>
        <w:t xml:space="preserve">fregi a filigrana che corrono sui quattro lati della pagina e nell’intercolumnio, trovarono posto stemmi, imprese, putti, centauri, sirene e animali, e si aprirono nei margini inferiori vignette illustranti gli episodi della storia sacra. Nell’abbigliamento dei protagonisti e nella ricercatezza delle ambientazioni di queste ultime si ritrova il lusso esornativo della corte estense, citato nelle giornee damascate e nelle calze attillate di Salomone e dei suoi paggi, come nelle acconciature alla moda borgognona delle dame dipinte da Crivelli sulle pagine del </w:t>
      </w:r>
      <w:r w:rsidRPr="00096909">
        <w:rPr>
          <w:rFonts w:ascii="Times New Roman" w:hAnsi="Times New Roman" w:cs="Times New Roman"/>
          <w:i/>
          <w:sz w:val="24"/>
          <w:szCs w:val="24"/>
        </w:rPr>
        <w:t>III Libro dei Re</w:t>
      </w:r>
      <w:r w:rsidRPr="00096909">
        <w:rPr>
          <w:rFonts w:ascii="Times New Roman" w:hAnsi="Times New Roman" w:cs="Times New Roman"/>
          <w:sz w:val="24"/>
          <w:szCs w:val="24"/>
        </w:rPr>
        <w:t xml:space="preserve"> (Vol. I, ff. 141v., 165r., 145v.), o ancora, nel </w:t>
      </w:r>
      <w:r w:rsidRPr="00096909">
        <w:rPr>
          <w:rFonts w:ascii="Times New Roman" w:hAnsi="Times New Roman" w:cs="Times New Roman"/>
          <w:i/>
          <w:sz w:val="24"/>
          <w:szCs w:val="24"/>
        </w:rPr>
        <w:t>bas-de-page</w:t>
      </w:r>
      <w:r w:rsidRPr="00096909">
        <w:rPr>
          <w:rFonts w:ascii="Times New Roman" w:hAnsi="Times New Roman" w:cs="Times New Roman"/>
          <w:sz w:val="24"/>
          <w:szCs w:val="24"/>
        </w:rPr>
        <w:t xml:space="preserve"> della carta d’apertura dell’</w:t>
      </w:r>
      <w:r w:rsidRPr="00096909">
        <w:rPr>
          <w:rFonts w:ascii="Times New Roman" w:hAnsi="Times New Roman" w:cs="Times New Roman"/>
          <w:i/>
          <w:sz w:val="24"/>
          <w:szCs w:val="24"/>
        </w:rPr>
        <w:t>Ecclesiaste</w:t>
      </w:r>
      <w:r w:rsidRPr="00096909">
        <w:rPr>
          <w:rFonts w:ascii="Times New Roman" w:hAnsi="Times New Roman" w:cs="Times New Roman"/>
          <w:sz w:val="24"/>
          <w:szCs w:val="24"/>
        </w:rPr>
        <w:t xml:space="preserve"> (Vol. I, f. 280v.), </w:t>
      </w:r>
      <w:r>
        <w:rPr>
          <w:rFonts w:ascii="Times New Roman" w:hAnsi="Times New Roman" w:cs="Times New Roman"/>
          <w:sz w:val="24"/>
          <w:szCs w:val="24"/>
        </w:rPr>
        <w:t xml:space="preserve">dove </w:t>
      </w:r>
      <w:r w:rsidRPr="00096909">
        <w:rPr>
          <w:rFonts w:ascii="Times New Roman" w:hAnsi="Times New Roman" w:cs="Times New Roman"/>
          <w:sz w:val="24"/>
          <w:szCs w:val="24"/>
        </w:rPr>
        <w:t>la danza in cerchio di tre giovani e tre dame sotto il loggiato tripartito potrebbe echeggiare gli agi del castello di Borso.</w:t>
      </w:r>
      <w:r w:rsidRPr="00096909">
        <w:rPr>
          <w:rStyle w:val="Rimandonotaapidipagina"/>
          <w:rFonts w:ascii="Times New Roman" w:hAnsi="Times New Roman" w:cs="Times New Roman"/>
          <w:sz w:val="24"/>
          <w:szCs w:val="24"/>
        </w:rPr>
        <w:footnoteReference w:id="136"/>
      </w:r>
      <w:r w:rsidRPr="00096909">
        <w:rPr>
          <w:rFonts w:ascii="Times New Roman" w:hAnsi="Times New Roman" w:cs="Times New Roman"/>
          <w:sz w:val="24"/>
          <w:szCs w:val="24"/>
        </w:rPr>
        <w:t xml:space="preserve"> </w:t>
      </w:r>
    </w:p>
    <w:p w14:paraId="2B466995"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Pr>
          <w:rFonts w:ascii="Times New Roman" w:hAnsi="Times New Roman" w:cs="Times New Roman"/>
          <w:sz w:val="24"/>
          <w:szCs w:val="24"/>
        </w:rPr>
        <w:t>N</w:t>
      </w:r>
      <w:r w:rsidRPr="00096909">
        <w:rPr>
          <w:rFonts w:ascii="Times New Roman" w:hAnsi="Times New Roman" w:cs="Times New Roman"/>
          <w:sz w:val="24"/>
          <w:szCs w:val="24"/>
        </w:rPr>
        <w:t xml:space="preserve">ell’officina della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il lavoro gomito a gomito delle maestranze concorse alla creazione di un linguaggio comune</w:t>
      </w:r>
      <w:r>
        <w:rPr>
          <w:rFonts w:ascii="Times New Roman" w:hAnsi="Times New Roman" w:cs="Times New Roman"/>
          <w:sz w:val="24"/>
          <w:szCs w:val="24"/>
        </w:rPr>
        <w:t xml:space="preserve"> ai miniatori ingaggiati</w:t>
      </w:r>
      <w:r w:rsidRPr="00096909">
        <w:rPr>
          <w:rFonts w:ascii="Times New Roman" w:hAnsi="Times New Roman" w:cs="Times New Roman"/>
          <w:sz w:val="24"/>
          <w:szCs w:val="24"/>
        </w:rPr>
        <w:t>, di cui un elemento caratteristico fu proprio la stessa impaginazione del manoscritto. Se l’impiego di cornici a filigrana abbellite da fiorami e oculi era già stata sperimentata a Ferrara, non si davano precedenti invece di una scelta di raffigurazione continua e lineare degli episodi biblici grazie all’inserimento di vignette sul fregio inferiore di ogni pagina</w:t>
      </w:r>
      <w:r>
        <w:rPr>
          <w:rFonts w:ascii="Times New Roman" w:hAnsi="Times New Roman" w:cs="Times New Roman"/>
          <w:sz w:val="24"/>
          <w:szCs w:val="24"/>
        </w:rPr>
        <w:t xml:space="preserve">: questo espediente – </w:t>
      </w:r>
      <w:r w:rsidRPr="00096909">
        <w:rPr>
          <w:rFonts w:ascii="Times New Roman" w:hAnsi="Times New Roman" w:cs="Times New Roman"/>
          <w:sz w:val="24"/>
          <w:szCs w:val="24"/>
        </w:rPr>
        <w:t>forse ispirato dalle figurazioni di codici romanzi</w:t>
      </w:r>
      <w:r>
        <w:rPr>
          <w:rFonts w:ascii="Times New Roman" w:hAnsi="Times New Roman" w:cs="Times New Roman"/>
          <w:sz w:val="24"/>
          <w:szCs w:val="24"/>
        </w:rPr>
        <w:t xml:space="preserve"> di poemi cavallereschi</w:t>
      </w:r>
      <w:r w:rsidRPr="00096909">
        <w:rPr>
          <w:rFonts w:ascii="Times New Roman" w:hAnsi="Times New Roman" w:cs="Times New Roman"/>
          <w:sz w:val="24"/>
          <w:szCs w:val="24"/>
        </w:rPr>
        <w:t>, ben presenti tra le voci dei cataloghi bibliotecari estensi</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assicurava all’illustrazione un andamento piacevolmente narrativo. </w:t>
      </w:r>
    </w:p>
    <w:p w14:paraId="474D32C0"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Il contemporaneo passaggio della cultura artistica ferrarese dal Tardogotico al Rinascimento era inoltre ben riflesso dalle miniature del codice, influenzate, fin dalle fasi d’avvio del cantiere, da Cosmè Tura e da Michele Pannonio, all’epoca </w:t>
      </w:r>
      <w:r>
        <w:rPr>
          <w:rFonts w:ascii="Times New Roman" w:hAnsi="Times New Roman" w:cs="Times New Roman"/>
          <w:sz w:val="24"/>
          <w:szCs w:val="24"/>
        </w:rPr>
        <w:t>attivi nel</w:t>
      </w:r>
      <w:r w:rsidRPr="00096909">
        <w:rPr>
          <w:rFonts w:ascii="Times New Roman" w:hAnsi="Times New Roman" w:cs="Times New Roman"/>
          <w:sz w:val="24"/>
          <w:szCs w:val="24"/>
        </w:rPr>
        <w:t>la decorazione dello studiolo di Belfiore.</w:t>
      </w:r>
      <w:r w:rsidRPr="00096909">
        <w:rPr>
          <w:rStyle w:val="Rimandonotaapidipagina"/>
          <w:rFonts w:ascii="Times New Roman" w:hAnsi="Times New Roman" w:cs="Times New Roman"/>
          <w:sz w:val="24"/>
          <w:szCs w:val="24"/>
        </w:rPr>
        <w:footnoteReference w:id="137"/>
      </w:r>
      <w:r w:rsidRPr="00096909">
        <w:rPr>
          <w:rFonts w:ascii="Times New Roman" w:hAnsi="Times New Roman" w:cs="Times New Roman"/>
          <w:sz w:val="24"/>
          <w:szCs w:val="24"/>
        </w:rPr>
        <w:t xml:space="preserve"> Il decorativismo di certe cornici, ricche di varietà di fiori e di perle, accoglieva invece le indagini della moderna pittura fiamminga di Jan van Eyck e Rogier van der Weyden; mentre nella selva di animali che popolano la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sono state rintracciate citazioni dalla pittura di Pisanello, artista cortese per eccellenza e di cui si è supposto che fossero stati allievi sia Crivelli che dei Russi.</w:t>
      </w:r>
      <w:r w:rsidRPr="00096909">
        <w:rPr>
          <w:rStyle w:val="Rimandonotaapidipagina"/>
          <w:rFonts w:ascii="Times New Roman" w:hAnsi="Times New Roman" w:cs="Times New Roman"/>
          <w:sz w:val="24"/>
          <w:szCs w:val="24"/>
        </w:rPr>
        <w:footnoteReference w:id="138"/>
      </w:r>
      <w:r w:rsidRPr="00096909">
        <w:rPr>
          <w:rFonts w:ascii="Times New Roman" w:hAnsi="Times New Roman" w:cs="Times New Roman"/>
          <w:sz w:val="24"/>
          <w:szCs w:val="24"/>
        </w:rPr>
        <w:t xml:space="preserve">. </w:t>
      </w:r>
    </w:p>
    <w:p w14:paraId="77A0BD5F"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Infine, l’abbondanza degli stemmi e delle imprese di Borso nei due tomi manoscritti legava perfettamente l’opera al committente, grazie ai richiami al patrimonio araldico recentemente disegnato per volontà </w:t>
      </w:r>
      <w:r>
        <w:rPr>
          <w:rFonts w:ascii="Times New Roman" w:hAnsi="Times New Roman" w:cs="Times New Roman"/>
          <w:sz w:val="24"/>
          <w:szCs w:val="24"/>
        </w:rPr>
        <w:t xml:space="preserve">e per uso personale </w:t>
      </w:r>
      <w:r w:rsidRPr="00096909">
        <w:rPr>
          <w:rFonts w:ascii="Times New Roman" w:hAnsi="Times New Roman" w:cs="Times New Roman"/>
          <w:sz w:val="24"/>
          <w:szCs w:val="24"/>
        </w:rPr>
        <w:t>del principe.</w:t>
      </w:r>
      <w:r w:rsidRPr="00096909">
        <w:rPr>
          <w:rStyle w:val="Rimandonotaapidipagina"/>
          <w:rFonts w:ascii="Times New Roman" w:hAnsi="Times New Roman" w:cs="Times New Roman"/>
          <w:sz w:val="24"/>
          <w:szCs w:val="24"/>
        </w:rPr>
        <w:footnoteReference w:id="139"/>
      </w:r>
    </w:p>
    <w:p w14:paraId="6C8DEC9B"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Si comprende bene dunque per quale ragione nel 1471</w:t>
      </w:r>
      <w:r>
        <w:rPr>
          <w:rFonts w:ascii="Times New Roman" w:hAnsi="Times New Roman" w:cs="Times New Roman"/>
          <w:sz w:val="24"/>
          <w:szCs w:val="24"/>
        </w:rPr>
        <w:t xml:space="preserve"> </w:t>
      </w:r>
      <w:r w:rsidR="003373A6">
        <w:rPr>
          <w:rFonts w:ascii="Times New Roman" w:hAnsi="Times New Roman" w:cs="Times New Roman"/>
          <w:sz w:val="24"/>
          <w:szCs w:val="24"/>
        </w:rPr>
        <w:t xml:space="preserve">egli </w:t>
      </w:r>
      <w:r w:rsidRPr="00096909">
        <w:rPr>
          <w:rFonts w:ascii="Times New Roman" w:hAnsi="Times New Roman" w:cs="Times New Roman"/>
          <w:sz w:val="24"/>
          <w:szCs w:val="24"/>
        </w:rPr>
        <w:t xml:space="preserve">volle recare con sé a Roma i due tomi della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nel corteo che lo accompagnava da papa Paolo II per ricevere il titolo ducale. I preziosi codici, votati alla gloria di Dio, rendevano esplicita la regalità del principe, offrendo un esempio della ricercatezza delle esperienze pittoriche fiorite all’interno della sua corte.</w:t>
      </w:r>
    </w:p>
    <w:p w14:paraId="1BBAE355" w14:textId="77777777" w:rsidR="00033A17"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Con Ercole d’Este, lo stile eclettico delle illustrazioni dei libri di Borso venne progressivamente abbandonato in favore di un ritorno al semplice ornato a bianchi girari, che si addiceva maggiormente alle letture umanistiche predilette dal nuovo duca. Dal settembre 1471 le note di spesa della corte per l’acquisto, la scrittura e la legatura dei volumi certificano l’assegnazione di somme</w:t>
      </w:r>
      <w:r>
        <w:rPr>
          <w:rFonts w:ascii="Times New Roman" w:hAnsi="Times New Roman" w:cs="Times New Roman"/>
          <w:sz w:val="24"/>
          <w:szCs w:val="24"/>
        </w:rPr>
        <w:t xml:space="preserve"> di denaro</w:t>
      </w:r>
      <w:r w:rsidRPr="00096909">
        <w:rPr>
          <w:rFonts w:ascii="Times New Roman" w:hAnsi="Times New Roman" w:cs="Times New Roman"/>
          <w:sz w:val="24"/>
          <w:szCs w:val="24"/>
        </w:rPr>
        <w:t xml:space="preserve"> al bibliotecario e calligrafo Andrea dalle Vieze per il pagamento di professionisti cui egli appaltava l’esecuzione dei codici.</w:t>
      </w:r>
      <w:r w:rsidRPr="00096909">
        <w:rPr>
          <w:rStyle w:val="Rimandonotaapidipagina"/>
          <w:rFonts w:ascii="Times New Roman" w:hAnsi="Times New Roman" w:cs="Times New Roman"/>
          <w:sz w:val="24"/>
          <w:szCs w:val="24"/>
        </w:rPr>
        <w:footnoteReference w:id="140"/>
      </w:r>
      <w:r w:rsidRPr="00096909">
        <w:rPr>
          <w:rFonts w:ascii="Times New Roman" w:hAnsi="Times New Roman" w:cs="Times New Roman"/>
          <w:sz w:val="24"/>
          <w:szCs w:val="24"/>
        </w:rPr>
        <w:t xml:space="preserve"> Nei libri contabili la presenza di Taddeo Crivelli è attestata fino al 1473, data dopo la quale</w:t>
      </w:r>
      <w:r w:rsidR="00F83C5A" w:rsidRPr="00F83C5A">
        <w:rPr>
          <w:rFonts w:ascii="Times New Roman" w:hAnsi="Times New Roman" w:cs="Times New Roman"/>
          <w:sz w:val="24"/>
          <w:szCs w:val="24"/>
        </w:rPr>
        <w:t xml:space="preserve"> </w:t>
      </w:r>
      <w:r w:rsidR="00F83C5A">
        <w:rPr>
          <w:rFonts w:ascii="Times New Roman" w:hAnsi="Times New Roman" w:cs="Times New Roman"/>
          <w:sz w:val="24"/>
          <w:szCs w:val="24"/>
        </w:rPr>
        <w:t>l’artista</w:t>
      </w:r>
      <w:r w:rsidRPr="00096909">
        <w:rPr>
          <w:rFonts w:ascii="Times New Roman" w:hAnsi="Times New Roman" w:cs="Times New Roman"/>
          <w:sz w:val="24"/>
          <w:szCs w:val="24"/>
        </w:rPr>
        <w:t>, percepito il cambiamento di gusto del principe, accett</w:t>
      </w:r>
      <w:r>
        <w:rPr>
          <w:rFonts w:ascii="Times New Roman" w:hAnsi="Times New Roman" w:cs="Times New Roman"/>
          <w:sz w:val="24"/>
          <w:szCs w:val="24"/>
        </w:rPr>
        <w:t>ò</w:t>
      </w:r>
      <w:r w:rsidRPr="00096909">
        <w:rPr>
          <w:rFonts w:ascii="Times New Roman" w:hAnsi="Times New Roman" w:cs="Times New Roman"/>
          <w:sz w:val="24"/>
          <w:szCs w:val="24"/>
        </w:rPr>
        <w:t xml:space="preserve"> un ingaggio a Bologna per la decorazione dei Corali di San Procolo e poi per quelli di San Petronio. Anche Franco dei Russi e Girolamo da Cremona, furono costretti a lasciare Ferrara, mentre Guglielmo Giraldi, il miniatore più richiesto nell’ottavo decennio del secolo, mantenne le sue commissioni per </w:t>
      </w:r>
      <w:r>
        <w:rPr>
          <w:rFonts w:ascii="Times New Roman" w:hAnsi="Times New Roman" w:cs="Times New Roman"/>
          <w:sz w:val="24"/>
          <w:szCs w:val="24"/>
        </w:rPr>
        <w:t xml:space="preserve">la prosecuzione </w:t>
      </w:r>
      <w:r w:rsidRPr="00096909">
        <w:rPr>
          <w:rFonts w:ascii="Times New Roman" w:hAnsi="Times New Roman" w:cs="Times New Roman"/>
          <w:sz w:val="24"/>
          <w:szCs w:val="24"/>
        </w:rPr>
        <w:t xml:space="preserve">del ciclo dei Corali per la certosa di San Cristoforo avviato da Borso nel 1468. </w:t>
      </w:r>
    </w:p>
    <w:p w14:paraId="6BAFF271"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Il rinnovamento della politica culturale ducale, pur evidente in questa diaspora dei maestri dell’età precedente, fu tuttavia abbastanza prudente</w:t>
      </w:r>
      <w:r>
        <w:rPr>
          <w:rFonts w:ascii="Times New Roman" w:hAnsi="Times New Roman" w:cs="Times New Roman"/>
          <w:sz w:val="24"/>
          <w:szCs w:val="24"/>
        </w:rPr>
        <w:t>, e solo a</w:t>
      </w:r>
      <w:r w:rsidRPr="00096909">
        <w:rPr>
          <w:rFonts w:ascii="Times New Roman" w:hAnsi="Times New Roman" w:cs="Times New Roman"/>
          <w:sz w:val="24"/>
          <w:szCs w:val="24"/>
        </w:rPr>
        <w:t xml:space="preserve">lle soglie del nuovo secolo una certa vitalità artistica fu donata all’ambito della miniatura estense da Matteo da Milano, per il quale sono attestati pagamenti dalla corte tra il 1502 e il 1506. Nel suo monumentale studio sulla miniatura ferrarese Hermann riconobbe la sua mano nelle carte del </w:t>
      </w:r>
      <w:r w:rsidRPr="00096909">
        <w:rPr>
          <w:rFonts w:ascii="Times New Roman" w:hAnsi="Times New Roman" w:cs="Times New Roman"/>
          <w:i/>
          <w:sz w:val="24"/>
          <w:szCs w:val="24"/>
        </w:rPr>
        <w:t>Breviario</w:t>
      </w:r>
      <w:r w:rsidRPr="00096909">
        <w:rPr>
          <w:rFonts w:ascii="Times New Roman" w:hAnsi="Times New Roman" w:cs="Times New Roman"/>
          <w:sz w:val="24"/>
          <w:szCs w:val="24"/>
        </w:rPr>
        <w:t xml:space="preserve"> di Ercole d’Este conservato alla Biblioteca Estense di Modena e in quattro fogli da esso provenienti oggi a Zagabria. L’attività </w:t>
      </w:r>
      <w:r w:rsidRPr="00096909">
        <w:rPr>
          <w:rFonts w:ascii="Times New Roman" w:hAnsi="Times New Roman" w:cs="Times New Roman"/>
          <w:sz w:val="24"/>
          <w:szCs w:val="24"/>
        </w:rPr>
        <w:lastRenderedPageBreak/>
        <w:t xml:space="preserve">di Matteo, che nei primi anni del Cinquecento compì anche un </w:t>
      </w:r>
      <w:r w:rsidRPr="00096909">
        <w:rPr>
          <w:rFonts w:ascii="Times New Roman" w:hAnsi="Times New Roman" w:cs="Times New Roman"/>
          <w:i/>
          <w:sz w:val="24"/>
          <w:szCs w:val="24"/>
        </w:rPr>
        <w:t>Messale</w:t>
      </w:r>
      <w:r w:rsidRPr="00096909">
        <w:rPr>
          <w:rFonts w:ascii="Times New Roman" w:hAnsi="Times New Roman" w:cs="Times New Roman"/>
          <w:sz w:val="24"/>
          <w:szCs w:val="24"/>
        </w:rPr>
        <w:t xml:space="preserve"> per il cardinale Ippolito e un </w:t>
      </w:r>
      <w:r w:rsidRPr="00096909">
        <w:rPr>
          <w:rFonts w:ascii="Times New Roman" w:hAnsi="Times New Roman" w:cs="Times New Roman"/>
          <w:i/>
          <w:sz w:val="24"/>
          <w:szCs w:val="24"/>
        </w:rPr>
        <w:t>Officio</w:t>
      </w:r>
      <w:r w:rsidRPr="00096909">
        <w:rPr>
          <w:rFonts w:ascii="Times New Roman" w:hAnsi="Times New Roman" w:cs="Times New Roman"/>
          <w:sz w:val="24"/>
          <w:szCs w:val="24"/>
        </w:rPr>
        <w:t xml:space="preserve"> per Alfonso, portò a Ferrara le dolci atmosfere dei paesaggi di Leonardo e la razionalità delle salde architetture di Bramante, visibili nel foglio di Zagabria con </w:t>
      </w:r>
      <w:bookmarkStart w:id="81" w:name="_Hlk528511048"/>
      <w:r w:rsidRPr="00096909">
        <w:rPr>
          <w:rFonts w:ascii="Times New Roman" w:hAnsi="Times New Roman" w:cs="Times New Roman"/>
          <w:i/>
          <w:sz w:val="24"/>
          <w:szCs w:val="24"/>
        </w:rPr>
        <w:t xml:space="preserve">Davide come salmista </w:t>
      </w:r>
      <w:bookmarkEnd w:id="81"/>
      <w:r w:rsidRPr="00096909">
        <w:rPr>
          <w:rFonts w:ascii="Times New Roman" w:hAnsi="Times New Roman" w:cs="Times New Roman"/>
          <w:sz w:val="24"/>
          <w:szCs w:val="24"/>
        </w:rPr>
        <w:t>(fig. 8), in cui lo sfumato della prospettiva aerea leonardesca avvolge lo sfondo naturale della scena, oltre l’edicola brunelleschiana che ospita il re, mentre la cornice ricca di gemme e gioielli attesta una sintonia col decorativismo di Girolamo da Cremona.</w:t>
      </w:r>
      <w:r w:rsidRPr="00096909">
        <w:rPr>
          <w:rStyle w:val="Rimandonotaapidipagina"/>
          <w:rFonts w:ascii="Times New Roman" w:hAnsi="Times New Roman" w:cs="Times New Roman"/>
          <w:sz w:val="24"/>
          <w:szCs w:val="24"/>
        </w:rPr>
        <w:footnoteReference w:id="141"/>
      </w:r>
      <w:r w:rsidRPr="00096909">
        <w:rPr>
          <w:rFonts w:ascii="Times New Roman" w:hAnsi="Times New Roman" w:cs="Times New Roman"/>
          <w:sz w:val="24"/>
          <w:szCs w:val="24"/>
        </w:rPr>
        <w:t xml:space="preserve"> Il dialogo con la corte di Milano, serrato in seguito alle alleanze nuziali del 1491, fu dunque a Ferrara ragione per nuovi fruttosi incontri artistici e per il confronto con diverse opere di minio lombardo recate in città da Anna Sforza.</w:t>
      </w:r>
      <w:r w:rsidRPr="00096909">
        <w:rPr>
          <w:rStyle w:val="Rimandonotaapidipagina"/>
          <w:rFonts w:ascii="Times New Roman" w:hAnsi="Times New Roman" w:cs="Times New Roman"/>
          <w:sz w:val="24"/>
          <w:szCs w:val="24"/>
        </w:rPr>
        <w:footnoteReference w:id="142"/>
      </w:r>
      <w:r w:rsidRPr="00096909">
        <w:rPr>
          <w:rFonts w:ascii="Times New Roman" w:hAnsi="Times New Roman" w:cs="Times New Roman"/>
          <w:sz w:val="24"/>
          <w:szCs w:val="24"/>
        </w:rPr>
        <w:t xml:space="preserve"> </w:t>
      </w:r>
    </w:p>
    <w:p w14:paraId="57F4CC97"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Per contro, la vitalità delle sperimentazioni </w:t>
      </w:r>
      <w:r>
        <w:rPr>
          <w:rFonts w:ascii="Times New Roman" w:hAnsi="Times New Roman" w:cs="Times New Roman"/>
          <w:sz w:val="24"/>
          <w:szCs w:val="24"/>
        </w:rPr>
        <w:t xml:space="preserve">artistiche </w:t>
      </w:r>
      <w:r w:rsidRPr="00096909">
        <w:rPr>
          <w:rFonts w:ascii="Times New Roman" w:hAnsi="Times New Roman" w:cs="Times New Roman"/>
          <w:sz w:val="24"/>
          <w:szCs w:val="24"/>
        </w:rPr>
        <w:t xml:space="preserve">ferraresi aveva raggiunto la corte di Galeazzo Maria Sforza </w:t>
      </w:r>
      <w:r>
        <w:rPr>
          <w:rFonts w:ascii="Times New Roman" w:hAnsi="Times New Roman" w:cs="Times New Roman"/>
          <w:sz w:val="24"/>
          <w:szCs w:val="24"/>
        </w:rPr>
        <w:t>già nel 1469</w:t>
      </w:r>
      <w:r w:rsidRPr="00096909">
        <w:rPr>
          <w:rFonts w:ascii="Times New Roman" w:hAnsi="Times New Roman" w:cs="Times New Roman"/>
          <w:sz w:val="24"/>
          <w:szCs w:val="24"/>
        </w:rPr>
        <w:t>, quando nella decorazione del castello sforzesco fu chiamato a lavorare il pittore Baldassarre d’Este. La sua presenza, insieme a quella di Benedetto Bembo, del quale si sono ipotizzati interventi per lo studiolo di Belfiore, recò un prezioso patrimonio d’esperienze stilistiche</w:t>
      </w:r>
      <w:r>
        <w:rPr>
          <w:rFonts w:ascii="Times New Roman" w:hAnsi="Times New Roman" w:cs="Times New Roman"/>
          <w:sz w:val="24"/>
          <w:szCs w:val="24"/>
        </w:rPr>
        <w:t xml:space="preserve"> con </w:t>
      </w:r>
      <w:r w:rsidRPr="00096909">
        <w:rPr>
          <w:rFonts w:ascii="Times New Roman" w:hAnsi="Times New Roman" w:cs="Times New Roman"/>
          <w:sz w:val="24"/>
          <w:szCs w:val="24"/>
        </w:rPr>
        <w:t>le quali fu possibile ammodernare un gusto decorativo ancora principalmente tardogotico, che anche Vincenzo Foppa, residente a Pavia a partire dal 1456, contribuiva ad aggiornare sui canoni rinascimentali grazie ai perduti affreschi del Banco Mediceo e a quelli per la Cappella Portinari, eseguiti tra il 1462 e il 1467.</w:t>
      </w:r>
      <w:r w:rsidRPr="00096909">
        <w:rPr>
          <w:rStyle w:val="Rimandonotaapidipagina"/>
          <w:rFonts w:ascii="Times New Roman" w:hAnsi="Times New Roman" w:cs="Times New Roman"/>
          <w:sz w:val="24"/>
          <w:szCs w:val="24"/>
        </w:rPr>
        <w:footnoteReference w:id="143"/>
      </w:r>
      <w:r w:rsidRPr="00096909">
        <w:rPr>
          <w:rFonts w:ascii="Times New Roman" w:hAnsi="Times New Roman" w:cs="Times New Roman"/>
          <w:sz w:val="24"/>
          <w:szCs w:val="24"/>
        </w:rPr>
        <w:t xml:space="preserve"> </w:t>
      </w:r>
    </w:p>
    <w:p w14:paraId="65599A4A" w14:textId="2E11D015"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Nell’ambito dell’illustrazione libraria realizzata per gli Sforza, il fascino dell’arte estense è stato colto, ad esempio, nell’opera del Maestro delle Ore Birago, autore della miniatura di dedica del </w:t>
      </w:r>
      <w:r w:rsidRPr="00096909">
        <w:rPr>
          <w:rFonts w:ascii="Times New Roman" w:hAnsi="Times New Roman" w:cs="Times New Roman"/>
          <w:i/>
          <w:sz w:val="24"/>
          <w:szCs w:val="24"/>
        </w:rPr>
        <w:t>De impedimentis matrimonis Matrimonii</w:t>
      </w:r>
      <w:r w:rsidRPr="00096909">
        <w:rPr>
          <w:rFonts w:ascii="Times New Roman" w:hAnsi="Times New Roman" w:cs="Times New Roman"/>
          <w:sz w:val="24"/>
          <w:szCs w:val="24"/>
        </w:rPr>
        <w:t xml:space="preserve"> di Mangiaria, e illustratore di testi classici per il dignitario sforzesco Attendolo Bolognini. In essi si apprezza un intuitivo uso della prospettiva e una volumetria solida delle figure, coperte da panneggi dalle linee spezzate che ringiovaniscono gli insegnamenti di Be</w:t>
      </w:r>
      <w:r w:rsidR="00A8325B">
        <w:rPr>
          <w:rFonts w:ascii="Times New Roman" w:hAnsi="Times New Roman" w:cs="Times New Roman"/>
          <w:sz w:val="24"/>
          <w:szCs w:val="24"/>
        </w:rPr>
        <w:t>l</w:t>
      </w:r>
      <w:r w:rsidRPr="00096909">
        <w:rPr>
          <w:rFonts w:ascii="Times New Roman" w:hAnsi="Times New Roman" w:cs="Times New Roman"/>
          <w:sz w:val="24"/>
          <w:szCs w:val="24"/>
        </w:rPr>
        <w:t>bello del quale l’autore era stato allievo a Pavia.</w:t>
      </w:r>
      <w:r w:rsidRPr="00096909">
        <w:rPr>
          <w:rStyle w:val="Rimandonotaapidipagina"/>
          <w:rFonts w:ascii="Times New Roman" w:hAnsi="Times New Roman" w:cs="Times New Roman"/>
          <w:sz w:val="24"/>
          <w:szCs w:val="24"/>
        </w:rPr>
        <w:footnoteReference w:id="144"/>
      </w:r>
    </w:p>
    <w:p w14:paraId="3980F621"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La lezione del Foppa trovò invece un delicato interprete nel miniatore prediletto da Galeazzo Maria Sforza, Cristoforo de Predis,</w:t>
      </w:r>
      <w:r w:rsidRPr="00096909">
        <w:rPr>
          <w:rStyle w:val="Rimandonotaapidipagina"/>
          <w:rFonts w:ascii="Times New Roman" w:hAnsi="Times New Roman" w:cs="Times New Roman"/>
          <w:sz w:val="24"/>
          <w:szCs w:val="24"/>
        </w:rPr>
        <w:footnoteReference w:id="145"/>
      </w:r>
      <w:r w:rsidRPr="00096909">
        <w:rPr>
          <w:rFonts w:ascii="Times New Roman" w:hAnsi="Times New Roman" w:cs="Times New Roman"/>
          <w:sz w:val="24"/>
          <w:szCs w:val="24"/>
        </w:rPr>
        <w:t xml:space="preserve"> che firmò</w:t>
      </w:r>
      <w:r>
        <w:rPr>
          <w:rFonts w:ascii="Times New Roman" w:hAnsi="Times New Roman" w:cs="Times New Roman"/>
          <w:sz w:val="24"/>
          <w:szCs w:val="24"/>
        </w:rPr>
        <w:t xml:space="preserve"> più opere</w:t>
      </w:r>
      <w:r w:rsidRPr="00096909">
        <w:rPr>
          <w:rFonts w:ascii="Times New Roman" w:hAnsi="Times New Roman" w:cs="Times New Roman"/>
          <w:sz w:val="24"/>
          <w:szCs w:val="24"/>
        </w:rPr>
        <w:t xml:space="preserve">: un volgarizzamento degli episodi evangelici noto come </w:t>
      </w:r>
      <w:r w:rsidRPr="00096909">
        <w:rPr>
          <w:rFonts w:ascii="Times New Roman" w:hAnsi="Times New Roman" w:cs="Times New Roman"/>
          <w:i/>
          <w:sz w:val="24"/>
          <w:szCs w:val="24"/>
        </w:rPr>
        <w:t>Leggendario Sforza-Savoia</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46"/>
      </w:r>
      <w:r w:rsidRPr="00096909">
        <w:rPr>
          <w:rFonts w:ascii="Times New Roman" w:hAnsi="Times New Roman" w:cs="Times New Roman"/>
          <w:sz w:val="24"/>
          <w:szCs w:val="24"/>
        </w:rPr>
        <w:t xml:space="preserve"> l’</w:t>
      </w:r>
      <w:r w:rsidRPr="00096909">
        <w:rPr>
          <w:rFonts w:ascii="Times New Roman" w:hAnsi="Times New Roman" w:cs="Times New Roman"/>
          <w:i/>
          <w:sz w:val="24"/>
          <w:szCs w:val="24"/>
        </w:rPr>
        <w:t>Ingressario</w:t>
      </w:r>
      <w:r w:rsidRPr="00096909">
        <w:rPr>
          <w:rFonts w:ascii="Times New Roman" w:hAnsi="Times New Roman" w:cs="Times New Roman"/>
          <w:sz w:val="24"/>
          <w:szCs w:val="24"/>
        </w:rPr>
        <w:t xml:space="preserve"> e </w:t>
      </w:r>
      <w:r w:rsidRPr="00096909">
        <w:rPr>
          <w:rFonts w:ascii="Times New Roman" w:hAnsi="Times New Roman" w:cs="Times New Roman"/>
          <w:i/>
          <w:sz w:val="24"/>
          <w:szCs w:val="24"/>
        </w:rPr>
        <w:t>Vesperale</w:t>
      </w:r>
      <w:r w:rsidRPr="00096909">
        <w:rPr>
          <w:rFonts w:ascii="Times New Roman" w:hAnsi="Times New Roman" w:cs="Times New Roman"/>
          <w:sz w:val="24"/>
          <w:szCs w:val="24"/>
        </w:rPr>
        <w:t>, donato nel medesimo anno dal vescovo Fabrizio Marliani al monastero di Santa Maria del Monte di Varese; un’iniziale con data mutila raffigurante Galeazzo Maria in preghiera</w:t>
      </w:r>
      <w:r>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47"/>
      </w:r>
      <w:r w:rsidRPr="00096909">
        <w:rPr>
          <w:rFonts w:ascii="Times New Roman" w:hAnsi="Times New Roman" w:cs="Times New Roman"/>
          <w:sz w:val="24"/>
          <w:szCs w:val="24"/>
        </w:rPr>
        <w:t xml:space="preserve"> un secondo offiziolo per i Borromeo, sua opera tarda e non identificabile con quello citato nei documenti dei primi anni Settanta.</w:t>
      </w:r>
      <w:r w:rsidRPr="00096909">
        <w:rPr>
          <w:rStyle w:val="Rimandonotaapidipagina"/>
          <w:rFonts w:ascii="Times New Roman" w:hAnsi="Times New Roman" w:cs="Times New Roman"/>
          <w:sz w:val="24"/>
          <w:szCs w:val="24"/>
        </w:rPr>
        <w:footnoteReference w:id="148"/>
      </w:r>
      <w:r w:rsidRPr="00096909">
        <w:rPr>
          <w:rFonts w:ascii="Times New Roman" w:hAnsi="Times New Roman" w:cs="Times New Roman"/>
          <w:sz w:val="24"/>
          <w:szCs w:val="24"/>
        </w:rPr>
        <w:t xml:space="preserve">  </w:t>
      </w:r>
    </w:p>
    <w:p w14:paraId="236F2363"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In queste opere emerge la capacità narrativa di Cristoforo</w:t>
      </w:r>
      <w:r w:rsidR="00192D9D">
        <w:rPr>
          <w:rFonts w:ascii="Times New Roman" w:hAnsi="Times New Roman" w:cs="Times New Roman"/>
          <w:sz w:val="24"/>
          <w:szCs w:val="24"/>
        </w:rPr>
        <w:t>, che</w:t>
      </w:r>
      <w:r>
        <w:rPr>
          <w:rFonts w:ascii="Times New Roman" w:hAnsi="Times New Roman" w:cs="Times New Roman"/>
          <w:sz w:val="24"/>
          <w:szCs w:val="24"/>
        </w:rPr>
        <w:t xml:space="preserve"> </w:t>
      </w:r>
      <w:r w:rsidR="00192D9D">
        <w:rPr>
          <w:rFonts w:ascii="Times New Roman" w:hAnsi="Times New Roman" w:cs="Times New Roman"/>
          <w:sz w:val="24"/>
          <w:szCs w:val="24"/>
        </w:rPr>
        <w:t>n</w:t>
      </w:r>
      <w:r w:rsidRPr="00096909">
        <w:rPr>
          <w:rFonts w:ascii="Times New Roman" w:hAnsi="Times New Roman" w:cs="Times New Roman"/>
          <w:sz w:val="24"/>
          <w:szCs w:val="24"/>
        </w:rPr>
        <w:t xml:space="preserve">elle scene delle </w:t>
      </w:r>
      <w:r w:rsidRPr="00096909">
        <w:rPr>
          <w:rFonts w:ascii="Times New Roman" w:hAnsi="Times New Roman" w:cs="Times New Roman"/>
          <w:i/>
          <w:sz w:val="24"/>
          <w:szCs w:val="24"/>
        </w:rPr>
        <w:t>Vite dei santi Gioacchino e Anna</w:t>
      </w:r>
      <w:r w:rsidRPr="00096909">
        <w:rPr>
          <w:rFonts w:ascii="Times New Roman" w:hAnsi="Times New Roman" w:cs="Times New Roman"/>
          <w:sz w:val="24"/>
          <w:szCs w:val="24"/>
        </w:rPr>
        <w:t xml:space="preserve"> del </w:t>
      </w:r>
      <w:r w:rsidRPr="00096909">
        <w:rPr>
          <w:rFonts w:ascii="Times New Roman" w:hAnsi="Times New Roman" w:cs="Times New Roman"/>
          <w:i/>
          <w:sz w:val="24"/>
          <w:szCs w:val="24"/>
        </w:rPr>
        <w:t>Leggendario</w:t>
      </w:r>
      <w:r>
        <w:rPr>
          <w:rFonts w:ascii="Times New Roman" w:hAnsi="Times New Roman" w:cs="Times New Roman"/>
          <w:sz w:val="24"/>
          <w:szCs w:val="24"/>
        </w:rPr>
        <w:t xml:space="preserve"> </w:t>
      </w:r>
      <w:r w:rsidRPr="00096909">
        <w:rPr>
          <w:rFonts w:ascii="Times New Roman" w:hAnsi="Times New Roman" w:cs="Times New Roman"/>
          <w:sz w:val="24"/>
          <w:szCs w:val="24"/>
        </w:rPr>
        <w:t>alterna miniature dedicate a un singolo episodico evangelico ad altre in cui si condensano più momenti della vicenda</w:t>
      </w:r>
      <w:r w:rsidR="00D26557">
        <w:rPr>
          <w:rFonts w:ascii="Times New Roman" w:hAnsi="Times New Roman" w:cs="Times New Roman"/>
          <w:sz w:val="24"/>
          <w:szCs w:val="24"/>
        </w:rPr>
        <w:t xml:space="preserve"> sacra</w:t>
      </w:r>
      <w:r w:rsidRPr="00096909">
        <w:rPr>
          <w:rFonts w:ascii="Times New Roman" w:hAnsi="Times New Roman" w:cs="Times New Roman"/>
          <w:sz w:val="24"/>
          <w:szCs w:val="24"/>
        </w:rPr>
        <w:t>, grazie a</w:t>
      </w:r>
      <w:r w:rsidR="00192D9D">
        <w:rPr>
          <w:rFonts w:ascii="Times New Roman" w:hAnsi="Times New Roman" w:cs="Times New Roman"/>
          <w:sz w:val="24"/>
          <w:szCs w:val="24"/>
        </w:rPr>
        <w:t>ll</w:t>
      </w:r>
      <w:r w:rsidRPr="00096909">
        <w:rPr>
          <w:rFonts w:ascii="Times New Roman" w:hAnsi="Times New Roman" w:cs="Times New Roman"/>
          <w:sz w:val="24"/>
          <w:szCs w:val="24"/>
        </w:rPr>
        <w:t>a sovrapposizione d</w:t>
      </w:r>
      <w:r w:rsidR="00192D9D">
        <w:rPr>
          <w:rFonts w:ascii="Times New Roman" w:hAnsi="Times New Roman" w:cs="Times New Roman"/>
          <w:sz w:val="24"/>
          <w:szCs w:val="24"/>
        </w:rPr>
        <w:t>e</w:t>
      </w:r>
      <w:r w:rsidRPr="00096909">
        <w:rPr>
          <w:rFonts w:ascii="Times New Roman" w:hAnsi="Times New Roman" w:cs="Times New Roman"/>
          <w:sz w:val="24"/>
          <w:szCs w:val="24"/>
        </w:rPr>
        <w:t>i piani narrativi</w:t>
      </w:r>
      <w:r w:rsidR="00192D9D">
        <w:rPr>
          <w:rFonts w:ascii="Times New Roman" w:hAnsi="Times New Roman" w:cs="Times New Roman"/>
          <w:sz w:val="24"/>
          <w:szCs w:val="24"/>
        </w:rPr>
        <w:t>,</w:t>
      </w:r>
      <w:r w:rsidRPr="00096909">
        <w:rPr>
          <w:rFonts w:ascii="Times New Roman" w:hAnsi="Times New Roman" w:cs="Times New Roman"/>
          <w:sz w:val="24"/>
          <w:szCs w:val="24"/>
        </w:rPr>
        <w:t xml:space="preserve"> </w:t>
      </w:r>
      <w:r w:rsidR="00192D9D">
        <w:rPr>
          <w:rFonts w:ascii="Times New Roman" w:hAnsi="Times New Roman" w:cs="Times New Roman"/>
          <w:sz w:val="24"/>
          <w:szCs w:val="24"/>
        </w:rPr>
        <w:t xml:space="preserve">connsessi </w:t>
      </w:r>
      <w:r w:rsidRPr="00096909">
        <w:rPr>
          <w:rFonts w:ascii="Times New Roman" w:hAnsi="Times New Roman" w:cs="Times New Roman"/>
          <w:sz w:val="24"/>
          <w:szCs w:val="24"/>
        </w:rPr>
        <w:t xml:space="preserve">dal ripetersi cadenzato dell’abbigliamento dei personaggi e delle architetture </w:t>
      </w:r>
      <w:r w:rsidR="00192D9D">
        <w:rPr>
          <w:rFonts w:ascii="Times New Roman" w:hAnsi="Times New Roman" w:cs="Times New Roman"/>
          <w:sz w:val="24"/>
          <w:szCs w:val="24"/>
        </w:rPr>
        <w:t>del</w:t>
      </w:r>
      <w:r w:rsidRPr="00096909">
        <w:rPr>
          <w:rFonts w:ascii="Times New Roman" w:hAnsi="Times New Roman" w:cs="Times New Roman"/>
          <w:sz w:val="24"/>
          <w:szCs w:val="24"/>
        </w:rPr>
        <w:t>l’ambientazione. Nel codice, su cui ci soffermeremo oltre, sono state colte influenze provenienti da diversi ambiti figurativi, quali la miniatura ferrarese e fiamminga, nonché la pittura degli Zavattari e di Bonifacio Bembo.</w:t>
      </w:r>
      <w:r w:rsidRPr="00096909">
        <w:rPr>
          <w:rStyle w:val="Rimandonotaapidipagina"/>
          <w:rFonts w:ascii="Times New Roman" w:hAnsi="Times New Roman" w:cs="Times New Roman"/>
          <w:sz w:val="24"/>
          <w:szCs w:val="24"/>
        </w:rPr>
        <w:footnoteReference w:id="149"/>
      </w:r>
      <w:r w:rsidRPr="00096909">
        <w:rPr>
          <w:rFonts w:ascii="Times New Roman" w:hAnsi="Times New Roman" w:cs="Times New Roman"/>
          <w:sz w:val="24"/>
          <w:szCs w:val="24"/>
        </w:rPr>
        <w:t xml:space="preserve"> La vivace tavolozza di Cristoforo non rinunciò, infatti, a certe rifiniture in oro e argento di sapore tardogotico, che riverberano anche la parallela produzione di smalti e oggetti liturgici della bottega de Predis.</w:t>
      </w:r>
      <w:r w:rsidRPr="00096909">
        <w:rPr>
          <w:rStyle w:val="Rimandonotaapidipagina"/>
          <w:rFonts w:ascii="Times New Roman" w:hAnsi="Times New Roman" w:cs="Times New Roman"/>
          <w:sz w:val="24"/>
          <w:szCs w:val="24"/>
        </w:rPr>
        <w:footnoteReference w:id="150"/>
      </w:r>
      <w:r w:rsidRPr="00096909">
        <w:rPr>
          <w:rFonts w:ascii="Times New Roman" w:hAnsi="Times New Roman" w:cs="Times New Roman"/>
          <w:sz w:val="24"/>
          <w:szCs w:val="24"/>
        </w:rPr>
        <w:t xml:space="preserve"> </w:t>
      </w:r>
    </w:p>
    <w:p w14:paraId="79AD46CE" w14:textId="77777777" w:rsidR="00033A17" w:rsidRPr="00096909" w:rsidRDefault="00033A17" w:rsidP="00033A17">
      <w:pPr>
        <w:tabs>
          <w:tab w:val="left" w:pos="5245"/>
        </w:tabs>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Un recente studio di Marco Rossi </w:t>
      </w:r>
      <w:r>
        <w:rPr>
          <w:rFonts w:ascii="Times New Roman" w:hAnsi="Times New Roman" w:cs="Times New Roman"/>
          <w:sz w:val="24"/>
          <w:szCs w:val="24"/>
        </w:rPr>
        <w:t xml:space="preserve">sulla </w:t>
      </w:r>
      <w:r w:rsidRPr="00096909">
        <w:rPr>
          <w:rFonts w:ascii="Times New Roman" w:hAnsi="Times New Roman" w:cs="Times New Roman"/>
          <w:sz w:val="24"/>
          <w:szCs w:val="24"/>
        </w:rPr>
        <w:t>fioritura dell’arte del minio sotto il patronato de</w:t>
      </w:r>
      <w:r>
        <w:rPr>
          <w:rFonts w:ascii="Times New Roman" w:hAnsi="Times New Roman" w:cs="Times New Roman"/>
          <w:sz w:val="24"/>
          <w:szCs w:val="24"/>
        </w:rPr>
        <w:t xml:space="preserve">gli Sforza </w:t>
      </w:r>
      <w:r w:rsidRPr="00096909">
        <w:rPr>
          <w:rFonts w:ascii="Times New Roman" w:hAnsi="Times New Roman" w:cs="Times New Roman"/>
          <w:sz w:val="24"/>
          <w:szCs w:val="24"/>
        </w:rPr>
        <w:t xml:space="preserve">osserva come a Milano il libro non fosse considerato semplicemente un oggetto d’arte, </w:t>
      </w:r>
      <w:r w:rsidRPr="00096909">
        <w:rPr>
          <w:rFonts w:ascii="Times New Roman" w:hAnsi="Times New Roman" w:cs="Times New Roman"/>
          <w:sz w:val="24"/>
          <w:szCs w:val="24"/>
        </w:rPr>
        <w:lastRenderedPageBreak/>
        <w:t>bensì mantenesse sempre una finalità pratica, fosse essa la formazione letteraria dei giovani d</w:t>
      </w:r>
      <w:r>
        <w:rPr>
          <w:rFonts w:ascii="Times New Roman" w:hAnsi="Times New Roman" w:cs="Times New Roman"/>
          <w:sz w:val="24"/>
          <w:szCs w:val="24"/>
        </w:rPr>
        <w:t>ella</w:t>
      </w:r>
      <w:r w:rsidRPr="00096909">
        <w:rPr>
          <w:rFonts w:ascii="Times New Roman" w:hAnsi="Times New Roman" w:cs="Times New Roman"/>
          <w:sz w:val="24"/>
          <w:szCs w:val="24"/>
        </w:rPr>
        <w:t xml:space="preserve"> casa</w:t>
      </w:r>
      <w:r>
        <w:rPr>
          <w:rFonts w:ascii="Times New Roman" w:hAnsi="Times New Roman" w:cs="Times New Roman"/>
          <w:sz w:val="24"/>
          <w:szCs w:val="24"/>
        </w:rPr>
        <w:t>ta</w:t>
      </w:r>
      <w:r w:rsidRPr="00096909">
        <w:rPr>
          <w:rFonts w:ascii="Times New Roman" w:hAnsi="Times New Roman" w:cs="Times New Roman"/>
          <w:sz w:val="24"/>
          <w:szCs w:val="24"/>
        </w:rPr>
        <w:t xml:space="preserve"> o la celebrazione della famiglia ducale. Con Ludovico</w:t>
      </w:r>
      <w:r>
        <w:rPr>
          <w:rFonts w:ascii="Times New Roman" w:hAnsi="Times New Roman" w:cs="Times New Roman"/>
          <w:sz w:val="24"/>
          <w:szCs w:val="24"/>
        </w:rPr>
        <w:t xml:space="preserve"> il Moro</w:t>
      </w:r>
      <w:r w:rsidRPr="00096909">
        <w:rPr>
          <w:rFonts w:ascii="Times New Roman" w:hAnsi="Times New Roman" w:cs="Times New Roman"/>
          <w:sz w:val="24"/>
          <w:szCs w:val="24"/>
        </w:rPr>
        <w:t xml:space="preserve">, dal 1482 reggente del ducato in ragione della minore età del nipote Gian Galeazzo, la committenza di codici miniati quale </w:t>
      </w:r>
      <w:r w:rsidRPr="00096909">
        <w:rPr>
          <w:rFonts w:ascii="Times New Roman" w:hAnsi="Times New Roman" w:cs="Times New Roman"/>
          <w:i/>
          <w:sz w:val="24"/>
          <w:szCs w:val="24"/>
        </w:rPr>
        <w:t>instrumentum regni</w:t>
      </w:r>
      <w:r w:rsidRPr="00096909">
        <w:rPr>
          <w:rFonts w:ascii="Times New Roman" w:hAnsi="Times New Roman" w:cs="Times New Roman"/>
          <w:sz w:val="24"/>
          <w:szCs w:val="24"/>
        </w:rPr>
        <w:t xml:space="preserve"> assunse un ruolo ancor più evidente, in concomitanza con la richiesta ai letterati di corte di opere che consacrassero la gloria della famiglia regnante, giunta al potere solo nel 1450 e bisognosa di una legittimazione storiografica di elevato profilo intellettuale. </w:t>
      </w:r>
    </w:p>
    <w:p w14:paraId="078255BC" w14:textId="77777777" w:rsidR="00033A17" w:rsidRPr="00096909" w:rsidRDefault="00033A17" w:rsidP="00033A17">
      <w:pPr>
        <w:tabs>
          <w:tab w:val="left" w:pos="5245"/>
        </w:tabs>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In tale contesto si inserì l’attività di </w:t>
      </w:r>
      <w:bookmarkStart w:id="82" w:name="_Hlk528520352"/>
      <w:r w:rsidRPr="00096909">
        <w:rPr>
          <w:rFonts w:ascii="Times New Roman" w:hAnsi="Times New Roman" w:cs="Times New Roman"/>
          <w:sz w:val="24"/>
          <w:szCs w:val="24"/>
        </w:rPr>
        <w:t>Giovan Pietro Birago</w:t>
      </w:r>
      <w:bookmarkEnd w:id="82"/>
      <w:r w:rsidRPr="00096909">
        <w:rPr>
          <w:rFonts w:ascii="Times New Roman" w:hAnsi="Times New Roman" w:cs="Times New Roman"/>
          <w:sz w:val="24"/>
          <w:szCs w:val="24"/>
        </w:rPr>
        <w:t>, al quale il Moro domandò la decorazione di quattro esemplari del volgar</w:t>
      </w:r>
      <w:r>
        <w:rPr>
          <w:rFonts w:ascii="Times New Roman" w:hAnsi="Times New Roman" w:cs="Times New Roman"/>
          <w:sz w:val="24"/>
          <w:szCs w:val="24"/>
        </w:rPr>
        <w:t>izzamento</w:t>
      </w:r>
      <w:r w:rsidRPr="00096909">
        <w:rPr>
          <w:rFonts w:ascii="Times New Roman" w:hAnsi="Times New Roman" w:cs="Times New Roman"/>
          <w:sz w:val="24"/>
          <w:szCs w:val="24"/>
        </w:rPr>
        <w:t xml:space="preserve"> di Cristoforo Landino dei </w:t>
      </w:r>
      <w:r w:rsidRPr="00096909">
        <w:rPr>
          <w:rFonts w:ascii="Times New Roman" w:hAnsi="Times New Roman" w:cs="Times New Roman"/>
          <w:i/>
          <w:sz w:val="24"/>
          <w:szCs w:val="24"/>
        </w:rPr>
        <w:t xml:space="preserve">Commentarii </w:t>
      </w:r>
      <w:r w:rsidRPr="00096909">
        <w:rPr>
          <w:rFonts w:ascii="Times New Roman" w:hAnsi="Times New Roman" w:cs="Times New Roman"/>
          <w:sz w:val="24"/>
          <w:szCs w:val="24"/>
        </w:rPr>
        <w:t>di Giovanni Simonetta, opera celebrativa delle virtù del primo duca Sforza, impressa da Antonio Zarotto a Milano nel 1490.</w:t>
      </w:r>
      <w:r w:rsidRPr="00096909">
        <w:rPr>
          <w:rStyle w:val="Rimandonotaapidipagina"/>
          <w:rFonts w:ascii="Times New Roman" w:hAnsi="Times New Roman" w:cs="Times New Roman"/>
          <w:sz w:val="24"/>
          <w:szCs w:val="24"/>
        </w:rPr>
        <w:footnoteReference w:id="151"/>
      </w:r>
      <w:r w:rsidRPr="00096909">
        <w:rPr>
          <w:rFonts w:ascii="Times New Roman" w:hAnsi="Times New Roman" w:cs="Times New Roman"/>
          <w:sz w:val="24"/>
          <w:szCs w:val="24"/>
        </w:rPr>
        <w:t xml:space="preserve"> Lo studio dei frontespizi di questi incunaboli rivela la presenza di un progetto iconografico orchestrato dall’artista e dal committente in vista della trasmissione di messaggi politici. L'analisi della decorazione dell’esemplare appartenuto a Gian Galeazzo Sforza, oggi alla Bibliothèque National de France, ad esempio, indica come essa mirasse a suggerire al giovane duca una precisa linea governativa (fig. 9). Lo stemma del possessore compare, infatti, al centro del margine superiore della cornice, e il suo ritratto di profilo è posto nel medaglione della fascia marginale destra, a fronte di quello di Francesco Sforza. Le allegorie dipinte sul margine inferiore destro alludono invece alla situazione </w:t>
      </w:r>
      <w:r>
        <w:rPr>
          <w:rFonts w:ascii="Times New Roman" w:hAnsi="Times New Roman" w:cs="Times New Roman"/>
          <w:sz w:val="24"/>
          <w:szCs w:val="24"/>
        </w:rPr>
        <w:t xml:space="preserve">amministrativa </w:t>
      </w:r>
      <w:r w:rsidRPr="00096909">
        <w:rPr>
          <w:rFonts w:ascii="Times New Roman" w:hAnsi="Times New Roman" w:cs="Times New Roman"/>
          <w:sz w:val="24"/>
          <w:szCs w:val="24"/>
        </w:rPr>
        <w:t>vigente nel ducato all’epoca della realizzazione dell’ornato: un albero dal solido tronco scuro (Ludovico) abbraccia amorevole e protettivo un giovane verde virgulto (Gian Galeazzo), mentre i cartigli da cui sono avvolti trasmettono la richiesta di protezione del duca al suo tutore e la promessa di quest’ultimo di conservare il ducato: «</w:t>
      </w:r>
      <w:r w:rsidRPr="00096909">
        <w:rPr>
          <w:rFonts w:ascii="Times New Roman" w:hAnsi="Times New Roman" w:cs="Times New Roman"/>
          <w:i/>
          <w:sz w:val="24"/>
          <w:szCs w:val="24"/>
        </w:rPr>
        <w:t>Dum vivis tutus et letus vivo</w:t>
      </w:r>
      <w:r w:rsidRPr="00096909">
        <w:rPr>
          <w:rFonts w:ascii="Times New Roman" w:hAnsi="Times New Roman" w:cs="Times New Roman"/>
          <w:sz w:val="24"/>
          <w:szCs w:val="24"/>
        </w:rPr>
        <w:t>»; «</w:t>
      </w:r>
      <w:r w:rsidRPr="00096909">
        <w:rPr>
          <w:rFonts w:ascii="Times New Roman" w:hAnsi="Times New Roman" w:cs="Times New Roman"/>
          <w:i/>
          <w:sz w:val="24"/>
          <w:szCs w:val="24"/>
        </w:rPr>
        <w:t>Gaude fili, protector tuus ero semper</w:t>
      </w:r>
      <w:r w:rsidRPr="00096909">
        <w:rPr>
          <w:rFonts w:ascii="Times New Roman" w:hAnsi="Times New Roman" w:cs="Times New Roman"/>
          <w:sz w:val="24"/>
          <w:szCs w:val="24"/>
        </w:rPr>
        <w:t xml:space="preserve">». Ai piedi degli alberi maggiori crescono intanto altri due alberelli degli stessi colori, Francesco, figlio di Gian Galeazzo, nato il 30 gennaio del 1491, e Massimiliano, figlio del Moro, nato il 25 gennaio 1493, qui posti per rappresentare la continuità della successione dinastica.  </w:t>
      </w:r>
    </w:p>
    <w:p w14:paraId="2E1FBB61"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Il margine inferiore della carta mostra poi Ludovico genuflesso e con l’indice alzato per indicare al nipote il profilo di Francesco Sforza quale modello politico da seguire. Un cartiglio esplicita il suo ammonimento «</w:t>
      </w:r>
      <w:r w:rsidRPr="00096909">
        <w:rPr>
          <w:rFonts w:ascii="Times New Roman" w:hAnsi="Times New Roman" w:cs="Times New Roman"/>
          <w:i/>
          <w:sz w:val="24"/>
          <w:szCs w:val="24"/>
        </w:rPr>
        <w:t>Patrem et patrem patriae veneremur</w:t>
      </w:r>
      <w:r w:rsidRPr="00096909">
        <w:rPr>
          <w:rFonts w:ascii="Times New Roman" w:hAnsi="Times New Roman" w:cs="Times New Roman"/>
          <w:sz w:val="24"/>
          <w:szCs w:val="24"/>
        </w:rPr>
        <w:t>», a cui il giovane replica consenziente «</w:t>
      </w:r>
      <w:r w:rsidRPr="00096909">
        <w:rPr>
          <w:rFonts w:ascii="Times New Roman" w:hAnsi="Times New Roman" w:cs="Times New Roman"/>
          <w:i/>
          <w:sz w:val="24"/>
          <w:szCs w:val="24"/>
        </w:rPr>
        <w:t>Merito utrique teneor. Dedit ille, tu conserva</w:t>
      </w:r>
      <w:r w:rsidRPr="00096909">
        <w:rPr>
          <w:rFonts w:ascii="Times New Roman" w:hAnsi="Times New Roman" w:cs="Times New Roman"/>
          <w:sz w:val="24"/>
          <w:szCs w:val="24"/>
        </w:rPr>
        <w:t xml:space="preserve">». Un veliero guidato da un moro attraversa il mare alle loro spalle, trasportando il duca di Milano intento a pregare un santo vescovo </w:t>
      </w:r>
      <w:r w:rsidRPr="00096909">
        <w:rPr>
          <w:rFonts w:ascii="Times New Roman" w:hAnsi="Times New Roman" w:cs="Times New Roman"/>
          <w:sz w:val="24"/>
          <w:szCs w:val="24"/>
        </w:rPr>
        <w:lastRenderedPageBreak/>
        <w:t xml:space="preserve">(probabilmente san Ludovico di Tolosa) affinché protegga la navigazione. La barca fa rotta verso la Fortuna, posta dalla parte del Moro, effigiata secondo la tradizione come una donna sul dorso di un delfino. </w:t>
      </w:r>
    </w:p>
    <w:p w14:paraId="126446EB"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Il significato della scena è piuttosto esplicito: se il principe saprà lasciare allo zio la gestione del potere, la felicità del governo milanese sarà garantita dalla salda condotta che l'esperienza politica di Ludovico può garantire. Il concetto è espresso da Birago nei toni rassicuranti di un idillio familiare, attraverso un repertorio allegorico la cui paternità si deve probabilmente al poeta cortigiano </w:t>
      </w:r>
      <w:bookmarkStart w:id="83" w:name="_Hlk535835990"/>
      <w:r w:rsidRPr="00096909">
        <w:rPr>
          <w:rFonts w:ascii="Times New Roman" w:hAnsi="Times New Roman" w:cs="Times New Roman"/>
          <w:sz w:val="24"/>
          <w:szCs w:val="24"/>
        </w:rPr>
        <w:t>Bernardo Bellincioni</w:t>
      </w:r>
      <w:bookmarkEnd w:id="83"/>
      <w:r w:rsidRPr="00096909">
        <w:rPr>
          <w:rFonts w:ascii="Times New Roman" w:hAnsi="Times New Roman" w:cs="Times New Roman"/>
          <w:sz w:val="24"/>
          <w:szCs w:val="24"/>
        </w:rPr>
        <w:t xml:space="preserve">, nelle cui </w:t>
      </w:r>
      <w:r w:rsidRPr="00096909">
        <w:rPr>
          <w:rFonts w:ascii="Times New Roman" w:hAnsi="Times New Roman" w:cs="Times New Roman"/>
          <w:i/>
          <w:sz w:val="24"/>
          <w:szCs w:val="24"/>
        </w:rPr>
        <w:t>Rime</w:t>
      </w:r>
      <w:r w:rsidRPr="00096909">
        <w:rPr>
          <w:rFonts w:ascii="Times New Roman" w:hAnsi="Times New Roman" w:cs="Times New Roman"/>
          <w:sz w:val="24"/>
          <w:szCs w:val="24"/>
        </w:rPr>
        <w:t xml:space="preserve">, impresse per i tipi di </w:t>
      </w:r>
      <w:bookmarkStart w:id="84" w:name="_Hlk535836029"/>
      <w:r w:rsidRPr="00096909">
        <w:rPr>
          <w:rFonts w:ascii="Times New Roman" w:hAnsi="Times New Roman" w:cs="Times New Roman"/>
          <w:sz w:val="24"/>
          <w:szCs w:val="24"/>
        </w:rPr>
        <w:t xml:space="preserve">Filippo Mantegazza </w:t>
      </w:r>
      <w:bookmarkEnd w:id="84"/>
      <w:r w:rsidRPr="00096909">
        <w:rPr>
          <w:rFonts w:ascii="Times New Roman" w:hAnsi="Times New Roman" w:cs="Times New Roman"/>
          <w:sz w:val="24"/>
          <w:szCs w:val="24"/>
        </w:rPr>
        <w:t>in data 15 luglio 1493, ritornerebbero alcune delle allegorie del frontespizio parigino, tra cui quella della barca dello stato affidata al timone del Moro.</w:t>
      </w:r>
      <w:r w:rsidRPr="00096909">
        <w:rPr>
          <w:rStyle w:val="Rimandonotaapidipagina"/>
          <w:rFonts w:ascii="Times New Roman" w:hAnsi="Times New Roman" w:cs="Times New Roman"/>
          <w:sz w:val="24"/>
          <w:szCs w:val="24"/>
        </w:rPr>
        <w:footnoteReference w:id="152"/>
      </w:r>
    </w:p>
    <w:p w14:paraId="2C014E35"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Del resto, dell’ottima intesa tra Ludovico e i membri del suo </w:t>
      </w:r>
      <w:r w:rsidRPr="00096909">
        <w:rPr>
          <w:rFonts w:ascii="Times New Roman" w:hAnsi="Times New Roman" w:cs="Times New Roman"/>
          <w:i/>
          <w:sz w:val="24"/>
          <w:szCs w:val="24"/>
        </w:rPr>
        <w:t>entourage</w:t>
      </w:r>
      <w:r w:rsidRPr="00096909">
        <w:rPr>
          <w:rFonts w:ascii="Times New Roman" w:hAnsi="Times New Roman" w:cs="Times New Roman"/>
          <w:sz w:val="24"/>
          <w:szCs w:val="24"/>
        </w:rPr>
        <w:t xml:space="preserve"> culturale danno prova le illustrazioni del manoscritto di dedica del romanzo </w:t>
      </w:r>
      <w:bookmarkStart w:id="85" w:name="_Hlk528520879"/>
      <w:r w:rsidRPr="00096909">
        <w:rPr>
          <w:rFonts w:ascii="Times New Roman" w:hAnsi="Times New Roman" w:cs="Times New Roman"/>
          <w:i/>
          <w:sz w:val="24"/>
          <w:szCs w:val="24"/>
        </w:rPr>
        <w:t>De Paulo e Daria amanti</w:t>
      </w:r>
      <w:r w:rsidRPr="00096909">
        <w:rPr>
          <w:rFonts w:ascii="Times New Roman" w:hAnsi="Times New Roman" w:cs="Times New Roman"/>
          <w:sz w:val="24"/>
          <w:szCs w:val="24"/>
        </w:rPr>
        <w:t xml:space="preserve"> di Gasparo Visconti</w:t>
      </w:r>
      <w:bookmarkEnd w:id="85"/>
      <w:r w:rsidRPr="00096909">
        <w:rPr>
          <w:rFonts w:ascii="Times New Roman" w:hAnsi="Times New Roman" w:cs="Times New Roman"/>
          <w:sz w:val="24"/>
          <w:szCs w:val="24"/>
        </w:rPr>
        <w:t xml:space="preserve">. Al foglio 97r il ritrovamento della sepoltura dei due amanti nel corso dei lavori di riqualifica della Canonica di Sant’Ambrogio, offre il destro all’artista, probabilmente da identificare in </w:t>
      </w:r>
      <w:bookmarkStart w:id="86" w:name="_Hlk535836077"/>
      <w:r w:rsidRPr="00096909">
        <w:rPr>
          <w:rFonts w:ascii="Times New Roman" w:hAnsi="Times New Roman" w:cs="Times New Roman"/>
          <w:sz w:val="24"/>
          <w:szCs w:val="24"/>
        </w:rPr>
        <w:t>Francesco Binasco</w:t>
      </w:r>
      <w:bookmarkEnd w:id="86"/>
      <w:r w:rsidRPr="00096909">
        <w:rPr>
          <w:rFonts w:ascii="Times New Roman" w:hAnsi="Times New Roman" w:cs="Times New Roman"/>
          <w:sz w:val="24"/>
          <w:szCs w:val="24"/>
        </w:rPr>
        <w:t>, per celebrare la sapienza del Moro, promotore del restauro, qui effigiato in dialogo con l’architetto Bramante, il cui magistero è forse ispiratore delle massicce cornici architettoniche delle miniature a piena pagina del volume (fig. 10).</w:t>
      </w:r>
      <w:r w:rsidRPr="00096909">
        <w:rPr>
          <w:rStyle w:val="Rimandonotaapidipagina"/>
          <w:rFonts w:ascii="Times New Roman" w:hAnsi="Times New Roman" w:cs="Times New Roman"/>
          <w:sz w:val="24"/>
          <w:szCs w:val="24"/>
        </w:rPr>
        <w:footnoteReference w:id="153"/>
      </w:r>
      <w:r w:rsidRPr="00096909">
        <w:rPr>
          <w:rFonts w:ascii="Times New Roman" w:hAnsi="Times New Roman" w:cs="Times New Roman"/>
          <w:sz w:val="24"/>
          <w:szCs w:val="24"/>
        </w:rPr>
        <w:t xml:space="preserve">   </w:t>
      </w:r>
    </w:p>
    <w:p w14:paraId="492220DE"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 fronte di un interesse del duca per la realizzazione dei manoscritti destinati alla sua famiglia pare non si riscontri la presenza di uno centro scrittorio attivo all’interno della corte. Non mancarono tuttavia professionisti prediletti, come i già citati de Predis e Birago, o come il copista Giovan Battista Lorenzi, che tra il 1496 e il 1498 allestì il testo di un </w:t>
      </w:r>
      <w:r w:rsidRPr="00096909">
        <w:rPr>
          <w:rFonts w:ascii="Times New Roman" w:hAnsi="Times New Roman" w:cs="Times New Roman"/>
          <w:i/>
          <w:sz w:val="24"/>
          <w:szCs w:val="24"/>
        </w:rPr>
        <w:t>Liber Jesus</w:t>
      </w:r>
      <w:r w:rsidRPr="00096909">
        <w:rPr>
          <w:rFonts w:ascii="Times New Roman" w:hAnsi="Times New Roman" w:cs="Times New Roman"/>
          <w:sz w:val="24"/>
          <w:szCs w:val="24"/>
        </w:rPr>
        <w:t xml:space="preserve"> e di un</w:t>
      </w:r>
      <w:r w:rsidRPr="00096909">
        <w:rPr>
          <w:rFonts w:ascii="Times New Roman" w:hAnsi="Times New Roman" w:cs="Times New Roman"/>
          <w:i/>
          <w:sz w:val="24"/>
          <w:szCs w:val="24"/>
        </w:rPr>
        <w:t xml:space="preserve"> Donato</w:t>
      </w:r>
      <w:r w:rsidRPr="00096909">
        <w:rPr>
          <w:rFonts w:ascii="Times New Roman" w:hAnsi="Times New Roman" w:cs="Times New Roman"/>
          <w:sz w:val="24"/>
          <w:szCs w:val="24"/>
        </w:rPr>
        <w:t xml:space="preserve"> per il primogenito di Ludovico, Massimiliano.</w:t>
      </w:r>
      <w:r w:rsidRPr="00096909">
        <w:rPr>
          <w:rStyle w:val="Rimandonotaapidipagina"/>
          <w:rFonts w:ascii="Times New Roman" w:hAnsi="Times New Roman" w:cs="Times New Roman"/>
          <w:sz w:val="24"/>
          <w:szCs w:val="24"/>
        </w:rPr>
        <w:footnoteReference w:id="154"/>
      </w:r>
      <w:r w:rsidRPr="00096909">
        <w:rPr>
          <w:rFonts w:ascii="Times New Roman" w:hAnsi="Times New Roman" w:cs="Times New Roman"/>
          <w:sz w:val="24"/>
          <w:szCs w:val="24"/>
        </w:rPr>
        <w:t xml:space="preserve"> I due volumi, copiati per l’educazione dell’erede del ducato, mostrano un programma iconografico ideato per esprimere la legittimità della successione del figlio del Moro. Per eseguire le miniature, nelle quali il fanciullo è intento ad </w:t>
      </w:r>
      <w:r w:rsidRPr="00096909">
        <w:rPr>
          <w:rFonts w:ascii="Times New Roman" w:hAnsi="Times New Roman" w:cs="Times New Roman"/>
          <w:sz w:val="24"/>
          <w:szCs w:val="24"/>
        </w:rPr>
        <w:lastRenderedPageBreak/>
        <w:t>apprendere dai pedagoghi le arti e le virtù necessarie alla guida dello stato, concorsero differenti maestranze: al Maestro dell’</w:t>
      </w:r>
      <w:r w:rsidRPr="00096909">
        <w:rPr>
          <w:rFonts w:ascii="Times New Roman" w:hAnsi="Times New Roman" w:cs="Times New Roman"/>
          <w:i/>
          <w:sz w:val="24"/>
          <w:szCs w:val="24"/>
        </w:rPr>
        <w:t>Epitalamio</w:t>
      </w:r>
      <w:r w:rsidRPr="00096909">
        <w:rPr>
          <w:rFonts w:ascii="Times New Roman" w:hAnsi="Times New Roman" w:cs="Times New Roman"/>
          <w:sz w:val="24"/>
          <w:szCs w:val="24"/>
        </w:rPr>
        <w:t xml:space="preserve"> di </w:t>
      </w:r>
      <w:bookmarkStart w:id="87" w:name="_Hlk535836591"/>
      <w:r w:rsidRPr="00096909">
        <w:rPr>
          <w:rFonts w:ascii="Times New Roman" w:hAnsi="Times New Roman" w:cs="Times New Roman"/>
          <w:sz w:val="24"/>
          <w:szCs w:val="24"/>
        </w:rPr>
        <w:t>Giason de Maino</w:t>
      </w:r>
      <w:bookmarkEnd w:id="87"/>
      <w:r w:rsidRPr="00096909">
        <w:rPr>
          <w:rFonts w:ascii="Times New Roman" w:hAnsi="Times New Roman" w:cs="Times New Roman"/>
          <w:sz w:val="24"/>
          <w:szCs w:val="24"/>
        </w:rPr>
        <w:t xml:space="preserve">, coadiuvato forse da </w:t>
      </w:r>
      <w:bookmarkStart w:id="88" w:name="_Hlk535836650"/>
      <w:r w:rsidRPr="00096909">
        <w:rPr>
          <w:rFonts w:ascii="Times New Roman" w:hAnsi="Times New Roman" w:cs="Times New Roman"/>
          <w:sz w:val="24"/>
          <w:szCs w:val="24"/>
        </w:rPr>
        <w:t>Boccacciono Boccaccini</w:t>
      </w:r>
      <w:bookmarkEnd w:id="88"/>
      <w:r w:rsidRPr="00096909">
        <w:rPr>
          <w:rFonts w:ascii="Times New Roman" w:hAnsi="Times New Roman" w:cs="Times New Roman"/>
          <w:sz w:val="24"/>
          <w:szCs w:val="24"/>
        </w:rPr>
        <w:t xml:space="preserve">, si devono le illustrazioni del </w:t>
      </w:r>
      <w:r w:rsidRPr="00096909">
        <w:rPr>
          <w:rFonts w:ascii="Times New Roman" w:hAnsi="Times New Roman" w:cs="Times New Roman"/>
          <w:i/>
          <w:sz w:val="24"/>
          <w:szCs w:val="24"/>
        </w:rPr>
        <w:t>Liber Jesus</w:t>
      </w:r>
      <w:r w:rsidRPr="00096909">
        <w:rPr>
          <w:rFonts w:ascii="Times New Roman" w:hAnsi="Times New Roman" w:cs="Times New Roman"/>
          <w:sz w:val="24"/>
          <w:szCs w:val="24"/>
        </w:rPr>
        <w:t xml:space="preserve">; mentre nei fogli del </w:t>
      </w:r>
      <w:r w:rsidRPr="00096909">
        <w:rPr>
          <w:rFonts w:ascii="Times New Roman" w:hAnsi="Times New Roman" w:cs="Times New Roman"/>
          <w:i/>
          <w:sz w:val="24"/>
          <w:szCs w:val="24"/>
        </w:rPr>
        <w:t>Donato</w:t>
      </w:r>
      <w:r w:rsidRPr="00096909">
        <w:rPr>
          <w:rFonts w:ascii="Times New Roman" w:hAnsi="Times New Roman" w:cs="Times New Roman"/>
          <w:sz w:val="24"/>
          <w:szCs w:val="24"/>
        </w:rPr>
        <w:t xml:space="preserve"> è stata riconosciuta la mano di Giovanni Ambrogio de Predis, del Maestro dell’</w:t>
      </w:r>
      <w:r w:rsidRPr="00096909">
        <w:rPr>
          <w:rFonts w:ascii="Times New Roman" w:hAnsi="Times New Roman" w:cs="Times New Roman"/>
          <w:i/>
          <w:sz w:val="24"/>
          <w:szCs w:val="24"/>
        </w:rPr>
        <w:t>Epitalamio</w:t>
      </w:r>
      <w:r w:rsidRPr="00096909">
        <w:rPr>
          <w:rFonts w:ascii="Times New Roman" w:hAnsi="Times New Roman" w:cs="Times New Roman"/>
          <w:sz w:val="24"/>
          <w:szCs w:val="24"/>
        </w:rPr>
        <w:t xml:space="preserve"> di Giason de Maino, del Maestro di Anna Sforza e del Birago. L’alternanza di questi celebri miniatori nella confezione dei libri mi pare indicare come il lavoro di minio fosse affidato in alternanza a più botteghe, o come gli artisti fossero periodicamente invitati a corte per prestare la loro opera. Improbabile invece la presenza di un laboratorio, come la casa affittata ai maestri della Bibbia di Borso, dove i miniatori potessero concorrere per un lavoro di modesta estensione come quello per i due volumetti. </w:t>
      </w:r>
    </w:p>
    <w:p w14:paraId="3D53C7C7"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costruzione del mito di Alfonso il Magnanimo richiese invece, fin dai primi anni del </w:t>
      </w:r>
      <w:r>
        <w:rPr>
          <w:rFonts w:ascii="Times New Roman" w:hAnsi="Times New Roman" w:cs="Times New Roman"/>
          <w:sz w:val="24"/>
          <w:szCs w:val="24"/>
        </w:rPr>
        <w:t xml:space="preserve">suo </w:t>
      </w:r>
      <w:r w:rsidRPr="00096909">
        <w:rPr>
          <w:rFonts w:ascii="Times New Roman" w:hAnsi="Times New Roman" w:cs="Times New Roman"/>
          <w:sz w:val="24"/>
          <w:szCs w:val="24"/>
        </w:rPr>
        <w:t xml:space="preserve">regno, l’invito alla corte di un’autentica </w:t>
      </w:r>
      <w:r w:rsidRPr="00096909">
        <w:rPr>
          <w:rFonts w:ascii="Times New Roman" w:hAnsi="Times New Roman" w:cs="Times New Roman"/>
          <w:i/>
          <w:sz w:val="24"/>
          <w:szCs w:val="24"/>
        </w:rPr>
        <w:t>équipe</w:t>
      </w:r>
      <w:r w:rsidRPr="00096909">
        <w:rPr>
          <w:rFonts w:ascii="Times New Roman" w:hAnsi="Times New Roman" w:cs="Times New Roman"/>
          <w:sz w:val="24"/>
          <w:szCs w:val="24"/>
        </w:rPr>
        <w:t xml:space="preserve"> di scribi, miniatori e bibliotecari preposti alla formazione della raccolta regia. Si trattava di professionisti del libro principalmente di origine iberica, come la maggior parte dei funzionari e degli amministratori del nuovo sovrano</w:t>
      </w:r>
      <w:r>
        <w:rPr>
          <w:rFonts w:ascii="Times New Roman" w:hAnsi="Times New Roman" w:cs="Times New Roman"/>
          <w:sz w:val="24"/>
          <w:szCs w:val="24"/>
        </w:rPr>
        <w:t xml:space="preserve"> di Napoli</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55"/>
      </w:r>
      <w:r w:rsidRPr="00096909">
        <w:rPr>
          <w:rFonts w:ascii="Times New Roman" w:hAnsi="Times New Roman" w:cs="Times New Roman"/>
          <w:sz w:val="24"/>
          <w:szCs w:val="24"/>
        </w:rPr>
        <w:t xml:space="preserve"> Dalla documentazione raccolta da De Marinis emerge</w:t>
      </w:r>
      <w:r>
        <w:rPr>
          <w:rFonts w:ascii="Times New Roman" w:hAnsi="Times New Roman" w:cs="Times New Roman"/>
          <w:sz w:val="24"/>
          <w:szCs w:val="24"/>
        </w:rPr>
        <w:t>,</w:t>
      </w:r>
      <w:r w:rsidRPr="00096909">
        <w:rPr>
          <w:rFonts w:ascii="Times New Roman" w:hAnsi="Times New Roman" w:cs="Times New Roman"/>
          <w:sz w:val="24"/>
          <w:szCs w:val="24"/>
        </w:rPr>
        <w:t xml:space="preserve"> come insieme ai bibliotecari </w:t>
      </w:r>
      <w:bookmarkStart w:id="89" w:name="_Hlk535836734"/>
      <w:r w:rsidRPr="00096909">
        <w:rPr>
          <w:rFonts w:ascii="Times New Roman" w:hAnsi="Times New Roman" w:cs="Times New Roman"/>
          <w:sz w:val="24"/>
          <w:szCs w:val="24"/>
        </w:rPr>
        <w:t>Luis Cescases</w:t>
      </w:r>
      <w:bookmarkEnd w:id="89"/>
      <w:r w:rsidRPr="00096909">
        <w:rPr>
          <w:rFonts w:ascii="Times New Roman" w:hAnsi="Times New Roman" w:cs="Times New Roman"/>
          <w:sz w:val="24"/>
          <w:szCs w:val="24"/>
        </w:rPr>
        <w:t xml:space="preserve"> e </w:t>
      </w:r>
      <w:bookmarkStart w:id="90" w:name="_Hlk535836769"/>
      <w:r w:rsidRPr="00096909">
        <w:rPr>
          <w:rFonts w:ascii="Times New Roman" w:hAnsi="Times New Roman" w:cs="Times New Roman"/>
          <w:sz w:val="24"/>
          <w:szCs w:val="24"/>
        </w:rPr>
        <w:t>Tommaso Aulesa</w:t>
      </w:r>
      <w:bookmarkEnd w:id="90"/>
      <w:r w:rsidRPr="00096909">
        <w:rPr>
          <w:rFonts w:ascii="Times New Roman" w:hAnsi="Times New Roman" w:cs="Times New Roman"/>
          <w:sz w:val="24"/>
          <w:szCs w:val="24"/>
        </w:rPr>
        <w:t xml:space="preserve">, stipendiati per i loro servigi dal maggio 1443, fossero stabilmente retribuiti dagli anni Cinquanta del Quattrocento altri due bibliotecari, </w:t>
      </w:r>
      <w:bookmarkStart w:id="91" w:name="_Hlk535837098"/>
      <w:r w:rsidRPr="00096909">
        <w:rPr>
          <w:rFonts w:ascii="Times New Roman" w:hAnsi="Times New Roman" w:cs="Times New Roman"/>
          <w:sz w:val="24"/>
          <w:szCs w:val="24"/>
        </w:rPr>
        <w:t xml:space="preserve">Jaume Torres </w:t>
      </w:r>
      <w:bookmarkEnd w:id="91"/>
      <w:r w:rsidRPr="00096909">
        <w:rPr>
          <w:rFonts w:ascii="Times New Roman" w:hAnsi="Times New Roman" w:cs="Times New Roman"/>
          <w:sz w:val="24"/>
          <w:szCs w:val="24"/>
        </w:rPr>
        <w:t xml:space="preserve">e </w:t>
      </w:r>
      <w:bookmarkStart w:id="92" w:name="_Hlk535837151"/>
      <w:r w:rsidRPr="00096909">
        <w:rPr>
          <w:rFonts w:ascii="Times New Roman" w:hAnsi="Times New Roman" w:cs="Times New Roman"/>
          <w:sz w:val="24"/>
          <w:szCs w:val="24"/>
        </w:rPr>
        <w:t>Juan de Caspe</w:t>
      </w:r>
      <w:bookmarkEnd w:id="92"/>
      <w:r w:rsidRPr="00096909">
        <w:rPr>
          <w:rFonts w:ascii="Times New Roman" w:hAnsi="Times New Roman" w:cs="Times New Roman"/>
          <w:sz w:val="24"/>
          <w:szCs w:val="24"/>
        </w:rPr>
        <w:t xml:space="preserve">, il rilegatore </w:t>
      </w:r>
      <w:bookmarkStart w:id="93" w:name="_Hlk535837394"/>
      <w:r w:rsidRPr="00096909">
        <w:rPr>
          <w:rFonts w:ascii="Times New Roman" w:hAnsi="Times New Roman" w:cs="Times New Roman"/>
          <w:sz w:val="24"/>
          <w:szCs w:val="24"/>
        </w:rPr>
        <w:t>Baldassarre Scariglia</w:t>
      </w:r>
      <w:bookmarkEnd w:id="93"/>
      <w:r w:rsidRPr="00096909">
        <w:rPr>
          <w:rFonts w:ascii="Times New Roman" w:hAnsi="Times New Roman" w:cs="Times New Roman"/>
          <w:sz w:val="24"/>
          <w:szCs w:val="24"/>
        </w:rPr>
        <w:t xml:space="preserve">, i copisti </w:t>
      </w:r>
      <w:bookmarkStart w:id="94" w:name="_Hlk535837433"/>
      <w:r w:rsidRPr="00096909">
        <w:rPr>
          <w:rFonts w:ascii="Times New Roman" w:hAnsi="Times New Roman" w:cs="Times New Roman"/>
          <w:sz w:val="24"/>
          <w:szCs w:val="24"/>
        </w:rPr>
        <w:t>Pietro Ursuleo da Capua</w:t>
      </w:r>
      <w:bookmarkEnd w:id="94"/>
      <w:r w:rsidRPr="00096909">
        <w:rPr>
          <w:rFonts w:ascii="Times New Roman" w:hAnsi="Times New Roman" w:cs="Times New Roman"/>
          <w:sz w:val="24"/>
          <w:szCs w:val="24"/>
        </w:rPr>
        <w:t xml:space="preserve">, Joan Felipo, Jacobello e </w:t>
      </w:r>
      <w:bookmarkStart w:id="95" w:name="_Hlk535837490"/>
      <w:r w:rsidRPr="00096909">
        <w:rPr>
          <w:rFonts w:ascii="Times New Roman" w:hAnsi="Times New Roman" w:cs="Times New Roman"/>
          <w:sz w:val="24"/>
          <w:szCs w:val="24"/>
        </w:rPr>
        <w:t>Giovanni Leone</w:t>
      </w:r>
      <w:bookmarkEnd w:id="95"/>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56"/>
      </w:r>
      <w:r w:rsidRPr="00096909">
        <w:rPr>
          <w:rFonts w:ascii="Times New Roman" w:hAnsi="Times New Roman" w:cs="Times New Roman"/>
          <w:sz w:val="24"/>
          <w:szCs w:val="24"/>
        </w:rPr>
        <w:t xml:space="preserve"> Quest’ultimo alternava alla copiatura di codici </w:t>
      </w:r>
      <w:r>
        <w:rPr>
          <w:rFonts w:ascii="Times New Roman" w:hAnsi="Times New Roman" w:cs="Times New Roman"/>
          <w:sz w:val="24"/>
          <w:szCs w:val="24"/>
        </w:rPr>
        <w:t>un</w:t>
      </w:r>
      <w:r w:rsidRPr="00096909">
        <w:rPr>
          <w:rFonts w:ascii="Times New Roman" w:hAnsi="Times New Roman" w:cs="Times New Roman"/>
          <w:sz w:val="24"/>
          <w:szCs w:val="24"/>
        </w:rPr>
        <w:t xml:space="preserve"> servizio in qualità di cappellano, così come lo stesso confessore del re, </w:t>
      </w:r>
      <w:bookmarkStart w:id="96" w:name="_Hlk535837552"/>
      <w:r w:rsidRPr="00096909">
        <w:rPr>
          <w:rFonts w:ascii="Times New Roman" w:hAnsi="Times New Roman" w:cs="Times New Roman"/>
          <w:sz w:val="24"/>
          <w:szCs w:val="24"/>
        </w:rPr>
        <w:t>Alfonso da Cordova</w:t>
      </w:r>
      <w:bookmarkEnd w:id="96"/>
      <w:r w:rsidRPr="00096909">
        <w:rPr>
          <w:rFonts w:ascii="Times New Roman" w:hAnsi="Times New Roman" w:cs="Times New Roman"/>
          <w:sz w:val="24"/>
          <w:szCs w:val="24"/>
        </w:rPr>
        <w:t>, pare fosse incaricato anche dell’acquisto dei testi di teologia.</w:t>
      </w:r>
      <w:r w:rsidRPr="00096909">
        <w:rPr>
          <w:rStyle w:val="Rimandonotaapidipagina"/>
          <w:rFonts w:ascii="Times New Roman" w:hAnsi="Times New Roman" w:cs="Times New Roman"/>
          <w:sz w:val="24"/>
          <w:szCs w:val="24"/>
        </w:rPr>
        <w:footnoteReference w:id="157"/>
      </w:r>
      <w:r w:rsidRPr="00096909">
        <w:rPr>
          <w:rFonts w:ascii="Times New Roman" w:hAnsi="Times New Roman" w:cs="Times New Roman"/>
          <w:sz w:val="24"/>
          <w:szCs w:val="24"/>
        </w:rPr>
        <w:t xml:space="preserve"> Al fine di vigilare sull’esattezza filologica dei testi erano inoltre assegnati allo </w:t>
      </w:r>
      <w:r w:rsidRPr="00096909">
        <w:rPr>
          <w:rFonts w:ascii="Times New Roman" w:hAnsi="Times New Roman" w:cs="Times New Roman"/>
          <w:i/>
          <w:sz w:val="24"/>
          <w:szCs w:val="24"/>
        </w:rPr>
        <w:t>scriptorium</w:t>
      </w:r>
      <w:r w:rsidRPr="00096909">
        <w:rPr>
          <w:rFonts w:ascii="Times New Roman" w:hAnsi="Times New Roman" w:cs="Times New Roman"/>
          <w:sz w:val="24"/>
          <w:szCs w:val="24"/>
        </w:rPr>
        <w:t xml:space="preserve"> i dotti Bartolomeo Facio e Antonio Panormita.</w:t>
      </w:r>
      <w:r w:rsidRPr="00096909">
        <w:rPr>
          <w:rStyle w:val="Rimandonotaapidipagina"/>
          <w:rFonts w:ascii="Times New Roman" w:hAnsi="Times New Roman" w:cs="Times New Roman"/>
          <w:sz w:val="24"/>
          <w:szCs w:val="24"/>
        </w:rPr>
        <w:footnoteReference w:id="158"/>
      </w:r>
      <w:r w:rsidRPr="00096909">
        <w:rPr>
          <w:rFonts w:ascii="Times New Roman" w:hAnsi="Times New Roman" w:cs="Times New Roman"/>
          <w:sz w:val="24"/>
          <w:szCs w:val="24"/>
        </w:rPr>
        <w:t xml:space="preserve"> </w:t>
      </w:r>
    </w:p>
    <w:p w14:paraId="5224030B"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Nelle fasi di avvio della raccolta napoletana l’interesse del Magnanimo risulta, anche per quanto riguarda la miniatura, principalmente legato alla Spagna, e in particolare alla città di Valencia e alla bottega di </w:t>
      </w:r>
      <w:bookmarkStart w:id="98" w:name="_Hlk535837684"/>
      <w:r w:rsidRPr="00096909">
        <w:rPr>
          <w:rFonts w:ascii="Times New Roman" w:hAnsi="Times New Roman" w:cs="Times New Roman"/>
          <w:sz w:val="24"/>
          <w:szCs w:val="24"/>
        </w:rPr>
        <w:t>Leonardo Crespi</w:t>
      </w:r>
      <w:bookmarkEnd w:id="98"/>
      <w:r w:rsidRPr="00096909">
        <w:rPr>
          <w:rFonts w:ascii="Times New Roman" w:hAnsi="Times New Roman" w:cs="Times New Roman"/>
          <w:sz w:val="24"/>
          <w:szCs w:val="24"/>
        </w:rPr>
        <w:t xml:space="preserve">. A questo esponente del gotico fiorito valenciano Alfonso aveva richiesto di completare la decorazione del </w:t>
      </w:r>
      <w:r w:rsidRPr="00096909">
        <w:rPr>
          <w:rFonts w:ascii="Times New Roman" w:hAnsi="Times New Roman" w:cs="Times New Roman"/>
          <w:i/>
          <w:sz w:val="24"/>
          <w:szCs w:val="24"/>
        </w:rPr>
        <w:t>Breviarium secundum usum cistercensium</w:t>
      </w:r>
      <w:r w:rsidRPr="00096909">
        <w:rPr>
          <w:rFonts w:ascii="Times New Roman" w:hAnsi="Times New Roman" w:cs="Times New Roman"/>
          <w:sz w:val="24"/>
          <w:szCs w:val="24"/>
        </w:rPr>
        <w:t xml:space="preserve"> ereditato da suo zio, re </w:t>
      </w:r>
      <w:bookmarkStart w:id="99" w:name="_Hlk535837778"/>
      <w:r w:rsidRPr="00096909">
        <w:rPr>
          <w:rFonts w:ascii="Times New Roman" w:hAnsi="Times New Roman" w:cs="Times New Roman"/>
          <w:sz w:val="24"/>
          <w:szCs w:val="24"/>
        </w:rPr>
        <w:t>Martino d’Aragona</w:t>
      </w:r>
      <w:bookmarkEnd w:id="99"/>
      <w:r w:rsidRPr="00096909">
        <w:rPr>
          <w:rFonts w:ascii="Times New Roman" w:hAnsi="Times New Roman" w:cs="Times New Roman"/>
          <w:sz w:val="24"/>
          <w:szCs w:val="24"/>
        </w:rPr>
        <w:t xml:space="preserve">, opera catalana del secolo XIV, e quella del prezioso </w:t>
      </w:r>
      <w:r w:rsidRPr="00096909">
        <w:rPr>
          <w:rFonts w:ascii="Times New Roman" w:hAnsi="Times New Roman" w:cs="Times New Roman"/>
          <w:i/>
          <w:sz w:val="24"/>
          <w:szCs w:val="24"/>
        </w:rPr>
        <w:t>Salterio e</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Libro d’ore</w:t>
      </w:r>
      <w:r w:rsidRPr="00096909">
        <w:rPr>
          <w:rFonts w:ascii="Times New Roman" w:hAnsi="Times New Roman" w:cs="Times New Roman"/>
          <w:sz w:val="24"/>
          <w:szCs w:val="24"/>
        </w:rPr>
        <w:t xml:space="preserve"> a lui destinato e iniziato su richiesta del cardinal </w:t>
      </w:r>
      <w:bookmarkStart w:id="100" w:name="_Hlk535837824"/>
      <w:r w:rsidRPr="00096909">
        <w:rPr>
          <w:rFonts w:ascii="Times New Roman" w:hAnsi="Times New Roman" w:cs="Times New Roman"/>
          <w:sz w:val="24"/>
          <w:szCs w:val="24"/>
        </w:rPr>
        <w:t>Joan de Casanova</w:t>
      </w:r>
      <w:bookmarkEnd w:id="100"/>
      <w:r w:rsidRPr="00096909">
        <w:rPr>
          <w:rFonts w:ascii="Times New Roman" w:hAnsi="Times New Roman" w:cs="Times New Roman"/>
          <w:sz w:val="24"/>
          <w:szCs w:val="24"/>
        </w:rPr>
        <w:t>, pervenuto alla corte di Napoli da Valencia il 14 maggio 1447.</w:t>
      </w:r>
      <w:r w:rsidRPr="00096909">
        <w:rPr>
          <w:rStyle w:val="Rimandonotaapidipagina"/>
          <w:rFonts w:ascii="Times New Roman" w:hAnsi="Times New Roman" w:cs="Times New Roman"/>
          <w:sz w:val="24"/>
          <w:szCs w:val="24"/>
        </w:rPr>
        <w:footnoteReference w:id="159"/>
      </w:r>
      <w:r w:rsidRPr="00096909">
        <w:rPr>
          <w:rFonts w:ascii="Times New Roman" w:hAnsi="Times New Roman" w:cs="Times New Roman"/>
          <w:sz w:val="24"/>
          <w:szCs w:val="24"/>
        </w:rPr>
        <w:t xml:space="preserve"> Il libro, sul quale torneremo</w:t>
      </w:r>
      <w:r>
        <w:rPr>
          <w:rFonts w:ascii="Times New Roman" w:hAnsi="Times New Roman" w:cs="Times New Roman"/>
          <w:sz w:val="24"/>
          <w:szCs w:val="24"/>
        </w:rPr>
        <w:t xml:space="preserve"> oltre</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anche </w:t>
      </w:r>
      <w:r w:rsidRPr="00096909">
        <w:rPr>
          <w:rFonts w:ascii="Times New Roman" w:hAnsi="Times New Roman" w:cs="Times New Roman"/>
          <w:sz w:val="24"/>
          <w:szCs w:val="24"/>
        </w:rPr>
        <w:t>nell</w:t>
      </w:r>
      <w:r>
        <w:rPr>
          <w:rFonts w:ascii="Times New Roman" w:hAnsi="Times New Roman" w:cs="Times New Roman"/>
          <w:sz w:val="24"/>
          <w:szCs w:val="24"/>
        </w:rPr>
        <w:t>’</w:t>
      </w:r>
      <w:r w:rsidRPr="00096909">
        <w:rPr>
          <w:rFonts w:ascii="Times New Roman" w:hAnsi="Times New Roman" w:cs="Times New Roman"/>
          <w:sz w:val="24"/>
          <w:szCs w:val="24"/>
        </w:rPr>
        <w:t>i</w:t>
      </w:r>
      <w:r>
        <w:rPr>
          <w:rFonts w:ascii="Times New Roman" w:hAnsi="Times New Roman" w:cs="Times New Roman"/>
          <w:sz w:val="24"/>
          <w:szCs w:val="24"/>
        </w:rPr>
        <w:t>nusuale</w:t>
      </w:r>
      <w:r w:rsidRPr="00096909">
        <w:rPr>
          <w:rFonts w:ascii="Times New Roman" w:hAnsi="Times New Roman" w:cs="Times New Roman"/>
          <w:sz w:val="24"/>
          <w:szCs w:val="24"/>
        </w:rPr>
        <w:t xml:space="preserve"> accosta</w:t>
      </w:r>
      <w:r>
        <w:rPr>
          <w:rFonts w:ascii="Times New Roman" w:hAnsi="Times New Roman" w:cs="Times New Roman"/>
          <w:sz w:val="24"/>
          <w:szCs w:val="24"/>
        </w:rPr>
        <w:t>mento</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del </w:t>
      </w:r>
      <w:r w:rsidRPr="00096909">
        <w:rPr>
          <w:rFonts w:ascii="Times New Roman" w:hAnsi="Times New Roman" w:cs="Times New Roman"/>
          <w:sz w:val="24"/>
          <w:szCs w:val="24"/>
        </w:rPr>
        <w:t xml:space="preserve">Salterio </w:t>
      </w:r>
      <w:r>
        <w:rPr>
          <w:rFonts w:ascii="Times New Roman" w:hAnsi="Times New Roman" w:cs="Times New Roman"/>
          <w:sz w:val="24"/>
          <w:szCs w:val="24"/>
        </w:rPr>
        <w:t>al</w:t>
      </w:r>
      <w:r w:rsidRPr="00096909">
        <w:rPr>
          <w:rFonts w:ascii="Times New Roman" w:hAnsi="Times New Roman" w:cs="Times New Roman"/>
          <w:sz w:val="24"/>
          <w:szCs w:val="24"/>
        </w:rPr>
        <w:t xml:space="preserve"> Libro d’ore</w:t>
      </w:r>
      <w:r>
        <w:rPr>
          <w:rFonts w:ascii="Times New Roman" w:hAnsi="Times New Roman" w:cs="Times New Roman"/>
          <w:sz w:val="24"/>
          <w:szCs w:val="24"/>
        </w:rPr>
        <w:t>,</w:t>
      </w:r>
      <w:r w:rsidRPr="00096909">
        <w:rPr>
          <w:rFonts w:ascii="Times New Roman" w:hAnsi="Times New Roman" w:cs="Times New Roman"/>
          <w:sz w:val="24"/>
          <w:szCs w:val="24"/>
        </w:rPr>
        <w:t xml:space="preserve"> si presenta come un prodotto di gusto iberico, il quale traspare pienamente nelle tre miniature a piena pagina, nelle trentasette vignette e nelle trentanove iniziali del codice, dove si riconosce chiaramente un’ambientazione contraddistinta da citazioni dalle architetture gotiche valenciane e dall’abbigliamento tipico delle corti iberiche, oltre che di certi aspri paesaggi della sierra Calderona, mentre nelle cornici, splendenti di ori a decori vegetali </w:t>
      </w:r>
      <w:r>
        <w:rPr>
          <w:rFonts w:ascii="Times New Roman" w:hAnsi="Times New Roman" w:cs="Times New Roman"/>
          <w:sz w:val="24"/>
          <w:szCs w:val="24"/>
        </w:rPr>
        <w:t>abitati</w:t>
      </w:r>
      <w:r w:rsidRPr="00096909">
        <w:rPr>
          <w:rFonts w:ascii="Times New Roman" w:hAnsi="Times New Roman" w:cs="Times New Roman"/>
          <w:sz w:val="24"/>
          <w:szCs w:val="24"/>
        </w:rPr>
        <w:t xml:space="preserve"> da animali, si avverte una fantasia ancora medievale, come nella </w:t>
      </w:r>
      <w:r w:rsidRPr="00096909">
        <w:rPr>
          <w:rFonts w:ascii="Times New Roman" w:hAnsi="Times New Roman" w:cs="Times New Roman"/>
          <w:i/>
          <w:sz w:val="24"/>
          <w:szCs w:val="24"/>
        </w:rPr>
        <w:t xml:space="preserve">Adorazione dei Magi </w:t>
      </w:r>
      <w:r w:rsidRPr="00096909">
        <w:rPr>
          <w:rFonts w:ascii="Times New Roman" w:hAnsi="Times New Roman" w:cs="Times New Roman"/>
          <w:sz w:val="24"/>
          <w:szCs w:val="24"/>
        </w:rPr>
        <w:t xml:space="preserve">del foglio 338v (fig. 11). </w:t>
      </w:r>
    </w:p>
    <w:p w14:paraId="4A95B076"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Al tempo della sua prigionia milanese, Alfonso aveva inoltre avuto modo di apprezzare alcuni capolavori della miniatura lombarda</w:t>
      </w:r>
      <w:r>
        <w:rPr>
          <w:rFonts w:ascii="Times New Roman" w:hAnsi="Times New Roman" w:cs="Times New Roman"/>
          <w:sz w:val="24"/>
          <w:szCs w:val="24"/>
        </w:rPr>
        <w:t>, come le opere</w:t>
      </w:r>
      <w:r w:rsidRPr="00096909">
        <w:rPr>
          <w:rFonts w:ascii="Times New Roman" w:hAnsi="Times New Roman" w:cs="Times New Roman"/>
          <w:sz w:val="24"/>
          <w:szCs w:val="24"/>
        </w:rPr>
        <w:t xml:space="preserve"> del maestro delle </w:t>
      </w:r>
      <w:r w:rsidRPr="00096909">
        <w:rPr>
          <w:rFonts w:ascii="Times New Roman" w:hAnsi="Times New Roman" w:cs="Times New Roman"/>
          <w:i/>
          <w:sz w:val="24"/>
          <w:szCs w:val="24"/>
        </w:rPr>
        <w:t>Vitae Imperatorum</w:t>
      </w:r>
      <w:r w:rsidRPr="00096909">
        <w:rPr>
          <w:rFonts w:ascii="Times New Roman" w:hAnsi="Times New Roman" w:cs="Times New Roman"/>
          <w:sz w:val="24"/>
          <w:szCs w:val="24"/>
        </w:rPr>
        <w:t xml:space="preserve">, prediletto da Filippo Maria Visconti, </w:t>
      </w:r>
      <w:r>
        <w:rPr>
          <w:rFonts w:ascii="Times New Roman" w:hAnsi="Times New Roman" w:cs="Times New Roman"/>
          <w:sz w:val="24"/>
          <w:szCs w:val="24"/>
        </w:rPr>
        <w:t xml:space="preserve">e </w:t>
      </w:r>
      <w:r w:rsidRPr="00096909">
        <w:rPr>
          <w:rFonts w:ascii="Times New Roman" w:hAnsi="Times New Roman" w:cs="Times New Roman"/>
          <w:sz w:val="24"/>
          <w:szCs w:val="24"/>
        </w:rPr>
        <w:t>d</w:t>
      </w:r>
      <w:r>
        <w:rPr>
          <w:rFonts w:ascii="Times New Roman" w:hAnsi="Times New Roman" w:cs="Times New Roman"/>
          <w:sz w:val="24"/>
          <w:szCs w:val="24"/>
        </w:rPr>
        <w:t>el quale</w:t>
      </w:r>
      <w:r w:rsidRPr="00096909">
        <w:rPr>
          <w:rFonts w:ascii="Times New Roman" w:hAnsi="Times New Roman" w:cs="Times New Roman"/>
          <w:sz w:val="24"/>
          <w:szCs w:val="24"/>
        </w:rPr>
        <w:t xml:space="preserve"> il monarca possedette un pregevole esemplare di dedica delle </w:t>
      </w:r>
      <w:r w:rsidRPr="00096909">
        <w:rPr>
          <w:rFonts w:ascii="Times New Roman" w:hAnsi="Times New Roman" w:cs="Times New Roman"/>
          <w:i/>
          <w:sz w:val="24"/>
          <w:szCs w:val="24"/>
        </w:rPr>
        <w:t>Satyrae</w:t>
      </w:r>
      <w:r w:rsidRPr="00096909">
        <w:rPr>
          <w:rFonts w:ascii="Times New Roman" w:hAnsi="Times New Roman" w:cs="Times New Roman"/>
          <w:sz w:val="24"/>
          <w:szCs w:val="24"/>
        </w:rPr>
        <w:t xml:space="preserve"> di Filelfo, offerto dal poeta nel 1453 e una copia delle </w:t>
      </w:r>
      <w:r w:rsidRPr="00096909">
        <w:rPr>
          <w:rFonts w:ascii="Times New Roman" w:hAnsi="Times New Roman" w:cs="Times New Roman"/>
          <w:i/>
          <w:sz w:val="24"/>
          <w:szCs w:val="24"/>
        </w:rPr>
        <w:t>Epistolae</w:t>
      </w:r>
      <w:r w:rsidRPr="00096909">
        <w:rPr>
          <w:rFonts w:ascii="Times New Roman" w:hAnsi="Times New Roman" w:cs="Times New Roman"/>
          <w:sz w:val="24"/>
          <w:szCs w:val="24"/>
        </w:rPr>
        <w:t xml:space="preserve"> di Seneca esemplata da </w:t>
      </w:r>
      <w:bookmarkStart w:id="101" w:name="_Hlk535837917"/>
      <w:r w:rsidRPr="00096909">
        <w:rPr>
          <w:rFonts w:ascii="Times New Roman" w:hAnsi="Times New Roman" w:cs="Times New Roman"/>
          <w:sz w:val="24"/>
          <w:szCs w:val="24"/>
        </w:rPr>
        <w:t>Tommaso Guarimberto</w:t>
      </w:r>
      <w:bookmarkEnd w:id="101"/>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60"/>
      </w:r>
      <w:r w:rsidRPr="00096909">
        <w:rPr>
          <w:rFonts w:ascii="Times New Roman" w:hAnsi="Times New Roman" w:cs="Times New Roman"/>
          <w:sz w:val="24"/>
          <w:szCs w:val="24"/>
        </w:rPr>
        <w:t xml:space="preserve"> </w:t>
      </w:r>
    </w:p>
    <w:p w14:paraId="6B9F752F"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La fama di estimatore d</w:t>
      </w:r>
      <w:r w:rsidR="00DB7A8F">
        <w:rPr>
          <w:rFonts w:ascii="Times New Roman" w:hAnsi="Times New Roman" w:cs="Times New Roman"/>
          <w:sz w:val="24"/>
          <w:szCs w:val="24"/>
        </w:rPr>
        <w:t>i</w:t>
      </w:r>
      <w:r w:rsidRPr="00096909">
        <w:rPr>
          <w:rFonts w:ascii="Times New Roman" w:hAnsi="Times New Roman" w:cs="Times New Roman"/>
          <w:sz w:val="24"/>
          <w:szCs w:val="24"/>
        </w:rPr>
        <w:t xml:space="preserve"> lettere antiche che avvolse il re negli anni centrali del suo dominio fece sì che gli fossero inviati omaggi bibliografici dai suoi più altolocati contemporanei. È il caso dei due codici con le </w:t>
      </w:r>
      <w:r w:rsidRPr="00096909">
        <w:rPr>
          <w:rFonts w:ascii="Times New Roman" w:hAnsi="Times New Roman" w:cs="Times New Roman"/>
          <w:i/>
          <w:sz w:val="24"/>
          <w:szCs w:val="24"/>
        </w:rPr>
        <w:t>Decadi</w:t>
      </w:r>
      <w:r w:rsidRPr="00096909">
        <w:rPr>
          <w:rFonts w:ascii="Times New Roman" w:hAnsi="Times New Roman" w:cs="Times New Roman"/>
          <w:sz w:val="24"/>
          <w:szCs w:val="24"/>
        </w:rPr>
        <w:t xml:space="preserve"> di Livio inviati a Napoli alla fine del 1444 da Cosimo de’ Medici, eseguiti rispettivamente nel 1425 e nel 1427 e abbelliti da iniziali a bianchi girari attribui</w:t>
      </w:r>
      <w:r>
        <w:rPr>
          <w:rFonts w:ascii="Times New Roman" w:hAnsi="Times New Roman" w:cs="Times New Roman"/>
          <w:sz w:val="24"/>
          <w:szCs w:val="24"/>
        </w:rPr>
        <w:t>bili</w:t>
      </w:r>
      <w:r w:rsidRPr="00096909">
        <w:rPr>
          <w:rFonts w:ascii="Times New Roman" w:hAnsi="Times New Roman" w:cs="Times New Roman"/>
          <w:sz w:val="24"/>
          <w:szCs w:val="24"/>
        </w:rPr>
        <w:t xml:space="preserve"> a </w:t>
      </w:r>
      <w:bookmarkStart w:id="102" w:name="_Hlk535838032"/>
      <w:r w:rsidRPr="00096909">
        <w:rPr>
          <w:rFonts w:ascii="Times New Roman" w:hAnsi="Times New Roman" w:cs="Times New Roman"/>
          <w:sz w:val="24"/>
          <w:szCs w:val="24"/>
        </w:rPr>
        <w:t>Bartolomeo Vannucci</w:t>
      </w:r>
      <w:bookmarkEnd w:id="102"/>
      <w:r w:rsidRPr="00096909">
        <w:rPr>
          <w:rFonts w:ascii="Times New Roman" w:hAnsi="Times New Roman" w:cs="Times New Roman"/>
          <w:sz w:val="24"/>
          <w:szCs w:val="24"/>
        </w:rPr>
        <w:t xml:space="preserve">. Questo stile decorativo, ormai diffuso ampiamente a Firenze e noto a Napoli grazie ai codici comprati presso Vespasiano da Bisticci da Alfonso e da suo figlio Ferrante, non mancò di ispirare i miniatori dello </w:t>
      </w:r>
      <w:r w:rsidRPr="00096909">
        <w:rPr>
          <w:rFonts w:ascii="Times New Roman" w:hAnsi="Times New Roman" w:cs="Times New Roman"/>
          <w:i/>
          <w:sz w:val="24"/>
          <w:szCs w:val="24"/>
        </w:rPr>
        <w:t>scriptorium</w:t>
      </w:r>
      <w:r w:rsidRPr="00096909">
        <w:rPr>
          <w:rFonts w:ascii="Times New Roman" w:hAnsi="Times New Roman" w:cs="Times New Roman"/>
          <w:sz w:val="24"/>
          <w:szCs w:val="24"/>
        </w:rPr>
        <w:t xml:space="preserve"> regio, che seppero declinarne il potenziale espressivo ravvivandolo con l’inserzione di piccoli animali, putti, cherubini e tondi con profili dal gusto classico, oltre a stemmi araldici e imprese. Simili tratti distintivi si ritrovano nell’arte di </w:t>
      </w:r>
      <w:bookmarkStart w:id="103" w:name="_Hlk535838098"/>
      <w:r w:rsidRPr="00096909">
        <w:rPr>
          <w:rFonts w:ascii="Times New Roman" w:hAnsi="Times New Roman" w:cs="Times New Roman"/>
          <w:sz w:val="24"/>
          <w:szCs w:val="24"/>
        </w:rPr>
        <w:t>Cola Rapicano</w:t>
      </w:r>
      <w:bookmarkEnd w:id="103"/>
      <w:r w:rsidRPr="00096909">
        <w:rPr>
          <w:rFonts w:ascii="Times New Roman" w:hAnsi="Times New Roman" w:cs="Times New Roman"/>
          <w:sz w:val="24"/>
          <w:szCs w:val="24"/>
        </w:rPr>
        <w:t xml:space="preserve">, la cui presenza a corte è documentata prima come scriba, dal 1451, e poi come miniatore </w:t>
      </w:r>
      <w:r w:rsidRPr="00096909">
        <w:rPr>
          <w:rFonts w:ascii="Times New Roman" w:hAnsi="Times New Roman" w:cs="Times New Roman"/>
          <w:sz w:val="24"/>
          <w:szCs w:val="24"/>
        </w:rPr>
        <w:lastRenderedPageBreak/>
        <w:t xml:space="preserve">dal 1455 al 1488. Attorno a lui, che riuscì a ottenere la guida della bottega libraria di Castel Nuovo per interessamento del bibliotecario regio </w:t>
      </w:r>
      <w:bookmarkStart w:id="104" w:name="_Hlk535838150"/>
      <w:r w:rsidRPr="00096909">
        <w:rPr>
          <w:rFonts w:ascii="Times New Roman" w:hAnsi="Times New Roman" w:cs="Times New Roman"/>
          <w:sz w:val="24"/>
          <w:szCs w:val="24"/>
        </w:rPr>
        <w:t>Giovan Marco Cinico</w:t>
      </w:r>
      <w:bookmarkEnd w:id="104"/>
      <w:r w:rsidRPr="00096909">
        <w:rPr>
          <w:rFonts w:ascii="Times New Roman" w:hAnsi="Times New Roman" w:cs="Times New Roman"/>
          <w:sz w:val="24"/>
          <w:szCs w:val="24"/>
        </w:rPr>
        <w:t xml:space="preserve">, si radunarono i maestri più rappresentativi dell’arte del minio del secondo </w:t>
      </w:r>
      <w:r>
        <w:rPr>
          <w:rFonts w:ascii="Times New Roman" w:hAnsi="Times New Roman" w:cs="Times New Roman"/>
          <w:sz w:val="24"/>
          <w:szCs w:val="24"/>
        </w:rPr>
        <w:t>Q</w:t>
      </w:r>
      <w:r w:rsidRPr="00096909">
        <w:rPr>
          <w:rFonts w:ascii="Times New Roman" w:hAnsi="Times New Roman" w:cs="Times New Roman"/>
          <w:sz w:val="24"/>
          <w:szCs w:val="24"/>
        </w:rPr>
        <w:t xml:space="preserve">uattrocento: Filippo e Leonardo Rapicano, il calligrafo e miniatore d’origine tedesca </w:t>
      </w:r>
      <w:bookmarkStart w:id="105" w:name="_Hlk535838258"/>
      <w:r w:rsidRPr="00096909">
        <w:rPr>
          <w:rFonts w:ascii="Times New Roman" w:hAnsi="Times New Roman" w:cs="Times New Roman"/>
          <w:sz w:val="24"/>
          <w:szCs w:val="24"/>
        </w:rPr>
        <w:t>Gioacchino de Gigantibus</w:t>
      </w:r>
      <w:bookmarkEnd w:id="105"/>
      <w:r w:rsidRPr="00096909">
        <w:rPr>
          <w:rFonts w:ascii="Times New Roman" w:hAnsi="Times New Roman" w:cs="Times New Roman"/>
          <w:sz w:val="24"/>
          <w:szCs w:val="24"/>
        </w:rPr>
        <w:t xml:space="preserve">, giunto alla corte </w:t>
      </w:r>
      <w:r w:rsidR="003877E5">
        <w:rPr>
          <w:rFonts w:ascii="Times New Roman" w:hAnsi="Times New Roman" w:cs="Times New Roman"/>
          <w:sz w:val="24"/>
          <w:szCs w:val="24"/>
        </w:rPr>
        <w:t>a</w:t>
      </w:r>
      <w:r w:rsidRPr="00096909">
        <w:rPr>
          <w:rFonts w:ascii="Times New Roman" w:hAnsi="Times New Roman" w:cs="Times New Roman"/>
          <w:sz w:val="24"/>
          <w:szCs w:val="24"/>
        </w:rPr>
        <w:t xml:space="preserve">ragonese da Roma nel 1470, Matteo Felice e il giovane </w:t>
      </w:r>
      <w:bookmarkStart w:id="106" w:name="_Hlk535838396"/>
      <w:r w:rsidRPr="00096909">
        <w:rPr>
          <w:rFonts w:ascii="Times New Roman" w:hAnsi="Times New Roman" w:cs="Times New Roman"/>
          <w:sz w:val="24"/>
          <w:szCs w:val="24"/>
        </w:rPr>
        <w:t>Cristoforo Majorana</w:t>
      </w:r>
      <w:bookmarkEnd w:id="106"/>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61"/>
      </w:r>
      <w:r w:rsidRPr="00096909">
        <w:rPr>
          <w:rFonts w:ascii="Times New Roman" w:hAnsi="Times New Roman" w:cs="Times New Roman"/>
          <w:sz w:val="24"/>
          <w:szCs w:val="24"/>
        </w:rPr>
        <w:t xml:space="preserve"> Esempio eccellente dell’arte del Rapicano e della miniatura regia napoletana del suo tempo è il codice della </w:t>
      </w:r>
      <w:bookmarkStart w:id="107" w:name="_Hlk528525273"/>
      <w:r w:rsidRPr="00096909">
        <w:rPr>
          <w:rFonts w:ascii="Times New Roman" w:hAnsi="Times New Roman" w:cs="Times New Roman"/>
          <w:i/>
          <w:sz w:val="24"/>
          <w:szCs w:val="24"/>
        </w:rPr>
        <w:t>Reprehensio sive objurgatio in calumniatorem divini Platonis</w:t>
      </w:r>
      <w:r w:rsidRPr="00096909">
        <w:rPr>
          <w:rFonts w:ascii="Times New Roman" w:hAnsi="Times New Roman" w:cs="Times New Roman"/>
          <w:sz w:val="24"/>
          <w:szCs w:val="24"/>
        </w:rPr>
        <w:t xml:space="preserve"> </w:t>
      </w:r>
      <w:bookmarkEnd w:id="107"/>
      <w:r w:rsidRPr="00096909">
        <w:rPr>
          <w:rFonts w:ascii="Times New Roman" w:hAnsi="Times New Roman" w:cs="Times New Roman"/>
          <w:sz w:val="24"/>
          <w:szCs w:val="24"/>
        </w:rPr>
        <w:t xml:space="preserve">di </w:t>
      </w:r>
      <w:bookmarkStart w:id="108" w:name="_Hlk535838479"/>
      <w:r w:rsidRPr="00096909">
        <w:rPr>
          <w:rFonts w:ascii="Times New Roman" w:hAnsi="Times New Roman" w:cs="Times New Roman"/>
          <w:sz w:val="24"/>
          <w:szCs w:val="24"/>
        </w:rPr>
        <w:t>Andrea Contrario</w:t>
      </w:r>
      <w:bookmarkEnd w:id="108"/>
      <w:r w:rsidRPr="00096909">
        <w:rPr>
          <w:rFonts w:ascii="Times New Roman" w:hAnsi="Times New Roman" w:cs="Times New Roman"/>
          <w:sz w:val="24"/>
          <w:szCs w:val="24"/>
        </w:rPr>
        <w:t>, vergato dal Cinico e oggi conservato a Parigi. La cornice a bianchi girari del frontespizio, al foglio 11r, è percorsa da un fregio animato da uccellini e putti su cui posano medaglioni antichi con i ritratti degli imperatori Claudio, Galba, Antonino il Pio e Annibale, insieme a quello del Magnanimo nell’angolo superiore destro e a quello di Ferrante nell’iniziale C che apre il testo (fig. 12).</w:t>
      </w:r>
      <w:r w:rsidRPr="00096909">
        <w:rPr>
          <w:rStyle w:val="Rimandonotaapidipagina"/>
          <w:rFonts w:ascii="Times New Roman" w:hAnsi="Times New Roman" w:cs="Times New Roman"/>
          <w:sz w:val="24"/>
          <w:szCs w:val="24"/>
        </w:rPr>
        <w:footnoteReference w:id="162"/>
      </w:r>
    </w:p>
    <w:p w14:paraId="5F5F6F81"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Armando Petrucci notò come sotto il regno di quest’ultimo sovrano la produzione di manoscritti fosse stata segnata da un marcato proposito di ridurre l’influenza iberica sull’officina scrittoria di palazzo, che comportò la sostituzione dell’asse Barcellona-Napoli con quello Firenze-Napoli quanto alla circolazione dei maestri del libro.</w:t>
      </w:r>
      <w:r w:rsidRPr="00096909">
        <w:rPr>
          <w:rStyle w:val="Rimandonotaapidipagina"/>
          <w:rFonts w:ascii="Times New Roman" w:hAnsi="Times New Roman" w:cs="Times New Roman"/>
          <w:sz w:val="24"/>
          <w:szCs w:val="24"/>
        </w:rPr>
        <w:footnoteReference w:id="163"/>
      </w:r>
      <w:r w:rsidRPr="00096909">
        <w:rPr>
          <w:rFonts w:ascii="Times New Roman" w:hAnsi="Times New Roman" w:cs="Times New Roman"/>
          <w:sz w:val="24"/>
          <w:szCs w:val="24"/>
        </w:rPr>
        <w:t xml:space="preserve"> A fornire informazioni in merito alla gestione della biblioteca</w:t>
      </w:r>
      <w:r>
        <w:rPr>
          <w:rFonts w:ascii="Times New Roman" w:hAnsi="Times New Roman" w:cs="Times New Roman"/>
          <w:sz w:val="24"/>
          <w:szCs w:val="24"/>
        </w:rPr>
        <w:t xml:space="preserve"> in questo periodo</w:t>
      </w:r>
      <w:r w:rsidRPr="00096909">
        <w:rPr>
          <w:rFonts w:ascii="Times New Roman" w:hAnsi="Times New Roman" w:cs="Times New Roman"/>
          <w:sz w:val="24"/>
          <w:szCs w:val="24"/>
        </w:rPr>
        <w:t xml:space="preserve"> è il </w:t>
      </w:r>
      <w:r w:rsidRPr="00096909">
        <w:rPr>
          <w:rFonts w:ascii="Times New Roman" w:hAnsi="Times New Roman" w:cs="Times New Roman"/>
          <w:i/>
          <w:sz w:val="24"/>
          <w:szCs w:val="24"/>
        </w:rPr>
        <w:t>Memoriale</w:t>
      </w:r>
      <w:r w:rsidRPr="00096909">
        <w:rPr>
          <w:rFonts w:ascii="Times New Roman" w:hAnsi="Times New Roman" w:cs="Times New Roman"/>
          <w:sz w:val="24"/>
          <w:szCs w:val="24"/>
        </w:rPr>
        <w:t xml:space="preserve"> del calabrese Giovanni Brancati, preposto dal 1480 alla gestione della raccolta per interessamento del segretario Antonello Petrucci.</w:t>
      </w:r>
      <w:r w:rsidRPr="00096909">
        <w:rPr>
          <w:rStyle w:val="Rimandonotaapidipagina"/>
          <w:rFonts w:ascii="Times New Roman" w:hAnsi="Times New Roman" w:cs="Times New Roman"/>
          <w:sz w:val="24"/>
          <w:szCs w:val="24"/>
        </w:rPr>
        <w:footnoteReference w:id="164"/>
      </w:r>
      <w:r w:rsidRPr="00096909">
        <w:rPr>
          <w:rFonts w:ascii="Times New Roman" w:hAnsi="Times New Roman" w:cs="Times New Roman"/>
          <w:sz w:val="24"/>
          <w:szCs w:val="24"/>
        </w:rPr>
        <w:t xml:space="preserve"> Preoccupato per l’ingente spesa degli stipendi del personale dello </w:t>
      </w:r>
      <w:r w:rsidRPr="00096909">
        <w:rPr>
          <w:rFonts w:ascii="Times New Roman" w:hAnsi="Times New Roman" w:cs="Times New Roman"/>
          <w:i/>
          <w:sz w:val="24"/>
          <w:szCs w:val="24"/>
        </w:rPr>
        <w:t>scriptorium</w:t>
      </w:r>
      <w:r w:rsidRPr="00096909">
        <w:rPr>
          <w:rFonts w:ascii="Times New Roman" w:hAnsi="Times New Roman" w:cs="Times New Roman"/>
          <w:sz w:val="24"/>
          <w:szCs w:val="24"/>
        </w:rPr>
        <w:t xml:space="preserve">, giunto a contare fino a sette copisti fissi oltre ai miniatori e ai rilegatori, l’umanista segnalò a Ferrante che l’acquisto dei libri direttamente a Firenze avrebbe comportato un discreto risparmio e che in </w:t>
      </w:r>
      <w:r w:rsidRPr="00096909">
        <w:rPr>
          <w:rFonts w:ascii="Times New Roman" w:hAnsi="Times New Roman" w:cs="Times New Roman"/>
          <w:sz w:val="24"/>
          <w:szCs w:val="24"/>
        </w:rPr>
        <w:lastRenderedPageBreak/>
        <w:t xml:space="preserve">quella stessa città si sarebbe potuta comprare pergamena di maggiore qualità con minor spesa. La scrittura dei libri e la loro decorazione sarebbe inoltre stata meno dispendiosa se, soppressa l’officina palatina, il re si fosse rivolto a botteghe esterne, come avvenne nel 1481 con l’assegnazione della decorazione delle </w:t>
      </w:r>
      <w:r w:rsidRPr="00096909">
        <w:rPr>
          <w:rFonts w:ascii="Times New Roman" w:hAnsi="Times New Roman" w:cs="Times New Roman"/>
          <w:i/>
          <w:sz w:val="24"/>
          <w:szCs w:val="24"/>
        </w:rPr>
        <w:t>Vita et fabulae</w:t>
      </w:r>
      <w:r w:rsidRPr="00096909">
        <w:rPr>
          <w:rFonts w:ascii="Times New Roman" w:hAnsi="Times New Roman" w:cs="Times New Roman"/>
          <w:sz w:val="24"/>
          <w:szCs w:val="24"/>
        </w:rPr>
        <w:t xml:space="preserve"> di Esopo al Majorana, che in quegli anni, affrancatosi dalla bottega dei Rapicano, operava in autonomia, distinguendosi per la ricercatezza delle cornici architettoniche dei suoi frontespizi d’ispirazione padovana.</w:t>
      </w:r>
      <w:r w:rsidRPr="00096909">
        <w:rPr>
          <w:rStyle w:val="Rimandonotaapidipagina"/>
          <w:rFonts w:ascii="Times New Roman" w:hAnsi="Times New Roman" w:cs="Times New Roman"/>
          <w:sz w:val="24"/>
          <w:szCs w:val="24"/>
        </w:rPr>
        <w:footnoteReference w:id="165"/>
      </w:r>
      <w:r w:rsidRPr="00096909">
        <w:rPr>
          <w:rFonts w:ascii="Times New Roman" w:hAnsi="Times New Roman" w:cs="Times New Roman"/>
          <w:sz w:val="24"/>
          <w:szCs w:val="24"/>
        </w:rPr>
        <w:t xml:space="preserve">  </w:t>
      </w:r>
    </w:p>
    <w:p w14:paraId="6B458333"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biblioteca reale aragonese crebbe pertanto grazie a un doppio canale di approvvigionamento librario: da un lato le opere copiate nello </w:t>
      </w:r>
      <w:r w:rsidRPr="00096909">
        <w:rPr>
          <w:rFonts w:ascii="Times New Roman" w:hAnsi="Times New Roman" w:cs="Times New Roman"/>
          <w:i/>
          <w:sz w:val="24"/>
          <w:szCs w:val="24"/>
        </w:rPr>
        <w:t>scriptorium</w:t>
      </w:r>
      <w:r w:rsidRPr="00096909">
        <w:rPr>
          <w:rFonts w:ascii="Times New Roman" w:hAnsi="Times New Roman" w:cs="Times New Roman"/>
          <w:sz w:val="24"/>
          <w:szCs w:val="24"/>
        </w:rPr>
        <w:t xml:space="preserve"> di castello, dall’altro le committenze esterne a miniatori attivi a Napoli o ospiti di altre corti. In tal modo, i sovrani aragonesi si resero sia promotori dell’elaborazione di uno stile locale della miniatura, sia importatori di manoscritti con raffinate illustrazioni, creando così le basi per un fecondo confronto tra culture figurative diverse.</w:t>
      </w:r>
    </w:p>
    <w:p w14:paraId="64C72579"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 Una situazione del tutto analoga si </w:t>
      </w:r>
      <w:r w:rsidR="00C30820">
        <w:rPr>
          <w:rFonts w:ascii="Times New Roman" w:hAnsi="Times New Roman" w:cs="Times New Roman"/>
          <w:sz w:val="24"/>
          <w:szCs w:val="24"/>
        </w:rPr>
        <w:t xml:space="preserve">ebbe </w:t>
      </w:r>
      <w:r w:rsidRPr="00096909">
        <w:rPr>
          <w:rFonts w:ascii="Times New Roman" w:hAnsi="Times New Roman" w:cs="Times New Roman"/>
          <w:sz w:val="24"/>
          <w:szCs w:val="24"/>
        </w:rPr>
        <w:t>a Urbino, dove Federico da Montefeltro, propenso nelle fasi di avvio della sua collezione ad acquistare manoscritti da Vespasiano da Bisticci, negli anni del suo ducato (1474-1482) favorì invece la produzione in loco di codici miniati. Un simile cambio di tendenza coincise con l’allentamento dei rapporti con Firenze successivo alla congiura dei Pazzi, che nel 1478 vide invischiato il duca stesso, e con il ritiro del celebre libraio fiorentino a vita privata negli stessi anni.</w:t>
      </w:r>
      <w:r w:rsidRPr="00096909">
        <w:rPr>
          <w:rStyle w:val="Rimandonotaapidipagina"/>
          <w:rFonts w:ascii="Times New Roman" w:hAnsi="Times New Roman" w:cs="Times New Roman"/>
          <w:sz w:val="24"/>
          <w:szCs w:val="24"/>
        </w:rPr>
        <w:footnoteReference w:id="166"/>
      </w:r>
      <w:r w:rsidRPr="00096909">
        <w:rPr>
          <w:rFonts w:ascii="Times New Roman" w:hAnsi="Times New Roman" w:cs="Times New Roman"/>
          <w:sz w:val="24"/>
          <w:szCs w:val="24"/>
        </w:rPr>
        <w:t xml:space="preserve"> </w:t>
      </w:r>
    </w:p>
    <w:p w14:paraId="46F58D2A" w14:textId="01E3899C"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w:t>
      </w:r>
      <w:r w:rsidRPr="00096909">
        <w:rPr>
          <w:rFonts w:ascii="Times New Roman" w:hAnsi="Times New Roman" w:cs="Times New Roman"/>
          <w:i/>
          <w:sz w:val="24"/>
          <w:szCs w:val="24"/>
        </w:rPr>
        <w:t>Memoria felicissima de lo Illustrissimo Signor Duca Federico et de la sua Famiglia</w:t>
      </w:r>
      <w:r w:rsidRPr="00096909">
        <w:rPr>
          <w:rFonts w:ascii="Times New Roman" w:hAnsi="Times New Roman" w:cs="Times New Roman"/>
          <w:sz w:val="24"/>
          <w:szCs w:val="24"/>
        </w:rPr>
        <w:t xml:space="preserve"> composta da</w:t>
      </w:r>
      <w:r>
        <w:rPr>
          <w:rFonts w:ascii="Times New Roman" w:hAnsi="Times New Roman" w:cs="Times New Roman"/>
          <w:sz w:val="24"/>
          <w:szCs w:val="24"/>
        </w:rPr>
        <w:t xml:space="preserve"> </w:t>
      </w:r>
      <w:r w:rsidRPr="00096909">
        <w:rPr>
          <w:rFonts w:ascii="Times New Roman" w:hAnsi="Times New Roman" w:cs="Times New Roman"/>
          <w:sz w:val="24"/>
          <w:szCs w:val="24"/>
        </w:rPr>
        <w:t>Susech da Casteldurante, attento cronista della vita cortese urbinate, ha tramandato i nomi di quattro “scrittori della libraria”: Domenico Lancilago, Mattheo da Volterra, Federico Vagnino, Nicolò da Genova.</w:t>
      </w:r>
      <w:r w:rsidRPr="00096909">
        <w:rPr>
          <w:rStyle w:val="Rimandonotaapidipagina"/>
          <w:rFonts w:ascii="Times New Roman" w:hAnsi="Times New Roman" w:cs="Times New Roman"/>
          <w:sz w:val="24"/>
          <w:szCs w:val="24"/>
        </w:rPr>
        <w:footnoteReference w:id="167"/>
      </w:r>
      <w:r w:rsidRPr="00096909">
        <w:rPr>
          <w:rFonts w:ascii="Times New Roman" w:hAnsi="Times New Roman" w:cs="Times New Roman"/>
          <w:sz w:val="24"/>
          <w:szCs w:val="24"/>
        </w:rPr>
        <w:t xml:space="preserve"> Ritroviamo dunque Matteo Contugi, calligrafo stimato delle corti di Mantova e Ferrara,</w:t>
      </w:r>
      <w:r w:rsidRPr="00096909">
        <w:rPr>
          <w:rStyle w:val="Rimandonotaapidipagina"/>
          <w:rFonts w:ascii="Times New Roman" w:hAnsi="Times New Roman" w:cs="Times New Roman"/>
          <w:sz w:val="24"/>
          <w:szCs w:val="24"/>
        </w:rPr>
        <w:footnoteReference w:id="168"/>
      </w:r>
      <w:r w:rsidRPr="00096909">
        <w:rPr>
          <w:rFonts w:ascii="Times New Roman" w:hAnsi="Times New Roman" w:cs="Times New Roman"/>
          <w:sz w:val="24"/>
          <w:szCs w:val="24"/>
        </w:rPr>
        <w:t xml:space="preserve"> che a Urbino svolse un ruolo attivo d</w:t>
      </w:r>
      <w:r>
        <w:rPr>
          <w:rFonts w:ascii="Times New Roman" w:hAnsi="Times New Roman" w:cs="Times New Roman"/>
          <w:sz w:val="24"/>
          <w:szCs w:val="24"/>
        </w:rPr>
        <w:t>’</w:t>
      </w:r>
      <w:r w:rsidRPr="00096909">
        <w:rPr>
          <w:rFonts w:ascii="Times New Roman" w:hAnsi="Times New Roman" w:cs="Times New Roman"/>
          <w:sz w:val="24"/>
          <w:szCs w:val="24"/>
        </w:rPr>
        <w:t>organizzatore della biblioteca ducale, favorendovi il trasferimento di alcuni maestri della corte di Borso d’Este</w:t>
      </w:r>
      <w:r w:rsidR="00A744C8">
        <w:rPr>
          <w:rFonts w:ascii="Times New Roman" w:hAnsi="Times New Roman" w:cs="Times New Roman"/>
          <w:sz w:val="24"/>
          <w:szCs w:val="24"/>
        </w:rPr>
        <w:t>,</w:t>
      </w:r>
      <w:r w:rsidRPr="00096909">
        <w:rPr>
          <w:rFonts w:ascii="Times New Roman" w:hAnsi="Times New Roman" w:cs="Times New Roman"/>
          <w:sz w:val="24"/>
          <w:szCs w:val="24"/>
        </w:rPr>
        <w:t xml:space="preserve"> quali Guglielmo Giraldi e Franco dei Russi. I due miniatori recarono in città un’esuberanza formale, un patetismo </w:t>
      </w:r>
      <w:r w:rsidRPr="00096909">
        <w:rPr>
          <w:rFonts w:ascii="Times New Roman" w:hAnsi="Times New Roman" w:cs="Times New Roman"/>
          <w:sz w:val="24"/>
          <w:szCs w:val="24"/>
        </w:rPr>
        <w:lastRenderedPageBreak/>
        <w:t xml:space="preserve">nella resa dei sentimenti e una tavolozza ricca di colori luminosi che, innestandosi sullo stile decorativo introdotto a corte dai codici di Vespasiano, originarono una koiné stilistica locale, di cui sono esempio pregevole le miniature della </w:t>
      </w:r>
      <w:r w:rsidRPr="00096909">
        <w:rPr>
          <w:rFonts w:ascii="Times New Roman" w:hAnsi="Times New Roman" w:cs="Times New Roman"/>
          <w:i/>
          <w:sz w:val="24"/>
          <w:szCs w:val="24"/>
        </w:rPr>
        <w:t>Divina Commedia</w:t>
      </w:r>
      <w:r w:rsidRPr="00096909">
        <w:rPr>
          <w:rFonts w:ascii="Times New Roman" w:hAnsi="Times New Roman" w:cs="Times New Roman"/>
          <w:sz w:val="24"/>
          <w:szCs w:val="24"/>
        </w:rPr>
        <w:t xml:space="preserve"> (fig. 13) e dell’Evangeliario realizzati per Federico.</w:t>
      </w:r>
      <w:r w:rsidRPr="00096909">
        <w:rPr>
          <w:rStyle w:val="Rimandonotaapidipagina"/>
          <w:rFonts w:ascii="Times New Roman" w:hAnsi="Times New Roman" w:cs="Times New Roman"/>
          <w:sz w:val="24"/>
          <w:szCs w:val="24"/>
        </w:rPr>
        <w:footnoteReference w:id="169"/>
      </w:r>
      <w:r w:rsidRPr="00096909">
        <w:rPr>
          <w:rFonts w:ascii="Times New Roman" w:hAnsi="Times New Roman" w:cs="Times New Roman"/>
          <w:sz w:val="24"/>
          <w:szCs w:val="24"/>
        </w:rPr>
        <w:t xml:space="preserve"> Interventi di Giraldi si notano inoltre in alcune delle più belle iniziali e nelle vignette del </w:t>
      </w:r>
      <w:r w:rsidRPr="00096909">
        <w:rPr>
          <w:rFonts w:ascii="Times New Roman" w:hAnsi="Times New Roman" w:cs="Times New Roman"/>
          <w:i/>
          <w:sz w:val="24"/>
          <w:szCs w:val="24"/>
        </w:rPr>
        <w:t>Corale</w:t>
      </w:r>
      <w:r w:rsidRPr="00096909">
        <w:rPr>
          <w:rFonts w:ascii="Times New Roman" w:hAnsi="Times New Roman" w:cs="Times New Roman"/>
          <w:sz w:val="24"/>
          <w:szCs w:val="24"/>
        </w:rPr>
        <w:t xml:space="preserve"> D.6 per il Duomo cittadino, miniato su probabile committenza di Federico negli stessi anni dai monaci camaldolesi fiorentini Giuliano Amadei e Bartolomeo della Gatta.</w:t>
      </w:r>
      <w:r w:rsidRPr="00096909">
        <w:rPr>
          <w:rStyle w:val="Rimandonotaapidipagina"/>
          <w:rFonts w:ascii="Times New Roman" w:hAnsi="Times New Roman" w:cs="Times New Roman"/>
          <w:sz w:val="24"/>
          <w:szCs w:val="24"/>
        </w:rPr>
        <w:footnoteReference w:id="170"/>
      </w:r>
    </w:p>
    <w:p w14:paraId="553567E9"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Gli studi di Cecilia Martelli intorno alla produzione di quest’ultimo artista ne hanno messo in risalto la capacità di ricezione delle più aggiornate esperienze coeve nell’ambito della miniatura italiana. Nelle pagine del </w:t>
      </w:r>
      <w:bookmarkStart w:id="113" w:name="_Hlk528527052"/>
      <w:r w:rsidRPr="00096909">
        <w:rPr>
          <w:rFonts w:ascii="Times New Roman" w:hAnsi="Times New Roman" w:cs="Times New Roman"/>
          <w:i/>
          <w:sz w:val="24"/>
          <w:szCs w:val="24"/>
        </w:rPr>
        <w:t>Canzoniere e Trionfi</w:t>
      </w:r>
      <w:r w:rsidRPr="00096909">
        <w:rPr>
          <w:rFonts w:ascii="Times New Roman" w:hAnsi="Times New Roman" w:cs="Times New Roman"/>
          <w:sz w:val="24"/>
          <w:szCs w:val="24"/>
        </w:rPr>
        <w:t xml:space="preserve"> </w:t>
      </w:r>
      <w:bookmarkEnd w:id="113"/>
      <w:r w:rsidRPr="00096909">
        <w:rPr>
          <w:rFonts w:ascii="Times New Roman" w:hAnsi="Times New Roman" w:cs="Times New Roman"/>
          <w:sz w:val="24"/>
          <w:szCs w:val="24"/>
        </w:rPr>
        <w:t>decorato tra il 1474 e il 1482 e oggi conservato a Madrid, Bartolomeo altern</w:t>
      </w:r>
      <w:r>
        <w:rPr>
          <w:rFonts w:ascii="Times New Roman" w:hAnsi="Times New Roman" w:cs="Times New Roman"/>
          <w:sz w:val="24"/>
          <w:szCs w:val="24"/>
        </w:rPr>
        <w:t>ò</w:t>
      </w:r>
      <w:r w:rsidRPr="00096909">
        <w:rPr>
          <w:rFonts w:ascii="Times New Roman" w:hAnsi="Times New Roman" w:cs="Times New Roman"/>
          <w:sz w:val="24"/>
          <w:szCs w:val="24"/>
        </w:rPr>
        <w:t xml:space="preserve"> ornati fantasiosi composti da candelabre e rigogliosi racemi su cui posano uccellini, delfini e putti, come nell’Incipit del </w:t>
      </w:r>
      <w:r w:rsidRPr="00096909">
        <w:rPr>
          <w:rFonts w:ascii="Times New Roman" w:hAnsi="Times New Roman" w:cs="Times New Roman"/>
          <w:i/>
          <w:sz w:val="24"/>
          <w:szCs w:val="24"/>
        </w:rPr>
        <w:t>Canzoniere</w:t>
      </w:r>
      <w:r w:rsidRPr="00096909">
        <w:rPr>
          <w:rFonts w:ascii="Times New Roman" w:hAnsi="Times New Roman" w:cs="Times New Roman"/>
          <w:sz w:val="24"/>
          <w:szCs w:val="24"/>
        </w:rPr>
        <w:t xml:space="preserve"> del foglio 11r (fig. 14), alle più moderne cornici all’antica dei </w:t>
      </w:r>
      <w:r w:rsidRPr="00096909">
        <w:rPr>
          <w:rFonts w:ascii="Times New Roman" w:hAnsi="Times New Roman" w:cs="Times New Roman"/>
          <w:i/>
          <w:sz w:val="24"/>
          <w:szCs w:val="24"/>
        </w:rPr>
        <w:t>Trionfi d</w:t>
      </w:r>
      <w:r>
        <w:rPr>
          <w:rFonts w:ascii="Times New Roman" w:hAnsi="Times New Roman" w:cs="Times New Roman"/>
          <w:i/>
          <w:sz w:val="24"/>
          <w:szCs w:val="24"/>
        </w:rPr>
        <w:t>ell’Amore</w:t>
      </w:r>
      <w:r w:rsidRPr="00096909">
        <w:rPr>
          <w:rFonts w:ascii="Times New Roman" w:hAnsi="Times New Roman" w:cs="Times New Roman"/>
          <w:sz w:val="24"/>
          <w:szCs w:val="24"/>
        </w:rPr>
        <w:t xml:space="preserve"> (f. 162v; fig. 15, </w:t>
      </w:r>
      <w:r w:rsidRPr="00096909">
        <w:rPr>
          <w:rFonts w:ascii="Times New Roman" w:hAnsi="Times New Roman" w:cs="Times New Roman"/>
          <w:i/>
          <w:sz w:val="24"/>
          <w:szCs w:val="24"/>
        </w:rPr>
        <w:t>della Morte</w:t>
      </w:r>
      <w:r w:rsidRPr="00096909">
        <w:rPr>
          <w:rFonts w:ascii="Times New Roman" w:hAnsi="Times New Roman" w:cs="Times New Roman"/>
          <w:sz w:val="24"/>
          <w:szCs w:val="24"/>
        </w:rPr>
        <w:t xml:space="preserve"> (f. 166v.), e </w:t>
      </w:r>
      <w:r w:rsidRPr="00096909">
        <w:rPr>
          <w:rFonts w:ascii="Times New Roman" w:hAnsi="Times New Roman" w:cs="Times New Roman"/>
          <w:i/>
          <w:sz w:val="24"/>
          <w:szCs w:val="24"/>
        </w:rPr>
        <w:t>della Fama</w:t>
      </w:r>
      <w:r w:rsidRPr="00096909">
        <w:rPr>
          <w:rFonts w:ascii="Times New Roman" w:hAnsi="Times New Roman" w:cs="Times New Roman"/>
          <w:sz w:val="24"/>
          <w:szCs w:val="24"/>
        </w:rPr>
        <w:t xml:space="preserve"> (f. 176r), modellate sull’esempio di quelle eseguite per i codici romani di Bartolomeo Sanvito e Gaspare da Padova.</w:t>
      </w:r>
      <w:r w:rsidRPr="00096909">
        <w:rPr>
          <w:rStyle w:val="Rimandonotaapidipagina"/>
          <w:rFonts w:ascii="Times New Roman" w:hAnsi="Times New Roman" w:cs="Times New Roman"/>
          <w:sz w:val="24"/>
          <w:szCs w:val="24"/>
        </w:rPr>
        <w:footnoteReference w:id="171"/>
      </w:r>
      <w:r w:rsidRPr="00096909">
        <w:rPr>
          <w:rFonts w:ascii="Times New Roman" w:hAnsi="Times New Roman" w:cs="Times New Roman"/>
          <w:sz w:val="24"/>
          <w:szCs w:val="24"/>
        </w:rPr>
        <w:t xml:space="preserve"> L’avanzare dei carri allegorici, progettati con una sovrabbondante ispirazione decorativa, è reso inoltre suggestivo dall’adozione di un punto di fuga molto basso, che conferisce maggiore peso alle figure e rivela la piena padronanza dell</w:t>
      </w:r>
      <w:r>
        <w:rPr>
          <w:rFonts w:ascii="Times New Roman" w:hAnsi="Times New Roman" w:cs="Times New Roman"/>
          <w:sz w:val="24"/>
          <w:szCs w:val="24"/>
        </w:rPr>
        <w:t>e leggi della</w:t>
      </w:r>
      <w:r w:rsidRPr="00096909">
        <w:rPr>
          <w:rFonts w:ascii="Times New Roman" w:hAnsi="Times New Roman" w:cs="Times New Roman"/>
          <w:sz w:val="24"/>
          <w:szCs w:val="24"/>
        </w:rPr>
        <w:t xml:space="preserve"> prospettiva </w:t>
      </w:r>
      <w:r>
        <w:rPr>
          <w:rFonts w:ascii="Times New Roman" w:hAnsi="Times New Roman" w:cs="Times New Roman"/>
          <w:sz w:val="24"/>
          <w:szCs w:val="24"/>
        </w:rPr>
        <w:t xml:space="preserve">raggiunta </w:t>
      </w:r>
      <w:r w:rsidRPr="00096909">
        <w:rPr>
          <w:rFonts w:ascii="Times New Roman" w:hAnsi="Times New Roman" w:cs="Times New Roman"/>
          <w:sz w:val="24"/>
          <w:szCs w:val="24"/>
        </w:rPr>
        <w:t xml:space="preserve">dall’artista.  </w:t>
      </w:r>
    </w:p>
    <w:p w14:paraId="7CE045CF"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Alla corte di Federico, il lavoro dei miniatori più rinomati, riservato alle figure principali delle scene da illustrare, si inseriva nell’ambito di una bottega di palazzo, in cui a maestranze di minore levatura erano affidati lavori più semplici e decorativi. Così accade per esempio nella </w:t>
      </w:r>
      <w:r w:rsidRPr="00096909">
        <w:rPr>
          <w:rFonts w:ascii="Times New Roman" w:hAnsi="Times New Roman" w:cs="Times New Roman"/>
          <w:i/>
          <w:sz w:val="24"/>
          <w:szCs w:val="24"/>
        </w:rPr>
        <w:t>Vita di Alessandro Magno</w:t>
      </w:r>
      <w:r w:rsidRPr="00096909">
        <w:rPr>
          <w:rFonts w:ascii="Times New Roman" w:hAnsi="Times New Roman" w:cs="Times New Roman"/>
          <w:sz w:val="24"/>
          <w:szCs w:val="24"/>
        </w:rPr>
        <w:t xml:space="preserve"> di Curzio Rufo esemplata da Contugi, ora alla Vaticana (fig. 16).</w:t>
      </w:r>
      <w:r w:rsidRPr="00096909">
        <w:rPr>
          <w:rStyle w:val="Rimandonotaapidipagina"/>
          <w:rFonts w:ascii="Times New Roman" w:hAnsi="Times New Roman" w:cs="Times New Roman"/>
          <w:sz w:val="24"/>
          <w:szCs w:val="24"/>
        </w:rPr>
        <w:footnoteReference w:id="172"/>
      </w:r>
      <w:r w:rsidRPr="00096909">
        <w:rPr>
          <w:rFonts w:ascii="Times New Roman" w:hAnsi="Times New Roman" w:cs="Times New Roman"/>
          <w:sz w:val="24"/>
          <w:szCs w:val="24"/>
        </w:rPr>
        <w:t xml:space="preserve"> Nel frontespizio del foglio 2r, il medaglione centrale della fascia destra con la figura del condottiero, imponente sullo sfondo di un paesaggio brillante di sfumature di verdi e di blu, si deve alla mano di Bartolomeo della Gatta, mentre la cornice, un intreccio di bianchi girari e liste dorate dal quale si affacciano varie specie di animali, va assegnata a maestranze dello </w:t>
      </w:r>
      <w:r w:rsidRPr="00096909">
        <w:rPr>
          <w:rFonts w:ascii="Times New Roman" w:hAnsi="Times New Roman" w:cs="Times New Roman"/>
          <w:i/>
          <w:sz w:val="24"/>
          <w:szCs w:val="24"/>
        </w:rPr>
        <w:t>scriptorium</w:t>
      </w:r>
      <w:r w:rsidRPr="00096909">
        <w:rPr>
          <w:rFonts w:ascii="Times New Roman" w:hAnsi="Times New Roman" w:cs="Times New Roman"/>
          <w:sz w:val="24"/>
          <w:szCs w:val="24"/>
        </w:rPr>
        <w:t xml:space="preserve">. Sempre a </w:t>
      </w:r>
      <w:r w:rsidRPr="00096909">
        <w:rPr>
          <w:rFonts w:ascii="Times New Roman" w:hAnsi="Times New Roman" w:cs="Times New Roman"/>
          <w:sz w:val="24"/>
          <w:szCs w:val="24"/>
        </w:rPr>
        <w:lastRenderedPageBreak/>
        <w:t>quest’ultime, negli anni del dominio di Federico, andrà attribuita la decorazione di diversi codici copiati da Federico Veterani</w:t>
      </w:r>
      <w:r w:rsidR="002E338F">
        <w:rPr>
          <w:rFonts w:ascii="Times New Roman" w:hAnsi="Times New Roman" w:cs="Times New Roman"/>
          <w:sz w:val="24"/>
          <w:szCs w:val="24"/>
        </w:rPr>
        <w:t xml:space="preserve"> –</w:t>
      </w:r>
      <w:r w:rsidRPr="00096909">
        <w:rPr>
          <w:rFonts w:ascii="Times New Roman" w:hAnsi="Times New Roman" w:cs="Times New Roman"/>
          <w:sz w:val="24"/>
          <w:szCs w:val="24"/>
        </w:rPr>
        <w:t xml:space="preserve"> il Federico Vagnino citato da Susech</w:t>
      </w:r>
      <w:r w:rsidR="002E338F">
        <w:rPr>
          <w:rFonts w:ascii="Times New Roman" w:hAnsi="Times New Roman" w:cs="Times New Roman"/>
          <w:sz w:val="24"/>
          <w:szCs w:val="24"/>
        </w:rPr>
        <w:t>,</w:t>
      </w:r>
      <w:r w:rsidRPr="00096909">
        <w:rPr>
          <w:rFonts w:ascii="Times New Roman" w:hAnsi="Times New Roman" w:cs="Times New Roman"/>
          <w:sz w:val="24"/>
          <w:szCs w:val="24"/>
        </w:rPr>
        <w:t xml:space="preserve"> destinato al ruolo di bibliotecario dal 1520</w:t>
      </w:r>
      <w:r w:rsidR="002E338F">
        <w:rPr>
          <w:rFonts w:ascii="Times New Roman" w:hAnsi="Times New Roman" w:cs="Times New Roman"/>
          <w:sz w:val="24"/>
          <w:szCs w:val="24"/>
        </w:rPr>
        <w:t xml:space="preserve"> –</w:t>
      </w:r>
      <w:r w:rsidRPr="00096909">
        <w:rPr>
          <w:rFonts w:ascii="Times New Roman" w:hAnsi="Times New Roman" w:cs="Times New Roman"/>
          <w:sz w:val="24"/>
          <w:szCs w:val="24"/>
        </w:rPr>
        <w:t xml:space="preserve"> e l’inserzione di stemmi e imprese del Montefeltro sui volumi provenienti dalle raccolte di precedenti proprietari, come quelli di Palla Strozzi. </w:t>
      </w:r>
    </w:p>
    <w:p w14:paraId="42E3132E"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Il tratto più originale della committenza di Federico fu forse la capacità di creare, in un torno di tempo piuttosto breve, un linguaggio decorativo fortemente tipizzato, in grado di rivelare a colpo d’occhio l’appartenenza dei manoscritti alla </w:t>
      </w:r>
      <w:r>
        <w:rPr>
          <w:rFonts w:ascii="Times New Roman" w:hAnsi="Times New Roman" w:cs="Times New Roman"/>
          <w:sz w:val="24"/>
          <w:szCs w:val="24"/>
        </w:rPr>
        <w:t xml:space="preserve">sua </w:t>
      </w:r>
      <w:r w:rsidRPr="00096909">
        <w:rPr>
          <w:rFonts w:ascii="Times New Roman" w:hAnsi="Times New Roman" w:cs="Times New Roman"/>
          <w:sz w:val="24"/>
          <w:szCs w:val="24"/>
        </w:rPr>
        <w:t>collezione. Così, nei codici federiciani, è costante la partizione della pagina secondo i canoni della sezione aurea, con lo specchio di scrittura ben centrato e contornato da ampi margini. Vi ricorre la presenza del clipeo anteposto al testo e conten</w:t>
      </w:r>
      <w:r>
        <w:rPr>
          <w:rFonts w:ascii="Times New Roman" w:hAnsi="Times New Roman" w:cs="Times New Roman"/>
          <w:sz w:val="24"/>
          <w:szCs w:val="24"/>
        </w:rPr>
        <w:t>en</w:t>
      </w:r>
      <w:r w:rsidRPr="00096909">
        <w:rPr>
          <w:rFonts w:ascii="Times New Roman" w:hAnsi="Times New Roman" w:cs="Times New Roman"/>
          <w:sz w:val="24"/>
          <w:szCs w:val="24"/>
        </w:rPr>
        <w:t>te il titolo dell’opera e il nome dell’autore, generalmente formato da foglie di quercia e lauro o da festoni di fiori, ma anche disponibile a più sofisticate varianti. I titoli, in lettera capitale, alternano regolarmente parole in inchiostro oro e blu, colori dello stemma ducale. Frequente inoltre, in alternativa al clipeo, l’adozione di tavole dal gusto antiquario per incorniciare titoli o sezioni di testo, forse ispirate al recupero delle cornici di tabernacoli e edicole antiche, visibili nei codici del fiorentino Attavante Attavanti, ma anche propense a citare l’ornato architettonico dispiegato da Laurana e Francesco di Giorgio Martini nei cantieri di promozione federiciana.</w:t>
      </w:r>
      <w:r w:rsidRPr="00096909">
        <w:rPr>
          <w:rStyle w:val="Rimandonotaapidipagina"/>
          <w:rFonts w:ascii="Times New Roman" w:hAnsi="Times New Roman" w:cs="Times New Roman"/>
          <w:sz w:val="24"/>
          <w:szCs w:val="24"/>
        </w:rPr>
        <w:footnoteReference w:id="173"/>
      </w:r>
      <w:r w:rsidRPr="00096909">
        <w:rPr>
          <w:rFonts w:ascii="Times New Roman" w:hAnsi="Times New Roman" w:cs="Times New Roman"/>
          <w:sz w:val="24"/>
          <w:szCs w:val="24"/>
        </w:rPr>
        <w:t xml:space="preserve">  </w:t>
      </w:r>
    </w:p>
    <w:p w14:paraId="1C63A4A7"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L’elaborazione coerente di questo stile urbinate del libro manoscritto mi pare l’esito più felice del</w:t>
      </w:r>
      <w:r>
        <w:rPr>
          <w:rFonts w:ascii="Times New Roman" w:hAnsi="Times New Roman" w:cs="Times New Roman"/>
          <w:sz w:val="24"/>
          <w:szCs w:val="24"/>
        </w:rPr>
        <w:t>la</w:t>
      </w:r>
      <w:r w:rsidRPr="00096909">
        <w:rPr>
          <w:rFonts w:ascii="Times New Roman" w:hAnsi="Times New Roman" w:cs="Times New Roman"/>
          <w:sz w:val="24"/>
          <w:szCs w:val="24"/>
        </w:rPr>
        <w:t xml:space="preserve"> presa di coscienza, da parte dei principi rinascimentali italiani, della possibilità d’impiego del libro quale immagine del potere. </w:t>
      </w:r>
    </w:p>
    <w:p w14:paraId="35B06573"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Altrove manca una simile progettualità comunicativa e stilistica connessa alla formazione di un centro scrittorio. Si pensi, ad esempio, alla Roma pontificia, che sotto i regni di Niccolò V, Eugenio IV e Callisto III rifornì la Biblioteca Vaticana di volumi principalmente confezionati in altri centri, i quali nell’Urbe venivano solamente rifiniti con l’apposizione degli stemmi papali. Solo con Pio II aumentò la presenza di copisti, miniatori e legatori attivi per la Vaticana e principalmente provenienti dalla Toscana. </w:t>
      </w:r>
    </w:p>
    <w:p w14:paraId="4B30AAE4" w14:textId="77777777" w:rsidR="00033A17" w:rsidRPr="00096909"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Sebbene diversi dei loro nomi compaiano nella coeva documentazione come </w:t>
      </w:r>
      <w:r w:rsidRPr="00096909">
        <w:rPr>
          <w:rFonts w:ascii="Times New Roman" w:hAnsi="Times New Roman" w:cs="Times New Roman"/>
          <w:i/>
          <w:sz w:val="24"/>
          <w:szCs w:val="24"/>
        </w:rPr>
        <w:t>familiares</w:t>
      </w:r>
      <w:r w:rsidRPr="00096909">
        <w:rPr>
          <w:rFonts w:ascii="Times New Roman" w:hAnsi="Times New Roman" w:cs="Times New Roman"/>
          <w:sz w:val="24"/>
          <w:szCs w:val="24"/>
        </w:rPr>
        <w:t xml:space="preserve"> di Sua Santità, pare da escludere la possibilità di uno scrittoio interno alla corte di Roma. Nella Roma pontificia il servizio in veste di copista sembra piuttosto il primo possibile passo di una più brillante carriera curiale</w:t>
      </w:r>
      <w:r>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74"/>
      </w:r>
      <w:r w:rsidRPr="00096909">
        <w:rPr>
          <w:rFonts w:ascii="Times New Roman" w:hAnsi="Times New Roman" w:cs="Times New Roman"/>
          <w:sz w:val="24"/>
          <w:szCs w:val="24"/>
        </w:rPr>
        <w:t xml:space="preserve"> mentre per l’illustrazione dei testi i papi preferirono commissionare manoscritti </w:t>
      </w:r>
      <w:r w:rsidRPr="00096909">
        <w:rPr>
          <w:rFonts w:ascii="Times New Roman" w:hAnsi="Times New Roman" w:cs="Times New Roman"/>
          <w:sz w:val="24"/>
          <w:szCs w:val="24"/>
        </w:rPr>
        <w:lastRenderedPageBreak/>
        <w:t>al libraio Jacopo da Fabriano, presso la cui bottega lavorarono Gioacchino de’ Gigantibus, Niccolò Polani, Giuliano Am</w:t>
      </w:r>
      <w:r w:rsidR="004F3223">
        <w:rPr>
          <w:rFonts w:ascii="Times New Roman" w:hAnsi="Times New Roman" w:cs="Times New Roman"/>
          <w:sz w:val="24"/>
          <w:szCs w:val="24"/>
        </w:rPr>
        <w:t>a</w:t>
      </w:r>
      <w:r w:rsidRPr="00096909">
        <w:rPr>
          <w:rFonts w:ascii="Times New Roman" w:hAnsi="Times New Roman" w:cs="Times New Roman"/>
          <w:sz w:val="24"/>
          <w:szCs w:val="24"/>
        </w:rPr>
        <w:t>dei e Andrea da Firenze, responsabili del successo in città della decorazione a bianchi girari, che solo negli anni Settanta e Ottanta del Quattrocento fu superata dalle cornici all’antica di gusto mantegnesco di Gaspare da Padova, miniatore prediletto da Sisto IV.</w:t>
      </w:r>
      <w:r w:rsidRPr="00096909">
        <w:rPr>
          <w:rStyle w:val="Rimandonotaapidipagina"/>
          <w:rFonts w:ascii="Times New Roman" w:hAnsi="Times New Roman" w:cs="Times New Roman"/>
          <w:sz w:val="24"/>
          <w:szCs w:val="24"/>
        </w:rPr>
        <w:footnoteReference w:id="175"/>
      </w:r>
      <w:r w:rsidRPr="00096909">
        <w:rPr>
          <w:rFonts w:ascii="Times New Roman" w:hAnsi="Times New Roman" w:cs="Times New Roman"/>
          <w:sz w:val="24"/>
          <w:szCs w:val="24"/>
        </w:rPr>
        <w:t xml:space="preserve">  </w:t>
      </w:r>
    </w:p>
    <w:p w14:paraId="2518DCEC" w14:textId="77777777" w:rsidR="00033A17" w:rsidRDefault="00033A17" w:rsidP="00033A17">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Quest’ultima tipologia ornamentale contraddistinse i volumi scritti da Bartolomeo Sanvito, ricercato calligrafo padovano giunto a Roma tra il 1464 e il 1465 poco dopo l’elezione di papa Balbo, i quali furono forse il prodotto più raffinato dell’arte della miniatura romana e rappresentarono lo stile dominante della produzione libraria nell’Urbe della fine del secolo.</w:t>
      </w:r>
      <w:r w:rsidRPr="00096909">
        <w:rPr>
          <w:rStyle w:val="Rimandonotaapidipagina"/>
          <w:rFonts w:ascii="Times New Roman" w:hAnsi="Times New Roman" w:cs="Times New Roman"/>
          <w:sz w:val="24"/>
          <w:szCs w:val="24"/>
        </w:rPr>
        <w:footnoteReference w:id="176"/>
      </w:r>
      <w:r w:rsidRPr="00096909">
        <w:rPr>
          <w:rFonts w:ascii="Times New Roman" w:hAnsi="Times New Roman" w:cs="Times New Roman"/>
          <w:sz w:val="24"/>
          <w:szCs w:val="24"/>
        </w:rPr>
        <w:t xml:space="preserve"> </w:t>
      </w:r>
    </w:p>
    <w:p w14:paraId="45E01962" w14:textId="77777777" w:rsidR="00D20E25" w:rsidRDefault="00D20E25" w:rsidP="00033A17">
      <w:pPr>
        <w:spacing w:after="0" w:line="360" w:lineRule="auto"/>
        <w:ind w:firstLine="454"/>
        <w:jc w:val="both"/>
        <w:rPr>
          <w:rFonts w:ascii="Times New Roman" w:hAnsi="Times New Roman" w:cs="Times New Roman"/>
          <w:sz w:val="24"/>
          <w:szCs w:val="24"/>
        </w:rPr>
      </w:pPr>
    </w:p>
    <w:p w14:paraId="413AA1AA" w14:textId="77777777" w:rsidR="00D20E25" w:rsidRDefault="00D20E25" w:rsidP="00033A17">
      <w:pPr>
        <w:spacing w:after="0" w:line="360" w:lineRule="auto"/>
        <w:ind w:firstLine="454"/>
        <w:jc w:val="both"/>
        <w:rPr>
          <w:rFonts w:ascii="Times New Roman" w:hAnsi="Times New Roman" w:cs="Times New Roman"/>
          <w:sz w:val="24"/>
          <w:szCs w:val="24"/>
        </w:rPr>
      </w:pPr>
    </w:p>
    <w:p w14:paraId="0158C12A" w14:textId="77777777" w:rsidR="00D20E25" w:rsidRPr="00096909" w:rsidRDefault="00D20E25" w:rsidP="00D20E25">
      <w:pPr>
        <w:spacing w:after="0" w:line="360" w:lineRule="auto"/>
        <w:jc w:val="both"/>
        <w:rPr>
          <w:rFonts w:ascii="Times New Roman" w:hAnsi="Times New Roman" w:cs="Times New Roman"/>
          <w:i/>
          <w:sz w:val="24"/>
          <w:szCs w:val="24"/>
        </w:rPr>
      </w:pPr>
      <w:r w:rsidRPr="0063452E">
        <w:rPr>
          <w:rFonts w:ascii="Times New Roman" w:hAnsi="Times New Roman" w:cs="Times New Roman"/>
          <w:sz w:val="24"/>
          <w:szCs w:val="24"/>
        </w:rPr>
        <w:t>2.1.</w:t>
      </w:r>
      <w:r w:rsidRPr="00096909">
        <w:rPr>
          <w:rFonts w:ascii="Times New Roman" w:hAnsi="Times New Roman" w:cs="Times New Roman"/>
          <w:i/>
          <w:sz w:val="24"/>
          <w:szCs w:val="24"/>
        </w:rPr>
        <w:t xml:space="preserve"> Il principe in tipografia. </w:t>
      </w:r>
    </w:p>
    <w:p w14:paraId="44F729E5" w14:textId="77777777" w:rsidR="00D20E25" w:rsidRPr="00096909" w:rsidRDefault="00D20E25" w:rsidP="00D20E25">
      <w:pPr>
        <w:spacing w:after="0" w:line="360" w:lineRule="auto"/>
        <w:jc w:val="both"/>
        <w:rPr>
          <w:rFonts w:ascii="Times New Roman" w:hAnsi="Times New Roman" w:cs="Times New Roman"/>
          <w:sz w:val="24"/>
          <w:szCs w:val="24"/>
        </w:rPr>
      </w:pPr>
    </w:p>
    <w:p w14:paraId="590F1487" w14:textId="77777777" w:rsidR="00D20E25" w:rsidRPr="00096909" w:rsidRDefault="00D20E25" w:rsidP="00D20E25">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Il quadro finora tracciato ha permesso al lettore di farsi un’idea delle differenti scelte dei principi del Quattrocento rispetto alla possibilità di dotarsi di uno </w:t>
      </w:r>
      <w:r w:rsidRPr="00096909">
        <w:rPr>
          <w:rFonts w:ascii="Times New Roman" w:hAnsi="Times New Roman" w:cs="Times New Roman"/>
          <w:i/>
          <w:sz w:val="24"/>
          <w:szCs w:val="24"/>
        </w:rPr>
        <w:t>scriptorium</w:t>
      </w:r>
      <w:r w:rsidRPr="00096909">
        <w:rPr>
          <w:rFonts w:ascii="Times New Roman" w:hAnsi="Times New Roman" w:cs="Times New Roman"/>
          <w:sz w:val="24"/>
          <w:szCs w:val="24"/>
        </w:rPr>
        <w:t xml:space="preserve"> capace di fronteggiare la richiesta di testi per la corte e di rappresentare il prestigio culturale conseguito </w:t>
      </w:r>
      <w:r>
        <w:rPr>
          <w:rFonts w:ascii="Times New Roman" w:hAnsi="Times New Roman" w:cs="Times New Roman"/>
          <w:sz w:val="24"/>
          <w:szCs w:val="24"/>
        </w:rPr>
        <w:t xml:space="preserve">per mezzo di </w:t>
      </w:r>
      <w:r w:rsidRPr="00096909">
        <w:rPr>
          <w:rFonts w:ascii="Times New Roman" w:hAnsi="Times New Roman" w:cs="Times New Roman"/>
          <w:sz w:val="24"/>
          <w:szCs w:val="24"/>
        </w:rPr>
        <w:t xml:space="preserve">manufatti d’elevato valore. Si è cercato di mettere in risalto come il minio di volumi lussuosi consentisse al nobile mecenate di affidare alle loro pagine un’immagine della magnificenza della propria corte e delle forme d’arte figurativa in essa coltivate. Un’immagine che, grazie al prestito e al dono di libri tra </w:t>
      </w:r>
      <w:r w:rsidR="00F548A5">
        <w:rPr>
          <w:rFonts w:ascii="Times New Roman" w:hAnsi="Times New Roman" w:cs="Times New Roman"/>
          <w:sz w:val="24"/>
          <w:szCs w:val="24"/>
        </w:rPr>
        <w:t xml:space="preserve">i </w:t>
      </w:r>
      <w:r w:rsidRPr="00096909">
        <w:rPr>
          <w:rFonts w:ascii="Times New Roman" w:hAnsi="Times New Roman" w:cs="Times New Roman"/>
          <w:sz w:val="24"/>
          <w:szCs w:val="24"/>
        </w:rPr>
        <w:t>principi, poteva viaggiare, rendendo note le specificità dei linguaggi artistici elaborati dai vari centri italiani della Rinascenza nell’arte dell’illustrazione.</w:t>
      </w:r>
    </w:p>
    <w:p w14:paraId="32935849" w14:textId="77777777" w:rsidR="00D20E25" w:rsidRPr="00096909" w:rsidRDefault="00D20E25" w:rsidP="00D20E25">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L’indagine sulla produzione di libri come strumento del potere signorile richiede ora di fermare l’attenzione sulle reazioni dei governanti alla diffusione della stampa in Italia. L’incipiente industria tipografica, introdotta in Italia intorno al 1464 dai proto-tipografi tedeschi Arnold Pannartz e Conrad Sweynheym e destinata a fare della Penisola il cuore del mercato librario europeo del</w:t>
      </w:r>
      <w:r>
        <w:rPr>
          <w:rFonts w:ascii="Times New Roman" w:hAnsi="Times New Roman" w:cs="Times New Roman"/>
          <w:sz w:val="24"/>
          <w:szCs w:val="24"/>
        </w:rPr>
        <w:t xml:space="preserve"> secolo XV</w:t>
      </w:r>
      <w:r w:rsidRPr="00096909">
        <w:rPr>
          <w:rFonts w:ascii="Times New Roman" w:hAnsi="Times New Roman" w:cs="Times New Roman"/>
          <w:sz w:val="24"/>
          <w:szCs w:val="24"/>
        </w:rPr>
        <w:t>, costituì infatti per i signori del Rinascimento uno strumento di comunicazione di cui valutare cautamente il potenziale d’impiego.</w:t>
      </w:r>
      <w:r w:rsidRPr="00096909">
        <w:rPr>
          <w:rStyle w:val="Rimandonotaapidipagina"/>
          <w:rFonts w:ascii="Times New Roman" w:hAnsi="Times New Roman" w:cs="Times New Roman"/>
          <w:sz w:val="24"/>
          <w:szCs w:val="24"/>
        </w:rPr>
        <w:footnoteReference w:id="177"/>
      </w:r>
      <w:r w:rsidRPr="00096909">
        <w:rPr>
          <w:rFonts w:ascii="Times New Roman" w:hAnsi="Times New Roman" w:cs="Times New Roman"/>
          <w:sz w:val="24"/>
          <w:szCs w:val="24"/>
        </w:rPr>
        <w:t xml:space="preserve"> Sebbene propensi, per </w:t>
      </w:r>
      <w:r w:rsidRPr="00096909">
        <w:rPr>
          <w:rFonts w:ascii="Times New Roman" w:hAnsi="Times New Roman" w:cs="Times New Roman"/>
          <w:sz w:val="24"/>
          <w:szCs w:val="24"/>
        </w:rPr>
        <w:lastRenderedPageBreak/>
        <w:t>ragioni commerciali, a promuovere l’apertura di stamperie nelle loro capitali, nell’età degli incunaboli la maggior parte delle repubbliche e dei principati fu, in vero, reticente nei confronti di un patrocinio all’editoria, testimoniato tanto dalla scarsità d</w:t>
      </w:r>
      <w:r>
        <w:rPr>
          <w:rFonts w:ascii="Times New Roman" w:hAnsi="Times New Roman" w:cs="Times New Roman"/>
          <w:sz w:val="24"/>
          <w:szCs w:val="24"/>
        </w:rPr>
        <w:t>elle</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loro </w:t>
      </w:r>
      <w:r w:rsidRPr="00096909">
        <w:rPr>
          <w:rFonts w:ascii="Times New Roman" w:hAnsi="Times New Roman" w:cs="Times New Roman"/>
          <w:sz w:val="24"/>
          <w:szCs w:val="24"/>
        </w:rPr>
        <w:t>committenze dirette di stampe, quanto dalla scelta di non dotarsi di proprie tipografie di fiducia.</w:t>
      </w:r>
      <w:r w:rsidRPr="00096909">
        <w:rPr>
          <w:rStyle w:val="Rimandonotaapidipagina"/>
          <w:rFonts w:ascii="Times New Roman" w:hAnsi="Times New Roman" w:cs="Times New Roman"/>
          <w:sz w:val="24"/>
          <w:szCs w:val="24"/>
        </w:rPr>
        <w:footnoteReference w:id="178"/>
      </w:r>
      <w:r w:rsidRPr="00096909">
        <w:rPr>
          <w:rFonts w:ascii="Times New Roman" w:hAnsi="Times New Roman" w:cs="Times New Roman"/>
          <w:sz w:val="24"/>
          <w:szCs w:val="24"/>
        </w:rPr>
        <w:t xml:space="preserve"> </w:t>
      </w:r>
    </w:p>
    <w:p w14:paraId="59AEA8CF" w14:textId="77777777" w:rsidR="00D20E25" w:rsidRPr="00096909" w:rsidRDefault="00D20E25" w:rsidP="00D20E25">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Il successo dell’</w:t>
      </w:r>
      <w:r w:rsidRPr="00096909">
        <w:rPr>
          <w:rFonts w:ascii="Times New Roman" w:hAnsi="Times New Roman" w:cs="Times New Roman"/>
          <w:i/>
          <w:sz w:val="24"/>
          <w:szCs w:val="24"/>
        </w:rPr>
        <w:t>ars</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artificialiter scribendi</w:t>
      </w:r>
      <w:r w:rsidRPr="00096909">
        <w:rPr>
          <w:rFonts w:ascii="Times New Roman" w:hAnsi="Times New Roman" w:cs="Times New Roman"/>
          <w:sz w:val="24"/>
          <w:szCs w:val="24"/>
        </w:rPr>
        <w:t xml:space="preserve"> fu invece dovuto alla capacità imprenditoriale degli stessi stampatori e di alcuni funzionari d’alta carica, spesso aspiranti a divenire cortigiani di rango elevato, che compresero i vantaggi d’investire capitali nella produzione di stampati e che, in virtù della loro posizione sociale privilegiata, poterono farsi editori di testi di pubblico interesse graditi al principe. </w:t>
      </w:r>
    </w:p>
    <w:p w14:paraId="1C8EE132" w14:textId="77777777" w:rsidR="00D20E25" w:rsidRPr="00096909" w:rsidRDefault="00D20E25" w:rsidP="00D20E25">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Una simile dinamica si osserva nella Roma di Paolo II, dove entro l’anno 1467 </w:t>
      </w:r>
      <w:bookmarkStart w:id="120" w:name="_Hlk535843924"/>
      <w:r w:rsidRPr="00096909">
        <w:rPr>
          <w:rFonts w:ascii="Times New Roman" w:hAnsi="Times New Roman" w:cs="Times New Roman"/>
          <w:sz w:val="24"/>
          <w:szCs w:val="24"/>
        </w:rPr>
        <w:t>Sisto Riessinger</w:t>
      </w:r>
      <w:bookmarkEnd w:id="120"/>
      <w:r w:rsidRPr="00096909">
        <w:rPr>
          <w:rFonts w:ascii="Times New Roman" w:hAnsi="Times New Roman" w:cs="Times New Roman"/>
          <w:sz w:val="24"/>
          <w:szCs w:val="24"/>
        </w:rPr>
        <w:t xml:space="preserve"> impresse le </w:t>
      </w:r>
      <w:r w:rsidRPr="00096909">
        <w:rPr>
          <w:rFonts w:ascii="Times New Roman" w:hAnsi="Times New Roman" w:cs="Times New Roman"/>
          <w:i/>
          <w:sz w:val="24"/>
          <w:szCs w:val="24"/>
        </w:rPr>
        <w:t>Epistolae</w:t>
      </w:r>
      <w:r w:rsidRPr="00096909">
        <w:rPr>
          <w:rFonts w:ascii="Times New Roman" w:hAnsi="Times New Roman" w:cs="Times New Roman"/>
          <w:sz w:val="24"/>
          <w:szCs w:val="24"/>
        </w:rPr>
        <w:t xml:space="preserve"> di </w:t>
      </w:r>
      <w:r w:rsidR="00FA2C75">
        <w:rPr>
          <w:rFonts w:ascii="Times New Roman" w:hAnsi="Times New Roman" w:cs="Times New Roman"/>
          <w:sz w:val="24"/>
          <w:szCs w:val="24"/>
        </w:rPr>
        <w:t>s</w:t>
      </w:r>
      <w:r w:rsidRPr="00096909">
        <w:rPr>
          <w:rFonts w:ascii="Times New Roman" w:hAnsi="Times New Roman" w:cs="Times New Roman"/>
          <w:sz w:val="24"/>
          <w:szCs w:val="24"/>
        </w:rPr>
        <w:t xml:space="preserve">an Girolamo </w:t>
      </w:r>
      <w:r>
        <w:rPr>
          <w:rFonts w:ascii="Times New Roman" w:hAnsi="Times New Roman" w:cs="Times New Roman"/>
          <w:sz w:val="24"/>
          <w:szCs w:val="24"/>
        </w:rPr>
        <w:t xml:space="preserve">con il </w:t>
      </w:r>
      <w:r w:rsidRPr="00096909">
        <w:rPr>
          <w:rFonts w:ascii="Times New Roman" w:hAnsi="Times New Roman" w:cs="Times New Roman"/>
          <w:sz w:val="24"/>
          <w:szCs w:val="24"/>
        </w:rPr>
        <w:t xml:space="preserve">finanziamento del canonico della cattedrale di Trento </w:t>
      </w:r>
      <w:bookmarkStart w:id="121" w:name="_Hlk535843964"/>
      <w:r w:rsidRPr="00096909">
        <w:rPr>
          <w:rFonts w:ascii="Times New Roman" w:hAnsi="Times New Roman" w:cs="Times New Roman"/>
          <w:sz w:val="24"/>
          <w:szCs w:val="24"/>
        </w:rPr>
        <w:t>Gaspare de Lellis</w:t>
      </w:r>
      <w:bookmarkEnd w:id="121"/>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79"/>
      </w:r>
      <w:r w:rsidRPr="00096909">
        <w:rPr>
          <w:rFonts w:ascii="Times New Roman" w:hAnsi="Times New Roman" w:cs="Times New Roman"/>
          <w:sz w:val="24"/>
          <w:szCs w:val="24"/>
        </w:rPr>
        <w:t xml:space="preserve"> </w:t>
      </w:r>
    </w:p>
    <w:p w14:paraId="30620665" w14:textId="77777777" w:rsidR="00D20E25" w:rsidRPr="00096909" w:rsidRDefault="00D20E25" w:rsidP="00D20E25">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L’anno seguente Giovanni Andrea Bussi, di cui già si è detto il ruolo di bibliotecario papale, inaugurò la sua collaborazione editoriale con Pannartz e Sweynheim offrendo al pontefice una seconda edizione delle </w:t>
      </w:r>
      <w:r w:rsidRPr="00096909">
        <w:rPr>
          <w:rFonts w:ascii="Times New Roman" w:hAnsi="Times New Roman" w:cs="Times New Roman"/>
          <w:i/>
          <w:sz w:val="24"/>
          <w:szCs w:val="24"/>
        </w:rPr>
        <w:t>Epistolae</w:t>
      </w:r>
      <w:r w:rsidRPr="00096909">
        <w:rPr>
          <w:rFonts w:ascii="Times New Roman" w:hAnsi="Times New Roman" w:cs="Times New Roman"/>
          <w:sz w:val="24"/>
          <w:szCs w:val="24"/>
        </w:rPr>
        <w:t xml:space="preserve">. Nella prefatoria al volume Bussi elogiò il contributo della Chiesa alla riscoperta quattrocentesca delle opere dei Padri e la formazione della Vaticana, dove, come nell’antica biblioteca d’Alessandria, i filologi potevano procedere all’edizione dei testi. In questo fervore culturale l’autore ricordava come </w:t>
      </w:r>
      <w:bookmarkStart w:id="122" w:name="_Hlk535844019"/>
      <w:r w:rsidRPr="00096909">
        <w:rPr>
          <w:rFonts w:ascii="Times New Roman" w:hAnsi="Times New Roman" w:cs="Times New Roman"/>
          <w:sz w:val="24"/>
          <w:szCs w:val="24"/>
        </w:rPr>
        <w:t>Niccolò Cusano</w:t>
      </w:r>
      <w:bookmarkEnd w:id="122"/>
      <w:r w:rsidRPr="00096909">
        <w:rPr>
          <w:rFonts w:ascii="Times New Roman" w:hAnsi="Times New Roman" w:cs="Times New Roman"/>
          <w:sz w:val="24"/>
          <w:szCs w:val="24"/>
        </w:rPr>
        <w:t>, servitore fedele del soglio</w:t>
      </w:r>
      <w:r>
        <w:rPr>
          <w:rFonts w:ascii="Times New Roman" w:hAnsi="Times New Roman" w:cs="Times New Roman"/>
          <w:sz w:val="24"/>
          <w:szCs w:val="24"/>
        </w:rPr>
        <w:t xml:space="preserve"> pontificio</w:t>
      </w:r>
      <w:r w:rsidRPr="00096909">
        <w:rPr>
          <w:rFonts w:ascii="Times New Roman" w:hAnsi="Times New Roman" w:cs="Times New Roman"/>
          <w:sz w:val="24"/>
          <w:szCs w:val="24"/>
        </w:rPr>
        <w:t>, avesse già intuito i benefici dell’importazione dell’arte tipografica dalla Germania, e implorava la benedizione di Sua Santità sui due stampatori tedeschi per i quali aveva edito le lettere di Girolamo.</w:t>
      </w:r>
      <w:r w:rsidRPr="00096909">
        <w:rPr>
          <w:rStyle w:val="Rimandonotaapidipagina"/>
          <w:rFonts w:ascii="Times New Roman" w:hAnsi="Times New Roman" w:cs="Times New Roman"/>
          <w:sz w:val="24"/>
          <w:szCs w:val="24"/>
        </w:rPr>
        <w:footnoteReference w:id="180"/>
      </w:r>
      <w:r w:rsidRPr="00096909">
        <w:rPr>
          <w:rFonts w:ascii="Times New Roman" w:hAnsi="Times New Roman" w:cs="Times New Roman"/>
          <w:sz w:val="24"/>
          <w:szCs w:val="24"/>
        </w:rPr>
        <w:t xml:space="preserve"> La rivendicazione del ruolo di pioniere del Cusano, il servizio di Bussi in seno alla corte papale e l’offerta di un testo essenziale nelle dispute conciliari sul primato petrino dei decenni precedenti hanno fatto supporre che nei primissimi anni dell’editoria romana vi fosse un’intensa attività redazionale volta a illustrare ai papi le potenzialità del nuovo efficace mezzo di comunicazione, e che in questa prima stagione si procedesse alla pubblicazione di </w:t>
      </w:r>
      <w:r>
        <w:rPr>
          <w:rFonts w:ascii="Times New Roman" w:hAnsi="Times New Roman" w:cs="Times New Roman"/>
          <w:sz w:val="24"/>
          <w:szCs w:val="24"/>
        </w:rPr>
        <w:t xml:space="preserve">scritti dei Padri </w:t>
      </w:r>
      <w:r>
        <w:rPr>
          <w:rFonts w:ascii="Times New Roman" w:hAnsi="Times New Roman" w:cs="Times New Roman"/>
          <w:sz w:val="24"/>
          <w:szCs w:val="24"/>
        </w:rPr>
        <w:lastRenderedPageBreak/>
        <w:t>della Chiesa</w:t>
      </w:r>
      <w:r w:rsidRPr="00096909">
        <w:rPr>
          <w:rFonts w:ascii="Times New Roman" w:hAnsi="Times New Roman" w:cs="Times New Roman"/>
          <w:sz w:val="24"/>
          <w:szCs w:val="24"/>
        </w:rPr>
        <w:t xml:space="preserve"> utili al consolidamento del loro potere, come i </w:t>
      </w:r>
      <w:r w:rsidRPr="00096909">
        <w:rPr>
          <w:rFonts w:ascii="Times New Roman" w:hAnsi="Times New Roman" w:cs="Times New Roman"/>
          <w:i/>
          <w:sz w:val="24"/>
          <w:szCs w:val="24"/>
        </w:rPr>
        <w:t>Sermones et epistolae</w:t>
      </w:r>
      <w:r w:rsidRPr="00096909">
        <w:rPr>
          <w:rFonts w:ascii="Times New Roman" w:hAnsi="Times New Roman" w:cs="Times New Roman"/>
          <w:sz w:val="24"/>
          <w:szCs w:val="24"/>
        </w:rPr>
        <w:t xml:space="preserve"> di san </w:t>
      </w:r>
      <w:bookmarkStart w:id="123" w:name="_Hlk535844315"/>
      <w:r w:rsidRPr="00096909">
        <w:rPr>
          <w:rFonts w:ascii="Times New Roman" w:hAnsi="Times New Roman" w:cs="Times New Roman"/>
          <w:sz w:val="24"/>
          <w:szCs w:val="24"/>
        </w:rPr>
        <w:t>Gregorio Magno</w:t>
      </w:r>
      <w:bookmarkEnd w:id="123"/>
      <w:r w:rsidRPr="00096909">
        <w:rPr>
          <w:rFonts w:ascii="Times New Roman" w:hAnsi="Times New Roman" w:cs="Times New Roman"/>
          <w:sz w:val="24"/>
          <w:szCs w:val="24"/>
        </w:rPr>
        <w:t xml:space="preserve"> stampati da </w:t>
      </w:r>
      <w:bookmarkStart w:id="124" w:name="_Hlk535844433"/>
      <w:r w:rsidRPr="00096909">
        <w:rPr>
          <w:rFonts w:ascii="Times New Roman" w:hAnsi="Times New Roman" w:cs="Times New Roman"/>
          <w:sz w:val="24"/>
          <w:szCs w:val="24"/>
        </w:rPr>
        <w:t xml:space="preserve">Giovanni Filippo de Lignamine </w:t>
      </w:r>
      <w:bookmarkEnd w:id="124"/>
      <w:r w:rsidRPr="00096909">
        <w:rPr>
          <w:rFonts w:ascii="Times New Roman" w:hAnsi="Times New Roman" w:cs="Times New Roman"/>
          <w:sz w:val="24"/>
          <w:szCs w:val="24"/>
        </w:rPr>
        <w:t xml:space="preserve">nel 1467. </w:t>
      </w:r>
    </w:p>
    <w:p w14:paraId="3B9C1241" w14:textId="77777777" w:rsidR="00D20E25" w:rsidRPr="00096909" w:rsidRDefault="00D20E25" w:rsidP="00D20E25">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L’operosa attività editoriale del Bussi nel sodalizio con Pannartz e Sweynheim e il fatto che egli avesse ottenuto da Sisto IV un sostegno economico per la loro officina (auspicato nella lettera di dedica della </w:t>
      </w:r>
      <w:r w:rsidRPr="00096909">
        <w:rPr>
          <w:rFonts w:ascii="Times New Roman" w:hAnsi="Times New Roman" w:cs="Times New Roman"/>
          <w:i/>
          <w:sz w:val="24"/>
          <w:szCs w:val="24"/>
        </w:rPr>
        <w:t>Postilla super totam Bibliam</w:t>
      </w:r>
      <w:r w:rsidRPr="00096909">
        <w:rPr>
          <w:rFonts w:ascii="Times New Roman" w:hAnsi="Times New Roman" w:cs="Times New Roman"/>
          <w:sz w:val="24"/>
          <w:szCs w:val="24"/>
        </w:rPr>
        <w:t xml:space="preserve"> di </w:t>
      </w:r>
      <w:bookmarkStart w:id="125" w:name="_Hlk535844485"/>
      <w:r w:rsidRPr="00096909">
        <w:rPr>
          <w:rFonts w:ascii="Times New Roman" w:hAnsi="Times New Roman" w:cs="Times New Roman"/>
          <w:sz w:val="24"/>
          <w:szCs w:val="24"/>
        </w:rPr>
        <w:t xml:space="preserve">Niccolò de Lira </w:t>
      </w:r>
      <w:bookmarkEnd w:id="125"/>
      <w:r w:rsidRPr="00096909">
        <w:rPr>
          <w:rFonts w:ascii="Times New Roman" w:hAnsi="Times New Roman" w:cs="Times New Roman"/>
          <w:sz w:val="24"/>
          <w:szCs w:val="24"/>
        </w:rPr>
        <w:t>del 1472) hanno lasciato supporre che vi fosse un canale privilegiato tra la stamperia dei due tedeschi e la curia, con il Bussi nel ruolo di mediatore, finalizzato alla pubblicazione di quella letteratura classica e patristica che aveva reso celebre la Biblioteca Vaticana. Tuttavia, nello stesso periodo di sviluppo di questa attività editoriale, i più influenti curiali non mancarono di richiedere impressioni ad altri artigiani: Rodrigo S</w:t>
      </w:r>
      <w:r w:rsidR="00843138">
        <w:rPr>
          <w:rFonts w:ascii="Times New Roman" w:hAnsi="Times New Roman" w:cs="Times New Roman"/>
          <w:sz w:val="24"/>
          <w:szCs w:val="24"/>
        </w:rPr>
        <w:t>a</w:t>
      </w:r>
      <w:r w:rsidRPr="00096909">
        <w:rPr>
          <w:rFonts w:ascii="Times New Roman" w:hAnsi="Times New Roman" w:cs="Times New Roman"/>
          <w:sz w:val="24"/>
          <w:szCs w:val="24"/>
        </w:rPr>
        <w:t>nchez de Arévalo, castellano di Castel Sant’Angelo, si rivolgeva</w:t>
      </w:r>
      <w:r w:rsidR="00971333">
        <w:rPr>
          <w:rFonts w:ascii="Times New Roman" w:hAnsi="Times New Roman" w:cs="Times New Roman"/>
          <w:sz w:val="24"/>
          <w:szCs w:val="24"/>
        </w:rPr>
        <w:t>,</w:t>
      </w:r>
      <w:r w:rsidRPr="00096909">
        <w:rPr>
          <w:rFonts w:ascii="Times New Roman" w:hAnsi="Times New Roman" w:cs="Times New Roman"/>
          <w:sz w:val="24"/>
          <w:szCs w:val="24"/>
        </w:rPr>
        <w:t xml:space="preserve"> ad esempio</w:t>
      </w:r>
      <w:r w:rsidR="00971333">
        <w:rPr>
          <w:rFonts w:ascii="Times New Roman" w:hAnsi="Times New Roman" w:cs="Times New Roman"/>
          <w:sz w:val="24"/>
          <w:szCs w:val="24"/>
        </w:rPr>
        <w:t>,</w:t>
      </w:r>
      <w:r w:rsidRPr="00096909">
        <w:rPr>
          <w:rFonts w:ascii="Times New Roman" w:hAnsi="Times New Roman" w:cs="Times New Roman"/>
          <w:sz w:val="24"/>
          <w:szCs w:val="24"/>
        </w:rPr>
        <w:t xml:space="preserve"> a </w:t>
      </w:r>
      <w:bookmarkStart w:id="126" w:name="_Hlk535844653"/>
      <w:r w:rsidRPr="00096909">
        <w:rPr>
          <w:rFonts w:ascii="Times New Roman" w:hAnsi="Times New Roman" w:cs="Times New Roman"/>
          <w:sz w:val="24"/>
          <w:szCs w:val="24"/>
        </w:rPr>
        <w:t xml:space="preserve">Ulrich Han </w:t>
      </w:r>
      <w:bookmarkEnd w:id="126"/>
      <w:r w:rsidRPr="00096909">
        <w:rPr>
          <w:rFonts w:ascii="Times New Roman" w:hAnsi="Times New Roman" w:cs="Times New Roman"/>
          <w:sz w:val="24"/>
          <w:szCs w:val="24"/>
        </w:rPr>
        <w:t xml:space="preserve">nel 1468 per la stampa della sua </w:t>
      </w:r>
      <w:r w:rsidRPr="00096909">
        <w:rPr>
          <w:rFonts w:ascii="Times New Roman" w:hAnsi="Times New Roman" w:cs="Times New Roman"/>
          <w:i/>
          <w:sz w:val="24"/>
          <w:szCs w:val="24"/>
        </w:rPr>
        <w:t>Compendiosa Historia Hispanica</w:t>
      </w:r>
      <w:r w:rsidRPr="00096909">
        <w:rPr>
          <w:rFonts w:ascii="Times New Roman" w:hAnsi="Times New Roman" w:cs="Times New Roman"/>
          <w:sz w:val="24"/>
          <w:szCs w:val="24"/>
        </w:rPr>
        <w:t xml:space="preserve">; mentre Sisto IV concedeva nel 1471 al de Lignamine di pubblicare uno suo scritto giovanile, il </w:t>
      </w:r>
      <w:r w:rsidRPr="00096909">
        <w:rPr>
          <w:rFonts w:ascii="Times New Roman" w:hAnsi="Times New Roman" w:cs="Times New Roman"/>
          <w:i/>
          <w:sz w:val="24"/>
          <w:szCs w:val="24"/>
        </w:rPr>
        <w:t>De Sanguine Christi</w:t>
      </w:r>
      <w:r w:rsidRPr="00096909">
        <w:rPr>
          <w:rFonts w:ascii="Times New Roman" w:hAnsi="Times New Roman" w:cs="Times New Roman"/>
          <w:sz w:val="24"/>
          <w:szCs w:val="24"/>
        </w:rPr>
        <w:t>, in una versione da lui stesso revisionata e accresciuta.</w:t>
      </w:r>
      <w:r w:rsidRPr="00096909">
        <w:rPr>
          <w:rStyle w:val="Rimandonotaapidipagina"/>
          <w:rFonts w:ascii="Times New Roman" w:hAnsi="Times New Roman" w:cs="Times New Roman"/>
          <w:sz w:val="24"/>
          <w:szCs w:val="24"/>
        </w:rPr>
        <w:footnoteReference w:id="181"/>
      </w:r>
      <w:r w:rsidRPr="00096909">
        <w:rPr>
          <w:rFonts w:ascii="Times New Roman" w:hAnsi="Times New Roman" w:cs="Times New Roman"/>
          <w:sz w:val="24"/>
          <w:szCs w:val="24"/>
        </w:rPr>
        <w:t xml:space="preserve"> </w:t>
      </w:r>
    </w:p>
    <w:p w14:paraId="6D751EFA" w14:textId="77777777" w:rsidR="00D20E25" w:rsidRPr="00096909" w:rsidRDefault="00D20E25" w:rsidP="00D20E25">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Negli anni dei pontificati del della Rovere e dei suoi successori, Innocenzo VIII e Alessandro VI, non è possibile inoltre individuare una tipografia incaricata sistematicamente dell’edizione delle bolle, dei certificati d’indulgenza, delle ordinanze e delle costituzioni della cancelleria apostolica, il che induce a pensare che l’impresa del Bussi e dei due proto-tipografi magonzesi non avesse </w:t>
      </w:r>
      <w:r>
        <w:rPr>
          <w:rFonts w:ascii="Times New Roman" w:hAnsi="Times New Roman" w:cs="Times New Roman"/>
          <w:sz w:val="24"/>
          <w:szCs w:val="24"/>
        </w:rPr>
        <w:t xml:space="preserve">lasciato </w:t>
      </w:r>
      <w:r w:rsidRPr="00096909">
        <w:rPr>
          <w:rFonts w:ascii="Times New Roman" w:hAnsi="Times New Roman" w:cs="Times New Roman"/>
          <w:sz w:val="24"/>
          <w:szCs w:val="24"/>
        </w:rPr>
        <w:t>il passo a più fortunati sodalizi diretti con la corte papale.</w:t>
      </w:r>
      <w:r w:rsidRPr="00096909">
        <w:rPr>
          <w:rStyle w:val="Rimandonotaapidipagina"/>
          <w:rFonts w:ascii="Times New Roman" w:hAnsi="Times New Roman" w:cs="Times New Roman"/>
          <w:sz w:val="24"/>
          <w:szCs w:val="24"/>
        </w:rPr>
        <w:footnoteReference w:id="182"/>
      </w:r>
      <w:r w:rsidRPr="00096909">
        <w:rPr>
          <w:rFonts w:ascii="Times New Roman" w:hAnsi="Times New Roman" w:cs="Times New Roman"/>
          <w:sz w:val="24"/>
          <w:szCs w:val="24"/>
        </w:rPr>
        <w:t xml:space="preserve"> </w:t>
      </w:r>
    </w:p>
    <w:p w14:paraId="41325515" w14:textId="77777777" w:rsidR="00D20E25" w:rsidRPr="00096909" w:rsidRDefault="00D20E25" w:rsidP="00D20E25">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Per comprendere l’atteggiamento iniziale dei signori italiani del Quattrocento nei confronti della stampa, è interessante poi osservare come Bussi, dopo la </w:t>
      </w:r>
      <w:r>
        <w:rPr>
          <w:rFonts w:ascii="Times New Roman" w:hAnsi="Times New Roman" w:cs="Times New Roman"/>
          <w:sz w:val="24"/>
          <w:szCs w:val="24"/>
        </w:rPr>
        <w:t xml:space="preserve">propria </w:t>
      </w:r>
      <w:r w:rsidRPr="00096909">
        <w:rPr>
          <w:rFonts w:ascii="Times New Roman" w:hAnsi="Times New Roman" w:cs="Times New Roman"/>
          <w:sz w:val="24"/>
          <w:szCs w:val="24"/>
        </w:rPr>
        <w:t>nomina a segretario pontificio, a</w:t>
      </w:r>
      <w:r>
        <w:rPr>
          <w:rFonts w:ascii="Times New Roman" w:hAnsi="Times New Roman" w:cs="Times New Roman"/>
          <w:sz w:val="24"/>
          <w:szCs w:val="24"/>
        </w:rPr>
        <w:t>vesse</w:t>
      </w:r>
      <w:r w:rsidRPr="00096909">
        <w:rPr>
          <w:rFonts w:ascii="Times New Roman" w:hAnsi="Times New Roman" w:cs="Times New Roman"/>
          <w:sz w:val="24"/>
          <w:szCs w:val="24"/>
        </w:rPr>
        <w:t xml:space="preserve"> richiesto una mediazione a Nicodemo Tranchedini per la cessione della </w:t>
      </w:r>
      <w:r>
        <w:rPr>
          <w:rFonts w:ascii="Times New Roman" w:hAnsi="Times New Roman" w:cs="Times New Roman"/>
          <w:sz w:val="24"/>
          <w:szCs w:val="24"/>
        </w:rPr>
        <w:t xml:space="preserve">propria </w:t>
      </w:r>
      <w:r w:rsidRPr="00096909">
        <w:rPr>
          <w:rFonts w:ascii="Times New Roman" w:hAnsi="Times New Roman" w:cs="Times New Roman"/>
          <w:sz w:val="24"/>
          <w:szCs w:val="24"/>
        </w:rPr>
        <w:t xml:space="preserve">biblioteca personale al duca di Milano in cambio di un vescovato in Lombardia o di alcune terre nei pressi di Vigevano, sua città natale. In una missiva del 16 gennaio 1472 l’ambasciatore milanese, segnalato l’alto valore della raccolta, così scriveva a Galeazzo Maria Sforza: </w:t>
      </w:r>
    </w:p>
    <w:p w14:paraId="42F6CEA3" w14:textId="77777777" w:rsidR="00D20E25" w:rsidRPr="00096909" w:rsidRDefault="00D20E25" w:rsidP="00D20E25">
      <w:pPr>
        <w:spacing w:after="0" w:line="360" w:lineRule="auto"/>
        <w:ind w:left="567" w:right="707" w:firstLine="454"/>
        <w:jc w:val="both"/>
        <w:rPr>
          <w:rFonts w:ascii="Times New Roman" w:hAnsi="Times New Roman" w:cs="Times New Roman"/>
          <w:sz w:val="20"/>
          <w:szCs w:val="20"/>
        </w:rPr>
      </w:pPr>
    </w:p>
    <w:p w14:paraId="11620C0C" w14:textId="77777777" w:rsidR="00D20E25" w:rsidRPr="00096909" w:rsidRDefault="00D20E25" w:rsidP="00D20E25">
      <w:pPr>
        <w:spacing w:after="0" w:line="360" w:lineRule="auto"/>
        <w:ind w:left="567" w:right="707" w:firstLine="454"/>
        <w:jc w:val="both"/>
        <w:rPr>
          <w:rFonts w:ascii="Times New Roman" w:hAnsi="Times New Roman" w:cs="Times New Roman"/>
          <w:sz w:val="20"/>
          <w:szCs w:val="20"/>
        </w:rPr>
      </w:pPr>
      <w:r w:rsidRPr="00096909">
        <w:rPr>
          <w:rFonts w:ascii="Times New Roman" w:hAnsi="Times New Roman" w:cs="Times New Roman"/>
          <w:sz w:val="20"/>
          <w:szCs w:val="20"/>
        </w:rPr>
        <w:t xml:space="preserve">Non me pare debia essere necessario che persuada altramente questa materia a Vostra celsitudine, perché è impresa laudabile e utile. Et anche intendo et toco che serà dignissima libraria, quante poche ne habia Italia, quando mai non avesse altri libri che quelli ha al presente, senza che ha </w:t>
      </w:r>
      <w:r w:rsidRPr="00096909">
        <w:rPr>
          <w:rFonts w:ascii="Times New Roman" w:hAnsi="Times New Roman" w:cs="Times New Roman"/>
          <w:sz w:val="20"/>
          <w:szCs w:val="20"/>
        </w:rPr>
        <w:lastRenderedPageBreak/>
        <w:t>el modo multiplicarla fin che viverà, senza veruna spesa, solamente per lo credito ha cum questi librarij, per essere correctore del opere hanno a giectare in forma.</w:t>
      </w:r>
      <w:r w:rsidRPr="00096909">
        <w:rPr>
          <w:rStyle w:val="Rimandonotaapidipagina"/>
          <w:rFonts w:ascii="Times New Roman" w:hAnsi="Times New Roman" w:cs="Times New Roman"/>
          <w:sz w:val="24"/>
          <w:szCs w:val="24"/>
        </w:rPr>
        <w:footnoteReference w:id="183"/>
      </w:r>
    </w:p>
    <w:p w14:paraId="7974F11D" w14:textId="77777777" w:rsidR="00D20E25" w:rsidRPr="00096909" w:rsidRDefault="00D20E25" w:rsidP="00D20E25">
      <w:pPr>
        <w:spacing w:after="0" w:line="360" w:lineRule="auto"/>
        <w:ind w:left="567" w:right="707" w:firstLine="454"/>
        <w:jc w:val="both"/>
        <w:rPr>
          <w:rFonts w:ascii="Times New Roman" w:hAnsi="Times New Roman" w:cs="Times New Roman"/>
          <w:sz w:val="20"/>
          <w:szCs w:val="20"/>
        </w:rPr>
      </w:pPr>
    </w:p>
    <w:p w14:paraId="1652CDB0" w14:textId="77777777" w:rsidR="00D20E25" w:rsidRPr="00096909" w:rsidRDefault="00D20E25" w:rsidP="00D20E25">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Ai libri del Bussi spettò ben altra sorte, dal momento che le sue richieste non furono accolte dal duca, forse poco allettato dal pronostico di Tranchedini</w:t>
      </w:r>
      <w:r w:rsidRPr="00096909">
        <w:rPr>
          <w:rFonts w:ascii="Times New Roman" w:hAnsi="Times New Roman" w:cs="Times New Roman"/>
          <w:sz w:val="20"/>
          <w:szCs w:val="20"/>
        </w:rPr>
        <w:t xml:space="preserve"> </w:t>
      </w:r>
      <w:r w:rsidRPr="00096909">
        <w:rPr>
          <w:rFonts w:ascii="Times New Roman" w:hAnsi="Times New Roman" w:cs="Times New Roman"/>
          <w:sz w:val="24"/>
          <w:szCs w:val="24"/>
        </w:rPr>
        <w:t xml:space="preserve">di entrare in possesso anche delle future edizioni curate dal bibliotecario vaticano. Pare, infatti, che anche a Milano l’interesse della famiglia ducale per l’editoria fosse abbastanza scarso. </w:t>
      </w:r>
    </w:p>
    <w:p w14:paraId="01A99F00" w14:textId="77777777" w:rsidR="00D20E25" w:rsidRPr="00096909" w:rsidRDefault="00D20E25" w:rsidP="00D20E25">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Negli anni in cui Pannartz e Sweynheim aprivano la loro stamperia nell’Urbe, nella capitale del ducato sforzesco l’arrivo della stampa in Italia si limit</w:t>
      </w:r>
      <w:r>
        <w:rPr>
          <w:rFonts w:ascii="Times New Roman" w:hAnsi="Times New Roman" w:cs="Times New Roman"/>
          <w:sz w:val="24"/>
          <w:szCs w:val="24"/>
        </w:rPr>
        <w:t>ò a determinare</w:t>
      </w:r>
      <w:r w:rsidRPr="00096909">
        <w:rPr>
          <w:rFonts w:ascii="Times New Roman" w:hAnsi="Times New Roman" w:cs="Times New Roman"/>
          <w:sz w:val="24"/>
          <w:szCs w:val="24"/>
        </w:rPr>
        <w:t xml:space="preserve"> l</w:t>
      </w:r>
      <w:r>
        <w:rPr>
          <w:rFonts w:ascii="Times New Roman" w:hAnsi="Times New Roman" w:cs="Times New Roman"/>
          <w:sz w:val="24"/>
          <w:szCs w:val="24"/>
        </w:rPr>
        <w:t xml:space="preserve">a crescita delle </w:t>
      </w:r>
      <w:r w:rsidRPr="00096909">
        <w:rPr>
          <w:rFonts w:ascii="Times New Roman" w:hAnsi="Times New Roman" w:cs="Times New Roman"/>
          <w:sz w:val="24"/>
          <w:szCs w:val="24"/>
        </w:rPr>
        <w:t xml:space="preserve">richieste d’importazione di incunaboli, principalmente provenienti da Venezia, raggiungibile in tempo breve e già importante meta di scambi commerciali per i mercanti milanesi. </w:t>
      </w:r>
    </w:p>
    <w:p w14:paraId="6345701B" w14:textId="77777777" w:rsidR="00D20E25" w:rsidRPr="00096909" w:rsidRDefault="00D20E25" w:rsidP="00D20E25">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Un simile traffico di libri dovette costituire tuttavia una spesa notevole per le casse del </w:t>
      </w:r>
      <w:r w:rsidR="0054107D">
        <w:rPr>
          <w:rFonts w:ascii="Times New Roman" w:hAnsi="Times New Roman" w:cs="Times New Roman"/>
          <w:sz w:val="24"/>
          <w:szCs w:val="24"/>
        </w:rPr>
        <w:t>d</w:t>
      </w:r>
      <w:r w:rsidRPr="00096909">
        <w:rPr>
          <w:rFonts w:ascii="Times New Roman" w:hAnsi="Times New Roman" w:cs="Times New Roman"/>
          <w:sz w:val="24"/>
          <w:szCs w:val="24"/>
        </w:rPr>
        <w:t>ucato, tanto che proprio all’interno dell’</w:t>
      </w:r>
      <w:r w:rsidRPr="00096909">
        <w:rPr>
          <w:rFonts w:ascii="Times New Roman" w:hAnsi="Times New Roman" w:cs="Times New Roman"/>
          <w:i/>
          <w:sz w:val="24"/>
          <w:szCs w:val="24"/>
        </w:rPr>
        <w:t>entourage</w:t>
      </w:r>
      <w:r w:rsidRPr="00096909">
        <w:rPr>
          <w:rFonts w:ascii="Times New Roman" w:hAnsi="Times New Roman" w:cs="Times New Roman"/>
          <w:sz w:val="24"/>
          <w:szCs w:val="24"/>
        </w:rPr>
        <w:t xml:space="preserve"> della cancelleria di Galeazzo Maria Sforza </w:t>
      </w:r>
      <w:r>
        <w:rPr>
          <w:rFonts w:ascii="Times New Roman" w:hAnsi="Times New Roman" w:cs="Times New Roman"/>
          <w:sz w:val="24"/>
          <w:szCs w:val="24"/>
        </w:rPr>
        <w:t>si</w:t>
      </w:r>
      <w:r w:rsidRPr="00096909">
        <w:rPr>
          <w:rFonts w:ascii="Times New Roman" w:hAnsi="Times New Roman" w:cs="Times New Roman"/>
          <w:sz w:val="24"/>
          <w:szCs w:val="24"/>
        </w:rPr>
        <w:t xml:space="preserve"> poss</w:t>
      </w:r>
      <w:r>
        <w:rPr>
          <w:rFonts w:ascii="Times New Roman" w:hAnsi="Times New Roman" w:cs="Times New Roman"/>
          <w:sz w:val="24"/>
          <w:szCs w:val="24"/>
        </w:rPr>
        <w:t>ono</w:t>
      </w:r>
      <w:r w:rsidRPr="00096909">
        <w:rPr>
          <w:rFonts w:ascii="Times New Roman" w:hAnsi="Times New Roman" w:cs="Times New Roman"/>
          <w:sz w:val="24"/>
          <w:szCs w:val="24"/>
        </w:rPr>
        <w:t xml:space="preserve"> individuare le personalità che sollecitarono l’ingresso in città della nuova tecnica d’impressione. Tra i primi a interessarsene vi fu Galeazzo Crivelli, membro del consiglio segreto, che il 14 marzo 1469 stipul</w:t>
      </w:r>
      <w:r>
        <w:rPr>
          <w:rFonts w:ascii="Times New Roman" w:hAnsi="Times New Roman" w:cs="Times New Roman"/>
          <w:sz w:val="24"/>
          <w:szCs w:val="24"/>
        </w:rPr>
        <w:t>ò</w:t>
      </w:r>
      <w:r w:rsidRPr="00096909">
        <w:rPr>
          <w:rFonts w:ascii="Times New Roman" w:hAnsi="Times New Roman" w:cs="Times New Roman"/>
          <w:sz w:val="24"/>
          <w:szCs w:val="24"/>
        </w:rPr>
        <w:t xml:space="preserve"> con il medico Antonio Caccia da Ceresole d’Alba un accordo per l’insegnamento, a lui direttamente, dell’arte di </w:t>
      </w:r>
      <w:r w:rsidRPr="00096909">
        <w:rPr>
          <w:rFonts w:ascii="Times New Roman" w:hAnsi="Times New Roman" w:cs="Times New Roman"/>
          <w:i/>
          <w:sz w:val="24"/>
          <w:szCs w:val="24"/>
        </w:rPr>
        <w:t>scribere libros in forma cum impressione</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84"/>
      </w:r>
      <w:r w:rsidRPr="00096909">
        <w:rPr>
          <w:rFonts w:ascii="Times New Roman" w:hAnsi="Times New Roman" w:cs="Times New Roman"/>
          <w:sz w:val="24"/>
          <w:szCs w:val="24"/>
        </w:rPr>
        <w:t xml:space="preserve"> I termini di questo patto pare però non si concretizzassero e, l’anno seguente, una lettera di Giovanni Simonetta indirizzata al duca informa di come Crivelli avesse tentato un secondo accordo per il trasferimento a Milano di uno stampatore tedesco, richiedendone l’approvazione alla cancelleria ducale.</w:t>
      </w:r>
      <w:r w:rsidRPr="00096909">
        <w:rPr>
          <w:rStyle w:val="Rimandonotaapidipagina"/>
          <w:rFonts w:ascii="Times New Roman" w:hAnsi="Times New Roman" w:cs="Times New Roman"/>
          <w:sz w:val="24"/>
          <w:szCs w:val="24"/>
        </w:rPr>
        <w:footnoteReference w:id="185"/>
      </w:r>
      <w:r w:rsidRPr="00096909">
        <w:rPr>
          <w:rFonts w:ascii="Times New Roman" w:hAnsi="Times New Roman" w:cs="Times New Roman"/>
          <w:sz w:val="24"/>
          <w:szCs w:val="24"/>
        </w:rPr>
        <w:t xml:space="preserve"> </w:t>
      </w:r>
    </w:p>
    <w:p w14:paraId="79EAA2FC" w14:textId="77777777" w:rsidR="00D20E25" w:rsidRPr="00096909" w:rsidRDefault="00D20E25" w:rsidP="00D20E25">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Negli stessi mesi l’ambasciatore milanese a Venezia Gerardo Colli scriveva al duca per proporre invece l’arrivo in città di un veneziano abile nella stessa arte. Lo Sforza rimise la scelta tra le offerte dei contendenti al consiglio segreto, dove Crivelli poté esercitare la propria influenza di funzionario di corte; ma nonostante ciò il suo artigiano tedesco, per motivi ignoti, non giunse mai a Milano. Venne invitato allora il candidato del Colli, il medico Antonio Planella, al quale il 7 settembre 1470 si concedeva un privilegio esclusivo quinquennale di esercizio dell’attività </w:t>
      </w:r>
      <w:r w:rsidRPr="00096909">
        <w:rPr>
          <w:rFonts w:ascii="Times New Roman" w:hAnsi="Times New Roman" w:cs="Times New Roman"/>
          <w:sz w:val="24"/>
          <w:szCs w:val="24"/>
        </w:rPr>
        <w:lastRenderedPageBreak/>
        <w:t>tipografica</w:t>
      </w:r>
      <w:r>
        <w:rPr>
          <w:rFonts w:ascii="Times New Roman" w:hAnsi="Times New Roman" w:cs="Times New Roman"/>
          <w:sz w:val="24"/>
          <w:szCs w:val="24"/>
        </w:rPr>
        <w:t>,</w:t>
      </w:r>
      <w:r w:rsidRPr="00096909">
        <w:rPr>
          <w:rFonts w:ascii="Times New Roman" w:hAnsi="Times New Roman" w:cs="Times New Roman"/>
          <w:sz w:val="24"/>
          <w:szCs w:val="24"/>
        </w:rPr>
        <w:t xml:space="preserve"> rescindibile n</w:t>
      </w:r>
      <w:r>
        <w:rPr>
          <w:rFonts w:ascii="Times New Roman" w:hAnsi="Times New Roman" w:cs="Times New Roman"/>
          <w:sz w:val="24"/>
          <w:szCs w:val="24"/>
        </w:rPr>
        <w:t>el</w:t>
      </w:r>
      <w:r w:rsidRPr="00096909">
        <w:rPr>
          <w:rFonts w:ascii="Times New Roman" w:hAnsi="Times New Roman" w:cs="Times New Roman"/>
          <w:sz w:val="24"/>
          <w:szCs w:val="24"/>
        </w:rPr>
        <w:t xml:space="preserve"> caso della venuta in città di uno stampatore più abile.</w:t>
      </w:r>
      <w:r w:rsidRPr="00096909">
        <w:rPr>
          <w:rStyle w:val="Rimandonotaapidipagina"/>
          <w:rFonts w:ascii="Times New Roman" w:hAnsi="Times New Roman" w:cs="Times New Roman"/>
          <w:sz w:val="24"/>
          <w:szCs w:val="24"/>
        </w:rPr>
        <w:footnoteReference w:id="186"/>
      </w:r>
      <w:r w:rsidRPr="00096909">
        <w:rPr>
          <w:rFonts w:ascii="Times New Roman" w:hAnsi="Times New Roman" w:cs="Times New Roman"/>
          <w:sz w:val="24"/>
          <w:szCs w:val="24"/>
        </w:rPr>
        <w:t xml:space="preserve"> Da questo momento si perdono le tracce di Planella, che pare avesse però insegnato in precedenza le tecniche tipografiche a Panfilo Castaldi, originario di Feltre e firmatario il 6 febbraio 1471 a Venezia di un contratto con Antonio Zarotto, in cui presumibilmente si fissavano i termini per un loro trasferimento a Milano e per l’apertura di un’officina.</w:t>
      </w:r>
    </w:p>
    <w:p w14:paraId="397B876C" w14:textId="77777777" w:rsidR="00D20E25" w:rsidRPr="00096909" w:rsidRDefault="00D20E25" w:rsidP="00D20E25">
      <w:pPr>
        <w:pStyle w:val="Nessunaspaziatur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Il 3 agosto 1471, apparve finalmente a Milano il primo libro a stampa, il Festus, </w:t>
      </w:r>
      <w:r w:rsidRPr="00096909">
        <w:rPr>
          <w:rFonts w:ascii="Times New Roman" w:hAnsi="Times New Roman" w:cs="Times New Roman"/>
          <w:i/>
          <w:sz w:val="24"/>
          <w:szCs w:val="24"/>
        </w:rPr>
        <w:t>De verborum significatione</w:t>
      </w:r>
      <w:r w:rsidRPr="00096909">
        <w:rPr>
          <w:rFonts w:ascii="Times New Roman" w:hAnsi="Times New Roman" w:cs="Times New Roman"/>
          <w:sz w:val="24"/>
          <w:szCs w:val="24"/>
        </w:rPr>
        <w:t xml:space="preserve">, seguito il 25 settembre dello stesso anno dalla </w:t>
      </w:r>
      <w:r w:rsidRPr="00096909">
        <w:rPr>
          <w:rFonts w:ascii="Times New Roman" w:hAnsi="Times New Roman" w:cs="Times New Roman"/>
          <w:i/>
          <w:sz w:val="24"/>
          <w:szCs w:val="24"/>
        </w:rPr>
        <w:t>Cosmographia</w:t>
      </w:r>
      <w:r w:rsidRPr="00096909">
        <w:rPr>
          <w:rFonts w:ascii="Times New Roman" w:hAnsi="Times New Roman" w:cs="Times New Roman"/>
          <w:sz w:val="24"/>
          <w:szCs w:val="24"/>
        </w:rPr>
        <w:t xml:space="preserve"> di Pomponio Mela. Entrambi recano luogo e data di edizione ma non riportano il nome dello stampatore. Sulla base della documentazione raccolta da Arnaldo Ganda si può, tuttavia, </w:t>
      </w:r>
      <w:r>
        <w:rPr>
          <w:rFonts w:ascii="Times New Roman" w:hAnsi="Times New Roman" w:cs="Times New Roman"/>
          <w:sz w:val="24"/>
          <w:szCs w:val="24"/>
        </w:rPr>
        <w:t xml:space="preserve">ipotizzare </w:t>
      </w:r>
      <w:r w:rsidRPr="00096909">
        <w:rPr>
          <w:rFonts w:ascii="Times New Roman" w:hAnsi="Times New Roman" w:cs="Times New Roman"/>
          <w:sz w:val="24"/>
          <w:szCs w:val="24"/>
        </w:rPr>
        <w:t>che ne fu artefice lo Zarotto per conto di Castaldi.</w:t>
      </w:r>
      <w:r w:rsidRPr="00096909">
        <w:rPr>
          <w:rStyle w:val="Rimandonotaapidipagina"/>
          <w:rFonts w:ascii="Times New Roman" w:hAnsi="Times New Roman" w:cs="Times New Roman"/>
          <w:sz w:val="24"/>
          <w:szCs w:val="24"/>
        </w:rPr>
        <w:footnoteReference w:id="187"/>
      </w:r>
    </w:p>
    <w:p w14:paraId="53070709" w14:textId="77777777" w:rsidR="00D20E25" w:rsidRPr="00096909" w:rsidRDefault="00D20E25" w:rsidP="00D20E25">
      <w:pPr>
        <w:pStyle w:val="Testonotaapidipagin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Senza addentrarci troppo nello studio </w:t>
      </w:r>
      <w:r>
        <w:rPr>
          <w:rFonts w:ascii="Times New Roman" w:hAnsi="Times New Roman" w:cs="Times New Roman"/>
          <w:sz w:val="24"/>
          <w:szCs w:val="24"/>
        </w:rPr>
        <w:t>delle problematiche relative alle</w:t>
      </w:r>
      <w:r w:rsidRPr="00096909">
        <w:rPr>
          <w:rFonts w:ascii="Times New Roman" w:hAnsi="Times New Roman" w:cs="Times New Roman"/>
          <w:sz w:val="24"/>
          <w:szCs w:val="24"/>
        </w:rPr>
        <w:t xml:space="preserve"> prime fasi della tipografia milanese, mi preme sottolineare come sia Crivelli che Colli appartenessero all</w:t>
      </w:r>
      <w:r w:rsidR="009D72FF">
        <w:rPr>
          <w:rFonts w:ascii="Times New Roman" w:hAnsi="Times New Roman" w:cs="Times New Roman"/>
          <w:sz w:val="24"/>
          <w:szCs w:val="24"/>
        </w:rPr>
        <w:t>e</w:t>
      </w:r>
      <w:r w:rsidRPr="00096909">
        <w:rPr>
          <w:rFonts w:ascii="Times New Roman" w:hAnsi="Times New Roman" w:cs="Times New Roman"/>
          <w:sz w:val="24"/>
          <w:szCs w:val="24"/>
        </w:rPr>
        <w:t xml:space="preserve"> </w:t>
      </w:r>
      <w:r w:rsidR="009D72FF">
        <w:rPr>
          <w:rFonts w:ascii="Times New Roman" w:hAnsi="Times New Roman" w:cs="Times New Roman"/>
          <w:sz w:val="24"/>
          <w:szCs w:val="24"/>
        </w:rPr>
        <w:t xml:space="preserve">alte </w:t>
      </w:r>
      <w:r w:rsidRPr="00096909">
        <w:rPr>
          <w:rFonts w:ascii="Times New Roman" w:hAnsi="Times New Roman" w:cs="Times New Roman"/>
          <w:sz w:val="24"/>
          <w:szCs w:val="24"/>
        </w:rPr>
        <w:t>sfer</w:t>
      </w:r>
      <w:r w:rsidR="009D72FF">
        <w:rPr>
          <w:rFonts w:ascii="Times New Roman" w:hAnsi="Times New Roman" w:cs="Times New Roman"/>
          <w:sz w:val="24"/>
          <w:szCs w:val="24"/>
        </w:rPr>
        <w:t>e</w:t>
      </w:r>
      <w:r w:rsidRPr="00096909">
        <w:rPr>
          <w:rFonts w:ascii="Times New Roman" w:hAnsi="Times New Roman" w:cs="Times New Roman"/>
          <w:sz w:val="24"/>
          <w:szCs w:val="24"/>
        </w:rPr>
        <w:t xml:space="preserve"> dell’amministrazione ducale, e come gli Sforza, dopo la concessione a Planella del privilegio ducale per favorire l’apertura della stamperia, pare non si siano più interessati alla questione del mercato editoriale almeno fino al 6 luglio 1481, quando Gian Galeazzo beneficiò Zarotto di un privilegio per l’impressione in esclusiva dei già ricordati </w:t>
      </w:r>
      <w:r w:rsidRPr="00096909">
        <w:rPr>
          <w:rFonts w:ascii="Times New Roman" w:hAnsi="Times New Roman" w:cs="Times New Roman"/>
          <w:i/>
          <w:sz w:val="24"/>
          <w:szCs w:val="24"/>
        </w:rPr>
        <w:t>Commentarii</w:t>
      </w:r>
      <w:r w:rsidRPr="00096909">
        <w:rPr>
          <w:rFonts w:ascii="Times New Roman" w:hAnsi="Times New Roman" w:cs="Times New Roman"/>
          <w:sz w:val="24"/>
          <w:szCs w:val="24"/>
        </w:rPr>
        <w:t xml:space="preserve"> del Simonetta.</w:t>
      </w:r>
      <w:r w:rsidRPr="00096909">
        <w:rPr>
          <w:rStyle w:val="Rimandonotaapidipagina"/>
          <w:rFonts w:ascii="Times New Roman" w:hAnsi="Times New Roman" w:cs="Times New Roman"/>
          <w:sz w:val="24"/>
          <w:szCs w:val="24"/>
        </w:rPr>
        <w:footnoteReference w:id="188"/>
      </w:r>
      <w:r w:rsidRPr="00096909">
        <w:rPr>
          <w:rFonts w:ascii="Times New Roman" w:hAnsi="Times New Roman" w:cs="Times New Roman"/>
          <w:sz w:val="24"/>
          <w:szCs w:val="24"/>
        </w:rPr>
        <w:t xml:space="preserve"> Non credo però si possa parlare di un interesse editoriale del duca, quanto piuttosto di un tentativo di vigilare sulla messa in circolazione di un’opera, come si è visto, cara a Ludovico il Moro per ragioni propagandistiche.</w:t>
      </w:r>
    </w:p>
    <w:p w14:paraId="4FA5C514" w14:textId="77777777" w:rsidR="00D20E25" w:rsidRDefault="00D20E25" w:rsidP="00D20E25">
      <w:pPr>
        <w:pStyle w:val="Testonotaapidipagin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Anche durante il ducato di quest’ultimo, infatti, pare che la corte non avesse una tipografia di riferimento, come illustra il caso della promulgazione dei </w:t>
      </w:r>
      <w:r w:rsidRPr="00096909">
        <w:rPr>
          <w:rFonts w:ascii="Times New Roman" w:hAnsi="Times New Roman" w:cs="Times New Roman"/>
          <w:i/>
          <w:sz w:val="24"/>
          <w:szCs w:val="24"/>
        </w:rPr>
        <w:t>Decreta ducalia</w:t>
      </w:r>
      <w:r w:rsidRPr="00096909">
        <w:rPr>
          <w:rFonts w:ascii="Times New Roman" w:hAnsi="Times New Roman" w:cs="Times New Roman"/>
          <w:sz w:val="24"/>
          <w:szCs w:val="24"/>
        </w:rPr>
        <w:t>, impressi tra il 1494 e il 1498 da tre tipografi milanesi differenti</w:t>
      </w:r>
      <w:r>
        <w:rPr>
          <w:rFonts w:ascii="Times New Roman" w:hAnsi="Times New Roman" w:cs="Times New Roman"/>
          <w:sz w:val="24"/>
          <w:szCs w:val="24"/>
        </w:rPr>
        <w:t>. C</w:t>
      </w:r>
      <w:r w:rsidRPr="00096909">
        <w:rPr>
          <w:rFonts w:ascii="Times New Roman" w:hAnsi="Times New Roman" w:cs="Times New Roman"/>
          <w:sz w:val="24"/>
          <w:szCs w:val="24"/>
        </w:rPr>
        <w:t xml:space="preserve">ertamente, qualora il duca avesse avuto uno </w:t>
      </w:r>
      <w:r w:rsidRPr="00096909">
        <w:rPr>
          <w:rFonts w:ascii="Times New Roman" w:hAnsi="Times New Roman" w:cs="Times New Roman"/>
          <w:sz w:val="24"/>
          <w:szCs w:val="24"/>
        </w:rPr>
        <w:lastRenderedPageBreak/>
        <w:t xml:space="preserve">stampatore di fiducia o un’officina beneficiaria di accordi con la sua cancelleria, </w:t>
      </w:r>
      <w:r>
        <w:rPr>
          <w:rFonts w:ascii="Times New Roman" w:hAnsi="Times New Roman" w:cs="Times New Roman"/>
          <w:sz w:val="24"/>
          <w:szCs w:val="24"/>
        </w:rPr>
        <w:t xml:space="preserve">questi testi </w:t>
      </w:r>
      <w:r w:rsidRPr="00096909">
        <w:rPr>
          <w:rFonts w:ascii="Times New Roman" w:hAnsi="Times New Roman" w:cs="Times New Roman"/>
          <w:sz w:val="24"/>
          <w:szCs w:val="24"/>
        </w:rPr>
        <w:t>sarebbero usciti dai torchi di un solo artigiano.</w:t>
      </w:r>
      <w:r w:rsidRPr="00096909">
        <w:rPr>
          <w:rStyle w:val="Rimandonotaapidipagina"/>
          <w:rFonts w:ascii="Times New Roman" w:hAnsi="Times New Roman" w:cs="Times New Roman"/>
          <w:sz w:val="24"/>
          <w:szCs w:val="24"/>
        </w:rPr>
        <w:footnoteReference w:id="189"/>
      </w:r>
      <w:r w:rsidRPr="00096909">
        <w:rPr>
          <w:rFonts w:ascii="Times New Roman" w:hAnsi="Times New Roman" w:cs="Times New Roman"/>
          <w:sz w:val="24"/>
          <w:szCs w:val="24"/>
        </w:rPr>
        <w:t xml:space="preserve"> </w:t>
      </w:r>
    </w:p>
    <w:p w14:paraId="25865DD1" w14:textId="77777777" w:rsidR="00D20E25" w:rsidRPr="00096909" w:rsidRDefault="00D20E25" w:rsidP="00D20E25">
      <w:pPr>
        <w:pStyle w:val="Testonotaapidipagina"/>
        <w:spacing w:line="360" w:lineRule="auto"/>
        <w:ind w:firstLine="454"/>
        <w:jc w:val="both"/>
        <w:rPr>
          <w:rFonts w:ascii="Times New Roman" w:hAnsi="Times New Roman" w:cs="Times New Roman"/>
          <w:sz w:val="24"/>
          <w:szCs w:val="24"/>
        </w:rPr>
      </w:pPr>
      <w:r>
        <w:rPr>
          <w:rFonts w:ascii="Times New Roman" w:hAnsi="Times New Roman" w:cs="Times New Roman"/>
          <w:sz w:val="24"/>
          <w:szCs w:val="24"/>
        </w:rPr>
        <w:t xml:space="preserve">Parimenti, </w:t>
      </w:r>
      <w:r w:rsidRPr="00096909">
        <w:rPr>
          <w:rFonts w:ascii="Times New Roman" w:hAnsi="Times New Roman" w:cs="Times New Roman"/>
          <w:sz w:val="24"/>
          <w:szCs w:val="24"/>
        </w:rPr>
        <w:t xml:space="preserve">lo scarso interesse suscitato dalla scoperta di codici d’inestimabile valore nella biblioteca dell’abbazia di Bobbio, operata da Giorgio Galbiato per conto di Giorgio Merula nel 1493, mi pare indice della modesta attenzione del Moro per l’edizione di testi letterari antichi. Sebbene il ritrovamento di quelle opere fosse stato salutato con entusiasmo dagli intellettuali del </w:t>
      </w:r>
      <w:r w:rsidRPr="00096909">
        <w:rPr>
          <w:rFonts w:ascii="Times New Roman" w:hAnsi="Times New Roman" w:cs="Times New Roman"/>
          <w:i/>
          <w:sz w:val="24"/>
          <w:szCs w:val="24"/>
        </w:rPr>
        <w:t>milieu</w:t>
      </w:r>
      <w:r w:rsidRPr="00096909">
        <w:rPr>
          <w:rFonts w:ascii="Times New Roman" w:hAnsi="Times New Roman" w:cs="Times New Roman"/>
          <w:sz w:val="24"/>
          <w:szCs w:val="24"/>
        </w:rPr>
        <w:t xml:space="preserve"> ducale,</w:t>
      </w:r>
      <w:r w:rsidRPr="00096909">
        <w:rPr>
          <w:rStyle w:val="Rimandonotaapidipagina"/>
          <w:rFonts w:ascii="Times New Roman" w:hAnsi="Times New Roman" w:cs="Times New Roman"/>
          <w:sz w:val="24"/>
          <w:szCs w:val="24"/>
        </w:rPr>
        <w:footnoteReference w:id="190"/>
      </w:r>
      <w:r w:rsidRPr="00096909">
        <w:rPr>
          <w:rFonts w:ascii="Times New Roman" w:hAnsi="Times New Roman" w:cs="Times New Roman"/>
          <w:sz w:val="24"/>
          <w:szCs w:val="24"/>
        </w:rPr>
        <w:t xml:space="preserve"> fu pubblicato solo il trattato del grammatico Terenziano Mauro –</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nel settembre del 1497 per i tipi di </w:t>
      </w:r>
      <w:r w:rsidR="002B1376">
        <w:rPr>
          <w:rFonts w:ascii="Times New Roman" w:hAnsi="Times New Roman" w:cs="Times New Roman"/>
          <w:sz w:val="24"/>
          <w:szCs w:val="24"/>
        </w:rPr>
        <w:t xml:space="preserve">Ulrich </w:t>
      </w:r>
      <w:r w:rsidRPr="00096909">
        <w:rPr>
          <w:rFonts w:ascii="Times New Roman" w:hAnsi="Times New Roman" w:cs="Times New Roman"/>
          <w:sz w:val="24"/>
          <w:szCs w:val="24"/>
        </w:rPr>
        <w:t>Scinzenzeler – nonostante il Galbiato avesse ottenuto privilegi di stampa per diversi dei titoli ritrovati nel settembre dell’anno precedente.</w:t>
      </w:r>
      <w:r w:rsidRPr="00096909">
        <w:rPr>
          <w:rStyle w:val="Rimandonotaapidipagina"/>
          <w:rFonts w:ascii="Times New Roman" w:hAnsi="Times New Roman" w:cs="Times New Roman"/>
          <w:sz w:val="24"/>
          <w:szCs w:val="24"/>
        </w:rPr>
        <w:footnoteReference w:id="191"/>
      </w:r>
    </w:p>
    <w:p w14:paraId="2EC9F4B1" w14:textId="77777777" w:rsidR="00D20E25" w:rsidRPr="00096909" w:rsidRDefault="00D20E25" w:rsidP="00D20E25">
      <w:pPr>
        <w:pStyle w:val="Testonotaapidipagin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Anche Borso d’Este fu diffidente nei confronti della stampa durante le primissime fasi della sua introduzione in città. Il 29 gennaio 1471 egli congedava con </w:t>
      </w:r>
      <w:r>
        <w:rPr>
          <w:rFonts w:ascii="Times New Roman" w:hAnsi="Times New Roman" w:cs="Times New Roman"/>
          <w:sz w:val="24"/>
          <w:szCs w:val="24"/>
        </w:rPr>
        <w:t>l</w:t>
      </w:r>
      <w:r w:rsidRPr="00096909">
        <w:rPr>
          <w:rFonts w:ascii="Times New Roman" w:hAnsi="Times New Roman" w:cs="Times New Roman"/>
          <w:sz w:val="24"/>
          <w:szCs w:val="24"/>
        </w:rPr>
        <w:t xml:space="preserve">a modesta donazione di tre ducati d’oro alcuni stampatori giunti da Venezia per mostrargli i prodotti della loro arte, e ricevuta da Roma l’offerta dello stampatore </w:t>
      </w:r>
      <w:bookmarkStart w:id="130" w:name="_Hlk535845758"/>
      <w:r w:rsidRPr="00096909">
        <w:rPr>
          <w:rFonts w:ascii="Times New Roman" w:hAnsi="Times New Roman" w:cs="Times New Roman"/>
          <w:sz w:val="24"/>
          <w:szCs w:val="24"/>
        </w:rPr>
        <w:t xml:space="preserve">Clemente Donati </w:t>
      </w:r>
      <w:bookmarkEnd w:id="130"/>
      <w:r w:rsidRPr="00096909">
        <w:rPr>
          <w:rFonts w:ascii="Times New Roman" w:hAnsi="Times New Roman" w:cs="Times New Roman"/>
          <w:sz w:val="24"/>
          <w:szCs w:val="24"/>
        </w:rPr>
        <w:t xml:space="preserve">di trasferirsi a Ferrara per aprirvi una tipografia, a patto di ricevere una sovvenzione – indispensabile per </w:t>
      </w:r>
      <w:r>
        <w:rPr>
          <w:rFonts w:ascii="Times New Roman" w:hAnsi="Times New Roman" w:cs="Times New Roman"/>
          <w:sz w:val="24"/>
          <w:szCs w:val="24"/>
        </w:rPr>
        <w:t xml:space="preserve">la residenza </w:t>
      </w:r>
      <w:r w:rsidRPr="00096909">
        <w:rPr>
          <w:rFonts w:ascii="Times New Roman" w:hAnsi="Times New Roman" w:cs="Times New Roman"/>
          <w:sz w:val="24"/>
          <w:szCs w:val="24"/>
        </w:rPr>
        <w:t>in città – e un prestito di tre anni per coprire le spese di avvio dell’officina, si limitò a inoltrare la proposta al Consiglio Comunale, dove fu discussa e rifiutata con l’asserzione che: «</w:t>
      </w:r>
      <w:r w:rsidRPr="00096909">
        <w:rPr>
          <w:rFonts w:ascii="Times New Roman" w:hAnsi="Times New Roman" w:cs="Times New Roman"/>
          <w:i/>
          <w:sz w:val="24"/>
          <w:szCs w:val="24"/>
        </w:rPr>
        <w:t>recordandum est etiam quod si dictum exercitium est tante utilitatis et lucri, ut proponitur, non potest esse quin invenit socios et mercatores qui ei subvenient de prestanti necessaria</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92"/>
      </w:r>
      <w:r w:rsidRPr="00096909">
        <w:rPr>
          <w:rFonts w:ascii="Times New Roman" w:hAnsi="Times New Roman" w:cs="Times New Roman"/>
          <w:sz w:val="24"/>
          <w:szCs w:val="24"/>
        </w:rPr>
        <w:t xml:space="preserve"> </w:t>
      </w:r>
    </w:p>
    <w:p w14:paraId="14BCF502" w14:textId="77777777" w:rsidR="00D20E25" w:rsidRPr="00096909" w:rsidRDefault="00D20E25" w:rsidP="00D20E25">
      <w:pPr>
        <w:pStyle w:val="Testonotaapidipagin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Ben altro apprezzamento mostrò suo fratello Ercole I, </w:t>
      </w:r>
      <w:r>
        <w:rPr>
          <w:rFonts w:ascii="Times New Roman" w:hAnsi="Times New Roman" w:cs="Times New Roman"/>
          <w:sz w:val="24"/>
          <w:szCs w:val="24"/>
        </w:rPr>
        <w:t xml:space="preserve">il quale </w:t>
      </w:r>
      <w:r w:rsidRPr="00096909">
        <w:rPr>
          <w:rFonts w:ascii="Times New Roman" w:hAnsi="Times New Roman" w:cs="Times New Roman"/>
          <w:sz w:val="24"/>
          <w:szCs w:val="24"/>
        </w:rPr>
        <w:t xml:space="preserve">nel 1492 sostenne un progetto editoriale che vedeva coinvolti un suo famigliare, il medico di corte </w:t>
      </w:r>
      <w:bookmarkStart w:id="132" w:name="_Hlk535845817"/>
      <w:r w:rsidRPr="00096909">
        <w:rPr>
          <w:rFonts w:ascii="Times New Roman" w:hAnsi="Times New Roman" w:cs="Times New Roman"/>
          <w:sz w:val="24"/>
          <w:szCs w:val="24"/>
        </w:rPr>
        <w:t xml:space="preserve">Francesco da Castello </w:t>
      </w:r>
      <w:bookmarkEnd w:id="132"/>
      <w:r w:rsidRPr="00096909">
        <w:rPr>
          <w:rFonts w:ascii="Times New Roman" w:hAnsi="Times New Roman" w:cs="Times New Roman"/>
          <w:sz w:val="24"/>
          <w:szCs w:val="24"/>
        </w:rPr>
        <w:t xml:space="preserve">e il tipografo </w:t>
      </w:r>
      <w:bookmarkStart w:id="133" w:name="_Hlk535845858"/>
      <w:r w:rsidRPr="00096909">
        <w:rPr>
          <w:rFonts w:ascii="Times New Roman" w:hAnsi="Times New Roman" w:cs="Times New Roman"/>
          <w:sz w:val="24"/>
          <w:szCs w:val="24"/>
        </w:rPr>
        <w:t xml:space="preserve">Lorenzo Rossi </w:t>
      </w:r>
      <w:bookmarkEnd w:id="133"/>
      <w:r w:rsidRPr="00096909">
        <w:rPr>
          <w:rFonts w:ascii="Times New Roman" w:hAnsi="Times New Roman" w:cs="Times New Roman"/>
          <w:sz w:val="24"/>
          <w:szCs w:val="24"/>
        </w:rPr>
        <w:t xml:space="preserve">da Valencia </w:t>
      </w:r>
      <w:r>
        <w:rPr>
          <w:rFonts w:ascii="Times New Roman" w:hAnsi="Times New Roman" w:cs="Times New Roman"/>
          <w:sz w:val="24"/>
          <w:szCs w:val="24"/>
        </w:rPr>
        <w:t xml:space="preserve">per </w:t>
      </w:r>
      <w:r w:rsidRPr="00096909">
        <w:rPr>
          <w:rFonts w:ascii="Times New Roman" w:hAnsi="Times New Roman" w:cs="Times New Roman"/>
          <w:sz w:val="24"/>
          <w:szCs w:val="24"/>
        </w:rPr>
        <w:t xml:space="preserve">l’impressione di mille esemplari di un </w:t>
      </w:r>
      <w:r w:rsidRPr="00096909">
        <w:rPr>
          <w:rFonts w:ascii="Times New Roman" w:hAnsi="Times New Roman" w:cs="Times New Roman"/>
          <w:i/>
          <w:sz w:val="24"/>
          <w:szCs w:val="24"/>
        </w:rPr>
        <w:t>Officium sive Collectio psalmorum et precum</w:t>
      </w:r>
      <w:r w:rsidRPr="00096909">
        <w:rPr>
          <w:rFonts w:ascii="Times New Roman" w:hAnsi="Times New Roman" w:cs="Times New Roman"/>
          <w:sz w:val="24"/>
          <w:szCs w:val="24"/>
        </w:rPr>
        <w:t xml:space="preserve">. Il testo, con prefazione del priore dei carmelitani di San Paolo </w:t>
      </w:r>
      <w:bookmarkStart w:id="134" w:name="_Hlk535845909"/>
      <w:r w:rsidRPr="00096909">
        <w:rPr>
          <w:rFonts w:ascii="Times New Roman" w:hAnsi="Times New Roman" w:cs="Times New Roman"/>
          <w:sz w:val="24"/>
          <w:szCs w:val="24"/>
        </w:rPr>
        <w:t>Battista Pannetti</w:t>
      </w:r>
      <w:bookmarkEnd w:id="134"/>
      <w:r w:rsidRPr="00096909">
        <w:rPr>
          <w:rFonts w:ascii="Times New Roman" w:hAnsi="Times New Roman" w:cs="Times New Roman"/>
          <w:sz w:val="24"/>
          <w:szCs w:val="24"/>
        </w:rPr>
        <w:t xml:space="preserve">, era introdotto da due brevi di Innocenzo VIII e </w:t>
      </w:r>
      <w:r>
        <w:rPr>
          <w:rFonts w:ascii="Times New Roman" w:hAnsi="Times New Roman" w:cs="Times New Roman"/>
          <w:sz w:val="24"/>
          <w:szCs w:val="24"/>
        </w:rPr>
        <w:t xml:space="preserve">di </w:t>
      </w:r>
      <w:r w:rsidRPr="00096909">
        <w:rPr>
          <w:rFonts w:ascii="Times New Roman" w:hAnsi="Times New Roman" w:cs="Times New Roman"/>
          <w:sz w:val="24"/>
          <w:szCs w:val="24"/>
        </w:rPr>
        <w:t>Alessandro VI con cui si autorizzava l’adozione dell’officio e si concedeva una speciale indulgenza a chi lo avesse recitato. Per la supplica di tale grazia si era speso il duca stesso, che promosse l’operazione editoriale acquistando 224 copie dell’</w:t>
      </w:r>
      <w:r w:rsidRPr="00096909">
        <w:rPr>
          <w:rFonts w:ascii="Times New Roman" w:hAnsi="Times New Roman" w:cs="Times New Roman"/>
          <w:i/>
          <w:sz w:val="24"/>
          <w:szCs w:val="24"/>
        </w:rPr>
        <w:t>Officium</w:t>
      </w:r>
      <w:r w:rsidRPr="00096909">
        <w:rPr>
          <w:rFonts w:ascii="Times New Roman" w:hAnsi="Times New Roman" w:cs="Times New Roman"/>
          <w:sz w:val="24"/>
          <w:szCs w:val="24"/>
        </w:rPr>
        <w:t xml:space="preserve"> e che garantì l’esenzione dai dazi per l’importazione delle </w:t>
      </w:r>
      <w:r w:rsidRPr="00096909">
        <w:rPr>
          <w:rFonts w:ascii="Times New Roman" w:hAnsi="Times New Roman" w:cs="Times New Roman"/>
          <w:sz w:val="24"/>
          <w:szCs w:val="24"/>
        </w:rPr>
        <w:lastRenderedPageBreak/>
        <w:t>risme di carta necessarie per la pubblicazione.</w:t>
      </w:r>
      <w:r w:rsidRPr="00096909">
        <w:rPr>
          <w:rStyle w:val="Rimandonotaapidipagina"/>
          <w:rFonts w:ascii="Times New Roman" w:hAnsi="Times New Roman" w:cs="Times New Roman"/>
          <w:sz w:val="24"/>
          <w:szCs w:val="24"/>
        </w:rPr>
        <w:footnoteReference w:id="193"/>
      </w:r>
      <w:r w:rsidRPr="00096909">
        <w:rPr>
          <w:rFonts w:ascii="Times New Roman" w:hAnsi="Times New Roman" w:cs="Times New Roman"/>
          <w:sz w:val="24"/>
          <w:szCs w:val="24"/>
        </w:rPr>
        <w:t xml:space="preserve"> L’intestazione del contratto di stampa, stilato il 16 giugno 1492, non menziona il principe quale parte attiva nella società, ma afferma che esso fu firmato «</w:t>
      </w:r>
      <w:r w:rsidRPr="00096909">
        <w:rPr>
          <w:rFonts w:ascii="Times New Roman" w:hAnsi="Times New Roman" w:cs="Times New Roman"/>
          <w:i/>
          <w:sz w:val="24"/>
          <w:szCs w:val="24"/>
        </w:rPr>
        <w:t>in curia domini Ducis</w:t>
      </w:r>
      <w:r w:rsidRPr="00096909">
        <w:rPr>
          <w:rFonts w:ascii="Times New Roman" w:hAnsi="Times New Roman" w:cs="Times New Roman"/>
          <w:sz w:val="24"/>
          <w:szCs w:val="24"/>
        </w:rPr>
        <w:t xml:space="preserve">» e alla presenza </w:t>
      </w:r>
      <w:r w:rsidRPr="00096909">
        <w:rPr>
          <w:rFonts w:ascii="Times New Roman" w:hAnsi="Times New Roman" w:cs="Times New Roman"/>
          <w:i/>
          <w:sz w:val="24"/>
          <w:szCs w:val="24"/>
        </w:rPr>
        <w:t>Andreae a Vegetibus filio</w:t>
      </w:r>
      <w:r w:rsidRPr="00096909">
        <w:rPr>
          <w:rFonts w:ascii="Times New Roman" w:hAnsi="Times New Roman" w:cs="Times New Roman"/>
          <w:sz w:val="24"/>
          <w:szCs w:val="24"/>
        </w:rPr>
        <w:t>, ossia del figlio di Andrea dalle Vieze, d</w:t>
      </w:r>
      <w:r>
        <w:rPr>
          <w:rFonts w:ascii="Times New Roman" w:hAnsi="Times New Roman" w:cs="Times New Roman"/>
          <w:sz w:val="24"/>
          <w:szCs w:val="24"/>
        </w:rPr>
        <w:t>el quale</w:t>
      </w:r>
      <w:r w:rsidRPr="00096909">
        <w:rPr>
          <w:rFonts w:ascii="Times New Roman" w:hAnsi="Times New Roman" w:cs="Times New Roman"/>
          <w:sz w:val="24"/>
          <w:szCs w:val="24"/>
        </w:rPr>
        <w:t xml:space="preserve"> abbiamo già ricordato l</w:t>
      </w:r>
      <w:r>
        <w:rPr>
          <w:rFonts w:ascii="Times New Roman" w:hAnsi="Times New Roman" w:cs="Times New Roman"/>
          <w:sz w:val="24"/>
          <w:szCs w:val="24"/>
        </w:rPr>
        <w:t>’</w:t>
      </w:r>
      <w:r w:rsidRPr="00096909">
        <w:rPr>
          <w:rFonts w:ascii="Times New Roman" w:hAnsi="Times New Roman" w:cs="Times New Roman"/>
          <w:sz w:val="24"/>
          <w:szCs w:val="24"/>
        </w:rPr>
        <w:t xml:space="preserve">importante ruolo nell’acquisto dei libri </w:t>
      </w:r>
      <w:r>
        <w:rPr>
          <w:rFonts w:ascii="Times New Roman" w:hAnsi="Times New Roman" w:cs="Times New Roman"/>
          <w:sz w:val="24"/>
          <w:szCs w:val="24"/>
        </w:rPr>
        <w:t>per la</w:t>
      </w:r>
      <w:r w:rsidRPr="00096909">
        <w:rPr>
          <w:rFonts w:ascii="Times New Roman" w:hAnsi="Times New Roman" w:cs="Times New Roman"/>
          <w:sz w:val="24"/>
          <w:szCs w:val="24"/>
        </w:rPr>
        <w:t xml:space="preserve"> corte. L’operazione si svolgeva così in perfetta sintonia con l’ambito cortigiano, e vedeva il duca, interessato alla circolazione della sua immagine di principe «</w:t>
      </w:r>
      <w:r w:rsidRPr="00096909">
        <w:rPr>
          <w:rFonts w:ascii="Times New Roman" w:hAnsi="Times New Roman" w:cs="Times New Roman"/>
          <w:i/>
          <w:sz w:val="24"/>
          <w:szCs w:val="24"/>
        </w:rPr>
        <w:t>zelo caritatis accensus</w:t>
      </w:r>
      <w:r w:rsidRPr="00096909">
        <w:rPr>
          <w:rFonts w:ascii="Times New Roman" w:hAnsi="Times New Roman" w:cs="Times New Roman"/>
          <w:sz w:val="24"/>
          <w:szCs w:val="24"/>
        </w:rPr>
        <w:t>», coinvolto grazie alla mediazione di Francesco da Castello.</w:t>
      </w:r>
      <w:r w:rsidRPr="00096909">
        <w:rPr>
          <w:rStyle w:val="Rimandonotaapidipagina"/>
          <w:rFonts w:ascii="Times New Roman" w:hAnsi="Times New Roman" w:cs="Times New Roman"/>
          <w:sz w:val="24"/>
          <w:szCs w:val="24"/>
        </w:rPr>
        <w:footnoteReference w:id="194"/>
      </w:r>
      <w:r w:rsidRPr="00096909">
        <w:rPr>
          <w:rFonts w:ascii="Times New Roman" w:hAnsi="Times New Roman" w:cs="Times New Roman"/>
          <w:sz w:val="24"/>
          <w:szCs w:val="24"/>
        </w:rPr>
        <w:t xml:space="preserve">  </w:t>
      </w:r>
    </w:p>
    <w:p w14:paraId="301004E0" w14:textId="77777777" w:rsidR="00D20E25" w:rsidRPr="00096909" w:rsidRDefault="00D20E25" w:rsidP="00D20E25">
      <w:pPr>
        <w:pStyle w:val="Testonotaapidipagina"/>
        <w:spacing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Pochi anni dopo, Ercole commissionò a Rossi la stampa di un secondo libretto che nuovamente lo avrebbe presentato </w:t>
      </w:r>
      <w:r>
        <w:rPr>
          <w:rFonts w:ascii="Times New Roman" w:hAnsi="Times New Roman" w:cs="Times New Roman"/>
          <w:sz w:val="24"/>
          <w:szCs w:val="24"/>
        </w:rPr>
        <w:t xml:space="preserve">quale </w:t>
      </w:r>
      <w:r w:rsidRPr="00096909">
        <w:rPr>
          <w:rFonts w:ascii="Times New Roman" w:hAnsi="Times New Roman" w:cs="Times New Roman"/>
          <w:sz w:val="24"/>
          <w:szCs w:val="24"/>
        </w:rPr>
        <w:t xml:space="preserve">principe pio e fedele: la </w:t>
      </w:r>
      <w:r w:rsidRPr="00096909">
        <w:rPr>
          <w:rFonts w:ascii="Times New Roman" w:hAnsi="Times New Roman" w:cs="Times New Roman"/>
          <w:i/>
          <w:sz w:val="24"/>
          <w:szCs w:val="24"/>
        </w:rPr>
        <w:t>Corona Beatae Mariae Virginis</w:t>
      </w:r>
      <w:r w:rsidRPr="00096909">
        <w:rPr>
          <w:rFonts w:ascii="Times New Roman" w:hAnsi="Times New Roman" w:cs="Times New Roman"/>
          <w:sz w:val="24"/>
          <w:szCs w:val="24"/>
        </w:rPr>
        <w:t>, un opuscolo in ottavo con frontespizio dal titolo in caratteri gotici a inchiostro rosso sormontato da una corona retta da due angeli.</w:t>
      </w:r>
      <w:r w:rsidRPr="00096909">
        <w:rPr>
          <w:rStyle w:val="Rimandonotaapidipagina"/>
          <w:rFonts w:ascii="Times New Roman" w:hAnsi="Times New Roman" w:cs="Times New Roman"/>
          <w:sz w:val="24"/>
          <w:szCs w:val="24"/>
        </w:rPr>
        <w:footnoteReference w:id="195"/>
      </w:r>
      <w:r w:rsidRPr="00096909">
        <w:rPr>
          <w:rFonts w:ascii="Times New Roman" w:hAnsi="Times New Roman" w:cs="Times New Roman"/>
          <w:sz w:val="24"/>
          <w:szCs w:val="24"/>
        </w:rPr>
        <w:t xml:space="preserve"> Al suo interno compaiono otto xilografie raffiguranti l’incoronazione della Vergine, l’Annunciazione, la Natività, l’Adorazione dei Magi, la Circoncisione, la Resurrezione, l’Ascensione, la Pentecoste. Si trattava di una silloge di preghiere mariane di cui il duca richiedeva periodicamente il canto d’innanzi alla Madonna della corte, un’immagine della Vergine venerata fin dal 1471</w:t>
      </w:r>
      <w:r>
        <w:rPr>
          <w:rFonts w:ascii="Times New Roman" w:hAnsi="Times New Roman" w:cs="Times New Roman"/>
          <w:sz w:val="24"/>
          <w:szCs w:val="24"/>
        </w:rPr>
        <w:t>,</w:t>
      </w:r>
      <w:r w:rsidRPr="00096909">
        <w:rPr>
          <w:rFonts w:ascii="Times New Roman" w:hAnsi="Times New Roman" w:cs="Times New Roman"/>
          <w:sz w:val="24"/>
          <w:szCs w:val="24"/>
        </w:rPr>
        <w:t xml:space="preserve"> ritenuta dispensatrice di grazie ai membri della famiglia d’Este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e </w:t>
      </w:r>
      <w:r>
        <w:rPr>
          <w:rFonts w:ascii="Times New Roman" w:hAnsi="Times New Roman" w:cs="Times New Roman"/>
          <w:sz w:val="24"/>
          <w:szCs w:val="24"/>
        </w:rPr>
        <w:t xml:space="preserve">fatta </w:t>
      </w:r>
      <w:r w:rsidRPr="00096909">
        <w:rPr>
          <w:rFonts w:ascii="Times New Roman" w:hAnsi="Times New Roman" w:cs="Times New Roman"/>
          <w:sz w:val="24"/>
          <w:szCs w:val="24"/>
        </w:rPr>
        <w:t xml:space="preserve">collocare </w:t>
      </w:r>
      <w:r>
        <w:rPr>
          <w:rFonts w:ascii="Times New Roman" w:hAnsi="Times New Roman" w:cs="Times New Roman"/>
          <w:sz w:val="24"/>
          <w:szCs w:val="24"/>
        </w:rPr>
        <w:t xml:space="preserve">da Ercole </w:t>
      </w:r>
      <w:r w:rsidRPr="00096909">
        <w:rPr>
          <w:rFonts w:ascii="Times New Roman" w:hAnsi="Times New Roman" w:cs="Times New Roman"/>
          <w:sz w:val="24"/>
          <w:szCs w:val="24"/>
        </w:rPr>
        <w:t>in una cappella di recente costruzione in palazzo ducale nella solennità della Purificazione del 1476, al termine di una solenne processione.</w:t>
      </w:r>
      <w:r w:rsidRPr="00096909">
        <w:rPr>
          <w:rStyle w:val="Rimandonotaapidipagina"/>
          <w:rFonts w:ascii="Times New Roman" w:hAnsi="Times New Roman" w:cs="Times New Roman"/>
          <w:sz w:val="24"/>
          <w:szCs w:val="24"/>
        </w:rPr>
        <w:footnoteReference w:id="196"/>
      </w:r>
      <w:r w:rsidRPr="00096909">
        <w:rPr>
          <w:rFonts w:ascii="Times New Roman" w:hAnsi="Times New Roman" w:cs="Times New Roman"/>
          <w:sz w:val="24"/>
          <w:szCs w:val="24"/>
        </w:rPr>
        <w:t xml:space="preserve"> Alla sua presenza si svolgevano fastosi offici allietati dalla cappella musicale del duca, come registra una lettera del 26 dicembre 1496 di </w:t>
      </w:r>
      <w:bookmarkStart w:id="138" w:name="_Hlk535846103"/>
      <w:r w:rsidRPr="00096909">
        <w:rPr>
          <w:rFonts w:ascii="Times New Roman" w:hAnsi="Times New Roman" w:cs="Times New Roman"/>
          <w:sz w:val="24"/>
          <w:szCs w:val="24"/>
        </w:rPr>
        <w:t xml:space="preserve">Bernardino Prosperi </w:t>
      </w:r>
      <w:bookmarkEnd w:id="138"/>
      <w:r w:rsidRPr="00096909">
        <w:rPr>
          <w:rFonts w:ascii="Times New Roman" w:hAnsi="Times New Roman" w:cs="Times New Roman"/>
          <w:sz w:val="24"/>
          <w:szCs w:val="24"/>
        </w:rPr>
        <w:t xml:space="preserve">a Isabella d’Este: </w:t>
      </w:r>
    </w:p>
    <w:p w14:paraId="7197D339" w14:textId="77777777" w:rsidR="00D20E25" w:rsidRPr="00096909" w:rsidRDefault="00D20E25" w:rsidP="00D20E25">
      <w:pPr>
        <w:pStyle w:val="Testonotaapidipagina"/>
        <w:spacing w:line="360" w:lineRule="auto"/>
        <w:ind w:left="567" w:right="566" w:firstLine="454"/>
        <w:jc w:val="both"/>
        <w:rPr>
          <w:rFonts w:ascii="Times New Roman" w:hAnsi="Times New Roman" w:cs="Times New Roman"/>
        </w:rPr>
      </w:pPr>
    </w:p>
    <w:p w14:paraId="688F2758" w14:textId="77777777" w:rsidR="00D20E25" w:rsidRPr="00096909" w:rsidRDefault="00D20E25" w:rsidP="00D20E25">
      <w:pPr>
        <w:pStyle w:val="Testonotaapidipagina"/>
        <w:spacing w:line="360" w:lineRule="auto"/>
        <w:ind w:left="567" w:right="566" w:firstLine="454"/>
        <w:jc w:val="both"/>
        <w:rPr>
          <w:rFonts w:ascii="Times New Roman" w:hAnsi="Times New Roman" w:cs="Times New Roman"/>
        </w:rPr>
      </w:pPr>
      <w:r w:rsidRPr="00096909">
        <w:rPr>
          <w:rFonts w:ascii="Times New Roman" w:hAnsi="Times New Roman" w:cs="Times New Roman"/>
        </w:rPr>
        <w:t>El signor ha facto cantare la sua corona sabato passato a madona de corte e mentre che li cantori la cantarono al organo, sua signoria stete in mezo cum epsi in pedi nanti lezilo. Et cussì intendo che ogni sabato se haverà a cantare a quella madona. Credo che vostra signoria l’habi perché la excellentia sua ne mandete parechie a questi dì a madona mia; si no, piacendola de animo adiusto ce ne conetterò una, perché sono facte a stampa.</w:t>
      </w:r>
      <w:r w:rsidRPr="00096909">
        <w:rPr>
          <w:rStyle w:val="Rimandonotaapidipagina"/>
          <w:rFonts w:ascii="Times New Roman" w:hAnsi="Times New Roman" w:cs="Times New Roman"/>
          <w:sz w:val="24"/>
          <w:szCs w:val="24"/>
        </w:rPr>
        <w:footnoteReference w:id="197"/>
      </w:r>
    </w:p>
    <w:p w14:paraId="56E53BB3" w14:textId="77777777" w:rsidR="00D20E25" w:rsidRPr="00096909" w:rsidRDefault="00D20E25" w:rsidP="00D20E25">
      <w:pPr>
        <w:pStyle w:val="Testonotaapidipagina"/>
        <w:spacing w:line="360" w:lineRule="auto"/>
        <w:ind w:left="567" w:right="566" w:firstLine="454"/>
        <w:jc w:val="both"/>
        <w:rPr>
          <w:rFonts w:ascii="Times New Roman" w:hAnsi="Times New Roman" w:cs="Times New Roman"/>
        </w:rPr>
      </w:pPr>
    </w:p>
    <w:p w14:paraId="33302EF9"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L’estensore della missiva, oltre a segnalare la partecipazione del duca alla cerimonia, indica quanto Ercole volesse incentivare questa pratica devozionale e come egli inviasse i libretti di preghiera «a stampa» ai suoi famigliari e ai nobili della sua cerchia co</w:t>
      </w:r>
      <w:r w:rsidR="00EF7996">
        <w:rPr>
          <w:rFonts w:ascii="Times New Roman" w:hAnsi="Times New Roman" w:cs="Times New Roman"/>
          <w:sz w:val="24"/>
          <w:szCs w:val="24"/>
        </w:rPr>
        <w:t>sì</w:t>
      </w:r>
      <w:r w:rsidRPr="00096909">
        <w:rPr>
          <w:rFonts w:ascii="Times New Roman" w:hAnsi="Times New Roman" w:cs="Times New Roman"/>
          <w:sz w:val="24"/>
          <w:szCs w:val="24"/>
        </w:rPr>
        <w:t xml:space="preserve"> d</w:t>
      </w:r>
      <w:r w:rsidR="00EF7996">
        <w:rPr>
          <w:rFonts w:ascii="Times New Roman" w:hAnsi="Times New Roman" w:cs="Times New Roman"/>
          <w:sz w:val="24"/>
          <w:szCs w:val="24"/>
        </w:rPr>
        <w:t>a</w:t>
      </w:r>
      <w:r w:rsidRPr="00096909">
        <w:rPr>
          <w:rFonts w:ascii="Times New Roman" w:hAnsi="Times New Roman" w:cs="Times New Roman"/>
          <w:sz w:val="24"/>
          <w:szCs w:val="24"/>
        </w:rPr>
        <w:t xml:space="preserve"> legare il </w:t>
      </w:r>
      <w:r w:rsidR="00EF7996">
        <w:rPr>
          <w:rFonts w:ascii="Times New Roman" w:hAnsi="Times New Roman" w:cs="Times New Roman"/>
          <w:sz w:val="24"/>
          <w:szCs w:val="24"/>
        </w:rPr>
        <w:t>proprio</w:t>
      </w:r>
      <w:r w:rsidRPr="00096909">
        <w:rPr>
          <w:rFonts w:ascii="Times New Roman" w:hAnsi="Times New Roman" w:cs="Times New Roman"/>
          <w:sz w:val="24"/>
          <w:szCs w:val="24"/>
        </w:rPr>
        <w:t xml:space="preserve"> nome e la </w:t>
      </w:r>
      <w:r w:rsidR="00EF7996">
        <w:rPr>
          <w:rFonts w:ascii="Times New Roman" w:hAnsi="Times New Roman" w:cs="Times New Roman"/>
          <w:sz w:val="24"/>
          <w:szCs w:val="24"/>
        </w:rPr>
        <w:t>propri</w:t>
      </w:r>
      <w:r w:rsidRPr="00096909">
        <w:rPr>
          <w:rFonts w:ascii="Times New Roman" w:hAnsi="Times New Roman" w:cs="Times New Roman"/>
          <w:sz w:val="24"/>
          <w:szCs w:val="24"/>
        </w:rPr>
        <w:t>a memoria a quelli della Vergine della corte. L’opuscolo, corredato dalle belle xilografie di scuola ferrarese, credo potesse documentare il clima religioso estense e rievocare la bellezza delle funzioni sacre</w:t>
      </w:r>
      <w:r w:rsidR="00EF7996">
        <w:rPr>
          <w:rFonts w:ascii="Times New Roman" w:hAnsi="Times New Roman" w:cs="Times New Roman"/>
          <w:sz w:val="24"/>
          <w:szCs w:val="24"/>
        </w:rPr>
        <w:t xml:space="preserve"> della cappella ducale</w:t>
      </w:r>
      <w:r w:rsidRPr="00096909">
        <w:rPr>
          <w:rFonts w:ascii="Times New Roman" w:hAnsi="Times New Roman" w:cs="Times New Roman"/>
          <w:sz w:val="24"/>
          <w:szCs w:val="24"/>
        </w:rPr>
        <w:t xml:space="preserve">. La sua impressione, inoltre, dimostra come a Ferrara fosse oramai chiaro in quale modo l’arte della stampa potesse essere impiegata per produrre libretti utili alla cerimonialità della corte.  </w:t>
      </w:r>
    </w:p>
    <w:p w14:paraId="5A86E457"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Sulle rive del Mincio la tipografia giunse invece per iniziativa di un discendente di una famiglia di discreta nobiltà locale: </w:t>
      </w:r>
      <w:bookmarkStart w:id="140" w:name="_Hlk535846385"/>
      <w:r w:rsidRPr="00096909">
        <w:rPr>
          <w:rFonts w:ascii="Times New Roman" w:hAnsi="Times New Roman" w:cs="Times New Roman"/>
          <w:sz w:val="24"/>
          <w:szCs w:val="24"/>
        </w:rPr>
        <w:t>Pietro Adamo de Micheli</w:t>
      </w:r>
      <w:bookmarkEnd w:id="140"/>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198"/>
      </w:r>
      <w:r w:rsidRPr="00096909">
        <w:rPr>
          <w:rFonts w:ascii="Times New Roman" w:hAnsi="Times New Roman" w:cs="Times New Roman"/>
          <w:sz w:val="24"/>
          <w:szCs w:val="24"/>
        </w:rPr>
        <w:t xml:space="preserve"> Studente di legge a Ferrara, egli vi aveva arruolato due stampatori tedeschi, </w:t>
      </w:r>
      <w:bookmarkStart w:id="144" w:name="_Hlk535846428"/>
      <w:bookmarkStart w:id="145" w:name="_Hlk504379863"/>
      <w:r w:rsidRPr="00096909">
        <w:rPr>
          <w:rFonts w:ascii="Times New Roman" w:hAnsi="Times New Roman" w:cs="Times New Roman"/>
          <w:sz w:val="24"/>
          <w:szCs w:val="24"/>
        </w:rPr>
        <w:t xml:space="preserve">Paul Butzbach </w:t>
      </w:r>
      <w:bookmarkEnd w:id="144"/>
      <w:r w:rsidRPr="00096909">
        <w:rPr>
          <w:rFonts w:ascii="Times New Roman" w:hAnsi="Times New Roman" w:cs="Times New Roman"/>
          <w:sz w:val="24"/>
          <w:szCs w:val="24"/>
        </w:rPr>
        <w:t xml:space="preserve">e </w:t>
      </w:r>
      <w:bookmarkStart w:id="146" w:name="_Hlk535846502"/>
      <w:r w:rsidRPr="00096909">
        <w:rPr>
          <w:rFonts w:ascii="Times New Roman" w:hAnsi="Times New Roman" w:cs="Times New Roman"/>
          <w:sz w:val="24"/>
          <w:szCs w:val="24"/>
        </w:rPr>
        <w:t>Georg d’Augusta</w:t>
      </w:r>
      <w:bookmarkEnd w:id="145"/>
      <w:bookmarkEnd w:id="146"/>
      <w:r w:rsidRPr="00096909">
        <w:rPr>
          <w:rFonts w:ascii="Times New Roman" w:hAnsi="Times New Roman" w:cs="Times New Roman"/>
          <w:sz w:val="24"/>
          <w:szCs w:val="24"/>
        </w:rPr>
        <w:t xml:space="preserve">, in precedenza operanti a Verona, e il 25 novembre 1471 scriveva a Ludovico Gonzaga per illustrare </w:t>
      </w:r>
      <w:r>
        <w:rPr>
          <w:rFonts w:ascii="Times New Roman" w:hAnsi="Times New Roman" w:cs="Times New Roman"/>
          <w:sz w:val="24"/>
          <w:szCs w:val="24"/>
        </w:rPr>
        <w:t xml:space="preserve">un incipiente </w:t>
      </w:r>
      <w:r w:rsidRPr="00096909">
        <w:rPr>
          <w:rFonts w:ascii="Times New Roman" w:hAnsi="Times New Roman" w:cs="Times New Roman"/>
          <w:sz w:val="24"/>
          <w:szCs w:val="24"/>
        </w:rPr>
        <w:t xml:space="preserve">piano editoriale: gli artigiani, da lui invitati per un anno a Mantova, vi avrebbero iniziato la settimana seguente a pubblicare opere di diritto. Poiché però sarebbe stato opportuno attirare prima l’attenzione del pubblico cittadino dei lettori sui </w:t>
      </w:r>
      <w:r>
        <w:rPr>
          <w:rFonts w:ascii="Times New Roman" w:hAnsi="Times New Roman" w:cs="Times New Roman"/>
          <w:sz w:val="24"/>
          <w:szCs w:val="24"/>
        </w:rPr>
        <w:t xml:space="preserve">loro </w:t>
      </w:r>
      <w:r w:rsidRPr="00096909">
        <w:rPr>
          <w:rFonts w:ascii="Times New Roman" w:hAnsi="Times New Roman" w:cs="Times New Roman"/>
          <w:sz w:val="24"/>
          <w:szCs w:val="24"/>
        </w:rPr>
        <w:t xml:space="preserve">incunaboli, il de Micheli chiedeva al marchese il prestito del </w:t>
      </w:r>
      <w:r w:rsidRPr="00096909">
        <w:rPr>
          <w:rFonts w:ascii="Times New Roman" w:hAnsi="Times New Roman" w:cs="Times New Roman"/>
          <w:i/>
          <w:sz w:val="24"/>
          <w:szCs w:val="24"/>
        </w:rPr>
        <w:t>Decamerone</w:t>
      </w:r>
      <w:r w:rsidRPr="00096909">
        <w:rPr>
          <w:rFonts w:ascii="Times New Roman" w:hAnsi="Times New Roman" w:cs="Times New Roman"/>
          <w:sz w:val="24"/>
          <w:szCs w:val="24"/>
        </w:rPr>
        <w:t xml:space="preserve"> della biblioteca di corte per pubblicare l’opera. L’anno seguente l’editore sottoscrisse l’incunabolo del </w:t>
      </w:r>
      <w:r w:rsidRPr="00096909">
        <w:rPr>
          <w:rFonts w:ascii="Times New Roman" w:hAnsi="Times New Roman" w:cs="Times New Roman"/>
          <w:i/>
          <w:sz w:val="24"/>
          <w:szCs w:val="24"/>
        </w:rPr>
        <w:t>Tractatus maleficiorum</w:t>
      </w:r>
      <w:r w:rsidRPr="00096909">
        <w:rPr>
          <w:rFonts w:ascii="Times New Roman" w:hAnsi="Times New Roman" w:cs="Times New Roman"/>
          <w:sz w:val="24"/>
          <w:szCs w:val="24"/>
        </w:rPr>
        <w:t xml:space="preserve"> di </w:t>
      </w:r>
      <w:bookmarkStart w:id="147" w:name="_Hlk535846626"/>
      <w:r w:rsidRPr="00096909">
        <w:rPr>
          <w:rFonts w:ascii="Times New Roman" w:hAnsi="Times New Roman" w:cs="Times New Roman"/>
          <w:sz w:val="24"/>
          <w:szCs w:val="24"/>
        </w:rPr>
        <w:t>Ambrogio Gambiglioni</w:t>
      </w:r>
      <w:bookmarkEnd w:id="147"/>
      <w:r w:rsidRPr="00096909">
        <w:rPr>
          <w:rFonts w:ascii="Times New Roman" w:hAnsi="Times New Roman" w:cs="Times New Roman"/>
          <w:sz w:val="24"/>
          <w:szCs w:val="24"/>
        </w:rPr>
        <w:t>, seguito poco dopo dalla stampa delle novelle di Boccaccio; mentre nel 1473 pubblicò, sempre con i due tipografi tedeschi, l’</w:t>
      </w:r>
      <w:r w:rsidRPr="00096909">
        <w:rPr>
          <w:rFonts w:ascii="Times New Roman" w:hAnsi="Times New Roman" w:cs="Times New Roman"/>
          <w:i/>
          <w:sz w:val="24"/>
          <w:szCs w:val="24"/>
        </w:rPr>
        <w:t>editio princeps</w:t>
      </w:r>
      <w:r w:rsidRPr="00096909">
        <w:rPr>
          <w:rFonts w:ascii="Times New Roman" w:hAnsi="Times New Roman" w:cs="Times New Roman"/>
          <w:sz w:val="24"/>
          <w:szCs w:val="24"/>
        </w:rPr>
        <w:t xml:space="preserve"> della </w:t>
      </w:r>
      <w:r w:rsidRPr="00096909">
        <w:rPr>
          <w:rFonts w:ascii="Times New Roman" w:hAnsi="Times New Roman" w:cs="Times New Roman"/>
          <w:i/>
          <w:sz w:val="24"/>
          <w:szCs w:val="24"/>
        </w:rPr>
        <w:t>Roma Triumphans</w:t>
      </w:r>
      <w:r w:rsidRPr="00096909">
        <w:rPr>
          <w:rFonts w:ascii="Times New Roman" w:hAnsi="Times New Roman" w:cs="Times New Roman"/>
          <w:sz w:val="24"/>
          <w:szCs w:val="24"/>
        </w:rPr>
        <w:t xml:space="preserve"> di Flavio Biondo, ricorrendo presumibilmente al manoscritto dell’opera che l’autore aveva donato nel 1461 al marchese di Mantova.</w:t>
      </w:r>
      <w:r w:rsidRPr="00096909">
        <w:rPr>
          <w:rStyle w:val="Rimandonotaapidipagina"/>
          <w:rFonts w:ascii="Times New Roman" w:hAnsi="Times New Roman" w:cs="Times New Roman"/>
          <w:sz w:val="24"/>
          <w:szCs w:val="24"/>
        </w:rPr>
        <w:footnoteReference w:id="199"/>
      </w:r>
      <w:r w:rsidRPr="00096909">
        <w:rPr>
          <w:rFonts w:ascii="Times New Roman" w:hAnsi="Times New Roman" w:cs="Times New Roman"/>
          <w:sz w:val="24"/>
          <w:szCs w:val="24"/>
        </w:rPr>
        <w:t xml:space="preserve"> La confidenza di de Micheli con Ludovico dovette dunque essere assodata, tanto che </w:t>
      </w:r>
      <w:r>
        <w:rPr>
          <w:rFonts w:ascii="Times New Roman" w:hAnsi="Times New Roman" w:cs="Times New Roman"/>
          <w:sz w:val="24"/>
          <w:szCs w:val="24"/>
        </w:rPr>
        <w:t>l’editore</w:t>
      </w:r>
      <w:r w:rsidRPr="00096909">
        <w:rPr>
          <w:rFonts w:ascii="Times New Roman" w:hAnsi="Times New Roman" w:cs="Times New Roman"/>
          <w:sz w:val="24"/>
          <w:szCs w:val="24"/>
        </w:rPr>
        <w:t xml:space="preserve"> si rivol</w:t>
      </w:r>
      <w:r>
        <w:rPr>
          <w:rFonts w:ascii="Times New Roman" w:hAnsi="Times New Roman" w:cs="Times New Roman"/>
          <w:sz w:val="24"/>
          <w:szCs w:val="24"/>
        </w:rPr>
        <w:t>se</w:t>
      </w:r>
      <w:r w:rsidRPr="00096909">
        <w:rPr>
          <w:rFonts w:ascii="Times New Roman" w:hAnsi="Times New Roman" w:cs="Times New Roman"/>
          <w:sz w:val="24"/>
          <w:szCs w:val="24"/>
        </w:rPr>
        <w:t xml:space="preserve"> ancora il 17 febbraio 1473</w:t>
      </w:r>
      <w:r>
        <w:rPr>
          <w:rFonts w:ascii="Times New Roman" w:hAnsi="Times New Roman" w:cs="Times New Roman"/>
          <w:sz w:val="24"/>
          <w:szCs w:val="24"/>
        </w:rPr>
        <w:t xml:space="preserve"> al marchese</w:t>
      </w:r>
      <w:r w:rsidRPr="00096909">
        <w:rPr>
          <w:rFonts w:ascii="Times New Roman" w:hAnsi="Times New Roman" w:cs="Times New Roman"/>
          <w:sz w:val="24"/>
          <w:szCs w:val="24"/>
        </w:rPr>
        <w:t xml:space="preserve"> domandando un prestito di sessanta ducati per sanare i debiti della sua stamperia. </w:t>
      </w:r>
    </w:p>
    <w:p w14:paraId="03F2CE4D"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Non è noto se il Gonzaga a</w:t>
      </w:r>
      <w:r>
        <w:rPr>
          <w:rFonts w:ascii="Times New Roman" w:hAnsi="Times New Roman" w:cs="Times New Roman"/>
          <w:sz w:val="24"/>
          <w:szCs w:val="24"/>
        </w:rPr>
        <w:t>vesse</w:t>
      </w:r>
      <w:r w:rsidRPr="00096909">
        <w:rPr>
          <w:rFonts w:ascii="Times New Roman" w:hAnsi="Times New Roman" w:cs="Times New Roman"/>
          <w:sz w:val="24"/>
          <w:szCs w:val="24"/>
        </w:rPr>
        <w:t xml:space="preserve"> acconsentito alla richiesta, ma siamo informati del fatto che anche un altro personaggio legato alla famiglia regnante operò negli anni 1475-1479 nel campo dell’editoria: il medico di corte </w:t>
      </w:r>
      <w:r>
        <w:rPr>
          <w:rFonts w:ascii="Times New Roman" w:hAnsi="Times New Roman" w:cs="Times New Roman"/>
          <w:sz w:val="24"/>
          <w:szCs w:val="24"/>
        </w:rPr>
        <w:t>tedesco</w:t>
      </w:r>
      <w:r w:rsidRPr="00096909">
        <w:rPr>
          <w:rFonts w:ascii="Times New Roman" w:hAnsi="Times New Roman" w:cs="Times New Roman"/>
          <w:sz w:val="24"/>
          <w:szCs w:val="24"/>
        </w:rPr>
        <w:t xml:space="preserve"> </w:t>
      </w:r>
      <w:bookmarkStart w:id="149" w:name="_Hlk535846923"/>
      <w:r w:rsidRPr="00096909">
        <w:rPr>
          <w:rFonts w:ascii="Times New Roman" w:hAnsi="Times New Roman" w:cs="Times New Roman"/>
          <w:sz w:val="24"/>
          <w:szCs w:val="24"/>
        </w:rPr>
        <w:t>Johann Schall</w:t>
      </w:r>
      <w:bookmarkEnd w:id="149"/>
      <w:r w:rsidRPr="00096909">
        <w:rPr>
          <w:rFonts w:ascii="Times New Roman" w:hAnsi="Times New Roman" w:cs="Times New Roman"/>
          <w:sz w:val="24"/>
          <w:szCs w:val="24"/>
        </w:rPr>
        <w:t xml:space="preserve">, sottoscrittore di quattro incunaboli mantovani. Egli condivise con il marchese Federico la passione per l’alchimia, e lo tenne informato delle ricerche che in tale arte conduceva nella sua dimora nei pressi della chiesa di Sant’Alessandro, poco distante dal castello, dove pare fossero attivi anche i suoi torchi, come si evince dal colophon della </w:t>
      </w:r>
      <w:r>
        <w:rPr>
          <w:rFonts w:ascii="Times New Roman" w:hAnsi="Times New Roman" w:cs="Times New Roman"/>
          <w:sz w:val="24"/>
          <w:szCs w:val="24"/>
        </w:rPr>
        <w:t xml:space="preserve">sua </w:t>
      </w:r>
      <w:r w:rsidRPr="00096909">
        <w:rPr>
          <w:rFonts w:ascii="Times New Roman" w:hAnsi="Times New Roman" w:cs="Times New Roman"/>
          <w:i/>
          <w:sz w:val="24"/>
          <w:szCs w:val="24"/>
        </w:rPr>
        <w:t>Historia ecclesiastica</w:t>
      </w:r>
      <w:r w:rsidRPr="00096909">
        <w:rPr>
          <w:rFonts w:ascii="Times New Roman" w:hAnsi="Times New Roman" w:cs="Times New Roman"/>
          <w:sz w:val="24"/>
          <w:szCs w:val="24"/>
        </w:rPr>
        <w:t xml:space="preserve"> di </w:t>
      </w:r>
      <w:bookmarkStart w:id="150" w:name="_Hlk535846988"/>
      <w:r w:rsidRPr="00096909">
        <w:rPr>
          <w:rFonts w:ascii="Times New Roman" w:hAnsi="Times New Roman" w:cs="Times New Roman"/>
          <w:sz w:val="24"/>
          <w:szCs w:val="24"/>
        </w:rPr>
        <w:t>Eusebio di Cesarea</w:t>
      </w:r>
      <w:bookmarkEnd w:id="150"/>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200"/>
      </w:r>
      <w:r w:rsidRPr="00096909">
        <w:rPr>
          <w:rFonts w:ascii="Times New Roman" w:hAnsi="Times New Roman" w:cs="Times New Roman"/>
          <w:sz w:val="24"/>
          <w:szCs w:val="24"/>
        </w:rPr>
        <w:t xml:space="preserve"> </w:t>
      </w:r>
      <w:r>
        <w:rPr>
          <w:rFonts w:ascii="Times New Roman" w:hAnsi="Times New Roman" w:cs="Times New Roman"/>
          <w:sz w:val="24"/>
          <w:szCs w:val="24"/>
        </w:rPr>
        <w:t>M</w:t>
      </w:r>
      <w:r w:rsidRPr="00096909">
        <w:rPr>
          <w:rFonts w:ascii="Times New Roman" w:hAnsi="Times New Roman" w:cs="Times New Roman"/>
          <w:sz w:val="24"/>
          <w:szCs w:val="24"/>
        </w:rPr>
        <w:t xml:space="preserve">i </w:t>
      </w:r>
      <w:r>
        <w:rPr>
          <w:rFonts w:ascii="Times New Roman" w:hAnsi="Times New Roman" w:cs="Times New Roman"/>
          <w:sz w:val="24"/>
          <w:szCs w:val="24"/>
        </w:rPr>
        <w:t>pare interessante</w:t>
      </w:r>
      <w:r w:rsidRPr="00096909">
        <w:rPr>
          <w:rFonts w:ascii="Times New Roman" w:hAnsi="Times New Roman" w:cs="Times New Roman"/>
          <w:sz w:val="24"/>
          <w:szCs w:val="24"/>
        </w:rPr>
        <w:t xml:space="preserve"> osservare la familiarità di questo stampatore con i Gonzaga e </w:t>
      </w:r>
      <w:r>
        <w:rPr>
          <w:rFonts w:ascii="Times New Roman" w:hAnsi="Times New Roman" w:cs="Times New Roman"/>
          <w:sz w:val="24"/>
          <w:szCs w:val="24"/>
        </w:rPr>
        <w:t>come</w:t>
      </w:r>
      <w:r w:rsidRPr="00096909">
        <w:rPr>
          <w:rFonts w:ascii="Times New Roman" w:hAnsi="Times New Roman" w:cs="Times New Roman"/>
          <w:sz w:val="24"/>
          <w:szCs w:val="24"/>
        </w:rPr>
        <w:t xml:space="preserve"> egli affiancasse a una sperimentale attività d’editore, fonte di ulteriori possibili guadagni, quella ben più solida di medico delle marchese Barbara e Margherita.  </w:t>
      </w:r>
    </w:p>
    <w:p w14:paraId="14E11AA5"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Allo stesso modo è noto lo svolgimento di una seconda professione anche per Paul Butzbach, che dopo l’interruzione dei rapporti con de Micheli continuò autonomamente la sua attività di stampatore a Mantova almeno fino al 29 aprile 1481, data del colophon del suo ultimo volume impresso, i </w:t>
      </w:r>
      <w:r w:rsidRPr="00096909">
        <w:rPr>
          <w:rFonts w:ascii="Times New Roman" w:hAnsi="Times New Roman" w:cs="Times New Roman"/>
          <w:i/>
          <w:sz w:val="24"/>
          <w:szCs w:val="24"/>
        </w:rPr>
        <w:t>Moralia super totam Bibliam</w:t>
      </w:r>
      <w:r w:rsidRPr="00096909">
        <w:rPr>
          <w:rFonts w:ascii="Times New Roman" w:hAnsi="Times New Roman" w:cs="Times New Roman"/>
          <w:sz w:val="24"/>
          <w:szCs w:val="24"/>
        </w:rPr>
        <w:t xml:space="preserve"> di Niccolò d</w:t>
      </w:r>
      <w:r w:rsidR="009C35A7">
        <w:rPr>
          <w:rFonts w:ascii="Times New Roman" w:hAnsi="Times New Roman" w:cs="Times New Roman"/>
          <w:sz w:val="24"/>
          <w:szCs w:val="24"/>
        </w:rPr>
        <w:t>e</w:t>
      </w:r>
      <w:r w:rsidRPr="00096909">
        <w:rPr>
          <w:rFonts w:ascii="Times New Roman" w:hAnsi="Times New Roman" w:cs="Times New Roman"/>
          <w:sz w:val="24"/>
          <w:szCs w:val="24"/>
        </w:rPr>
        <w:t xml:space="preserve"> Lira. Nel testamento, sottoscritto il 17 settembre 1495, Paul è</w:t>
      </w:r>
      <w:r>
        <w:rPr>
          <w:rFonts w:ascii="Times New Roman" w:hAnsi="Times New Roman" w:cs="Times New Roman"/>
          <w:sz w:val="24"/>
          <w:szCs w:val="24"/>
        </w:rPr>
        <w:t xml:space="preserve"> però</w:t>
      </w:r>
      <w:r w:rsidRPr="00096909">
        <w:rPr>
          <w:rFonts w:ascii="Times New Roman" w:hAnsi="Times New Roman" w:cs="Times New Roman"/>
          <w:sz w:val="24"/>
          <w:szCs w:val="24"/>
        </w:rPr>
        <w:t xml:space="preserve"> menzionato esclusivamente come organista, senza alcun riferimento alle sue attività legate ai libri o alla disponibilità di beni necessari per stampare, ricordati invece nei lasciti di altri tipografi coevi.</w:t>
      </w:r>
      <w:r w:rsidRPr="00096909">
        <w:rPr>
          <w:rStyle w:val="Rimandonotaapidipagina"/>
          <w:rFonts w:ascii="Times New Roman" w:hAnsi="Times New Roman" w:cs="Times New Roman"/>
          <w:sz w:val="24"/>
          <w:szCs w:val="24"/>
        </w:rPr>
        <w:footnoteReference w:id="201"/>
      </w:r>
    </w:p>
    <w:p w14:paraId="1AC7E809"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Sotto il regno di Ferrante d’Aragona anche Napoli accolse l’invenzione della stampa, qui importata da Sisto Riessinger tra il 1470 e il 1471, il quale aveva lasciato Roma scorgendo già avvedutamente il rischio di una saturazione del mercato librario. Nella città partenopea egli fu all’opera fino al 1478, producendo ben 54 edizioni, in larga prevalenza titoli di diritto che, come si è visto, erano reputati di più facile smercio.</w:t>
      </w:r>
      <w:r w:rsidRPr="00096909">
        <w:rPr>
          <w:rStyle w:val="Rimandonotaapidipagina"/>
          <w:rFonts w:ascii="Times New Roman" w:hAnsi="Times New Roman" w:cs="Times New Roman"/>
          <w:sz w:val="24"/>
          <w:szCs w:val="24"/>
        </w:rPr>
        <w:footnoteReference w:id="202"/>
      </w:r>
      <w:r w:rsidRPr="00096909">
        <w:rPr>
          <w:rFonts w:ascii="Times New Roman" w:hAnsi="Times New Roman" w:cs="Times New Roman"/>
          <w:sz w:val="24"/>
          <w:szCs w:val="24"/>
        </w:rPr>
        <w:t xml:space="preserve"> Sul finire del 1473, Riessinger trovò in Francesco del Tuppo, studente di diritto dello Studio cittadino riaperto nel 1465, l’uomo adatto a facilitare le sue scelte editoriali e a mediare con la corte, ove era impiegato nel ruolo di «scrivano delle jostre» dal 1469 e presso la quale avrebbe svolto più elevati incarichi negli anni successivi.</w:t>
      </w:r>
      <w:r w:rsidRPr="00096909">
        <w:rPr>
          <w:rStyle w:val="Rimandonotaapidipagina"/>
          <w:rFonts w:ascii="Times New Roman" w:hAnsi="Times New Roman" w:cs="Times New Roman"/>
          <w:sz w:val="24"/>
          <w:szCs w:val="24"/>
        </w:rPr>
        <w:footnoteReference w:id="203"/>
      </w:r>
      <w:r w:rsidRPr="00096909">
        <w:rPr>
          <w:rFonts w:ascii="Times New Roman" w:hAnsi="Times New Roman" w:cs="Times New Roman"/>
          <w:sz w:val="24"/>
          <w:szCs w:val="24"/>
        </w:rPr>
        <w:t xml:space="preserve"> Fu lui a </w:t>
      </w:r>
      <w:r w:rsidRPr="00096909">
        <w:rPr>
          <w:rFonts w:ascii="Times New Roman" w:hAnsi="Times New Roman" w:cs="Times New Roman"/>
          <w:sz w:val="24"/>
          <w:szCs w:val="24"/>
        </w:rPr>
        <w:lastRenderedPageBreak/>
        <w:t xml:space="preserve">suggerire al tipografo l’impressione dei </w:t>
      </w:r>
      <w:r w:rsidRPr="00096909">
        <w:rPr>
          <w:rFonts w:ascii="Times New Roman" w:hAnsi="Times New Roman" w:cs="Times New Roman"/>
          <w:i/>
          <w:sz w:val="24"/>
          <w:szCs w:val="24"/>
        </w:rPr>
        <w:t>Reportata</w:t>
      </w:r>
      <w:r w:rsidRPr="00096909">
        <w:rPr>
          <w:rFonts w:ascii="Times New Roman" w:hAnsi="Times New Roman" w:cs="Times New Roman"/>
          <w:sz w:val="24"/>
          <w:szCs w:val="24"/>
        </w:rPr>
        <w:t xml:space="preserve"> del professore </w:t>
      </w:r>
      <w:bookmarkStart w:id="154" w:name="_Hlk535847153"/>
      <w:r w:rsidRPr="00096909">
        <w:rPr>
          <w:rFonts w:ascii="Times New Roman" w:hAnsi="Times New Roman" w:cs="Times New Roman"/>
          <w:sz w:val="24"/>
          <w:szCs w:val="24"/>
        </w:rPr>
        <w:t>Antonio d’Alessandro</w:t>
      </w:r>
      <w:bookmarkEnd w:id="154"/>
      <w:r w:rsidRPr="00096909">
        <w:rPr>
          <w:rFonts w:ascii="Times New Roman" w:hAnsi="Times New Roman" w:cs="Times New Roman"/>
          <w:sz w:val="24"/>
          <w:szCs w:val="24"/>
        </w:rPr>
        <w:t xml:space="preserve">, che inaugurò la serie di stampe di cui del Tuppo fu revisore, editore e spesso finanziatore, conclusasi l’8 marzo del 1478 con l’edizione del </w:t>
      </w:r>
      <w:r w:rsidRPr="00096909">
        <w:rPr>
          <w:rFonts w:ascii="Times New Roman" w:hAnsi="Times New Roman" w:cs="Times New Roman"/>
          <w:i/>
          <w:sz w:val="24"/>
          <w:szCs w:val="24"/>
        </w:rPr>
        <w:t>Filocolo</w:t>
      </w:r>
      <w:r w:rsidRPr="00096909">
        <w:rPr>
          <w:rFonts w:ascii="Times New Roman" w:hAnsi="Times New Roman" w:cs="Times New Roman"/>
          <w:sz w:val="24"/>
          <w:szCs w:val="24"/>
        </w:rPr>
        <w:t xml:space="preserve"> di Boccaccio.</w:t>
      </w:r>
      <w:r w:rsidRPr="00096909">
        <w:rPr>
          <w:rStyle w:val="Rimandonotaapidipagina"/>
          <w:rFonts w:ascii="Times New Roman" w:hAnsi="Times New Roman" w:cs="Times New Roman"/>
          <w:sz w:val="24"/>
          <w:szCs w:val="24"/>
        </w:rPr>
        <w:footnoteReference w:id="204"/>
      </w:r>
    </w:p>
    <w:p w14:paraId="021D6EAD"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 partire da quell’anno del Tuppo intraprese in autonomia la professione di stampatore, servendosi periodicamente di finanziatori per alcune pubblicazioni, come i sette titoli impressi con </w:t>
      </w:r>
      <w:bookmarkStart w:id="156" w:name="_Hlk535847248"/>
      <w:r w:rsidRPr="00096909">
        <w:rPr>
          <w:rFonts w:ascii="Times New Roman" w:hAnsi="Times New Roman" w:cs="Times New Roman"/>
          <w:sz w:val="24"/>
          <w:szCs w:val="24"/>
        </w:rPr>
        <w:t>Bernardino Gheraldini</w:t>
      </w:r>
      <w:bookmarkEnd w:id="156"/>
      <w:r w:rsidRPr="00096909">
        <w:rPr>
          <w:rFonts w:ascii="Times New Roman" w:hAnsi="Times New Roman" w:cs="Times New Roman"/>
          <w:sz w:val="24"/>
          <w:szCs w:val="24"/>
        </w:rPr>
        <w:t>, reggente della Vicaria e consigliere d</w:t>
      </w:r>
      <w:r>
        <w:rPr>
          <w:rFonts w:ascii="Times New Roman" w:hAnsi="Times New Roman" w:cs="Times New Roman"/>
          <w:sz w:val="24"/>
          <w:szCs w:val="24"/>
        </w:rPr>
        <w:t>el re</w:t>
      </w:r>
      <w:r w:rsidRPr="00096909">
        <w:rPr>
          <w:rFonts w:ascii="Times New Roman" w:hAnsi="Times New Roman" w:cs="Times New Roman"/>
          <w:sz w:val="24"/>
          <w:szCs w:val="24"/>
        </w:rPr>
        <w:t>. La sua produzione editoriale, prossima dunque agli ambienti regi, si distinse a Napoli per l’elevato numero di letture in volgare, in perfetta conformità all’apertura di Ferrante nei riguardi della letteratura contemporanea dopo gli anni di predilezione per i classici d</w:t>
      </w:r>
      <w:r>
        <w:rPr>
          <w:rFonts w:ascii="Times New Roman" w:hAnsi="Times New Roman" w:cs="Times New Roman"/>
          <w:sz w:val="24"/>
          <w:szCs w:val="24"/>
        </w:rPr>
        <w:t>urante il</w:t>
      </w:r>
      <w:r w:rsidRPr="00096909">
        <w:rPr>
          <w:rFonts w:ascii="Times New Roman" w:hAnsi="Times New Roman" w:cs="Times New Roman"/>
          <w:sz w:val="24"/>
          <w:szCs w:val="24"/>
        </w:rPr>
        <w:t xml:space="preserve"> regno di suo padre.</w:t>
      </w:r>
      <w:r w:rsidRPr="00096909">
        <w:rPr>
          <w:rStyle w:val="Rimandonotaapidipagina"/>
          <w:rFonts w:ascii="Times New Roman" w:hAnsi="Times New Roman" w:cs="Times New Roman"/>
          <w:sz w:val="24"/>
          <w:szCs w:val="24"/>
        </w:rPr>
        <w:footnoteReference w:id="205"/>
      </w:r>
      <w:r w:rsidRPr="00096909">
        <w:rPr>
          <w:rFonts w:ascii="Times New Roman" w:hAnsi="Times New Roman" w:cs="Times New Roman"/>
          <w:sz w:val="24"/>
          <w:szCs w:val="24"/>
        </w:rPr>
        <w:t xml:space="preserve"> </w:t>
      </w:r>
    </w:p>
    <w:p w14:paraId="3E2B8850"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 rafforzare maggiormente i rapporti tra del Tuppo e il </w:t>
      </w:r>
      <w:r>
        <w:rPr>
          <w:rFonts w:ascii="Times New Roman" w:hAnsi="Times New Roman" w:cs="Times New Roman"/>
          <w:sz w:val="24"/>
          <w:szCs w:val="24"/>
        </w:rPr>
        <w:t xml:space="preserve">sovrano aragonese </w:t>
      </w:r>
      <w:r w:rsidRPr="00096909">
        <w:rPr>
          <w:rFonts w:ascii="Times New Roman" w:hAnsi="Times New Roman" w:cs="Times New Roman"/>
          <w:sz w:val="24"/>
          <w:szCs w:val="24"/>
        </w:rPr>
        <w:t xml:space="preserve">furono però le stampe dei </w:t>
      </w:r>
      <w:r w:rsidRPr="00096909">
        <w:rPr>
          <w:rFonts w:ascii="Times New Roman" w:hAnsi="Times New Roman" w:cs="Times New Roman"/>
          <w:i/>
          <w:sz w:val="24"/>
          <w:szCs w:val="24"/>
        </w:rPr>
        <w:t xml:space="preserve">Ritus Magnae Curiae Vicariae, </w:t>
      </w:r>
      <w:r w:rsidRPr="00096909">
        <w:rPr>
          <w:rFonts w:ascii="Times New Roman" w:hAnsi="Times New Roman" w:cs="Times New Roman"/>
          <w:sz w:val="24"/>
          <w:szCs w:val="24"/>
        </w:rPr>
        <w:t xml:space="preserve">eseguite nel 1474 e nel 1479, e dei </w:t>
      </w:r>
      <w:r w:rsidRPr="00096909">
        <w:rPr>
          <w:rFonts w:ascii="Times New Roman" w:hAnsi="Times New Roman" w:cs="Times New Roman"/>
          <w:i/>
          <w:sz w:val="24"/>
          <w:szCs w:val="24"/>
        </w:rPr>
        <w:t>Capitula, leges e</w:t>
      </w:r>
      <w:r>
        <w:rPr>
          <w:rFonts w:ascii="Times New Roman" w:hAnsi="Times New Roman" w:cs="Times New Roman"/>
          <w:i/>
          <w:sz w:val="24"/>
          <w:szCs w:val="24"/>
        </w:rPr>
        <w:t>t</w:t>
      </w:r>
      <w:r w:rsidRPr="00096909">
        <w:rPr>
          <w:rFonts w:ascii="Times New Roman" w:hAnsi="Times New Roman" w:cs="Times New Roman"/>
          <w:i/>
          <w:sz w:val="24"/>
          <w:szCs w:val="24"/>
        </w:rPr>
        <w:t xml:space="preserve"> Costitutiones Regni Neapolitani,</w:t>
      </w:r>
      <w:r w:rsidRPr="00096909">
        <w:rPr>
          <w:rFonts w:ascii="Times New Roman" w:hAnsi="Times New Roman" w:cs="Times New Roman"/>
          <w:sz w:val="24"/>
          <w:szCs w:val="24"/>
        </w:rPr>
        <w:t xml:space="preserve"> apparsi tra il 1485 e il 1492. A queste si aggiunse, una volta sedata la congiura dei baroni, la pubblicazione degli atti dei processi celebrati contro i ribelli, che fu finanziata da Ferrante secondo una modalità simile a quella vista per l’</w:t>
      </w:r>
      <w:r w:rsidRPr="00096909">
        <w:rPr>
          <w:rFonts w:ascii="Times New Roman" w:hAnsi="Times New Roman" w:cs="Times New Roman"/>
          <w:i/>
          <w:sz w:val="24"/>
          <w:szCs w:val="24"/>
        </w:rPr>
        <w:t>Officium</w:t>
      </w:r>
      <w:r w:rsidRPr="00096909">
        <w:rPr>
          <w:rFonts w:ascii="Times New Roman" w:hAnsi="Times New Roman" w:cs="Times New Roman"/>
          <w:sz w:val="24"/>
          <w:szCs w:val="24"/>
        </w:rPr>
        <w:t xml:space="preserve"> d’Ercole d’Este, ovvero con l’acquisto di un prestabilito quantitativo di copie dell’opera, al quale pare il re avesse accostato un contributo per le spese di stampa. Per il</w:t>
      </w:r>
      <w:r w:rsidRPr="00096909">
        <w:rPr>
          <w:rFonts w:ascii="Times New Roman" w:hAnsi="Times New Roman" w:cs="Times New Roman"/>
          <w:i/>
          <w:sz w:val="24"/>
          <w:szCs w:val="24"/>
        </w:rPr>
        <w:t xml:space="preserve"> </w:t>
      </w:r>
      <w:r w:rsidRPr="00096909">
        <w:rPr>
          <w:rStyle w:val="ample-display-content"/>
          <w:rFonts w:ascii="Times New Roman" w:hAnsi="Times New Roman" w:cs="Times New Roman"/>
          <w:i/>
          <w:sz w:val="24"/>
          <w:szCs w:val="24"/>
        </w:rPr>
        <w:t>Processo contro Antonello Petrucci segretario di Re Ferdinando, Francesco Petrucci conte di Carinola, Giovanni Antonio Petrucci conte di Policastro, Francesco Coppola conte di Sarno, congiurati contro Ferdinando d'Aragona Re di Sicilia</w:t>
      </w:r>
      <w:r w:rsidRPr="00096909">
        <w:rPr>
          <w:rFonts w:ascii="Times New Roman" w:hAnsi="Times New Roman" w:cs="Times New Roman"/>
          <w:sz w:val="24"/>
          <w:szCs w:val="24"/>
        </w:rPr>
        <w:t>, datato al colophon 14 luglio 1487, del Tuppo ricevette 120 ducati, di cui 83 per le spese di stampa e 37 per le duecento copie consegnate alla corte.</w:t>
      </w:r>
      <w:r w:rsidRPr="00096909">
        <w:rPr>
          <w:rStyle w:val="Rimandonotaapidipagina"/>
          <w:rFonts w:ascii="Times New Roman" w:hAnsi="Times New Roman" w:cs="Times New Roman"/>
          <w:sz w:val="24"/>
          <w:szCs w:val="24"/>
        </w:rPr>
        <w:footnoteReference w:id="206"/>
      </w:r>
      <w:r w:rsidRPr="00096909">
        <w:rPr>
          <w:rFonts w:ascii="Times New Roman" w:hAnsi="Times New Roman" w:cs="Times New Roman"/>
          <w:sz w:val="24"/>
          <w:szCs w:val="24"/>
        </w:rPr>
        <w:t xml:space="preserve"> Lo stampatore realizzò un volumetto in folio di cinquanta carte non segnate, che nelle ultime sezioni riporta anche il resoconto dell’esecuzione capitale dei fratelli Francesco e Giovanni Antonio Petrucci e di </w:t>
      </w:r>
      <w:bookmarkStart w:id="158" w:name="_Hlk535847353"/>
      <w:r w:rsidRPr="00096909">
        <w:rPr>
          <w:rFonts w:ascii="Times New Roman" w:hAnsi="Times New Roman" w:cs="Times New Roman"/>
          <w:sz w:val="24"/>
          <w:szCs w:val="24"/>
        </w:rPr>
        <w:t>Francesco Coppola</w:t>
      </w:r>
      <w:bookmarkEnd w:id="158"/>
      <w:r w:rsidRPr="00096909">
        <w:rPr>
          <w:rFonts w:ascii="Times New Roman" w:hAnsi="Times New Roman" w:cs="Times New Roman"/>
          <w:sz w:val="24"/>
          <w:szCs w:val="24"/>
        </w:rPr>
        <w:t xml:space="preserve">: </w:t>
      </w:r>
    </w:p>
    <w:p w14:paraId="27193803"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p>
    <w:p w14:paraId="0D86987F" w14:textId="77777777" w:rsidR="00D20E25" w:rsidRPr="00096909" w:rsidRDefault="00D20E25" w:rsidP="00D20E25">
      <w:pPr>
        <w:pStyle w:val="Testonotaapidipagina"/>
        <w:spacing w:line="360" w:lineRule="auto"/>
        <w:ind w:left="567" w:right="566" w:firstLine="454"/>
        <w:jc w:val="both"/>
        <w:rPr>
          <w:rFonts w:ascii="Times New Roman" w:hAnsi="Times New Roman" w:cs="Times New Roman"/>
        </w:rPr>
      </w:pPr>
      <w:r w:rsidRPr="00096909">
        <w:rPr>
          <w:rFonts w:ascii="Times New Roman" w:hAnsi="Times New Roman" w:cs="Times New Roman"/>
        </w:rPr>
        <w:t xml:space="preserve">Fo ordinata una carrecta con quattro rote bassissime radente la terra e ligato ipso Francisco de Petruciis alla carrecta alla subina e culli boi trasinandolo collo standardo della iustitia el predicto regente e ministri della iusticia. Fo portato trasinando per tucte le strate publiche della cita de Napoli e per li segi de quella e conducto allo mercato sopre uno enimente catafalco dove era una mannara e cippo conducto in presentia de multi signuri cavalieri e gentili homini e tucto lo populo. Fo dallo manigoldo </w:t>
      </w:r>
      <w:r w:rsidRPr="00096909">
        <w:rPr>
          <w:rFonts w:ascii="Times New Roman" w:hAnsi="Times New Roman" w:cs="Times New Roman"/>
        </w:rPr>
        <w:lastRenderedPageBreak/>
        <w:t>scannato e squartato e posti ad pali con crochi de ferro, li quattro quarte fora la cita alle quactre vie: l’una de casa nova, l’altra de santo Antonio, l’altra de pede grutta, l’altra dello carmino.</w:t>
      </w:r>
    </w:p>
    <w:p w14:paraId="7F94E599" w14:textId="77777777" w:rsidR="00D20E25" w:rsidRPr="00096909" w:rsidRDefault="00D20E25" w:rsidP="00D20E25">
      <w:pPr>
        <w:pStyle w:val="Testonotaapidipagina"/>
        <w:spacing w:line="360" w:lineRule="auto"/>
        <w:ind w:left="567" w:right="566" w:firstLine="454"/>
        <w:jc w:val="both"/>
        <w:rPr>
          <w:rFonts w:ascii="Times New Roman" w:hAnsi="Times New Roman" w:cs="Times New Roman"/>
        </w:rPr>
      </w:pPr>
    </w:p>
    <w:p w14:paraId="0E3917E5" w14:textId="77777777" w:rsidR="00D20E25" w:rsidRPr="00096909" w:rsidRDefault="00D20E25" w:rsidP="00D20E25">
      <w:pPr>
        <w:pStyle w:val="Testonotaapidipagina"/>
        <w:spacing w:line="360" w:lineRule="auto"/>
        <w:ind w:left="567" w:right="566" w:firstLine="454"/>
        <w:jc w:val="both"/>
        <w:rPr>
          <w:rFonts w:ascii="Times New Roman" w:hAnsi="Times New Roman" w:cs="Times New Roman"/>
        </w:rPr>
      </w:pPr>
      <w:r w:rsidRPr="00096909">
        <w:rPr>
          <w:rFonts w:ascii="Times New Roman" w:hAnsi="Times New Roman" w:cs="Times New Roman"/>
        </w:rPr>
        <w:t>In quello medesmo dì fo cazato dalla torre de san Vincenzo Iohanne Antonio Petrucio, fratello dello predicto Francisco Petrucio, e ligato e vistito negro e portato per li lochi predicti collo standardo regente e ministri della iustitia e allo mercato allo dicto catafalco levatela la testa.</w:t>
      </w:r>
    </w:p>
    <w:p w14:paraId="3F5662AA" w14:textId="77777777" w:rsidR="00D20E25" w:rsidRPr="00096909" w:rsidRDefault="00D20E25" w:rsidP="00D20E25">
      <w:pPr>
        <w:pStyle w:val="Testonotaapidipagina"/>
        <w:spacing w:line="360" w:lineRule="auto"/>
        <w:ind w:left="567" w:right="566" w:firstLine="454"/>
        <w:jc w:val="both"/>
        <w:rPr>
          <w:rFonts w:ascii="Times New Roman" w:hAnsi="Times New Roman" w:cs="Times New Roman"/>
        </w:rPr>
      </w:pPr>
    </w:p>
    <w:p w14:paraId="7013EF9E" w14:textId="77777777" w:rsidR="00D20E25" w:rsidRPr="00096909" w:rsidRDefault="00D20E25" w:rsidP="00D20E25">
      <w:pPr>
        <w:pStyle w:val="Testonotaapidipagina"/>
        <w:spacing w:line="360" w:lineRule="auto"/>
        <w:ind w:left="567" w:right="566" w:firstLine="454"/>
        <w:jc w:val="both"/>
        <w:rPr>
          <w:rFonts w:ascii="Times New Roman" w:hAnsi="Times New Roman" w:cs="Times New Roman"/>
        </w:rPr>
      </w:pPr>
      <w:r w:rsidRPr="00096909">
        <w:rPr>
          <w:rFonts w:ascii="Times New Roman" w:hAnsi="Times New Roman" w:cs="Times New Roman"/>
        </w:rPr>
        <w:t>Alli XI de magio MCCCCLXXXVII fo facto lo catafalco alla citatella coperto de negro del castello novo e in presentia de tucti gentili homini cavalieri e baruni. El populo tucto collo standardo regente e ministri della iusticia prima ad Antonello Petrucio e de po ad Francisco Coppola fo levata la testa.</w:t>
      </w:r>
      <w:r w:rsidRPr="00096909">
        <w:rPr>
          <w:rStyle w:val="Rimandonotaapidipagina"/>
          <w:rFonts w:ascii="Times New Roman" w:hAnsi="Times New Roman" w:cs="Times New Roman"/>
        </w:rPr>
        <w:footnoteReference w:id="207"/>
      </w:r>
    </w:p>
    <w:p w14:paraId="47DC74C3" w14:textId="77777777" w:rsidR="00D20E25" w:rsidRPr="00096909" w:rsidRDefault="00D20E25" w:rsidP="00D20E25">
      <w:pPr>
        <w:pStyle w:val="Testonotaapidipagina"/>
        <w:spacing w:line="360" w:lineRule="auto"/>
        <w:ind w:left="567" w:right="-1" w:firstLine="454"/>
        <w:jc w:val="both"/>
        <w:rPr>
          <w:rFonts w:ascii="Times New Roman" w:hAnsi="Times New Roman" w:cs="Times New Roman"/>
        </w:rPr>
      </w:pPr>
    </w:p>
    <w:p w14:paraId="6F783A1F"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Lo spettacolo cruento delle esecuzioni completava così la cronaca dei provvedimenti che il re, in conformità alla legge, aveva preso contro i congiurati. Se ne forniva una versione ufficiale e ben sorvegliata, affidata alle cure redazionali di del Tuppo, che secondo le osservazioni di Marco Santoro avrebbe ricoperto in tal modo la carica di stampatore regio, contemporaneamente a quella di segretario di Ferrante.</w:t>
      </w:r>
      <w:r w:rsidRPr="00096909">
        <w:rPr>
          <w:rStyle w:val="Rimandonotaapidipagina"/>
          <w:rFonts w:ascii="Times New Roman" w:hAnsi="Times New Roman" w:cs="Times New Roman"/>
          <w:sz w:val="24"/>
          <w:szCs w:val="24"/>
        </w:rPr>
        <w:footnoteReference w:id="208"/>
      </w:r>
      <w:r w:rsidRPr="00096909">
        <w:rPr>
          <w:rFonts w:ascii="Times New Roman" w:hAnsi="Times New Roman" w:cs="Times New Roman"/>
          <w:sz w:val="24"/>
          <w:szCs w:val="24"/>
        </w:rPr>
        <w:t xml:space="preserve"> </w:t>
      </w:r>
    </w:p>
    <w:p w14:paraId="725ABCEE"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Non penso, tuttavia, che la corte aragonese avesse una propria stamperia</w:t>
      </w:r>
      <w:r>
        <w:rPr>
          <w:rFonts w:ascii="Times New Roman" w:hAnsi="Times New Roman" w:cs="Times New Roman"/>
          <w:sz w:val="24"/>
          <w:szCs w:val="24"/>
        </w:rPr>
        <w:t xml:space="preserve">. Il fatto che </w:t>
      </w:r>
      <w:r w:rsidRPr="00096909">
        <w:rPr>
          <w:rFonts w:ascii="Times New Roman" w:hAnsi="Times New Roman" w:cs="Times New Roman"/>
          <w:sz w:val="24"/>
          <w:szCs w:val="24"/>
        </w:rPr>
        <w:t xml:space="preserve">il re acquistò solo alcuni esemplari dei </w:t>
      </w:r>
      <w:r w:rsidRPr="00096909">
        <w:rPr>
          <w:rFonts w:ascii="Times New Roman" w:hAnsi="Times New Roman" w:cs="Times New Roman"/>
          <w:i/>
          <w:sz w:val="24"/>
          <w:szCs w:val="24"/>
        </w:rPr>
        <w:t>Processi</w:t>
      </w:r>
      <w:r w:rsidRPr="00096909">
        <w:rPr>
          <w:rFonts w:ascii="Times New Roman" w:hAnsi="Times New Roman" w:cs="Times New Roman"/>
          <w:sz w:val="24"/>
          <w:szCs w:val="24"/>
        </w:rPr>
        <w:t xml:space="preserve"> e non l’intera partita induce a </w:t>
      </w:r>
      <w:r>
        <w:rPr>
          <w:rFonts w:ascii="Times New Roman" w:hAnsi="Times New Roman" w:cs="Times New Roman"/>
          <w:sz w:val="24"/>
          <w:szCs w:val="24"/>
        </w:rPr>
        <w:t>pensare</w:t>
      </w:r>
      <w:r w:rsidRPr="00096909">
        <w:rPr>
          <w:rFonts w:ascii="Times New Roman" w:hAnsi="Times New Roman" w:cs="Times New Roman"/>
          <w:sz w:val="24"/>
          <w:szCs w:val="24"/>
        </w:rPr>
        <w:t xml:space="preserve"> che l’editore avesse un proprio piano per smerciare </w:t>
      </w:r>
      <w:r>
        <w:rPr>
          <w:rFonts w:ascii="Times New Roman" w:hAnsi="Times New Roman" w:cs="Times New Roman"/>
          <w:sz w:val="24"/>
          <w:szCs w:val="24"/>
        </w:rPr>
        <w:t>le copie</w:t>
      </w:r>
      <w:r w:rsidRPr="00096909">
        <w:rPr>
          <w:rFonts w:ascii="Times New Roman" w:hAnsi="Times New Roman" w:cs="Times New Roman"/>
          <w:sz w:val="24"/>
          <w:szCs w:val="24"/>
        </w:rPr>
        <w:t xml:space="preserve"> di sua proprietà e conce</w:t>
      </w:r>
      <w:r>
        <w:rPr>
          <w:rFonts w:ascii="Times New Roman" w:hAnsi="Times New Roman" w:cs="Times New Roman"/>
          <w:sz w:val="24"/>
          <w:szCs w:val="24"/>
        </w:rPr>
        <w:t>pisse</w:t>
      </w:r>
      <w:r w:rsidRPr="00096909">
        <w:rPr>
          <w:rFonts w:ascii="Times New Roman" w:hAnsi="Times New Roman" w:cs="Times New Roman"/>
          <w:sz w:val="24"/>
          <w:szCs w:val="24"/>
        </w:rPr>
        <w:t xml:space="preserve"> </w:t>
      </w:r>
      <w:r>
        <w:rPr>
          <w:rFonts w:ascii="Times New Roman" w:hAnsi="Times New Roman" w:cs="Times New Roman"/>
          <w:sz w:val="24"/>
          <w:szCs w:val="24"/>
        </w:rPr>
        <w:t>i</w:t>
      </w:r>
      <w:r w:rsidRPr="00096909">
        <w:rPr>
          <w:rFonts w:ascii="Times New Roman" w:hAnsi="Times New Roman" w:cs="Times New Roman"/>
          <w:sz w:val="24"/>
          <w:szCs w:val="24"/>
        </w:rPr>
        <w:t xml:space="preserve">l proprio lavoro in parziale autonomia. È certa </w:t>
      </w:r>
      <w:r w:rsidR="00371722">
        <w:rPr>
          <w:rFonts w:ascii="Times New Roman" w:hAnsi="Times New Roman" w:cs="Times New Roman"/>
          <w:sz w:val="24"/>
          <w:szCs w:val="24"/>
        </w:rPr>
        <w:t xml:space="preserve">però </w:t>
      </w:r>
      <w:r w:rsidRPr="00096909">
        <w:rPr>
          <w:rFonts w:ascii="Times New Roman" w:hAnsi="Times New Roman" w:cs="Times New Roman"/>
          <w:sz w:val="24"/>
          <w:szCs w:val="24"/>
        </w:rPr>
        <w:t xml:space="preserve">la committenza diretta da parte di Ferrante della stampa degli atti, finalizzata al recupero di un’immagine di savio governante e garante della legalità del regno all’indomani dell’episodio che aveva minato la stabilità del suo potere.  </w:t>
      </w:r>
    </w:p>
    <w:p w14:paraId="1E0EF877" w14:textId="77777777" w:rsidR="00D20E25" w:rsidRPr="00096909"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Fu necessario attendere invece l’ultimo decennio del secolo per poter assistere alla pubblicazione di incunaboli a Urbino, sotto il dominio di Guidubaldo da Montefeltro. Entro l’anno 1493 il tipografo itinerante Enrico da Colonia vi impresse «</w:t>
      </w:r>
      <w:r w:rsidRPr="00096909">
        <w:rPr>
          <w:rFonts w:ascii="Times New Roman" w:hAnsi="Times New Roman" w:cs="Times New Roman"/>
          <w:i/>
          <w:sz w:val="24"/>
          <w:szCs w:val="24"/>
        </w:rPr>
        <w:t>in domo Gallorum in Valle Bona</w:t>
      </w:r>
      <w:r w:rsidRPr="00096909">
        <w:rPr>
          <w:rFonts w:ascii="Times New Roman" w:hAnsi="Times New Roman" w:cs="Times New Roman"/>
          <w:sz w:val="24"/>
          <w:szCs w:val="24"/>
        </w:rPr>
        <w:t>», come si legge nel colophon di ciascun incunabolo, l’</w:t>
      </w:r>
      <w:r w:rsidRPr="00096909">
        <w:rPr>
          <w:rFonts w:ascii="Times New Roman" w:hAnsi="Times New Roman" w:cs="Times New Roman"/>
          <w:i/>
          <w:sz w:val="24"/>
          <w:szCs w:val="24"/>
        </w:rPr>
        <w:t xml:space="preserve">Hypothesia ad Hieronymum filium di </w:t>
      </w:r>
      <w:r w:rsidRPr="00096909">
        <w:rPr>
          <w:rFonts w:ascii="Times New Roman" w:hAnsi="Times New Roman" w:cs="Times New Roman"/>
          <w:sz w:val="24"/>
          <w:szCs w:val="24"/>
        </w:rPr>
        <w:t xml:space="preserve">Guarino Veronese, la </w:t>
      </w:r>
      <w:r w:rsidRPr="00096909">
        <w:rPr>
          <w:rFonts w:ascii="Times New Roman" w:hAnsi="Times New Roman" w:cs="Times New Roman"/>
          <w:i/>
          <w:sz w:val="24"/>
          <w:szCs w:val="24"/>
        </w:rPr>
        <w:t>Summa questionum compendiosa</w:t>
      </w:r>
      <w:r w:rsidRPr="00096909">
        <w:rPr>
          <w:rFonts w:ascii="Times New Roman" w:hAnsi="Times New Roman" w:cs="Times New Roman"/>
          <w:sz w:val="24"/>
          <w:szCs w:val="24"/>
        </w:rPr>
        <w:t xml:space="preserve"> di </w:t>
      </w:r>
      <w:bookmarkStart w:id="162" w:name="_Hlk535847677"/>
      <w:r w:rsidRPr="00096909">
        <w:rPr>
          <w:rFonts w:ascii="Times New Roman" w:hAnsi="Times New Roman" w:cs="Times New Roman"/>
          <w:sz w:val="24"/>
          <w:szCs w:val="24"/>
        </w:rPr>
        <w:t xml:space="preserve">Tancredi da Corneto </w:t>
      </w:r>
      <w:bookmarkEnd w:id="162"/>
      <w:r w:rsidRPr="00096909">
        <w:rPr>
          <w:rFonts w:ascii="Times New Roman" w:hAnsi="Times New Roman" w:cs="Times New Roman"/>
          <w:sz w:val="24"/>
          <w:szCs w:val="24"/>
        </w:rPr>
        <w:t xml:space="preserve">e il </w:t>
      </w:r>
      <w:r w:rsidRPr="00096909">
        <w:rPr>
          <w:rFonts w:ascii="Times New Roman" w:hAnsi="Times New Roman" w:cs="Times New Roman"/>
          <w:i/>
          <w:sz w:val="24"/>
          <w:szCs w:val="24"/>
        </w:rPr>
        <w:t>De Ludo</w:t>
      </w:r>
      <w:r w:rsidRPr="00096909">
        <w:rPr>
          <w:rFonts w:ascii="Times New Roman" w:hAnsi="Times New Roman" w:cs="Times New Roman"/>
          <w:sz w:val="24"/>
          <w:szCs w:val="24"/>
        </w:rPr>
        <w:t xml:space="preserve"> di </w:t>
      </w:r>
      <w:bookmarkStart w:id="163" w:name="_Hlk535847719"/>
      <w:r w:rsidRPr="00096909">
        <w:rPr>
          <w:rFonts w:ascii="Times New Roman" w:hAnsi="Times New Roman" w:cs="Times New Roman"/>
          <w:sz w:val="24"/>
          <w:szCs w:val="24"/>
        </w:rPr>
        <w:t>Giovanni Battista Caccialupi</w:t>
      </w:r>
      <w:bookmarkEnd w:id="163"/>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209"/>
      </w:r>
      <w:r w:rsidRPr="00096909">
        <w:rPr>
          <w:rFonts w:ascii="Times New Roman" w:hAnsi="Times New Roman" w:cs="Times New Roman"/>
          <w:sz w:val="24"/>
          <w:szCs w:val="24"/>
        </w:rPr>
        <w:t xml:space="preserve"> Non è a oggi noto chi siano stati i Galli che ospitarono l’artigiano, un tempo identificati con la famiglia di </w:t>
      </w:r>
      <w:bookmarkStart w:id="165" w:name="_Hlk535847829"/>
      <w:r w:rsidRPr="00096909">
        <w:rPr>
          <w:rFonts w:ascii="Times New Roman" w:hAnsi="Times New Roman" w:cs="Times New Roman"/>
          <w:sz w:val="24"/>
          <w:szCs w:val="24"/>
        </w:rPr>
        <w:t>Federico Galli</w:t>
      </w:r>
      <w:bookmarkEnd w:id="165"/>
      <w:r w:rsidRPr="00096909">
        <w:rPr>
          <w:rFonts w:ascii="Times New Roman" w:hAnsi="Times New Roman" w:cs="Times New Roman"/>
          <w:sz w:val="24"/>
          <w:szCs w:val="24"/>
        </w:rPr>
        <w:t xml:space="preserve">, segretario di Federico da Montefeltro. È evidente, </w:t>
      </w:r>
      <w:r w:rsidRPr="00096909">
        <w:rPr>
          <w:rFonts w:ascii="Times New Roman" w:hAnsi="Times New Roman" w:cs="Times New Roman"/>
          <w:sz w:val="24"/>
          <w:szCs w:val="24"/>
        </w:rPr>
        <w:lastRenderedPageBreak/>
        <w:t xml:space="preserve">tuttavia, che l’ingresso in città dell’arte tipografica fu piuttosto tardo, specie considerando la vivacità culturale della corte urbinate, e forse anche poco fortunato, dal momento che Enrico non vi produsse altri libri oltre a quelli citati e che nel 1496 </w:t>
      </w:r>
      <w:r w:rsidR="00371722">
        <w:rPr>
          <w:rFonts w:ascii="Times New Roman" w:hAnsi="Times New Roman" w:cs="Times New Roman"/>
          <w:sz w:val="24"/>
          <w:szCs w:val="24"/>
        </w:rPr>
        <w:t xml:space="preserve">la sua attività </w:t>
      </w:r>
      <w:r w:rsidRPr="00096909">
        <w:rPr>
          <w:rFonts w:ascii="Times New Roman" w:hAnsi="Times New Roman" w:cs="Times New Roman"/>
          <w:sz w:val="24"/>
          <w:szCs w:val="24"/>
        </w:rPr>
        <w:t>è nuovamente attestata</w:t>
      </w:r>
      <w:r w:rsidR="003E044F">
        <w:rPr>
          <w:rFonts w:ascii="Times New Roman" w:hAnsi="Times New Roman" w:cs="Times New Roman"/>
          <w:sz w:val="24"/>
          <w:szCs w:val="24"/>
        </w:rPr>
        <w:t xml:space="preserve"> in un’altra località: </w:t>
      </w:r>
      <w:r w:rsidRPr="00096909">
        <w:rPr>
          <w:rFonts w:ascii="Times New Roman" w:hAnsi="Times New Roman" w:cs="Times New Roman"/>
          <w:sz w:val="24"/>
          <w:szCs w:val="24"/>
        </w:rPr>
        <w:t xml:space="preserve">Siena. Non possediamo inoltre notizie di disposizioni in sostegno all’editoria promosse dai Montefeltro nel secolo XV. </w:t>
      </w:r>
    </w:p>
    <w:p w14:paraId="3F5EA667" w14:textId="77777777" w:rsidR="00D20E25" w:rsidRDefault="00D20E25" w:rsidP="00D20E25">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Nel corso dell’età degli incunaboli l’atteggiamento dei principi italiani nei confronti della stampa </w:t>
      </w:r>
      <w:r>
        <w:rPr>
          <w:rFonts w:ascii="Times New Roman" w:hAnsi="Times New Roman" w:cs="Times New Roman"/>
          <w:sz w:val="24"/>
          <w:szCs w:val="24"/>
        </w:rPr>
        <w:t>si espresse dunque in u</w:t>
      </w:r>
      <w:r w:rsidRPr="00096909">
        <w:rPr>
          <w:rFonts w:ascii="Times New Roman" w:hAnsi="Times New Roman" w:cs="Times New Roman"/>
          <w:sz w:val="24"/>
          <w:szCs w:val="24"/>
        </w:rPr>
        <w:t xml:space="preserve">na cauta esplorazione delle </w:t>
      </w:r>
      <w:r>
        <w:rPr>
          <w:rFonts w:ascii="Times New Roman" w:hAnsi="Times New Roman" w:cs="Times New Roman"/>
          <w:sz w:val="24"/>
          <w:szCs w:val="24"/>
        </w:rPr>
        <w:t xml:space="preserve">sue </w:t>
      </w:r>
      <w:r w:rsidRPr="00096909">
        <w:rPr>
          <w:rFonts w:ascii="Times New Roman" w:hAnsi="Times New Roman" w:cs="Times New Roman"/>
          <w:sz w:val="24"/>
          <w:szCs w:val="24"/>
        </w:rPr>
        <w:t xml:space="preserve">potenzialità d’impiego, </w:t>
      </w:r>
      <w:r>
        <w:rPr>
          <w:rFonts w:ascii="Times New Roman" w:hAnsi="Times New Roman" w:cs="Times New Roman"/>
          <w:sz w:val="24"/>
          <w:szCs w:val="24"/>
        </w:rPr>
        <w:t>nella quale</w:t>
      </w:r>
      <w:r w:rsidRPr="00096909">
        <w:rPr>
          <w:rFonts w:ascii="Times New Roman" w:hAnsi="Times New Roman" w:cs="Times New Roman"/>
          <w:sz w:val="24"/>
          <w:szCs w:val="24"/>
        </w:rPr>
        <w:t xml:space="preserve"> le pubblicazioni più propriamente celebrative della potenza del principe videro la luce grazie alla mediazione di cortigiani capaci di farsi editori di testi encomiastici e avveduti nel comprendere l’opportunità di legare il proprio nome a quello della casata al potere. </w:t>
      </w:r>
      <w:r>
        <w:rPr>
          <w:rFonts w:ascii="Times New Roman" w:hAnsi="Times New Roman" w:cs="Times New Roman"/>
          <w:sz w:val="24"/>
          <w:szCs w:val="24"/>
        </w:rPr>
        <w:t>Una situazione del tutto analoga interesserà le vicende redazionali</w:t>
      </w:r>
      <w:r w:rsidRPr="00096909">
        <w:rPr>
          <w:rFonts w:ascii="Times New Roman" w:hAnsi="Times New Roman" w:cs="Times New Roman"/>
          <w:sz w:val="24"/>
          <w:szCs w:val="24"/>
        </w:rPr>
        <w:t xml:space="preserve"> dei libretti per nozze che prenderemo in esame nel capitolo II. </w:t>
      </w:r>
    </w:p>
    <w:p w14:paraId="2D228799" w14:textId="77777777" w:rsidR="00691F81" w:rsidRDefault="00691F81" w:rsidP="00D20E25">
      <w:pPr>
        <w:pStyle w:val="Testonotaapidipagina"/>
        <w:spacing w:line="360" w:lineRule="auto"/>
        <w:ind w:right="-1" w:firstLine="454"/>
        <w:jc w:val="both"/>
        <w:rPr>
          <w:rFonts w:ascii="Times New Roman" w:hAnsi="Times New Roman" w:cs="Times New Roman"/>
          <w:sz w:val="24"/>
          <w:szCs w:val="24"/>
        </w:rPr>
      </w:pPr>
    </w:p>
    <w:p w14:paraId="20B8CBAE" w14:textId="77777777" w:rsidR="00691F81" w:rsidRDefault="00691F81" w:rsidP="00D20E25">
      <w:pPr>
        <w:pStyle w:val="Testonotaapidipagina"/>
        <w:spacing w:line="360" w:lineRule="auto"/>
        <w:ind w:right="-1" w:firstLine="454"/>
        <w:jc w:val="both"/>
        <w:rPr>
          <w:rFonts w:ascii="Times New Roman" w:hAnsi="Times New Roman" w:cs="Times New Roman"/>
          <w:sz w:val="24"/>
          <w:szCs w:val="24"/>
        </w:rPr>
      </w:pPr>
    </w:p>
    <w:p w14:paraId="6C6A968B" w14:textId="77777777" w:rsidR="00691F81" w:rsidRPr="00096909" w:rsidRDefault="00691F81" w:rsidP="00691F81">
      <w:pPr>
        <w:ind w:right="-1"/>
        <w:jc w:val="both"/>
        <w:rPr>
          <w:rFonts w:ascii="Times New Roman" w:hAnsi="Times New Roman" w:cs="Times New Roman"/>
          <w:sz w:val="24"/>
          <w:szCs w:val="24"/>
        </w:rPr>
      </w:pPr>
      <w:r w:rsidRPr="00096909">
        <w:rPr>
          <w:rFonts w:ascii="Times New Roman" w:hAnsi="Times New Roman" w:cs="Times New Roman"/>
          <w:sz w:val="24"/>
          <w:szCs w:val="24"/>
        </w:rPr>
        <w:t xml:space="preserve">3. </w:t>
      </w:r>
      <w:r w:rsidRPr="00096909">
        <w:rPr>
          <w:rFonts w:ascii="Times New Roman" w:hAnsi="Times New Roman" w:cs="Times New Roman"/>
          <w:i/>
          <w:sz w:val="24"/>
          <w:szCs w:val="24"/>
        </w:rPr>
        <w:t>I generi letterari</w:t>
      </w:r>
    </w:p>
    <w:p w14:paraId="501E4583" w14:textId="77777777" w:rsidR="00691F81" w:rsidRPr="00096909" w:rsidRDefault="00691F81" w:rsidP="00691F81">
      <w:pPr>
        <w:spacing w:after="0" w:line="360" w:lineRule="auto"/>
        <w:ind w:right="-1"/>
        <w:jc w:val="both"/>
        <w:rPr>
          <w:rFonts w:ascii="Times New Roman" w:hAnsi="Times New Roman" w:cs="Times New Roman"/>
          <w:sz w:val="24"/>
          <w:szCs w:val="24"/>
        </w:rPr>
      </w:pPr>
    </w:p>
    <w:p w14:paraId="345D8589" w14:textId="77777777" w:rsidR="00691F81" w:rsidRPr="00096909" w:rsidRDefault="00691F81" w:rsidP="00691F81">
      <w:pPr>
        <w:spacing w:after="0" w:line="360" w:lineRule="auto"/>
        <w:ind w:right="-1"/>
        <w:jc w:val="both"/>
        <w:rPr>
          <w:rFonts w:ascii="Times New Roman" w:hAnsi="Times New Roman" w:cs="Times New Roman"/>
          <w:sz w:val="24"/>
          <w:szCs w:val="24"/>
        </w:rPr>
      </w:pPr>
      <w:r w:rsidRPr="00096909">
        <w:rPr>
          <w:rFonts w:ascii="Times New Roman" w:hAnsi="Times New Roman" w:cs="Times New Roman"/>
          <w:sz w:val="24"/>
          <w:szCs w:val="24"/>
        </w:rPr>
        <w:t xml:space="preserve">Lo studio comparato delle biblioteche principesche del secolo XV deve considerare la scelta dei titoli letterari da includervi come fattore fondamentale per spiegare il carattere delle collezioni. La selezione del proprietario, consigliato eventualmente dagli intellettuali del suo </w:t>
      </w:r>
      <w:r w:rsidRPr="00096909">
        <w:rPr>
          <w:rFonts w:ascii="Times New Roman" w:hAnsi="Times New Roman" w:cs="Times New Roman"/>
          <w:i/>
          <w:sz w:val="24"/>
          <w:szCs w:val="24"/>
        </w:rPr>
        <w:t>milieu</w:t>
      </w:r>
      <w:r w:rsidRPr="00096909">
        <w:rPr>
          <w:rFonts w:ascii="Times New Roman" w:hAnsi="Times New Roman" w:cs="Times New Roman"/>
          <w:sz w:val="24"/>
          <w:szCs w:val="24"/>
        </w:rPr>
        <w:t>, costituì infatti un primo fattore interno di caratterizzazione della raccolta, al quale, per comprendere il valore comunicativo dell’aspetto che essa acquisì, bisognerà accostare un fattore esterno, determinato dalle vicende politiche del dominio del principe. Grazie ai bottini di guerra, alle doti nuziali, ai doni diplomatici, giunsero, infatti, sugli scaffali dell</w:t>
      </w:r>
      <w:r>
        <w:rPr>
          <w:rFonts w:ascii="Times New Roman" w:hAnsi="Times New Roman" w:cs="Times New Roman"/>
          <w:sz w:val="24"/>
          <w:szCs w:val="24"/>
        </w:rPr>
        <w:t>e</w:t>
      </w:r>
      <w:r w:rsidRPr="00096909">
        <w:rPr>
          <w:rFonts w:ascii="Times New Roman" w:hAnsi="Times New Roman" w:cs="Times New Roman"/>
          <w:sz w:val="24"/>
          <w:szCs w:val="24"/>
        </w:rPr>
        <w:t xml:space="preserve"> su</w:t>
      </w:r>
      <w:r>
        <w:rPr>
          <w:rFonts w:ascii="Times New Roman" w:hAnsi="Times New Roman" w:cs="Times New Roman"/>
          <w:sz w:val="24"/>
          <w:szCs w:val="24"/>
        </w:rPr>
        <w:t>e</w:t>
      </w:r>
      <w:r w:rsidRPr="00096909">
        <w:rPr>
          <w:rFonts w:ascii="Times New Roman" w:hAnsi="Times New Roman" w:cs="Times New Roman"/>
          <w:sz w:val="24"/>
          <w:szCs w:val="24"/>
        </w:rPr>
        <w:t xml:space="preserve"> libreri</w:t>
      </w:r>
      <w:r>
        <w:rPr>
          <w:rFonts w:ascii="Times New Roman" w:hAnsi="Times New Roman" w:cs="Times New Roman"/>
          <w:sz w:val="24"/>
          <w:szCs w:val="24"/>
        </w:rPr>
        <w:t>e</w:t>
      </w:r>
      <w:r w:rsidRPr="00096909">
        <w:rPr>
          <w:rFonts w:ascii="Times New Roman" w:hAnsi="Times New Roman" w:cs="Times New Roman"/>
          <w:sz w:val="24"/>
          <w:szCs w:val="24"/>
        </w:rPr>
        <w:t xml:space="preserve"> testi d</w:t>
      </w:r>
      <w:r>
        <w:rPr>
          <w:rFonts w:ascii="Times New Roman" w:hAnsi="Times New Roman" w:cs="Times New Roman"/>
          <w:sz w:val="24"/>
          <w:szCs w:val="24"/>
        </w:rPr>
        <w:t>ei quali</w:t>
      </w:r>
      <w:r w:rsidRPr="00096909">
        <w:rPr>
          <w:rFonts w:ascii="Times New Roman" w:hAnsi="Times New Roman" w:cs="Times New Roman"/>
          <w:sz w:val="24"/>
          <w:szCs w:val="24"/>
        </w:rPr>
        <w:t xml:space="preserve"> sarebbe difficile spiegare la presenza senza metterli in r</w:t>
      </w:r>
      <w:r>
        <w:rPr>
          <w:rFonts w:ascii="Times New Roman" w:hAnsi="Times New Roman" w:cs="Times New Roman"/>
          <w:sz w:val="24"/>
          <w:szCs w:val="24"/>
        </w:rPr>
        <w:t>apporto</w:t>
      </w:r>
      <w:r w:rsidRPr="00096909">
        <w:rPr>
          <w:rFonts w:ascii="Times New Roman" w:hAnsi="Times New Roman" w:cs="Times New Roman"/>
          <w:sz w:val="24"/>
          <w:szCs w:val="24"/>
        </w:rPr>
        <w:t xml:space="preserve"> con il </w:t>
      </w:r>
      <w:r w:rsidRPr="00096909">
        <w:rPr>
          <w:rFonts w:ascii="Times New Roman" w:hAnsi="Times New Roman" w:cs="Times New Roman"/>
          <w:i/>
          <w:sz w:val="24"/>
          <w:szCs w:val="24"/>
        </w:rPr>
        <w:t>cursus honorum</w:t>
      </w:r>
      <w:r w:rsidRPr="00096909">
        <w:rPr>
          <w:rFonts w:ascii="Times New Roman" w:hAnsi="Times New Roman" w:cs="Times New Roman"/>
          <w:sz w:val="24"/>
          <w:szCs w:val="24"/>
        </w:rPr>
        <w:t xml:space="preserve"> del governante.</w:t>
      </w:r>
      <w:r w:rsidRPr="00096909">
        <w:rPr>
          <w:rStyle w:val="Rimandonotaapidipagina"/>
          <w:rFonts w:ascii="Times New Roman" w:hAnsi="Times New Roman" w:cs="Times New Roman"/>
          <w:sz w:val="24"/>
          <w:szCs w:val="24"/>
        </w:rPr>
        <w:footnoteReference w:id="210"/>
      </w:r>
      <w:r w:rsidRPr="00096909">
        <w:rPr>
          <w:rFonts w:ascii="Times New Roman" w:hAnsi="Times New Roman" w:cs="Times New Roman"/>
          <w:sz w:val="24"/>
          <w:szCs w:val="24"/>
        </w:rPr>
        <w:t xml:space="preserve"> </w:t>
      </w:r>
    </w:p>
    <w:p w14:paraId="02D8B589"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L’incidenza del fattore interno del gusto letterario del possidente è chiaramente visibile, ad esempio, nella composizione della biblioteca reale di Napoli, che, nelle sue fasi iniziali, riflett</w:t>
      </w:r>
      <w:r>
        <w:rPr>
          <w:rFonts w:ascii="Times New Roman" w:hAnsi="Times New Roman" w:cs="Times New Roman"/>
          <w:sz w:val="24"/>
          <w:szCs w:val="24"/>
        </w:rPr>
        <w:t>é</w:t>
      </w:r>
      <w:r w:rsidRPr="00096909">
        <w:rPr>
          <w:rFonts w:ascii="Times New Roman" w:hAnsi="Times New Roman" w:cs="Times New Roman"/>
          <w:sz w:val="24"/>
          <w:szCs w:val="24"/>
        </w:rPr>
        <w:t xml:space="preserve"> diversi tratti della personalità del suo primo ideatore, Alfonso d’Aragona, educato alla corte di Castiglia, e quindi incline alla vivacità culturale dell’ambiente aristocratico catalano-aragonese, sensibile agli stimoli romanzi delle corti di Francia e Provenza. </w:t>
      </w:r>
    </w:p>
    <w:p w14:paraId="4EB8F74D"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Il primo inventario dei libri appartenuti al Magnanimo, compilato nel 1412, illustra compiutamente i suoi interessi: vi compaiono opere di tradizione romanzo-cavalleresca, </w:t>
      </w:r>
      <w:r w:rsidRPr="00096909">
        <w:rPr>
          <w:rFonts w:ascii="Times New Roman" w:hAnsi="Times New Roman" w:cs="Times New Roman"/>
          <w:sz w:val="24"/>
          <w:szCs w:val="24"/>
        </w:rPr>
        <w:lastRenderedPageBreak/>
        <w:t xml:space="preserve">volgarizzamenti, trattati di falconeria, e diverse Bibbie e letture devote, che confermano l’immagine di uomo pio </w:t>
      </w:r>
      <w:r>
        <w:rPr>
          <w:rFonts w:ascii="Times New Roman" w:hAnsi="Times New Roman" w:cs="Times New Roman"/>
          <w:sz w:val="24"/>
          <w:szCs w:val="24"/>
        </w:rPr>
        <w:t xml:space="preserve">di Alfonso </w:t>
      </w:r>
      <w:r w:rsidRPr="00096909">
        <w:rPr>
          <w:rFonts w:ascii="Times New Roman" w:hAnsi="Times New Roman" w:cs="Times New Roman"/>
          <w:sz w:val="24"/>
          <w:szCs w:val="24"/>
        </w:rPr>
        <w:t xml:space="preserve">riferita da diversi dei cronisti del suo tempo. </w:t>
      </w:r>
    </w:p>
    <w:p w14:paraId="28F41719"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Pochi anni dopo la tipologia delle sue acquisizioni non variò molto</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U</w:t>
      </w:r>
      <w:r w:rsidRPr="00096909">
        <w:rPr>
          <w:rFonts w:ascii="Times New Roman" w:hAnsi="Times New Roman" w:cs="Times New Roman"/>
          <w:sz w:val="24"/>
          <w:szCs w:val="24"/>
        </w:rPr>
        <w:t>n secondo inventario, del 1417, attesta che i libri della raccolta passarono da 16 a 61 unità, ma non vi troviamo che rare opere in latino a fronte di quelle in catalano, castigliano e francese.</w:t>
      </w:r>
      <w:r w:rsidRPr="00096909">
        <w:rPr>
          <w:rStyle w:val="Rimandonotaapidipagina"/>
          <w:rFonts w:ascii="Times New Roman" w:hAnsi="Times New Roman" w:cs="Times New Roman"/>
          <w:sz w:val="24"/>
          <w:szCs w:val="24"/>
        </w:rPr>
        <w:footnoteReference w:id="211"/>
      </w:r>
      <w:r w:rsidRPr="00096909">
        <w:rPr>
          <w:rFonts w:ascii="Times New Roman" w:hAnsi="Times New Roman" w:cs="Times New Roman"/>
          <w:sz w:val="24"/>
          <w:szCs w:val="24"/>
        </w:rPr>
        <w:t xml:space="preserve"> Accanto alle cronache e alle opere storiografiche spiccano i trattati sulla caccia, autentica passione del re, che nell’aprile 1452 dispiegò un lusso sorprendente nelle cacce offerte in occasione della visita a Napoli dell’imperatore Federico III, riferite puntualmente dagli umanisti presenti a corte.</w:t>
      </w:r>
      <w:r w:rsidRPr="00096909">
        <w:rPr>
          <w:rStyle w:val="Rimandonotaapidipagina"/>
          <w:rFonts w:ascii="Times New Roman" w:hAnsi="Times New Roman" w:cs="Times New Roman"/>
          <w:sz w:val="24"/>
          <w:szCs w:val="24"/>
        </w:rPr>
        <w:footnoteReference w:id="212"/>
      </w:r>
      <w:r w:rsidRPr="00096909">
        <w:rPr>
          <w:rFonts w:ascii="Times New Roman" w:hAnsi="Times New Roman" w:cs="Times New Roman"/>
          <w:sz w:val="24"/>
          <w:szCs w:val="24"/>
        </w:rPr>
        <w:t xml:space="preserve"> </w:t>
      </w:r>
    </w:p>
    <w:p w14:paraId="3726E78F"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A quest’altezza cronologica, la collezione alfonsina presenta quindi un carattere cortese e medievale, in tutto simile a quella di Martino il Vecchio, re d’Aragona e di Sicilia, come appare nell’elenco dei volumi appartenutigli redatto dopo la sua morte nel 1410.</w:t>
      </w:r>
      <w:r w:rsidRPr="00096909">
        <w:rPr>
          <w:rStyle w:val="Rimandonotaapidipagina"/>
          <w:rFonts w:ascii="Times New Roman" w:hAnsi="Times New Roman" w:cs="Times New Roman"/>
          <w:sz w:val="24"/>
          <w:szCs w:val="24"/>
        </w:rPr>
        <w:footnoteReference w:id="213"/>
      </w:r>
    </w:p>
    <w:p w14:paraId="6A8E2BBE"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Allo stesso modo tra i libri </w:t>
      </w:r>
      <w:r>
        <w:rPr>
          <w:rFonts w:ascii="Times New Roman" w:hAnsi="Times New Roman" w:cs="Times New Roman"/>
          <w:sz w:val="24"/>
          <w:szCs w:val="24"/>
        </w:rPr>
        <w:t>che</w:t>
      </w:r>
      <w:r w:rsidRPr="00096909">
        <w:rPr>
          <w:rFonts w:ascii="Times New Roman" w:hAnsi="Times New Roman" w:cs="Times New Roman"/>
          <w:sz w:val="24"/>
          <w:szCs w:val="24"/>
        </w:rPr>
        <w:t xml:space="preserve"> Piero di Lardi nel 1436 registr</w:t>
      </w:r>
      <w:r>
        <w:rPr>
          <w:rFonts w:ascii="Times New Roman" w:hAnsi="Times New Roman" w:cs="Times New Roman"/>
          <w:sz w:val="24"/>
          <w:szCs w:val="24"/>
        </w:rPr>
        <w:t>ò</w:t>
      </w:r>
      <w:r w:rsidRPr="00096909">
        <w:rPr>
          <w:rFonts w:ascii="Times New Roman" w:hAnsi="Times New Roman" w:cs="Times New Roman"/>
          <w:sz w:val="24"/>
          <w:szCs w:val="24"/>
        </w:rPr>
        <w:t xml:space="preserve"> presso la biblioteca estense troviamo duecento titoli latini che non trascurano settori cari alla cultura medievale delle corti</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i</w:t>
      </w:r>
      <w:r w:rsidRPr="00096909">
        <w:rPr>
          <w:rFonts w:ascii="Times New Roman" w:hAnsi="Times New Roman" w:cs="Times New Roman"/>
          <w:sz w:val="24"/>
          <w:szCs w:val="24"/>
        </w:rPr>
        <w:t xml:space="preserve">nsieme ai testi dei classici </w:t>
      </w:r>
      <w:r>
        <w:rPr>
          <w:rFonts w:ascii="Times New Roman" w:hAnsi="Times New Roman" w:cs="Times New Roman"/>
          <w:sz w:val="24"/>
          <w:szCs w:val="24"/>
        </w:rPr>
        <w:t>si notano</w:t>
      </w:r>
      <w:r w:rsidRPr="00096909">
        <w:rPr>
          <w:rFonts w:ascii="Times New Roman" w:hAnsi="Times New Roman" w:cs="Times New Roman"/>
          <w:sz w:val="24"/>
          <w:szCs w:val="24"/>
        </w:rPr>
        <w:t xml:space="preserve"> scritti di filosofia medievale e di teologia, oltre a manuali per il gioco degli scacchi e a trattati di veterinaria. Tra gli autori volgari italiani, rappresentati da una ventina di opere, </w:t>
      </w:r>
      <w:r>
        <w:rPr>
          <w:rFonts w:ascii="Times New Roman" w:hAnsi="Times New Roman" w:cs="Times New Roman"/>
          <w:sz w:val="24"/>
          <w:szCs w:val="24"/>
        </w:rPr>
        <w:t>figurano</w:t>
      </w:r>
      <w:r w:rsidRPr="00096909">
        <w:rPr>
          <w:rFonts w:ascii="Times New Roman" w:hAnsi="Times New Roman" w:cs="Times New Roman"/>
          <w:sz w:val="24"/>
          <w:szCs w:val="24"/>
        </w:rPr>
        <w:t xml:space="preserve"> invece Dante e Boccaccio, Marco Polo, Fazio degli Uberti, Cecco d’Ascoli, Brunetto Latini e qualche volgarizzamento dal patrimonio letterario latino. Pressoché completo è il repertorio dei romanzi cavallereschi dei cicli bretone e carolingio, spesso in lingua originale, </w:t>
      </w:r>
      <w:r>
        <w:rPr>
          <w:rFonts w:ascii="Times New Roman" w:hAnsi="Times New Roman" w:cs="Times New Roman"/>
          <w:sz w:val="24"/>
          <w:szCs w:val="24"/>
        </w:rPr>
        <w:t xml:space="preserve">che </w:t>
      </w:r>
      <w:r w:rsidRPr="00096909">
        <w:rPr>
          <w:rFonts w:ascii="Times New Roman" w:hAnsi="Times New Roman" w:cs="Times New Roman"/>
          <w:sz w:val="24"/>
          <w:szCs w:val="24"/>
        </w:rPr>
        <w:t>segnal</w:t>
      </w:r>
      <w:r>
        <w:rPr>
          <w:rFonts w:ascii="Times New Roman" w:hAnsi="Times New Roman" w:cs="Times New Roman"/>
          <w:sz w:val="24"/>
          <w:szCs w:val="24"/>
        </w:rPr>
        <w:t>a</w:t>
      </w:r>
      <w:r w:rsidRPr="00096909">
        <w:rPr>
          <w:rFonts w:ascii="Times New Roman" w:hAnsi="Times New Roman" w:cs="Times New Roman"/>
          <w:sz w:val="24"/>
          <w:szCs w:val="24"/>
        </w:rPr>
        <w:t xml:space="preserve"> la predilezione degli Este per tale genere letterario e per il francese, lingua di circa sessanta dei testi schedati, che superano dunque ampiamente quelli italiani. </w:t>
      </w:r>
    </w:p>
    <w:p w14:paraId="6B310D35"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Pr>
          <w:rFonts w:ascii="Times New Roman" w:hAnsi="Times New Roman" w:cs="Times New Roman"/>
          <w:sz w:val="24"/>
          <w:szCs w:val="24"/>
        </w:rPr>
        <w:t>N</w:t>
      </w:r>
      <w:r w:rsidRPr="00096909">
        <w:rPr>
          <w:rFonts w:ascii="Times New Roman" w:hAnsi="Times New Roman" w:cs="Times New Roman"/>
          <w:sz w:val="24"/>
          <w:szCs w:val="24"/>
        </w:rPr>
        <w:t>el</w:t>
      </w:r>
      <w:r>
        <w:rPr>
          <w:rFonts w:ascii="Times New Roman" w:hAnsi="Times New Roman" w:cs="Times New Roman"/>
          <w:sz w:val="24"/>
          <w:szCs w:val="24"/>
        </w:rPr>
        <w:t xml:space="preserve"> successivo </w:t>
      </w:r>
      <w:r w:rsidRPr="00096909">
        <w:rPr>
          <w:rFonts w:ascii="Times New Roman" w:hAnsi="Times New Roman" w:cs="Times New Roman"/>
          <w:sz w:val="24"/>
          <w:szCs w:val="24"/>
        </w:rPr>
        <w:t>inventario della biblioteca estense</w:t>
      </w:r>
      <w:r>
        <w:rPr>
          <w:rFonts w:ascii="Times New Roman" w:hAnsi="Times New Roman" w:cs="Times New Roman"/>
          <w:sz w:val="24"/>
          <w:szCs w:val="24"/>
        </w:rPr>
        <w:t>,</w:t>
      </w:r>
      <w:r w:rsidRPr="00096909">
        <w:rPr>
          <w:rFonts w:ascii="Times New Roman" w:hAnsi="Times New Roman" w:cs="Times New Roman"/>
          <w:sz w:val="24"/>
          <w:szCs w:val="24"/>
        </w:rPr>
        <w:t xml:space="preserve"> redatto nel 1467, si fanno più consistenti l’incremento del numero di volgarizzamenti di classici e la presenza delle cronache dei viaggi di Niccolò III in Francia e in Palestina, accrescendo il gruppo d</w:t>
      </w:r>
      <w:r>
        <w:rPr>
          <w:rFonts w:ascii="Times New Roman" w:hAnsi="Times New Roman" w:cs="Times New Roman"/>
          <w:sz w:val="24"/>
          <w:szCs w:val="24"/>
        </w:rPr>
        <w:t>e</w:t>
      </w:r>
      <w:r w:rsidRPr="00096909">
        <w:rPr>
          <w:rFonts w:ascii="Times New Roman" w:hAnsi="Times New Roman" w:cs="Times New Roman"/>
          <w:sz w:val="24"/>
          <w:szCs w:val="24"/>
        </w:rPr>
        <w:t>i testi in volgare e confermando il gusto romanzo e medievaleggiante della collezione, ancora poco disponibile all’orientamento in senso umanistico delle letture di casa d’Este promosso da Guarino, autore del quale l’elenco non conta opera alcuna.</w:t>
      </w:r>
      <w:r w:rsidRPr="00096909">
        <w:rPr>
          <w:rStyle w:val="Rimandonotaapidipagina"/>
          <w:rFonts w:ascii="Times New Roman" w:hAnsi="Times New Roman" w:cs="Times New Roman"/>
          <w:sz w:val="24"/>
          <w:szCs w:val="24"/>
        </w:rPr>
        <w:t xml:space="preserve"> </w:t>
      </w:r>
      <w:r w:rsidRPr="00096909">
        <w:rPr>
          <w:rStyle w:val="Rimandonotaapidipagina"/>
          <w:rFonts w:ascii="Times New Roman" w:hAnsi="Times New Roman" w:cs="Times New Roman"/>
          <w:sz w:val="24"/>
          <w:szCs w:val="24"/>
        </w:rPr>
        <w:footnoteReference w:id="214"/>
      </w:r>
      <w:r w:rsidRPr="00096909">
        <w:rPr>
          <w:rFonts w:ascii="Times New Roman" w:hAnsi="Times New Roman" w:cs="Times New Roman"/>
          <w:sz w:val="24"/>
          <w:szCs w:val="24"/>
        </w:rPr>
        <w:t xml:space="preserve"> </w:t>
      </w:r>
    </w:p>
    <w:p w14:paraId="53D4ADC1"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Entro la prima metà del Quattrocento, scorrendo</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i </w:t>
      </w:r>
      <w:r>
        <w:rPr>
          <w:rFonts w:ascii="Times New Roman" w:hAnsi="Times New Roman" w:cs="Times New Roman"/>
          <w:sz w:val="24"/>
          <w:szCs w:val="24"/>
        </w:rPr>
        <w:t>registri</w:t>
      </w:r>
      <w:r w:rsidRPr="00096909">
        <w:rPr>
          <w:rFonts w:ascii="Times New Roman" w:hAnsi="Times New Roman" w:cs="Times New Roman"/>
          <w:sz w:val="24"/>
          <w:szCs w:val="24"/>
        </w:rPr>
        <w:t xml:space="preserve"> dei volumi posseduti dai principi italiani, si ha dunque l’impressione di trovarsi in presenza di raccolte generaliste, prive di uno specifico programma culturale rispetto al quale</w:t>
      </w:r>
      <w:r>
        <w:rPr>
          <w:rFonts w:ascii="Times New Roman" w:hAnsi="Times New Roman" w:cs="Times New Roman"/>
          <w:sz w:val="24"/>
          <w:szCs w:val="24"/>
        </w:rPr>
        <w:t xml:space="preserve"> orientare le acquisizioni dei testi letterari</w:t>
      </w:r>
      <w:r w:rsidRPr="00096909">
        <w:rPr>
          <w:rFonts w:ascii="Times New Roman" w:hAnsi="Times New Roman" w:cs="Times New Roman"/>
          <w:sz w:val="24"/>
          <w:szCs w:val="24"/>
        </w:rPr>
        <w:t xml:space="preserve">. </w:t>
      </w:r>
    </w:p>
    <w:p w14:paraId="211A9690"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In questi termini potrebbero essere descritte anche la biblioteca viscontea e quella dei marchesi di Mantova. Secondo la </w:t>
      </w:r>
      <w:r w:rsidRPr="00096909">
        <w:rPr>
          <w:rFonts w:ascii="Times New Roman" w:hAnsi="Times New Roman" w:cs="Times New Roman"/>
          <w:i/>
          <w:sz w:val="24"/>
          <w:szCs w:val="24"/>
        </w:rPr>
        <w:t>Consignatio</w:t>
      </w:r>
      <w:r w:rsidRPr="00096909">
        <w:rPr>
          <w:rFonts w:ascii="Times New Roman" w:hAnsi="Times New Roman" w:cs="Times New Roman"/>
          <w:sz w:val="24"/>
          <w:szCs w:val="24"/>
        </w:rPr>
        <w:t xml:space="preserve"> del 1426, la più nota e ammirata delle collezioni librarie del tempo contava 988 volumi</w:t>
      </w:r>
      <w:r>
        <w:rPr>
          <w:rFonts w:ascii="Times New Roman" w:hAnsi="Times New Roman" w:cs="Times New Roman"/>
          <w:sz w:val="24"/>
          <w:szCs w:val="24"/>
        </w:rPr>
        <w:t>,</w:t>
      </w:r>
      <w:r w:rsidRPr="00096909">
        <w:rPr>
          <w:rFonts w:ascii="Times New Roman" w:hAnsi="Times New Roman" w:cs="Times New Roman"/>
          <w:sz w:val="24"/>
          <w:szCs w:val="24"/>
        </w:rPr>
        <w:t xml:space="preserve"> conservati nel castello di Pavia</w:t>
      </w:r>
      <w:r>
        <w:rPr>
          <w:rFonts w:ascii="Times New Roman" w:hAnsi="Times New Roman" w:cs="Times New Roman"/>
          <w:sz w:val="24"/>
          <w:szCs w:val="24"/>
        </w:rPr>
        <w:t xml:space="preserve"> e così</w:t>
      </w:r>
      <w:r w:rsidRPr="00096909">
        <w:rPr>
          <w:rFonts w:ascii="Times New Roman" w:hAnsi="Times New Roman" w:cs="Times New Roman"/>
          <w:sz w:val="24"/>
          <w:szCs w:val="24"/>
        </w:rPr>
        <w:t xml:space="preserve"> ripartibili</w:t>
      </w:r>
      <w:r>
        <w:rPr>
          <w:rFonts w:ascii="Times New Roman" w:hAnsi="Times New Roman" w:cs="Times New Roman"/>
          <w:sz w:val="24"/>
          <w:szCs w:val="24"/>
        </w:rPr>
        <w:t>:</w:t>
      </w:r>
      <w:r w:rsidRPr="00096909">
        <w:rPr>
          <w:rFonts w:ascii="Times New Roman" w:hAnsi="Times New Roman" w:cs="Times New Roman"/>
          <w:sz w:val="24"/>
          <w:szCs w:val="24"/>
        </w:rPr>
        <w:t xml:space="preserve"> 844 titoli latini, 90 francesi, 2 provenzali, 52 in volgare italiano (principalmente d’area toscana), 3 greci, 2 ebraici, 1 spagnolo.</w:t>
      </w:r>
      <w:r w:rsidRPr="00096909">
        <w:rPr>
          <w:rStyle w:val="Rimandonotaapidipagina"/>
          <w:rFonts w:ascii="Times New Roman" w:hAnsi="Times New Roman" w:cs="Times New Roman"/>
          <w:sz w:val="24"/>
          <w:szCs w:val="24"/>
        </w:rPr>
        <w:footnoteReference w:id="215"/>
      </w:r>
      <w:r w:rsidRPr="00096909">
        <w:rPr>
          <w:rFonts w:ascii="Times New Roman" w:hAnsi="Times New Roman" w:cs="Times New Roman"/>
          <w:sz w:val="24"/>
          <w:szCs w:val="24"/>
        </w:rPr>
        <w:t xml:space="preserve"> </w:t>
      </w:r>
    </w:p>
    <w:p w14:paraId="140ED6CD"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Una più precisa partizione per materie riguarda invece la lista del 1407 dei </w:t>
      </w:r>
      <w:r>
        <w:rPr>
          <w:rFonts w:ascii="Times New Roman" w:hAnsi="Times New Roman" w:cs="Times New Roman"/>
          <w:sz w:val="24"/>
          <w:szCs w:val="24"/>
        </w:rPr>
        <w:t xml:space="preserve">libri </w:t>
      </w:r>
      <w:r w:rsidRPr="00096909">
        <w:rPr>
          <w:rFonts w:ascii="Times New Roman" w:hAnsi="Times New Roman" w:cs="Times New Roman"/>
          <w:sz w:val="24"/>
          <w:szCs w:val="24"/>
        </w:rPr>
        <w:t xml:space="preserve">della collezione di Francesco I Gonzaga. Vi troviamo 86 </w:t>
      </w:r>
      <w:r>
        <w:rPr>
          <w:rFonts w:ascii="Times New Roman" w:hAnsi="Times New Roman" w:cs="Times New Roman"/>
          <w:sz w:val="24"/>
          <w:szCs w:val="24"/>
        </w:rPr>
        <w:t xml:space="preserve">volumi </w:t>
      </w:r>
      <w:r w:rsidRPr="00096909">
        <w:rPr>
          <w:rFonts w:ascii="Times New Roman" w:hAnsi="Times New Roman" w:cs="Times New Roman"/>
          <w:sz w:val="24"/>
          <w:szCs w:val="24"/>
        </w:rPr>
        <w:t xml:space="preserve">di sacre scritture, 18 di commento alle decretali, 12 di diritto civile, 57 di storia – divisi in 36 libri storiografici e 21 libri </w:t>
      </w:r>
      <w:r w:rsidRPr="00096909">
        <w:rPr>
          <w:rFonts w:ascii="Times New Roman" w:hAnsi="Times New Roman" w:cs="Times New Roman"/>
          <w:i/>
          <w:sz w:val="24"/>
          <w:szCs w:val="24"/>
        </w:rPr>
        <w:t>cronicarum</w:t>
      </w:r>
      <w:r w:rsidRPr="00096909">
        <w:rPr>
          <w:rFonts w:ascii="Times New Roman" w:hAnsi="Times New Roman" w:cs="Times New Roman"/>
          <w:sz w:val="24"/>
          <w:szCs w:val="24"/>
        </w:rPr>
        <w:t xml:space="preserve"> –, 24 testi di poe</w:t>
      </w:r>
      <w:r>
        <w:rPr>
          <w:rFonts w:ascii="Times New Roman" w:hAnsi="Times New Roman" w:cs="Times New Roman"/>
          <w:sz w:val="24"/>
          <w:szCs w:val="24"/>
        </w:rPr>
        <w:t>s</w:t>
      </w:r>
      <w:r w:rsidRPr="00096909">
        <w:rPr>
          <w:rFonts w:ascii="Times New Roman" w:hAnsi="Times New Roman" w:cs="Times New Roman"/>
          <w:sz w:val="24"/>
          <w:szCs w:val="24"/>
        </w:rPr>
        <w:t>i</w:t>
      </w:r>
      <w:r>
        <w:rPr>
          <w:rFonts w:ascii="Times New Roman" w:hAnsi="Times New Roman" w:cs="Times New Roman"/>
          <w:sz w:val="24"/>
          <w:szCs w:val="24"/>
        </w:rPr>
        <w:t>a</w:t>
      </w:r>
      <w:r w:rsidRPr="00096909">
        <w:rPr>
          <w:rFonts w:ascii="Times New Roman" w:hAnsi="Times New Roman" w:cs="Times New Roman"/>
          <w:sz w:val="24"/>
          <w:szCs w:val="24"/>
        </w:rPr>
        <w:t xml:space="preserve"> latin</w:t>
      </w:r>
      <w:r>
        <w:rPr>
          <w:rFonts w:ascii="Times New Roman" w:hAnsi="Times New Roman" w:cs="Times New Roman"/>
          <w:sz w:val="24"/>
          <w:szCs w:val="24"/>
        </w:rPr>
        <w:t>a</w:t>
      </w:r>
      <w:r w:rsidRPr="00096909">
        <w:rPr>
          <w:rFonts w:ascii="Times New Roman" w:hAnsi="Times New Roman" w:cs="Times New Roman"/>
          <w:sz w:val="24"/>
          <w:szCs w:val="24"/>
        </w:rPr>
        <w:t xml:space="preserve">, 36 libri di filosofia morale, 15 </w:t>
      </w:r>
      <w:r w:rsidRPr="00096909">
        <w:rPr>
          <w:rFonts w:ascii="Times New Roman" w:hAnsi="Times New Roman" w:cs="Times New Roman"/>
          <w:i/>
          <w:sz w:val="24"/>
          <w:szCs w:val="24"/>
        </w:rPr>
        <w:t>libri naturales</w:t>
      </w:r>
      <w:r w:rsidRPr="00096909">
        <w:rPr>
          <w:rFonts w:ascii="Times New Roman" w:hAnsi="Times New Roman" w:cs="Times New Roman"/>
          <w:sz w:val="24"/>
          <w:szCs w:val="24"/>
        </w:rPr>
        <w:t xml:space="preserve">, 17 di medicina e grammatica, 28 di astrologia, 32 </w:t>
      </w:r>
      <w:r>
        <w:rPr>
          <w:rFonts w:ascii="Times New Roman" w:hAnsi="Times New Roman" w:cs="Times New Roman"/>
          <w:sz w:val="24"/>
          <w:szCs w:val="24"/>
        </w:rPr>
        <w:t>scritti</w:t>
      </w:r>
      <w:r w:rsidRPr="00096909">
        <w:rPr>
          <w:rFonts w:ascii="Times New Roman" w:hAnsi="Times New Roman" w:cs="Times New Roman"/>
          <w:sz w:val="24"/>
          <w:szCs w:val="24"/>
        </w:rPr>
        <w:t xml:space="preserve"> «in lingua volgare»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tra cui Dante, il </w:t>
      </w:r>
      <w:r w:rsidRPr="00096909">
        <w:rPr>
          <w:rFonts w:ascii="Times New Roman" w:hAnsi="Times New Roman" w:cs="Times New Roman"/>
          <w:i/>
          <w:sz w:val="24"/>
          <w:szCs w:val="24"/>
        </w:rPr>
        <w:t>Dittamondo</w:t>
      </w:r>
      <w:r w:rsidRPr="00096909">
        <w:rPr>
          <w:rFonts w:ascii="Times New Roman" w:hAnsi="Times New Roman" w:cs="Times New Roman"/>
          <w:sz w:val="24"/>
          <w:szCs w:val="24"/>
        </w:rPr>
        <w:t xml:space="preserve"> e la </w:t>
      </w:r>
      <w:r w:rsidRPr="00096909">
        <w:rPr>
          <w:rFonts w:ascii="Times New Roman" w:hAnsi="Times New Roman" w:cs="Times New Roman"/>
          <w:i/>
          <w:sz w:val="24"/>
          <w:szCs w:val="24"/>
        </w:rPr>
        <w:t>Cronaca</w:t>
      </w:r>
      <w:r w:rsidRPr="00096909">
        <w:rPr>
          <w:rFonts w:ascii="Times New Roman" w:hAnsi="Times New Roman" w:cs="Times New Roman"/>
          <w:sz w:val="24"/>
          <w:szCs w:val="24"/>
        </w:rPr>
        <w:t xml:space="preserve"> di Villani</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67 «in lingua francigena»</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tra cui gli apprezzati poemi cavallereschi già incontrati tra le letture degli Este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per un totale di 392 manoscritti.</w:t>
      </w:r>
      <w:r w:rsidRPr="00096909">
        <w:rPr>
          <w:rStyle w:val="Rimandonotaapidipagina"/>
          <w:rFonts w:ascii="Times New Roman" w:hAnsi="Times New Roman" w:cs="Times New Roman"/>
          <w:sz w:val="24"/>
          <w:szCs w:val="24"/>
        </w:rPr>
        <w:footnoteReference w:id="216"/>
      </w:r>
      <w:r w:rsidRPr="00096909">
        <w:rPr>
          <w:rFonts w:ascii="Times New Roman" w:hAnsi="Times New Roman" w:cs="Times New Roman"/>
          <w:sz w:val="24"/>
          <w:szCs w:val="24"/>
        </w:rPr>
        <w:t xml:space="preserve"> </w:t>
      </w:r>
      <w:r>
        <w:rPr>
          <w:rFonts w:ascii="Times New Roman" w:hAnsi="Times New Roman" w:cs="Times New Roman"/>
          <w:sz w:val="24"/>
          <w:szCs w:val="24"/>
        </w:rPr>
        <w:t>Pertanto, l</w:t>
      </w:r>
      <w:r w:rsidRPr="00096909">
        <w:rPr>
          <w:rFonts w:ascii="Times New Roman" w:hAnsi="Times New Roman" w:cs="Times New Roman"/>
          <w:sz w:val="24"/>
          <w:szCs w:val="24"/>
        </w:rPr>
        <w:t xml:space="preserve">a letteratura in francese domina anche tra i 292 libri di Francesco I, con 67 titoli a fronte di 32 in volgare italiano. </w:t>
      </w:r>
    </w:p>
    <w:p w14:paraId="18532AB3"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Ancora lontane dall’acquisire la fisionomia di biblioteche ‘di stato’ custodi di un sapere universale, queste raccolte della prima metà del secolo XV riflettono</w:t>
      </w:r>
      <w:r>
        <w:rPr>
          <w:rFonts w:ascii="Times New Roman" w:hAnsi="Times New Roman" w:cs="Times New Roman"/>
          <w:sz w:val="24"/>
          <w:szCs w:val="24"/>
        </w:rPr>
        <w:t xml:space="preserve"> quindi</w:t>
      </w:r>
      <w:r w:rsidRPr="00096909">
        <w:rPr>
          <w:rFonts w:ascii="Times New Roman" w:hAnsi="Times New Roman" w:cs="Times New Roman"/>
          <w:sz w:val="24"/>
          <w:szCs w:val="24"/>
        </w:rPr>
        <w:t xml:space="preserve"> il gusto eclettico della cultura delle corti, orientato al reperimento di un patrimonio di informazioni pratiche – tanto da permettere il ricorso ai volgarizzamenti per accedere al</w:t>
      </w:r>
      <w:r>
        <w:rPr>
          <w:rFonts w:ascii="Times New Roman" w:hAnsi="Times New Roman" w:cs="Times New Roman"/>
          <w:sz w:val="24"/>
          <w:szCs w:val="24"/>
        </w:rPr>
        <w:t>la conoscenza</w:t>
      </w:r>
      <w:r w:rsidRPr="00096909">
        <w:rPr>
          <w:rFonts w:ascii="Times New Roman" w:hAnsi="Times New Roman" w:cs="Times New Roman"/>
          <w:sz w:val="24"/>
          <w:szCs w:val="24"/>
        </w:rPr>
        <w:t xml:space="preserve"> – e ispirato a un immaginario aristocratico che si alimentava delle letture dei poemi dei paladini di Carlo Magno e di re Artù. </w:t>
      </w:r>
    </w:p>
    <w:p w14:paraId="4999DFA8"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Da tali saghe proveniva un repertorio d</w:t>
      </w:r>
      <w:r>
        <w:rPr>
          <w:rFonts w:ascii="Times New Roman" w:hAnsi="Times New Roman" w:cs="Times New Roman"/>
          <w:sz w:val="24"/>
          <w:szCs w:val="24"/>
        </w:rPr>
        <w:t>’</w:t>
      </w:r>
      <w:r w:rsidRPr="00096909">
        <w:rPr>
          <w:rFonts w:ascii="Times New Roman" w:hAnsi="Times New Roman" w:cs="Times New Roman"/>
          <w:sz w:val="24"/>
          <w:szCs w:val="24"/>
        </w:rPr>
        <w:t>immagini cavalleresche che trovava espressione nei soggetti dei tornei figurati e dei passi d’arme delle corti padane, ma anche in imprese decorative destinate ad abbellire dimore signorili, come gli affreschi di Pisanello dedicati alle imprese del paladino Bohort nel salone principale del castello di Gian Francesco Gonzaga.</w:t>
      </w:r>
      <w:r w:rsidRPr="00096909">
        <w:rPr>
          <w:rStyle w:val="Rimandonotaapidipagina"/>
          <w:rFonts w:ascii="Times New Roman" w:hAnsi="Times New Roman" w:cs="Times New Roman"/>
          <w:sz w:val="24"/>
          <w:szCs w:val="24"/>
        </w:rPr>
        <w:footnoteReference w:id="217"/>
      </w:r>
      <w:r w:rsidRPr="00096909">
        <w:rPr>
          <w:rFonts w:ascii="Times New Roman" w:hAnsi="Times New Roman" w:cs="Times New Roman"/>
          <w:sz w:val="24"/>
          <w:szCs w:val="24"/>
        </w:rPr>
        <w:t xml:space="preserve">  </w:t>
      </w:r>
    </w:p>
    <w:p w14:paraId="2F260693"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L’epica cavalleresca ebbe</w:t>
      </w:r>
      <w:r w:rsidR="007F48AC">
        <w:rPr>
          <w:rFonts w:ascii="Times New Roman" w:hAnsi="Times New Roman" w:cs="Times New Roman"/>
          <w:sz w:val="24"/>
          <w:szCs w:val="24"/>
        </w:rPr>
        <w:t>,</w:t>
      </w:r>
      <w:r w:rsidRPr="00096909">
        <w:rPr>
          <w:rFonts w:ascii="Times New Roman" w:hAnsi="Times New Roman" w:cs="Times New Roman"/>
          <w:sz w:val="24"/>
          <w:szCs w:val="24"/>
        </w:rPr>
        <w:t xml:space="preserve"> in effetti</w:t>
      </w:r>
      <w:r w:rsidR="007F48AC">
        <w:rPr>
          <w:rFonts w:ascii="Times New Roman" w:hAnsi="Times New Roman" w:cs="Times New Roman"/>
          <w:sz w:val="24"/>
          <w:szCs w:val="24"/>
        </w:rPr>
        <w:t>,</w:t>
      </w:r>
      <w:r w:rsidRPr="00096909">
        <w:rPr>
          <w:rFonts w:ascii="Times New Roman" w:hAnsi="Times New Roman" w:cs="Times New Roman"/>
          <w:sz w:val="24"/>
          <w:szCs w:val="24"/>
        </w:rPr>
        <w:t xml:space="preserve"> un fortissimo ascendente presso le corti settentrionali durante tutto il Quattrocento, come documenta ancora nel dicembre 1468 una lettera di Ludovico Gonzaga a Borso d’Este con la richiesta di restituzione di un </w:t>
      </w:r>
      <w:r w:rsidRPr="00096909">
        <w:rPr>
          <w:rFonts w:ascii="Times New Roman" w:hAnsi="Times New Roman" w:cs="Times New Roman"/>
          <w:i/>
          <w:sz w:val="24"/>
          <w:szCs w:val="24"/>
        </w:rPr>
        <w:t>Lancelot</w:t>
      </w:r>
      <w:r w:rsidRPr="00096909">
        <w:rPr>
          <w:rFonts w:ascii="Times New Roman" w:hAnsi="Times New Roman" w:cs="Times New Roman"/>
          <w:sz w:val="24"/>
          <w:szCs w:val="24"/>
        </w:rPr>
        <w:t xml:space="preserve"> datogli in prestito, «perché questo libro continuamente se tene a la camara nostra et nui alle volte pigliamo piacere de lezerlo».</w:t>
      </w:r>
      <w:r w:rsidRPr="00096909">
        <w:rPr>
          <w:rStyle w:val="Rimandonotaapidipagina"/>
          <w:rFonts w:ascii="Times New Roman" w:hAnsi="Times New Roman" w:cs="Times New Roman"/>
          <w:sz w:val="24"/>
          <w:szCs w:val="24"/>
        </w:rPr>
        <w:footnoteReference w:id="218"/>
      </w:r>
      <w:r w:rsidRPr="00096909">
        <w:rPr>
          <w:rFonts w:ascii="Times New Roman" w:hAnsi="Times New Roman" w:cs="Times New Roman"/>
          <w:sz w:val="24"/>
          <w:szCs w:val="24"/>
        </w:rPr>
        <w:t xml:space="preserve"> </w:t>
      </w:r>
    </w:p>
    <w:p w14:paraId="60D7075F"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Alla metà del Quattrocento, il trionfo dell’Umanesimo, forte delle scoperte filologiche di Poggio Bracciolini (1416-1417) e dello stimolante incontro tra gli intellettuali d’Occidente e i dotti d’Oriente riuniti per il Concilio di Firenze (1439),</w:t>
      </w:r>
      <w:r w:rsidRPr="00096909">
        <w:rPr>
          <w:rStyle w:val="Rimandonotaapidipagina"/>
          <w:rFonts w:ascii="Times New Roman" w:hAnsi="Times New Roman" w:cs="Times New Roman"/>
          <w:sz w:val="24"/>
          <w:szCs w:val="24"/>
        </w:rPr>
        <w:footnoteReference w:id="219"/>
      </w:r>
      <w:r w:rsidRPr="00096909">
        <w:rPr>
          <w:rFonts w:ascii="Times New Roman" w:hAnsi="Times New Roman" w:cs="Times New Roman"/>
          <w:sz w:val="24"/>
          <w:szCs w:val="24"/>
        </w:rPr>
        <w:t xml:space="preserve"> pose le basi </w:t>
      </w:r>
      <w:r w:rsidR="007F48AC">
        <w:rPr>
          <w:rFonts w:ascii="Times New Roman" w:hAnsi="Times New Roman" w:cs="Times New Roman"/>
          <w:sz w:val="24"/>
          <w:szCs w:val="24"/>
        </w:rPr>
        <w:t>per</w:t>
      </w:r>
      <w:r w:rsidRPr="00096909">
        <w:rPr>
          <w:rFonts w:ascii="Times New Roman" w:hAnsi="Times New Roman" w:cs="Times New Roman"/>
          <w:sz w:val="24"/>
          <w:szCs w:val="24"/>
        </w:rPr>
        <w:t xml:space="preserve"> un ripensamento radicale del repertorio testuale necessario alla biblioteca ideale, che portò ad ammettere tra le letture consigliate i testi latini riconquistati dalla perizia dei filologi quattrocenteschi, le opere greche, finalmente accessibili grazie al potenziamento dello studio delle lingue antiche, e gli studi eruditi degli umanisti dedicati a dispute grammaticali, storiografiche e antiquarie. </w:t>
      </w:r>
    </w:p>
    <w:p w14:paraId="3442BCC7"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Proprio </w:t>
      </w:r>
      <w:r w:rsidR="00264534">
        <w:rPr>
          <w:rFonts w:ascii="Times New Roman" w:hAnsi="Times New Roman" w:cs="Times New Roman"/>
          <w:sz w:val="24"/>
          <w:szCs w:val="24"/>
        </w:rPr>
        <w:t>a</w:t>
      </w:r>
      <w:r w:rsidRPr="00096909">
        <w:rPr>
          <w:rFonts w:ascii="Times New Roman" w:hAnsi="Times New Roman" w:cs="Times New Roman"/>
          <w:sz w:val="24"/>
          <w:szCs w:val="24"/>
        </w:rPr>
        <w:t xml:space="preserve">gli anni della residenza della curia di Eugenio IV a Firenze per il Concilio si </w:t>
      </w:r>
      <w:r w:rsidR="00264534">
        <w:rPr>
          <w:rFonts w:ascii="Times New Roman" w:hAnsi="Times New Roman" w:cs="Times New Roman"/>
          <w:sz w:val="24"/>
          <w:szCs w:val="24"/>
        </w:rPr>
        <w:t>data</w:t>
      </w:r>
      <w:r w:rsidRPr="00096909">
        <w:rPr>
          <w:rFonts w:ascii="Times New Roman" w:hAnsi="Times New Roman" w:cs="Times New Roman"/>
          <w:sz w:val="24"/>
          <w:szCs w:val="24"/>
        </w:rPr>
        <w:t xml:space="preserve"> la composizione di un documento destinato a confermare la </w:t>
      </w:r>
      <w:r w:rsidR="00264534">
        <w:rPr>
          <w:rFonts w:ascii="Times New Roman" w:hAnsi="Times New Roman" w:cs="Times New Roman"/>
          <w:sz w:val="24"/>
          <w:szCs w:val="24"/>
        </w:rPr>
        <w:t>validi</w:t>
      </w:r>
      <w:r w:rsidRPr="00096909">
        <w:rPr>
          <w:rFonts w:ascii="Times New Roman" w:hAnsi="Times New Roman" w:cs="Times New Roman"/>
          <w:sz w:val="24"/>
          <w:szCs w:val="24"/>
        </w:rPr>
        <w:t>tà della formulazione di questo nuovo modello di selezione libraria.</w:t>
      </w:r>
    </w:p>
    <w:p w14:paraId="7F50DC08"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 Tra il 1439 e il 1440 Cosimo de’ Medici, impegnato, come detto, nel </w:t>
      </w:r>
      <w:r>
        <w:rPr>
          <w:rFonts w:ascii="Times New Roman" w:hAnsi="Times New Roman" w:cs="Times New Roman"/>
          <w:sz w:val="24"/>
          <w:szCs w:val="24"/>
        </w:rPr>
        <w:t xml:space="preserve">progetto di restauro del convento </w:t>
      </w:r>
      <w:r w:rsidRPr="00096909">
        <w:rPr>
          <w:rFonts w:ascii="Times New Roman" w:hAnsi="Times New Roman" w:cs="Times New Roman"/>
          <w:sz w:val="24"/>
          <w:szCs w:val="24"/>
        </w:rPr>
        <w:t>di San Marco, richiese una lista d</w:t>
      </w:r>
      <w:r w:rsidR="00264534">
        <w:rPr>
          <w:rFonts w:ascii="Times New Roman" w:hAnsi="Times New Roman" w:cs="Times New Roman"/>
          <w:sz w:val="24"/>
          <w:szCs w:val="24"/>
        </w:rPr>
        <w:t>elle</w:t>
      </w:r>
      <w:r w:rsidRPr="00096909">
        <w:rPr>
          <w:rFonts w:ascii="Times New Roman" w:hAnsi="Times New Roman" w:cs="Times New Roman"/>
          <w:sz w:val="24"/>
          <w:szCs w:val="24"/>
        </w:rPr>
        <w:t xml:space="preserve"> opere indispensabili all’istituenda biblioteca al segretario del cardinale Niccolò Albergati, Tommaso Parentucelli, esperto teologo e </w:t>
      </w:r>
      <w:r>
        <w:rPr>
          <w:rFonts w:ascii="Times New Roman" w:hAnsi="Times New Roman" w:cs="Times New Roman"/>
          <w:sz w:val="24"/>
          <w:szCs w:val="24"/>
        </w:rPr>
        <w:t xml:space="preserve">fine </w:t>
      </w:r>
      <w:r w:rsidRPr="00096909">
        <w:rPr>
          <w:rFonts w:ascii="Times New Roman" w:hAnsi="Times New Roman" w:cs="Times New Roman"/>
          <w:sz w:val="24"/>
          <w:szCs w:val="24"/>
        </w:rPr>
        <w:t xml:space="preserve">conoscitore di letterature antiche apprezzato da Niccolò Niccoli e da Ambrogio Traversari. </w:t>
      </w:r>
    </w:p>
    <w:p w14:paraId="5C161285" w14:textId="77777777" w:rsidR="00691F81" w:rsidRPr="00096909" w:rsidRDefault="00691F81" w:rsidP="00691F81">
      <w:pPr>
        <w:spacing w:after="0" w:line="360" w:lineRule="auto"/>
        <w:ind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 tramandare l’episodio sono ancora una volta le pagine di Vespasiano da Bisticci dedicate alla </w:t>
      </w:r>
      <w:r w:rsidRPr="00096909">
        <w:rPr>
          <w:rFonts w:ascii="Times New Roman" w:hAnsi="Times New Roman" w:cs="Times New Roman"/>
          <w:i/>
          <w:sz w:val="24"/>
          <w:szCs w:val="24"/>
        </w:rPr>
        <w:t>Vita di Niccolò V</w:t>
      </w:r>
      <w:r w:rsidRPr="00096909">
        <w:rPr>
          <w:rFonts w:ascii="Times New Roman" w:hAnsi="Times New Roman" w:cs="Times New Roman"/>
          <w:sz w:val="24"/>
          <w:szCs w:val="24"/>
        </w:rPr>
        <w:t xml:space="preserve">: </w:t>
      </w:r>
    </w:p>
    <w:p w14:paraId="55D15CA5" w14:textId="77777777" w:rsidR="00691F81" w:rsidRPr="00096909" w:rsidRDefault="00691F81" w:rsidP="00691F81">
      <w:pPr>
        <w:spacing w:after="0" w:line="360" w:lineRule="auto"/>
        <w:ind w:left="567" w:right="566" w:firstLine="454"/>
        <w:jc w:val="both"/>
        <w:rPr>
          <w:rFonts w:ascii="Times New Roman" w:hAnsi="Times New Roman" w:cs="Times New Roman"/>
          <w:sz w:val="20"/>
          <w:szCs w:val="20"/>
        </w:rPr>
      </w:pPr>
    </w:p>
    <w:p w14:paraId="5BDC0819" w14:textId="77777777" w:rsidR="00691F81" w:rsidRPr="00096909" w:rsidRDefault="00691F81" w:rsidP="00691F81">
      <w:pPr>
        <w:spacing w:after="0" w:line="360" w:lineRule="auto"/>
        <w:ind w:left="567" w:right="566" w:firstLine="454"/>
        <w:jc w:val="both"/>
        <w:rPr>
          <w:rFonts w:ascii="Times New Roman" w:hAnsi="Times New Roman" w:cs="Times New Roman"/>
          <w:sz w:val="20"/>
          <w:szCs w:val="20"/>
        </w:rPr>
      </w:pPr>
      <w:r w:rsidRPr="00096909">
        <w:rPr>
          <w:rFonts w:ascii="Times New Roman" w:hAnsi="Times New Roman" w:cs="Times New Roman"/>
          <w:sz w:val="20"/>
          <w:szCs w:val="20"/>
        </w:rPr>
        <w:t xml:space="preserve">Non era iscrittore ignuno nella lingua latina, del quale egli non avesse notizia in ogni facultà, in modo di sapere tutti gli scrittori, così greci come latini. Et avendo avuto a ordinare una libreria in tutte le facultà, non era chi n'avessi notizia se non maestro Tomaso. E per questo Cosimo de' Medici avendo a ordinare la libreria di Sancto Marco, iscrisse a maestro Tomaso, gli piacesse fargli una nota come </w:t>
      </w:r>
      <w:r w:rsidRPr="00096909">
        <w:rPr>
          <w:rFonts w:ascii="Times New Roman" w:hAnsi="Times New Roman" w:cs="Times New Roman"/>
          <w:sz w:val="20"/>
          <w:szCs w:val="20"/>
        </w:rPr>
        <w:lastRenderedPageBreak/>
        <w:t>aveva a stare una libraria. Et chi non ha avuto quella innanzi, per essere con grandissimo ordine? Et scrissela di sua mano et mandolla a Cosimo. Et così seguitò l'ordine suo in queste dua librarie di S. Marco e della Badia di Fiesole; e il simile s'è seguito in quella del duca d'Urbino et quella del signore Alexandro Isforza. Et chi arà pe' tempi a fare libraria non potrà fare sanza questo inventario.</w:t>
      </w:r>
      <w:r w:rsidRPr="00096909">
        <w:rPr>
          <w:rStyle w:val="Rimandonotaapidipagina"/>
          <w:rFonts w:ascii="Times New Roman" w:hAnsi="Times New Roman" w:cs="Times New Roman"/>
        </w:rPr>
        <w:footnoteReference w:id="220"/>
      </w:r>
    </w:p>
    <w:p w14:paraId="232F7EFA" w14:textId="77777777" w:rsidR="00691F81" w:rsidRPr="00096909" w:rsidRDefault="00691F81" w:rsidP="00691F81">
      <w:pPr>
        <w:spacing w:after="0" w:line="360" w:lineRule="auto"/>
        <w:ind w:left="567" w:right="566" w:firstLine="454"/>
        <w:jc w:val="both"/>
        <w:rPr>
          <w:rFonts w:ascii="Times New Roman" w:hAnsi="Times New Roman" w:cs="Times New Roman"/>
          <w:sz w:val="20"/>
          <w:szCs w:val="20"/>
        </w:rPr>
      </w:pPr>
    </w:p>
    <w:p w14:paraId="7026F2C4" w14:textId="77777777" w:rsidR="00691F81" w:rsidRPr="00096909" w:rsidRDefault="00691F81" w:rsidP="00691F81">
      <w:pPr>
        <w:spacing w:after="0"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“nota”, celebre nel Rinascimento con il titolo di </w:t>
      </w:r>
      <w:r w:rsidRPr="00096909">
        <w:rPr>
          <w:rFonts w:ascii="Times New Roman" w:hAnsi="Times New Roman" w:cs="Times New Roman"/>
          <w:i/>
          <w:sz w:val="24"/>
          <w:szCs w:val="24"/>
        </w:rPr>
        <w:t>Canone</w:t>
      </w:r>
      <w:r w:rsidRPr="00096909">
        <w:rPr>
          <w:rFonts w:ascii="Times New Roman" w:hAnsi="Times New Roman" w:cs="Times New Roman"/>
          <w:sz w:val="24"/>
          <w:szCs w:val="24"/>
        </w:rPr>
        <w:t xml:space="preserve"> di Tommaso Parentucelli, è tramandata da un unico testimone, vergato nel 1463 dal frate domenicano di San Marco Leonardo ser Uberti.</w:t>
      </w:r>
      <w:r w:rsidRPr="00096909">
        <w:rPr>
          <w:rStyle w:val="Rimandonotaapidipagina"/>
          <w:rFonts w:ascii="Times New Roman" w:hAnsi="Times New Roman" w:cs="Times New Roman"/>
          <w:sz w:val="24"/>
          <w:szCs w:val="24"/>
        </w:rPr>
        <w:footnoteReference w:id="221"/>
      </w:r>
      <w:r w:rsidRPr="00096909">
        <w:rPr>
          <w:rFonts w:ascii="Times New Roman" w:hAnsi="Times New Roman" w:cs="Times New Roman"/>
          <w:sz w:val="24"/>
          <w:szCs w:val="24"/>
        </w:rPr>
        <w:t xml:space="preserve"> Si tratta di una lista di cento autori, comprendente 550 titoli, che media tra la cultura classica e quella ecclesiastica, tra il sapere delle </w:t>
      </w:r>
      <w:r w:rsidRPr="00096909">
        <w:rPr>
          <w:rFonts w:ascii="Times New Roman" w:hAnsi="Times New Roman" w:cs="Times New Roman"/>
          <w:i/>
          <w:sz w:val="24"/>
          <w:szCs w:val="24"/>
        </w:rPr>
        <w:t>scholae</w:t>
      </w:r>
      <w:r w:rsidRPr="00096909">
        <w:rPr>
          <w:rFonts w:ascii="Times New Roman" w:hAnsi="Times New Roman" w:cs="Times New Roman"/>
          <w:sz w:val="24"/>
          <w:szCs w:val="24"/>
        </w:rPr>
        <w:t xml:space="preserve"> medievali e i nuovi presupposti della pedagogia umanistica, e che ha per fondamento il libro per eccellenza: la Bibbia, lo stesso che, come visto, è presente in codici preziosissimi nelle biblioteche principesche e regolarmente ne apre gli inventari. </w:t>
      </w:r>
    </w:p>
    <w:p w14:paraId="213C4104" w14:textId="77777777" w:rsidR="00691F81" w:rsidRPr="00096909" w:rsidRDefault="00691F81" w:rsidP="00691F81">
      <w:pPr>
        <w:spacing w:after="0"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Dopo il </w:t>
      </w:r>
      <w:r w:rsidRPr="00096909">
        <w:rPr>
          <w:rFonts w:ascii="Times New Roman" w:hAnsi="Times New Roman" w:cs="Times New Roman"/>
          <w:i/>
          <w:sz w:val="24"/>
          <w:szCs w:val="24"/>
        </w:rPr>
        <w:t>Libro dei libri</w:t>
      </w:r>
      <w:r w:rsidRPr="00096909">
        <w:rPr>
          <w:rFonts w:ascii="Times New Roman" w:hAnsi="Times New Roman" w:cs="Times New Roman"/>
          <w:sz w:val="24"/>
          <w:szCs w:val="24"/>
        </w:rPr>
        <w:t xml:space="preserve">, Parentucelli nel </w:t>
      </w:r>
      <w:r w:rsidRPr="00096909">
        <w:rPr>
          <w:rFonts w:ascii="Times New Roman" w:hAnsi="Times New Roman" w:cs="Times New Roman"/>
          <w:i/>
          <w:sz w:val="24"/>
          <w:szCs w:val="24"/>
        </w:rPr>
        <w:t>canon divinarum scripturarum</w:t>
      </w:r>
      <w:r w:rsidRPr="00096909">
        <w:rPr>
          <w:rFonts w:ascii="Times New Roman" w:hAnsi="Times New Roman" w:cs="Times New Roman"/>
          <w:sz w:val="24"/>
          <w:szCs w:val="24"/>
        </w:rPr>
        <w:t xml:space="preserve"> che inaugura la serie dei suoi </w:t>
      </w:r>
      <w:r w:rsidRPr="00096909">
        <w:rPr>
          <w:rFonts w:ascii="Times New Roman" w:hAnsi="Times New Roman" w:cs="Times New Roman"/>
          <w:i/>
          <w:sz w:val="24"/>
          <w:szCs w:val="24"/>
        </w:rPr>
        <w:t>desiderata</w:t>
      </w:r>
      <w:r w:rsidRPr="00096909">
        <w:rPr>
          <w:rFonts w:ascii="Times New Roman" w:hAnsi="Times New Roman" w:cs="Times New Roman"/>
          <w:sz w:val="24"/>
          <w:szCs w:val="24"/>
        </w:rPr>
        <w:t xml:space="preserve"> elenca gli scritti degli autori patristici greci e latini, dal I al VII secolo, di cui reputa essenziale la conoscenza: Dionigi Areopagita, Origene, Ireneo, Ignazio d’Antiochia, Eusebio di Cesarea, gli storici ebraici Giuseppe Flavio e Egesippo, Gregorio Nazianzieno, Basilio, Gregorio di Nissa, Atanasio di Alessandria, Giovanni Crisostomo, Didimo di Alessandria, Giovanni Damasceno, Lattanzio, Cipriano, Ilario di Poitiers, Ambrogio, Girolamo, Agostino, Leone Magno, Giovanni Cassiano, Gregorio Magno, Prospero d’Aquitania, Cassiodoro, Isidoro di Siviglia, Fulgenzio, Pascasio Radberto, Remigio di Auxerre, Beda, Boezio.</w:t>
      </w:r>
    </w:p>
    <w:p w14:paraId="1F96FB04" w14:textId="77777777" w:rsidR="00691F81" w:rsidRPr="00096909" w:rsidRDefault="00691F81" w:rsidP="00691F81">
      <w:pPr>
        <w:spacing w:after="0"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Seguono i maestri di dottrina cristiana del XII secolo: Ugo e Riccardo di San Vittore, Gilberto Porrettano, Bernardo di Chiaravalle e Pietro Lombardo, insieme con i domenicani Guglielmo d'Alvernia, Alessandro di Hales, Bonaventura da Bagnoregio, Giovanni Duns Scoto, Enrico di Gand, Durando di Saint-Pourgain, Egidio Romano, Guglielmo da Parigi e il biblista e controversista Niccolò de L</w:t>
      </w:r>
      <w:r w:rsidR="00653F83">
        <w:rPr>
          <w:rFonts w:ascii="Times New Roman" w:hAnsi="Times New Roman" w:cs="Times New Roman"/>
          <w:sz w:val="24"/>
          <w:szCs w:val="24"/>
        </w:rPr>
        <w:t>i</w:t>
      </w:r>
      <w:r w:rsidRPr="00096909">
        <w:rPr>
          <w:rFonts w:ascii="Times New Roman" w:hAnsi="Times New Roman" w:cs="Times New Roman"/>
          <w:sz w:val="24"/>
          <w:szCs w:val="24"/>
        </w:rPr>
        <w:t>ra. Grande risalto è accordato ai massimi esponenti dell’ordine dei predicatori</w:t>
      </w:r>
      <w:r>
        <w:rPr>
          <w:rFonts w:ascii="Times New Roman" w:hAnsi="Times New Roman" w:cs="Times New Roman"/>
          <w:sz w:val="24"/>
          <w:szCs w:val="24"/>
        </w:rPr>
        <w:t>,</w:t>
      </w:r>
      <w:r w:rsidRPr="00096909">
        <w:rPr>
          <w:rFonts w:ascii="Times New Roman" w:hAnsi="Times New Roman" w:cs="Times New Roman"/>
          <w:sz w:val="24"/>
          <w:szCs w:val="24"/>
        </w:rPr>
        <w:t xml:space="preserve"> Alberto Magno e Tommaso d’Aquino, essenziali per i domenicani di San Marco che avrebbero dovuto tenere pubblici sermoni per i fedeli. </w:t>
      </w:r>
    </w:p>
    <w:p w14:paraId="7E2883A5" w14:textId="77777777" w:rsidR="00691F81" w:rsidRPr="00096909" w:rsidRDefault="00691F81" w:rsidP="00691F81">
      <w:pPr>
        <w:spacing w:after="0"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La seconda sezione del canone è dedicata interamente alle opere di Aristotele e dei suoi commentatori dall’antichità al medioevo (Filopono, Simplicio, Alessandro di Afrodisia, Ammonio ed Eustazio), con l’ammissione persino dei testi delle versioni latine degli scritti degli arabi Avicenna e Averroè, che ne avevano tramandato il pensiero durante il Medioevo. </w:t>
      </w:r>
    </w:p>
    <w:p w14:paraId="734F3DCF"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Chiude la lista l’elenco delle letture, all’epoca comuni nelle università, su cui erano state intavolate alcune delle più accese discussioni degli umanisti. Si tratta di opere</w:t>
      </w:r>
      <w:r>
        <w:rPr>
          <w:rFonts w:ascii="Times New Roman" w:hAnsi="Times New Roman" w:cs="Times New Roman"/>
          <w:sz w:val="24"/>
          <w:szCs w:val="24"/>
        </w:rPr>
        <w:t>,</w:t>
      </w:r>
      <w:r w:rsidRPr="00096909">
        <w:rPr>
          <w:rFonts w:ascii="Times New Roman" w:hAnsi="Times New Roman" w:cs="Times New Roman"/>
          <w:sz w:val="24"/>
          <w:szCs w:val="24"/>
        </w:rPr>
        <w:t xml:space="preserve"> spesso recentemente rinvenute, che impostavano l’approccio umanistico alla geografia, alle scienze alla grammatica e all’antiquaria, riunite sotto la definizione unica di </w:t>
      </w:r>
      <w:r w:rsidRPr="00096909">
        <w:rPr>
          <w:rFonts w:ascii="Times New Roman" w:hAnsi="Times New Roman" w:cs="Times New Roman"/>
          <w:i/>
          <w:sz w:val="24"/>
          <w:szCs w:val="24"/>
        </w:rPr>
        <w:t>studia humanitatis</w:t>
      </w:r>
      <w:r w:rsidRPr="00096909">
        <w:rPr>
          <w:rFonts w:ascii="Times New Roman" w:hAnsi="Times New Roman" w:cs="Times New Roman"/>
          <w:sz w:val="24"/>
          <w:szCs w:val="24"/>
        </w:rPr>
        <w:t xml:space="preserve">.  </w:t>
      </w:r>
    </w:p>
    <w:p w14:paraId="42032B8E" w14:textId="77777777" w:rsidR="00691F81" w:rsidRPr="00096909" w:rsidRDefault="00691F81" w:rsidP="00691F81">
      <w:pPr>
        <w:pStyle w:val="Testonotaapidipagina"/>
        <w:tabs>
          <w:tab w:val="left" w:pos="709"/>
        </w:tabs>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Preceduti dalla rubrica dell’autore «</w:t>
      </w:r>
      <w:r w:rsidRPr="00096909">
        <w:rPr>
          <w:rFonts w:ascii="Times New Roman" w:hAnsi="Times New Roman" w:cs="Times New Roman"/>
          <w:i/>
          <w:sz w:val="24"/>
          <w:szCs w:val="24"/>
        </w:rPr>
        <w:t>Ego tamen si bibliothecam conditurus essem, cum omnia a me haberi non possent, vellem ista praecipue non deesse</w:t>
      </w:r>
      <w:r w:rsidRPr="00096909">
        <w:rPr>
          <w:rFonts w:ascii="Times New Roman" w:hAnsi="Times New Roman" w:cs="Times New Roman"/>
          <w:sz w:val="24"/>
          <w:szCs w:val="24"/>
        </w:rPr>
        <w:t>» vi troviamo l'</w:t>
      </w:r>
      <w:r w:rsidRPr="00096909">
        <w:rPr>
          <w:rFonts w:ascii="Times New Roman" w:hAnsi="Times New Roman" w:cs="Times New Roman"/>
          <w:i/>
          <w:sz w:val="24"/>
          <w:szCs w:val="24"/>
        </w:rPr>
        <w:t>Almagesto</w:t>
      </w:r>
      <w:r w:rsidRPr="00096909">
        <w:rPr>
          <w:rFonts w:ascii="Times New Roman" w:hAnsi="Times New Roman" w:cs="Times New Roman"/>
          <w:sz w:val="24"/>
          <w:szCs w:val="24"/>
        </w:rPr>
        <w:t xml:space="preserve"> e la </w:t>
      </w:r>
      <w:r w:rsidRPr="00096909">
        <w:rPr>
          <w:rFonts w:ascii="Times New Roman" w:hAnsi="Times New Roman" w:cs="Times New Roman"/>
          <w:i/>
          <w:sz w:val="24"/>
          <w:szCs w:val="24"/>
        </w:rPr>
        <w:t>Cosmographia</w:t>
      </w:r>
      <w:r w:rsidRPr="00096909">
        <w:rPr>
          <w:rFonts w:ascii="Times New Roman" w:hAnsi="Times New Roman" w:cs="Times New Roman"/>
          <w:sz w:val="24"/>
          <w:szCs w:val="24"/>
        </w:rPr>
        <w:t xml:space="preserve"> di Tolomeo, la </w:t>
      </w:r>
      <w:r w:rsidRPr="00096909">
        <w:rPr>
          <w:rFonts w:ascii="Times New Roman" w:hAnsi="Times New Roman" w:cs="Times New Roman"/>
          <w:i/>
          <w:sz w:val="24"/>
          <w:szCs w:val="24"/>
        </w:rPr>
        <w:t>Perspectiva</w:t>
      </w:r>
      <w:r w:rsidRPr="00096909">
        <w:rPr>
          <w:rFonts w:ascii="Times New Roman" w:hAnsi="Times New Roman" w:cs="Times New Roman"/>
          <w:sz w:val="24"/>
          <w:szCs w:val="24"/>
        </w:rPr>
        <w:t xml:space="preserve"> di Vitelio, l’</w:t>
      </w:r>
      <w:r w:rsidRPr="00096909">
        <w:rPr>
          <w:rFonts w:ascii="Times New Roman" w:hAnsi="Times New Roman" w:cs="Times New Roman"/>
          <w:i/>
          <w:sz w:val="24"/>
          <w:szCs w:val="24"/>
        </w:rPr>
        <w:t>Historia naturalis</w:t>
      </w:r>
      <w:r w:rsidRPr="00096909">
        <w:rPr>
          <w:rFonts w:ascii="Times New Roman" w:hAnsi="Times New Roman" w:cs="Times New Roman"/>
          <w:sz w:val="24"/>
          <w:szCs w:val="24"/>
        </w:rPr>
        <w:t xml:space="preserve"> di Plinio, il </w:t>
      </w:r>
      <w:r w:rsidRPr="00096909">
        <w:rPr>
          <w:rFonts w:ascii="Times New Roman" w:hAnsi="Times New Roman" w:cs="Times New Roman"/>
          <w:i/>
          <w:sz w:val="24"/>
          <w:szCs w:val="24"/>
        </w:rPr>
        <w:t>De agricoltura</w:t>
      </w:r>
      <w:r w:rsidRPr="00096909">
        <w:rPr>
          <w:rFonts w:ascii="Times New Roman" w:hAnsi="Times New Roman" w:cs="Times New Roman"/>
          <w:sz w:val="24"/>
          <w:szCs w:val="24"/>
        </w:rPr>
        <w:t xml:space="preserve"> di Columella, il </w:t>
      </w:r>
      <w:r w:rsidRPr="00096909">
        <w:rPr>
          <w:rFonts w:ascii="Times New Roman" w:hAnsi="Times New Roman" w:cs="Times New Roman"/>
          <w:i/>
          <w:sz w:val="24"/>
          <w:szCs w:val="24"/>
        </w:rPr>
        <w:t>De re rustica</w:t>
      </w:r>
      <w:r w:rsidRPr="00096909">
        <w:rPr>
          <w:rFonts w:ascii="Times New Roman" w:hAnsi="Times New Roman" w:cs="Times New Roman"/>
          <w:sz w:val="24"/>
          <w:szCs w:val="24"/>
        </w:rPr>
        <w:t xml:space="preserve"> di Catone, il </w:t>
      </w:r>
      <w:r w:rsidRPr="00096909">
        <w:rPr>
          <w:rFonts w:ascii="Times New Roman" w:hAnsi="Times New Roman" w:cs="Times New Roman"/>
          <w:i/>
          <w:sz w:val="24"/>
          <w:szCs w:val="24"/>
        </w:rPr>
        <w:t>De architectura</w:t>
      </w:r>
      <w:r w:rsidRPr="00096909">
        <w:rPr>
          <w:rFonts w:ascii="Times New Roman" w:hAnsi="Times New Roman" w:cs="Times New Roman"/>
          <w:sz w:val="24"/>
          <w:szCs w:val="24"/>
        </w:rPr>
        <w:t xml:space="preserve"> di Vitruvio e l’</w:t>
      </w:r>
      <w:r w:rsidRPr="00096909">
        <w:rPr>
          <w:rFonts w:ascii="Times New Roman" w:hAnsi="Times New Roman" w:cs="Times New Roman"/>
          <w:i/>
          <w:sz w:val="24"/>
          <w:szCs w:val="24"/>
        </w:rPr>
        <w:t xml:space="preserve">Epitoma rei militari </w:t>
      </w:r>
      <w:r w:rsidRPr="00096909">
        <w:rPr>
          <w:rFonts w:ascii="Times New Roman" w:hAnsi="Times New Roman" w:cs="Times New Roman"/>
          <w:sz w:val="24"/>
          <w:szCs w:val="24"/>
        </w:rPr>
        <w:t>di Vegezio. Per la grammatica vi figurano Prisciano, Donato, Varrone, Nonio Marcello, Servio, Pompeo Sesto e l’</w:t>
      </w:r>
      <w:r w:rsidRPr="00096909">
        <w:rPr>
          <w:rFonts w:ascii="Times New Roman" w:hAnsi="Times New Roman" w:cs="Times New Roman"/>
          <w:i/>
          <w:sz w:val="24"/>
          <w:szCs w:val="24"/>
        </w:rPr>
        <w:t xml:space="preserve">Istitutio oratoria </w:t>
      </w:r>
      <w:r w:rsidRPr="00096909">
        <w:rPr>
          <w:rFonts w:ascii="Times New Roman" w:hAnsi="Times New Roman" w:cs="Times New Roman"/>
          <w:sz w:val="24"/>
          <w:szCs w:val="24"/>
        </w:rPr>
        <w:t xml:space="preserve">di Quintiliano. </w:t>
      </w:r>
    </w:p>
    <w:p w14:paraId="0EAABC15"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Quali modelli dell’oratoria e della prosa latina sono eletti Cicerone e Seneca, mentre per la poesia Virgilio, Orazio, Stazio, Lucano, Ovidio</w:t>
      </w:r>
      <w:r>
        <w:rPr>
          <w:rFonts w:ascii="Times New Roman" w:hAnsi="Times New Roman" w:cs="Times New Roman"/>
          <w:sz w:val="24"/>
          <w:szCs w:val="24"/>
        </w:rPr>
        <w:t>;</w:t>
      </w:r>
      <w:r w:rsidRPr="00096909">
        <w:rPr>
          <w:rFonts w:ascii="Times New Roman" w:hAnsi="Times New Roman" w:cs="Times New Roman"/>
          <w:sz w:val="24"/>
          <w:szCs w:val="24"/>
        </w:rPr>
        <w:t xml:space="preserve"> per la storia</w:t>
      </w:r>
      <w:r>
        <w:rPr>
          <w:rFonts w:ascii="Times New Roman" w:hAnsi="Times New Roman" w:cs="Times New Roman"/>
          <w:sz w:val="24"/>
          <w:szCs w:val="24"/>
        </w:rPr>
        <w:t>:</w:t>
      </w:r>
      <w:r w:rsidRPr="00096909">
        <w:rPr>
          <w:rFonts w:ascii="Times New Roman" w:hAnsi="Times New Roman" w:cs="Times New Roman"/>
          <w:sz w:val="24"/>
          <w:szCs w:val="24"/>
        </w:rPr>
        <w:t xml:space="preserve"> Livio, Sallustio, Cesare, Svetonio, Aristide. Infine</w:t>
      </w:r>
      <w:r>
        <w:rPr>
          <w:rFonts w:ascii="Times New Roman" w:hAnsi="Times New Roman" w:cs="Times New Roman"/>
          <w:sz w:val="24"/>
          <w:szCs w:val="24"/>
        </w:rPr>
        <w:t>,</w:t>
      </w:r>
      <w:r w:rsidRPr="00096909">
        <w:rPr>
          <w:rFonts w:ascii="Times New Roman" w:hAnsi="Times New Roman" w:cs="Times New Roman"/>
          <w:sz w:val="24"/>
          <w:szCs w:val="24"/>
        </w:rPr>
        <w:t xml:space="preserve"> Plutarco, Apuleio, Aulo Gellio e Macrobio.  </w:t>
      </w:r>
    </w:p>
    <w:p w14:paraId="46FE2EC5"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Parentucelli non menzion</w:t>
      </w:r>
      <w:r>
        <w:rPr>
          <w:rFonts w:ascii="Times New Roman" w:hAnsi="Times New Roman" w:cs="Times New Roman"/>
          <w:sz w:val="24"/>
          <w:szCs w:val="24"/>
        </w:rPr>
        <w:t>ò</w:t>
      </w:r>
      <w:r w:rsidRPr="00096909">
        <w:rPr>
          <w:rFonts w:ascii="Times New Roman" w:hAnsi="Times New Roman" w:cs="Times New Roman"/>
          <w:sz w:val="24"/>
          <w:szCs w:val="24"/>
        </w:rPr>
        <w:t xml:space="preserve"> invece trattati di diritto civile e canonico, che costituis</w:t>
      </w:r>
      <w:r>
        <w:rPr>
          <w:rFonts w:ascii="Times New Roman" w:hAnsi="Times New Roman" w:cs="Times New Roman"/>
          <w:sz w:val="24"/>
          <w:szCs w:val="24"/>
        </w:rPr>
        <w:t>co</w:t>
      </w:r>
      <w:r w:rsidRPr="00096909">
        <w:rPr>
          <w:rFonts w:ascii="Times New Roman" w:hAnsi="Times New Roman" w:cs="Times New Roman"/>
          <w:sz w:val="24"/>
          <w:szCs w:val="24"/>
        </w:rPr>
        <w:t xml:space="preserve">no l’assenza forse più evidente </w:t>
      </w:r>
      <w:r>
        <w:rPr>
          <w:rFonts w:ascii="Times New Roman" w:hAnsi="Times New Roman" w:cs="Times New Roman"/>
          <w:sz w:val="24"/>
          <w:szCs w:val="24"/>
        </w:rPr>
        <w:t>n</w:t>
      </w:r>
      <w:r w:rsidRPr="00096909">
        <w:rPr>
          <w:rFonts w:ascii="Times New Roman" w:hAnsi="Times New Roman" w:cs="Times New Roman"/>
          <w:sz w:val="24"/>
          <w:szCs w:val="24"/>
        </w:rPr>
        <w:t>el suo canone.</w:t>
      </w:r>
      <w:r w:rsidRPr="00096909">
        <w:rPr>
          <w:rStyle w:val="Rimandonotaapidipagina"/>
          <w:rFonts w:ascii="Times New Roman" w:hAnsi="Times New Roman" w:cs="Times New Roman"/>
          <w:sz w:val="24"/>
          <w:szCs w:val="24"/>
        </w:rPr>
        <w:footnoteReference w:id="222"/>
      </w:r>
      <w:r w:rsidRPr="00096909">
        <w:rPr>
          <w:rFonts w:ascii="Times New Roman" w:hAnsi="Times New Roman" w:cs="Times New Roman"/>
          <w:sz w:val="24"/>
          <w:szCs w:val="24"/>
        </w:rPr>
        <w:t xml:space="preserve"> Vi</w:t>
      </w:r>
      <w:r>
        <w:rPr>
          <w:rFonts w:ascii="Times New Roman" w:hAnsi="Times New Roman" w:cs="Times New Roman"/>
          <w:sz w:val="24"/>
          <w:szCs w:val="24"/>
        </w:rPr>
        <w:t xml:space="preserve"> è</w:t>
      </w:r>
      <w:r w:rsidRPr="00096909">
        <w:rPr>
          <w:rFonts w:ascii="Times New Roman" w:hAnsi="Times New Roman" w:cs="Times New Roman"/>
          <w:sz w:val="24"/>
          <w:szCs w:val="24"/>
        </w:rPr>
        <w:t xml:space="preserve"> rimosso completamente anche qualsiasi cenno alla letteratura romanza, </w:t>
      </w:r>
      <w:r>
        <w:rPr>
          <w:rFonts w:ascii="Times New Roman" w:hAnsi="Times New Roman" w:cs="Times New Roman"/>
          <w:sz w:val="24"/>
          <w:szCs w:val="24"/>
        </w:rPr>
        <w:t>abbondante n</w:t>
      </w:r>
      <w:r w:rsidRPr="00096909">
        <w:rPr>
          <w:rFonts w:ascii="Times New Roman" w:hAnsi="Times New Roman" w:cs="Times New Roman"/>
          <w:sz w:val="24"/>
          <w:szCs w:val="24"/>
        </w:rPr>
        <w:t>elle raccolte principesche ma qui reputata disdicevole per la formazione dei religiosi e inutile al lettore umanista, che si abbevera</w:t>
      </w:r>
      <w:r>
        <w:rPr>
          <w:rFonts w:ascii="Times New Roman" w:hAnsi="Times New Roman" w:cs="Times New Roman"/>
          <w:sz w:val="24"/>
          <w:szCs w:val="24"/>
        </w:rPr>
        <w:t>va</w:t>
      </w:r>
      <w:r w:rsidRPr="00096909">
        <w:rPr>
          <w:rFonts w:ascii="Times New Roman" w:hAnsi="Times New Roman" w:cs="Times New Roman"/>
          <w:sz w:val="24"/>
          <w:szCs w:val="24"/>
        </w:rPr>
        <w:t xml:space="preserve"> solamente alle fonti del sapere greco e latino.  </w:t>
      </w:r>
    </w:p>
    <w:p w14:paraId="20551DCD"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Nel tentativo di tracciare una storia comparata delle biblioteche italiane del Quattrocento l’opera di selezione bibliografica compiuta dal futuro Niccolò V mi pare un punto di riferimento essenziale per almeno tre motivi. </w:t>
      </w:r>
    </w:p>
    <w:p w14:paraId="7C64F9F7"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In primo luogo, va considerato come il </w:t>
      </w:r>
      <w:r w:rsidRPr="00096909">
        <w:rPr>
          <w:rFonts w:ascii="Times New Roman" w:hAnsi="Times New Roman" w:cs="Times New Roman"/>
          <w:i/>
          <w:sz w:val="24"/>
          <w:szCs w:val="24"/>
        </w:rPr>
        <w:t>Canone</w:t>
      </w:r>
      <w:r w:rsidRPr="00096909">
        <w:rPr>
          <w:rFonts w:ascii="Times New Roman" w:hAnsi="Times New Roman" w:cs="Times New Roman"/>
          <w:sz w:val="24"/>
          <w:szCs w:val="24"/>
        </w:rPr>
        <w:t>, preparato per un’istituzione conventuale, divenne presto un modello per istituzioni principesche. Stilato su richiesta di un ambizioso banchiere, Cosimo de’ Medici, che desiderava guadagnar</w:t>
      </w:r>
      <w:r>
        <w:rPr>
          <w:rFonts w:ascii="Times New Roman" w:hAnsi="Times New Roman" w:cs="Times New Roman"/>
          <w:sz w:val="24"/>
          <w:szCs w:val="24"/>
        </w:rPr>
        <w:t>e</w:t>
      </w:r>
      <w:r w:rsidRPr="00096909">
        <w:rPr>
          <w:rFonts w:ascii="Times New Roman" w:hAnsi="Times New Roman" w:cs="Times New Roman"/>
          <w:sz w:val="24"/>
          <w:szCs w:val="24"/>
        </w:rPr>
        <w:t xml:space="preserve"> consensi e potere all’interno della Repubblica di Firenze, fu certamente nella mente di Parentucelli quando fondò la Biblioteca Vaticana. Risultato che documenta il carattere perfettamente élitario e aristocratico della lista, poiché la biblioteca del palazzo apostolico doveva essere espressione del potere del sovrano </w:t>
      </w:r>
      <w:r w:rsidRPr="00096909">
        <w:rPr>
          <w:rFonts w:ascii="Times New Roman" w:hAnsi="Times New Roman" w:cs="Times New Roman"/>
          <w:sz w:val="24"/>
          <w:szCs w:val="24"/>
        </w:rPr>
        <w:lastRenderedPageBreak/>
        <w:t xml:space="preserve">pontefice, dominatore dell’universalità della conoscenza su cui poggiavano l’autorità, la veridicità e il prestigio della Chiesa cattolica. </w:t>
      </w:r>
    </w:p>
    <w:p w14:paraId="48D67749"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In secondo luogo, annoverando tra i titoli della biblioteca ideale le opere recentemente rinvenute da Bracciolini e dall’Aurispa, l’elenco si presentò pi</w:t>
      </w:r>
      <w:r>
        <w:rPr>
          <w:rFonts w:ascii="Times New Roman" w:hAnsi="Times New Roman" w:cs="Times New Roman"/>
          <w:sz w:val="24"/>
          <w:szCs w:val="24"/>
        </w:rPr>
        <w:t>e</w:t>
      </w:r>
      <w:r w:rsidRPr="00096909">
        <w:rPr>
          <w:rFonts w:ascii="Times New Roman" w:hAnsi="Times New Roman" w:cs="Times New Roman"/>
          <w:sz w:val="24"/>
          <w:szCs w:val="24"/>
        </w:rPr>
        <w:t xml:space="preserve">namente conforme alla modernità del più aggiornato umanesimo, </w:t>
      </w:r>
      <w:r>
        <w:rPr>
          <w:rFonts w:ascii="Times New Roman" w:hAnsi="Times New Roman" w:cs="Times New Roman"/>
          <w:sz w:val="24"/>
          <w:szCs w:val="24"/>
        </w:rPr>
        <w:t>nella quale</w:t>
      </w:r>
      <w:r w:rsidRPr="00096909">
        <w:rPr>
          <w:rFonts w:ascii="Times New Roman" w:hAnsi="Times New Roman" w:cs="Times New Roman"/>
          <w:sz w:val="24"/>
          <w:szCs w:val="24"/>
        </w:rPr>
        <w:t xml:space="preserve"> anche l’attenzione riservata al greco e alle opere della patristica orientale teneva conto dell’importanza di saper padroneggiare quella letteratura antica, della quale le recenti dispute del Concilio di Firenze avevano dimostrato il valore. Una simile cultura sarebbe stata accessibile solo a pochi dotti, bisognosi del sostegno di un principe disposto ad acquisire i preziosi codici del sapere antico, e avrebbe fornito gli argomenti, le conoscenze e il linguaggio con cui fondare il dialogo intellettuale tra le corti europee dei secoli XV e XVI.  </w:t>
      </w:r>
    </w:p>
    <w:p w14:paraId="66AAFD6A" w14:textId="404BC77D"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Infine, </w:t>
      </w:r>
      <w:r w:rsidR="0007656D" w:rsidRPr="00096909">
        <w:rPr>
          <w:rFonts w:ascii="Times New Roman" w:hAnsi="Times New Roman" w:cs="Times New Roman"/>
          <w:sz w:val="24"/>
          <w:szCs w:val="24"/>
        </w:rPr>
        <w:t xml:space="preserve">compiutamente </w:t>
      </w:r>
      <w:r w:rsidRPr="00096909">
        <w:rPr>
          <w:rFonts w:ascii="Times New Roman" w:hAnsi="Times New Roman" w:cs="Times New Roman"/>
          <w:sz w:val="24"/>
          <w:szCs w:val="24"/>
        </w:rPr>
        <w:t xml:space="preserve">aristocratico e umanistico, il canone definì un modello bibliotecario in cui la personalità e i gusti del principe trovarono minore spazio d’espressione quanto alla scelta delle letture, e in parte contribuì a uniformare le collezioni principesche. </w:t>
      </w:r>
      <w:r>
        <w:rPr>
          <w:rFonts w:ascii="Times New Roman" w:hAnsi="Times New Roman" w:cs="Times New Roman"/>
          <w:sz w:val="24"/>
          <w:szCs w:val="24"/>
        </w:rPr>
        <w:t>Ciò</w:t>
      </w:r>
      <w:r w:rsidRPr="00096909">
        <w:rPr>
          <w:rFonts w:ascii="Times New Roman" w:hAnsi="Times New Roman" w:cs="Times New Roman"/>
          <w:sz w:val="24"/>
          <w:szCs w:val="24"/>
        </w:rPr>
        <w:t xml:space="preserve"> che la selezione del Parentucelli perseguiva era</w:t>
      </w:r>
      <w:r>
        <w:rPr>
          <w:rFonts w:ascii="Times New Roman" w:hAnsi="Times New Roman" w:cs="Times New Roman"/>
          <w:sz w:val="24"/>
          <w:szCs w:val="24"/>
        </w:rPr>
        <w:t>, in estrema sintesi,</w:t>
      </w:r>
      <w:r w:rsidRPr="00096909">
        <w:rPr>
          <w:rFonts w:ascii="Times New Roman" w:hAnsi="Times New Roman" w:cs="Times New Roman"/>
          <w:sz w:val="24"/>
          <w:szCs w:val="24"/>
        </w:rPr>
        <w:t xml:space="preserve"> una scelta di opere che permettessero di padroneggiare l’universo delle conoscenze trasmesso dal mondo antico, la bellezza della lingua e della retorica latina, il patrimonio mitologico della classicità. Una </w:t>
      </w:r>
      <w:r w:rsidRPr="00096909">
        <w:rPr>
          <w:rFonts w:ascii="Times New Roman" w:hAnsi="Times New Roman" w:cs="Times New Roman"/>
          <w:i/>
          <w:sz w:val="24"/>
          <w:szCs w:val="24"/>
        </w:rPr>
        <w:t xml:space="preserve">Politia litteraria </w:t>
      </w:r>
      <w:r w:rsidRPr="00096909">
        <w:rPr>
          <w:rFonts w:ascii="Times New Roman" w:hAnsi="Times New Roman" w:cs="Times New Roman"/>
          <w:sz w:val="24"/>
          <w:szCs w:val="24"/>
        </w:rPr>
        <w:t>insomma</w:t>
      </w:r>
      <w:r w:rsidRPr="00096909">
        <w:rPr>
          <w:rFonts w:ascii="Times New Roman" w:hAnsi="Times New Roman" w:cs="Times New Roman"/>
          <w:i/>
          <w:sz w:val="24"/>
          <w:szCs w:val="24"/>
        </w:rPr>
        <w:t xml:space="preserve">, </w:t>
      </w:r>
      <w:r w:rsidRPr="00096909">
        <w:rPr>
          <w:rFonts w:ascii="Times New Roman" w:hAnsi="Times New Roman" w:cs="Times New Roman"/>
          <w:sz w:val="24"/>
          <w:szCs w:val="24"/>
        </w:rPr>
        <w:t xml:space="preserve">dalla quale il buon cortigiano non poteva prescindere, e che tra il 1447 e il 1464 fu descritta egregiamente nel trattato di Angelo Camillo Decembrio, approdando alla sua codificazione letteraria tra gli argomenti di discussione degli ospiti della corte </w:t>
      </w:r>
      <w:r w:rsidR="0007656D">
        <w:rPr>
          <w:rFonts w:ascii="Times New Roman" w:hAnsi="Times New Roman" w:cs="Times New Roman"/>
          <w:sz w:val="24"/>
          <w:szCs w:val="24"/>
        </w:rPr>
        <w:t>e</w:t>
      </w:r>
      <w:r w:rsidRPr="00096909">
        <w:rPr>
          <w:rFonts w:ascii="Times New Roman" w:hAnsi="Times New Roman" w:cs="Times New Roman"/>
          <w:sz w:val="24"/>
          <w:szCs w:val="24"/>
        </w:rPr>
        <w:t>ste</w:t>
      </w:r>
      <w:r w:rsidR="0007656D">
        <w:rPr>
          <w:rFonts w:ascii="Times New Roman" w:hAnsi="Times New Roman" w:cs="Times New Roman"/>
          <w:sz w:val="24"/>
          <w:szCs w:val="24"/>
        </w:rPr>
        <w:t>nse</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223"/>
      </w:r>
      <w:r w:rsidRPr="00096909">
        <w:rPr>
          <w:rFonts w:ascii="Times New Roman" w:hAnsi="Times New Roman" w:cs="Times New Roman"/>
          <w:sz w:val="24"/>
          <w:szCs w:val="24"/>
        </w:rPr>
        <w:t xml:space="preserve"> Se si scorresse rapidamente la serie di opere di cui</w:t>
      </w:r>
      <w:r w:rsidR="0007656D">
        <w:rPr>
          <w:rFonts w:ascii="Times New Roman" w:hAnsi="Times New Roman" w:cs="Times New Roman"/>
          <w:sz w:val="24"/>
          <w:szCs w:val="24"/>
        </w:rPr>
        <w:t xml:space="preserve"> il duca</w:t>
      </w:r>
      <w:r w:rsidRPr="00096909">
        <w:rPr>
          <w:rFonts w:ascii="Times New Roman" w:hAnsi="Times New Roman" w:cs="Times New Roman"/>
          <w:sz w:val="24"/>
          <w:szCs w:val="24"/>
        </w:rPr>
        <w:t xml:space="preserve"> Leonello, Guarino e gli interlocutori del trattato dibattono nei capitoli III-IX del I libro, si potrebbe </w:t>
      </w:r>
      <w:r>
        <w:rPr>
          <w:rFonts w:ascii="Times New Roman" w:hAnsi="Times New Roman" w:cs="Times New Roman"/>
          <w:sz w:val="24"/>
          <w:szCs w:val="24"/>
        </w:rPr>
        <w:t xml:space="preserve">verificare </w:t>
      </w:r>
      <w:r w:rsidRPr="00096909">
        <w:rPr>
          <w:rFonts w:ascii="Times New Roman" w:hAnsi="Times New Roman" w:cs="Times New Roman"/>
          <w:sz w:val="24"/>
          <w:szCs w:val="24"/>
        </w:rPr>
        <w:t>c</w:t>
      </w:r>
      <w:r>
        <w:rPr>
          <w:rFonts w:ascii="Times New Roman" w:hAnsi="Times New Roman" w:cs="Times New Roman"/>
          <w:sz w:val="24"/>
          <w:szCs w:val="24"/>
        </w:rPr>
        <w:t>ome</w:t>
      </w:r>
      <w:r w:rsidRPr="00096909">
        <w:rPr>
          <w:rFonts w:ascii="Times New Roman" w:hAnsi="Times New Roman" w:cs="Times New Roman"/>
          <w:sz w:val="24"/>
          <w:szCs w:val="24"/>
        </w:rPr>
        <w:t xml:space="preserve"> essi s</w:t>
      </w:r>
      <w:r>
        <w:rPr>
          <w:rFonts w:ascii="Times New Roman" w:hAnsi="Times New Roman" w:cs="Times New Roman"/>
          <w:sz w:val="24"/>
          <w:szCs w:val="24"/>
        </w:rPr>
        <w:t>ia</w:t>
      </w:r>
      <w:r w:rsidRPr="00096909">
        <w:rPr>
          <w:rFonts w:ascii="Times New Roman" w:hAnsi="Times New Roman" w:cs="Times New Roman"/>
          <w:sz w:val="24"/>
          <w:szCs w:val="24"/>
        </w:rPr>
        <w:t>no i medesimi canonizzati da Parentucelli. Pertanto</w:t>
      </w:r>
      <w:r>
        <w:rPr>
          <w:rFonts w:ascii="Times New Roman" w:hAnsi="Times New Roman" w:cs="Times New Roman"/>
          <w:sz w:val="24"/>
          <w:szCs w:val="24"/>
        </w:rPr>
        <w:t>,</w:t>
      </w:r>
      <w:r w:rsidRPr="00096909">
        <w:rPr>
          <w:rFonts w:ascii="Times New Roman" w:hAnsi="Times New Roman" w:cs="Times New Roman"/>
          <w:sz w:val="24"/>
          <w:szCs w:val="24"/>
        </w:rPr>
        <w:t xml:space="preserve"> la necessità di definire la perfezione letteraria della corte poteva servirsi degli stessi scritti avvedutamente indicati dal futuro Niccolò V.</w:t>
      </w:r>
      <w:r w:rsidRPr="00096909">
        <w:rPr>
          <w:rStyle w:val="Rimandonotaapidipagina"/>
          <w:rFonts w:ascii="Times New Roman" w:hAnsi="Times New Roman" w:cs="Times New Roman"/>
          <w:sz w:val="24"/>
          <w:szCs w:val="24"/>
        </w:rPr>
        <w:footnoteReference w:id="224"/>
      </w:r>
    </w:p>
    <w:p w14:paraId="48C8B9CD"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Vespasiano da Bisticci è inoltre nostro garante nel certificare come il canone fosse stato impiegato da Alessandro Sforza e Federico da Montefeltro per la formazione delle loro biblioteche. La corrispondenza tra i volumi della raccolta urbinate e le voci dell’elenco è stata verificata da Marcella Peruzzi, che ha rilevato come questo </w:t>
      </w:r>
      <w:r>
        <w:rPr>
          <w:rFonts w:ascii="Times New Roman" w:hAnsi="Times New Roman" w:cs="Times New Roman"/>
          <w:sz w:val="24"/>
          <w:szCs w:val="24"/>
        </w:rPr>
        <w:t>fosse stato</w:t>
      </w:r>
      <w:r w:rsidRPr="00096909">
        <w:rPr>
          <w:rFonts w:ascii="Times New Roman" w:hAnsi="Times New Roman" w:cs="Times New Roman"/>
          <w:sz w:val="24"/>
          <w:szCs w:val="24"/>
        </w:rPr>
        <w:t xml:space="preserve"> seguito puntualmente per quanto riguarda le letterature patristica e classica, i cui titoli riguarda</w:t>
      </w:r>
      <w:r>
        <w:rPr>
          <w:rFonts w:ascii="Times New Roman" w:hAnsi="Times New Roman" w:cs="Times New Roman"/>
          <w:sz w:val="24"/>
          <w:szCs w:val="24"/>
        </w:rPr>
        <w:t>rono</w:t>
      </w:r>
      <w:r w:rsidRPr="00096909">
        <w:rPr>
          <w:rFonts w:ascii="Times New Roman" w:hAnsi="Times New Roman" w:cs="Times New Roman"/>
          <w:sz w:val="24"/>
          <w:szCs w:val="24"/>
        </w:rPr>
        <w:t xml:space="preserve"> il 32% dei libri della collezione conservati (657 esemplari)</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L’analisi della studiosa</w:t>
      </w:r>
      <w:r w:rsidRPr="00096909">
        <w:rPr>
          <w:rFonts w:ascii="Times New Roman" w:hAnsi="Times New Roman" w:cs="Times New Roman"/>
          <w:sz w:val="24"/>
          <w:szCs w:val="24"/>
        </w:rPr>
        <w:t xml:space="preserve"> ha anche messo in risalto come il duca includesse </w:t>
      </w:r>
      <w:r>
        <w:rPr>
          <w:rFonts w:ascii="Times New Roman" w:hAnsi="Times New Roman" w:cs="Times New Roman"/>
          <w:sz w:val="24"/>
          <w:szCs w:val="24"/>
        </w:rPr>
        <w:t xml:space="preserve">però nella sua raccolta </w:t>
      </w:r>
      <w:r w:rsidRPr="00096909">
        <w:rPr>
          <w:rFonts w:ascii="Times New Roman" w:hAnsi="Times New Roman" w:cs="Times New Roman"/>
          <w:sz w:val="24"/>
          <w:szCs w:val="24"/>
        </w:rPr>
        <w:t xml:space="preserve">le opere degli umanisti contemporanei a lui dedicate, che costituiscono il 17% del corpus librario (357), e alcuni scritti di diritto (55), non contemplati nel </w:t>
      </w:r>
      <w:r w:rsidRPr="00096909">
        <w:rPr>
          <w:rFonts w:ascii="Times New Roman" w:hAnsi="Times New Roman" w:cs="Times New Roman"/>
          <w:i/>
          <w:sz w:val="24"/>
          <w:szCs w:val="24"/>
        </w:rPr>
        <w:t>Canone</w:t>
      </w:r>
      <w:r w:rsidRPr="00096909">
        <w:rPr>
          <w:rFonts w:ascii="Times New Roman" w:hAnsi="Times New Roman" w:cs="Times New Roman"/>
          <w:sz w:val="24"/>
          <w:szCs w:val="24"/>
        </w:rPr>
        <w:t xml:space="preserve"> e corrispondenti al 3% del totale.</w:t>
      </w:r>
      <w:r w:rsidRPr="00096909">
        <w:rPr>
          <w:rStyle w:val="Rimandonotaapidipagina"/>
          <w:rFonts w:ascii="Times New Roman" w:hAnsi="Times New Roman" w:cs="Times New Roman"/>
          <w:sz w:val="24"/>
          <w:szCs w:val="24"/>
        </w:rPr>
        <w:footnoteReference w:id="225"/>
      </w:r>
      <w:r w:rsidRPr="00096909">
        <w:rPr>
          <w:rFonts w:ascii="Times New Roman" w:hAnsi="Times New Roman" w:cs="Times New Roman"/>
          <w:sz w:val="24"/>
          <w:szCs w:val="24"/>
        </w:rPr>
        <w:t xml:space="preserve"> In</w:t>
      </w:r>
      <w:r w:rsidR="003105A7">
        <w:rPr>
          <w:rFonts w:ascii="Times New Roman" w:hAnsi="Times New Roman" w:cs="Times New Roman"/>
          <w:sz w:val="24"/>
          <w:szCs w:val="24"/>
        </w:rPr>
        <w:t>oltre</w:t>
      </w:r>
      <w:r w:rsidRPr="00096909">
        <w:rPr>
          <w:rFonts w:ascii="Times New Roman" w:hAnsi="Times New Roman" w:cs="Times New Roman"/>
          <w:sz w:val="24"/>
          <w:szCs w:val="24"/>
        </w:rPr>
        <w:t>, trova</w:t>
      </w:r>
      <w:r w:rsidR="003105A7">
        <w:rPr>
          <w:rFonts w:ascii="Times New Roman" w:hAnsi="Times New Roman" w:cs="Times New Roman"/>
          <w:sz w:val="24"/>
          <w:szCs w:val="24"/>
        </w:rPr>
        <w:t>ro</w:t>
      </w:r>
      <w:r w:rsidRPr="00096909">
        <w:rPr>
          <w:rFonts w:ascii="Times New Roman" w:hAnsi="Times New Roman" w:cs="Times New Roman"/>
          <w:sz w:val="24"/>
          <w:szCs w:val="24"/>
        </w:rPr>
        <w:t xml:space="preserve">no posto tra gli scaffali urbinati anche 27 codici in volgare. </w:t>
      </w:r>
    </w:p>
    <w:p w14:paraId="578CD5B2"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mediazione tra ideale proposito bibliografico e necessità contingenti di diplomazia culturale e la parziale ammissione dei testi di poesia volgare non tradivano però lo spirito di un umanesimo destinato a fare della riflessione sull’antico il linguaggio privilegiato delle corti.  </w:t>
      </w:r>
    </w:p>
    <w:p w14:paraId="50EF00E7"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La disponibilità di conoscitori dell’antichità permise anzi ai principi italiani del Rinascimento, sovente alla ricerca di riconoscimenti e legittimazioni dei propri dominii, di richiedere opere storiografiche in grado di legare la loro casata alle vicende di eminenti figure della storia di Roma, oppure </w:t>
      </w:r>
      <w:r>
        <w:rPr>
          <w:rFonts w:ascii="Times New Roman" w:hAnsi="Times New Roman" w:cs="Times New Roman"/>
          <w:sz w:val="24"/>
          <w:szCs w:val="24"/>
        </w:rPr>
        <w:t xml:space="preserve">di associare </w:t>
      </w:r>
      <w:r w:rsidRPr="00096909">
        <w:rPr>
          <w:rFonts w:ascii="Times New Roman" w:hAnsi="Times New Roman" w:cs="Times New Roman"/>
          <w:sz w:val="24"/>
          <w:szCs w:val="24"/>
        </w:rPr>
        <w:t xml:space="preserve">la loro personalità all’esercizio delle virtù che avevano permesso ai grandi condottieri l’acquisizione della gloria. </w:t>
      </w:r>
    </w:p>
    <w:p w14:paraId="7C0285B1"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Emblematico è, a tal proposito, il caso del proemio al quarto libro del </w:t>
      </w:r>
      <w:r w:rsidRPr="00096909">
        <w:rPr>
          <w:rFonts w:ascii="Times New Roman" w:hAnsi="Times New Roman" w:cs="Times New Roman"/>
          <w:i/>
          <w:sz w:val="24"/>
          <w:szCs w:val="24"/>
        </w:rPr>
        <w:t>De dictis et factis Alphonsi regis</w:t>
      </w:r>
      <w:r w:rsidRPr="00096909">
        <w:rPr>
          <w:rFonts w:ascii="Times New Roman" w:hAnsi="Times New Roman" w:cs="Times New Roman"/>
          <w:sz w:val="24"/>
          <w:szCs w:val="24"/>
        </w:rPr>
        <w:t xml:space="preserve"> di Panormita, pubblicato nel 1455: dopo aver fatto memoria di come «</w:t>
      </w:r>
      <w:r w:rsidRPr="00096909">
        <w:rPr>
          <w:rFonts w:ascii="Times New Roman" w:hAnsi="Times New Roman" w:cs="Times New Roman"/>
          <w:i/>
          <w:sz w:val="24"/>
          <w:szCs w:val="24"/>
        </w:rPr>
        <w:t>Sola Hispania Romae atque Italiae imperatores ac reges dare solita est. At quales imperatores aut quales reges? Traianum, Adrianum, Theodosium, Archadium, Honorium, Theodosium alterum</w:t>
      </w:r>
      <w:r w:rsidRPr="00096909">
        <w:rPr>
          <w:rFonts w:ascii="Times New Roman" w:hAnsi="Times New Roman" w:cs="Times New Roman"/>
          <w:sz w:val="24"/>
          <w:szCs w:val="24"/>
        </w:rPr>
        <w:t>», l’autore present</w:t>
      </w:r>
      <w:r>
        <w:rPr>
          <w:rFonts w:ascii="Times New Roman" w:hAnsi="Times New Roman" w:cs="Times New Roman"/>
          <w:sz w:val="24"/>
          <w:szCs w:val="24"/>
        </w:rPr>
        <w:t>ò</w:t>
      </w:r>
      <w:r w:rsidRPr="00096909">
        <w:rPr>
          <w:rFonts w:ascii="Times New Roman" w:hAnsi="Times New Roman" w:cs="Times New Roman"/>
          <w:sz w:val="24"/>
          <w:szCs w:val="24"/>
        </w:rPr>
        <w:t xml:space="preserve"> il re aragonese quale perfetto continuatore di questa serie di glorie imperiali, che egli supera</w:t>
      </w:r>
      <w:r>
        <w:rPr>
          <w:rFonts w:ascii="Times New Roman" w:hAnsi="Times New Roman" w:cs="Times New Roman"/>
          <w:sz w:val="24"/>
          <w:szCs w:val="24"/>
        </w:rPr>
        <w:t>va</w:t>
      </w:r>
      <w:r w:rsidRPr="00096909">
        <w:rPr>
          <w:rFonts w:ascii="Times New Roman" w:hAnsi="Times New Roman" w:cs="Times New Roman"/>
          <w:sz w:val="24"/>
          <w:szCs w:val="24"/>
        </w:rPr>
        <w:t xml:space="preserve"> tutte in splendore grazie all’esercizio della cristiana devozione «</w:t>
      </w:r>
      <w:r w:rsidRPr="00096909">
        <w:rPr>
          <w:rFonts w:ascii="Times New Roman" w:hAnsi="Times New Roman" w:cs="Times New Roman"/>
          <w:i/>
          <w:sz w:val="24"/>
          <w:szCs w:val="24"/>
        </w:rPr>
        <w:t>postremo Alfonsum, virtutum omnium vivam imaginem, qui cum superioribus his nullo laudationis genere inferior extet, tum maxime religione, id est vera illa sapientia, qua potissimum a brutis animalibus distinguimur, longe superior estatque celebrior</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226"/>
      </w:r>
      <w:r w:rsidRPr="00096909">
        <w:rPr>
          <w:rFonts w:ascii="Times New Roman" w:hAnsi="Times New Roman" w:cs="Times New Roman"/>
          <w:sz w:val="24"/>
          <w:szCs w:val="24"/>
        </w:rPr>
        <w:t xml:space="preserve"> </w:t>
      </w:r>
    </w:p>
    <w:p w14:paraId="07CFC719"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Un simile parallelismo tra il Magnanimo e gli imperatori d’origine ispanica era stato proposto pochi anni prima anche da Lorenzo Valla nel </w:t>
      </w:r>
      <w:r w:rsidRPr="00096909">
        <w:rPr>
          <w:rFonts w:ascii="Times New Roman" w:hAnsi="Times New Roman" w:cs="Times New Roman"/>
          <w:i/>
          <w:sz w:val="24"/>
          <w:szCs w:val="24"/>
        </w:rPr>
        <w:t>De Costantini donatione</w:t>
      </w:r>
      <w:r w:rsidRPr="00096909">
        <w:rPr>
          <w:rFonts w:ascii="Times New Roman" w:hAnsi="Times New Roman" w:cs="Times New Roman"/>
          <w:sz w:val="24"/>
          <w:szCs w:val="24"/>
        </w:rPr>
        <w:t xml:space="preserve">, ma l’associazione tra la legittimità del dominio di Alfonso e il nobile passato di Roma trovò la più alta formulazione nelle cronache del </w:t>
      </w:r>
      <w:r>
        <w:rPr>
          <w:rFonts w:ascii="Times New Roman" w:hAnsi="Times New Roman" w:cs="Times New Roman"/>
          <w:sz w:val="24"/>
          <w:szCs w:val="24"/>
        </w:rPr>
        <w:t xml:space="preserve">suo </w:t>
      </w:r>
      <w:r w:rsidRPr="00096909">
        <w:rPr>
          <w:rFonts w:ascii="Times New Roman" w:hAnsi="Times New Roman" w:cs="Times New Roman"/>
          <w:sz w:val="24"/>
          <w:szCs w:val="24"/>
        </w:rPr>
        <w:t>trionfo celebrato a Napoli il 26 febbraio 1443. Nel corso del suo ingresso – sulla cui trasposizione in immagini miniate avremo presto modo di soffermarci – i</w:t>
      </w:r>
      <w:r>
        <w:rPr>
          <w:rFonts w:ascii="Times New Roman" w:hAnsi="Times New Roman" w:cs="Times New Roman"/>
          <w:sz w:val="24"/>
          <w:szCs w:val="24"/>
        </w:rPr>
        <w:t>l re</w:t>
      </w:r>
      <w:r w:rsidRPr="00096909">
        <w:rPr>
          <w:rFonts w:ascii="Times New Roman" w:hAnsi="Times New Roman" w:cs="Times New Roman"/>
          <w:sz w:val="24"/>
          <w:szCs w:val="24"/>
        </w:rPr>
        <w:t xml:space="preserve"> ricevette il saluto di Giulio Cesare dall’alto di un carro apparato dalla nazione fiorentina, e come il grande generale romano ai lupercali del 44 a.C., anche Alfonso trionfante rifiutò d’indossare la corona d’alloro</w:t>
      </w:r>
      <w:r>
        <w:rPr>
          <w:rFonts w:ascii="Times New Roman" w:hAnsi="Times New Roman" w:cs="Times New Roman"/>
          <w:sz w:val="24"/>
          <w:szCs w:val="24"/>
        </w:rPr>
        <w:t xml:space="preserve"> che gli fu offerta</w:t>
      </w:r>
      <w:r w:rsidRPr="00096909">
        <w:rPr>
          <w:rFonts w:ascii="Times New Roman" w:hAnsi="Times New Roman" w:cs="Times New Roman"/>
          <w:sz w:val="24"/>
          <w:szCs w:val="24"/>
        </w:rPr>
        <w:t>. Così registra</w:t>
      </w:r>
      <w:r>
        <w:rPr>
          <w:rFonts w:ascii="Times New Roman" w:hAnsi="Times New Roman" w:cs="Times New Roman"/>
          <w:sz w:val="24"/>
          <w:szCs w:val="24"/>
        </w:rPr>
        <w:t>ro</w:t>
      </w:r>
      <w:r w:rsidRPr="00096909">
        <w:rPr>
          <w:rFonts w:ascii="Times New Roman" w:hAnsi="Times New Roman" w:cs="Times New Roman"/>
          <w:sz w:val="24"/>
          <w:szCs w:val="24"/>
        </w:rPr>
        <w:t>no l’evento lo storico ufficiale Bartolomeo Facio: «</w:t>
      </w:r>
      <w:r w:rsidRPr="00096909">
        <w:rPr>
          <w:rFonts w:ascii="Times New Roman" w:hAnsi="Times New Roman" w:cs="Times New Roman"/>
          <w:i/>
          <w:sz w:val="24"/>
          <w:szCs w:val="24"/>
        </w:rPr>
        <w:t>lauream coronam, triumphantium veterum more, quamvis amici suaderent, renuit, id honoris Superis tantum tribuendum inquiens»</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227"/>
      </w:r>
      <w:r w:rsidRPr="00096909">
        <w:rPr>
          <w:rFonts w:ascii="Times New Roman" w:hAnsi="Times New Roman" w:cs="Times New Roman"/>
          <w:i/>
          <w:sz w:val="24"/>
          <w:szCs w:val="24"/>
        </w:rPr>
        <w:t xml:space="preserve"> </w:t>
      </w:r>
      <w:r w:rsidRPr="00096909">
        <w:rPr>
          <w:rFonts w:ascii="Times New Roman" w:hAnsi="Times New Roman" w:cs="Times New Roman"/>
          <w:sz w:val="24"/>
          <w:szCs w:val="24"/>
        </w:rPr>
        <w:t>e il Panormita:</w:t>
      </w:r>
      <w:r w:rsidRPr="00096909">
        <w:rPr>
          <w:rFonts w:ascii="Times New Roman" w:hAnsi="Times New Roman" w:cs="Times New Roman"/>
          <w:i/>
          <w:sz w:val="24"/>
          <w:szCs w:val="24"/>
        </w:rPr>
        <w:t xml:space="preserve"> </w:t>
      </w:r>
      <w:r w:rsidRPr="00096909">
        <w:rPr>
          <w:rFonts w:ascii="Times New Roman" w:hAnsi="Times New Roman" w:cs="Times New Roman"/>
          <w:sz w:val="24"/>
          <w:szCs w:val="24"/>
        </w:rPr>
        <w:t>«</w:t>
      </w:r>
      <w:r w:rsidRPr="00096909">
        <w:rPr>
          <w:rFonts w:ascii="Times New Roman" w:hAnsi="Times New Roman" w:cs="Times New Roman"/>
          <w:i/>
          <w:sz w:val="24"/>
          <w:szCs w:val="24"/>
        </w:rPr>
        <w:t>numquam enim adduci potuit, quamquam sibi a pluribus, et quidem viris magnis, suaderetur, ut coronam lauream de consuetudine triumphantium acceptaret: credo quod singulari eius modestia ac religione Deo potius coronam deberi iudicans quam cuipiam mortali</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228"/>
      </w:r>
      <w:r w:rsidRPr="00096909">
        <w:rPr>
          <w:rFonts w:ascii="Times New Roman" w:hAnsi="Times New Roman" w:cs="Times New Roman"/>
          <w:sz w:val="24"/>
          <w:szCs w:val="24"/>
        </w:rPr>
        <w:t xml:space="preserve"> </w:t>
      </w:r>
    </w:p>
    <w:p w14:paraId="4915BDDB"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Negli scritti degli intellettuali della corte di Napoli si elaborò dunque una declinazione monarchica dell’umanesimo, i cui testi accoglievano il ricordo di spettacoli e di cerimonie progettati con le medesime finalità e dalle stesse personalità cui era demandato il compito dell’orchestrazione letteraria del mito aragonese. </w:t>
      </w:r>
    </w:p>
    <w:p w14:paraId="6221681A"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Nel contempo, il rinomato apprezzamento di Alfonso per le opere di storia antica </w:t>
      </w:r>
      <w:r>
        <w:rPr>
          <w:rFonts w:ascii="Times New Roman" w:hAnsi="Times New Roman" w:cs="Times New Roman"/>
          <w:sz w:val="24"/>
          <w:szCs w:val="24"/>
        </w:rPr>
        <w:t xml:space="preserve">fece </w:t>
      </w:r>
      <w:r w:rsidRPr="00096909">
        <w:rPr>
          <w:rFonts w:ascii="Times New Roman" w:hAnsi="Times New Roman" w:cs="Times New Roman"/>
          <w:sz w:val="24"/>
          <w:szCs w:val="24"/>
        </w:rPr>
        <w:t xml:space="preserve">sì che gli fossero offerte le traduzioni della </w:t>
      </w:r>
      <w:r w:rsidRPr="00096909">
        <w:rPr>
          <w:rFonts w:ascii="Times New Roman" w:hAnsi="Times New Roman" w:cs="Times New Roman"/>
          <w:i/>
          <w:sz w:val="24"/>
          <w:szCs w:val="24"/>
        </w:rPr>
        <w:t>Ciropedia</w:t>
      </w:r>
      <w:r w:rsidRPr="00096909">
        <w:rPr>
          <w:rFonts w:ascii="Times New Roman" w:hAnsi="Times New Roman" w:cs="Times New Roman"/>
          <w:sz w:val="24"/>
          <w:szCs w:val="24"/>
        </w:rPr>
        <w:t xml:space="preserve"> di Senofonte e dei primi cinque libri di Diodoro Siculo d</w:t>
      </w:r>
      <w:r>
        <w:rPr>
          <w:rFonts w:ascii="Times New Roman" w:hAnsi="Times New Roman" w:cs="Times New Roman"/>
          <w:sz w:val="24"/>
          <w:szCs w:val="24"/>
        </w:rPr>
        <w:t>i</w:t>
      </w:r>
      <w:r w:rsidRPr="00096909">
        <w:rPr>
          <w:rFonts w:ascii="Times New Roman" w:hAnsi="Times New Roman" w:cs="Times New Roman"/>
          <w:sz w:val="24"/>
          <w:szCs w:val="24"/>
        </w:rPr>
        <w:t xml:space="preserve"> Poggio Bracciolini, degli scritti di Appiano a cura di Pier Candido Decembrio, e la versione di Ariano di Bartolomeo Facio dal titolo </w:t>
      </w:r>
      <w:r w:rsidRPr="00096909">
        <w:rPr>
          <w:rFonts w:ascii="Times New Roman" w:hAnsi="Times New Roman" w:cs="Times New Roman"/>
          <w:i/>
          <w:sz w:val="24"/>
          <w:szCs w:val="24"/>
        </w:rPr>
        <w:t>De rebus gestis Alexandri Magni</w:t>
      </w:r>
      <w:r w:rsidRPr="00096909">
        <w:rPr>
          <w:rFonts w:ascii="Times New Roman" w:hAnsi="Times New Roman" w:cs="Times New Roman"/>
          <w:sz w:val="24"/>
          <w:szCs w:val="24"/>
        </w:rPr>
        <w:t>, tutte presentate tra il 1445 e il 1462, ovvero negli anni in cui furono ospiti della corte napoletana i fratelli Sigismondo ed Ercole d’Este per completarvi la loro educazione.</w:t>
      </w:r>
      <w:r w:rsidRPr="00096909">
        <w:rPr>
          <w:rStyle w:val="Rimandonotaapidipagina"/>
          <w:rFonts w:ascii="Times New Roman" w:hAnsi="Times New Roman" w:cs="Times New Roman"/>
          <w:sz w:val="24"/>
          <w:szCs w:val="24"/>
        </w:rPr>
        <w:footnoteReference w:id="229"/>
      </w:r>
      <w:r w:rsidRPr="00096909">
        <w:rPr>
          <w:rFonts w:ascii="Times New Roman" w:hAnsi="Times New Roman" w:cs="Times New Roman"/>
          <w:sz w:val="24"/>
          <w:szCs w:val="24"/>
        </w:rPr>
        <w:t xml:space="preserve"> </w:t>
      </w:r>
    </w:p>
    <w:p w14:paraId="36A39CB7"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È probabile che il futuro duca di Ferrara, appreso in tale ambiente il valore della Storia quale strumento d’affermazione culturale del potere, richiedesse al Boiardo, tra il 1468 e il 1470, un volgarizzamento della </w:t>
      </w:r>
      <w:r w:rsidRPr="00096909">
        <w:rPr>
          <w:rFonts w:ascii="Times New Roman" w:hAnsi="Times New Roman" w:cs="Times New Roman"/>
          <w:i/>
          <w:sz w:val="24"/>
          <w:szCs w:val="24"/>
        </w:rPr>
        <w:t>Ciropedia</w:t>
      </w:r>
      <w:r w:rsidRPr="00096909">
        <w:rPr>
          <w:rFonts w:ascii="Times New Roman" w:hAnsi="Times New Roman" w:cs="Times New Roman"/>
          <w:sz w:val="24"/>
          <w:szCs w:val="24"/>
        </w:rPr>
        <w:t>, che il poeta trasse dalla versione latina di Poggio.</w:t>
      </w:r>
      <w:r w:rsidRPr="00096909">
        <w:rPr>
          <w:rStyle w:val="Rimandonotaapidipagina"/>
          <w:rFonts w:ascii="Times New Roman" w:hAnsi="Times New Roman" w:cs="Times New Roman"/>
          <w:sz w:val="24"/>
          <w:szCs w:val="24"/>
        </w:rPr>
        <w:footnoteReference w:id="230"/>
      </w:r>
      <w:r w:rsidRPr="00096909">
        <w:rPr>
          <w:rFonts w:ascii="Times New Roman" w:hAnsi="Times New Roman" w:cs="Times New Roman"/>
          <w:sz w:val="24"/>
          <w:szCs w:val="24"/>
        </w:rPr>
        <w:t xml:space="preserve"> Fin dalle </w:t>
      </w:r>
      <w:r w:rsidRPr="00096909">
        <w:rPr>
          <w:rFonts w:ascii="Times New Roman" w:hAnsi="Times New Roman" w:cs="Times New Roman"/>
          <w:sz w:val="24"/>
          <w:szCs w:val="24"/>
        </w:rPr>
        <w:lastRenderedPageBreak/>
        <w:t xml:space="preserve">pagine del proemio a questo testo, sono più volte ribadite le corrispondenze tra le doti guerriere di Ciro e quelle dimostrate dall’Este in campo militare e politico negli anni del ducato di Borso. L’apprezzamento di Ercole per questo genere di produzione letteraria condusse Boiardo a offrirgli, una volta asceso al ducato, le traduzioni della </w:t>
      </w:r>
      <w:r w:rsidRPr="00096909">
        <w:rPr>
          <w:rFonts w:ascii="Times New Roman" w:hAnsi="Times New Roman" w:cs="Times New Roman"/>
          <w:i/>
          <w:sz w:val="24"/>
          <w:szCs w:val="24"/>
        </w:rPr>
        <w:t>Historia imperiale</w:t>
      </w:r>
      <w:r w:rsidRPr="00096909">
        <w:rPr>
          <w:rFonts w:ascii="Times New Roman" w:hAnsi="Times New Roman" w:cs="Times New Roman"/>
          <w:sz w:val="24"/>
          <w:szCs w:val="24"/>
        </w:rPr>
        <w:t xml:space="preserve"> dello storico ferrarese Riccobaldo, – che già aveva riallacciato le trame del passato estense alla grandezza imperiale romana – delle </w:t>
      </w:r>
      <w:r w:rsidRPr="00096909">
        <w:rPr>
          <w:rFonts w:ascii="Times New Roman" w:hAnsi="Times New Roman" w:cs="Times New Roman"/>
          <w:i/>
          <w:sz w:val="24"/>
          <w:szCs w:val="24"/>
        </w:rPr>
        <w:t>Vitae</w:t>
      </w:r>
      <w:r w:rsidRPr="00096909">
        <w:rPr>
          <w:rFonts w:ascii="Times New Roman" w:hAnsi="Times New Roman" w:cs="Times New Roman"/>
          <w:sz w:val="24"/>
          <w:szCs w:val="24"/>
        </w:rPr>
        <w:t xml:space="preserve"> di Cornelio Nepote e delle </w:t>
      </w:r>
      <w:r w:rsidRPr="00096909">
        <w:rPr>
          <w:rFonts w:ascii="Times New Roman" w:hAnsi="Times New Roman" w:cs="Times New Roman"/>
          <w:i/>
          <w:sz w:val="24"/>
          <w:szCs w:val="24"/>
        </w:rPr>
        <w:t xml:space="preserve">Storie </w:t>
      </w:r>
      <w:r w:rsidRPr="00096909">
        <w:rPr>
          <w:rFonts w:ascii="Times New Roman" w:hAnsi="Times New Roman" w:cs="Times New Roman"/>
          <w:sz w:val="24"/>
          <w:szCs w:val="24"/>
        </w:rPr>
        <w:t>di Erodoto.</w:t>
      </w:r>
      <w:r w:rsidRPr="00096909">
        <w:rPr>
          <w:rStyle w:val="Rimandonotaapidipagina"/>
          <w:rFonts w:ascii="Times New Roman" w:hAnsi="Times New Roman" w:cs="Times New Roman"/>
          <w:sz w:val="24"/>
          <w:szCs w:val="24"/>
        </w:rPr>
        <w:footnoteReference w:id="231"/>
      </w:r>
      <w:r w:rsidRPr="00096909">
        <w:rPr>
          <w:rFonts w:ascii="Times New Roman" w:hAnsi="Times New Roman" w:cs="Times New Roman"/>
          <w:sz w:val="24"/>
          <w:szCs w:val="24"/>
        </w:rPr>
        <w:t xml:space="preserve"> Dal confronto con questi modelli il duca avrebbe appreso su quali orme indirizzare il proprio destino.</w:t>
      </w:r>
    </w:p>
    <w:p w14:paraId="3DBFE834"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Più impegnativo, alla metà del secolo, si dimostrò invece il compito di forgiare una storiografia capace di celebrare l’insediamento di Francesco Sforza alla guida del ducato. A cimentarsi per primo nell’impresa fu Filelfo, che il 9 ottobre 1452 scriveva a suo figlio Senofonte annunciandogli di avere incominciato la composizione di un’opera in prosa </w:t>
      </w:r>
      <w:r w:rsidRPr="00096909">
        <w:rPr>
          <w:rFonts w:ascii="Times New Roman" w:hAnsi="Times New Roman" w:cs="Times New Roman"/>
          <w:i/>
          <w:sz w:val="24"/>
          <w:szCs w:val="24"/>
        </w:rPr>
        <w:t>de vita e</w:t>
      </w:r>
      <w:r>
        <w:rPr>
          <w:rFonts w:ascii="Times New Roman" w:hAnsi="Times New Roman" w:cs="Times New Roman"/>
          <w:i/>
          <w:sz w:val="24"/>
          <w:szCs w:val="24"/>
        </w:rPr>
        <w:t>t</w:t>
      </w:r>
      <w:r w:rsidRPr="00096909">
        <w:rPr>
          <w:rFonts w:ascii="Times New Roman" w:hAnsi="Times New Roman" w:cs="Times New Roman"/>
          <w:i/>
          <w:sz w:val="24"/>
          <w:szCs w:val="24"/>
        </w:rPr>
        <w:t xml:space="preserve"> rebus Francisci Sfortiae</w:t>
      </w:r>
      <w:r w:rsidRPr="00096909">
        <w:rPr>
          <w:rFonts w:ascii="Times New Roman" w:hAnsi="Times New Roman" w:cs="Times New Roman"/>
          <w:sz w:val="24"/>
          <w:szCs w:val="24"/>
        </w:rPr>
        <w:t xml:space="preserve"> e di un poema in ventiquattro libri sulla medesima materia intitolo </w:t>
      </w:r>
      <w:r w:rsidRPr="00096909">
        <w:rPr>
          <w:rFonts w:ascii="Times New Roman" w:hAnsi="Times New Roman" w:cs="Times New Roman"/>
          <w:i/>
          <w:sz w:val="24"/>
          <w:szCs w:val="24"/>
        </w:rPr>
        <w:t>Sforziade</w:t>
      </w:r>
      <w:r w:rsidRPr="00096909">
        <w:rPr>
          <w:rFonts w:ascii="Times New Roman" w:hAnsi="Times New Roman" w:cs="Times New Roman"/>
          <w:sz w:val="24"/>
          <w:szCs w:val="24"/>
        </w:rPr>
        <w:t>. Abbandonato il primo progetto, Filelfo compì parzialmente il secondo, il quale presenta otto libri che abbracciano l’arco temporale dalla morte di Filippo Maria Visconti alla battaglia di Caravaggio del settembre 1448.</w:t>
      </w:r>
      <w:r w:rsidRPr="00096909">
        <w:rPr>
          <w:rStyle w:val="Rimandonotaapidipagina"/>
          <w:rFonts w:ascii="Times New Roman" w:hAnsi="Times New Roman" w:cs="Times New Roman"/>
          <w:sz w:val="24"/>
          <w:szCs w:val="24"/>
        </w:rPr>
        <w:footnoteReference w:id="232"/>
      </w:r>
      <w:r w:rsidRPr="00096909">
        <w:rPr>
          <w:rFonts w:ascii="Times New Roman" w:hAnsi="Times New Roman" w:cs="Times New Roman"/>
          <w:sz w:val="24"/>
          <w:szCs w:val="24"/>
        </w:rPr>
        <w:t xml:space="preserve"> Tralasciando le problematiche relative ai tempi di elaborazione dell’opera, quello che preme qui sottolineare è il costante ricorso del poeta a personalità eminenti della cancelleria ducale, </w:t>
      </w:r>
      <w:r w:rsidRPr="00096909">
        <w:rPr>
          <w:rFonts w:ascii="Times New Roman" w:hAnsi="Times New Roman" w:cs="Times New Roman"/>
          <w:i/>
          <w:sz w:val="24"/>
          <w:szCs w:val="24"/>
        </w:rPr>
        <w:t>in primis</w:t>
      </w:r>
      <w:r w:rsidRPr="00096909">
        <w:rPr>
          <w:rFonts w:ascii="Times New Roman" w:hAnsi="Times New Roman" w:cs="Times New Roman"/>
          <w:sz w:val="24"/>
          <w:szCs w:val="24"/>
        </w:rPr>
        <w:t xml:space="preserve"> Nicodemo Tranchedini e il primo segretario Cicco Simonetta, per reperire materiale documentario su cui fondare la narrazione, come si evince dall’epistolario dell’autore degli anni 1451-1455. </w:t>
      </w:r>
    </w:p>
    <w:p w14:paraId="063BF6EC"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Il ricorso a una documentazione raccolta minuziosamente sembra caratterizzare anche la maggior parte della storiografia ducale milanese degli anni 1450-1480. Ne diedero prova il </w:t>
      </w:r>
      <w:r w:rsidRPr="00096909">
        <w:rPr>
          <w:rFonts w:ascii="Times New Roman" w:hAnsi="Times New Roman" w:cs="Times New Roman"/>
          <w:i/>
          <w:sz w:val="24"/>
          <w:szCs w:val="24"/>
        </w:rPr>
        <w:t>Compendio dei gesti e del magnifico et gloriosissimo signore Sforza</w:t>
      </w:r>
      <w:r w:rsidRPr="00096909">
        <w:rPr>
          <w:rFonts w:ascii="Times New Roman" w:hAnsi="Times New Roman" w:cs="Times New Roman"/>
          <w:sz w:val="24"/>
          <w:szCs w:val="24"/>
        </w:rPr>
        <w:t xml:space="preserve"> di Antonio de’ Minuti, una silloge di ricordi delle imprese del padre di Francesco, Muzio degli Attendoli, dedicato al periodo 1369-1424, e una sua seconda raccolta, perduta, riservata ai </w:t>
      </w:r>
      <w:r w:rsidRPr="00096909">
        <w:rPr>
          <w:rFonts w:ascii="Times New Roman" w:hAnsi="Times New Roman" w:cs="Times New Roman"/>
          <w:i/>
          <w:sz w:val="24"/>
          <w:szCs w:val="24"/>
        </w:rPr>
        <w:t>Gesti del conte Francesco Sforza</w:t>
      </w:r>
      <w:r w:rsidRPr="00096909">
        <w:rPr>
          <w:rFonts w:ascii="Times New Roman" w:hAnsi="Times New Roman" w:cs="Times New Roman"/>
          <w:sz w:val="24"/>
          <w:szCs w:val="24"/>
        </w:rPr>
        <w:t xml:space="preserve">, forse da identificare con il </w:t>
      </w:r>
      <w:r w:rsidRPr="00096909">
        <w:rPr>
          <w:rFonts w:ascii="Times New Roman" w:hAnsi="Times New Roman" w:cs="Times New Roman"/>
          <w:i/>
          <w:sz w:val="24"/>
          <w:szCs w:val="24"/>
        </w:rPr>
        <w:t xml:space="preserve">Librazolo in vulgare del ordene della vita del nostro illustrissimo </w:t>
      </w:r>
      <w:r w:rsidRPr="00096909">
        <w:rPr>
          <w:rFonts w:ascii="Times New Roman" w:hAnsi="Times New Roman" w:cs="Times New Roman"/>
          <w:i/>
          <w:sz w:val="24"/>
          <w:szCs w:val="24"/>
        </w:rPr>
        <w:lastRenderedPageBreak/>
        <w:t>Signore</w:t>
      </w:r>
      <w:r w:rsidRPr="00096909">
        <w:rPr>
          <w:rFonts w:ascii="Times New Roman" w:hAnsi="Times New Roman" w:cs="Times New Roman"/>
          <w:sz w:val="24"/>
          <w:szCs w:val="24"/>
        </w:rPr>
        <w:t>, schedato nell’inventario della biblioteca di Pavia del 1469.</w:t>
      </w:r>
      <w:r w:rsidRPr="00096909">
        <w:rPr>
          <w:rStyle w:val="Rimandonotaapidipagina"/>
          <w:rFonts w:ascii="Times New Roman" w:hAnsi="Times New Roman" w:cs="Times New Roman"/>
          <w:sz w:val="24"/>
          <w:szCs w:val="24"/>
        </w:rPr>
        <w:footnoteReference w:id="233"/>
      </w:r>
      <w:r w:rsidRPr="00096909">
        <w:rPr>
          <w:rFonts w:ascii="Times New Roman" w:hAnsi="Times New Roman" w:cs="Times New Roman"/>
          <w:sz w:val="24"/>
          <w:szCs w:val="24"/>
        </w:rPr>
        <w:t xml:space="preserve"> Si trattava di composizioni semplici, che assemblavano documenti di varia natura, ma già reputati degni d’essere conservati nella biblioteca ducale. Una probabile forma di registrazione immediata dei fatti storici che forse sarebbe servita come riferimento per la scrittura di autori più raffinati.  </w:t>
      </w:r>
    </w:p>
    <w:p w14:paraId="457C8204"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A </w:t>
      </w:r>
      <w:bookmarkStart w:id="178" w:name="_Hlk535851814"/>
      <w:r w:rsidRPr="00096909">
        <w:rPr>
          <w:rFonts w:ascii="Times New Roman" w:hAnsi="Times New Roman" w:cs="Times New Roman"/>
          <w:sz w:val="24"/>
          <w:szCs w:val="24"/>
        </w:rPr>
        <w:t>Leodislao Crivelli</w:t>
      </w:r>
      <w:bookmarkEnd w:id="178"/>
      <w:r w:rsidRPr="00096909">
        <w:rPr>
          <w:rFonts w:ascii="Times New Roman" w:hAnsi="Times New Roman" w:cs="Times New Roman"/>
          <w:sz w:val="24"/>
          <w:szCs w:val="24"/>
        </w:rPr>
        <w:t>, cancelliere del consiglio segreto dal 1450 al 1463 e allievo del Filelfo, si devono invece i due libri del</w:t>
      </w:r>
      <w:r w:rsidRPr="00096909">
        <w:rPr>
          <w:rFonts w:ascii="Times New Roman" w:hAnsi="Times New Roman" w:cs="Times New Roman"/>
          <w:i/>
          <w:sz w:val="24"/>
          <w:szCs w:val="24"/>
        </w:rPr>
        <w:t xml:space="preserve"> De vita rebusque gestis Francisci Sfortiae</w:t>
      </w:r>
      <w:r w:rsidRPr="00096909">
        <w:rPr>
          <w:rFonts w:ascii="Times New Roman" w:hAnsi="Times New Roman" w:cs="Times New Roman"/>
          <w:sz w:val="24"/>
          <w:szCs w:val="24"/>
        </w:rPr>
        <w:t xml:space="preserve">. Basato su materiali d’archivio ai quali l’autore ebbe facilmente accesso in virtù del suo ruolo istituzionale, lo scritto, che godette di un apprezzamento abbastanza scarso nel secolo XV, cercò d’elevare l’asciutta narrazione fondata sulla citazione dei documenti di de’ Minuti tendendo a </w:t>
      </w:r>
      <w:r>
        <w:rPr>
          <w:rFonts w:ascii="Times New Roman" w:hAnsi="Times New Roman" w:cs="Times New Roman"/>
          <w:sz w:val="24"/>
          <w:szCs w:val="24"/>
        </w:rPr>
        <w:t xml:space="preserve">competere </w:t>
      </w:r>
      <w:r w:rsidRPr="00096909">
        <w:rPr>
          <w:rFonts w:ascii="Times New Roman" w:hAnsi="Times New Roman" w:cs="Times New Roman"/>
          <w:sz w:val="24"/>
          <w:szCs w:val="24"/>
        </w:rPr>
        <w:t xml:space="preserve">con il modello delle </w:t>
      </w:r>
      <w:r w:rsidRPr="00096909">
        <w:rPr>
          <w:rFonts w:ascii="Times New Roman" w:hAnsi="Times New Roman" w:cs="Times New Roman"/>
          <w:i/>
          <w:sz w:val="24"/>
          <w:szCs w:val="24"/>
        </w:rPr>
        <w:t>Res gestae Alfonsi primi</w:t>
      </w:r>
      <w:r w:rsidRPr="00096909">
        <w:rPr>
          <w:rFonts w:ascii="Times New Roman" w:hAnsi="Times New Roman" w:cs="Times New Roman"/>
          <w:sz w:val="24"/>
          <w:szCs w:val="24"/>
        </w:rPr>
        <w:t xml:space="preserve"> del Facio. Proprio come al celebre storiografo aragonese, inoltre, anche al più modesto Crivelli era spettato il compito di registrare il trionfo del suo signore nelle carte di un opuscolo manoscritto intitolato </w:t>
      </w:r>
      <w:r w:rsidRPr="00096909">
        <w:rPr>
          <w:rFonts w:ascii="Times New Roman" w:hAnsi="Times New Roman" w:cs="Times New Roman"/>
          <w:i/>
          <w:sz w:val="24"/>
          <w:szCs w:val="24"/>
        </w:rPr>
        <w:t>Series triumphorum</w:t>
      </w:r>
      <w:r w:rsidRPr="00096909">
        <w:rPr>
          <w:rFonts w:ascii="Times New Roman" w:hAnsi="Times New Roman" w:cs="Times New Roman"/>
          <w:sz w:val="24"/>
          <w:szCs w:val="24"/>
        </w:rPr>
        <w:t>, dedicato alle cerimonie del 22 marzo 1450 durante le quali le autorità milanesi avevano conferito il potere a Francesco I.</w:t>
      </w:r>
      <w:r w:rsidRPr="00096909">
        <w:rPr>
          <w:rStyle w:val="Rimandonotaapidipagina"/>
          <w:rFonts w:ascii="Times New Roman" w:hAnsi="Times New Roman" w:cs="Times New Roman"/>
          <w:sz w:val="24"/>
          <w:szCs w:val="24"/>
        </w:rPr>
        <w:footnoteReference w:id="234"/>
      </w:r>
      <w:r w:rsidRPr="00096909">
        <w:rPr>
          <w:rFonts w:ascii="Times New Roman" w:hAnsi="Times New Roman" w:cs="Times New Roman"/>
          <w:sz w:val="24"/>
          <w:szCs w:val="24"/>
        </w:rPr>
        <w:t xml:space="preserve"> Crivelli, non ricevette però l’onore della nomina a storiografo di corte toccata a Facio, così come non ne beneficiò l’unico autore d’obbedienza sforzesca di cui l’opera storiografica giunse a compimento e ad edizione: Giovanni Simonetta, fratello del primo segretario Cicco, autore dei </w:t>
      </w:r>
      <w:r w:rsidRPr="00096909">
        <w:rPr>
          <w:rFonts w:ascii="Times New Roman" w:hAnsi="Times New Roman" w:cs="Times New Roman"/>
          <w:i/>
          <w:sz w:val="24"/>
          <w:szCs w:val="24"/>
        </w:rPr>
        <w:t xml:space="preserve">Rerum gestarum Francisci Sfortiae commentarii. </w:t>
      </w:r>
      <w:r w:rsidRPr="00096909">
        <w:rPr>
          <w:rFonts w:ascii="Times New Roman" w:hAnsi="Times New Roman" w:cs="Times New Roman"/>
          <w:sz w:val="24"/>
          <w:szCs w:val="24"/>
        </w:rPr>
        <w:t xml:space="preserve">Anch’egli, come i </w:t>
      </w:r>
      <w:r w:rsidRPr="00096909">
        <w:rPr>
          <w:rFonts w:ascii="Times New Roman" w:hAnsi="Times New Roman" w:cs="Times New Roman"/>
          <w:i/>
          <w:sz w:val="24"/>
          <w:szCs w:val="24"/>
        </w:rPr>
        <w:t>rerum gestarum scriptores</w:t>
      </w:r>
      <w:r w:rsidRPr="00096909">
        <w:rPr>
          <w:rFonts w:ascii="Times New Roman" w:hAnsi="Times New Roman" w:cs="Times New Roman"/>
          <w:sz w:val="24"/>
          <w:szCs w:val="24"/>
        </w:rPr>
        <w:t xml:space="preserve"> che lo avevano preceduto, fu in stretti rapporti con la cancelleria ducale, e il contatto tra gli storiografi e l’</w:t>
      </w:r>
      <w:r w:rsidRPr="00096909">
        <w:rPr>
          <w:rFonts w:ascii="Times New Roman" w:hAnsi="Times New Roman" w:cs="Times New Roman"/>
          <w:i/>
          <w:sz w:val="24"/>
          <w:szCs w:val="24"/>
        </w:rPr>
        <w:t>entourage</w:t>
      </w:r>
      <w:r w:rsidRPr="00096909">
        <w:rPr>
          <w:rFonts w:ascii="Times New Roman" w:hAnsi="Times New Roman" w:cs="Times New Roman"/>
          <w:sz w:val="24"/>
          <w:szCs w:val="24"/>
        </w:rPr>
        <w:t xml:space="preserve"> governativo milanese fu altrettanto evidente con le opere scritte su committenza di Ludovico il Moro le quali, rispetto a quelle composte negli anni 1450-1480, abbracciarono un periodo temporale più ampio, dalle mitiche origini di Milano fino alla fioritura della città sotto il dominio sforzesco, e presentarono un più marcato indirizzo filologico nella ricostruzione del passato milanese: la </w:t>
      </w:r>
      <w:r w:rsidRPr="00096909">
        <w:rPr>
          <w:rFonts w:ascii="Times New Roman" w:hAnsi="Times New Roman" w:cs="Times New Roman"/>
          <w:i/>
          <w:sz w:val="24"/>
          <w:szCs w:val="24"/>
        </w:rPr>
        <w:t>Chronica</w:t>
      </w:r>
      <w:r w:rsidRPr="00096909">
        <w:rPr>
          <w:rFonts w:ascii="Times New Roman" w:hAnsi="Times New Roman" w:cs="Times New Roman"/>
          <w:sz w:val="24"/>
          <w:szCs w:val="24"/>
        </w:rPr>
        <w:t xml:space="preserve"> dell’aristocratico </w:t>
      </w:r>
      <w:bookmarkStart w:id="179" w:name="_Hlk535851921"/>
      <w:r w:rsidRPr="00096909">
        <w:rPr>
          <w:rFonts w:ascii="Times New Roman" w:hAnsi="Times New Roman" w:cs="Times New Roman"/>
          <w:sz w:val="24"/>
          <w:szCs w:val="24"/>
        </w:rPr>
        <w:t>Donato Bossi</w:t>
      </w:r>
      <w:bookmarkEnd w:id="179"/>
      <w:r w:rsidRPr="00096909">
        <w:rPr>
          <w:rFonts w:ascii="Times New Roman" w:hAnsi="Times New Roman" w:cs="Times New Roman"/>
          <w:sz w:val="24"/>
          <w:szCs w:val="24"/>
        </w:rPr>
        <w:t>, apparsa per i tipi dello Zarotto nel 1492,</w:t>
      </w:r>
      <w:r w:rsidRPr="00096909">
        <w:rPr>
          <w:rStyle w:val="Rimandonotaapidipagina"/>
          <w:rFonts w:ascii="Times New Roman" w:hAnsi="Times New Roman" w:cs="Times New Roman"/>
          <w:sz w:val="24"/>
          <w:szCs w:val="24"/>
        </w:rPr>
        <w:footnoteReference w:id="235"/>
      </w:r>
      <w:r w:rsidRPr="00096909">
        <w:rPr>
          <w:rFonts w:ascii="Times New Roman" w:hAnsi="Times New Roman" w:cs="Times New Roman"/>
          <w:sz w:val="24"/>
          <w:szCs w:val="24"/>
        </w:rPr>
        <w:t xml:space="preserve"> il </w:t>
      </w:r>
      <w:r w:rsidRPr="00096909">
        <w:rPr>
          <w:rFonts w:ascii="Times New Roman" w:hAnsi="Times New Roman" w:cs="Times New Roman"/>
          <w:i/>
          <w:sz w:val="24"/>
          <w:szCs w:val="24"/>
        </w:rPr>
        <w:t>De antiquitate Vicecomitum</w:t>
      </w:r>
      <w:r w:rsidRPr="00096909">
        <w:rPr>
          <w:rFonts w:ascii="Times New Roman" w:hAnsi="Times New Roman" w:cs="Times New Roman"/>
          <w:sz w:val="24"/>
          <w:szCs w:val="24"/>
        </w:rPr>
        <w:t xml:space="preserve"> di Giorgio Merula, lasciato incompleto a </w:t>
      </w:r>
      <w:r w:rsidRPr="00096909">
        <w:rPr>
          <w:rFonts w:ascii="Times New Roman" w:hAnsi="Times New Roman" w:cs="Times New Roman"/>
          <w:sz w:val="24"/>
          <w:szCs w:val="24"/>
        </w:rPr>
        <w:lastRenderedPageBreak/>
        <w:t xml:space="preserve">causa della morte dell’autore e pubblicato dall’allievo </w:t>
      </w:r>
      <w:bookmarkStart w:id="180" w:name="_Hlk535852014"/>
      <w:r w:rsidRPr="00096909">
        <w:rPr>
          <w:rFonts w:ascii="Times New Roman" w:hAnsi="Times New Roman" w:cs="Times New Roman"/>
          <w:sz w:val="24"/>
          <w:szCs w:val="24"/>
        </w:rPr>
        <w:t xml:space="preserve">Alessandro Minuziano </w:t>
      </w:r>
      <w:bookmarkEnd w:id="180"/>
      <w:r w:rsidRPr="00096909">
        <w:rPr>
          <w:rFonts w:ascii="Times New Roman" w:hAnsi="Times New Roman" w:cs="Times New Roman"/>
          <w:sz w:val="24"/>
          <w:szCs w:val="24"/>
        </w:rPr>
        <w:t xml:space="preserve">tra il 1499 e il 1500, e </w:t>
      </w:r>
      <w:r w:rsidRPr="00096909">
        <w:rPr>
          <w:rFonts w:ascii="Times New Roman" w:hAnsi="Times New Roman" w:cs="Times New Roman"/>
          <w:i/>
          <w:sz w:val="24"/>
          <w:szCs w:val="24"/>
        </w:rPr>
        <w:t>l’Historia patria</w:t>
      </w:r>
      <w:r w:rsidRPr="00096909">
        <w:rPr>
          <w:rFonts w:ascii="Times New Roman" w:hAnsi="Times New Roman" w:cs="Times New Roman"/>
          <w:sz w:val="24"/>
          <w:szCs w:val="24"/>
        </w:rPr>
        <w:t xml:space="preserve"> di Tristano Calco. </w:t>
      </w:r>
    </w:p>
    <w:p w14:paraId="5494BBD4"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Quest’ultimo, già</w:t>
      </w:r>
      <w:r>
        <w:rPr>
          <w:rFonts w:ascii="Times New Roman" w:hAnsi="Times New Roman" w:cs="Times New Roman"/>
          <w:sz w:val="24"/>
          <w:szCs w:val="24"/>
        </w:rPr>
        <w:t xml:space="preserve"> </w:t>
      </w:r>
      <w:r w:rsidRPr="00096909">
        <w:rPr>
          <w:rFonts w:ascii="Times New Roman" w:hAnsi="Times New Roman" w:cs="Times New Roman"/>
          <w:sz w:val="24"/>
          <w:szCs w:val="24"/>
        </w:rPr>
        <w:t>incontrato nel ruolo di bibliotecario sforzesco, nel 1487 fu menzionato in un atto notarile – con il quale Gian Galeazzo Sforza gli concesse la proprietà di un terreno a Milano, nei pressi del ponte di sant’Eustorgio – come scriba della cancelleria ducale, dove pare fosse attivo</w:t>
      </w:r>
      <w:r>
        <w:rPr>
          <w:rFonts w:ascii="Times New Roman" w:hAnsi="Times New Roman" w:cs="Times New Roman"/>
          <w:sz w:val="24"/>
          <w:szCs w:val="24"/>
        </w:rPr>
        <w:t xml:space="preserve"> fin</w:t>
      </w:r>
      <w:r w:rsidRPr="00096909">
        <w:rPr>
          <w:rFonts w:ascii="Times New Roman" w:hAnsi="Times New Roman" w:cs="Times New Roman"/>
          <w:sz w:val="24"/>
          <w:szCs w:val="24"/>
        </w:rPr>
        <w:t xml:space="preserve"> dal 1470. Inoltre, come Crivelli, canto</w:t>
      </w:r>
      <w:r>
        <w:rPr>
          <w:rFonts w:ascii="Times New Roman" w:hAnsi="Times New Roman" w:cs="Times New Roman"/>
          <w:sz w:val="24"/>
          <w:szCs w:val="24"/>
        </w:rPr>
        <w:t>re</w:t>
      </w:r>
      <w:r w:rsidRPr="00096909">
        <w:rPr>
          <w:rFonts w:ascii="Times New Roman" w:hAnsi="Times New Roman" w:cs="Times New Roman"/>
          <w:sz w:val="24"/>
          <w:szCs w:val="24"/>
        </w:rPr>
        <w:t xml:space="preserve"> </w:t>
      </w:r>
      <w:r>
        <w:rPr>
          <w:rFonts w:ascii="Times New Roman" w:hAnsi="Times New Roman" w:cs="Times New Roman"/>
          <w:sz w:val="24"/>
          <w:szCs w:val="24"/>
        </w:rPr>
        <w:t>del</w:t>
      </w:r>
      <w:r w:rsidRPr="00096909">
        <w:rPr>
          <w:rFonts w:ascii="Times New Roman" w:hAnsi="Times New Roman" w:cs="Times New Roman"/>
          <w:sz w:val="24"/>
          <w:szCs w:val="24"/>
        </w:rPr>
        <w:t>le feste per l’ingresso milanese del duca Francesco, anch</w:t>
      </w:r>
      <w:r>
        <w:rPr>
          <w:rFonts w:ascii="Times New Roman" w:hAnsi="Times New Roman" w:cs="Times New Roman"/>
          <w:sz w:val="24"/>
          <w:szCs w:val="24"/>
        </w:rPr>
        <w:t>e Calco</w:t>
      </w:r>
      <w:r w:rsidRPr="00096909">
        <w:rPr>
          <w:rFonts w:ascii="Times New Roman" w:hAnsi="Times New Roman" w:cs="Times New Roman"/>
          <w:sz w:val="24"/>
          <w:szCs w:val="24"/>
        </w:rPr>
        <w:t xml:space="preserve"> esordì nei panni di storico con la composizione di un’operetta celebrativa di un evento dinastico della casata: le </w:t>
      </w:r>
      <w:r w:rsidRPr="00096909">
        <w:rPr>
          <w:rFonts w:ascii="Times New Roman" w:hAnsi="Times New Roman" w:cs="Times New Roman"/>
          <w:i/>
          <w:sz w:val="24"/>
          <w:szCs w:val="24"/>
        </w:rPr>
        <w:t>Nuptiae mediolanensium Ducum</w:t>
      </w:r>
      <w:r w:rsidRPr="00096909">
        <w:rPr>
          <w:rFonts w:ascii="Times New Roman" w:hAnsi="Times New Roman" w:cs="Times New Roman"/>
          <w:sz w:val="24"/>
          <w:szCs w:val="24"/>
        </w:rPr>
        <w:t xml:space="preserve"> per lo sposalizio di Gian Galeazzo Sforza e Isabella d’Aragona.</w:t>
      </w:r>
      <w:r w:rsidRPr="00096909">
        <w:rPr>
          <w:rStyle w:val="Rimandonotaapidipagina"/>
          <w:rFonts w:ascii="Times New Roman" w:hAnsi="Times New Roman" w:cs="Times New Roman"/>
          <w:sz w:val="24"/>
          <w:szCs w:val="24"/>
        </w:rPr>
        <w:footnoteReference w:id="236"/>
      </w:r>
      <w:r w:rsidRPr="00096909">
        <w:rPr>
          <w:rFonts w:ascii="Times New Roman" w:hAnsi="Times New Roman" w:cs="Times New Roman"/>
          <w:sz w:val="24"/>
          <w:szCs w:val="24"/>
        </w:rPr>
        <w:t xml:space="preserve"> </w:t>
      </w:r>
    </w:p>
    <w:p w14:paraId="68F68ED4"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Riservando al capitolo successivo lo studio delle vicende redazionali di questo testo, vorrei qui sottolineare come la scrittura delle relazioni ufficiali degli eventi dinastici degli Sforza e degli Aragona, delle cronache dei loro trionfi, e la composizione delle loro più impegnative </w:t>
      </w:r>
      <w:r w:rsidRPr="00096909">
        <w:rPr>
          <w:rFonts w:ascii="Times New Roman" w:hAnsi="Times New Roman" w:cs="Times New Roman"/>
          <w:i/>
          <w:sz w:val="24"/>
          <w:szCs w:val="24"/>
        </w:rPr>
        <w:t>Historiae</w:t>
      </w:r>
      <w:r w:rsidRPr="00096909">
        <w:rPr>
          <w:rFonts w:ascii="Times New Roman" w:hAnsi="Times New Roman" w:cs="Times New Roman"/>
          <w:sz w:val="24"/>
          <w:szCs w:val="24"/>
        </w:rPr>
        <w:t xml:space="preserve"> vedesse convolti intellettuali impiegati nel ruolo di storici di corte (Facio e Calco), di bibliotecari (Calco), o quanto meno di personalità in contatto diretto con la cancelleria per il reperimento di informazioni puntuali sugli eventi da narrare (Crivelli). </w:t>
      </w:r>
    </w:p>
    <w:p w14:paraId="55D23A8C" w14:textId="77777777" w:rsidR="00691F81" w:rsidRPr="00096909" w:rsidRDefault="00691F81" w:rsidP="00691F81">
      <w:pPr>
        <w:pStyle w:val="Testonotaapidipagina"/>
        <w:spacing w:line="360" w:lineRule="auto"/>
        <w:ind w:right="-1" w:firstLine="454"/>
        <w:jc w:val="both"/>
        <w:rPr>
          <w:rFonts w:ascii="Times New Roman" w:hAnsi="Times New Roman" w:cs="Times New Roman"/>
          <w:sz w:val="24"/>
          <w:szCs w:val="24"/>
        </w:rPr>
      </w:pPr>
      <w:r w:rsidRPr="00096909">
        <w:rPr>
          <w:rFonts w:ascii="Times New Roman" w:hAnsi="Times New Roman" w:cs="Times New Roman"/>
          <w:sz w:val="24"/>
          <w:szCs w:val="24"/>
        </w:rPr>
        <w:t xml:space="preserve">Il bisogno di storicizzazione immediata di queste due famiglie, giunte al potere in tempi molto brevi e bisognose di processi di legittimazione della propria autorità, spiega bene il patrocinio alla composizione di opere storiografiche destinate alla promozione della loro immagine pubblica. </w:t>
      </w:r>
    </w:p>
    <w:p w14:paraId="7D1CFD66" w14:textId="77777777" w:rsidR="00691F81" w:rsidRDefault="00691F81" w:rsidP="00691F81">
      <w:pPr>
        <w:pStyle w:val="Testonotaapidipagina"/>
        <w:spacing w:line="360" w:lineRule="auto"/>
        <w:ind w:right="-1" w:firstLine="454"/>
        <w:jc w:val="both"/>
        <w:rPr>
          <w:rFonts w:ascii="Times New Roman" w:hAnsi="Times New Roman" w:cs="Times New Roman"/>
          <w:sz w:val="24"/>
          <w:szCs w:val="24"/>
        </w:rPr>
      </w:pPr>
      <w:r>
        <w:rPr>
          <w:rFonts w:ascii="Times New Roman" w:hAnsi="Times New Roman" w:cs="Times New Roman"/>
          <w:sz w:val="24"/>
          <w:szCs w:val="24"/>
        </w:rPr>
        <w:t>I</w:t>
      </w:r>
      <w:r w:rsidRPr="00096909">
        <w:rPr>
          <w:rFonts w:ascii="Times New Roman" w:hAnsi="Times New Roman" w:cs="Times New Roman"/>
          <w:sz w:val="24"/>
          <w:szCs w:val="24"/>
        </w:rPr>
        <w:t xml:space="preserve"> letterati che dedicarono simili componimenti ai principi ebbero consapevolezza del contributo che la loro arte poteva offrire per rinsaldare l’autorità del mecenate. Le vicende redazionali dei libretti per nozze, cui </w:t>
      </w:r>
      <w:r>
        <w:rPr>
          <w:rFonts w:ascii="Times New Roman" w:hAnsi="Times New Roman" w:cs="Times New Roman"/>
          <w:sz w:val="24"/>
          <w:szCs w:val="24"/>
        </w:rPr>
        <w:t>dedicherò</w:t>
      </w:r>
      <w:r w:rsidRPr="00096909">
        <w:rPr>
          <w:rFonts w:ascii="Times New Roman" w:hAnsi="Times New Roman" w:cs="Times New Roman"/>
          <w:sz w:val="24"/>
          <w:szCs w:val="24"/>
        </w:rPr>
        <w:t xml:space="preserve"> </w:t>
      </w:r>
      <w:r>
        <w:rPr>
          <w:rFonts w:ascii="Times New Roman" w:hAnsi="Times New Roman" w:cs="Times New Roman"/>
          <w:sz w:val="24"/>
          <w:szCs w:val="24"/>
        </w:rPr>
        <w:t>i</w:t>
      </w:r>
      <w:r w:rsidRPr="00096909">
        <w:rPr>
          <w:rFonts w:ascii="Times New Roman" w:hAnsi="Times New Roman" w:cs="Times New Roman"/>
          <w:sz w:val="24"/>
          <w:szCs w:val="24"/>
        </w:rPr>
        <w:t>l secondo capitolo, illustrano come la scrittura di descrizioni di eventi dinastici offrisse a scrittori provvisti di discreta notorietà e desiderosi di conquistar</w:t>
      </w:r>
      <w:r>
        <w:rPr>
          <w:rFonts w:ascii="Times New Roman" w:hAnsi="Times New Roman" w:cs="Times New Roman"/>
          <w:sz w:val="24"/>
          <w:szCs w:val="24"/>
        </w:rPr>
        <w:t>e</w:t>
      </w:r>
      <w:r w:rsidRPr="00096909">
        <w:rPr>
          <w:rFonts w:ascii="Times New Roman" w:hAnsi="Times New Roman" w:cs="Times New Roman"/>
          <w:sz w:val="24"/>
          <w:szCs w:val="24"/>
        </w:rPr>
        <w:t xml:space="preserve"> incarichi a corte la possibilità di metter</w:t>
      </w:r>
      <w:r>
        <w:rPr>
          <w:rFonts w:ascii="Times New Roman" w:hAnsi="Times New Roman" w:cs="Times New Roman"/>
          <w:sz w:val="24"/>
          <w:szCs w:val="24"/>
        </w:rPr>
        <w:t>e</w:t>
      </w:r>
      <w:r w:rsidRPr="00096909">
        <w:rPr>
          <w:rFonts w:ascii="Times New Roman" w:hAnsi="Times New Roman" w:cs="Times New Roman"/>
          <w:sz w:val="24"/>
          <w:szCs w:val="24"/>
        </w:rPr>
        <w:t xml:space="preserve"> in mostra le proprie capacità compositive in un genere letterario, quello della descrizione ufficiale delle cerimonie cortigiane, sempre più richiesto dalle famiglie regnati. </w:t>
      </w:r>
      <w:r>
        <w:rPr>
          <w:rFonts w:ascii="Times New Roman" w:hAnsi="Times New Roman" w:cs="Times New Roman"/>
          <w:sz w:val="24"/>
          <w:szCs w:val="24"/>
        </w:rPr>
        <w:t>I</w:t>
      </w:r>
      <w:r w:rsidRPr="00096909">
        <w:rPr>
          <w:rFonts w:ascii="Times New Roman" w:hAnsi="Times New Roman" w:cs="Times New Roman"/>
          <w:sz w:val="24"/>
          <w:szCs w:val="24"/>
        </w:rPr>
        <w:t xml:space="preserve"> loro testi trovarono </w:t>
      </w:r>
      <w:r>
        <w:rPr>
          <w:rFonts w:ascii="Times New Roman" w:hAnsi="Times New Roman" w:cs="Times New Roman"/>
          <w:sz w:val="24"/>
          <w:szCs w:val="24"/>
        </w:rPr>
        <w:t>ne</w:t>
      </w:r>
      <w:r w:rsidRPr="00096909">
        <w:rPr>
          <w:rFonts w:ascii="Times New Roman" w:hAnsi="Times New Roman" w:cs="Times New Roman"/>
          <w:sz w:val="24"/>
          <w:szCs w:val="24"/>
        </w:rPr>
        <w:t xml:space="preserve">lla stampa un potente canale di diffusione e sullo scaffale della biblioteca principesca, collettrice universale delle opere del sapere umanistico, conseguirono il riconoscimento dell’ufficialità. </w:t>
      </w:r>
    </w:p>
    <w:p w14:paraId="5C322B83" w14:textId="77777777" w:rsidR="00970090" w:rsidRDefault="00970090" w:rsidP="00691F81">
      <w:pPr>
        <w:pStyle w:val="Testonotaapidipagina"/>
        <w:spacing w:line="360" w:lineRule="auto"/>
        <w:ind w:right="-1" w:firstLine="454"/>
        <w:jc w:val="both"/>
        <w:rPr>
          <w:rFonts w:ascii="Times New Roman" w:hAnsi="Times New Roman" w:cs="Times New Roman"/>
          <w:sz w:val="24"/>
          <w:szCs w:val="24"/>
        </w:rPr>
      </w:pPr>
    </w:p>
    <w:p w14:paraId="0BBC2B5E" w14:textId="77777777" w:rsidR="00970090" w:rsidRDefault="00970090" w:rsidP="00691F81">
      <w:pPr>
        <w:pStyle w:val="Testonotaapidipagina"/>
        <w:spacing w:line="360" w:lineRule="auto"/>
        <w:ind w:right="-1" w:firstLine="454"/>
        <w:jc w:val="both"/>
        <w:rPr>
          <w:rFonts w:ascii="Times New Roman" w:hAnsi="Times New Roman" w:cs="Times New Roman"/>
          <w:sz w:val="24"/>
          <w:szCs w:val="24"/>
        </w:rPr>
      </w:pPr>
    </w:p>
    <w:p w14:paraId="4CD86268" w14:textId="77777777" w:rsidR="00970090" w:rsidRPr="00096909" w:rsidRDefault="00970090" w:rsidP="00970090">
      <w:pPr>
        <w:jc w:val="both"/>
        <w:rPr>
          <w:rFonts w:ascii="Times New Roman" w:hAnsi="Times New Roman" w:cs="Times New Roman"/>
          <w:i/>
          <w:sz w:val="24"/>
          <w:szCs w:val="24"/>
        </w:rPr>
      </w:pPr>
      <w:r w:rsidRPr="008742A3">
        <w:rPr>
          <w:rFonts w:ascii="Times New Roman" w:hAnsi="Times New Roman" w:cs="Times New Roman"/>
          <w:sz w:val="24"/>
          <w:szCs w:val="24"/>
        </w:rPr>
        <w:t>4.</w:t>
      </w:r>
      <w:r w:rsidRPr="00096909">
        <w:rPr>
          <w:rFonts w:ascii="Times New Roman" w:hAnsi="Times New Roman" w:cs="Times New Roman"/>
          <w:i/>
          <w:sz w:val="24"/>
          <w:szCs w:val="24"/>
        </w:rPr>
        <w:t xml:space="preserve"> La rappresentazione della corte attraverso i libri. Testi e miniature come immagini della corte e del suo cerimoniale. </w:t>
      </w:r>
    </w:p>
    <w:p w14:paraId="2443FE88" w14:textId="77777777" w:rsidR="00970090" w:rsidRPr="00096909" w:rsidRDefault="00970090" w:rsidP="00970090">
      <w:pPr>
        <w:jc w:val="both"/>
        <w:rPr>
          <w:rFonts w:ascii="Times New Roman" w:hAnsi="Times New Roman" w:cs="Times New Roman"/>
          <w:i/>
          <w:sz w:val="24"/>
          <w:szCs w:val="24"/>
        </w:rPr>
      </w:pPr>
    </w:p>
    <w:p w14:paraId="5F887D92" w14:textId="77777777" w:rsidR="00970090" w:rsidRPr="00096909" w:rsidRDefault="00970090" w:rsidP="00970090">
      <w:pPr>
        <w:spacing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i/>
          <w:sz w:val="20"/>
          <w:szCs w:val="20"/>
        </w:rPr>
        <w:t>In urbium direptione quicunque ex militibus librum offendisset, confestim certatimque illum ad regem quasi suo quodam iure deferre, quoniam scirent ita quidem fama vulgaverat eum libris maxime delectari solitum. Itaque nulla alia in re magis sese regi gratificari dignius, aut facilius posse arbitrabantur, quam in libris exhibendis atque tradendis</w:t>
      </w:r>
      <w:r w:rsidRPr="00096909">
        <w:rPr>
          <w:rFonts w:ascii="Times New Roman" w:hAnsi="Times New Roman" w:cs="Times New Roman"/>
          <w:sz w:val="20"/>
          <w:szCs w:val="20"/>
        </w:rPr>
        <w:t>.</w:t>
      </w:r>
      <w:r w:rsidRPr="00096909">
        <w:rPr>
          <w:rStyle w:val="Rimandonotaapidipagina"/>
          <w:rFonts w:ascii="Times New Roman" w:hAnsi="Times New Roman" w:cs="Times New Roman"/>
        </w:rPr>
        <w:footnoteReference w:id="237"/>
      </w:r>
    </w:p>
    <w:p w14:paraId="124645E6" w14:textId="77777777" w:rsidR="00970090" w:rsidRPr="00096909" w:rsidRDefault="00970090" w:rsidP="00970090">
      <w:pPr>
        <w:jc w:val="both"/>
        <w:rPr>
          <w:rFonts w:ascii="Times New Roman" w:hAnsi="Times New Roman" w:cs="Times New Roman"/>
          <w:sz w:val="24"/>
          <w:szCs w:val="24"/>
        </w:rPr>
      </w:pPr>
    </w:p>
    <w:p w14:paraId="2CF445B3"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Se questa testimonianza di Panormita descrive con accenti fin troppo entusiastici la rinomata attenzione di Alfonso d’Aragona per i libri, non di meno esprime efficacemente l’importanza che i manoscritti, in quanto oggetti d’arte, ebbero alla corte di Napoli quali testimoni della sensibilità culturale e artistica del sovrano. Nelle pagine che seguono si proporrà un percorso esplorativo delle possibilità delle miniature di rappresentare l’ambiente e il cerimoniale principeschi. I volumi e le loro lussuose illustrazioni potevano, infatti, facilmente circolare tra le mani di lettori aristocratici ed essere conservate come ricordo di usi cerimoniali da rievocare semplicemente sfogliando i volumi. Nello spazio riservato della pagina era inoltre possibile</w:t>
      </w:r>
      <w:r w:rsidR="00E07189">
        <w:rPr>
          <w:rFonts w:ascii="Times New Roman" w:hAnsi="Times New Roman" w:cs="Times New Roman"/>
          <w:sz w:val="24"/>
          <w:szCs w:val="24"/>
        </w:rPr>
        <w:t>, in alcuni casi,</w:t>
      </w:r>
      <w:r w:rsidRPr="00096909">
        <w:rPr>
          <w:rFonts w:ascii="Times New Roman" w:hAnsi="Times New Roman" w:cs="Times New Roman"/>
          <w:sz w:val="24"/>
          <w:szCs w:val="24"/>
        </w:rPr>
        <w:t xml:space="preserve"> rappresentare la corte con uno sfarzo superiore a quello concesso in affreschi, quadri e contesti figurativi più pubblici, giungendo a presentarne un’immagine aulica confacente alle esigenze celebrative dei principi, spesso costretti a mediare tra il loro desiderio di ostentare ricchezza e splendore e la necessità di fare i conti con la fragilità istituzionale dei propri domini sull’Italia del secolo XV. </w:t>
      </w:r>
    </w:p>
    <w:p w14:paraId="32229FE5"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Un esempio di registrazione del fasto della corte di Valencia e di Barcellona, terre d’origine del re di Napoli, è visibile, ad esempio, al verso del foglio 281 del già menzionato</w:t>
      </w:r>
      <w:r w:rsidRPr="00096909">
        <w:rPr>
          <w:rFonts w:ascii="Times New Roman" w:hAnsi="Times New Roman" w:cs="Times New Roman"/>
          <w:i/>
          <w:sz w:val="24"/>
          <w:szCs w:val="24"/>
        </w:rPr>
        <w:t xml:space="preserve"> Salterio e</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 xml:space="preserve">Libro d’ore </w:t>
      </w:r>
      <w:r w:rsidRPr="00096909">
        <w:rPr>
          <w:rFonts w:ascii="Times New Roman" w:hAnsi="Times New Roman" w:cs="Times New Roman"/>
          <w:sz w:val="24"/>
          <w:szCs w:val="24"/>
        </w:rPr>
        <w:t xml:space="preserve">di Alfonso il Magnanimo, oggi alla British Library (fig. 17). Una miniatura ricca di dettagli orna la pagina recante l’introito </w:t>
      </w:r>
      <w:r w:rsidRPr="00096909">
        <w:rPr>
          <w:rFonts w:ascii="Times New Roman" w:hAnsi="Times New Roman" w:cs="Times New Roman"/>
          <w:i/>
          <w:sz w:val="24"/>
          <w:szCs w:val="24"/>
        </w:rPr>
        <w:t>Salve sancta parens</w:t>
      </w:r>
      <w:r w:rsidRPr="00096909">
        <w:rPr>
          <w:rFonts w:ascii="Times New Roman" w:hAnsi="Times New Roman" w:cs="Times New Roman"/>
          <w:sz w:val="24"/>
          <w:szCs w:val="24"/>
        </w:rPr>
        <w:t xml:space="preserve"> della messa votiva dedicata alla Vergine. All’interno della cappella regale, abbellita da un pavimento in maiolica di gusto valenciano, dalle cortine ricamate con stemmi araldici e dal retablo con la Madonna e il Bambino, è in corso una messa solenne, alla quale Alfonso e sua moglie, Maria di Trastamara</w:t>
      </w:r>
      <w:r>
        <w:rPr>
          <w:rFonts w:ascii="Times New Roman" w:hAnsi="Times New Roman" w:cs="Times New Roman"/>
          <w:sz w:val="24"/>
          <w:szCs w:val="24"/>
        </w:rPr>
        <w:t>,</w:t>
      </w:r>
      <w:r w:rsidRPr="00096909">
        <w:rPr>
          <w:rFonts w:ascii="Times New Roman" w:hAnsi="Times New Roman" w:cs="Times New Roman"/>
          <w:sz w:val="24"/>
          <w:szCs w:val="24"/>
        </w:rPr>
        <w:t xml:space="preserve"> assistono in ginocchio, </w:t>
      </w:r>
      <w:r>
        <w:rPr>
          <w:rFonts w:ascii="Times New Roman" w:hAnsi="Times New Roman" w:cs="Times New Roman"/>
          <w:sz w:val="24"/>
          <w:szCs w:val="24"/>
        </w:rPr>
        <w:t xml:space="preserve">con </w:t>
      </w:r>
      <w:r w:rsidRPr="00096909">
        <w:rPr>
          <w:rFonts w:ascii="Times New Roman" w:hAnsi="Times New Roman" w:cs="Times New Roman"/>
          <w:sz w:val="24"/>
          <w:szCs w:val="24"/>
        </w:rPr>
        <w:t>i loro rispettivi seguiti di cortigiani.</w:t>
      </w:r>
      <w:r w:rsidRPr="00096909">
        <w:rPr>
          <w:rStyle w:val="Rimandonotaapidipagina"/>
          <w:rFonts w:ascii="Times New Roman" w:hAnsi="Times New Roman" w:cs="Times New Roman"/>
          <w:sz w:val="24"/>
          <w:szCs w:val="24"/>
        </w:rPr>
        <w:footnoteReference w:id="238"/>
      </w:r>
      <w:r w:rsidRPr="00096909">
        <w:rPr>
          <w:rFonts w:ascii="Times New Roman" w:hAnsi="Times New Roman" w:cs="Times New Roman"/>
          <w:sz w:val="24"/>
          <w:szCs w:val="24"/>
        </w:rPr>
        <w:t xml:space="preserve"> Nel frattempo</w:t>
      </w:r>
      <w:r>
        <w:rPr>
          <w:rFonts w:ascii="Times New Roman" w:hAnsi="Times New Roman" w:cs="Times New Roman"/>
          <w:sz w:val="24"/>
          <w:szCs w:val="24"/>
        </w:rPr>
        <w:t>,</w:t>
      </w:r>
      <w:r w:rsidRPr="00096909">
        <w:rPr>
          <w:rFonts w:ascii="Times New Roman" w:hAnsi="Times New Roman" w:cs="Times New Roman"/>
          <w:sz w:val="24"/>
          <w:szCs w:val="24"/>
        </w:rPr>
        <w:t xml:space="preserve"> la cappella musicale, vanto dei sovrani </w:t>
      </w:r>
      <w:r w:rsidRPr="00096909">
        <w:rPr>
          <w:rFonts w:ascii="Times New Roman" w:hAnsi="Times New Roman" w:cs="Times New Roman"/>
          <w:sz w:val="24"/>
          <w:szCs w:val="24"/>
        </w:rPr>
        <w:lastRenderedPageBreak/>
        <w:t xml:space="preserve">aragonesi, è intenta nell’esecuzione dei cantici, accompagnata dalle note dell’organo a doppio mantice azionato da due musici dipinti nell’iniziale dell’inno. </w:t>
      </w:r>
    </w:p>
    <w:p w14:paraId="755CF30C"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L’analisi più accurata di questo lussuoso codice si deve a Francesca Español Bertan</w:t>
      </w:r>
      <w:r>
        <w:rPr>
          <w:rFonts w:ascii="Times New Roman" w:hAnsi="Times New Roman" w:cs="Times New Roman"/>
          <w:sz w:val="24"/>
          <w:szCs w:val="24"/>
        </w:rPr>
        <w:t xml:space="preserve">, la quale ha </w:t>
      </w:r>
      <w:r w:rsidRPr="00096909">
        <w:rPr>
          <w:rFonts w:ascii="Times New Roman" w:hAnsi="Times New Roman" w:cs="Times New Roman"/>
          <w:sz w:val="24"/>
          <w:szCs w:val="24"/>
        </w:rPr>
        <w:t>sottolinea</w:t>
      </w:r>
      <w:r>
        <w:rPr>
          <w:rFonts w:ascii="Times New Roman" w:hAnsi="Times New Roman" w:cs="Times New Roman"/>
          <w:sz w:val="24"/>
          <w:szCs w:val="24"/>
        </w:rPr>
        <w:t>to</w:t>
      </w:r>
      <w:r w:rsidRPr="00096909">
        <w:rPr>
          <w:rFonts w:ascii="Times New Roman" w:hAnsi="Times New Roman" w:cs="Times New Roman"/>
          <w:sz w:val="24"/>
          <w:szCs w:val="24"/>
        </w:rPr>
        <w:t xml:space="preserve"> come l’ambientazione della scena sia ricca di pretese di realismo in relazione allo sfoggio di abiti e gioielli di fattura spagnola ivi dipinti, e</w:t>
      </w:r>
      <w:r>
        <w:rPr>
          <w:rFonts w:ascii="Times New Roman" w:hAnsi="Times New Roman" w:cs="Times New Roman"/>
          <w:sz w:val="24"/>
          <w:szCs w:val="24"/>
        </w:rPr>
        <w:t xml:space="preserve"> ha</w:t>
      </w:r>
      <w:r w:rsidRPr="00096909">
        <w:rPr>
          <w:rFonts w:ascii="Times New Roman" w:hAnsi="Times New Roman" w:cs="Times New Roman"/>
          <w:sz w:val="24"/>
          <w:szCs w:val="24"/>
        </w:rPr>
        <w:t xml:space="preserve"> riconosc</w:t>
      </w:r>
      <w:r>
        <w:rPr>
          <w:rFonts w:ascii="Times New Roman" w:hAnsi="Times New Roman" w:cs="Times New Roman"/>
          <w:sz w:val="24"/>
          <w:szCs w:val="24"/>
        </w:rPr>
        <w:t>iuto</w:t>
      </w:r>
      <w:r w:rsidRPr="00096909">
        <w:rPr>
          <w:rFonts w:ascii="Times New Roman" w:hAnsi="Times New Roman" w:cs="Times New Roman"/>
          <w:sz w:val="24"/>
          <w:szCs w:val="24"/>
        </w:rPr>
        <w:t xml:space="preserve"> un carattere precisamente valenciano all’iconografia dell’</w:t>
      </w:r>
      <w:r w:rsidRPr="00096909">
        <w:rPr>
          <w:rFonts w:ascii="Times New Roman" w:hAnsi="Times New Roman" w:cs="Times New Roman"/>
          <w:i/>
          <w:sz w:val="24"/>
          <w:szCs w:val="24"/>
        </w:rPr>
        <w:t>Ascensione</w:t>
      </w:r>
      <w:r w:rsidRPr="00096909">
        <w:rPr>
          <w:rFonts w:ascii="Times New Roman" w:hAnsi="Times New Roman" w:cs="Times New Roman"/>
          <w:sz w:val="24"/>
          <w:szCs w:val="24"/>
        </w:rPr>
        <w:t xml:space="preserve"> miniata al foglio 312r (fig. 18). Sull’altare davanti al quale è inginocchiato, Alfonso vede ascendere Gesù</w:t>
      </w:r>
      <w:r>
        <w:rPr>
          <w:rFonts w:ascii="Times New Roman" w:hAnsi="Times New Roman" w:cs="Times New Roman"/>
          <w:sz w:val="24"/>
          <w:szCs w:val="24"/>
        </w:rPr>
        <w:t>,</w:t>
      </w:r>
      <w:r w:rsidRPr="00096909">
        <w:rPr>
          <w:rFonts w:ascii="Times New Roman" w:hAnsi="Times New Roman" w:cs="Times New Roman"/>
          <w:sz w:val="24"/>
          <w:szCs w:val="24"/>
        </w:rPr>
        <w:t xml:space="preserve"> insieme alla Vergine, al Battista e ad altri santi sopra una nube, sullo sfondo di un cielo azzurro. Se la presenza di un gruppo di beati che scortano </w:t>
      </w:r>
      <w:r>
        <w:rPr>
          <w:rFonts w:ascii="Times New Roman" w:hAnsi="Times New Roman" w:cs="Times New Roman"/>
          <w:sz w:val="24"/>
          <w:szCs w:val="24"/>
        </w:rPr>
        <w:t>Cristo</w:t>
      </w:r>
      <w:r w:rsidRPr="00096909">
        <w:rPr>
          <w:rFonts w:ascii="Times New Roman" w:hAnsi="Times New Roman" w:cs="Times New Roman"/>
          <w:sz w:val="24"/>
          <w:szCs w:val="24"/>
        </w:rPr>
        <w:t xml:space="preserve"> in paradiso si potrebbe associare agli insegnamenti del domenicano </w:t>
      </w:r>
      <w:bookmarkStart w:id="183" w:name="_Hlk535852903"/>
      <w:r w:rsidRPr="00096909">
        <w:rPr>
          <w:rFonts w:ascii="Times New Roman" w:hAnsi="Times New Roman" w:cs="Times New Roman"/>
          <w:sz w:val="24"/>
          <w:szCs w:val="24"/>
        </w:rPr>
        <w:t>Vincenzo Ferrer</w:t>
      </w:r>
      <w:bookmarkEnd w:id="183"/>
      <w:r w:rsidRPr="00096909">
        <w:rPr>
          <w:rFonts w:ascii="Times New Roman" w:hAnsi="Times New Roman" w:cs="Times New Roman"/>
          <w:sz w:val="24"/>
          <w:szCs w:val="24"/>
        </w:rPr>
        <w:t>, che in tre dei suoi sermoni ricordava come il Risorto fo</w:t>
      </w:r>
      <w:r>
        <w:rPr>
          <w:rFonts w:ascii="Times New Roman" w:hAnsi="Times New Roman" w:cs="Times New Roman"/>
          <w:sz w:val="24"/>
          <w:szCs w:val="24"/>
        </w:rPr>
        <w:t>s</w:t>
      </w:r>
      <w:r w:rsidRPr="00096909">
        <w:rPr>
          <w:rFonts w:ascii="Times New Roman" w:hAnsi="Times New Roman" w:cs="Times New Roman"/>
          <w:sz w:val="24"/>
          <w:szCs w:val="24"/>
        </w:rPr>
        <w:t>se salito al cielo in compagnia dei santi dell’Antico Testamento strappati all’Inferno</w:t>
      </w:r>
      <w:r>
        <w:rPr>
          <w:rFonts w:ascii="Times New Roman" w:hAnsi="Times New Roman" w:cs="Times New Roman"/>
          <w:sz w:val="24"/>
          <w:szCs w:val="24"/>
        </w:rPr>
        <w:t>,</w:t>
      </w:r>
      <w:r w:rsidRPr="00096909">
        <w:rPr>
          <w:rFonts w:ascii="Times New Roman" w:hAnsi="Times New Roman" w:cs="Times New Roman"/>
          <w:sz w:val="24"/>
          <w:szCs w:val="24"/>
        </w:rPr>
        <w:t xml:space="preserve"> il volo dei personaggi raffigurati sulla nuvola potrebbe invece richiamare, secondo la studiosa, gli ingegni utilizzati per rappresentare l’ascesa di angeli e santi nelle rappresentazioni offerte presso il castello di Aljafería a Saragozza durante le feste per l’incoronazione di Martino I l’Umano nel 1399 e di </w:t>
      </w:r>
      <w:bookmarkStart w:id="184" w:name="_Hlk535853006"/>
      <w:r w:rsidRPr="00096909">
        <w:rPr>
          <w:rFonts w:ascii="Times New Roman" w:hAnsi="Times New Roman" w:cs="Times New Roman"/>
          <w:sz w:val="24"/>
          <w:szCs w:val="24"/>
        </w:rPr>
        <w:t xml:space="preserve">Fernando de Antequera </w:t>
      </w:r>
      <w:bookmarkEnd w:id="184"/>
      <w:r w:rsidRPr="00096909">
        <w:rPr>
          <w:rFonts w:ascii="Times New Roman" w:hAnsi="Times New Roman" w:cs="Times New Roman"/>
          <w:sz w:val="24"/>
          <w:szCs w:val="24"/>
        </w:rPr>
        <w:t>nel 1414.</w:t>
      </w:r>
      <w:r w:rsidRPr="00096909">
        <w:rPr>
          <w:rStyle w:val="Rimandonotaapidipagina"/>
          <w:rFonts w:ascii="Times New Roman" w:hAnsi="Times New Roman" w:cs="Times New Roman"/>
          <w:sz w:val="24"/>
          <w:szCs w:val="24"/>
        </w:rPr>
        <w:footnoteReference w:id="239"/>
      </w:r>
    </w:p>
    <w:p w14:paraId="09E511EB"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Degli ingegni scenotecnici impiegati l’11 febbraio 1414 negli </w:t>
      </w:r>
      <w:r w:rsidRPr="00096909">
        <w:rPr>
          <w:rFonts w:ascii="Times New Roman" w:hAnsi="Times New Roman" w:cs="Times New Roman"/>
          <w:i/>
          <w:sz w:val="24"/>
          <w:szCs w:val="24"/>
        </w:rPr>
        <w:t>entremets</w:t>
      </w:r>
      <w:r w:rsidRPr="00096909">
        <w:rPr>
          <w:rFonts w:ascii="Times New Roman" w:hAnsi="Times New Roman" w:cs="Times New Roman"/>
          <w:sz w:val="24"/>
          <w:szCs w:val="24"/>
        </w:rPr>
        <w:t xml:space="preserve"> del banchetto in onore del nuovo re fornisce una sintetica descrizione </w:t>
      </w:r>
      <w:bookmarkStart w:id="185" w:name="_Hlk535853055"/>
      <w:r w:rsidRPr="00096909">
        <w:rPr>
          <w:rFonts w:ascii="Times New Roman" w:hAnsi="Times New Roman" w:cs="Times New Roman"/>
          <w:sz w:val="24"/>
          <w:szCs w:val="24"/>
        </w:rPr>
        <w:t>Alvar García de Santa María</w:t>
      </w:r>
      <w:bookmarkEnd w:id="185"/>
      <w:r w:rsidRPr="00096909">
        <w:rPr>
          <w:rFonts w:ascii="Times New Roman" w:hAnsi="Times New Roman" w:cs="Times New Roman"/>
          <w:sz w:val="24"/>
          <w:szCs w:val="24"/>
        </w:rPr>
        <w:t xml:space="preserve">, nella prima sezione della sua </w:t>
      </w:r>
      <w:r w:rsidRPr="00096909">
        <w:rPr>
          <w:rFonts w:ascii="Times New Roman" w:hAnsi="Times New Roman" w:cs="Times New Roman"/>
          <w:i/>
          <w:sz w:val="24"/>
          <w:szCs w:val="24"/>
        </w:rPr>
        <w:t>Crónica de Juan II</w:t>
      </w:r>
      <w:r w:rsidRPr="00096909">
        <w:rPr>
          <w:rFonts w:ascii="Times New Roman" w:hAnsi="Times New Roman" w:cs="Times New Roman"/>
          <w:sz w:val="24"/>
          <w:szCs w:val="24"/>
        </w:rPr>
        <w:t xml:space="preserve">, dedicata agli anni 1406-1419: </w:t>
      </w:r>
    </w:p>
    <w:p w14:paraId="33ED0FE8" w14:textId="77777777" w:rsidR="00970090" w:rsidRPr="00096909" w:rsidRDefault="00970090" w:rsidP="00970090">
      <w:pPr>
        <w:spacing w:after="0" w:line="360" w:lineRule="auto"/>
        <w:jc w:val="both"/>
        <w:rPr>
          <w:rFonts w:ascii="Times New Roman" w:hAnsi="Times New Roman" w:cs="Times New Roman"/>
          <w:sz w:val="24"/>
          <w:szCs w:val="24"/>
        </w:rPr>
      </w:pPr>
    </w:p>
    <w:p w14:paraId="2887FF37" w14:textId="77777777" w:rsidR="00970090" w:rsidRPr="00096909" w:rsidRDefault="00970090" w:rsidP="00970090">
      <w:pPr>
        <w:spacing w:after="0" w:line="360" w:lineRule="auto"/>
        <w:ind w:left="567" w:right="566"/>
        <w:jc w:val="both"/>
        <w:rPr>
          <w:rFonts w:ascii="Times New Roman" w:hAnsi="Times New Roman" w:cs="Times New Roman"/>
          <w:sz w:val="20"/>
          <w:szCs w:val="20"/>
        </w:rPr>
      </w:pPr>
      <w:r w:rsidRPr="00096909">
        <w:rPr>
          <w:rFonts w:ascii="Times New Roman" w:hAnsi="Times New Roman" w:cs="Times New Roman"/>
          <w:sz w:val="20"/>
          <w:szCs w:val="20"/>
        </w:rPr>
        <w:t xml:space="preserve">E comiendo el dicho manjar primero, Dios padre movió todos los cielos, e dende partió una gran nube, e descendió delante de la mesa en ygual de los paños franceses, que estavan puestos en la sala, alto del suelo como una lança d'armas, e salió de la nube un ángel cantando, trayendo en la mano una espada desnuda de la vayna, ó dixo dos coplas asy en limosín: </w:t>
      </w:r>
    </w:p>
    <w:p w14:paraId="0456A2D9" w14:textId="77777777" w:rsidR="00970090" w:rsidRPr="00096909" w:rsidRDefault="00970090" w:rsidP="00970090">
      <w:pPr>
        <w:spacing w:after="0" w:line="360" w:lineRule="auto"/>
        <w:ind w:left="567" w:right="566"/>
        <w:jc w:val="both"/>
        <w:rPr>
          <w:rFonts w:ascii="Times New Roman" w:hAnsi="Times New Roman" w:cs="Times New Roman"/>
          <w:sz w:val="20"/>
          <w:szCs w:val="20"/>
        </w:rPr>
      </w:pPr>
    </w:p>
    <w:p w14:paraId="0AB20559"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«Dios te salva, rey magnífico con coracón fuerte. </w:t>
      </w:r>
    </w:p>
    <w:p w14:paraId="6A83E8BE"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La Trenidad santa e verdadera </w:t>
      </w:r>
    </w:p>
    <w:p w14:paraId="6184B0D1"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a ti me ynvía como a flor d'España. </w:t>
      </w:r>
    </w:p>
    <w:p w14:paraId="3A801C11"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Que te mantengas sienpre en buen conorte, </w:t>
      </w:r>
    </w:p>
    <w:p w14:paraId="5FC17F5B"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y reposarás alto en los cielos, </w:t>
      </w:r>
    </w:p>
    <w:p w14:paraId="1D3FB554"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con arcángeles, do es muy fuerte castillo. </w:t>
      </w:r>
    </w:p>
    <w:p w14:paraId="301C273E"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Encomiéndote todo el pueblo menudo, </w:t>
      </w:r>
    </w:p>
    <w:p w14:paraId="431A3331"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que entre los grandes non sea mal caydo,</w:t>
      </w:r>
    </w:p>
    <w:p w14:paraId="5F2AA515"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 peloar mucho fuerte de verdadera crisma. </w:t>
      </w:r>
    </w:p>
    <w:p w14:paraId="020BFF02"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Defendedor de la clara fee, </w:t>
      </w:r>
    </w:p>
    <w:p w14:paraId="2142A42E"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la yglesia de Dios a ti se encomienda,</w:t>
      </w:r>
    </w:p>
    <w:p w14:paraId="14A131E3"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lastRenderedPageBreak/>
        <w:t xml:space="preserve">creyendo çertamente que le quitarás la çisma, </w:t>
      </w:r>
    </w:p>
    <w:p w14:paraId="07038C4A"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llevando el santo padre allá,</w:t>
      </w:r>
    </w:p>
    <w:p w14:paraId="2E29968D"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dentro en Roma syn toda fallençia. </w:t>
      </w:r>
    </w:p>
    <w:p w14:paraId="0C816463"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Obedecerle-hán con gran reverencia, </w:t>
      </w:r>
    </w:p>
    <w:p w14:paraId="5AF4D02D" w14:textId="77777777" w:rsidR="00970090" w:rsidRPr="00096909" w:rsidRDefault="00970090" w:rsidP="00970090">
      <w:pPr>
        <w:spacing w:after="0" w:line="360" w:lineRule="auto"/>
        <w:ind w:left="2268" w:right="566"/>
        <w:jc w:val="both"/>
        <w:rPr>
          <w:rFonts w:ascii="Times New Roman" w:hAnsi="Times New Roman" w:cs="Times New Roman"/>
          <w:sz w:val="20"/>
          <w:szCs w:val="20"/>
        </w:rPr>
      </w:pPr>
      <w:r w:rsidRPr="00096909">
        <w:rPr>
          <w:rFonts w:ascii="Times New Roman" w:hAnsi="Times New Roman" w:cs="Times New Roman"/>
          <w:sz w:val="20"/>
          <w:szCs w:val="20"/>
        </w:rPr>
        <w:t xml:space="preserve">e cesarán las cismas d'aquí adelante». </w:t>
      </w:r>
    </w:p>
    <w:p w14:paraId="7CE3409C" w14:textId="77777777" w:rsidR="00970090" w:rsidRPr="00096909" w:rsidRDefault="00970090" w:rsidP="00970090">
      <w:pPr>
        <w:spacing w:after="0" w:line="360" w:lineRule="auto"/>
        <w:ind w:left="567" w:right="566"/>
        <w:jc w:val="both"/>
        <w:rPr>
          <w:rFonts w:ascii="Times New Roman" w:hAnsi="Times New Roman" w:cs="Times New Roman"/>
          <w:sz w:val="20"/>
          <w:szCs w:val="20"/>
        </w:rPr>
      </w:pPr>
    </w:p>
    <w:p w14:paraId="3532A0F3" w14:textId="77777777" w:rsidR="00970090" w:rsidRPr="00096909" w:rsidRDefault="00970090" w:rsidP="00970090">
      <w:pPr>
        <w:spacing w:after="0" w:line="360" w:lineRule="auto"/>
        <w:ind w:left="567" w:right="566"/>
        <w:jc w:val="both"/>
        <w:rPr>
          <w:rFonts w:ascii="Times New Roman" w:hAnsi="Times New Roman" w:cs="Times New Roman"/>
          <w:sz w:val="20"/>
          <w:szCs w:val="20"/>
        </w:rPr>
      </w:pPr>
      <w:r w:rsidRPr="00096909">
        <w:rPr>
          <w:rFonts w:ascii="Times New Roman" w:hAnsi="Times New Roman" w:cs="Times New Roman"/>
          <w:sz w:val="20"/>
          <w:szCs w:val="20"/>
        </w:rPr>
        <w:t>E acavando de dezir la nube, subió el ángel a los cielos, e los de parayso tocaron sus estromientos faziendo grande alegría.</w:t>
      </w:r>
      <w:r w:rsidRPr="00096909">
        <w:rPr>
          <w:rStyle w:val="Rimandonotaapidipagina"/>
          <w:rFonts w:ascii="Times New Roman" w:hAnsi="Times New Roman" w:cs="Times New Roman"/>
        </w:rPr>
        <w:footnoteReference w:id="240"/>
      </w:r>
    </w:p>
    <w:p w14:paraId="725562EA" w14:textId="77777777" w:rsidR="00970090" w:rsidRPr="00096909" w:rsidRDefault="00970090" w:rsidP="00970090">
      <w:pPr>
        <w:jc w:val="both"/>
        <w:rPr>
          <w:rFonts w:ascii="Times New Roman" w:hAnsi="Times New Roman" w:cs="Times New Roman"/>
          <w:sz w:val="24"/>
          <w:szCs w:val="24"/>
        </w:rPr>
      </w:pPr>
    </w:p>
    <w:p w14:paraId="50C0A6A4"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fonte è purtroppo avara di particolari in merito al funzionamento dei cieli che ospita</w:t>
      </w:r>
      <w:r>
        <w:rPr>
          <w:rFonts w:ascii="Times New Roman" w:hAnsi="Times New Roman" w:cs="Times New Roman"/>
          <w:sz w:val="24"/>
          <w:szCs w:val="24"/>
        </w:rPr>
        <w:t>ro</w:t>
      </w:r>
      <w:r w:rsidRPr="00096909">
        <w:rPr>
          <w:rFonts w:ascii="Times New Roman" w:hAnsi="Times New Roman" w:cs="Times New Roman"/>
          <w:sz w:val="24"/>
          <w:szCs w:val="24"/>
        </w:rPr>
        <w:t xml:space="preserve">no Dio Padre e della nuvola </w:t>
      </w:r>
      <w:r w:rsidR="009E5D0B">
        <w:rPr>
          <w:rFonts w:ascii="Times New Roman" w:hAnsi="Times New Roman" w:cs="Times New Roman"/>
          <w:sz w:val="24"/>
          <w:szCs w:val="24"/>
        </w:rPr>
        <w:t>con</w:t>
      </w:r>
      <w:r w:rsidRPr="00096909">
        <w:rPr>
          <w:rFonts w:ascii="Times New Roman" w:hAnsi="Times New Roman" w:cs="Times New Roman"/>
          <w:sz w:val="24"/>
          <w:szCs w:val="24"/>
        </w:rPr>
        <w:t xml:space="preserve"> cui l’angelo </w:t>
      </w:r>
      <w:r w:rsidR="006961E5">
        <w:rPr>
          <w:rFonts w:ascii="Times New Roman" w:hAnsi="Times New Roman" w:cs="Times New Roman"/>
          <w:sz w:val="24"/>
          <w:szCs w:val="24"/>
        </w:rPr>
        <w:t>di</w:t>
      </w:r>
      <w:r w:rsidRPr="00096909">
        <w:rPr>
          <w:rFonts w:ascii="Times New Roman" w:hAnsi="Times New Roman" w:cs="Times New Roman"/>
          <w:sz w:val="24"/>
          <w:szCs w:val="24"/>
        </w:rPr>
        <w:t>sce</w:t>
      </w:r>
      <w:r w:rsidR="006961E5">
        <w:rPr>
          <w:rFonts w:ascii="Times New Roman" w:hAnsi="Times New Roman" w:cs="Times New Roman"/>
          <w:sz w:val="24"/>
          <w:szCs w:val="24"/>
        </w:rPr>
        <w:t>s</w:t>
      </w:r>
      <w:r w:rsidRPr="00096909">
        <w:rPr>
          <w:rFonts w:ascii="Times New Roman" w:hAnsi="Times New Roman" w:cs="Times New Roman"/>
          <w:sz w:val="24"/>
          <w:szCs w:val="24"/>
        </w:rPr>
        <w:t xml:space="preserve">e ad annunciare </w:t>
      </w:r>
      <w:r w:rsidR="006961E5" w:rsidRPr="00096909">
        <w:rPr>
          <w:rFonts w:ascii="Times New Roman" w:hAnsi="Times New Roman" w:cs="Times New Roman"/>
          <w:sz w:val="24"/>
          <w:szCs w:val="24"/>
        </w:rPr>
        <w:t xml:space="preserve">a re Ferrando </w:t>
      </w:r>
      <w:r w:rsidRPr="00096909">
        <w:rPr>
          <w:rFonts w:ascii="Times New Roman" w:hAnsi="Times New Roman" w:cs="Times New Roman"/>
          <w:sz w:val="24"/>
          <w:szCs w:val="24"/>
        </w:rPr>
        <w:t>il mandato della Trinità: conservare i sudditi affidatogli da Dio e ricondurre il popolo cristiano, piagato dallo scisma d’Occidente, alla fedeltà al papa.</w:t>
      </w:r>
      <w:r w:rsidRPr="00096909">
        <w:rPr>
          <w:rStyle w:val="Rimandonotaapidipagina"/>
          <w:rFonts w:ascii="Times New Roman" w:hAnsi="Times New Roman" w:cs="Times New Roman"/>
          <w:sz w:val="24"/>
          <w:szCs w:val="24"/>
        </w:rPr>
        <w:footnoteReference w:id="241"/>
      </w:r>
      <w:r w:rsidRPr="00096909">
        <w:rPr>
          <w:rFonts w:ascii="Times New Roman" w:hAnsi="Times New Roman" w:cs="Times New Roman"/>
          <w:sz w:val="24"/>
          <w:szCs w:val="24"/>
        </w:rPr>
        <w:t xml:space="preserve"> </w:t>
      </w:r>
    </w:p>
    <w:p w14:paraId="09C5B055"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Anche la miniatura di Crespi non riproduce nulla dell’ingegno con il cielo che ci si aspetterebbe di vedere se l’iconografia avesse una discendenza diretta dagli</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ingegni scenotecnici di Saragozza. Tuttavia, la corrispondenza tra le proporzioni dei santi e di Cristo e quelle di Alfonso e dei </w:t>
      </w:r>
      <w:r>
        <w:rPr>
          <w:rFonts w:ascii="Times New Roman" w:hAnsi="Times New Roman" w:cs="Times New Roman"/>
          <w:sz w:val="24"/>
          <w:szCs w:val="24"/>
        </w:rPr>
        <w:t xml:space="preserve">due </w:t>
      </w:r>
      <w:r w:rsidRPr="00096909">
        <w:rPr>
          <w:rFonts w:ascii="Times New Roman" w:hAnsi="Times New Roman" w:cs="Times New Roman"/>
          <w:sz w:val="24"/>
          <w:szCs w:val="24"/>
        </w:rPr>
        <w:t xml:space="preserve">frati domenicano e carmelitano che lo affiancano nella contemplazione della scena, </w:t>
      </w:r>
      <w:r>
        <w:rPr>
          <w:rFonts w:ascii="Times New Roman" w:hAnsi="Times New Roman" w:cs="Times New Roman"/>
          <w:sz w:val="24"/>
          <w:szCs w:val="24"/>
        </w:rPr>
        <w:t xml:space="preserve">insieme </w:t>
      </w:r>
      <w:r w:rsidRPr="00096909">
        <w:rPr>
          <w:rFonts w:ascii="Times New Roman" w:hAnsi="Times New Roman" w:cs="Times New Roman"/>
          <w:sz w:val="24"/>
          <w:szCs w:val="24"/>
        </w:rPr>
        <w:t>allo sforzo dell’artista per dare consistenza materiale alle figure poste sopra la nuvola, lasciano pensare che l’episodio dell’Ascensione volesse essere visualizzato qui per mezzo di figuranti e non di statue o di arredi sacri presenti nella cappella. Vista la vena naturalistica del Crespi, abilissimo nel riprodurre le atmosfere e i decori delle corti aragonesi, non sarebbe fuori luogo ipotizzare che egli a</w:t>
      </w:r>
      <w:r>
        <w:rPr>
          <w:rFonts w:ascii="Times New Roman" w:hAnsi="Times New Roman" w:cs="Times New Roman"/>
          <w:sz w:val="24"/>
          <w:szCs w:val="24"/>
        </w:rPr>
        <w:t>vesse</w:t>
      </w:r>
      <w:r w:rsidRPr="00096909">
        <w:rPr>
          <w:rFonts w:ascii="Times New Roman" w:hAnsi="Times New Roman" w:cs="Times New Roman"/>
          <w:sz w:val="24"/>
          <w:szCs w:val="24"/>
        </w:rPr>
        <w:t xml:space="preserve"> voluto velatamente evocare anche alcune forme spettacolari del </w:t>
      </w:r>
      <w:r w:rsidRPr="00096909">
        <w:rPr>
          <w:rFonts w:ascii="Times New Roman" w:hAnsi="Times New Roman" w:cs="Times New Roman"/>
          <w:sz w:val="24"/>
          <w:szCs w:val="24"/>
        </w:rPr>
        <w:lastRenderedPageBreak/>
        <w:t>cerimoniale iberico. Se si consider</w:t>
      </w:r>
      <w:r>
        <w:rPr>
          <w:rFonts w:ascii="Times New Roman" w:hAnsi="Times New Roman" w:cs="Times New Roman"/>
          <w:sz w:val="24"/>
          <w:szCs w:val="24"/>
        </w:rPr>
        <w:t>a</w:t>
      </w:r>
      <w:r w:rsidRPr="00096909">
        <w:rPr>
          <w:rFonts w:ascii="Times New Roman" w:hAnsi="Times New Roman" w:cs="Times New Roman"/>
          <w:sz w:val="24"/>
          <w:szCs w:val="24"/>
        </w:rPr>
        <w:t xml:space="preserve"> come Alfonso, specie nei suoi primi anni napoletani, avesse favorito l’importazione di elementi decorativi valencian</w:t>
      </w:r>
      <w:r>
        <w:rPr>
          <w:rFonts w:ascii="Times New Roman" w:hAnsi="Times New Roman" w:cs="Times New Roman"/>
          <w:sz w:val="24"/>
          <w:szCs w:val="24"/>
        </w:rPr>
        <w:t>i</w:t>
      </w:r>
      <w:r w:rsidRPr="00096909">
        <w:rPr>
          <w:rFonts w:ascii="Times New Roman" w:hAnsi="Times New Roman" w:cs="Times New Roman"/>
          <w:sz w:val="24"/>
          <w:szCs w:val="24"/>
        </w:rPr>
        <w:t xml:space="preserve">, avendo per modello il lusso delle residenze in cui era cresciuto e giungendo a </w:t>
      </w:r>
      <w:r>
        <w:rPr>
          <w:rFonts w:ascii="Times New Roman" w:hAnsi="Times New Roman" w:cs="Times New Roman"/>
          <w:sz w:val="24"/>
          <w:szCs w:val="24"/>
        </w:rPr>
        <w:t xml:space="preserve">invitare </w:t>
      </w:r>
      <w:r w:rsidRPr="00096909">
        <w:rPr>
          <w:rFonts w:ascii="Times New Roman" w:hAnsi="Times New Roman" w:cs="Times New Roman"/>
          <w:sz w:val="24"/>
          <w:szCs w:val="24"/>
        </w:rPr>
        <w:t xml:space="preserve">a Napoli artigiani </w:t>
      </w:r>
      <w:r w:rsidRPr="00096909">
        <w:rPr>
          <w:rFonts w:ascii="Times New Roman" w:hAnsi="Times New Roman" w:cs="Times New Roman"/>
          <w:i/>
          <w:sz w:val="24"/>
          <w:szCs w:val="24"/>
        </w:rPr>
        <w:t>mudejar</w:t>
      </w:r>
      <w:r w:rsidRPr="00096909">
        <w:rPr>
          <w:rFonts w:ascii="Times New Roman" w:hAnsi="Times New Roman" w:cs="Times New Roman"/>
          <w:sz w:val="24"/>
          <w:szCs w:val="24"/>
        </w:rPr>
        <w:t xml:space="preserve"> di origine catalana per avvalersi delle loro competenze nell’arte dei rivestimenti in ceramica – arte alla quale compaiono più richiami nelle pagine del codice –</w:t>
      </w:r>
      <w:r w:rsidRPr="00096909">
        <w:rPr>
          <w:rStyle w:val="Rimandonotaapidipagina"/>
          <w:rFonts w:ascii="Times New Roman" w:hAnsi="Times New Roman" w:cs="Times New Roman"/>
          <w:sz w:val="24"/>
          <w:szCs w:val="24"/>
        </w:rPr>
        <w:footnoteReference w:id="242"/>
      </w:r>
      <w:r w:rsidRPr="00096909">
        <w:rPr>
          <w:rFonts w:ascii="Times New Roman" w:hAnsi="Times New Roman" w:cs="Times New Roman"/>
          <w:sz w:val="24"/>
          <w:szCs w:val="24"/>
        </w:rPr>
        <w:t>, l’impiego di questa iconografia spettacolare rientrerebbe perfettamente nel campionario di lussi alla moda spagnola dispiegato dal miniatore, a</w:t>
      </w:r>
      <w:r w:rsidR="006961E5">
        <w:rPr>
          <w:rFonts w:ascii="Times New Roman" w:hAnsi="Times New Roman" w:cs="Times New Roman"/>
          <w:sz w:val="24"/>
          <w:szCs w:val="24"/>
        </w:rPr>
        <w:t>i</w:t>
      </w:r>
      <w:r w:rsidRPr="00096909">
        <w:rPr>
          <w:rFonts w:ascii="Times New Roman" w:hAnsi="Times New Roman" w:cs="Times New Roman"/>
          <w:sz w:val="24"/>
          <w:szCs w:val="24"/>
        </w:rPr>
        <w:t xml:space="preserve"> qual</w:t>
      </w:r>
      <w:r w:rsidR="006961E5">
        <w:rPr>
          <w:rFonts w:ascii="Times New Roman" w:hAnsi="Times New Roman" w:cs="Times New Roman"/>
          <w:sz w:val="24"/>
          <w:szCs w:val="24"/>
        </w:rPr>
        <w:t>i</w:t>
      </w:r>
      <w:r w:rsidRPr="00096909">
        <w:rPr>
          <w:rFonts w:ascii="Times New Roman" w:hAnsi="Times New Roman" w:cs="Times New Roman"/>
          <w:sz w:val="24"/>
          <w:szCs w:val="24"/>
        </w:rPr>
        <w:t xml:space="preserve"> il Magnanimo fu assai sensibile. </w:t>
      </w:r>
    </w:p>
    <w:p w14:paraId="000A5CB0"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 altro esempio dell’apprezzamento del re di Napoli per la citazione in miniatura dello sfarzo degli spettacoli cortigiani è </w:t>
      </w:r>
      <w:r w:rsidR="00091809">
        <w:rPr>
          <w:rFonts w:ascii="Times New Roman" w:hAnsi="Times New Roman" w:cs="Times New Roman"/>
          <w:sz w:val="24"/>
          <w:szCs w:val="24"/>
        </w:rPr>
        <w:t>ravvisabile ne</w:t>
      </w:r>
      <w:r w:rsidRPr="00096909">
        <w:rPr>
          <w:rFonts w:ascii="Times New Roman" w:hAnsi="Times New Roman" w:cs="Times New Roman"/>
          <w:sz w:val="24"/>
          <w:szCs w:val="24"/>
        </w:rPr>
        <w:t xml:space="preserve">l codice Lat. 1565 della Biblioteca Apostolica Vaticana, contente il </w:t>
      </w:r>
      <w:r w:rsidRPr="00096909">
        <w:rPr>
          <w:rFonts w:ascii="Times New Roman" w:hAnsi="Times New Roman" w:cs="Times New Roman"/>
          <w:i/>
          <w:sz w:val="24"/>
          <w:szCs w:val="24"/>
        </w:rPr>
        <w:t>De rebus gestis Ferdinandi I</w:t>
      </w:r>
      <w:r w:rsidRPr="00096909">
        <w:rPr>
          <w:rFonts w:ascii="Times New Roman" w:hAnsi="Times New Roman" w:cs="Times New Roman"/>
          <w:sz w:val="24"/>
          <w:szCs w:val="24"/>
        </w:rPr>
        <w:t xml:space="preserve"> di Lorenzo Valla e l’</w:t>
      </w:r>
      <w:r w:rsidRPr="00096909">
        <w:rPr>
          <w:rFonts w:ascii="Times New Roman" w:hAnsi="Times New Roman" w:cs="Times New Roman"/>
          <w:i/>
          <w:sz w:val="24"/>
          <w:szCs w:val="24"/>
        </w:rPr>
        <w:t xml:space="preserve">Alphonsi regis triumphus </w:t>
      </w:r>
      <w:r w:rsidRPr="00096909">
        <w:rPr>
          <w:rFonts w:ascii="Times New Roman" w:hAnsi="Times New Roman" w:cs="Times New Roman"/>
          <w:sz w:val="24"/>
          <w:szCs w:val="24"/>
        </w:rPr>
        <w:t>del Panormita.</w:t>
      </w:r>
      <w:r w:rsidRPr="00096909">
        <w:rPr>
          <w:rStyle w:val="Rimandonotaapidipagina"/>
          <w:rFonts w:ascii="Times New Roman" w:hAnsi="Times New Roman" w:cs="Times New Roman"/>
          <w:sz w:val="24"/>
          <w:szCs w:val="24"/>
        </w:rPr>
        <w:footnoteReference w:id="243"/>
      </w:r>
      <w:r w:rsidRPr="00096909">
        <w:rPr>
          <w:rFonts w:ascii="Times New Roman" w:hAnsi="Times New Roman" w:cs="Times New Roman"/>
          <w:sz w:val="24"/>
          <w:szCs w:val="24"/>
        </w:rPr>
        <w:t xml:space="preserve"> Al foglio 123v un’illustrazione a piena pagina marca la successione dal primo al secondo testo e mostra l’incedere del carro trionfale di Alfonso trainato, come si legge nelle coeve descrizioni umanistiche, da quattro cavalli bianchi e sormontato da</w:t>
      </w:r>
      <w:r>
        <w:rPr>
          <w:rFonts w:ascii="Times New Roman" w:hAnsi="Times New Roman" w:cs="Times New Roman"/>
          <w:sz w:val="24"/>
          <w:szCs w:val="24"/>
        </w:rPr>
        <w:t xml:space="preserve"> un</w:t>
      </w:r>
      <w:r w:rsidRPr="00096909">
        <w:rPr>
          <w:rFonts w:ascii="Times New Roman" w:hAnsi="Times New Roman" w:cs="Times New Roman"/>
          <w:sz w:val="24"/>
          <w:szCs w:val="24"/>
        </w:rPr>
        <w:t xml:space="preserve"> baldacchino di tessuto dorato e porpora, colori dello stemma aragonese (fig. 19). </w:t>
      </w:r>
    </w:p>
    <w:p w14:paraId="28927B12" w14:textId="77777777" w:rsidR="00970090" w:rsidRPr="002F4886" w:rsidRDefault="00970090" w:rsidP="00970090">
      <w:pPr>
        <w:spacing w:after="0" w:line="360" w:lineRule="auto"/>
        <w:ind w:firstLine="397"/>
        <w:jc w:val="both"/>
        <w:rPr>
          <w:rFonts w:ascii="Times New Roman" w:hAnsi="Times New Roman" w:cs="Times New Roman"/>
          <w:sz w:val="24"/>
          <w:szCs w:val="24"/>
        </w:rPr>
      </w:pPr>
      <w:r w:rsidRPr="002F4886">
        <w:rPr>
          <w:rFonts w:ascii="Times New Roman" w:hAnsi="Times New Roman" w:cs="Times New Roman"/>
          <w:sz w:val="24"/>
          <w:szCs w:val="24"/>
        </w:rPr>
        <w:t xml:space="preserve">Si tratta di un’illustrazione sintetica dell’evento, in cui l’imponente corteo è riassunto dai volti di alcuni figuranti che sfilano ai lati del cocchio suonando trombe e sventolando gli stendardi regi. Il lettore ricorderà come in tale circostanza sia Facio che Panormita avessero attestato come Alfonso, sull’esempio di Giulio Cesare, non avesse voluto indossare la corona, così come a capo scoperto il re fu raffigurato da Francesco Laurana e dagli scultori attivi per l’arco di Castel Nuovo nel 1453. In quel contesto ufficiale il sovrano volle mostrarsi probabilmente come il savio Cesare vagheggiato dagli umanisti, ma nelle pagine del manoscritto egli indossa invece la corona, e coronato appare al termine del corteo dipinto sul fronte di cassone fatto realizzare da </w:t>
      </w:r>
      <w:bookmarkStart w:id="189" w:name="_Hlk535853329"/>
      <w:r w:rsidRPr="002F4886">
        <w:rPr>
          <w:rFonts w:ascii="Times New Roman" w:hAnsi="Times New Roman" w:cs="Times New Roman"/>
          <w:sz w:val="24"/>
          <w:szCs w:val="24"/>
        </w:rPr>
        <w:t xml:space="preserve">Antonio Ridolfi </w:t>
      </w:r>
      <w:bookmarkEnd w:id="189"/>
      <w:r w:rsidRPr="002F4886">
        <w:rPr>
          <w:rFonts w:ascii="Times New Roman" w:hAnsi="Times New Roman" w:cs="Times New Roman"/>
          <w:sz w:val="24"/>
          <w:szCs w:val="24"/>
        </w:rPr>
        <w:t>per le nozze di uno dei suoi due figli, tra il 1462 e il 1465 (fig. 20).</w:t>
      </w:r>
      <w:r w:rsidRPr="002F4886">
        <w:rPr>
          <w:rStyle w:val="Rimandonotaapidipagina"/>
          <w:rFonts w:ascii="Times New Roman" w:hAnsi="Times New Roman" w:cs="Times New Roman"/>
          <w:sz w:val="24"/>
          <w:szCs w:val="24"/>
        </w:rPr>
        <w:footnoteReference w:id="244"/>
      </w:r>
      <w:r w:rsidRPr="002F4886">
        <w:rPr>
          <w:rFonts w:ascii="Times New Roman" w:hAnsi="Times New Roman" w:cs="Times New Roman"/>
          <w:sz w:val="24"/>
          <w:szCs w:val="24"/>
        </w:rPr>
        <w:t xml:space="preserve"> Se si osserva la </w:t>
      </w:r>
      <w:r w:rsidRPr="002F4886">
        <w:rPr>
          <w:rFonts w:ascii="Times New Roman" w:hAnsi="Times New Roman" w:cs="Times New Roman"/>
          <w:sz w:val="24"/>
          <w:szCs w:val="24"/>
        </w:rPr>
        <w:lastRenderedPageBreak/>
        <w:t xml:space="preserve">fattura dei copricapi nelle due testimonianze iconografiche, si noterà che nella miniatura la corona ha un aspetto insolito, con punte radianti – forse desunto da certe medaglie antiche con i ritratti coronati di Aureliano e di Costantino come </w:t>
      </w:r>
      <w:r w:rsidRPr="002F4886">
        <w:rPr>
          <w:rFonts w:ascii="Times New Roman" w:hAnsi="Times New Roman" w:cs="Times New Roman"/>
          <w:i/>
          <w:sz w:val="24"/>
          <w:szCs w:val="24"/>
        </w:rPr>
        <w:t>Deus sol invictus</w:t>
      </w:r>
      <w:r w:rsidRPr="002F4886">
        <w:rPr>
          <w:rFonts w:ascii="Times New Roman" w:hAnsi="Times New Roman" w:cs="Times New Roman"/>
          <w:sz w:val="24"/>
          <w:szCs w:val="24"/>
        </w:rPr>
        <w:t xml:space="preserve"> – mentre nel corteo del cassone essa ha forma più convenzionale, a fioroni, poggiante su una ghirlanda.</w:t>
      </w:r>
      <w:r w:rsidRPr="002F4886">
        <w:rPr>
          <w:rStyle w:val="Rimandonotaapidipagina"/>
          <w:rFonts w:ascii="Times New Roman" w:hAnsi="Times New Roman" w:cs="Times New Roman"/>
          <w:sz w:val="24"/>
          <w:szCs w:val="24"/>
        </w:rPr>
        <w:footnoteReference w:id="245"/>
      </w:r>
      <w:r w:rsidRPr="002F4886">
        <w:rPr>
          <w:rFonts w:ascii="Times New Roman" w:hAnsi="Times New Roman" w:cs="Times New Roman"/>
          <w:sz w:val="24"/>
          <w:szCs w:val="24"/>
        </w:rPr>
        <w:t xml:space="preserve"> Nella miniatura, inoltre, Alfonso non veste l’abito purpureo ricordato dagli umanisti, e se nel cassone e nel fregio dell’arco trionfale egli regge lo scettro e l’orbe d’oro, nell’illustrazione libraria reca soltanto lo scettro, poggiando la mano sinistra sul fianco, in chiaro gesto di vittoria sugli avversari.</w:t>
      </w:r>
      <w:r w:rsidRPr="002F4886">
        <w:rPr>
          <w:rStyle w:val="Rimandonotaapidipagina"/>
          <w:rFonts w:ascii="Times New Roman" w:hAnsi="Times New Roman" w:cs="Times New Roman"/>
          <w:sz w:val="24"/>
          <w:szCs w:val="24"/>
        </w:rPr>
        <w:footnoteReference w:id="246"/>
      </w:r>
    </w:p>
    <w:p w14:paraId="16881EAF"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trionfo miniato e quello dipinto sulla tavola non hanno dunque la pretesa di documentare puntualmente lo svolgimento del corteo alfonsino. Ne restituiscono piuttosto un’immagine idealizzata, conforme alle esigenze rappresentative tanto del re, che nel contesto privato della sua biblioteca volle sfoggiare un lusso maggiore rispetto a quello concesso al momento della cerimonia pubblica, quanto di Antonio Ridolfi, ambasciatore fiorentino presso la corte di Napoli e sostenitore a Firenze del partito filoaragonese, che si servì </w:t>
      </w:r>
      <w:r>
        <w:rPr>
          <w:rFonts w:ascii="Times New Roman" w:hAnsi="Times New Roman" w:cs="Times New Roman"/>
          <w:sz w:val="24"/>
          <w:szCs w:val="24"/>
        </w:rPr>
        <w:t xml:space="preserve">della mostra </w:t>
      </w:r>
      <w:r w:rsidRPr="00096909">
        <w:rPr>
          <w:rFonts w:ascii="Times New Roman" w:hAnsi="Times New Roman" w:cs="Times New Roman"/>
          <w:sz w:val="24"/>
          <w:szCs w:val="24"/>
        </w:rPr>
        <w:t>dei cassoni durante le nozze dei suoi eredi per ribadire le proprie idee politiche e il prestigio di cui egli godeva alla corte aragonese.</w:t>
      </w:r>
      <w:r w:rsidRPr="00096909">
        <w:rPr>
          <w:rStyle w:val="Rimandonotaapidipagina"/>
          <w:rFonts w:ascii="Times New Roman" w:hAnsi="Times New Roman" w:cs="Times New Roman"/>
          <w:sz w:val="24"/>
          <w:szCs w:val="24"/>
        </w:rPr>
        <w:footnoteReference w:id="247"/>
      </w:r>
    </w:p>
    <w:p w14:paraId="7F0DE913"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Anche Ferrante, successore di Alfonso, fu più volte effigiato in libri a lui dedicati. È lui, </w:t>
      </w:r>
      <w:r>
        <w:rPr>
          <w:rFonts w:ascii="Times New Roman" w:hAnsi="Times New Roman" w:cs="Times New Roman"/>
          <w:sz w:val="24"/>
          <w:szCs w:val="24"/>
        </w:rPr>
        <w:t>per</w:t>
      </w:r>
      <w:r w:rsidRPr="00096909">
        <w:rPr>
          <w:rFonts w:ascii="Times New Roman" w:hAnsi="Times New Roman" w:cs="Times New Roman"/>
          <w:sz w:val="24"/>
          <w:szCs w:val="24"/>
        </w:rPr>
        <w:t xml:space="preserve"> esempio, il protagonista delle scene che illustrano il </w:t>
      </w:r>
      <w:r w:rsidRPr="00096909">
        <w:rPr>
          <w:rFonts w:ascii="Times New Roman" w:hAnsi="Times New Roman" w:cs="Times New Roman"/>
          <w:i/>
          <w:sz w:val="24"/>
          <w:szCs w:val="24"/>
        </w:rPr>
        <w:t xml:space="preserve">De maiestate </w:t>
      </w:r>
      <w:r w:rsidRPr="00096909">
        <w:rPr>
          <w:rFonts w:ascii="Times New Roman" w:hAnsi="Times New Roman" w:cs="Times New Roman"/>
          <w:sz w:val="24"/>
          <w:szCs w:val="24"/>
        </w:rPr>
        <w:t xml:space="preserve">di </w:t>
      </w:r>
      <w:bookmarkStart w:id="190" w:name="_Hlk535854631"/>
      <w:r w:rsidRPr="00096909">
        <w:rPr>
          <w:rFonts w:ascii="Times New Roman" w:hAnsi="Times New Roman" w:cs="Times New Roman"/>
          <w:sz w:val="24"/>
          <w:szCs w:val="24"/>
        </w:rPr>
        <w:t xml:space="preserve">Giuniano Maio </w:t>
      </w:r>
      <w:bookmarkEnd w:id="190"/>
      <w:r w:rsidRPr="00096909">
        <w:rPr>
          <w:rFonts w:ascii="Times New Roman" w:hAnsi="Times New Roman" w:cs="Times New Roman"/>
          <w:sz w:val="24"/>
          <w:szCs w:val="24"/>
        </w:rPr>
        <w:t>decorato da Nardo Rapicano nel 1493.</w:t>
      </w:r>
      <w:r w:rsidRPr="00096909">
        <w:rPr>
          <w:rStyle w:val="Rimandonotaapidipagina"/>
          <w:rFonts w:ascii="Times New Roman" w:hAnsi="Times New Roman" w:cs="Times New Roman"/>
          <w:sz w:val="24"/>
          <w:szCs w:val="24"/>
        </w:rPr>
        <w:footnoteReference w:id="248"/>
      </w:r>
      <w:r w:rsidRPr="00096909">
        <w:rPr>
          <w:rFonts w:ascii="Times New Roman" w:hAnsi="Times New Roman" w:cs="Times New Roman"/>
          <w:sz w:val="24"/>
          <w:szCs w:val="24"/>
        </w:rPr>
        <w:t xml:space="preserve"> Il trattato, opera di un retore e cortigiano eminente, era stato presentato al monarca nell’anno precedente, e si compone di venti capitoli che passano in rassegna le virtù necessarie a formare la qualità somma che si addice al sovrano: la Maestà. Il manoscritto è illustrato da ventisei vignette dedicate a episodi della vita di Ferrante nei quali egli si era mostrato </w:t>
      </w:r>
      <w:r w:rsidRPr="00096909">
        <w:rPr>
          <w:rFonts w:ascii="Times New Roman" w:hAnsi="Times New Roman" w:cs="Times New Roman"/>
          <w:sz w:val="24"/>
          <w:szCs w:val="24"/>
        </w:rPr>
        <w:lastRenderedPageBreak/>
        <w:t>eccellente nell’esercizio delle buone attitudini del principe ideale.</w:t>
      </w:r>
      <w:r w:rsidRPr="00096909">
        <w:rPr>
          <w:rStyle w:val="Rimandonotaapidipagina"/>
          <w:rFonts w:ascii="Times New Roman" w:hAnsi="Times New Roman" w:cs="Times New Roman"/>
          <w:sz w:val="24"/>
          <w:szCs w:val="24"/>
        </w:rPr>
        <w:footnoteReference w:id="249"/>
      </w:r>
      <w:r w:rsidRPr="00096909">
        <w:rPr>
          <w:rFonts w:ascii="Times New Roman" w:hAnsi="Times New Roman" w:cs="Times New Roman"/>
          <w:sz w:val="24"/>
          <w:szCs w:val="24"/>
        </w:rPr>
        <w:t xml:space="preserve"> Il soggetto si prestò pertanto a facili citazioni della vita cortese napoletana. Le pretese di realismo del manoscritto risultano tuttavia limitate, e sebbene il profilo di Ferrante sia ben caratterizzato, non si coglie la volontà dell’artista di presentare momenti precisamente identificabili della vita della corte. Le immagini hanno piuttosto lo scopo d</w:t>
      </w:r>
      <w:r>
        <w:rPr>
          <w:rFonts w:ascii="Times New Roman" w:hAnsi="Times New Roman" w:cs="Times New Roman"/>
          <w:sz w:val="24"/>
          <w:szCs w:val="24"/>
        </w:rPr>
        <w:t>’</w:t>
      </w:r>
      <w:r w:rsidRPr="00096909">
        <w:rPr>
          <w:rFonts w:ascii="Times New Roman" w:hAnsi="Times New Roman" w:cs="Times New Roman"/>
          <w:sz w:val="24"/>
          <w:szCs w:val="24"/>
        </w:rPr>
        <w:t>illustrare in maniera pertinente lo scritto e risultano di elevato valore artistico per quanto riguarda la resa degli spazi in prospettiva, la profondità di certi paesaggi, la tenue gamma cromatica. Si consideri</w:t>
      </w:r>
      <w:r>
        <w:rPr>
          <w:rFonts w:ascii="Times New Roman" w:hAnsi="Times New Roman" w:cs="Times New Roman"/>
          <w:sz w:val="24"/>
          <w:szCs w:val="24"/>
        </w:rPr>
        <w:t>,</w:t>
      </w:r>
      <w:r w:rsidRPr="00096909">
        <w:rPr>
          <w:rFonts w:ascii="Times New Roman" w:hAnsi="Times New Roman" w:cs="Times New Roman"/>
          <w:sz w:val="24"/>
          <w:szCs w:val="24"/>
        </w:rPr>
        <w:t xml:space="preserve"> ad esempio</w:t>
      </w:r>
      <w:r>
        <w:rPr>
          <w:rFonts w:ascii="Times New Roman" w:hAnsi="Times New Roman" w:cs="Times New Roman"/>
          <w:sz w:val="24"/>
          <w:szCs w:val="24"/>
        </w:rPr>
        <w:t>,</w:t>
      </w:r>
      <w:r w:rsidRPr="00096909">
        <w:rPr>
          <w:rFonts w:ascii="Times New Roman" w:hAnsi="Times New Roman" w:cs="Times New Roman"/>
          <w:sz w:val="24"/>
          <w:szCs w:val="24"/>
        </w:rPr>
        <w:t xml:space="preserve"> la caccia al cinghiale del foglio 58v (fig. 21), dove la semplice linea del disegno non indugia sui particolari o sulla tipizzazione dei tratti del volto dei compagni di Ferrante, lasciando la scena in un’atmosfera quasi irreale, retrodatata di diversi anni per ringiovanire il re</w:t>
      </w:r>
      <w:r>
        <w:rPr>
          <w:rFonts w:ascii="Times New Roman" w:hAnsi="Times New Roman" w:cs="Times New Roman"/>
          <w:sz w:val="24"/>
          <w:szCs w:val="24"/>
        </w:rPr>
        <w:t>,</w:t>
      </w:r>
      <w:r w:rsidRPr="00096909">
        <w:rPr>
          <w:rFonts w:ascii="Times New Roman" w:hAnsi="Times New Roman" w:cs="Times New Roman"/>
          <w:sz w:val="24"/>
          <w:szCs w:val="24"/>
        </w:rPr>
        <w:t xml:space="preserve"> settantenne all’epoca della realizzazione del codice, ma che nelle miniature appare decisamente più giovane. </w:t>
      </w:r>
    </w:p>
    <w:p w14:paraId="53B3855F"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Rapicano approdò a ben altri esiti nel </w:t>
      </w:r>
      <w:r w:rsidRPr="00096909">
        <w:rPr>
          <w:rFonts w:ascii="Times New Roman" w:hAnsi="Times New Roman" w:cs="Times New Roman"/>
          <w:i/>
          <w:sz w:val="24"/>
          <w:szCs w:val="24"/>
        </w:rPr>
        <w:t>Breviario</w:t>
      </w:r>
      <w:r w:rsidRPr="00096909">
        <w:rPr>
          <w:rFonts w:ascii="Times New Roman" w:hAnsi="Times New Roman" w:cs="Times New Roman"/>
          <w:sz w:val="24"/>
          <w:szCs w:val="24"/>
        </w:rPr>
        <w:t xml:space="preserve"> miniato per Ferrante intorno al 1480.</w:t>
      </w:r>
      <w:r w:rsidRPr="00096909">
        <w:rPr>
          <w:rStyle w:val="Rimandonotaapidipagina"/>
          <w:rFonts w:ascii="Times New Roman" w:hAnsi="Times New Roman" w:cs="Times New Roman"/>
          <w:sz w:val="24"/>
          <w:szCs w:val="24"/>
        </w:rPr>
        <w:footnoteReference w:id="250"/>
      </w:r>
      <w:r w:rsidRPr="00096909">
        <w:rPr>
          <w:rFonts w:ascii="Times New Roman" w:hAnsi="Times New Roman" w:cs="Times New Roman"/>
          <w:sz w:val="24"/>
          <w:szCs w:val="24"/>
        </w:rPr>
        <w:t xml:space="preserve"> Nel </w:t>
      </w:r>
      <w:r w:rsidRPr="00096909">
        <w:rPr>
          <w:rFonts w:ascii="Times New Roman" w:hAnsi="Times New Roman" w:cs="Times New Roman"/>
          <w:i/>
          <w:sz w:val="24"/>
          <w:szCs w:val="24"/>
        </w:rPr>
        <w:t>bas de page</w:t>
      </w:r>
      <w:r w:rsidRPr="00096909">
        <w:rPr>
          <w:rFonts w:ascii="Times New Roman" w:hAnsi="Times New Roman" w:cs="Times New Roman"/>
          <w:sz w:val="24"/>
          <w:szCs w:val="24"/>
        </w:rPr>
        <w:t xml:space="preserve"> del foglio 11r, </w:t>
      </w:r>
      <w:r>
        <w:rPr>
          <w:rFonts w:ascii="Times New Roman" w:hAnsi="Times New Roman" w:cs="Times New Roman"/>
          <w:sz w:val="24"/>
          <w:szCs w:val="24"/>
        </w:rPr>
        <w:t xml:space="preserve">il re </w:t>
      </w:r>
      <w:r w:rsidRPr="00096909">
        <w:rPr>
          <w:rFonts w:ascii="Times New Roman" w:hAnsi="Times New Roman" w:cs="Times New Roman"/>
          <w:sz w:val="24"/>
          <w:szCs w:val="24"/>
        </w:rPr>
        <w:t xml:space="preserve">appare inginocchiato in preghiera e rivestito di un manto morello bordato di ermellino (fig. 22). Ritroviamo </w:t>
      </w:r>
      <w:r>
        <w:rPr>
          <w:rFonts w:ascii="Times New Roman" w:hAnsi="Times New Roman" w:cs="Times New Roman"/>
          <w:sz w:val="24"/>
          <w:szCs w:val="24"/>
        </w:rPr>
        <w:t xml:space="preserve">l’attenzione descrittiva </w:t>
      </w:r>
      <w:r w:rsidRPr="00096909">
        <w:rPr>
          <w:rFonts w:ascii="Times New Roman" w:hAnsi="Times New Roman" w:cs="Times New Roman"/>
          <w:sz w:val="24"/>
          <w:szCs w:val="24"/>
        </w:rPr>
        <w:t xml:space="preserve">dei dettagli dei pavimenti e dei sontuosi tappeti della corte, già vista nel </w:t>
      </w:r>
      <w:r w:rsidRPr="00096909">
        <w:rPr>
          <w:rFonts w:ascii="Times New Roman" w:hAnsi="Times New Roman" w:cs="Times New Roman"/>
          <w:i/>
          <w:sz w:val="24"/>
          <w:szCs w:val="24"/>
        </w:rPr>
        <w:t>Libro d’ore</w:t>
      </w:r>
      <w:r w:rsidRPr="00096909">
        <w:rPr>
          <w:rFonts w:ascii="Times New Roman" w:hAnsi="Times New Roman" w:cs="Times New Roman"/>
          <w:sz w:val="24"/>
          <w:szCs w:val="24"/>
        </w:rPr>
        <w:t xml:space="preserve"> del Magnanimo, anche se qui l’architettura che inquadra lo specchio di pagina è sicuramente da mettere in relazione con la moda dei frontespizi architettonici diffusa a Napoli dai manoscritti decorati da Gaspare da Padova per Alfonso di Calabria e per Giovanni d’Aragona. Tra i cortigiani oranti alle spalle di Ferrante sono stati inoltre riconosciuti Antonello Petrucci, il duca di Calabria e il cardinale Giovanni. La scena riprodotta è dunque quella della recita dei vespri da parte del re accompagnato da alcuni notabili, perfettamente adatta a illustrare l’antifona trascritta sulla pagina </w:t>
      </w:r>
      <w:r>
        <w:rPr>
          <w:rFonts w:ascii="Times New Roman" w:hAnsi="Times New Roman" w:cs="Times New Roman"/>
          <w:sz w:val="24"/>
          <w:szCs w:val="24"/>
        </w:rPr>
        <w:t>(</w:t>
      </w:r>
      <w:r w:rsidRPr="00096909">
        <w:rPr>
          <w:rFonts w:ascii="Times New Roman" w:hAnsi="Times New Roman" w:cs="Times New Roman"/>
          <w:i/>
          <w:sz w:val="24"/>
          <w:szCs w:val="24"/>
        </w:rPr>
        <w:t>Rex pacificus magnificatus</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est</w:t>
      </w:r>
      <w:r w:rsidRPr="00071012">
        <w:rPr>
          <w:rFonts w:ascii="Times New Roman" w:hAnsi="Times New Roman" w:cs="Times New Roman"/>
          <w:sz w:val="24"/>
          <w:szCs w:val="24"/>
        </w:rPr>
        <w:t xml:space="preserve">) </w:t>
      </w:r>
      <w:r w:rsidRPr="00096909">
        <w:rPr>
          <w:rFonts w:ascii="Times New Roman" w:hAnsi="Times New Roman" w:cs="Times New Roman"/>
          <w:sz w:val="24"/>
          <w:szCs w:val="24"/>
        </w:rPr>
        <w:t xml:space="preserve">che apre i primi vespri della Natività.  </w:t>
      </w:r>
    </w:p>
    <w:p w14:paraId="291076F0"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Tra i codici con ritratti di Ferrante è però l’esemplare dell’</w:t>
      </w:r>
      <w:r w:rsidRPr="00096909">
        <w:rPr>
          <w:rFonts w:ascii="Times New Roman" w:hAnsi="Times New Roman" w:cs="Times New Roman"/>
          <w:i/>
          <w:sz w:val="24"/>
          <w:szCs w:val="24"/>
        </w:rPr>
        <w:t>Oratio pro rege Ferdinando,</w:t>
      </w:r>
      <w:r w:rsidRPr="00096909">
        <w:rPr>
          <w:rFonts w:ascii="Times New Roman" w:hAnsi="Times New Roman" w:cs="Times New Roman"/>
          <w:sz w:val="24"/>
          <w:szCs w:val="24"/>
        </w:rPr>
        <w:t xml:space="preserve"> scritto nel 1474 da Giovan Marco Cinico, che presenta, meglio di ogni altro, un momento del cerimoniale di corte. Si tratta dell’orazione pronunciata, presumibilmente l’11 agosto 1474, dal vescovo di Mileto </w:t>
      </w:r>
      <w:bookmarkStart w:id="191" w:name="_Hlk535855083"/>
      <w:r w:rsidRPr="00096909">
        <w:rPr>
          <w:rFonts w:ascii="Times New Roman" w:hAnsi="Times New Roman" w:cs="Times New Roman"/>
          <w:sz w:val="24"/>
          <w:szCs w:val="24"/>
        </w:rPr>
        <w:t xml:space="preserve">Narciso Verduno </w:t>
      </w:r>
      <w:bookmarkEnd w:id="191"/>
      <w:r w:rsidRPr="00096909">
        <w:rPr>
          <w:rFonts w:ascii="Times New Roman" w:hAnsi="Times New Roman" w:cs="Times New Roman"/>
          <w:sz w:val="24"/>
          <w:szCs w:val="24"/>
        </w:rPr>
        <w:t xml:space="preserve">per l’elezione di Federico da Montefeltro nell’ordine cavalleresco </w:t>
      </w:r>
      <w:r w:rsidRPr="00096909">
        <w:rPr>
          <w:rFonts w:ascii="Times New Roman" w:hAnsi="Times New Roman" w:cs="Times New Roman"/>
          <w:sz w:val="24"/>
          <w:szCs w:val="24"/>
        </w:rPr>
        <w:lastRenderedPageBreak/>
        <w:t>dell’ermellino, istituito dal re di Napoli il 29 settembre 1465, al termine della rivolta dei baroni.</w:t>
      </w:r>
      <w:r w:rsidRPr="00096909">
        <w:rPr>
          <w:rStyle w:val="Rimandonotaapidipagina"/>
          <w:rFonts w:ascii="Times New Roman" w:hAnsi="Times New Roman" w:cs="Times New Roman"/>
          <w:sz w:val="24"/>
          <w:szCs w:val="24"/>
        </w:rPr>
        <w:footnoteReference w:id="251"/>
      </w:r>
      <w:r w:rsidRPr="00096909">
        <w:rPr>
          <w:rFonts w:ascii="Times New Roman" w:hAnsi="Times New Roman" w:cs="Times New Roman"/>
          <w:sz w:val="24"/>
          <w:szCs w:val="24"/>
        </w:rPr>
        <w:t xml:space="preserve"> Al recto del foglio 2, una miniatura, attribuita alla bottega di Cola Rapicano, mostra il duca d’Urbino inginocchiato al fianco sinistro del re per ricevere il collare dell’ordine, mentre sul fianco destro è ritratto in piedi Alfonso di Calabria, creato anch’egli cavaliere nella stessa circostanza (fig. 23). </w:t>
      </w:r>
    </w:p>
    <w:p w14:paraId="77AF9E77"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Concordemente a quanto riferito sulla cerimonia da </w:t>
      </w:r>
      <w:bookmarkStart w:id="193" w:name="_Hlk535855312"/>
      <w:r w:rsidRPr="00096909">
        <w:rPr>
          <w:rFonts w:ascii="Times New Roman" w:hAnsi="Times New Roman" w:cs="Times New Roman"/>
          <w:sz w:val="24"/>
          <w:szCs w:val="24"/>
        </w:rPr>
        <w:t xml:space="preserve">Bernardino Baldi </w:t>
      </w:r>
      <w:bookmarkEnd w:id="193"/>
      <w:r w:rsidRPr="00096909">
        <w:rPr>
          <w:rFonts w:ascii="Times New Roman" w:hAnsi="Times New Roman" w:cs="Times New Roman"/>
          <w:sz w:val="24"/>
          <w:szCs w:val="24"/>
        </w:rPr>
        <w:t xml:space="preserve">nella </w:t>
      </w:r>
      <w:r w:rsidRPr="00096909">
        <w:rPr>
          <w:rFonts w:ascii="Times New Roman" w:hAnsi="Times New Roman" w:cs="Times New Roman"/>
          <w:i/>
          <w:sz w:val="24"/>
          <w:szCs w:val="24"/>
        </w:rPr>
        <w:t>Vita e fatti di Federico I da Montefeltro</w:t>
      </w:r>
      <w:r w:rsidRPr="00096909">
        <w:rPr>
          <w:rFonts w:ascii="Times New Roman" w:hAnsi="Times New Roman" w:cs="Times New Roman"/>
          <w:sz w:val="24"/>
          <w:szCs w:val="24"/>
        </w:rPr>
        <w:t>, il rito si svolse nella cappella reale e comportò l’imposizione da parte di Ferrante di un manto rosso foderato d’ermellino e di un collare d’oro con gli stemmi araldici aragonesi al di sopra della tunica bianca vestita dai nuovi membri dell’ordine.</w:t>
      </w:r>
      <w:r w:rsidRPr="00096909">
        <w:rPr>
          <w:rStyle w:val="Rimandonotaapidipagina"/>
          <w:rFonts w:ascii="Times New Roman" w:hAnsi="Times New Roman" w:cs="Times New Roman"/>
          <w:sz w:val="24"/>
          <w:szCs w:val="24"/>
        </w:rPr>
        <w:footnoteReference w:id="252"/>
      </w:r>
      <w:r w:rsidRPr="00096909">
        <w:rPr>
          <w:rFonts w:ascii="Times New Roman" w:hAnsi="Times New Roman" w:cs="Times New Roman"/>
          <w:sz w:val="24"/>
          <w:szCs w:val="24"/>
        </w:rPr>
        <w:t xml:space="preserve"> Se si confronta l’abbigliamento sfoggiato nell’illustrazione da Ferrante, da Alfonso e da Federico con quanto prescritto dall’VIII capitolo dello statuto dell’ordine si noterà una stringente corrispondenza:</w:t>
      </w:r>
    </w:p>
    <w:p w14:paraId="275F2DCC" w14:textId="77777777" w:rsidR="00970090" w:rsidRPr="00096909" w:rsidRDefault="00970090" w:rsidP="00970090">
      <w:pPr>
        <w:spacing w:after="0" w:line="360" w:lineRule="auto"/>
        <w:jc w:val="both"/>
        <w:rPr>
          <w:rFonts w:ascii="Times New Roman" w:hAnsi="Times New Roman" w:cs="Times New Roman"/>
          <w:sz w:val="20"/>
          <w:szCs w:val="20"/>
        </w:rPr>
      </w:pPr>
    </w:p>
    <w:p w14:paraId="096CBA9D" w14:textId="77777777" w:rsidR="00970090" w:rsidRPr="00096909" w:rsidRDefault="00970090" w:rsidP="00970090">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El mantello del ordine el quale porteranno li Confratri sarrà spaccato et aperto dal lato dextro, de setino raso carmosino longo fino alle calcagna et serrà foderato de pelli de Armino et inserrato al collo. La veste de sopto el manto serrà de seta bianca et fino ali taloni sive calcagna longa.</w:t>
      </w:r>
      <w:r w:rsidRPr="00096909">
        <w:rPr>
          <w:rStyle w:val="Rimandonotaapidipagina"/>
          <w:rFonts w:ascii="Times New Roman" w:hAnsi="Times New Roman" w:cs="Times New Roman"/>
        </w:rPr>
        <w:footnoteReference w:id="253"/>
      </w:r>
    </w:p>
    <w:p w14:paraId="2B3FC1CC" w14:textId="77777777" w:rsidR="00970090" w:rsidRPr="00096909" w:rsidRDefault="00970090" w:rsidP="00970090">
      <w:pPr>
        <w:spacing w:after="0" w:line="360" w:lineRule="auto"/>
        <w:ind w:right="566"/>
        <w:jc w:val="both"/>
        <w:rPr>
          <w:rFonts w:ascii="Times New Roman" w:hAnsi="Times New Roman" w:cs="Times New Roman"/>
          <w:sz w:val="20"/>
          <w:szCs w:val="20"/>
        </w:rPr>
      </w:pPr>
    </w:p>
    <w:p w14:paraId="47FA81C1"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Il manoscritto, destinato alla biblioteca del duca d’Urbino, fu dunque commissionato come un dono aristocratico, che nella pregevole fattura delle miniature degli artisti prediletti dalla corte napoletana, i Rapicano, potesse richiamare lo splendore del cerimoniale aragonese.</w:t>
      </w:r>
      <w:r w:rsidRPr="00096909">
        <w:rPr>
          <w:rStyle w:val="Rimandonotaapidipagina"/>
          <w:rFonts w:ascii="Times New Roman" w:hAnsi="Times New Roman" w:cs="Times New Roman"/>
          <w:sz w:val="24"/>
          <w:szCs w:val="24"/>
        </w:rPr>
        <w:footnoteReference w:id="254"/>
      </w:r>
      <w:r w:rsidRPr="00096909">
        <w:rPr>
          <w:rFonts w:ascii="Times New Roman" w:hAnsi="Times New Roman" w:cs="Times New Roman"/>
          <w:sz w:val="24"/>
          <w:szCs w:val="24"/>
        </w:rPr>
        <w:t xml:space="preserve"> Esso trovava inoltre posto nella biblioteca del principe per ribadire le </w:t>
      </w:r>
      <w:r>
        <w:rPr>
          <w:rFonts w:ascii="Times New Roman" w:hAnsi="Times New Roman" w:cs="Times New Roman"/>
          <w:sz w:val="24"/>
          <w:szCs w:val="24"/>
        </w:rPr>
        <w:t xml:space="preserve">sue </w:t>
      </w:r>
      <w:r w:rsidRPr="00096909">
        <w:rPr>
          <w:rFonts w:ascii="Times New Roman" w:hAnsi="Times New Roman" w:cs="Times New Roman"/>
          <w:sz w:val="24"/>
          <w:szCs w:val="24"/>
        </w:rPr>
        <w:t xml:space="preserve">alleanze con Ferrante, e un anno più tardi sarebbe stato affiancato da un altro codice offerto a Federico: la descrizione delle nozze del signore di Pesaro, Costanzo Sforza, con Camilla d’Aragona, sulla quale ci soffermeremo nel capitolo successivo.  </w:t>
      </w:r>
    </w:p>
    <w:p w14:paraId="7050B05D"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Il rapporto che le illustrazioni di un testo possono instaurare con la realtà cortese rappresentata spazia dunque, come in quest’ultimo caso, dal tentativo di riprodurre un preciso momento della vita di corte alla rievocazione di una memoria visuale del fasto di un evento. </w:t>
      </w:r>
    </w:p>
    <w:p w14:paraId="628AC529"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Spostandoci in ambito milanese, una pretesa di fedeltà al cerimoniale cortigiano mi pare affiorare nella miniatura che ritrae Galeazzo Maria Sforza nell’atto di accoglie il codice di dedica del </w:t>
      </w:r>
      <w:r w:rsidRPr="00096909">
        <w:rPr>
          <w:rFonts w:ascii="Times New Roman" w:hAnsi="Times New Roman" w:cs="Times New Roman"/>
          <w:i/>
          <w:sz w:val="24"/>
          <w:szCs w:val="24"/>
        </w:rPr>
        <w:t>De impedimentis matrimonii</w:t>
      </w:r>
      <w:r w:rsidRPr="00096909">
        <w:rPr>
          <w:rFonts w:ascii="Times New Roman" w:hAnsi="Times New Roman" w:cs="Times New Roman"/>
          <w:sz w:val="24"/>
          <w:szCs w:val="24"/>
        </w:rPr>
        <w:t xml:space="preserve"> di Girolamo Mangiaria, dipinta dal </w:t>
      </w:r>
      <w:bookmarkStart w:id="194" w:name="_Hlk528579604"/>
      <w:r w:rsidRPr="00096909">
        <w:rPr>
          <w:rFonts w:ascii="Times New Roman" w:hAnsi="Times New Roman" w:cs="Times New Roman"/>
          <w:sz w:val="24"/>
          <w:szCs w:val="24"/>
        </w:rPr>
        <w:t xml:space="preserve">Maestro delle Ore Birago </w:t>
      </w:r>
      <w:bookmarkEnd w:id="194"/>
      <w:r w:rsidRPr="00096909">
        <w:rPr>
          <w:rFonts w:ascii="Times New Roman" w:hAnsi="Times New Roman" w:cs="Times New Roman"/>
          <w:sz w:val="24"/>
          <w:szCs w:val="24"/>
        </w:rPr>
        <w:t>nell’esemplare oggi conservato a Parigi (fig. 24).</w:t>
      </w:r>
      <w:r w:rsidRPr="00096909">
        <w:rPr>
          <w:rStyle w:val="Rimandonotaapidipagina"/>
          <w:rFonts w:ascii="Times New Roman" w:hAnsi="Times New Roman" w:cs="Times New Roman"/>
          <w:sz w:val="24"/>
          <w:szCs w:val="24"/>
        </w:rPr>
        <w:footnoteReference w:id="255"/>
      </w:r>
      <w:r w:rsidRPr="00096909">
        <w:rPr>
          <w:rFonts w:ascii="Times New Roman" w:hAnsi="Times New Roman" w:cs="Times New Roman"/>
          <w:sz w:val="24"/>
          <w:szCs w:val="24"/>
        </w:rPr>
        <w:t xml:space="preserve"> Su un trono sormontato da un baldacchino e poggiante su una pedana coperta di ricchi tappeti lo Sforza riceve il manoscritto dalle mani dell’autore, il quale veste l’abito rosso tipico dei professori di diritto e il cappello da accademico, che regge deferente nella mano sinistra. A capo scoperto è ritratto anche il bambino alle sue spalle, presumibilmente il figlio del giurista. Alla sinistra del duca, il segretario Cicco Simonetta – identificato grazie al confronto con il suo busto collocato sulla facciata del Duomo di Como – è impegnato nella lettura di una pergamena, mentre i gentiluomini che lo affiancano conversano, prestando poca attenzione alla scena. La loro appartenenza alla cerchia ducale è </w:t>
      </w:r>
      <w:r>
        <w:rPr>
          <w:rFonts w:ascii="Times New Roman" w:hAnsi="Times New Roman" w:cs="Times New Roman"/>
          <w:sz w:val="24"/>
          <w:szCs w:val="24"/>
        </w:rPr>
        <w:t>dichiarata</w:t>
      </w:r>
      <w:r w:rsidRPr="00096909">
        <w:rPr>
          <w:rFonts w:ascii="Times New Roman" w:hAnsi="Times New Roman" w:cs="Times New Roman"/>
          <w:sz w:val="24"/>
          <w:szCs w:val="24"/>
        </w:rPr>
        <w:t xml:space="preserve"> dal fatto che indossino le calze alla divisa sforzesca: rossa la sinistra; blu e bianca la destra.</w:t>
      </w:r>
    </w:p>
    <w:p w14:paraId="00BAACF6"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L’indugio del miniatore sulla solennità dei gesti, sui panneggi delle giornee damascate e sugli arredi della sala che ospita l’evento esprime pienamente la ricercatezza dei costumi della corte di Galeazzo Maria Sforza, della quale l’illustrazione risulta un perfetto ritratto. Con tale ambiente il Maestro delle Ore Birago ebbe discreta confidenza, dal momento che, come indicano le ricerche di Pier Luigi Mulas, la sua carriera si svolse principalmente nell’ambito della residenza ducale di Pavia, dove contribuì a rinnovare il linguaggio artistico locale in direzione filo-ferrarese – dal Giraldi egli deriverebbe una certa passione per la prospettiva, la cromia luminosa, e l’ambientazione delle scene entro architetture minuziosamente rappresentate –, ma anche accogliendo ricercatezze fiamminghe, come nell’</w:t>
      </w:r>
      <w:r w:rsidRPr="00096909">
        <w:rPr>
          <w:rFonts w:ascii="Times New Roman" w:hAnsi="Times New Roman" w:cs="Times New Roman"/>
          <w:i/>
          <w:sz w:val="24"/>
          <w:szCs w:val="24"/>
        </w:rPr>
        <w:t>Annunciazione</w:t>
      </w:r>
      <w:r w:rsidRPr="00096909">
        <w:rPr>
          <w:rFonts w:ascii="Times New Roman" w:hAnsi="Times New Roman" w:cs="Times New Roman"/>
          <w:sz w:val="24"/>
          <w:szCs w:val="24"/>
        </w:rPr>
        <w:t xml:space="preserve"> da lui affrescata nella Cappella Castiglioni del collegio di Sant’Agostino.</w:t>
      </w:r>
      <w:r w:rsidRPr="00096909">
        <w:rPr>
          <w:rStyle w:val="Rimandonotaapidipagina"/>
          <w:rFonts w:ascii="Times New Roman" w:hAnsi="Times New Roman" w:cs="Times New Roman"/>
          <w:sz w:val="24"/>
          <w:szCs w:val="24"/>
        </w:rPr>
        <w:footnoteReference w:id="256"/>
      </w:r>
      <w:r w:rsidRPr="00096909">
        <w:rPr>
          <w:rFonts w:ascii="Times New Roman" w:hAnsi="Times New Roman" w:cs="Times New Roman"/>
          <w:sz w:val="24"/>
          <w:szCs w:val="24"/>
        </w:rPr>
        <w:t xml:space="preserve"> </w:t>
      </w:r>
    </w:p>
    <w:p w14:paraId="1489FE89"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Secondo lo studioso, considerata la conoscenza del Maestro dell’arte ferrarese, è possibile che egli si sia ispirato, nel ritrarre il profilo del duca di Milano di tre quarti sul fondo di una tappezzeria damascata, alla scena di dedica miniata da Giraldi, intorno al 1470, per la presentazione del </w:t>
      </w:r>
      <w:bookmarkStart w:id="195" w:name="_Hlk528581615"/>
      <w:r w:rsidRPr="00096909">
        <w:rPr>
          <w:rFonts w:ascii="Times New Roman" w:hAnsi="Times New Roman" w:cs="Times New Roman"/>
          <w:i/>
          <w:sz w:val="24"/>
          <w:szCs w:val="24"/>
        </w:rPr>
        <w:t xml:space="preserve">Libro </w:t>
      </w:r>
      <w:r w:rsidRPr="00096909">
        <w:rPr>
          <w:rFonts w:ascii="Times New Roman" w:hAnsi="Times New Roman" w:cs="Times New Roman"/>
          <w:i/>
          <w:sz w:val="24"/>
          <w:szCs w:val="24"/>
        </w:rPr>
        <w:lastRenderedPageBreak/>
        <w:t>del Salvatore</w:t>
      </w:r>
      <w:r w:rsidRPr="00096909">
        <w:rPr>
          <w:rFonts w:ascii="Times New Roman" w:hAnsi="Times New Roman" w:cs="Times New Roman"/>
          <w:sz w:val="24"/>
          <w:szCs w:val="24"/>
        </w:rPr>
        <w:t xml:space="preserve"> di </w:t>
      </w:r>
      <w:bookmarkStart w:id="196" w:name="_Hlk535855533"/>
      <w:r w:rsidRPr="00096909">
        <w:rPr>
          <w:rFonts w:ascii="Times New Roman" w:hAnsi="Times New Roman" w:cs="Times New Roman"/>
          <w:sz w:val="24"/>
          <w:szCs w:val="24"/>
        </w:rPr>
        <w:t xml:space="preserve">Candido Bontempi </w:t>
      </w:r>
      <w:bookmarkEnd w:id="195"/>
      <w:bookmarkEnd w:id="196"/>
      <w:r w:rsidRPr="00096909">
        <w:rPr>
          <w:rFonts w:ascii="Times New Roman" w:hAnsi="Times New Roman" w:cs="Times New Roman"/>
          <w:sz w:val="24"/>
          <w:szCs w:val="24"/>
        </w:rPr>
        <w:t>a Borso d’Este (fig. 25). Al foglio 3r del manoscritto Bontempi appare in ginocchio davanti al duca di Ferrara nell’atto di porgere l’opera.</w:t>
      </w:r>
      <w:r w:rsidRPr="00096909">
        <w:rPr>
          <w:rStyle w:val="Rimandonotaapidipagina"/>
          <w:rFonts w:ascii="Times New Roman" w:hAnsi="Times New Roman" w:cs="Times New Roman"/>
          <w:sz w:val="24"/>
          <w:szCs w:val="24"/>
        </w:rPr>
        <w:footnoteReference w:id="257"/>
      </w:r>
      <w:r w:rsidRPr="00096909">
        <w:rPr>
          <w:rFonts w:ascii="Times New Roman" w:hAnsi="Times New Roman" w:cs="Times New Roman"/>
          <w:sz w:val="24"/>
          <w:szCs w:val="24"/>
        </w:rPr>
        <w:t xml:space="preserve"> Con una mano si regge allo scudo ornato dall’emblema dell’ordine del Dragone debellato, del quale egli era stato insignito a Foligno nell’agosto 1433 dall’imperatore Sigismondo. Borso, seduto in trono e in abito damascato verde, accoglie l’opera e mostra a sua volta, sulla calza in primo piano, l’impresa prediletta del paraduro.</w:t>
      </w:r>
      <w:r w:rsidRPr="00096909">
        <w:rPr>
          <w:rStyle w:val="Rimandonotaapidipagina"/>
          <w:rFonts w:ascii="Times New Roman" w:hAnsi="Times New Roman" w:cs="Times New Roman"/>
          <w:sz w:val="24"/>
          <w:szCs w:val="24"/>
        </w:rPr>
        <w:footnoteReference w:id="258"/>
      </w:r>
      <w:r w:rsidRPr="00096909">
        <w:rPr>
          <w:rFonts w:ascii="Times New Roman" w:hAnsi="Times New Roman" w:cs="Times New Roman"/>
          <w:sz w:val="24"/>
          <w:szCs w:val="24"/>
        </w:rPr>
        <w:t xml:space="preserve"> </w:t>
      </w:r>
    </w:p>
    <w:p w14:paraId="0CF684D9" w14:textId="77777777" w:rsidR="00970090" w:rsidRPr="00096909" w:rsidRDefault="00970090" w:rsidP="00970090">
      <w:pPr>
        <w:spacing w:after="0" w:line="360" w:lineRule="auto"/>
        <w:ind w:firstLine="397"/>
        <w:jc w:val="both"/>
        <w:rPr>
          <w:rFonts w:ascii="Times New Roman" w:hAnsi="Times New Roman" w:cs="Times New Roman"/>
          <w:sz w:val="20"/>
          <w:szCs w:val="20"/>
        </w:rPr>
      </w:pPr>
      <w:r w:rsidRPr="00096909">
        <w:rPr>
          <w:rFonts w:ascii="Times New Roman" w:hAnsi="Times New Roman" w:cs="Times New Roman"/>
          <w:sz w:val="24"/>
          <w:szCs w:val="24"/>
        </w:rPr>
        <w:t xml:space="preserve">Nell’insieme, le due composizioni risultano affini, anche in ragione della discreta convenzionalità delle scene di offerta dei manoscritti di dedica, ma credo si possa trovare un modello più stringente per la presentazione del trattato di Mangiaria in alcune miniature prodotte in un ambiente con cui Galeazzo Maria Sforza andava intessendo importanti alleanze politiche negli anni 1475-1476, gli stessi della decorazione del codice del </w:t>
      </w:r>
      <w:r w:rsidRPr="00096909">
        <w:rPr>
          <w:rFonts w:ascii="Times New Roman" w:hAnsi="Times New Roman" w:cs="Times New Roman"/>
          <w:i/>
          <w:sz w:val="24"/>
          <w:szCs w:val="24"/>
        </w:rPr>
        <w:t>De impedimentis</w:t>
      </w:r>
      <w:r w:rsidRPr="00096909">
        <w:rPr>
          <w:rFonts w:ascii="Times New Roman" w:hAnsi="Times New Roman" w:cs="Times New Roman"/>
          <w:sz w:val="24"/>
          <w:szCs w:val="24"/>
        </w:rPr>
        <w:t xml:space="preserve">. Mi riferisco al ducato di Borgogna di </w:t>
      </w:r>
      <w:bookmarkStart w:id="198" w:name="_Hlk535855696"/>
      <w:r w:rsidRPr="00096909">
        <w:rPr>
          <w:rFonts w:ascii="Times New Roman" w:hAnsi="Times New Roman" w:cs="Times New Roman"/>
          <w:sz w:val="24"/>
          <w:szCs w:val="24"/>
        </w:rPr>
        <w:t>Carlo il Temerario</w:t>
      </w:r>
      <w:bookmarkEnd w:id="198"/>
      <w:r w:rsidRPr="00096909">
        <w:rPr>
          <w:rFonts w:ascii="Times New Roman" w:hAnsi="Times New Roman" w:cs="Times New Roman"/>
          <w:sz w:val="24"/>
          <w:szCs w:val="24"/>
        </w:rPr>
        <w:t>, che con lo Sforza stipulò la lega di Moncalieri il 30 gennaio 1475.</w:t>
      </w:r>
      <w:r w:rsidRPr="00096909">
        <w:rPr>
          <w:rStyle w:val="Rimandonotaapidipagina"/>
          <w:rFonts w:ascii="Times New Roman" w:hAnsi="Times New Roman" w:cs="Times New Roman"/>
          <w:sz w:val="24"/>
          <w:szCs w:val="24"/>
        </w:rPr>
        <w:footnoteReference w:id="259"/>
      </w:r>
      <w:r w:rsidRPr="00096909">
        <w:rPr>
          <w:rFonts w:ascii="Times New Roman" w:hAnsi="Times New Roman" w:cs="Times New Roman"/>
          <w:sz w:val="20"/>
          <w:szCs w:val="20"/>
        </w:rPr>
        <w:t xml:space="preserve"> </w:t>
      </w:r>
    </w:p>
    <w:p w14:paraId="685324DA"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Alcuni anni prima, tra il 1447 e il 1448, a suo padre, Filippo il Buono, furono offerte tre opere commissionate al letterato e storico </w:t>
      </w:r>
      <w:bookmarkStart w:id="199" w:name="_Hlk535855766"/>
      <w:r w:rsidRPr="00096909">
        <w:rPr>
          <w:rFonts w:ascii="Times New Roman" w:hAnsi="Times New Roman" w:cs="Times New Roman"/>
          <w:sz w:val="24"/>
          <w:szCs w:val="24"/>
        </w:rPr>
        <w:t xml:space="preserve">Jean </w:t>
      </w:r>
      <w:bookmarkStart w:id="200" w:name="_Hlk528582130"/>
      <w:r w:rsidRPr="00096909">
        <w:rPr>
          <w:rFonts w:ascii="Times New Roman" w:hAnsi="Times New Roman" w:cs="Times New Roman"/>
          <w:sz w:val="24"/>
          <w:szCs w:val="24"/>
        </w:rPr>
        <w:t>Wauquelin</w:t>
      </w:r>
      <w:bookmarkEnd w:id="199"/>
      <w:r w:rsidRPr="00096909">
        <w:rPr>
          <w:rFonts w:ascii="Times New Roman" w:hAnsi="Times New Roman" w:cs="Times New Roman"/>
          <w:sz w:val="24"/>
          <w:szCs w:val="24"/>
        </w:rPr>
        <w:t xml:space="preserve">: la traduzione delle </w:t>
      </w:r>
      <w:r w:rsidRPr="00096909">
        <w:rPr>
          <w:rFonts w:ascii="Times New Roman" w:hAnsi="Times New Roman" w:cs="Times New Roman"/>
          <w:i/>
          <w:sz w:val="24"/>
          <w:szCs w:val="24"/>
        </w:rPr>
        <w:t xml:space="preserve">Chroniques de Hainaut </w:t>
      </w:r>
      <w:bookmarkEnd w:id="200"/>
      <w:r w:rsidRPr="00096909">
        <w:rPr>
          <w:rFonts w:ascii="Times New Roman" w:hAnsi="Times New Roman" w:cs="Times New Roman"/>
          <w:sz w:val="24"/>
          <w:szCs w:val="24"/>
        </w:rPr>
        <w:t xml:space="preserve">(fig. 26), la messa in prosa del </w:t>
      </w:r>
      <w:bookmarkStart w:id="201" w:name="_Hlk528582683"/>
      <w:r w:rsidRPr="00096909">
        <w:rPr>
          <w:rFonts w:ascii="Times New Roman" w:hAnsi="Times New Roman" w:cs="Times New Roman"/>
          <w:i/>
          <w:sz w:val="24"/>
          <w:szCs w:val="24"/>
        </w:rPr>
        <w:t xml:space="preserve">Girart de Rossillon </w:t>
      </w:r>
      <w:bookmarkEnd w:id="201"/>
      <w:r w:rsidRPr="00096909">
        <w:rPr>
          <w:rFonts w:ascii="Times New Roman" w:hAnsi="Times New Roman" w:cs="Times New Roman"/>
          <w:sz w:val="24"/>
          <w:szCs w:val="24"/>
        </w:rPr>
        <w:t xml:space="preserve">(fig. 27), e una versione fiamminga </w:t>
      </w:r>
      <w:bookmarkStart w:id="202" w:name="_Hlk528583052"/>
      <w:r w:rsidRPr="00096909">
        <w:rPr>
          <w:rFonts w:ascii="Times New Roman" w:hAnsi="Times New Roman" w:cs="Times New Roman"/>
          <w:sz w:val="24"/>
          <w:szCs w:val="24"/>
        </w:rPr>
        <w:t>dell’</w:t>
      </w:r>
      <w:r w:rsidRPr="00096909">
        <w:rPr>
          <w:rFonts w:ascii="Times New Roman" w:hAnsi="Times New Roman" w:cs="Times New Roman"/>
          <w:i/>
          <w:sz w:val="24"/>
          <w:szCs w:val="24"/>
        </w:rPr>
        <w:t>Histoire</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d’Alexandre</w:t>
      </w:r>
      <w:bookmarkEnd w:id="202"/>
      <w:r w:rsidRPr="00096909">
        <w:rPr>
          <w:rFonts w:ascii="Times New Roman" w:hAnsi="Times New Roman" w:cs="Times New Roman"/>
          <w:i/>
          <w:sz w:val="24"/>
          <w:szCs w:val="24"/>
        </w:rPr>
        <w:t xml:space="preserve"> </w:t>
      </w:r>
      <w:r w:rsidRPr="00096909">
        <w:rPr>
          <w:rFonts w:ascii="Times New Roman" w:hAnsi="Times New Roman" w:cs="Times New Roman"/>
          <w:sz w:val="24"/>
          <w:szCs w:val="24"/>
        </w:rPr>
        <w:t>(fig. 28).</w:t>
      </w:r>
      <w:r w:rsidRPr="00096909">
        <w:rPr>
          <w:rStyle w:val="Rimandonotaapidipagina"/>
          <w:rFonts w:ascii="Times New Roman" w:hAnsi="Times New Roman" w:cs="Times New Roman"/>
          <w:sz w:val="24"/>
          <w:szCs w:val="24"/>
        </w:rPr>
        <w:footnoteReference w:id="260"/>
      </w:r>
      <w:r w:rsidRPr="00096909">
        <w:rPr>
          <w:rFonts w:ascii="Times New Roman" w:hAnsi="Times New Roman" w:cs="Times New Roman"/>
          <w:sz w:val="24"/>
          <w:szCs w:val="24"/>
        </w:rPr>
        <w:t xml:space="preserve"> Per questi testi il miniatore </w:t>
      </w:r>
      <w:bookmarkStart w:id="206" w:name="_Hlk528582283"/>
      <w:r w:rsidRPr="00096909">
        <w:rPr>
          <w:rFonts w:ascii="Times New Roman" w:hAnsi="Times New Roman" w:cs="Times New Roman"/>
          <w:sz w:val="24"/>
          <w:szCs w:val="24"/>
        </w:rPr>
        <w:t xml:space="preserve">Dreux Jehan </w:t>
      </w:r>
      <w:bookmarkEnd w:id="206"/>
      <w:r w:rsidRPr="00096909">
        <w:rPr>
          <w:rFonts w:ascii="Times New Roman" w:hAnsi="Times New Roman" w:cs="Times New Roman"/>
          <w:sz w:val="24"/>
          <w:szCs w:val="24"/>
        </w:rPr>
        <w:t xml:space="preserve">realizzò tre frontespizi, che </w:t>
      </w:r>
      <w:r w:rsidRPr="00096909">
        <w:rPr>
          <w:rFonts w:ascii="Times New Roman" w:hAnsi="Times New Roman" w:cs="Times New Roman"/>
          <w:sz w:val="24"/>
          <w:szCs w:val="24"/>
        </w:rPr>
        <w:lastRenderedPageBreak/>
        <w:t xml:space="preserve">mostrano Wauquelin nell’atto di presentare al duca le proprie fatiche letterarie. All’interno della sala del trono l’autore presenta il manoscritto di dedica a Filippo il Buono, che siede in trono – eccetto che nel frontespizio del primo manoscritto – abbigliato elegantemente. Alla sua destra si accostano tre dignitari. Il primo tiene tra le mani un cartiglio e porta un abito blu, stretto da una cinta cui è appesa una piccola borsa. Il secondo indossa una veste rossa prelatizia con pellegrina e un berretto rosso. Nelle </w:t>
      </w:r>
      <w:r w:rsidRPr="00096909">
        <w:rPr>
          <w:rFonts w:ascii="Times New Roman" w:hAnsi="Times New Roman" w:cs="Times New Roman"/>
          <w:i/>
          <w:sz w:val="24"/>
          <w:szCs w:val="24"/>
        </w:rPr>
        <w:t>Chroniques de Hainaut</w:t>
      </w:r>
      <w:r w:rsidRPr="00096909">
        <w:rPr>
          <w:rFonts w:ascii="Times New Roman" w:hAnsi="Times New Roman" w:cs="Times New Roman"/>
          <w:sz w:val="24"/>
          <w:szCs w:val="24"/>
        </w:rPr>
        <w:t xml:space="preserve"> e nel </w:t>
      </w:r>
      <w:r w:rsidRPr="00096909">
        <w:rPr>
          <w:rFonts w:ascii="Times New Roman" w:hAnsi="Times New Roman" w:cs="Times New Roman"/>
          <w:i/>
          <w:sz w:val="24"/>
          <w:szCs w:val="24"/>
        </w:rPr>
        <w:t>Girart de Rossillon</w:t>
      </w:r>
      <w:r w:rsidRPr="00096909">
        <w:rPr>
          <w:rFonts w:ascii="Times New Roman" w:hAnsi="Times New Roman" w:cs="Times New Roman"/>
          <w:sz w:val="24"/>
          <w:szCs w:val="24"/>
        </w:rPr>
        <w:t xml:space="preserve"> i due sono scortati da un terzo cortigiano più defilato, calvo e dal naso appuntito. Sulla base di confronti iconografici e di raffronti con alcuni ritratti di Rogier </w:t>
      </w:r>
      <w:r w:rsidR="009C0C3C">
        <w:rPr>
          <w:rFonts w:ascii="Times New Roman" w:hAnsi="Times New Roman" w:cs="Times New Roman"/>
          <w:sz w:val="24"/>
          <w:szCs w:val="24"/>
        </w:rPr>
        <w:t>v</w:t>
      </w:r>
      <w:r w:rsidRPr="00096909">
        <w:rPr>
          <w:rFonts w:ascii="Times New Roman" w:hAnsi="Times New Roman" w:cs="Times New Roman"/>
          <w:sz w:val="24"/>
          <w:szCs w:val="24"/>
        </w:rPr>
        <w:t xml:space="preserve">an der Weyden i tre personaggi sono stati identificati, rispettivamente, con: il cancelliere </w:t>
      </w:r>
      <w:bookmarkStart w:id="207" w:name="_Hlk535855961"/>
      <w:r w:rsidRPr="00096909">
        <w:rPr>
          <w:rFonts w:ascii="Times New Roman" w:hAnsi="Times New Roman" w:cs="Times New Roman"/>
          <w:sz w:val="24"/>
          <w:szCs w:val="24"/>
        </w:rPr>
        <w:t>Nicolas Rolin</w:t>
      </w:r>
      <w:bookmarkEnd w:id="207"/>
      <w:r w:rsidRPr="00096909">
        <w:rPr>
          <w:rFonts w:ascii="Times New Roman" w:hAnsi="Times New Roman" w:cs="Times New Roman"/>
          <w:sz w:val="24"/>
          <w:szCs w:val="24"/>
        </w:rPr>
        <w:t xml:space="preserve">, il vescovo di Tournai, </w:t>
      </w:r>
      <w:bookmarkStart w:id="208" w:name="_Hlk535856220"/>
      <w:r w:rsidRPr="00096909">
        <w:rPr>
          <w:rFonts w:ascii="Times New Roman" w:hAnsi="Times New Roman" w:cs="Times New Roman"/>
          <w:sz w:val="24"/>
          <w:szCs w:val="24"/>
        </w:rPr>
        <w:t>Jean Chevrot</w:t>
      </w:r>
      <w:bookmarkEnd w:id="208"/>
      <w:r w:rsidRPr="00096909">
        <w:rPr>
          <w:rFonts w:ascii="Times New Roman" w:hAnsi="Times New Roman" w:cs="Times New Roman"/>
          <w:sz w:val="24"/>
          <w:szCs w:val="24"/>
        </w:rPr>
        <w:t xml:space="preserve">, e </w:t>
      </w:r>
      <w:bookmarkStart w:id="209" w:name="_Hlk535856282"/>
      <w:r w:rsidRPr="00096909">
        <w:rPr>
          <w:rFonts w:ascii="Times New Roman" w:hAnsi="Times New Roman" w:cs="Times New Roman"/>
          <w:sz w:val="24"/>
          <w:szCs w:val="24"/>
        </w:rPr>
        <w:t>Gui Guilbaut</w:t>
      </w:r>
      <w:bookmarkEnd w:id="209"/>
      <w:r w:rsidRPr="00096909">
        <w:rPr>
          <w:rFonts w:ascii="Times New Roman" w:hAnsi="Times New Roman" w:cs="Times New Roman"/>
          <w:sz w:val="24"/>
          <w:szCs w:val="24"/>
        </w:rPr>
        <w:t>, governatore generale delle finanze del ducato.</w:t>
      </w:r>
    </w:p>
    <w:p w14:paraId="58B9A13D"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Alla sinistra del duca prendono invece posto altri uomini in giornee di vari colori rifinite con pellicce e tessuti preziosi. La tipizzazione dei loro lineamenti è minore, ma poiché tutti, come Filippo, vestono un massiccio collare dorato cui è appeso un capro è possibile identificarli come i cavalieri del Toson d’oro, ordine istituito a Bruges il 10 gennaio 1430, nel corso delle feste per le nozze del duca Filippo con </w:t>
      </w:r>
      <w:bookmarkStart w:id="210" w:name="_Hlk535856347"/>
      <w:r w:rsidRPr="00096909">
        <w:rPr>
          <w:rFonts w:ascii="Times New Roman" w:hAnsi="Times New Roman" w:cs="Times New Roman"/>
          <w:sz w:val="24"/>
          <w:szCs w:val="24"/>
        </w:rPr>
        <w:t>Isabella d’Aviz</w:t>
      </w:r>
      <w:bookmarkEnd w:id="210"/>
      <w:r w:rsidRPr="00096909">
        <w:rPr>
          <w:rFonts w:ascii="Times New Roman" w:hAnsi="Times New Roman" w:cs="Times New Roman"/>
          <w:sz w:val="24"/>
          <w:szCs w:val="24"/>
        </w:rPr>
        <w:t xml:space="preserve">, figlia di </w:t>
      </w:r>
      <w:bookmarkStart w:id="211" w:name="_Hlk535856503"/>
      <w:r w:rsidRPr="00096909">
        <w:rPr>
          <w:rFonts w:ascii="Times New Roman" w:hAnsi="Times New Roman" w:cs="Times New Roman"/>
          <w:sz w:val="24"/>
          <w:szCs w:val="24"/>
        </w:rPr>
        <w:t>Giovanni I di Portogallo</w:t>
      </w:r>
      <w:bookmarkEnd w:id="211"/>
      <w:r w:rsidRPr="00096909">
        <w:rPr>
          <w:rFonts w:ascii="Times New Roman" w:hAnsi="Times New Roman" w:cs="Times New Roman"/>
          <w:sz w:val="24"/>
          <w:szCs w:val="24"/>
        </w:rPr>
        <w:t>. A tale ordine erano elevati i nobili più influenti dell’aristocrazia borgognona e i principi stranieri con i quali il duca aveva interesse a rafforzare le alleanze.</w:t>
      </w:r>
      <w:r w:rsidRPr="00096909">
        <w:rPr>
          <w:rStyle w:val="Rimandonotaapidipagina"/>
          <w:rFonts w:ascii="Times New Roman" w:hAnsi="Times New Roman" w:cs="Times New Roman"/>
          <w:sz w:val="24"/>
          <w:szCs w:val="24"/>
        </w:rPr>
        <w:footnoteReference w:id="261"/>
      </w:r>
      <w:r w:rsidRPr="00096909">
        <w:rPr>
          <w:rFonts w:ascii="Times New Roman" w:hAnsi="Times New Roman" w:cs="Times New Roman"/>
          <w:sz w:val="24"/>
          <w:szCs w:val="24"/>
        </w:rPr>
        <w:t xml:space="preserve"> </w:t>
      </w:r>
    </w:p>
    <w:p w14:paraId="646B81D1"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Credo </w:t>
      </w:r>
      <w:r>
        <w:rPr>
          <w:rFonts w:ascii="Times New Roman" w:hAnsi="Times New Roman" w:cs="Times New Roman"/>
          <w:sz w:val="24"/>
          <w:szCs w:val="24"/>
        </w:rPr>
        <w:t>che discrete somiglianze si</w:t>
      </w:r>
      <w:r w:rsidRPr="00096909">
        <w:rPr>
          <w:rFonts w:ascii="Times New Roman" w:hAnsi="Times New Roman" w:cs="Times New Roman"/>
          <w:sz w:val="24"/>
          <w:szCs w:val="24"/>
        </w:rPr>
        <w:t xml:space="preserve"> possan</w:t>
      </w:r>
      <w:r>
        <w:rPr>
          <w:rFonts w:ascii="Times New Roman" w:hAnsi="Times New Roman" w:cs="Times New Roman"/>
          <w:sz w:val="24"/>
          <w:szCs w:val="24"/>
        </w:rPr>
        <w:t>o</w:t>
      </w:r>
      <w:r w:rsidRPr="00096909">
        <w:rPr>
          <w:rFonts w:ascii="Times New Roman" w:hAnsi="Times New Roman" w:cs="Times New Roman"/>
          <w:sz w:val="24"/>
          <w:szCs w:val="24"/>
        </w:rPr>
        <w:t xml:space="preserve"> rilevare fra le scene ambientate alla corte di Filippo il Buono e quella al castello di Pavia. In tutte le miniature i duchi siedono al centro della sala, su un trono sormontato da un baldacchino damascato e poggiante su una pedana rivestita di tappeti. In tutte e quattro il principe è attorniato dai membri della corte e un ruolo eminente è assegnato ai loro rispettivi cancellieri, Rolin e Simonetta, impegnati a sbrigare affari di stato, ai quali alludono i cartigli che tengono tra le mani. I nobili del loro seguito vestono accessori che indicano chiaramente la loro fedeltà a</w:t>
      </w:r>
      <w:r>
        <w:rPr>
          <w:rFonts w:ascii="Times New Roman" w:hAnsi="Times New Roman" w:cs="Times New Roman"/>
          <w:sz w:val="24"/>
          <w:szCs w:val="24"/>
        </w:rPr>
        <w:t>i</w:t>
      </w:r>
      <w:r w:rsidRPr="00096909">
        <w:rPr>
          <w:rFonts w:ascii="Times New Roman" w:hAnsi="Times New Roman" w:cs="Times New Roman"/>
          <w:sz w:val="24"/>
          <w:szCs w:val="24"/>
        </w:rPr>
        <w:t xml:space="preserve"> duc</w:t>
      </w:r>
      <w:r>
        <w:rPr>
          <w:rFonts w:ascii="Times New Roman" w:hAnsi="Times New Roman" w:cs="Times New Roman"/>
          <w:sz w:val="24"/>
          <w:szCs w:val="24"/>
        </w:rPr>
        <w:t>hi</w:t>
      </w:r>
      <w:r w:rsidRPr="00096909">
        <w:rPr>
          <w:rFonts w:ascii="Times New Roman" w:hAnsi="Times New Roman" w:cs="Times New Roman"/>
          <w:sz w:val="24"/>
          <w:szCs w:val="24"/>
        </w:rPr>
        <w:t xml:space="preserve">: il collare del Toson d’oro e le calze alla divisa sforzesca. Penso, dunque, che il modello rappresentativo dello splendore cortigiano borgognone sia stato citato puntualmente dal Maestro delle Ore Birago che, negli anni in cui Galeazzo Maria concepiva i suoi progetti di decorazione ad affresco per le residenze di Pavia e di Milano, avrà partecipato del clima di vivace incontro fra </w:t>
      </w:r>
      <w:r>
        <w:rPr>
          <w:rFonts w:ascii="Times New Roman" w:hAnsi="Times New Roman" w:cs="Times New Roman"/>
          <w:sz w:val="24"/>
          <w:szCs w:val="24"/>
        </w:rPr>
        <w:t xml:space="preserve">le diverse </w:t>
      </w:r>
      <w:r w:rsidRPr="00096909">
        <w:rPr>
          <w:rFonts w:ascii="Times New Roman" w:hAnsi="Times New Roman" w:cs="Times New Roman"/>
          <w:sz w:val="24"/>
          <w:szCs w:val="24"/>
        </w:rPr>
        <w:t xml:space="preserve">culture figurative, stimolato, tra gli altri, da </w:t>
      </w:r>
      <w:bookmarkStart w:id="212" w:name="_Hlk535856574"/>
      <w:r w:rsidRPr="00096909">
        <w:rPr>
          <w:rFonts w:ascii="Times New Roman" w:hAnsi="Times New Roman" w:cs="Times New Roman"/>
          <w:sz w:val="24"/>
          <w:szCs w:val="24"/>
        </w:rPr>
        <w:t>Zanetto Bugatto</w:t>
      </w:r>
      <w:bookmarkEnd w:id="212"/>
      <w:r w:rsidRPr="00096909">
        <w:rPr>
          <w:rFonts w:ascii="Times New Roman" w:hAnsi="Times New Roman" w:cs="Times New Roman"/>
          <w:sz w:val="24"/>
          <w:szCs w:val="24"/>
        </w:rPr>
        <w:t xml:space="preserve">. </w:t>
      </w:r>
    </w:p>
    <w:p w14:paraId="0B6014E8"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Non gli sarà stata inoltre sconosciuta la predilezione per i codici miniati fiamminghi dello Sforza, il quale possedette un misterioso </w:t>
      </w:r>
      <w:r w:rsidRPr="00096909">
        <w:rPr>
          <w:rFonts w:ascii="Times New Roman" w:hAnsi="Times New Roman" w:cs="Times New Roman"/>
          <w:i/>
          <w:sz w:val="24"/>
          <w:szCs w:val="24"/>
        </w:rPr>
        <w:t>Libro d’ore</w:t>
      </w:r>
      <w:r w:rsidRPr="00096909">
        <w:rPr>
          <w:rFonts w:ascii="Times New Roman" w:hAnsi="Times New Roman" w:cs="Times New Roman"/>
          <w:sz w:val="24"/>
          <w:szCs w:val="24"/>
        </w:rPr>
        <w:t xml:space="preserve">, la cui decorazione con inchiostri oro e argento era stata eseguita su fogli di pergamena tinti di nero dal Maestro di Antonio di Borgogna (fig. 29). Le circostanze che portarono alla committenza di questo insolito prodotto di arte fiamminga rimangono ad oggi ignote, ed è stato supposto che esso fosse stato realizzato per Carlo Temerario. La presenza però al foglio 1r dello stemma del duca, forse fatto aggiungere a Milano o a Pavia, lascia concordi gli studiosi sul fatto che </w:t>
      </w:r>
      <w:r>
        <w:rPr>
          <w:rFonts w:ascii="Times New Roman" w:hAnsi="Times New Roman" w:cs="Times New Roman"/>
          <w:sz w:val="24"/>
          <w:szCs w:val="24"/>
        </w:rPr>
        <w:t xml:space="preserve">il manoscritto </w:t>
      </w:r>
      <w:r w:rsidRPr="00096909">
        <w:rPr>
          <w:rFonts w:ascii="Times New Roman" w:hAnsi="Times New Roman" w:cs="Times New Roman"/>
          <w:sz w:val="24"/>
          <w:szCs w:val="24"/>
        </w:rPr>
        <w:t>fu acquisito in un secondo momento da Galeazzo Maria Sforza, incuriosito dall’originalità di un simile manufatto.</w:t>
      </w:r>
      <w:r w:rsidRPr="00096909">
        <w:rPr>
          <w:rStyle w:val="Rimandonotaapidipagina"/>
          <w:rFonts w:ascii="Times New Roman" w:hAnsi="Times New Roman" w:cs="Times New Roman"/>
          <w:sz w:val="24"/>
          <w:szCs w:val="24"/>
        </w:rPr>
        <w:footnoteReference w:id="262"/>
      </w:r>
      <w:r w:rsidRPr="00096909">
        <w:rPr>
          <w:rFonts w:ascii="Times New Roman" w:hAnsi="Times New Roman" w:cs="Times New Roman"/>
          <w:sz w:val="24"/>
          <w:szCs w:val="24"/>
        </w:rPr>
        <w:t xml:space="preserve"> </w:t>
      </w:r>
    </w:p>
    <w:p w14:paraId="000EC3EE"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Anche Cristoforo de Predis si fece libero interprete della magnificenza sforzesca nelle pagine del </w:t>
      </w:r>
      <w:r w:rsidRPr="00096909">
        <w:rPr>
          <w:rFonts w:ascii="Times New Roman" w:hAnsi="Times New Roman" w:cs="Times New Roman"/>
          <w:i/>
          <w:sz w:val="24"/>
          <w:szCs w:val="24"/>
        </w:rPr>
        <w:t>Leggendario Sforza Savoia</w:t>
      </w:r>
      <w:r w:rsidRPr="00096909">
        <w:rPr>
          <w:rFonts w:ascii="Times New Roman" w:hAnsi="Times New Roman" w:cs="Times New Roman"/>
          <w:sz w:val="24"/>
          <w:szCs w:val="24"/>
        </w:rPr>
        <w:t xml:space="preserve">. Già </w:t>
      </w:r>
      <w:r w:rsidR="00D50FE5">
        <w:rPr>
          <w:rFonts w:ascii="Times New Roman" w:hAnsi="Times New Roman" w:cs="Times New Roman"/>
          <w:sz w:val="24"/>
          <w:szCs w:val="24"/>
        </w:rPr>
        <w:t xml:space="preserve">si è </w:t>
      </w:r>
      <w:r w:rsidRPr="00096909">
        <w:rPr>
          <w:rFonts w:ascii="Times New Roman" w:hAnsi="Times New Roman" w:cs="Times New Roman"/>
          <w:sz w:val="24"/>
          <w:szCs w:val="24"/>
        </w:rPr>
        <w:t xml:space="preserve">detto della facilità narrativa ivi dimostrata dall’artista. Bisognerà aggiungere che un’analisi dell’iconografia del codice rivela come egli abbia inserito figurazioni ispirate alla vita della corte milanese e allo spettacolo contemporaneo in ciascuna delle tre sezioni del testo – la Vita dei santi Gioacchino ed Anna; la Vita di Gesù e di san Giovanni il Battista; il Giudizio Universale – al fine di spingere il lettore a immedesimarsi con i protagonisti dei fatti evangelici, così da poterli più intimamente meditare. </w:t>
      </w:r>
    </w:p>
    <w:p w14:paraId="517F250D" w14:textId="77777777" w:rsidR="00970090" w:rsidRPr="00096909" w:rsidRDefault="00970090" w:rsidP="00970090">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Guido Gentile ha messo in luce come la scelta d’ambientare </w:t>
      </w:r>
      <w:r w:rsidR="00D50FE5">
        <w:rPr>
          <w:rFonts w:ascii="Times New Roman" w:hAnsi="Times New Roman" w:cs="Times New Roman"/>
          <w:sz w:val="24"/>
          <w:szCs w:val="24"/>
        </w:rPr>
        <w:t>al</w:t>
      </w:r>
      <w:r w:rsidRPr="00096909">
        <w:rPr>
          <w:rFonts w:ascii="Times New Roman" w:hAnsi="Times New Roman" w:cs="Times New Roman"/>
          <w:sz w:val="24"/>
          <w:szCs w:val="24"/>
        </w:rPr>
        <w:t xml:space="preserve">la corte sforzesca o nelle vie di Milano i fatti della vita di Cristo risponda perfettamente agli ammonimenti per le pratiche di meditazione immaginativa consigliate da diversi testi quattrocenteschi di ascesi, come il </w:t>
      </w:r>
      <w:r w:rsidRPr="00096909">
        <w:rPr>
          <w:rFonts w:ascii="Times New Roman" w:hAnsi="Times New Roman" w:cs="Times New Roman"/>
          <w:i/>
          <w:sz w:val="24"/>
          <w:szCs w:val="24"/>
        </w:rPr>
        <w:t>Zardino de oratione</w:t>
      </w:r>
      <w:r w:rsidRPr="00096909">
        <w:rPr>
          <w:rFonts w:ascii="Times New Roman" w:hAnsi="Times New Roman" w:cs="Times New Roman"/>
          <w:sz w:val="24"/>
          <w:szCs w:val="24"/>
        </w:rPr>
        <w:t xml:space="preserve"> del francescano </w:t>
      </w:r>
      <w:bookmarkStart w:id="213" w:name="_Hlk535856753"/>
      <w:r w:rsidRPr="00096909">
        <w:rPr>
          <w:rFonts w:ascii="Times New Roman" w:hAnsi="Times New Roman" w:cs="Times New Roman"/>
          <w:sz w:val="24"/>
          <w:szCs w:val="24"/>
        </w:rPr>
        <w:t>Niccolò da Osimo</w:t>
      </w:r>
      <w:bookmarkEnd w:id="213"/>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263"/>
      </w:r>
      <w:r w:rsidRPr="00096909">
        <w:rPr>
          <w:rFonts w:ascii="Times New Roman" w:hAnsi="Times New Roman" w:cs="Times New Roman"/>
          <w:sz w:val="24"/>
          <w:szCs w:val="24"/>
        </w:rPr>
        <w:t xml:space="preserve"> Il capitolo XVIII di questo trattato spiega perfettamente, ad esempio, come procedere nella contemplazione del mistero della Passione: </w:t>
      </w:r>
    </w:p>
    <w:p w14:paraId="15BD4848" w14:textId="77777777" w:rsidR="00970090" w:rsidRPr="00096909" w:rsidRDefault="00970090" w:rsidP="00970090">
      <w:pPr>
        <w:spacing w:after="0" w:line="360" w:lineRule="auto"/>
        <w:ind w:left="567" w:right="566"/>
        <w:jc w:val="both"/>
        <w:rPr>
          <w:rFonts w:ascii="Times New Roman" w:hAnsi="Times New Roman" w:cs="Times New Roman"/>
          <w:sz w:val="20"/>
          <w:szCs w:val="20"/>
        </w:rPr>
      </w:pPr>
    </w:p>
    <w:p w14:paraId="198AAA21" w14:textId="77777777" w:rsidR="00970090" w:rsidRPr="00096909" w:rsidRDefault="00970090" w:rsidP="00970090">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La quale istoria [della Passione] aciò che tu meglio la possi imprimere nela mente, e più facilmente ogni acto de essa ti si reduca alla memoria, ti serà utile e bisogno che ti formi nela mente lochi e persone. Come una citade, la quale sia la citade de Ierusalem, pigliando una citade la quale ti sia bene pratica. Nela quale citade tu trovi li lochi principali neli quali forono exercitati tutti li acti dela passione: come è uno palacio nel quale sia el cenaculo dove Cristo fece la cena con li discipuli. Ancora la casa de Anna e la casa de Cayfas dove sia il loco dove fu menato la nocte miser Iesù. E la stanzia dove fu menato </w:t>
      </w:r>
      <w:r w:rsidRPr="00096909">
        <w:rPr>
          <w:rFonts w:ascii="Times New Roman" w:hAnsi="Times New Roman" w:cs="Times New Roman"/>
          <w:sz w:val="20"/>
          <w:szCs w:val="20"/>
        </w:rPr>
        <w:lastRenderedPageBreak/>
        <w:t>dinanti da Cayfas, e lui deriso e beffato. Anche il pretorio de Pilato dove li parlava con li iudei: e in esso la stanzia dove fu ligato misser Iesù alla colonna. Anche el loco del monte de Calvario, dove esso fu posto in croce, e altri simili lochi, li quali ti fabrichi ne la mente.</w:t>
      </w:r>
      <w:r w:rsidRPr="00096909">
        <w:rPr>
          <w:rStyle w:val="Rimandonotaapidipagina"/>
          <w:rFonts w:ascii="Times New Roman" w:hAnsi="Times New Roman" w:cs="Times New Roman"/>
        </w:rPr>
        <w:footnoteReference w:id="264"/>
      </w:r>
    </w:p>
    <w:p w14:paraId="77AD81C3" w14:textId="77777777" w:rsidR="00970090" w:rsidRPr="00096909" w:rsidRDefault="00970090" w:rsidP="00970090">
      <w:pPr>
        <w:spacing w:after="0" w:line="360" w:lineRule="auto"/>
        <w:ind w:left="567" w:right="566"/>
        <w:jc w:val="both"/>
        <w:rPr>
          <w:rFonts w:ascii="Times New Roman" w:hAnsi="Times New Roman" w:cs="Times New Roman"/>
          <w:sz w:val="20"/>
          <w:szCs w:val="20"/>
        </w:rPr>
      </w:pPr>
    </w:p>
    <w:p w14:paraId="56580482"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Una simile tipologia di indicazioni </w:t>
      </w:r>
      <w:r>
        <w:rPr>
          <w:rFonts w:ascii="Times New Roman" w:hAnsi="Times New Roman" w:cs="Times New Roman"/>
          <w:sz w:val="24"/>
          <w:szCs w:val="24"/>
        </w:rPr>
        <w:t>ispirò</w:t>
      </w:r>
      <w:r w:rsidRPr="00096909">
        <w:rPr>
          <w:rFonts w:ascii="Times New Roman" w:hAnsi="Times New Roman" w:cs="Times New Roman"/>
          <w:sz w:val="24"/>
          <w:szCs w:val="24"/>
        </w:rPr>
        <w:t xml:space="preserve"> probabilmente Cristoforo de Predis nel concepire le illustrazioni in modo da facilitare al lettore lo svolgimento del compito impartito dal testo stesso del </w:t>
      </w:r>
      <w:r w:rsidRPr="00096909">
        <w:rPr>
          <w:rFonts w:ascii="Times New Roman" w:hAnsi="Times New Roman" w:cs="Times New Roman"/>
          <w:i/>
          <w:sz w:val="24"/>
          <w:szCs w:val="24"/>
        </w:rPr>
        <w:t>Leggendario</w:t>
      </w:r>
      <w:r w:rsidRPr="00096909">
        <w:rPr>
          <w:rFonts w:ascii="Times New Roman" w:hAnsi="Times New Roman" w:cs="Times New Roman"/>
          <w:sz w:val="24"/>
          <w:szCs w:val="24"/>
        </w:rPr>
        <w:t>: «Adoncha, fedele christiano, atende qua devotamente e studia bene de essere presente con la mente a quelle cose che qua se dice e inmagina, e guarda».</w:t>
      </w:r>
      <w:r w:rsidRPr="00096909">
        <w:rPr>
          <w:rStyle w:val="Rimandonotaapidipagina"/>
          <w:rFonts w:ascii="Times New Roman" w:hAnsi="Times New Roman" w:cs="Times New Roman"/>
          <w:sz w:val="24"/>
          <w:szCs w:val="24"/>
        </w:rPr>
        <w:footnoteReference w:id="265"/>
      </w:r>
    </w:p>
    <w:p w14:paraId="09B1D402"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Lo sfondo cittadino in cui hanno luogo le vicende di Cristo assume così l’aspetto di una Gerusalemme dalle architetture rinascimentali, in cui diversi edifici ricordano esplicitamente quelli della Milano contemporanea o di Pavia, </w:t>
      </w:r>
      <w:r>
        <w:rPr>
          <w:rFonts w:ascii="Times New Roman" w:hAnsi="Times New Roman" w:cs="Times New Roman"/>
          <w:sz w:val="24"/>
          <w:szCs w:val="24"/>
        </w:rPr>
        <w:t>abitat</w:t>
      </w:r>
      <w:r w:rsidR="000A67BB">
        <w:rPr>
          <w:rFonts w:ascii="Times New Roman" w:hAnsi="Times New Roman" w:cs="Times New Roman"/>
          <w:sz w:val="24"/>
          <w:szCs w:val="24"/>
        </w:rPr>
        <w:t>e</w:t>
      </w:r>
      <w:r>
        <w:rPr>
          <w:rFonts w:ascii="Times New Roman" w:hAnsi="Times New Roman" w:cs="Times New Roman"/>
          <w:sz w:val="24"/>
          <w:szCs w:val="24"/>
        </w:rPr>
        <w:t xml:space="preserve"> da </w:t>
      </w:r>
      <w:r w:rsidRPr="00096909">
        <w:rPr>
          <w:rFonts w:ascii="Times New Roman" w:hAnsi="Times New Roman" w:cs="Times New Roman"/>
          <w:sz w:val="24"/>
          <w:szCs w:val="24"/>
        </w:rPr>
        <w:t>personaggi abbigliati secondo la moda dell’età sforzesca.</w:t>
      </w:r>
      <w:r w:rsidRPr="00096909">
        <w:rPr>
          <w:rStyle w:val="Rimandonotaapidipagina"/>
          <w:rFonts w:ascii="Times New Roman" w:hAnsi="Times New Roman" w:cs="Times New Roman"/>
          <w:sz w:val="24"/>
          <w:szCs w:val="24"/>
        </w:rPr>
        <w:footnoteReference w:id="266"/>
      </w:r>
      <w:r w:rsidRPr="00096909">
        <w:rPr>
          <w:rFonts w:ascii="Times New Roman" w:hAnsi="Times New Roman" w:cs="Times New Roman"/>
          <w:sz w:val="24"/>
          <w:szCs w:val="24"/>
        </w:rPr>
        <w:t xml:space="preserve"> Limitandomi a prendere in considerazione solo alcune delle miniature del </w:t>
      </w:r>
      <w:r w:rsidRPr="00096909">
        <w:rPr>
          <w:rFonts w:ascii="Times New Roman" w:hAnsi="Times New Roman" w:cs="Times New Roman"/>
          <w:i/>
          <w:sz w:val="24"/>
          <w:szCs w:val="24"/>
        </w:rPr>
        <w:t>Leggendario Sforza Savoia</w:t>
      </w:r>
      <w:r w:rsidRPr="00096909">
        <w:rPr>
          <w:rFonts w:ascii="Times New Roman" w:hAnsi="Times New Roman" w:cs="Times New Roman"/>
          <w:sz w:val="24"/>
          <w:szCs w:val="24"/>
        </w:rPr>
        <w:t xml:space="preserve"> che potrebbero avere più diretta attinenza con la scena teatrale contemporanea, vorrei proporre qualche osservazione sulla vignetta del foglio 47v con la </w:t>
      </w:r>
      <w:r w:rsidRPr="00096909">
        <w:rPr>
          <w:rFonts w:ascii="Times New Roman" w:hAnsi="Times New Roman" w:cs="Times New Roman"/>
          <w:i/>
          <w:sz w:val="24"/>
          <w:szCs w:val="24"/>
        </w:rPr>
        <w:t>Strage degli innocenti</w:t>
      </w:r>
      <w:r w:rsidRPr="00096909">
        <w:rPr>
          <w:rFonts w:ascii="Times New Roman" w:hAnsi="Times New Roman" w:cs="Times New Roman"/>
          <w:sz w:val="24"/>
          <w:szCs w:val="24"/>
        </w:rPr>
        <w:t xml:space="preserve"> (fig. 30). </w:t>
      </w:r>
    </w:p>
    <w:p w14:paraId="061F0FF8"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Alla destra del riguardante è in corso il massacro dei figli maschi strappati alle donne e trucidati dai soldati di Erode. Alla sinistra il re impartisce il terribile comando alzando l’indice della mano destra, seduto in trono e assistito da un cortigiano che reca una spada. </w:t>
      </w:r>
    </w:p>
    <w:p w14:paraId="70B45C41" w14:textId="77777777" w:rsidR="00970090" w:rsidRPr="00096909" w:rsidRDefault="00970090" w:rsidP="00970090">
      <w:pPr>
        <w:spacing w:after="0" w:line="360" w:lineRule="auto"/>
        <w:ind w:right="-1" w:firstLine="397"/>
        <w:jc w:val="both"/>
        <w:rPr>
          <w:rFonts w:ascii="Times New Roman" w:hAnsi="Times New Roman" w:cs="Times New Roman"/>
          <w:i/>
          <w:sz w:val="24"/>
          <w:szCs w:val="24"/>
        </w:rPr>
      </w:pPr>
      <w:r w:rsidRPr="00096909">
        <w:rPr>
          <w:rFonts w:ascii="Times New Roman" w:hAnsi="Times New Roman" w:cs="Times New Roman"/>
          <w:sz w:val="24"/>
          <w:szCs w:val="24"/>
        </w:rPr>
        <w:t xml:space="preserve">Alle loro spalle, de Predis ha costruito lo spazio che ospita l’episodio unendo le mura dei due edifici che si fronteggiano per mezzo di una parete visibilmente più bassa e di modesto spessore, tanto che la si potrebbe confondere con una quinta teatrale. Anche la pedana coperta di tappeti su cui poggia il trono di Erode e lo strano praticabile che si affaccia dalla parete di fondo mi sembrano egualmente strutture provvisorie, utili ad una azione teatrale, ma solo ingombranti in un’architettura reale. Sul baldacchino del trono e sulle specchiature marmoree della pedana si legge poi il titolo del proprietario del luogo deputato, «Rex Herodes». Se de Predis non avesse voluto alludere a una scena recitata ricorrendo a un procedimento che ricorda l’impiego di cartigli per segnalare allo spettatore i luoghi deputati, diffuso soprattutto in area francese per la recitazione dei </w:t>
      </w:r>
      <w:r w:rsidR="00EB19AD">
        <w:rPr>
          <w:rFonts w:ascii="Times New Roman" w:hAnsi="Times New Roman" w:cs="Times New Roman"/>
          <w:i/>
          <w:sz w:val="24"/>
          <w:szCs w:val="24"/>
        </w:rPr>
        <w:t>my</w:t>
      </w:r>
      <w:r w:rsidRPr="00096909">
        <w:rPr>
          <w:rFonts w:ascii="Times New Roman" w:hAnsi="Times New Roman" w:cs="Times New Roman"/>
          <w:i/>
          <w:sz w:val="24"/>
          <w:szCs w:val="24"/>
        </w:rPr>
        <w:t>st</w:t>
      </w:r>
      <w:r w:rsidR="00EB19AD">
        <w:rPr>
          <w:rFonts w:ascii="Times New Roman" w:hAnsi="Times New Roman" w:cs="Times New Roman"/>
          <w:i/>
          <w:sz w:val="24"/>
          <w:szCs w:val="24"/>
        </w:rPr>
        <w:t>è</w:t>
      </w:r>
      <w:r w:rsidRPr="00096909">
        <w:rPr>
          <w:rFonts w:ascii="Times New Roman" w:hAnsi="Times New Roman" w:cs="Times New Roman"/>
          <w:i/>
          <w:sz w:val="24"/>
          <w:szCs w:val="24"/>
        </w:rPr>
        <w:t>r</w:t>
      </w:r>
      <w:r w:rsidR="00EB19AD">
        <w:rPr>
          <w:rFonts w:ascii="Times New Roman" w:hAnsi="Times New Roman" w:cs="Times New Roman"/>
          <w:i/>
          <w:sz w:val="24"/>
          <w:szCs w:val="24"/>
        </w:rPr>
        <w:t>es</w:t>
      </w:r>
      <w:r w:rsidRPr="00096909">
        <w:rPr>
          <w:rFonts w:ascii="Times New Roman" w:hAnsi="Times New Roman" w:cs="Times New Roman"/>
          <w:sz w:val="24"/>
          <w:szCs w:val="24"/>
        </w:rPr>
        <w:t xml:space="preserve">, non vi sarebbe stato alcun bisogno di marcare con queste scritte il palazzo di </w:t>
      </w:r>
      <w:r w:rsidRPr="00096909">
        <w:rPr>
          <w:rFonts w:ascii="Times New Roman" w:hAnsi="Times New Roman" w:cs="Times New Roman"/>
          <w:sz w:val="24"/>
          <w:szCs w:val="24"/>
        </w:rPr>
        <w:lastRenderedPageBreak/>
        <w:t>Erode.</w:t>
      </w:r>
      <w:r w:rsidRPr="00096909">
        <w:rPr>
          <w:rStyle w:val="Rimandonotaapidipagina"/>
          <w:rFonts w:ascii="Times New Roman" w:hAnsi="Times New Roman" w:cs="Times New Roman"/>
          <w:sz w:val="24"/>
          <w:szCs w:val="24"/>
        </w:rPr>
        <w:footnoteReference w:id="267"/>
      </w:r>
      <w:r w:rsidRPr="00096909">
        <w:rPr>
          <w:rFonts w:ascii="Times New Roman" w:hAnsi="Times New Roman" w:cs="Times New Roman"/>
          <w:sz w:val="24"/>
          <w:szCs w:val="24"/>
        </w:rPr>
        <w:t xml:space="preserve"> Il lettore sa infatti dalle rubriche che introducono la narrazione di essere in presenza del </w:t>
      </w:r>
      <w:r w:rsidRPr="00096909">
        <w:rPr>
          <w:rFonts w:ascii="Times New Roman" w:hAnsi="Times New Roman" w:cs="Times New Roman"/>
          <w:i/>
          <w:sz w:val="24"/>
          <w:szCs w:val="24"/>
        </w:rPr>
        <w:t xml:space="preserve">Vangelio como Herodes se corezò perché ello era stato beffato da li Magi, e como ello comanda che tuti li fantolini picolini fosseno morti. </w:t>
      </w:r>
    </w:p>
    <w:p w14:paraId="52442E89"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Sempre alla cultura dello spettacolo e della festa quattrocentesca credo richiamino, al foglio 144r, le pedane di legno per i musici e per i convitati del </w:t>
      </w:r>
      <w:bookmarkStart w:id="218" w:name="_Hlk528590087"/>
      <w:r w:rsidRPr="00096909">
        <w:rPr>
          <w:rFonts w:ascii="Times New Roman" w:hAnsi="Times New Roman" w:cs="Times New Roman"/>
          <w:i/>
          <w:sz w:val="24"/>
          <w:szCs w:val="24"/>
        </w:rPr>
        <w:t>Banchetto di Erode</w:t>
      </w:r>
      <w:bookmarkEnd w:id="218"/>
      <w:r w:rsidRPr="00096909">
        <w:rPr>
          <w:rFonts w:ascii="Times New Roman" w:hAnsi="Times New Roman" w:cs="Times New Roman"/>
          <w:sz w:val="24"/>
          <w:szCs w:val="24"/>
        </w:rPr>
        <w:t>, che si svolge in un cortile addobbato con arazzi e coperto da un baldacchino sospeso per riparare la mensa dai raggi del sole (fig. 31). Una disposizione simile del cortile del palazzo signorile verrà presentata, in maniera pressoché identica, nelle descrizioni di feste per nozze principesche di cui affronteremo l’analisi ne</w:t>
      </w:r>
      <w:r>
        <w:rPr>
          <w:rFonts w:ascii="Times New Roman" w:hAnsi="Times New Roman" w:cs="Times New Roman"/>
          <w:sz w:val="24"/>
          <w:szCs w:val="24"/>
        </w:rPr>
        <w:t>i</w:t>
      </w:r>
      <w:r w:rsidRPr="00096909">
        <w:rPr>
          <w:rFonts w:ascii="Times New Roman" w:hAnsi="Times New Roman" w:cs="Times New Roman"/>
          <w:sz w:val="24"/>
          <w:szCs w:val="24"/>
        </w:rPr>
        <w:t xml:space="preserve"> prossim</w:t>
      </w:r>
      <w:r>
        <w:rPr>
          <w:rFonts w:ascii="Times New Roman" w:hAnsi="Times New Roman" w:cs="Times New Roman"/>
          <w:sz w:val="24"/>
          <w:szCs w:val="24"/>
        </w:rPr>
        <w:t>i</w:t>
      </w:r>
      <w:r w:rsidRPr="00096909">
        <w:rPr>
          <w:rFonts w:ascii="Times New Roman" w:hAnsi="Times New Roman" w:cs="Times New Roman"/>
          <w:sz w:val="24"/>
          <w:szCs w:val="24"/>
        </w:rPr>
        <w:t xml:space="preserve"> capitol</w:t>
      </w:r>
      <w:r>
        <w:rPr>
          <w:rFonts w:ascii="Times New Roman" w:hAnsi="Times New Roman" w:cs="Times New Roman"/>
          <w:sz w:val="24"/>
          <w:szCs w:val="24"/>
        </w:rPr>
        <w:t>i</w:t>
      </w:r>
      <w:r w:rsidRPr="00096909">
        <w:rPr>
          <w:rFonts w:ascii="Times New Roman" w:hAnsi="Times New Roman" w:cs="Times New Roman"/>
          <w:sz w:val="24"/>
          <w:szCs w:val="24"/>
        </w:rPr>
        <w:t>. Qui segnalo che se l’abbigliamento di Erode e dei suoi commensali si compone di una tunica e di un copricapo di foggia fantasiosamente all’antica, quello dei musici e del paggio che serve le vivande è invece propriamente quattrocentesco, così come la veste indossata da Salomè è appropriatamente un guarnello, ovvero una tipologia di abito adatto all’esecuzione di danze, composto da una semplice tunica bianca fermata da due cinture in modo da creare un rigonfiamento all’altezza della vita, lasciando a chi la indossa ampia libertà di movimento.</w:t>
      </w:r>
      <w:r w:rsidRPr="00096909">
        <w:rPr>
          <w:rStyle w:val="Rimandonotaapidipagina"/>
          <w:rFonts w:ascii="Times New Roman" w:hAnsi="Times New Roman" w:cs="Times New Roman"/>
          <w:sz w:val="24"/>
          <w:szCs w:val="24"/>
        </w:rPr>
        <w:footnoteReference w:id="268"/>
      </w:r>
      <w:r w:rsidRPr="00096909">
        <w:rPr>
          <w:rFonts w:ascii="Times New Roman" w:hAnsi="Times New Roman" w:cs="Times New Roman"/>
          <w:sz w:val="24"/>
          <w:szCs w:val="24"/>
        </w:rPr>
        <w:t xml:space="preserve"> Ricerche di ambito musicologico hanno inoltre segnalato l’attenzione di de Predis nel dipingere scrupolosamente gli strumenti musicali che allietavano i momenti ricreativi della corte di Galeazzo Maria Sforza, il quale investì consistenti risorse finanziarie per reclutare strumentisti e cantori allo scopo di solennizzare il cerimoniale ducale.</w:t>
      </w:r>
      <w:r w:rsidRPr="00096909">
        <w:rPr>
          <w:rStyle w:val="Rimandonotaapidipagina"/>
          <w:rFonts w:ascii="Times New Roman" w:hAnsi="Times New Roman" w:cs="Times New Roman"/>
          <w:sz w:val="24"/>
          <w:szCs w:val="24"/>
        </w:rPr>
        <w:footnoteReference w:id="269"/>
      </w:r>
      <w:r w:rsidRPr="00096909">
        <w:rPr>
          <w:rFonts w:ascii="Times New Roman" w:hAnsi="Times New Roman" w:cs="Times New Roman"/>
          <w:sz w:val="24"/>
          <w:szCs w:val="24"/>
        </w:rPr>
        <w:t xml:space="preserve"> </w:t>
      </w:r>
    </w:p>
    <w:p w14:paraId="1CBA209A"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Infine, per congedarci dal codice Varia 124, alla carta 152r notiamo come de Predis abbia dipinto una squadra di demòni intenti a cacciare con mazze e bastoni un gruppo di peccatori dentro la bocca dell’inferno (fig. 32). Concordo con Gentile nel riconoscere nelle fauci spalancate del mostro la rappresentazione di un luogo deputato impiegato per rappresentare l’ingresso dell’inferno. Lo studioso mette opportunamente in relazione questa struttura con i macchinari scenici per una rappresentazione di </w:t>
      </w:r>
      <w:r w:rsidR="000A67BB">
        <w:rPr>
          <w:rFonts w:ascii="Times New Roman" w:hAnsi="Times New Roman" w:cs="Times New Roman"/>
          <w:sz w:val="24"/>
          <w:szCs w:val="24"/>
        </w:rPr>
        <w:t>s</w:t>
      </w:r>
      <w:r w:rsidRPr="00096909">
        <w:rPr>
          <w:rFonts w:ascii="Times New Roman" w:hAnsi="Times New Roman" w:cs="Times New Roman"/>
          <w:sz w:val="24"/>
          <w:szCs w:val="24"/>
        </w:rPr>
        <w:t>an Vittore, svoltasi il 15 agosto 1468, documentati nelle spese degli Ordinati del Comune di Torino. In tale occasione la città retribuì alcuni artigiani «</w:t>
      </w:r>
      <w:r w:rsidRPr="00096909">
        <w:rPr>
          <w:rFonts w:ascii="Times New Roman" w:hAnsi="Times New Roman" w:cs="Times New Roman"/>
          <w:i/>
          <w:sz w:val="24"/>
          <w:szCs w:val="24"/>
        </w:rPr>
        <w:t>qui faciant dictos chiaffaldos et gulam inferni</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270"/>
      </w:r>
      <w:r w:rsidRPr="00096909">
        <w:rPr>
          <w:rFonts w:ascii="Times New Roman" w:hAnsi="Times New Roman" w:cs="Times New Roman"/>
          <w:sz w:val="24"/>
          <w:szCs w:val="24"/>
        </w:rPr>
        <w:t xml:space="preserve"> Egualmente, un ingegno rappresentante la bocca </w:t>
      </w:r>
      <w:r w:rsidRPr="00096909">
        <w:rPr>
          <w:rFonts w:ascii="Times New Roman" w:hAnsi="Times New Roman" w:cs="Times New Roman"/>
          <w:sz w:val="24"/>
          <w:szCs w:val="24"/>
        </w:rPr>
        <w:lastRenderedPageBreak/>
        <w:t xml:space="preserve">dell’inferno fu usato per l’allestimento della </w:t>
      </w:r>
      <w:r w:rsidRPr="00096909">
        <w:rPr>
          <w:rFonts w:ascii="Times New Roman" w:hAnsi="Times New Roman" w:cs="Times New Roman"/>
          <w:i/>
          <w:sz w:val="24"/>
          <w:szCs w:val="24"/>
        </w:rPr>
        <w:t>Passione</w:t>
      </w:r>
      <w:r w:rsidRPr="00096909">
        <w:rPr>
          <w:rFonts w:ascii="Times New Roman" w:hAnsi="Times New Roman" w:cs="Times New Roman"/>
          <w:sz w:val="24"/>
          <w:szCs w:val="24"/>
        </w:rPr>
        <w:t xml:space="preserve"> di Revello, secondo quanto riferito dall’unico testimone manoscritto noto del testo poetico della rappresentazione, la cui stesura si colloca tra il 1479 e il 15 luglio 1490.</w:t>
      </w:r>
      <w:r w:rsidRPr="00096909">
        <w:rPr>
          <w:rStyle w:val="Rimandonotaapidipagina"/>
          <w:rFonts w:ascii="Times New Roman" w:hAnsi="Times New Roman" w:cs="Times New Roman"/>
          <w:sz w:val="24"/>
          <w:szCs w:val="24"/>
        </w:rPr>
        <w:footnoteReference w:id="271"/>
      </w:r>
      <w:r w:rsidRPr="00096909">
        <w:rPr>
          <w:rFonts w:ascii="Times New Roman" w:hAnsi="Times New Roman" w:cs="Times New Roman"/>
          <w:sz w:val="24"/>
          <w:szCs w:val="24"/>
        </w:rPr>
        <w:t xml:space="preserve"> </w:t>
      </w:r>
    </w:p>
    <w:p w14:paraId="2B817DD4"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Il fatto che questi apparati siano documentati nell’area del ducato di Savoia mi pare significativo, dal momento che dalla stessa regione proveniva la moglie di Galeazzo Maria Sforza, Bona di Savoia, un tempo ritenuta da parte della critica la vera committente delle miniature del codice Varia 124. Cognata di Luigi XI di Valois, il suo matrimonio, celebrato pomposamente a Milano il 7 luglio 1468, aveva rafforzato l’alleanza tra il ducato di Milano e la casa regnante di Francia, rimarcata nel manoscritto dalla frequente presenza dello stemma con tre gigli dorati su fondo blu.</w:t>
      </w:r>
      <w:r w:rsidRPr="00096909">
        <w:rPr>
          <w:rStyle w:val="Rimandonotaapidipagina"/>
          <w:rFonts w:ascii="Times New Roman" w:hAnsi="Times New Roman" w:cs="Times New Roman"/>
          <w:sz w:val="24"/>
          <w:szCs w:val="24"/>
        </w:rPr>
        <w:footnoteReference w:id="272"/>
      </w:r>
      <w:r w:rsidRPr="00096909">
        <w:rPr>
          <w:rFonts w:ascii="Times New Roman" w:hAnsi="Times New Roman" w:cs="Times New Roman"/>
          <w:sz w:val="24"/>
          <w:szCs w:val="24"/>
        </w:rPr>
        <w:t xml:space="preserve"> L’inserzione del dettaglio iconografico della gola infernale potrebbe essere un omaggio alla cultura performativa della regione d’origine della duchessa, che educata alla corte di sua sorella Carlotta, aveva forse assistito in Savoia o in Francia a spettacoli con ingegni simili.  </w:t>
      </w:r>
    </w:p>
    <w:p w14:paraId="21C4E53D"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caso del </w:t>
      </w:r>
      <w:r w:rsidRPr="00096909">
        <w:rPr>
          <w:rFonts w:ascii="Times New Roman" w:hAnsi="Times New Roman" w:cs="Times New Roman"/>
          <w:i/>
          <w:sz w:val="24"/>
          <w:szCs w:val="24"/>
        </w:rPr>
        <w:t>Leggendario Sforza-Savoia</w:t>
      </w:r>
      <w:r w:rsidRPr="00096909">
        <w:rPr>
          <w:rFonts w:ascii="Times New Roman" w:hAnsi="Times New Roman" w:cs="Times New Roman"/>
          <w:sz w:val="24"/>
          <w:szCs w:val="24"/>
        </w:rPr>
        <w:t xml:space="preserve"> dimostra dunque come le illustrazioni di un codice possano rivelarsi fonti iconografiche intenzionali di eventi spettacolari cortesi, ma possano anche limitarsi ad alludere in maniera generica alle cerimonie e alle feste, lasciando solo alcuni dettagli che aiutino lo storico a rintracciare la memoria visuale dello spettacolo. Queste immagini assumono una capacità più forte di richiamare alla mente di chi le osserva particolari contesti performativi qualora il lettore possieda le giuste chiavi interpretative e il giusto bagaglio di visioni di spettacoli per collegare correttamente il testo alle illustrazioni. Un ulteriore esempio aiuterà a chiarire meglio quanto sostengo. </w:t>
      </w:r>
    </w:p>
    <w:p w14:paraId="199B29FB"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Tra i beni della dote che Ippolita Sforza, divenuta duchessa di Calabria in seguito alle nozze con Alfonso d’Aragona, portò con sé a Napoli nel giugno del 1465 vi era un gruppo di quattordici manoscritti, destinati a trovare posto nello studiolo che ella avrebbe allestito per i suoi studi in </w:t>
      </w:r>
      <w:r w:rsidRPr="00096909">
        <w:rPr>
          <w:rFonts w:ascii="Times New Roman" w:hAnsi="Times New Roman" w:cs="Times New Roman"/>
          <w:sz w:val="24"/>
          <w:szCs w:val="24"/>
        </w:rPr>
        <w:lastRenderedPageBreak/>
        <w:t>Castel Capuano.</w:t>
      </w:r>
      <w:r w:rsidRPr="00096909">
        <w:rPr>
          <w:rStyle w:val="Rimandonotaapidipagina"/>
          <w:rFonts w:ascii="Times New Roman" w:hAnsi="Times New Roman" w:cs="Times New Roman"/>
          <w:sz w:val="24"/>
          <w:szCs w:val="24"/>
        </w:rPr>
        <w:footnoteReference w:id="273"/>
      </w:r>
      <w:r w:rsidRPr="00096909">
        <w:rPr>
          <w:rFonts w:ascii="Times New Roman" w:hAnsi="Times New Roman" w:cs="Times New Roman"/>
          <w:sz w:val="24"/>
          <w:szCs w:val="24"/>
        </w:rPr>
        <w:t xml:space="preserve"> Uno di questi conteneva le opere di Virgilio con il commento di Servio ed era decorato da due ritratti della principessa miniati dal così detto Maestro di Ippolita Sforza ai fogli 1r (fig. 33) e 4r.</w:t>
      </w:r>
      <w:r w:rsidRPr="00096909">
        <w:rPr>
          <w:rStyle w:val="Rimandonotaapidipagina"/>
          <w:rFonts w:ascii="Times New Roman" w:hAnsi="Times New Roman" w:cs="Times New Roman"/>
          <w:sz w:val="24"/>
          <w:szCs w:val="24"/>
        </w:rPr>
        <w:footnoteReference w:id="274"/>
      </w:r>
      <w:r w:rsidRPr="00096909">
        <w:rPr>
          <w:rFonts w:ascii="Times New Roman" w:hAnsi="Times New Roman" w:cs="Times New Roman"/>
          <w:sz w:val="24"/>
          <w:szCs w:val="24"/>
        </w:rPr>
        <w:t xml:space="preserve"> Nel momento di lasciare la città d’origine, Ippolita aveva, dunque, richiesto che le fosse confezionato un volume con le opere del poeta, del quale pare conoscesse a memoria larga parte dell’</w:t>
      </w:r>
      <w:r w:rsidRPr="00096909">
        <w:rPr>
          <w:rFonts w:ascii="Times New Roman" w:hAnsi="Times New Roman" w:cs="Times New Roman"/>
          <w:i/>
          <w:sz w:val="24"/>
          <w:szCs w:val="24"/>
        </w:rPr>
        <w:t>Eneide</w:t>
      </w:r>
      <w:r w:rsidRPr="00096909">
        <w:rPr>
          <w:rFonts w:ascii="Times New Roman" w:hAnsi="Times New Roman" w:cs="Times New Roman"/>
          <w:sz w:val="24"/>
          <w:szCs w:val="24"/>
        </w:rPr>
        <w:t xml:space="preserve"> e che sapeva opportunamente citare in sue composizioni retoriche.</w:t>
      </w:r>
      <w:r w:rsidRPr="00096909">
        <w:rPr>
          <w:rStyle w:val="Rimandonotaapidipagina"/>
          <w:rFonts w:ascii="Times New Roman" w:hAnsi="Times New Roman" w:cs="Times New Roman"/>
          <w:sz w:val="24"/>
          <w:szCs w:val="24"/>
        </w:rPr>
        <w:footnoteReference w:id="275"/>
      </w:r>
      <w:r w:rsidRPr="00096909">
        <w:rPr>
          <w:rFonts w:ascii="Times New Roman" w:hAnsi="Times New Roman" w:cs="Times New Roman"/>
          <w:sz w:val="24"/>
          <w:szCs w:val="24"/>
        </w:rPr>
        <w:t xml:space="preserve"> </w:t>
      </w:r>
    </w:p>
    <w:p w14:paraId="70A64D56"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L’attitudine a tenere discorsi in pubblico pare fosse proprio una tra le doti più apprezzate di Ippolita, che a soli quattordici anni aveva reso omaggio per conto di suo padre, il duca Francesco, a papa Pio II durante la dieta riunita nel 1459 a Mantova per convincere i principi italiani a organizzare la crociata contro i Turchi. Il Piccolomini rimase ammirato dalla facondia della fanciulla e le rivolse una lettera di ammirazione,</w:t>
      </w:r>
      <w:r w:rsidRPr="00096909">
        <w:rPr>
          <w:rStyle w:val="Rimandonotaapidipagina"/>
          <w:rFonts w:ascii="Times New Roman" w:hAnsi="Times New Roman" w:cs="Times New Roman"/>
          <w:sz w:val="24"/>
          <w:szCs w:val="24"/>
        </w:rPr>
        <w:footnoteReference w:id="276"/>
      </w:r>
      <w:r w:rsidRPr="00096909">
        <w:rPr>
          <w:rFonts w:ascii="Times New Roman" w:hAnsi="Times New Roman" w:cs="Times New Roman"/>
          <w:sz w:val="24"/>
          <w:szCs w:val="24"/>
        </w:rPr>
        <w:t xml:space="preserve"> così come l’ambasciatore fiorentino presente alla dieta, Luigi Scarampi, non mancò di dare avviso dell’episodio a Francesco Strozzi in una lettera datata 2 giugno 1459 affermando che «una dea non avrebbe saputo palar meglio».</w:t>
      </w:r>
      <w:r w:rsidRPr="00096909">
        <w:rPr>
          <w:rStyle w:val="Rimandonotaapidipagina"/>
          <w:rFonts w:ascii="Times New Roman" w:hAnsi="Times New Roman" w:cs="Times New Roman"/>
          <w:sz w:val="24"/>
          <w:szCs w:val="24"/>
        </w:rPr>
        <w:footnoteReference w:id="277"/>
      </w:r>
    </w:p>
    <w:p w14:paraId="36F1BD33"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 corso della messa sponsale celebrata a Napoli il 19 settembre 1465, Francesco Bertini, segretario del legato pontificio Bartolomeo Roverella, elogiava ancora Ippolita alla presenza del consorte, Alfonso di Calabria, ricordando la finezza letteraria di quella eccezionale recitazione: </w:t>
      </w:r>
    </w:p>
    <w:p w14:paraId="72F42929" w14:textId="77777777" w:rsidR="00970090" w:rsidRPr="00096909" w:rsidRDefault="00970090" w:rsidP="00970090">
      <w:pPr>
        <w:spacing w:after="0" w:line="360" w:lineRule="auto"/>
        <w:ind w:right="566" w:firstLine="397"/>
        <w:jc w:val="both"/>
        <w:rPr>
          <w:rFonts w:ascii="Times New Roman" w:hAnsi="Times New Roman" w:cs="Times New Roman"/>
          <w:sz w:val="24"/>
          <w:szCs w:val="24"/>
        </w:rPr>
      </w:pPr>
    </w:p>
    <w:p w14:paraId="1BDC0FB8" w14:textId="77777777" w:rsidR="00970090" w:rsidRPr="00096909" w:rsidRDefault="00970090" w:rsidP="00970090">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i/>
          <w:sz w:val="20"/>
          <w:szCs w:val="20"/>
        </w:rPr>
        <w:lastRenderedPageBreak/>
        <w:t>Quid autem de litterarum institutione et doctrina loquar, in quibus tamen profecit atque adeo sibi veteres Latinos praesertim Christianos familiares effecit ut non mediocrem dicendi scribendique vim et copiam compararit? Vidi ego superioribus annis, cum conventus Christianorum principum Mantue celebraretur, hanc adhuc adolescentulam apud Pium Romanum Pontificem, tanta facundia ac elegantia orantem ut ille qui omni doctrinae genere ac ingenio excellentissimus haberetur eam non commendaret solum verum etiam admiraretur et maximum aetatis nostrae decus ac ornamentum appellaret</w:t>
      </w:r>
      <w:r w:rsidRPr="00096909">
        <w:rPr>
          <w:rFonts w:ascii="Times New Roman" w:hAnsi="Times New Roman" w:cs="Times New Roman"/>
          <w:sz w:val="20"/>
          <w:szCs w:val="20"/>
        </w:rPr>
        <w:t>.</w:t>
      </w:r>
      <w:r w:rsidRPr="00096909">
        <w:rPr>
          <w:rStyle w:val="Rimandonotaapidipagina"/>
          <w:rFonts w:ascii="Times New Roman" w:hAnsi="Times New Roman" w:cs="Times New Roman"/>
        </w:rPr>
        <w:footnoteReference w:id="278"/>
      </w:r>
    </w:p>
    <w:p w14:paraId="6453C934" w14:textId="77777777" w:rsidR="00970090" w:rsidRPr="00096909" w:rsidRDefault="00970090" w:rsidP="00970090">
      <w:pPr>
        <w:spacing w:after="0" w:line="360" w:lineRule="auto"/>
        <w:ind w:left="567" w:right="1133" w:firstLine="397"/>
        <w:jc w:val="both"/>
        <w:rPr>
          <w:rFonts w:ascii="Times New Roman" w:hAnsi="Times New Roman" w:cs="Times New Roman"/>
          <w:sz w:val="20"/>
          <w:szCs w:val="20"/>
        </w:rPr>
      </w:pPr>
    </w:p>
    <w:p w14:paraId="7D5AB50A"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w:t>
      </w:r>
      <w:r w:rsidRPr="00096909">
        <w:rPr>
          <w:rFonts w:ascii="Times New Roman" w:hAnsi="Times New Roman" w:cs="Times New Roman"/>
          <w:i/>
          <w:sz w:val="24"/>
          <w:szCs w:val="24"/>
        </w:rPr>
        <w:t>politia litteraria</w:t>
      </w:r>
      <w:r w:rsidRPr="00096909">
        <w:rPr>
          <w:rFonts w:ascii="Times New Roman" w:hAnsi="Times New Roman" w:cs="Times New Roman"/>
          <w:sz w:val="24"/>
          <w:szCs w:val="24"/>
        </w:rPr>
        <w:t xml:space="preserve"> della sposa di Alfonso, insieme al suo aspetto fresco e bello, credo dunque sia stata rappresentata dal Maestro di Ippolita Sforza nei due ritratti del Virgilio di Valencia semplicemente attraverso un processo allusivo. Chi avesse ammirato il prezioso volume della dote avrebbe forse ricordato anche la bella mostra delle dotte letture data dalla fanciulla nelle orazioni recitate, e come ella fosse provvista di una solida conoscenza dei classici, frutto dell’educazione umanistica di cui suo padre Francesco si era dato tanta cura. </w:t>
      </w:r>
      <w:r>
        <w:rPr>
          <w:rFonts w:ascii="Times New Roman" w:hAnsi="Times New Roman" w:cs="Times New Roman"/>
          <w:sz w:val="24"/>
          <w:szCs w:val="24"/>
        </w:rPr>
        <w:t>Infatti, s</w:t>
      </w:r>
      <w:r w:rsidRPr="00096909">
        <w:rPr>
          <w:rFonts w:ascii="Times New Roman" w:hAnsi="Times New Roman" w:cs="Times New Roman"/>
          <w:sz w:val="24"/>
          <w:szCs w:val="24"/>
        </w:rPr>
        <w:t>ulla cornice del foglio 4r del codice rinviavano</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alle sue origini sforzesche le colombine bianche con il motto visconteo </w:t>
      </w:r>
      <w:r w:rsidRPr="00096909">
        <w:rPr>
          <w:rFonts w:ascii="Times New Roman" w:hAnsi="Times New Roman" w:cs="Times New Roman"/>
          <w:i/>
          <w:sz w:val="24"/>
          <w:szCs w:val="24"/>
        </w:rPr>
        <w:t>A bon droit</w:t>
      </w:r>
      <w:r w:rsidRPr="00096909">
        <w:rPr>
          <w:rFonts w:ascii="Times New Roman" w:hAnsi="Times New Roman" w:cs="Times New Roman"/>
          <w:sz w:val="24"/>
          <w:szCs w:val="24"/>
        </w:rPr>
        <w:t>, adottato da Francesco I. Il volume doveva pertanto ribadire l’origine milanese della principessa, la quale un giorno sarebbe stata degna della corona di Napoli, che già brillava su ciascuna delle colombe sforzesche.</w:t>
      </w:r>
      <w:r w:rsidRPr="00096909">
        <w:rPr>
          <w:rStyle w:val="Rimandonotaapidipagina"/>
          <w:rFonts w:ascii="Times New Roman" w:hAnsi="Times New Roman" w:cs="Times New Roman"/>
          <w:sz w:val="24"/>
          <w:szCs w:val="24"/>
        </w:rPr>
        <w:footnoteReference w:id="279"/>
      </w:r>
      <w:r w:rsidRPr="00096909">
        <w:rPr>
          <w:rFonts w:ascii="Times New Roman" w:hAnsi="Times New Roman" w:cs="Times New Roman"/>
          <w:sz w:val="24"/>
          <w:szCs w:val="24"/>
        </w:rPr>
        <w:t xml:space="preserve">   </w:t>
      </w:r>
    </w:p>
    <w:p w14:paraId="1BE04914"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Nelle carte del codice virgiliano il richiamo al talento performativo di Ippolita resta pertanto sottile, accessibile solo grazie ad una conoscenza discreta della biografia della giovane che consenta di cogliere la relazione tra il testo e il ritratto che lo adorna. </w:t>
      </w:r>
    </w:p>
    <w:p w14:paraId="06605544"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 rapporto simile si coglie tra la miniatura attribuita a Francesco di Giorgio Martini e il </w:t>
      </w:r>
      <w:bookmarkStart w:id="229" w:name="_Hlk528591793"/>
      <w:r w:rsidRPr="00096909">
        <w:rPr>
          <w:rFonts w:ascii="Times New Roman" w:hAnsi="Times New Roman" w:cs="Times New Roman"/>
          <w:i/>
          <w:sz w:val="24"/>
          <w:szCs w:val="24"/>
        </w:rPr>
        <w:t>Capitolo ternario in lode di Bianca Saracini</w:t>
      </w:r>
      <w:r w:rsidRPr="00096909">
        <w:rPr>
          <w:rFonts w:ascii="Times New Roman" w:hAnsi="Times New Roman" w:cs="Times New Roman"/>
          <w:sz w:val="24"/>
          <w:szCs w:val="24"/>
        </w:rPr>
        <w:t xml:space="preserve"> </w:t>
      </w:r>
      <w:bookmarkEnd w:id="229"/>
      <w:r w:rsidRPr="00096909">
        <w:rPr>
          <w:rFonts w:ascii="Times New Roman" w:hAnsi="Times New Roman" w:cs="Times New Roman"/>
          <w:sz w:val="24"/>
          <w:szCs w:val="24"/>
        </w:rPr>
        <w:t>composto da Benedetto da Cingoli</w:t>
      </w:r>
      <w:r>
        <w:rPr>
          <w:rFonts w:ascii="Times New Roman" w:hAnsi="Times New Roman" w:cs="Times New Roman"/>
          <w:sz w:val="24"/>
          <w:szCs w:val="24"/>
        </w:rPr>
        <w:t xml:space="preserve"> </w:t>
      </w:r>
      <w:r w:rsidRPr="00096909">
        <w:rPr>
          <w:rFonts w:ascii="Times New Roman" w:hAnsi="Times New Roman" w:cs="Times New Roman"/>
          <w:sz w:val="24"/>
          <w:szCs w:val="24"/>
        </w:rPr>
        <w:t>trasmessi da un codicetto oggi conservato alla Biblioteca Nazionale di Firenze.</w:t>
      </w:r>
      <w:r w:rsidRPr="00096909">
        <w:rPr>
          <w:rStyle w:val="Rimandonotaapidipagina"/>
          <w:rFonts w:ascii="Times New Roman" w:hAnsi="Times New Roman" w:cs="Times New Roman"/>
          <w:sz w:val="24"/>
          <w:szCs w:val="24"/>
        </w:rPr>
        <w:footnoteReference w:id="280"/>
      </w:r>
      <w:r w:rsidRPr="00096909">
        <w:rPr>
          <w:rFonts w:ascii="Times New Roman" w:hAnsi="Times New Roman" w:cs="Times New Roman"/>
          <w:sz w:val="24"/>
          <w:szCs w:val="24"/>
        </w:rPr>
        <w:t xml:space="preserve"> Nel frontespizio (fig. 34) l’artista ha ritratto la bella figlia di Iacomo di Simone Saracini e Onorata Orsini, moglie nel 1470 </w:t>
      </w:r>
      <w:r w:rsidR="00146396">
        <w:rPr>
          <w:rFonts w:ascii="Times New Roman" w:hAnsi="Times New Roman" w:cs="Times New Roman"/>
          <w:sz w:val="24"/>
          <w:szCs w:val="24"/>
        </w:rPr>
        <w:t>de</w:t>
      </w:r>
      <w:r w:rsidRPr="00096909">
        <w:rPr>
          <w:rFonts w:ascii="Times New Roman" w:hAnsi="Times New Roman" w:cs="Times New Roman"/>
          <w:sz w:val="24"/>
          <w:szCs w:val="24"/>
        </w:rPr>
        <w:t xml:space="preserve">l conte Francesco di Giovanni Luti, volteggiante nel cielo di Siena, dove era nata nel 1453. La città è ben riconoscibile grazie al profilo dei suoi monumenti più noti dipinti nel margine inferiore della </w:t>
      </w:r>
      <w:r w:rsidRPr="00096909">
        <w:rPr>
          <w:rFonts w:ascii="Times New Roman" w:hAnsi="Times New Roman" w:cs="Times New Roman"/>
          <w:sz w:val="24"/>
          <w:szCs w:val="24"/>
        </w:rPr>
        <w:lastRenderedPageBreak/>
        <w:t>miniatura. La veste bianca in cui era avvolta, ridipinta in epoca successiva, alludeva al candore dell’animo della fanciulla – perfettamente rivelato dal suo nome –, così come la palla di neve nella sua mano e la pelle eburnea del suo volto, incorniciato da un’elegante acconciatura.</w:t>
      </w:r>
      <w:r w:rsidRPr="00096909">
        <w:rPr>
          <w:rStyle w:val="Rimandonotaapidipagina"/>
          <w:rFonts w:ascii="Times New Roman" w:hAnsi="Times New Roman" w:cs="Times New Roman"/>
          <w:sz w:val="24"/>
          <w:szCs w:val="24"/>
        </w:rPr>
        <w:footnoteReference w:id="281"/>
      </w:r>
      <w:r w:rsidRPr="00096909">
        <w:rPr>
          <w:rFonts w:ascii="Times New Roman" w:hAnsi="Times New Roman" w:cs="Times New Roman"/>
          <w:sz w:val="24"/>
          <w:szCs w:val="24"/>
        </w:rPr>
        <w:t xml:space="preserve"> </w:t>
      </w:r>
    </w:p>
    <w:p w14:paraId="38B3D2BE"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posa leggiadra di Bianca, incurvata sul fianco sinistro, lascia scorgere sotto la veste due piedi, uno di punta e l’altro di piatto, accompagnati da un armonioso gesto delle mani, originariamente sottolineato da un velo che le avvolgeva le spalle. Essa è stata posta in relazione con l’eccellente talento per la danza sfoggiato in un episodio memorabile della vita della gentildonna: la partecipazione alla festa da ballo offerta per onorare il passaggio per Siena di Eleonora d’Aragona che, nel giugno del 1473, si recava a Ferrara, dove era attesa dal novello sposo Ercole I d’Este. La </w:t>
      </w:r>
      <w:r w:rsidRPr="00096909">
        <w:rPr>
          <w:rFonts w:ascii="Times New Roman" w:hAnsi="Times New Roman" w:cs="Times New Roman"/>
          <w:i/>
          <w:sz w:val="24"/>
          <w:szCs w:val="24"/>
        </w:rPr>
        <w:t>Cronaca senese</w:t>
      </w:r>
      <w:r w:rsidRPr="00096909">
        <w:rPr>
          <w:rFonts w:ascii="Times New Roman" w:hAnsi="Times New Roman" w:cs="Times New Roman"/>
          <w:sz w:val="24"/>
          <w:szCs w:val="24"/>
        </w:rPr>
        <w:t xml:space="preserve"> di Tommaso Fecini così registra l’evento: «Fessi l’aparato a casa di Tomasso Pecci fuori e lì si ballò e fessi gran festa e collazione degnissime e la Bianca e la Branchina ballaro con la duchessa».</w:t>
      </w:r>
      <w:r w:rsidRPr="00096909">
        <w:rPr>
          <w:rStyle w:val="Rimandonotaapidipagina"/>
          <w:rFonts w:ascii="Times New Roman" w:hAnsi="Times New Roman" w:cs="Times New Roman"/>
          <w:sz w:val="24"/>
          <w:szCs w:val="24"/>
        </w:rPr>
        <w:footnoteReference w:id="282"/>
      </w:r>
      <w:r w:rsidRPr="00096909">
        <w:rPr>
          <w:rFonts w:ascii="Times New Roman" w:hAnsi="Times New Roman" w:cs="Times New Roman"/>
          <w:sz w:val="24"/>
          <w:szCs w:val="24"/>
        </w:rPr>
        <w:t xml:space="preserve">        </w:t>
      </w:r>
    </w:p>
    <w:p w14:paraId="65A88FF9" w14:textId="77777777" w:rsidR="00970090" w:rsidRPr="00096909"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Sebbene nel componimento del Cingoli, che si presenta come un dialogo tra divinità olimpiche intente ad adornare di ogni virtù l’animo e il corpo della fanciulla, non ci siano accenni alla festa da ballo senese, la critica d’arte è concorde nel riconoscere nella miniatura una sottile memoria delle danze della Saracini, anche in ragione della datazione proposta da Andrea de Marchi per l’esecuzione dell’illustrazione di Francesco di Giorgio, tra il 1473 e il 1474, ovvero a breve distanza dalla visita alla città della duchessa di Ferrara.</w:t>
      </w:r>
      <w:r w:rsidRPr="00096909">
        <w:rPr>
          <w:rStyle w:val="Rimandonotaapidipagina"/>
          <w:rFonts w:ascii="Times New Roman" w:hAnsi="Times New Roman" w:cs="Times New Roman"/>
          <w:sz w:val="24"/>
          <w:szCs w:val="24"/>
        </w:rPr>
        <w:footnoteReference w:id="283"/>
      </w:r>
    </w:p>
    <w:p w14:paraId="0EA83234" w14:textId="77777777" w:rsidR="00970090" w:rsidRDefault="00970090" w:rsidP="00970090">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Come nel caso dei ritratti di Ippolita Sforza, dunque, siamo nuovamente in presenza di una fonte iconografica la cui </w:t>
      </w:r>
      <w:r>
        <w:rPr>
          <w:rFonts w:ascii="Times New Roman" w:hAnsi="Times New Roman" w:cs="Times New Roman"/>
          <w:sz w:val="24"/>
          <w:szCs w:val="24"/>
        </w:rPr>
        <w:t xml:space="preserve">comprensione </w:t>
      </w:r>
      <w:r w:rsidRPr="00096909">
        <w:rPr>
          <w:rFonts w:ascii="Times New Roman" w:hAnsi="Times New Roman" w:cs="Times New Roman"/>
          <w:sz w:val="24"/>
          <w:szCs w:val="24"/>
        </w:rPr>
        <w:t xml:space="preserve">risulta possibile solo mettendo in relazione l’immagine con altre tipologie di testimonianze. Nuovamente le tracce della vita dello spettacolo ci sfuggono sottili e appena </w:t>
      </w:r>
      <w:r>
        <w:rPr>
          <w:rFonts w:ascii="Times New Roman" w:hAnsi="Times New Roman" w:cs="Times New Roman"/>
          <w:sz w:val="24"/>
          <w:szCs w:val="24"/>
        </w:rPr>
        <w:t>identific</w:t>
      </w:r>
      <w:r w:rsidRPr="00096909">
        <w:rPr>
          <w:rFonts w:ascii="Times New Roman" w:hAnsi="Times New Roman" w:cs="Times New Roman"/>
          <w:sz w:val="24"/>
          <w:szCs w:val="24"/>
        </w:rPr>
        <w:t xml:space="preserve">abili, come i passi di danza di Bianca </w:t>
      </w:r>
      <w:r>
        <w:rPr>
          <w:rFonts w:ascii="Times New Roman" w:hAnsi="Times New Roman" w:cs="Times New Roman"/>
          <w:sz w:val="24"/>
          <w:szCs w:val="24"/>
        </w:rPr>
        <w:t>n</w:t>
      </w:r>
      <w:r w:rsidRPr="00096909">
        <w:rPr>
          <w:rFonts w:ascii="Times New Roman" w:hAnsi="Times New Roman" w:cs="Times New Roman"/>
          <w:sz w:val="24"/>
          <w:szCs w:val="24"/>
        </w:rPr>
        <w:t xml:space="preserve">el cielo di Siena.    </w:t>
      </w:r>
    </w:p>
    <w:p w14:paraId="659ABA33" w14:textId="77777777" w:rsidR="004D6442" w:rsidRDefault="004D6442" w:rsidP="00970090">
      <w:pPr>
        <w:spacing w:after="0" w:line="360" w:lineRule="auto"/>
        <w:ind w:right="-1" w:firstLine="397"/>
        <w:jc w:val="both"/>
        <w:rPr>
          <w:rFonts w:ascii="Times New Roman" w:hAnsi="Times New Roman" w:cs="Times New Roman"/>
          <w:sz w:val="24"/>
          <w:szCs w:val="24"/>
        </w:rPr>
      </w:pPr>
    </w:p>
    <w:p w14:paraId="7BE6110A" w14:textId="77777777" w:rsidR="004D6442" w:rsidRDefault="004D6442" w:rsidP="00970090">
      <w:pPr>
        <w:spacing w:after="0" w:line="360" w:lineRule="auto"/>
        <w:ind w:right="-1" w:firstLine="397"/>
        <w:jc w:val="both"/>
        <w:rPr>
          <w:rFonts w:ascii="Times New Roman" w:hAnsi="Times New Roman" w:cs="Times New Roman"/>
          <w:sz w:val="24"/>
          <w:szCs w:val="24"/>
        </w:rPr>
      </w:pPr>
    </w:p>
    <w:p w14:paraId="442896A8" w14:textId="77777777" w:rsidR="004D6442" w:rsidRPr="00096909" w:rsidRDefault="004D6442" w:rsidP="004D6442">
      <w:pPr>
        <w:jc w:val="both"/>
        <w:rPr>
          <w:rFonts w:ascii="Times New Roman" w:hAnsi="Times New Roman" w:cs="Times New Roman"/>
          <w:i/>
          <w:sz w:val="24"/>
          <w:szCs w:val="24"/>
        </w:rPr>
      </w:pPr>
      <w:r w:rsidRPr="008742A3">
        <w:rPr>
          <w:rFonts w:ascii="Times New Roman" w:hAnsi="Times New Roman" w:cs="Times New Roman"/>
          <w:sz w:val="24"/>
          <w:szCs w:val="24"/>
        </w:rPr>
        <w:t>5.</w:t>
      </w:r>
      <w:r w:rsidRPr="00096909">
        <w:rPr>
          <w:rFonts w:ascii="Times New Roman" w:hAnsi="Times New Roman" w:cs="Times New Roman"/>
          <w:i/>
          <w:sz w:val="24"/>
          <w:szCs w:val="24"/>
        </w:rPr>
        <w:t xml:space="preserve"> La fucina fiorentina. </w:t>
      </w:r>
    </w:p>
    <w:p w14:paraId="642885C4" w14:textId="77777777" w:rsidR="004D6442" w:rsidRPr="00096909" w:rsidRDefault="004D6442" w:rsidP="004D6442">
      <w:pPr>
        <w:spacing w:after="0" w:line="360" w:lineRule="auto"/>
        <w:jc w:val="both"/>
        <w:rPr>
          <w:rFonts w:ascii="Times New Roman" w:hAnsi="Times New Roman" w:cs="Times New Roman"/>
          <w:sz w:val="24"/>
          <w:szCs w:val="24"/>
        </w:rPr>
      </w:pPr>
    </w:p>
    <w:p w14:paraId="01A0AF23" w14:textId="77777777" w:rsidR="004D6442" w:rsidRPr="00096909" w:rsidRDefault="004D6442" w:rsidP="004D6442">
      <w:pPr>
        <w:tabs>
          <w:tab w:val="left" w:pos="709"/>
        </w:tabs>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Tra le città interessate dal passaggio del corteo che nell’estate del 1465 accompagnò Ippolita Sforza a Napoli vi fu Firenze, che ricevette la sposa e la onorò nel corso delle feste patronali di san Giovanni Battista. La colta principessa, attirata dalla fama dei cartolai e forse dai banchi dei librai che </w:t>
      </w:r>
      <w:r>
        <w:rPr>
          <w:rFonts w:ascii="Times New Roman" w:hAnsi="Times New Roman" w:cs="Times New Roman"/>
          <w:sz w:val="24"/>
          <w:szCs w:val="24"/>
        </w:rPr>
        <w:t>espone</w:t>
      </w:r>
      <w:r w:rsidRPr="00096909">
        <w:rPr>
          <w:rFonts w:ascii="Times New Roman" w:hAnsi="Times New Roman" w:cs="Times New Roman"/>
          <w:sz w:val="24"/>
          <w:szCs w:val="24"/>
        </w:rPr>
        <w:t>vano i loro manufatti alla fiera dell’artigianato in onore del patrono</w:t>
      </w:r>
      <w:r>
        <w:rPr>
          <w:rFonts w:ascii="Times New Roman" w:hAnsi="Times New Roman" w:cs="Times New Roman"/>
          <w:sz w:val="24"/>
          <w:szCs w:val="24"/>
        </w:rPr>
        <w:t>,</w:t>
      </w:r>
      <w:r w:rsidRPr="00096909">
        <w:rPr>
          <w:rFonts w:ascii="Times New Roman" w:hAnsi="Times New Roman" w:cs="Times New Roman"/>
          <w:sz w:val="24"/>
          <w:szCs w:val="24"/>
        </w:rPr>
        <w:t xml:space="preserve"> richiese in tale occasione che le fosse confezionato un codice contenente la </w:t>
      </w:r>
      <w:r w:rsidRPr="00096909">
        <w:rPr>
          <w:rFonts w:ascii="Times New Roman" w:hAnsi="Times New Roman" w:cs="Times New Roman"/>
          <w:i/>
          <w:sz w:val="24"/>
          <w:szCs w:val="24"/>
        </w:rPr>
        <w:t>Geographia</w:t>
      </w:r>
      <w:r w:rsidRPr="00096909">
        <w:rPr>
          <w:rFonts w:ascii="Times New Roman" w:hAnsi="Times New Roman" w:cs="Times New Roman"/>
          <w:sz w:val="24"/>
          <w:szCs w:val="24"/>
        </w:rPr>
        <w:t xml:space="preserve"> di Tolomeo.</w:t>
      </w:r>
      <w:r w:rsidRPr="00096909">
        <w:rPr>
          <w:rStyle w:val="Rimandonotaapidipagina"/>
          <w:rFonts w:ascii="Times New Roman" w:hAnsi="Times New Roman" w:cs="Times New Roman"/>
          <w:sz w:val="24"/>
          <w:szCs w:val="24"/>
        </w:rPr>
        <w:footnoteReference w:id="284"/>
      </w:r>
      <w:r w:rsidRPr="00096909">
        <w:rPr>
          <w:rFonts w:ascii="Times New Roman" w:hAnsi="Times New Roman" w:cs="Times New Roman"/>
          <w:sz w:val="24"/>
          <w:szCs w:val="24"/>
        </w:rPr>
        <w:t xml:space="preserve"> </w:t>
      </w:r>
    </w:p>
    <w:p w14:paraId="0C6B79A8" w14:textId="77777777" w:rsidR="004D6442" w:rsidRPr="00096909" w:rsidRDefault="004D6442" w:rsidP="004D6442">
      <w:pPr>
        <w:tabs>
          <w:tab w:val="left" w:pos="567"/>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 questa aristocratica committenza di Ippolita, intenzionata ad impressionare la sua nuova corte napoletana con la bellezza dei tesori della propria dote, si proveranno ad accostare, nelle pagine seguenti, alcuni episodi simili di richieste di manoscritti ai librai fiorentini da parte di esigenti collezionisti stranieri. Essi ribadiscono la centralità di Firenze nel contesto del mercato librario dell’Europa delle corti del Quattrocento, ben segnalata anche dai consigli rivolti da Decembrio a Leonello d’Este nella </w:t>
      </w:r>
      <w:r w:rsidRPr="00096909">
        <w:rPr>
          <w:rFonts w:ascii="Times New Roman" w:hAnsi="Times New Roman" w:cs="Times New Roman"/>
          <w:i/>
          <w:sz w:val="24"/>
          <w:szCs w:val="24"/>
        </w:rPr>
        <w:t xml:space="preserve">Politia litteraria. </w:t>
      </w:r>
      <w:r w:rsidRPr="00096909">
        <w:rPr>
          <w:rFonts w:ascii="Times New Roman" w:hAnsi="Times New Roman" w:cs="Times New Roman"/>
          <w:sz w:val="24"/>
          <w:szCs w:val="24"/>
        </w:rPr>
        <w:t xml:space="preserve">Nel trattato, durante una conversazione sul </w:t>
      </w:r>
      <w:r>
        <w:rPr>
          <w:rFonts w:ascii="Times New Roman" w:hAnsi="Times New Roman" w:cs="Times New Roman"/>
          <w:sz w:val="24"/>
          <w:szCs w:val="24"/>
        </w:rPr>
        <w:t>proble</w:t>
      </w:r>
      <w:r w:rsidRPr="00096909">
        <w:rPr>
          <w:rFonts w:ascii="Times New Roman" w:hAnsi="Times New Roman" w:cs="Times New Roman"/>
          <w:sz w:val="24"/>
          <w:szCs w:val="24"/>
        </w:rPr>
        <w:t xml:space="preserve">ma del reperimento dei codici più belli e più filologicamente corretti, il saggio Guarino Veronese affermava infatti: </w:t>
      </w:r>
    </w:p>
    <w:p w14:paraId="1226CE65" w14:textId="77777777" w:rsidR="004D6442" w:rsidRPr="00096909" w:rsidRDefault="004D6442" w:rsidP="004D6442">
      <w:pPr>
        <w:spacing w:line="360" w:lineRule="auto"/>
        <w:ind w:left="567" w:firstLine="397"/>
        <w:jc w:val="both"/>
        <w:rPr>
          <w:rFonts w:ascii="Times New Roman" w:hAnsi="Times New Roman" w:cs="Times New Roman"/>
          <w:sz w:val="20"/>
          <w:szCs w:val="20"/>
        </w:rPr>
      </w:pPr>
    </w:p>
    <w:p w14:paraId="75C8A5AF" w14:textId="77777777" w:rsidR="004D6442" w:rsidRPr="00096909" w:rsidRDefault="004D6442" w:rsidP="004D6442">
      <w:pPr>
        <w:spacing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i/>
          <w:sz w:val="20"/>
          <w:szCs w:val="20"/>
        </w:rPr>
        <w:t>Solent igitur ex Hetruria Florentinaque civitate potissimum libri quam venustissime facti comparari, feruntque ibi Vespasianum quendam, eximium bibliopolam librorum librariorumque solertissimum, ad quem omnis Italica regio, longinquae etiam nationis homines confluunt, quicunque libros ornatissimos venales optant.</w:t>
      </w:r>
      <w:r w:rsidRPr="00096909">
        <w:rPr>
          <w:rStyle w:val="Rimandonotaapidipagina"/>
          <w:rFonts w:ascii="Times New Roman" w:hAnsi="Times New Roman" w:cs="Times New Roman"/>
        </w:rPr>
        <w:footnoteReference w:id="285"/>
      </w:r>
    </w:p>
    <w:p w14:paraId="2D891A7B" w14:textId="77777777" w:rsidR="004D6442" w:rsidRPr="00096909" w:rsidRDefault="004D6442" w:rsidP="004D6442">
      <w:pPr>
        <w:spacing w:after="0" w:line="360" w:lineRule="auto"/>
        <w:ind w:left="567" w:firstLine="397"/>
        <w:jc w:val="both"/>
        <w:rPr>
          <w:rFonts w:ascii="Times New Roman" w:hAnsi="Times New Roman" w:cs="Times New Roman"/>
          <w:sz w:val="20"/>
          <w:szCs w:val="20"/>
        </w:rPr>
      </w:pPr>
    </w:p>
    <w:p w14:paraId="7FC9B221" w14:textId="77777777" w:rsidR="004D6442" w:rsidRPr="00096909" w:rsidRDefault="004D6442" w:rsidP="004D644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 determinare questo primato di Firenze e il fascino dei suoi manoscritti fu, in primo luogo, il successo della cosiddetta riforma grafica umanistica, messa a punto da Niccolò Niccoli e da Poggio Bracciolini tra il 1403 e il 1413. Ispirata dalle sollecitazioni e dagli interessi antiquari del cancelliere Coluccio Salutati, tale riforma puntava a riacquisire l’aspetto idealmente originario del libro antico romano che aveva tramandato le opere della classicità. Ne fu modello la scrittura minuscola carolina del codice di studio del XII secolo, del quale furono ripresi la grafia – in opposizione al carattere gotico reputato medievale –, la semplice decorazione e alcuni elementi propriamente codicologici, quali la preferenza della pergamena rispetto alla carta </w:t>
      </w:r>
      <w:r>
        <w:rPr>
          <w:rFonts w:ascii="Times New Roman" w:hAnsi="Times New Roman" w:cs="Times New Roman"/>
          <w:sz w:val="24"/>
          <w:szCs w:val="24"/>
        </w:rPr>
        <w:t>come</w:t>
      </w:r>
      <w:r w:rsidRPr="00096909">
        <w:rPr>
          <w:rFonts w:ascii="Times New Roman" w:hAnsi="Times New Roman" w:cs="Times New Roman"/>
          <w:sz w:val="24"/>
          <w:szCs w:val="24"/>
        </w:rPr>
        <w:t xml:space="preserve"> supporto scrittorio, la rigatura a secco, la disposizione a piena pagina del testo, il formato stesso del volume.</w:t>
      </w:r>
      <w:r w:rsidRPr="00096909">
        <w:rPr>
          <w:rStyle w:val="Rimandonotaapidipagina"/>
          <w:rFonts w:ascii="Times New Roman" w:hAnsi="Times New Roman" w:cs="Times New Roman"/>
          <w:sz w:val="24"/>
          <w:szCs w:val="24"/>
        </w:rPr>
        <w:footnoteReference w:id="286"/>
      </w:r>
    </w:p>
    <w:p w14:paraId="77C386D5" w14:textId="77777777" w:rsidR="004D6442" w:rsidRPr="00096909" w:rsidRDefault="004D6442" w:rsidP="004D644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Nel</w:t>
      </w:r>
      <w:r>
        <w:rPr>
          <w:rFonts w:ascii="Times New Roman" w:hAnsi="Times New Roman" w:cs="Times New Roman"/>
          <w:sz w:val="24"/>
          <w:szCs w:val="24"/>
        </w:rPr>
        <w:t xml:space="preserve"> medesimo </w:t>
      </w:r>
      <w:r w:rsidRPr="00096909">
        <w:rPr>
          <w:rFonts w:ascii="Times New Roman" w:hAnsi="Times New Roman" w:cs="Times New Roman"/>
          <w:sz w:val="24"/>
          <w:szCs w:val="24"/>
        </w:rPr>
        <w:t xml:space="preserve">torno di tempo nel quale la </w:t>
      </w:r>
      <w:r w:rsidRPr="00096909">
        <w:rPr>
          <w:rFonts w:ascii="Times New Roman" w:hAnsi="Times New Roman" w:cs="Times New Roman"/>
          <w:i/>
          <w:sz w:val="24"/>
          <w:szCs w:val="24"/>
        </w:rPr>
        <w:t>littera anticha nuova</w:t>
      </w:r>
      <w:r w:rsidRPr="00096909">
        <w:rPr>
          <w:rFonts w:ascii="Times New Roman" w:hAnsi="Times New Roman" w:cs="Times New Roman"/>
          <w:sz w:val="24"/>
          <w:szCs w:val="24"/>
        </w:rPr>
        <w:t xml:space="preserve"> diventò la tipologia di scrittura più impiegata per la copia delle opere degli autori latini e dei padri della Chiesa, si affermò inoltre un’</w:t>
      </w:r>
      <w:r w:rsidRPr="00096909">
        <w:rPr>
          <w:rFonts w:ascii="Times New Roman" w:hAnsi="Times New Roman" w:cs="Times New Roman"/>
        </w:rPr>
        <w:t xml:space="preserve">ornamentazione </w:t>
      </w:r>
      <w:r w:rsidRPr="00096909">
        <w:rPr>
          <w:rFonts w:ascii="Times New Roman" w:hAnsi="Times New Roman" w:cs="Times New Roman"/>
          <w:sz w:val="24"/>
          <w:szCs w:val="24"/>
        </w:rPr>
        <w:t xml:space="preserve">a bianchi girari destinata a distinguere il libro umanistico al pari della nuova grafia. </w:t>
      </w:r>
      <w:r w:rsidRPr="00096909">
        <w:rPr>
          <w:rFonts w:ascii="Times New Roman" w:hAnsi="Times New Roman" w:cs="Times New Roman"/>
        </w:rPr>
        <w:t xml:space="preserve">Basato su intrecci di viticci bianchi e sottili strisce sinuose, questo genere di decorazione fu </w:t>
      </w:r>
      <w:r w:rsidRPr="00096909">
        <w:rPr>
          <w:rFonts w:ascii="Times New Roman" w:hAnsi="Times New Roman" w:cs="Times New Roman"/>
          <w:sz w:val="24"/>
          <w:szCs w:val="24"/>
        </w:rPr>
        <w:t>avvertito come all’antica per via delle evidenti tangenze con l’ornato di sarcofagi e resti archeologici romani</w:t>
      </w:r>
      <w:r>
        <w:rPr>
          <w:rFonts w:ascii="Times New Roman" w:hAnsi="Times New Roman" w:cs="Times New Roman"/>
          <w:sz w:val="24"/>
          <w:szCs w:val="24"/>
        </w:rPr>
        <w:t>, ma</w:t>
      </w:r>
      <w:r w:rsidRPr="00096909">
        <w:rPr>
          <w:rFonts w:ascii="Times New Roman" w:hAnsi="Times New Roman" w:cs="Times New Roman"/>
          <w:sz w:val="24"/>
          <w:szCs w:val="24"/>
        </w:rPr>
        <w:t xml:space="preserve"> </w:t>
      </w:r>
      <w:r>
        <w:rPr>
          <w:rFonts w:ascii="Times New Roman" w:hAnsi="Times New Roman" w:cs="Times New Roman"/>
          <w:sz w:val="24"/>
          <w:szCs w:val="24"/>
        </w:rPr>
        <w:t>i</w:t>
      </w:r>
      <w:r w:rsidRPr="00096909">
        <w:rPr>
          <w:rFonts w:ascii="Times New Roman" w:hAnsi="Times New Roman" w:cs="Times New Roman"/>
          <w:sz w:val="24"/>
          <w:szCs w:val="24"/>
        </w:rPr>
        <w:t xml:space="preserve">l suo archetipo era rintracciabile nel decoro dei codici toscani del secolo </w:t>
      </w:r>
      <w:r>
        <w:rPr>
          <w:rFonts w:ascii="Times New Roman" w:hAnsi="Times New Roman" w:cs="Times New Roman"/>
          <w:sz w:val="24"/>
          <w:szCs w:val="24"/>
        </w:rPr>
        <w:t>XII</w:t>
      </w:r>
      <w:r w:rsidRPr="00096909">
        <w:rPr>
          <w:rFonts w:ascii="Times New Roman" w:hAnsi="Times New Roman" w:cs="Times New Roman"/>
          <w:sz w:val="24"/>
          <w:szCs w:val="24"/>
        </w:rPr>
        <w:t xml:space="preserve"> che avevano trasmesso i testi antichi, del quale gli umanisti favorirono il reimpiego apprezzandone la semplicità che non distraeva la lettura.</w:t>
      </w:r>
      <w:r w:rsidRPr="00096909">
        <w:rPr>
          <w:rStyle w:val="Rimandonotaapidipagina"/>
          <w:rFonts w:ascii="Times New Roman" w:hAnsi="Times New Roman" w:cs="Times New Roman"/>
          <w:sz w:val="24"/>
          <w:szCs w:val="24"/>
        </w:rPr>
        <w:footnoteReference w:id="287"/>
      </w:r>
      <w:r w:rsidRPr="00096909">
        <w:rPr>
          <w:rFonts w:ascii="Times New Roman" w:hAnsi="Times New Roman" w:cs="Times New Roman"/>
          <w:sz w:val="24"/>
          <w:szCs w:val="24"/>
        </w:rPr>
        <w:t xml:space="preserve"> </w:t>
      </w:r>
    </w:p>
    <w:p w14:paraId="23189A7C" w14:textId="77777777" w:rsidR="004D6442" w:rsidRPr="00096909" w:rsidRDefault="004D6442" w:rsidP="004D644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Inizialmente limitato al decoro dei capilettera o di un solo lato della pagina, intorno al 1430 il motivo a bianchi girari si estese fino ad abbellire tutti i lati della pagina e a formare delle cornici, nelle quali i miniatori cominciarono progressivamente ad inserire putti nelle più svariate pose. Anche la presenza di questi ultimi era percepita come antichizzante, dal momento che era egualmente ispirata ai ritrovamenti archeologici di sarcofagi con giochi di fanciulli. E come nei rilievi sepolcrali questi avevano retto l’</w:t>
      </w:r>
      <w:r w:rsidRPr="00096909">
        <w:rPr>
          <w:rFonts w:ascii="Times New Roman" w:hAnsi="Times New Roman" w:cs="Times New Roman"/>
          <w:i/>
          <w:sz w:val="24"/>
          <w:szCs w:val="24"/>
        </w:rPr>
        <w:t>imago clipea</w:t>
      </w:r>
      <w:r w:rsidRPr="00096909">
        <w:rPr>
          <w:rFonts w:ascii="Times New Roman" w:hAnsi="Times New Roman" w:cs="Times New Roman"/>
          <w:sz w:val="24"/>
          <w:szCs w:val="24"/>
        </w:rPr>
        <w:t xml:space="preserve"> del defunto, così, nelle pagine dei libri umanistici, avrebbero retto gli stemmi dei possessori</w:t>
      </w:r>
      <w:r>
        <w:rPr>
          <w:rFonts w:ascii="Times New Roman" w:hAnsi="Times New Roman" w:cs="Times New Roman"/>
          <w:sz w:val="24"/>
          <w:szCs w:val="24"/>
        </w:rPr>
        <w:t xml:space="preserve"> e le</w:t>
      </w:r>
      <w:r w:rsidRPr="00096909">
        <w:rPr>
          <w:rFonts w:ascii="Times New Roman" w:hAnsi="Times New Roman" w:cs="Times New Roman"/>
          <w:sz w:val="24"/>
          <w:szCs w:val="24"/>
        </w:rPr>
        <w:t xml:space="preserve"> riproduzioni di medaglie e cammei</w:t>
      </w:r>
      <w:r>
        <w:rPr>
          <w:rFonts w:ascii="Times New Roman" w:hAnsi="Times New Roman" w:cs="Times New Roman"/>
          <w:sz w:val="24"/>
          <w:szCs w:val="24"/>
        </w:rPr>
        <w:t xml:space="preserve"> romani</w:t>
      </w:r>
      <w:r w:rsidRPr="00096909">
        <w:rPr>
          <w:rFonts w:ascii="Times New Roman" w:hAnsi="Times New Roman" w:cs="Times New Roman"/>
          <w:sz w:val="24"/>
          <w:szCs w:val="24"/>
        </w:rPr>
        <w:t>, che nel corso del Quattrocento avrebbero fatto la fortuna dei miniatori dal maggior estro creativo, capaci di interpretare la passione antiquaria della loro epoca.</w:t>
      </w:r>
      <w:r w:rsidRPr="006F5614">
        <w:rPr>
          <w:rStyle w:val="Rimandonotaapidipagina"/>
          <w:rFonts w:ascii="Times New Roman" w:hAnsi="Times New Roman" w:cs="Times New Roman"/>
          <w:sz w:val="24"/>
          <w:szCs w:val="24"/>
        </w:rPr>
        <w:t xml:space="preserve"> </w:t>
      </w:r>
      <w:r w:rsidRPr="00096909">
        <w:rPr>
          <w:rStyle w:val="Rimandonotaapidipagina"/>
          <w:rFonts w:ascii="Times New Roman" w:hAnsi="Times New Roman" w:cs="Times New Roman"/>
          <w:sz w:val="24"/>
          <w:szCs w:val="24"/>
        </w:rPr>
        <w:footnoteReference w:id="288"/>
      </w:r>
      <w:r w:rsidRPr="00096909">
        <w:rPr>
          <w:rFonts w:ascii="Times New Roman" w:hAnsi="Times New Roman" w:cs="Times New Roman"/>
          <w:sz w:val="24"/>
          <w:szCs w:val="24"/>
        </w:rPr>
        <w:t xml:space="preserve">  </w:t>
      </w:r>
    </w:p>
    <w:p w14:paraId="01EB3954" w14:textId="77777777" w:rsidR="004D6442" w:rsidRDefault="004D6442" w:rsidP="004D644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Accanto a queste specificità stilistiche, deve essere segnalato che, nella prima metà del secolo, la richiesta cittadina di libri fu stimolata dalla presenza a Firenze di una classe fiorente di mercanti, banchieri, medici, giuristi, affascinati dalle nuove istanze della cultura umanistica. La loro domanda di testi si unì all’abituale necessità di letture espressa da studenti ed enti ecclesiastici. Tale importante premessa allo sviluppo del mercato librario locale, insieme al patronato mediceo sulle biblioteche pubbliche di cui si è detto, permise l’apertura di diverse botteghe di cartolai, destinate a fronteggiare non solo la domanda di codici da parte di acquirenti fiorentini, ma anche quella di importanti committenti esteri e decretò la progressiva specializzazione dei mestieri del </w:t>
      </w:r>
      <w:r w:rsidRPr="00096909">
        <w:rPr>
          <w:rFonts w:ascii="Times New Roman" w:hAnsi="Times New Roman" w:cs="Times New Roman"/>
          <w:sz w:val="24"/>
          <w:szCs w:val="24"/>
        </w:rPr>
        <w:lastRenderedPageBreak/>
        <w:t>libro, con il conseguente affermarsi di professionisti esperti nella pittura delle scene illustrative</w:t>
      </w:r>
      <w:r>
        <w:rPr>
          <w:rFonts w:ascii="Times New Roman" w:hAnsi="Times New Roman" w:cs="Times New Roman"/>
          <w:sz w:val="24"/>
          <w:szCs w:val="24"/>
        </w:rPr>
        <w:t>,</w:t>
      </w:r>
      <w:r w:rsidRPr="00096909">
        <w:rPr>
          <w:rFonts w:ascii="Times New Roman" w:hAnsi="Times New Roman" w:cs="Times New Roman"/>
          <w:sz w:val="24"/>
          <w:szCs w:val="24"/>
        </w:rPr>
        <w:t xml:space="preserve"> delle decorazioni marginali</w:t>
      </w:r>
      <w:r>
        <w:rPr>
          <w:rFonts w:ascii="Times New Roman" w:hAnsi="Times New Roman" w:cs="Times New Roman"/>
          <w:sz w:val="24"/>
          <w:szCs w:val="24"/>
        </w:rPr>
        <w:t xml:space="preserve"> e nella preparazione</w:t>
      </w:r>
      <w:r w:rsidRPr="00096909">
        <w:rPr>
          <w:rFonts w:ascii="Times New Roman" w:hAnsi="Times New Roman" w:cs="Times New Roman"/>
          <w:sz w:val="24"/>
          <w:szCs w:val="24"/>
        </w:rPr>
        <w:t xml:space="preserve"> dell</w:t>
      </w:r>
      <w:r>
        <w:rPr>
          <w:rFonts w:ascii="Times New Roman" w:hAnsi="Times New Roman" w:cs="Times New Roman"/>
          <w:sz w:val="24"/>
          <w:szCs w:val="24"/>
        </w:rPr>
        <w:t>e</w:t>
      </w:r>
      <w:r w:rsidRPr="00096909">
        <w:rPr>
          <w:rFonts w:ascii="Times New Roman" w:hAnsi="Times New Roman" w:cs="Times New Roman"/>
          <w:sz w:val="24"/>
          <w:szCs w:val="24"/>
        </w:rPr>
        <w:t xml:space="preserve"> legatur</w:t>
      </w:r>
      <w:r>
        <w:rPr>
          <w:rFonts w:ascii="Times New Roman" w:hAnsi="Times New Roman" w:cs="Times New Roman"/>
          <w:sz w:val="24"/>
          <w:szCs w:val="24"/>
        </w:rPr>
        <w:t>e</w:t>
      </w:r>
      <w:r w:rsidRPr="00096909">
        <w:rPr>
          <w:rFonts w:ascii="Times New Roman" w:hAnsi="Times New Roman" w:cs="Times New Roman"/>
          <w:sz w:val="24"/>
          <w:szCs w:val="24"/>
        </w:rPr>
        <w:t>.</w:t>
      </w:r>
    </w:p>
    <w:p w14:paraId="3802FA6C" w14:textId="77777777" w:rsidR="008742A3" w:rsidRDefault="008742A3" w:rsidP="004D6442">
      <w:pPr>
        <w:spacing w:after="0" w:line="360" w:lineRule="auto"/>
        <w:ind w:right="-1" w:firstLine="397"/>
        <w:jc w:val="both"/>
        <w:rPr>
          <w:rFonts w:ascii="Times New Roman" w:hAnsi="Times New Roman" w:cs="Times New Roman"/>
          <w:sz w:val="24"/>
          <w:szCs w:val="24"/>
        </w:rPr>
      </w:pPr>
    </w:p>
    <w:p w14:paraId="654DCFD6" w14:textId="77777777" w:rsidR="008742A3" w:rsidRDefault="008742A3" w:rsidP="004D6442">
      <w:pPr>
        <w:spacing w:after="0" w:line="360" w:lineRule="auto"/>
        <w:ind w:right="-1" w:firstLine="397"/>
        <w:jc w:val="both"/>
        <w:rPr>
          <w:rFonts w:ascii="Times New Roman" w:hAnsi="Times New Roman" w:cs="Times New Roman"/>
          <w:sz w:val="24"/>
          <w:szCs w:val="24"/>
        </w:rPr>
      </w:pPr>
    </w:p>
    <w:p w14:paraId="752B23F9" w14:textId="77777777" w:rsidR="008742A3" w:rsidRPr="00096909" w:rsidRDefault="008742A3" w:rsidP="008742A3">
      <w:pPr>
        <w:ind w:right="-284"/>
        <w:jc w:val="both"/>
        <w:rPr>
          <w:rFonts w:ascii="Times New Roman" w:hAnsi="Times New Roman" w:cs="Times New Roman"/>
          <w:i/>
          <w:sz w:val="24"/>
          <w:szCs w:val="24"/>
        </w:rPr>
      </w:pPr>
      <w:r w:rsidRPr="008742A3">
        <w:rPr>
          <w:rFonts w:ascii="Times New Roman" w:hAnsi="Times New Roman" w:cs="Times New Roman"/>
          <w:sz w:val="24"/>
          <w:szCs w:val="24"/>
        </w:rPr>
        <w:t>5.1.</w:t>
      </w:r>
      <w:r w:rsidRPr="00096909">
        <w:rPr>
          <w:rFonts w:ascii="Times New Roman" w:hAnsi="Times New Roman" w:cs="Times New Roman"/>
          <w:i/>
          <w:sz w:val="24"/>
          <w:szCs w:val="24"/>
        </w:rPr>
        <w:t xml:space="preserve"> Committenza di libri ai maestri fiorentini dalle corti italiane ed europee.  </w:t>
      </w:r>
    </w:p>
    <w:p w14:paraId="1310027E" w14:textId="77777777" w:rsidR="008742A3" w:rsidRPr="00096909" w:rsidRDefault="008742A3" w:rsidP="008742A3">
      <w:pPr>
        <w:spacing w:after="0" w:line="360" w:lineRule="auto"/>
        <w:jc w:val="both"/>
        <w:rPr>
          <w:rFonts w:ascii="Times New Roman" w:hAnsi="Times New Roman" w:cs="Times New Roman"/>
          <w:sz w:val="24"/>
          <w:szCs w:val="24"/>
        </w:rPr>
      </w:pPr>
    </w:p>
    <w:p w14:paraId="683C5923" w14:textId="77777777" w:rsidR="008742A3" w:rsidRPr="00096909" w:rsidRDefault="008742A3" w:rsidP="008742A3">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Il carattere forse più rilevante della produzione libraria della fucina fiorentina fu la straordinaria capacità dei suoi miniatori di fare proprie le novità introdotte a Firenze dai maestri della scultura e della pittura contemporanee.</w:t>
      </w:r>
    </w:p>
    <w:p w14:paraId="6E348AD9"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Di </w:t>
      </w:r>
      <w:r>
        <w:rPr>
          <w:rFonts w:ascii="Times New Roman" w:hAnsi="Times New Roman" w:cs="Times New Roman"/>
          <w:sz w:val="24"/>
          <w:szCs w:val="24"/>
        </w:rPr>
        <w:t xml:space="preserve">tale </w:t>
      </w:r>
      <w:r w:rsidRPr="00096909">
        <w:rPr>
          <w:rFonts w:ascii="Times New Roman" w:hAnsi="Times New Roman" w:cs="Times New Roman"/>
          <w:sz w:val="24"/>
          <w:szCs w:val="24"/>
        </w:rPr>
        <w:t xml:space="preserve">capacità dettero prova Beato Angelico e Zanobi Strozzi nelle iniziali del </w:t>
      </w:r>
      <w:r w:rsidRPr="00096909">
        <w:rPr>
          <w:rFonts w:ascii="Times New Roman" w:hAnsi="Times New Roman" w:cs="Times New Roman"/>
          <w:i/>
          <w:sz w:val="24"/>
          <w:szCs w:val="24"/>
        </w:rPr>
        <w:t xml:space="preserve">Graduale </w:t>
      </w:r>
      <w:r w:rsidRPr="00096909">
        <w:rPr>
          <w:rFonts w:ascii="Times New Roman" w:hAnsi="Times New Roman" w:cs="Times New Roman"/>
          <w:sz w:val="24"/>
          <w:szCs w:val="24"/>
        </w:rPr>
        <w:t>per il convento di San Domenico a Fiesole, miniato tra il 1424 e il 1430. Vi ritroviamo le luminose cromie della pittura su tavola dell’Angelico, unite a una sapiente ricerca della profondità dei piani spaziali e alla resa naturalistica delle volumetrie.</w:t>
      </w:r>
      <w:r w:rsidRPr="00096909">
        <w:rPr>
          <w:rStyle w:val="Rimandonotaapidipagina"/>
          <w:rFonts w:ascii="Times New Roman" w:hAnsi="Times New Roman" w:cs="Times New Roman"/>
          <w:sz w:val="24"/>
          <w:szCs w:val="24"/>
        </w:rPr>
        <w:footnoteReference w:id="289"/>
      </w:r>
      <w:r w:rsidRPr="00096909">
        <w:rPr>
          <w:rFonts w:ascii="Times New Roman" w:hAnsi="Times New Roman" w:cs="Times New Roman"/>
          <w:sz w:val="24"/>
          <w:szCs w:val="24"/>
        </w:rPr>
        <w:t xml:space="preserve"> Nell’iniziale R del foglio 86v attribuito all’Angelico (fig. 35), che apre l’ufficio dei defunti, ad esempio, si colgono i due momenti della dannazione e dell’ascesa al paradiso delle anime grazie all’articolazione della narrazione in tempi e piani diversi, abitati da figure da</w:t>
      </w:r>
      <w:r>
        <w:rPr>
          <w:rFonts w:ascii="Times New Roman" w:hAnsi="Times New Roman" w:cs="Times New Roman"/>
          <w:sz w:val="24"/>
          <w:szCs w:val="24"/>
        </w:rPr>
        <w:t>lla</w:t>
      </w:r>
      <w:r w:rsidRPr="00096909">
        <w:rPr>
          <w:rFonts w:ascii="Times New Roman" w:hAnsi="Times New Roman" w:cs="Times New Roman"/>
          <w:sz w:val="24"/>
          <w:szCs w:val="24"/>
        </w:rPr>
        <w:t xml:space="preserve"> fisicità ben indagata, memore delle recenti conquiste volumetriche e prospettiche di Masaccio. </w:t>
      </w:r>
    </w:p>
    <w:p w14:paraId="70BF9FB0"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Di questi modi Zanobi Strozzi sarà fedele continuatore nell’impresa dei dieci libri </w:t>
      </w:r>
      <w:r w:rsidRPr="00096909">
        <w:rPr>
          <w:rFonts w:ascii="Times New Roman" w:hAnsi="Times New Roman" w:cs="Times New Roman"/>
          <w:i/>
          <w:sz w:val="24"/>
          <w:szCs w:val="24"/>
        </w:rPr>
        <w:t>Corali</w:t>
      </w:r>
      <w:r w:rsidRPr="00096909">
        <w:rPr>
          <w:rFonts w:ascii="Times New Roman" w:hAnsi="Times New Roman" w:cs="Times New Roman"/>
          <w:sz w:val="24"/>
          <w:szCs w:val="24"/>
        </w:rPr>
        <w:t xml:space="preserve"> per il Convento di San Marco, patrocinata da Cosimo de’ Medici nel periodo 1448-1453, dove l’artista lasciò a Filippo di Matteo Torelli la realizzazione delle cornici e dei bordi per riservarsi la libertà di sperimentare la possibilità di una maggiore resa delle emozioni dei personaggi e di una narrazione più movimentata degli episodi della storia sacra, che segneranno anche i successivi </w:t>
      </w:r>
      <w:r w:rsidRPr="00096909">
        <w:rPr>
          <w:rFonts w:ascii="Times New Roman" w:hAnsi="Times New Roman" w:cs="Times New Roman"/>
          <w:i/>
          <w:sz w:val="24"/>
          <w:szCs w:val="24"/>
        </w:rPr>
        <w:t>Corali</w:t>
      </w:r>
      <w:r w:rsidRPr="00096909">
        <w:rPr>
          <w:rFonts w:ascii="Times New Roman" w:hAnsi="Times New Roman" w:cs="Times New Roman"/>
          <w:sz w:val="24"/>
          <w:szCs w:val="24"/>
        </w:rPr>
        <w:t xml:space="preserve"> per il Duomo di Firenze, commissionati a lui e a Francesco di Antonio del Chierico nel 1458.</w:t>
      </w:r>
      <w:r w:rsidRPr="00096909">
        <w:rPr>
          <w:rStyle w:val="Rimandonotaapidipagina"/>
          <w:rFonts w:ascii="Times New Roman" w:hAnsi="Times New Roman" w:cs="Times New Roman"/>
          <w:sz w:val="24"/>
          <w:szCs w:val="24"/>
        </w:rPr>
        <w:footnoteReference w:id="290"/>
      </w:r>
      <w:r w:rsidRPr="00096909">
        <w:rPr>
          <w:rFonts w:ascii="Times New Roman" w:hAnsi="Times New Roman" w:cs="Times New Roman"/>
          <w:sz w:val="24"/>
          <w:szCs w:val="24"/>
        </w:rPr>
        <w:t xml:space="preserve">  </w:t>
      </w:r>
    </w:p>
    <w:p w14:paraId="025E22B2"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Contemporaneamente al rinnovamento dell’illustrazione operato da Zanobi nei codici liturgici, Torelli propose alcune variazioni alla semplice decorazione a bianchi girari, che popolò di putti, animali e medaglioni con ritratti all’antica.</w:t>
      </w:r>
      <w:r w:rsidRPr="00096909">
        <w:rPr>
          <w:rStyle w:val="Rimandonotaapidipagina"/>
          <w:rFonts w:ascii="Times New Roman" w:hAnsi="Times New Roman" w:cs="Times New Roman"/>
          <w:sz w:val="24"/>
          <w:szCs w:val="24"/>
        </w:rPr>
        <w:footnoteReference w:id="291"/>
      </w:r>
      <w:r w:rsidRPr="00096909">
        <w:rPr>
          <w:rFonts w:ascii="Times New Roman" w:hAnsi="Times New Roman" w:cs="Times New Roman"/>
          <w:sz w:val="24"/>
          <w:szCs w:val="24"/>
        </w:rPr>
        <w:t xml:space="preserve"> </w:t>
      </w:r>
    </w:p>
    <w:p w14:paraId="7065AE99"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 </w:t>
      </w:r>
      <w:r>
        <w:rPr>
          <w:rFonts w:ascii="Times New Roman" w:hAnsi="Times New Roman" w:cs="Times New Roman"/>
          <w:sz w:val="24"/>
          <w:szCs w:val="24"/>
        </w:rPr>
        <w:t xml:space="preserve">quest’ultimo artista </w:t>
      </w:r>
      <w:r w:rsidRPr="00096909">
        <w:rPr>
          <w:rFonts w:ascii="Times New Roman" w:hAnsi="Times New Roman" w:cs="Times New Roman"/>
          <w:sz w:val="24"/>
          <w:szCs w:val="24"/>
        </w:rPr>
        <w:t>si leg</w:t>
      </w:r>
      <w:r>
        <w:rPr>
          <w:rFonts w:ascii="Times New Roman" w:hAnsi="Times New Roman" w:cs="Times New Roman"/>
          <w:sz w:val="24"/>
          <w:szCs w:val="24"/>
        </w:rPr>
        <w:t>ò</w:t>
      </w:r>
      <w:r w:rsidRPr="00096909">
        <w:rPr>
          <w:rFonts w:ascii="Times New Roman" w:hAnsi="Times New Roman" w:cs="Times New Roman"/>
          <w:sz w:val="24"/>
          <w:szCs w:val="24"/>
        </w:rPr>
        <w:t xml:space="preserve"> inoltre l’attività giovanile di Ricciardo di Nanni, artista apprezzato da Giovanni e da Cosimo de’ Medici, che gli permisero l’accesso alle loro raccolte antiquarie, puntualmente citate nel decoro di diversi manoscritti, come </w:t>
      </w:r>
      <w:r>
        <w:rPr>
          <w:rFonts w:ascii="Times New Roman" w:hAnsi="Times New Roman" w:cs="Times New Roman"/>
          <w:sz w:val="24"/>
          <w:szCs w:val="24"/>
        </w:rPr>
        <w:t>quello del</w:t>
      </w:r>
      <w:r w:rsidRPr="00096909">
        <w:rPr>
          <w:rFonts w:ascii="Times New Roman" w:hAnsi="Times New Roman" w:cs="Times New Roman"/>
          <w:sz w:val="24"/>
          <w:szCs w:val="24"/>
        </w:rPr>
        <w:t xml:space="preserve"> Plinio per Piero de</w:t>
      </w:r>
      <w:r w:rsidR="00B52651">
        <w:rPr>
          <w:rFonts w:ascii="Times New Roman" w:hAnsi="Times New Roman" w:cs="Times New Roman"/>
          <w:sz w:val="24"/>
          <w:szCs w:val="24"/>
        </w:rPr>
        <w:t>’</w:t>
      </w:r>
      <w:r w:rsidRPr="00096909">
        <w:rPr>
          <w:rFonts w:ascii="Times New Roman" w:hAnsi="Times New Roman" w:cs="Times New Roman"/>
          <w:sz w:val="24"/>
          <w:szCs w:val="24"/>
        </w:rPr>
        <w:t xml:space="preserve"> Medici del 1458, oggi alla Laurenziana.</w:t>
      </w:r>
      <w:r w:rsidRPr="00096909">
        <w:rPr>
          <w:rStyle w:val="Rimandonotaapidipagina"/>
          <w:rFonts w:ascii="Times New Roman" w:hAnsi="Times New Roman" w:cs="Times New Roman"/>
          <w:sz w:val="24"/>
          <w:szCs w:val="24"/>
        </w:rPr>
        <w:footnoteReference w:id="292"/>
      </w:r>
      <w:r w:rsidRPr="00096909">
        <w:rPr>
          <w:rFonts w:ascii="Times New Roman" w:hAnsi="Times New Roman" w:cs="Times New Roman"/>
          <w:sz w:val="24"/>
          <w:szCs w:val="24"/>
        </w:rPr>
        <w:t xml:space="preserve">  </w:t>
      </w:r>
    </w:p>
    <w:p w14:paraId="07E81CAC"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Nella prima metà del secolo questo fervore di rinnovo grafico del libro fiorentino fu esposto a una visibilità internazionale grazie al concorso in città di prelati e chierici da ogni parte d’Europa per prendere parte ai lavori del Concilio del 1439. Lo stesso Eugenio IV, nel periodo della residenza fiorentina della </w:t>
      </w:r>
      <w:r>
        <w:rPr>
          <w:rFonts w:ascii="Times New Roman" w:hAnsi="Times New Roman" w:cs="Times New Roman"/>
          <w:sz w:val="24"/>
          <w:szCs w:val="24"/>
        </w:rPr>
        <w:t xml:space="preserve">sua </w:t>
      </w:r>
      <w:r w:rsidRPr="00096909">
        <w:rPr>
          <w:rFonts w:ascii="Times New Roman" w:hAnsi="Times New Roman" w:cs="Times New Roman"/>
          <w:sz w:val="24"/>
          <w:szCs w:val="24"/>
        </w:rPr>
        <w:t>curia, richiese l’acquisto di diversi codici, come attesta la frequenza della segnalazione di legature fiorentine nell’inventario dei suoi libri steso dopo il suo ritorno a Roma nel 1443. Grazie alla mediazione di Vespasiano da Bisticci, Tommaso Parentucelli e Andrew Holes, osservatore del re d’Inghilterra, acquisirono diversi manoscritti e reperirono calligrafi esperti cui affidare la copia di testi per le loro biblioteche</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e </w:t>
      </w:r>
      <w:r w:rsidRPr="00096909">
        <w:rPr>
          <w:rFonts w:ascii="Times New Roman" w:hAnsi="Times New Roman" w:cs="Times New Roman"/>
          <w:sz w:val="24"/>
          <w:szCs w:val="24"/>
        </w:rPr>
        <w:t>anche il nobile spagnolo Nuño de Guzmán, viaggiatore letterato in rapporti con umanisti di primo piano come Giannozzo Manetti, iniziò a servirsi negli stessi anni presso il celebre cartolaio fiorentino.</w:t>
      </w:r>
      <w:r w:rsidRPr="00096909">
        <w:rPr>
          <w:rStyle w:val="Rimandonotaapidipagina"/>
          <w:rFonts w:ascii="Times New Roman" w:hAnsi="Times New Roman" w:cs="Times New Roman"/>
          <w:sz w:val="24"/>
          <w:szCs w:val="24"/>
        </w:rPr>
        <w:footnoteReference w:id="293"/>
      </w:r>
      <w:r w:rsidRPr="00096909">
        <w:rPr>
          <w:rFonts w:ascii="Times New Roman" w:hAnsi="Times New Roman" w:cs="Times New Roman"/>
          <w:sz w:val="24"/>
          <w:szCs w:val="24"/>
        </w:rPr>
        <w:t xml:space="preserve"> </w:t>
      </w:r>
    </w:p>
    <w:p w14:paraId="6EA0AB0D"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È però con il sesto decennio del Quattrocento che la fucina fiorentina, anche in virtù delle importanti relazioni diplomatiche medicee, raggiunse la sua massima notorietà e attirò le clientele di maggior prestigio europeo. Protagonista di questa stagione fu Francesco di Antonio del Chierico.</w:t>
      </w:r>
      <w:r w:rsidRPr="00096909">
        <w:rPr>
          <w:rStyle w:val="Rimandonotaapidipagina"/>
          <w:rFonts w:ascii="Times New Roman" w:hAnsi="Times New Roman" w:cs="Times New Roman"/>
          <w:sz w:val="24"/>
          <w:szCs w:val="24"/>
        </w:rPr>
        <w:footnoteReference w:id="294"/>
      </w:r>
      <w:r w:rsidRPr="00096909">
        <w:rPr>
          <w:rFonts w:ascii="Times New Roman" w:hAnsi="Times New Roman" w:cs="Times New Roman"/>
          <w:sz w:val="24"/>
          <w:szCs w:val="24"/>
        </w:rPr>
        <w:t xml:space="preserve"> Artista strettamente legato ai Medici, dopo un iniziale apprendistato come orafo, nel 1457 venne richiesto dal vescovo Donato Medici per la decorazione dei </w:t>
      </w:r>
      <w:r w:rsidRPr="00096909">
        <w:rPr>
          <w:rFonts w:ascii="Times New Roman" w:hAnsi="Times New Roman" w:cs="Times New Roman"/>
          <w:i/>
          <w:sz w:val="24"/>
          <w:szCs w:val="24"/>
        </w:rPr>
        <w:t>Corali</w:t>
      </w:r>
      <w:r w:rsidRPr="00096909">
        <w:rPr>
          <w:rFonts w:ascii="Times New Roman" w:hAnsi="Times New Roman" w:cs="Times New Roman"/>
          <w:sz w:val="24"/>
          <w:szCs w:val="24"/>
        </w:rPr>
        <w:t xml:space="preserve"> per il Duomo di Pistoia, e nel 1461 da Cosimo il Vecchio per quelli della Badia di Fiesole. Dal 1463 fu operativo sulle pagine dei </w:t>
      </w:r>
      <w:r w:rsidRPr="00096909">
        <w:rPr>
          <w:rFonts w:ascii="Times New Roman" w:hAnsi="Times New Roman" w:cs="Times New Roman"/>
          <w:i/>
          <w:sz w:val="24"/>
          <w:szCs w:val="24"/>
        </w:rPr>
        <w:t>Corali</w:t>
      </w:r>
      <w:r w:rsidRPr="00096909">
        <w:rPr>
          <w:rFonts w:ascii="Times New Roman" w:hAnsi="Times New Roman" w:cs="Times New Roman"/>
          <w:sz w:val="24"/>
          <w:szCs w:val="24"/>
        </w:rPr>
        <w:t xml:space="preserve"> di Santa Maria del Fiore. Influenzato nel minio d</w:t>
      </w:r>
      <w:r>
        <w:rPr>
          <w:rFonts w:ascii="Times New Roman" w:hAnsi="Times New Roman" w:cs="Times New Roman"/>
          <w:sz w:val="24"/>
          <w:szCs w:val="24"/>
        </w:rPr>
        <w:t xml:space="preserve">elle </w:t>
      </w:r>
      <w:r w:rsidRPr="00096909">
        <w:rPr>
          <w:rFonts w:ascii="Times New Roman" w:hAnsi="Times New Roman" w:cs="Times New Roman"/>
          <w:sz w:val="24"/>
          <w:szCs w:val="24"/>
        </w:rPr>
        <w:t xml:space="preserve">opere di destinazione liturgica dal disegno nitido e dalla brillante tavolozza di Zanobi Strozzi, del Chierico riservò una fantasia animata di citazioni antiquarie alle pagine dei testi dei classici, per i quali ricevette </w:t>
      </w:r>
      <w:r w:rsidRPr="00096909">
        <w:rPr>
          <w:rFonts w:ascii="Times New Roman" w:hAnsi="Times New Roman" w:cs="Times New Roman"/>
          <w:sz w:val="24"/>
          <w:szCs w:val="24"/>
        </w:rPr>
        <w:lastRenderedPageBreak/>
        <w:t>importanti committenze; come</w:t>
      </w:r>
      <w:r w:rsidRPr="00096909">
        <w:rPr>
          <w:rFonts w:ascii="Times New Roman" w:hAnsi="Times New Roman" w:cs="Times New Roman"/>
          <w:i/>
          <w:sz w:val="24"/>
          <w:szCs w:val="24"/>
        </w:rPr>
        <w:t xml:space="preserve"> </w:t>
      </w:r>
      <w:r w:rsidRPr="00096909">
        <w:rPr>
          <w:rFonts w:ascii="Times New Roman" w:hAnsi="Times New Roman" w:cs="Times New Roman"/>
          <w:sz w:val="24"/>
          <w:szCs w:val="24"/>
        </w:rPr>
        <w:t xml:space="preserve">quella di Alfonso d’Aragona nel 1455 per i volumi delle </w:t>
      </w:r>
      <w:r w:rsidRPr="00096909">
        <w:rPr>
          <w:rFonts w:ascii="Times New Roman" w:hAnsi="Times New Roman" w:cs="Times New Roman"/>
          <w:i/>
          <w:sz w:val="24"/>
          <w:szCs w:val="24"/>
        </w:rPr>
        <w:t>Decadi</w:t>
      </w:r>
      <w:r w:rsidRPr="00096909">
        <w:rPr>
          <w:rFonts w:ascii="Times New Roman" w:hAnsi="Times New Roman" w:cs="Times New Roman"/>
          <w:sz w:val="24"/>
          <w:szCs w:val="24"/>
        </w:rPr>
        <w:t xml:space="preserve"> di Tito Livio o quella dell’esemplare di dedica della </w:t>
      </w:r>
      <w:r w:rsidRPr="00096909">
        <w:rPr>
          <w:rFonts w:ascii="Times New Roman" w:hAnsi="Times New Roman" w:cs="Times New Roman"/>
          <w:i/>
          <w:sz w:val="24"/>
          <w:szCs w:val="24"/>
        </w:rPr>
        <w:t>Vita Caroli Magni</w:t>
      </w:r>
      <w:r w:rsidRPr="00096909">
        <w:rPr>
          <w:rFonts w:ascii="Times New Roman" w:hAnsi="Times New Roman" w:cs="Times New Roman"/>
          <w:sz w:val="24"/>
          <w:szCs w:val="24"/>
        </w:rPr>
        <w:t xml:space="preserve"> di Donato Acciai</w:t>
      </w:r>
      <w:r w:rsidR="002B023B">
        <w:rPr>
          <w:rFonts w:ascii="Times New Roman" w:hAnsi="Times New Roman" w:cs="Times New Roman"/>
          <w:sz w:val="24"/>
          <w:szCs w:val="24"/>
        </w:rPr>
        <w:t>u</w:t>
      </w:r>
      <w:r w:rsidRPr="00096909">
        <w:rPr>
          <w:rFonts w:ascii="Times New Roman" w:hAnsi="Times New Roman" w:cs="Times New Roman"/>
          <w:sz w:val="24"/>
          <w:szCs w:val="24"/>
        </w:rPr>
        <w:t xml:space="preserve">oli </w:t>
      </w:r>
      <w:r w:rsidR="002B023B">
        <w:rPr>
          <w:rFonts w:ascii="Times New Roman" w:hAnsi="Times New Roman" w:cs="Times New Roman"/>
          <w:sz w:val="24"/>
          <w:szCs w:val="24"/>
        </w:rPr>
        <w:t>presentato</w:t>
      </w:r>
      <w:r w:rsidRPr="00096909">
        <w:rPr>
          <w:rFonts w:ascii="Times New Roman" w:hAnsi="Times New Roman" w:cs="Times New Roman"/>
          <w:sz w:val="24"/>
          <w:szCs w:val="24"/>
        </w:rPr>
        <w:t xml:space="preserve"> a Luigi XI il 2 gennaio 1461 dalla Repubblica di Firenze nel corso dell’ambasceria gratulatoria inviata per la sua incoronazione.</w:t>
      </w:r>
      <w:r w:rsidRPr="00096909">
        <w:rPr>
          <w:rStyle w:val="Rimandonotaapidipagina"/>
          <w:rFonts w:ascii="Times New Roman" w:hAnsi="Times New Roman" w:cs="Times New Roman"/>
          <w:sz w:val="24"/>
          <w:szCs w:val="24"/>
        </w:rPr>
        <w:footnoteReference w:id="295"/>
      </w:r>
      <w:r w:rsidRPr="00096909">
        <w:rPr>
          <w:rFonts w:ascii="Times New Roman" w:hAnsi="Times New Roman" w:cs="Times New Roman"/>
          <w:sz w:val="24"/>
          <w:szCs w:val="24"/>
        </w:rPr>
        <w:t xml:space="preserve"> L’offerta del manoscritto, una biografia del re dei franchi fondatore del Sacro Romano Impero, dove</w:t>
      </w:r>
      <w:r>
        <w:rPr>
          <w:rFonts w:ascii="Times New Roman" w:hAnsi="Times New Roman" w:cs="Times New Roman"/>
          <w:sz w:val="24"/>
          <w:szCs w:val="24"/>
        </w:rPr>
        <w:t>tte</w:t>
      </w:r>
      <w:r w:rsidRPr="00096909">
        <w:rPr>
          <w:rFonts w:ascii="Times New Roman" w:hAnsi="Times New Roman" w:cs="Times New Roman"/>
          <w:sz w:val="24"/>
          <w:szCs w:val="24"/>
        </w:rPr>
        <w:t xml:space="preserve"> porsi quale dono diplomatico di raffinata fattura, capace di confermare i buoni rapporti tra i due stati e di attirare la benevolenza del re per mezzo sia della rievocazione della leggendaria rifondazione di Firenze operata da Carlo Magno dopo le invasioni barbariche, sia delle lussuose miniature che illustravano le gesta del grande antenato.</w:t>
      </w:r>
      <w:r w:rsidRPr="00096909">
        <w:rPr>
          <w:rStyle w:val="Rimandonotaapidipagina"/>
          <w:rFonts w:ascii="Times New Roman" w:hAnsi="Times New Roman" w:cs="Times New Roman"/>
          <w:sz w:val="24"/>
          <w:szCs w:val="24"/>
        </w:rPr>
        <w:footnoteReference w:id="296"/>
      </w:r>
    </w:p>
    <w:p w14:paraId="24CF173F"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L’impresa più importante compiuta da Francesco d’Antonio del Chierico fu però l’illustrazione della monumentale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di Federico da Montefeltro. Per quest’opera, tra il 1476 e il 1478, Vespasiano da Bisticci riunì un’equipe di professionisti del libro della quale fecero parte, insieme al calligrafo francese Hugo de Comminellis</w:t>
      </w:r>
      <w:r>
        <w:rPr>
          <w:rFonts w:ascii="Times New Roman" w:hAnsi="Times New Roman" w:cs="Times New Roman"/>
          <w:sz w:val="24"/>
          <w:szCs w:val="24"/>
        </w:rPr>
        <w:t>,</w:t>
      </w:r>
      <w:r w:rsidRPr="00096909">
        <w:rPr>
          <w:rFonts w:ascii="Times New Roman" w:hAnsi="Times New Roman" w:cs="Times New Roman"/>
          <w:sz w:val="24"/>
          <w:szCs w:val="24"/>
        </w:rPr>
        <w:t xml:space="preserve"> il Maestro del Senofonte Hamilton, </w:t>
      </w:r>
      <w:bookmarkStart w:id="236" w:name="_Hlk535870597"/>
      <w:r w:rsidRPr="00096909">
        <w:rPr>
          <w:rFonts w:ascii="Times New Roman" w:hAnsi="Times New Roman" w:cs="Times New Roman"/>
          <w:sz w:val="24"/>
          <w:szCs w:val="24"/>
        </w:rPr>
        <w:t>Francesco Rosselli</w:t>
      </w:r>
      <w:bookmarkEnd w:id="236"/>
      <w:r w:rsidRPr="00096909">
        <w:rPr>
          <w:rFonts w:ascii="Times New Roman" w:hAnsi="Times New Roman" w:cs="Times New Roman"/>
          <w:sz w:val="24"/>
          <w:szCs w:val="24"/>
        </w:rPr>
        <w:t xml:space="preserve">, l’esordiente Attavante degli Attavanti e per l’appunto Francesco, cui pare spettassero il coordinamento dei lavori, l’estensione del programma iconografico e la realizzazione della maggior parte delle miniature della </w:t>
      </w:r>
      <w:r w:rsidRPr="00096909">
        <w:rPr>
          <w:rFonts w:ascii="Times New Roman" w:hAnsi="Times New Roman" w:cs="Times New Roman"/>
          <w:i/>
          <w:sz w:val="24"/>
          <w:szCs w:val="24"/>
        </w:rPr>
        <w:t>Genesi</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297"/>
      </w:r>
    </w:p>
    <w:p w14:paraId="37BB99BD"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Le influenze della cultura pittorica fiorentina contemporanea sulle illustrazioni della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federiciana sono state a più riprese messe in luce dalla critica e si sono persino supposti interventi di </w:t>
      </w:r>
      <w:bookmarkStart w:id="237" w:name="_Hlk535870659"/>
      <w:r w:rsidRPr="00096909">
        <w:rPr>
          <w:rFonts w:ascii="Times New Roman" w:hAnsi="Times New Roman" w:cs="Times New Roman"/>
          <w:sz w:val="24"/>
          <w:szCs w:val="24"/>
        </w:rPr>
        <w:t xml:space="preserve">Domenico Ghirlandaio </w:t>
      </w:r>
      <w:bookmarkEnd w:id="237"/>
      <w:r w:rsidRPr="00096909">
        <w:rPr>
          <w:rFonts w:ascii="Times New Roman" w:hAnsi="Times New Roman" w:cs="Times New Roman"/>
          <w:sz w:val="24"/>
          <w:szCs w:val="24"/>
        </w:rPr>
        <w:t xml:space="preserve">nei due volumi del libro. Un’analisi del magnifico risultato conseguito sarebbe impossibile in questa sede, dove ci limiteremo a sottolineare la capacità della squadra di artisti che lo realizzarono di trasmettere fuori Firenze la cultura figurativa fiorentina. Si pensi al </w:t>
      </w:r>
      <w:bookmarkStart w:id="238" w:name="_Hlk528595055"/>
      <w:r w:rsidRPr="00096909">
        <w:rPr>
          <w:rFonts w:ascii="Times New Roman" w:hAnsi="Times New Roman" w:cs="Times New Roman"/>
          <w:i/>
          <w:sz w:val="24"/>
          <w:szCs w:val="24"/>
        </w:rPr>
        <w:t>Martirio dei sette fratelli ebrei</w:t>
      </w:r>
      <w:r w:rsidRPr="00096909">
        <w:rPr>
          <w:rFonts w:ascii="Times New Roman" w:hAnsi="Times New Roman" w:cs="Times New Roman"/>
          <w:sz w:val="24"/>
          <w:szCs w:val="24"/>
        </w:rPr>
        <w:t xml:space="preserve"> </w:t>
      </w:r>
      <w:bookmarkEnd w:id="238"/>
      <w:r w:rsidRPr="00096909">
        <w:rPr>
          <w:rFonts w:ascii="Times New Roman" w:hAnsi="Times New Roman" w:cs="Times New Roman"/>
          <w:sz w:val="24"/>
          <w:szCs w:val="24"/>
        </w:rPr>
        <w:t>eseguito da Attavante per l’incipit del I Libro dei Maccabei (fig.</w:t>
      </w:r>
      <w:r>
        <w:rPr>
          <w:rFonts w:ascii="Times New Roman" w:hAnsi="Times New Roman" w:cs="Times New Roman"/>
          <w:sz w:val="24"/>
          <w:szCs w:val="24"/>
        </w:rPr>
        <w:t xml:space="preserve"> </w:t>
      </w:r>
      <w:r w:rsidRPr="00096909">
        <w:rPr>
          <w:rFonts w:ascii="Times New Roman" w:hAnsi="Times New Roman" w:cs="Times New Roman"/>
          <w:sz w:val="24"/>
          <w:szCs w:val="24"/>
        </w:rPr>
        <w:t>36).</w:t>
      </w:r>
      <w:r w:rsidRPr="00096909">
        <w:rPr>
          <w:rStyle w:val="Rimandonotaapidipagina"/>
          <w:rFonts w:ascii="Times New Roman" w:hAnsi="Times New Roman" w:cs="Times New Roman"/>
          <w:sz w:val="24"/>
          <w:szCs w:val="24"/>
        </w:rPr>
        <w:footnoteReference w:id="298"/>
      </w:r>
      <w:r w:rsidRPr="00096909">
        <w:rPr>
          <w:rFonts w:ascii="Times New Roman" w:hAnsi="Times New Roman" w:cs="Times New Roman"/>
          <w:sz w:val="24"/>
          <w:szCs w:val="24"/>
        </w:rPr>
        <w:t xml:space="preserve"> L’impostazione orizzontale delle scene, già adottata da del Chierico per ampliare lo spazio </w:t>
      </w:r>
      <w:r w:rsidRPr="00096909">
        <w:rPr>
          <w:rFonts w:ascii="Times New Roman" w:hAnsi="Times New Roman" w:cs="Times New Roman"/>
          <w:sz w:val="24"/>
          <w:szCs w:val="24"/>
        </w:rPr>
        <w:lastRenderedPageBreak/>
        <w:t xml:space="preserve">narrativo, permette qui di ritrarre i momenti della condanna dei fratelli da parte del re e della loro fustigazione sullo sfondo di un paesaggio naturale molto profondo e di un profilo cittadino evidentemente fiorentino, sul quale svetta la cupola di Santa Maria del Fiore. Nella dolce gestualità dei personaggi è ravvisabile inoltre l’eloquenza delle figure di Ghirlandaio e di Filippino Lippi, perfettamente rielaborata per la narrazione del drammatico episodio. </w:t>
      </w:r>
    </w:p>
    <w:p w14:paraId="3305B6EF" w14:textId="77777777" w:rsidR="008742A3" w:rsidRDefault="008742A3" w:rsidP="008742A3">
      <w:pPr>
        <w:spacing w:after="0" w:line="360" w:lineRule="auto"/>
        <w:ind w:firstLine="397"/>
        <w:jc w:val="both"/>
        <w:rPr>
          <w:rFonts w:ascii="Times New Roman" w:hAnsi="Times New Roman" w:cs="Times New Roman"/>
          <w:sz w:val="24"/>
        </w:rPr>
      </w:pPr>
      <w:r w:rsidRPr="00096909">
        <w:rPr>
          <w:rFonts w:ascii="Times New Roman" w:hAnsi="Times New Roman" w:cs="Times New Roman"/>
          <w:sz w:val="24"/>
          <w:szCs w:val="24"/>
        </w:rPr>
        <w:t xml:space="preserve">Se nei volumi della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del Chierico si riservò l’illustrazione dei momenti della storia sacra, Francesco Rosselli fu invece dedito all’ornato dei bordi, il quale presenta diverse affinità con la contemporanea tecnica orafa dello sbalzo. Fratello del più celebre Cosimo Rosselli, Francesco compì il suo apprendistato di miniatore presso il Chierico ed ebbe quale propria cifra distintiva una spiccata abilità ritrattistica.</w:t>
      </w:r>
      <w:r w:rsidRPr="00096909">
        <w:rPr>
          <w:rStyle w:val="Rimandonotaapidipagina"/>
          <w:rFonts w:ascii="Times New Roman" w:hAnsi="Times New Roman" w:cs="Times New Roman"/>
          <w:sz w:val="24"/>
          <w:szCs w:val="24"/>
        </w:rPr>
        <w:footnoteReference w:id="299"/>
      </w:r>
      <w:r w:rsidRPr="00096909">
        <w:rPr>
          <w:rFonts w:ascii="Times New Roman" w:hAnsi="Times New Roman" w:cs="Times New Roman"/>
          <w:sz w:val="24"/>
          <w:szCs w:val="24"/>
        </w:rPr>
        <w:t xml:space="preserve"> Maestro ricercatissimo da importanti committenti, Rosselli miniò per Alfonso di Calabria </w:t>
      </w:r>
      <w:r w:rsidRPr="00096909">
        <w:rPr>
          <w:rFonts w:ascii="Times New Roman" w:hAnsi="Times New Roman" w:cs="Times New Roman"/>
          <w:sz w:val="24"/>
        </w:rPr>
        <w:t xml:space="preserve">una traduzione latina di Pietro di Angelo da Scarperia della </w:t>
      </w:r>
      <w:r w:rsidRPr="00096909">
        <w:rPr>
          <w:rFonts w:ascii="Times New Roman" w:hAnsi="Times New Roman" w:cs="Times New Roman"/>
          <w:i/>
          <w:sz w:val="24"/>
        </w:rPr>
        <w:t>Cosmographia</w:t>
      </w:r>
      <w:r w:rsidRPr="00096909">
        <w:rPr>
          <w:rFonts w:ascii="Times New Roman" w:hAnsi="Times New Roman" w:cs="Times New Roman"/>
          <w:sz w:val="24"/>
        </w:rPr>
        <w:t xml:space="preserve"> di Tolomeo, corredata dalle carte geografiche di Pietro del Massaio, che esemplifica perfettamente i tratti distintivi della sua arte che conquistarono le corti di Urbino e di Napoli.</w:t>
      </w:r>
      <w:r w:rsidRPr="00096909">
        <w:rPr>
          <w:rStyle w:val="Rimandonotaapidipagina"/>
          <w:rFonts w:ascii="Times New Roman" w:hAnsi="Times New Roman" w:cs="Times New Roman"/>
          <w:sz w:val="24"/>
        </w:rPr>
        <w:footnoteReference w:id="300"/>
      </w:r>
      <w:r w:rsidRPr="00096909">
        <w:rPr>
          <w:rFonts w:ascii="Times New Roman" w:hAnsi="Times New Roman" w:cs="Times New Roman"/>
          <w:sz w:val="24"/>
        </w:rPr>
        <w:t xml:space="preserve"> Nell’antiporta, al foglio 1r, su di uno sfondo purpureo una fine cornice architettonica inquadra il titolo dell’opera, scritto in lettere capitali d’oro su fondo nero (fig. 37). Il frontespizio del secondo foglio presenta invece un fregio a racemi, dove tra gli stemmi e le imprese aragonesi prende posto il ritratto di Tolomeo. L’iniziale mostra infine il traduttore nell’atto di offrire il suo scritto a papa Alessandro V. Il manoscritto non è datato, ma poiché l’attività di cartografo di Pietro del Massaio è documentata fino al 1480 si </w:t>
      </w:r>
      <w:r>
        <w:rPr>
          <w:rFonts w:ascii="Times New Roman" w:hAnsi="Times New Roman" w:cs="Times New Roman"/>
          <w:sz w:val="24"/>
        </w:rPr>
        <w:t>presume</w:t>
      </w:r>
      <w:r w:rsidRPr="00096909">
        <w:rPr>
          <w:rFonts w:ascii="Times New Roman" w:hAnsi="Times New Roman" w:cs="Times New Roman"/>
          <w:sz w:val="24"/>
        </w:rPr>
        <w:t xml:space="preserve"> che anche l’esecuzione delle mappe del Tolomeo aragonese vada collocata entro </w:t>
      </w:r>
      <w:r>
        <w:rPr>
          <w:rFonts w:ascii="Times New Roman" w:hAnsi="Times New Roman" w:cs="Times New Roman"/>
          <w:sz w:val="24"/>
        </w:rPr>
        <w:t xml:space="preserve">tale </w:t>
      </w:r>
      <w:r w:rsidRPr="00096909">
        <w:rPr>
          <w:rFonts w:ascii="Times New Roman" w:hAnsi="Times New Roman" w:cs="Times New Roman"/>
          <w:sz w:val="24"/>
        </w:rPr>
        <w:t xml:space="preserve">data. </w:t>
      </w:r>
    </w:p>
    <w:p w14:paraId="7D47CF67" w14:textId="77777777" w:rsidR="008742A3" w:rsidRPr="009C6484"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rPr>
        <w:t xml:space="preserve">Al foglio 132v troviamo poi un particolare curioso ma utile a illustrare quanto stiamo affermando sull’importanza del libro fiorentino nel Quattrocento. Si tratta di una pianta di Firenze nella quale sono segnalati i luoghi più importanti della città. Tra questi, nel quartiere d’Oltrarno, a lato di Ponte Vecchio, spicca la casa di Vespasiano da Bisticci, mediatore dell’ordinazione di questo raffinato codice, la cui bottega, sita in via del Proconsolo, appariva pertanto, anche al centro della </w:t>
      </w:r>
      <w:r w:rsidRPr="00096909">
        <w:rPr>
          <w:rFonts w:ascii="Times New Roman" w:hAnsi="Times New Roman" w:cs="Times New Roman"/>
          <w:i/>
          <w:sz w:val="24"/>
        </w:rPr>
        <w:t>Cosmographia</w:t>
      </w:r>
      <w:r w:rsidRPr="00096909">
        <w:rPr>
          <w:rFonts w:ascii="Times New Roman" w:hAnsi="Times New Roman" w:cs="Times New Roman"/>
          <w:sz w:val="24"/>
        </w:rPr>
        <w:t xml:space="preserve">, come il cuore del mercato del libro europeo rinascimentale (fig. 38). </w:t>
      </w:r>
    </w:p>
    <w:p w14:paraId="46ECA7CA"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Dell’eccellenza qualitativa dei manufatti prodotti dagli artisti coordinati da Vespasiano</w:t>
      </w:r>
      <w:r>
        <w:rPr>
          <w:rFonts w:ascii="Times New Roman" w:hAnsi="Times New Roman" w:cs="Times New Roman"/>
          <w:sz w:val="24"/>
          <w:szCs w:val="24"/>
        </w:rPr>
        <w:t>,</w:t>
      </w:r>
      <w:r w:rsidRPr="00096909">
        <w:rPr>
          <w:rFonts w:ascii="Times New Roman" w:hAnsi="Times New Roman" w:cs="Times New Roman"/>
          <w:sz w:val="24"/>
          <w:szCs w:val="24"/>
        </w:rPr>
        <w:t xml:space="preserve"> del resto</w:t>
      </w:r>
      <w:r>
        <w:rPr>
          <w:rFonts w:ascii="Times New Roman" w:hAnsi="Times New Roman" w:cs="Times New Roman"/>
          <w:sz w:val="24"/>
          <w:szCs w:val="24"/>
        </w:rPr>
        <w:t>,</w:t>
      </w:r>
      <w:r w:rsidRPr="00096909">
        <w:rPr>
          <w:rFonts w:ascii="Times New Roman" w:hAnsi="Times New Roman" w:cs="Times New Roman"/>
          <w:sz w:val="24"/>
          <w:szCs w:val="24"/>
        </w:rPr>
        <w:t xml:space="preserve"> si era accorto anche il re d’Ungheria Mattia Corvino, che tra il 1480 e il 1482 volle alla corte </w:t>
      </w:r>
      <w:r w:rsidRPr="00096909">
        <w:rPr>
          <w:rFonts w:ascii="Times New Roman" w:hAnsi="Times New Roman" w:cs="Times New Roman"/>
          <w:sz w:val="24"/>
          <w:szCs w:val="24"/>
        </w:rPr>
        <w:lastRenderedPageBreak/>
        <w:t xml:space="preserve">di Buda il Rosselli per aggiornare le maestranze operanti nello </w:t>
      </w:r>
      <w:r w:rsidRPr="00096909">
        <w:rPr>
          <w:rFonts w:ascii="Times New Roman" w:hAnsi="Times New Roman" w:cs="Times New Roman"/>
          <w:i/>
          <w:sz w:val="24"/>
          <w:szCs w:val="24"/>
        </w:rPr>
        <w:t>scriptorium</w:t>
      </w:r>
      <w:r w:rsidRPr="00096909">
        <w:rPr>
          <w:rFonts w:ascii="Times New Roman" w:hAnsi="Times New Roman" w:cs="Times New Roman"/>
          <w:sz w:val="24"/>
          <w:szCs w:val="24"/>
        </w:rPr>
        <w:t xml:space="preserve"> del suo palazzo sullo stile decorativo fiorentino.</w:t>
      </w:r>
      <w:r w:rsidRPr="00096909">
        <w:rPr>
          <w:rStyle w:val="Rimandonotaapidipagina"/>
          <w:rFonts w:ascii="Times New Roman" w:hAnsi="Times New Roman" w:cs="Times New Roman"/>
          <w:sz w:val="24"/>
          <w:szCs w:val="24"/>
        </w:rPr>
        <w:footnoteReference w:id="301"/>
      </w:r>
      <w:r w:rsidRPr="00096909">
        <w:rPr>
          <w:rFonts w:ascii="Times New Roman" w:hAnsi="Times New Roman" w:cs="Times New Roman"/>
          <w:sz w:val="24"/>
          <w:szCs w:val="24"/>
        </w:rPr>
        <w:t xml:space="preserve"> </w:t>
      </w:r>
      <w:r>
        <w:rPr>
          <w:rFonts w:ascii="Times New Roman" w:hAnsi="Times New Roman" w:cs="Times New Roman"/>
          <w:sz w:val="24"/>
          <w:szCs w:val="24"/>
        </w:rPr>
        <w:t>I</w:t>
      </w:r>
      <w:r w:rsidRPr="00096909">
        <w:rPr>
          <w:rFonts w:ascii="Times New Roman" w:hAnsi="Times New Roman" w:cs="Times New Roman"/>
          <w:sz w:val="24"/>
          <w:szCs w:val="24"/>
        </w:rPr>
        <w:t>noltre</w:t>
      </w:r>
      <w:r>
        <w:rPr>
          <w:rFonts w:ascii="Times New Roman" w:hAnsi="Times New Roman" w:cs="Times New Roman"/>
          <w:sz w:val="24"/>
          <w:szCs w:val="24"/>
        </w:rPr>
        <w:t>,</w:t>
      </w:r>
      <w:r w:rsidRPr="00096909">
        <w:rPr>
          <w:rFonts w:ascii="Times New Roman" w:hAnsi="Times New Roman" w:cs="Times New Roman"/>
          <w:sz w:val="24"/>
          <w:szCs w:val="24"/>
        </w:rPr>
        <w:t xml:space="preserve"> dal 1485 il sovrano dispose l’acquisto di un’ingente quantità di manoscritti prodotti a Firenze, servendosi della collaborazione del proprio bibliotecario, Taddeo Ugoletti, e contando sull’esenzione dai dazi e sulle agevolazioni per l’importazione di beni di lusso ottenute grazie alle buone relazione intessute con Lorenzo de’ Medici.</w:t>
      </w:r>
      <w:r w:rsidRPr="00096909">
        <w:rPr>
          <w:rStyle w:val="Rimandonotaapidipagina"/>
          <w:rFonts w:ascii="Times New Roman" w:hAnsi="Times New Roman" w:cs="Times New Roman"/>
          <w:sz w:val="24"/>
          <w:szCs w:val="24"/>
        </w:rPr>
        <w:footnoteReference w:id="302"/>
      </w:r>
    </w:p>
    <w:p w14:paraId="7FEDD682"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Tra i maestri operanti per la biblioteca del re si distinsero in particolare i fratelli </w:t>
      </w:r>
      <w:bookmarkStart w:id="241" w:name="_Hlk535871125"/>
      <w:r w:rsidRPr="00096909">
        <w:rPr>
          <w:rFonts w:ascii="Times New Roman" w:hAnsi="Times New Roman" w:cs="Times New Roman"/>
          <w:sz w:val="24"/>
          <w:szCs w:val="24"/>
        </w:rPr>
        <w:t>Gherardo e Monte di Giovanni</w:t>
      </w:r>
      <w:bookmarkEnd w:id="241"/>
      <w:r w:rsidRPr="00096909">
        <w:rPr>
          <w:rFonts w:ascii="Times New Roman" w:hAnsi="Times New Roman" w:cs="Times New Roman"/>
          <w:sz w:val="24"/>
          <w:szCs w:val="24"/>
        </w:rPr>
        <w:t>, dei quali il linguaggio artistico rivela di aver recepito tanto le novità della pittura fiorentina degli anni Settanta del secolo, quanto le contaminazioni con le coeve culture artistiche fiamming</w:t>
      </w:r>
      <w:r>
        <w:rPr>
          <w:rFonts w:ascii="Times New Roman" w:hAnsi="Times New Roman" w:cs="Times New Roman"/>
          <w:sz w:val="24"/>
          <w:szCs w:val="24"/>
        </w:rPr>
        <w:t>he</w:t>
      </w:r>
      <w:r w:rsidRPr="00096909">
        <w:rPr>
          <w:rFonts w:ascii="Times New Roman" w:hAnsi="Times New Roman" w:cs="Times New Roman"/>
          <w:sz w:val="24"/>
          <w:szCs w:val="24"/>
        </w:rPr>
        <w:t xml:space="preserve"> e tedesc</w:t>
      </w:r>
      <w:r>
        <w:rPr>
          <w:rFonts w:ascii="Times New Roman" w:hAnsi="Times New Roman" w:cs="Times New Roman"/>
          <w:sz w:val="24"/>
          <w:szCs w:val="24"/>
        </w:rPr>
        <w:t>he</w:t>
      </w:r>
      <w:r w:rsidRPr="00096909">
        <w:rPr>
          <w:rFonts w:ascii="Times New Roman" w:hAnsi="Times New Roman" w:cs="Times New Roman"/>
          <w:sz w:val="24"/>
          <w:szCs w:val="24"/>
        </w:rPr>
        <w:t xml:space="preserve">. Fin dal loro esordio nelle pagine del </w:t>
      </w:r>
      <w:r w:rsidRPr="00096909">
        <w:rPr>
          <w:rFonts w:ascii="Times New Roman" w:hAnsi="Times New Roman" w:cs="Times New Roman"/>
          <w:i/>
          <w:sz w:val="24"/>
          <w:szCs w:val="24"/>
        </w:rPr>
        <w:t>Messale</w:t>
      </w:r>
      <w:r w:rsidRPr="00096909">
        <w:rPr>
          <w:rFonts w:ascii="Times New Roman" w:hAnsi="Times New Roman" w:cs="Times New Roman"/>
          <w:sz w:val="24"/>
          <w:szCs w:val="24"/>
        </w:rPr>
        <w:t xml:space="preserve"> di sant’Egidio destinato all’Ospedale di Santa Maria Nuova del 1476, i due fratelli si distinsero per il loro sperimentalismo formale,</w:t>
      </w:r>
      <w:r>
        <w:rPr>
          <w:rFonts w:ascii="Times New Roman" w:hAnsi="Times New Roman" w:cs="Times New Roman"/>
          <w:sz w:val="24"/>
          <w:szCs w:val="24"/>
        </w:rPr>
        <w:t xml:space="preserve"> percorrendo</w:t>
      </w:r>
      <w:r w:rsidRPr="00096909">
        <w:rPr>
          <w:rFonts w:ascii="Times New Roman" w:hAnsi="Times New Roman" w:cs="Times New Roman"/>
          <w:sz w:val="24"/>
          <w:szCs w:val="24"/>
        </w:rPr>
        <w:t xml:space="preserve"> vie nuove nella raffigurazione del paesaggio, nel ritratto e nell’organizzazione dei fregi architettonici.</w:t>
      </w:r>
      <w:r w:rsidRPr="00096909">
        <w:rPr>
          <w:rStyle w:val="Rimandonotaapidipagina"/>
          <w:rFonts w:ascii="Times New Roman" w:hAnsi="Times New Roman" w:cs="Times New Roman"/>
          <w:sz w:val="24"/>
          <w:szCs w:val="24"/>
        </w:rPr>
        <w:footnoteReference w:id="303"/>
      </w:r>
      <w:r w:rsidRPr="00096909">
        <w:rPr>
          <w:rFonts w:ascii="Times New Roman" w:hAnsi="Times New Roman" w:cs="Times New Roman"/>
          <w:sz w:val="24"/>
          <w:szCs w:val="24"/>
        </w:rPr>
        <w:t xml:space="preserve"> Propri</w:t>
      </w:r>
      <w:r>
        <w:rPr>
          <w:rFonts w:ascii="Times New Roman" w:hAnsi="Times New Roman" w:cs="Times New Roman"/>
          <w:sz w:val="24"/>
          <w:szCs w:val="24"/>
        </w:rPr>
        <w:t>o</w:t>
      </w:r>
      <w:r w:rsidRPr="00096909">
        <w:rPr>
          <w:rFonts w:ascii="Times New Roman" w:hAnsi="Times New Roman" w:cs="Times New Roman"/>
          <w:sz w:val="24"/>
          <w:szCs w:val="24"/>
        </w:rPr>
        <w:t xml:space="preserve"> di Monte, che dopo la morte del fratello nel 1497 fu operoso ancora fino al 1528, fu inoltre </w:t>
      </w:r>
      <w:r>
        <w:rPr>
          <w:rFonts w:ascii="Times New Roman" w:hAnsi="Times New Roman" w:cs="Times New Roman"/>
          <w:sz w:val="24"/>
          <w:szCs w:val="24"/>
        </w:rPr>
        <w:t>il talento nel</w:t>
      </w:r>
      <w:r w:rsidRPr="00096909">
        <w:rPr>
          <w:rFonts w:ascii="Times New Roman" w:hAnsi="Times New Roman" w:cs="Times New Roman"/>
          <w:sz w:val="24"/>
          <w:szCs w:val="24"/>
        </w:rPr>
        <w:t xml:space="preserve"> donare un’espressione vivida e ricca di passionalità ai suoi personaggi. Nel ricordato messale del Bargello, l’</w:t>
      </w:r>
      <w:r w:rsidRPr="00096909">
        <w:rPr>
          <w:rFonts w:ascii="Times New Roman" w:hAnsi="Times New Roman" w:cs="Times New Roman"/>
          <w:i/>
          <w:sz w:val="24"/>
          <w:szCs w:val="24"/>
        </w:rPr>
        <w:t>Annunciazione</w:t>
      </w:r>
      <w:r w:rsidRPr="00096909">
        <w:rPr>
          <w:rFonts w:ascii="Times New Roman" w:hAnsi="Times New Roman" w:cs="Times New Roman"/>
          <w:sz w:val="24"/>
          <w:szCs w:val="24"/>
        </w:rPr>
        <w:t xml:space="preserve"> del foglio 5r (fig. 39) mostra l’assoluta padronanza della prospettiva e la capacità di Monte di concepire la definizione dei paesaggi come un brano virtuosistico autonomo. Il dolce dialogo tra Maria e l’Angelo è poi incorniciato dall’arco che si apre sul fondo del chiostro che ospita la scena, il cui disegno si deve a</w:t>
      </w:r>
      <w:r>
        <w:rPr>
          <w:rFonts w:ascii="Times New Roman" w:hAnsi="Times New Roman" w:cs="Times New Roman"/>
          <w:sz w:val="24"/>
          <w:szCs w:val="24"/>
        </w:rPr>
        <w:t>l fratello</w:t>
      </w:r>
      <w:r w:rsidRPr="00096909">
        <w:rPr>
          <w:rFonts w:ascii="Times New Roman" w:hAnsi="Times New Roman" w:cs="Times New Roman"/>
          <w:sz w:val="24"/>
          <w:szCs w:val="24"/>
        </w:rPr>
        <w:t xml:space="preserve"> Gherardo, che amò indugiare sulle memorie delle architetture antiche.</w:t>
      </w:r>
    </w:p>
    <w:p w14:paraId="624B292B"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Questi caratteri contraddistinguono anche la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in tre volumi eseguita per Mattia Corvino dai due fratelli e da Attavante negli anni 1489-1490, lasciata incompiuta a causa della morte del re nell’aprile del 1490.</w:t>
      </w:r>
      <w:r w:rsidRPr="00096909">
        <w:rPr>
          <w:rStyle w:val="Rimandonotaapidipagina"/>
          <w:rFonts w:ascii="Times New Roman" w:hAnsi="Times New Roman" w:cs="Times New Roman"/>
          <w:sz w:val="24"/>
          <w:szCs w:val="24"/>
        </w:rPr>
        <w:footnoteReference w:id="304"/>
      </w:r>
      <w:r w:rsidRPr="00096909">
        <w:rPr>
          <w:rFonts w:ascii="Times New Roman" w:hAnsi="Times New Roman" w:cs="Times New Roman"/>
          <w:sz w:val="24"/>
          <w:szCs w:val="24"/>
        </w:rPr>
        <w:t xml:space="preserve"> </w:t>
      </w:r>
    </w:p>
    <w:p w14:paraId="78773ED8"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Alla bottega di Gherardo e Monte di Giovanni si deve l’illustrazione del terzo volume dell’opera, dedicato al </w:t>
      </w:r>
      <w:r w:rsidRPr="00096909">
        <w:rPr>
          <w:rFonts w:ascii="Times New Roman" w:hAnsi="Times New Roman" w:cs="Times New Roman"/>
          <w:i/>
          <w:sz w:val="24"/>
          <w:szCs w:val="24"/>
        </w:rPr>
        <w:t>Libro dei Salmi</w:t>
      </w:r>
      <w:r w:rsidRPr="00096909">
        <w:rPr>
          <w:rFonts w:ascii="Times New Roman" w:hAnsi="Times New Roman" w:cs="Times New Roman"/>
          <w:sz w:val="24"/>
          <w:szCs w:val="24"/>
        </w:rPr>
        <w:t xml:space="preserve"> e ai </w:t>
      </w:r>
      <w:r w:rsidRPr="00096909">
        <w:rPr>
          <w:rFonts w:ascii="Times New Roman" w:hAnsi="Times New Roman" w:cs="Times New Roman"/>
          <w:i/>
          <w:sz w:val="24"/>
          <w:szCs w:val="24"/>
        </w:rPr>
        <w:t>Vangeli</w:t>
      </w:r>
      <w:r w:rsidRPr="00096909">
        <w:rPr>
          <w:rFonts w:ascii="Times New Roman" w:hAnsi="Times New Roman" w:cs="Times New Roman"/>
          <w:sz w:val="24"/>
          <w:szCs w:val="24"/>
        </w:rPr>
        <w:t xml:space="preserve">. </w:t>
      </w:r>
    </w:p>
    <w:p w14:paraId="11B2D7B6"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Al verso del secondo foglio (fig. 40), entro una cornice abbellita da candelabre e citazioni archeologiche di antichi medaglioni, disegnata probabilmente da Gherardo, Monte ha dipinto il re David in preghiera d’innanzi all’Eterno. Alle sue spalle Mattia Corvino, accompagnato da altri due personaggi in vesti regali d’incerta identificazione, assiste alla battaglia tra ebrei e filistei in corso nella vallata retrostante, che vedrà presto David vincitore. I vessilli impugnati dagli ebrei sono in realtà stendardi cristiani, qui chiamati a rappresentare le armate di Mattia vittoriose sui turchi, ovvero i filistei messi in fuga. La scena è immersa in un paesaggio in cui la varietà naturale di alberi, erbe, fiori e animali è ritratta con minuzia fiamminga, e dove il profilo delle mura di Gerusalemme coincide con quello di Firenze. Nel cielo, uno stormo di corvi in volo allude ancora all’identificazione del monarca ungherese con David, al quale Samuele aveva predetto tale segnale di vittoria sui nemici.</w:t>
      </w:r>
      <w:r w:rsidRPr="00096909">
        <w:rPr>
          <w:rStyle w:val="Rimandonotaapidipagina"/>
          <w:rFonts w:ascii="Times New Roman" w:hAnsi="Times New Roman" w:cs="Times New Roman"/>
          <w:sz w:val="24"/>
          <w:szCs w:val="24"/>
        </w:rPr>
        <w:footnoteReference w:id="305"/>
      </w:r>
      <w:r w:rsidRPr="00096909">
        <w:rPr>
          <w:rFonts w:ascii="Times New Roman" w:hAnsi="Times New Roman" w:cs="Times New Roman"/>
          <w:sz w:val="24"/>
          <w:szCs w:val="24"/>
        </w:rPr>
        <w:t xml:space="preserve"> </w:t>
      </w:r>
    </w:p>
    <w:p w14:paraId="150A22AF"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richiamo alle campagne militari del Corvino e il parallelismo tra le sue vicende e quelle del re biblico documentano la capacità dei miniatori fiorentini di adeguare con facilità la loro arte alle esigenze rappresentative del committente. </w:t>
      </w:r>
    </w:p>
    <w:p w14:paraId="40E14494"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supervisione del loro lavoro, per accertarne la corrispondenza con le aspettative del monarca ungherese, fu probabilmente demandata a un autentico imprenditore del settore librario: Attavante degli Attavanti. Un indizio dell’importanza del suo contributo nell’allestimento della biblioteca di Buda è dato dal fatto che, dei quarantatre volumi identificati presso la Biblioteca Laurenziana come facenti parte delle ordinazioni del re rimaste a Firenze a causa della sua morte e poi passati tra i beni della famiglia Medici, ben ventitre sono quelli firmati dall’artista.</w:t>
      </w:r>
      <w:r w:rsidRPr="00096909">
        <w:rPr>
          <w:rStyle w:val="Rimandonotaapidipagina"/>
          <w:rFonts w:ascii="Times New Roman" w:hAnsi="Times New Roman" w:cs="Times New Roman"/>
          <w:sz w:val="24"/>
          <w:szCs w:val="24"/>
        </w:rPr>
        <w:footnoteReference w:id="306"/>
      </w:r>
    </w:p>
    <w:p w14:paraId="1D10B3AA"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 contatto con personalità eminenti dell’ambiente artistico fiorentino, quali Verrocchio e Leonardo da Vinci, il miniatore godette per tutto l’arco della sua carriera di importanti richieste di collaborazione. Nel 1483 realizzò per il bretone </w:t>
      </w:r>
      <w:bookmarkStart w:id="244" w:name="_Hlk535871387"/>
      <w:r w:rsidRPr="00096909">
        <w:rPr>
          <w:rFonts w:ascii="Times New Roman" w:hAnsi="Times New Roman" w:cs="Times New Roman"/>
          <w:sz w:val="24"/>
          <w:szCs w:val="24"/>
        </w:rPr>
        <w:t>Thomas James</w:t>
      </w:r>
      <w:bookmarkEnd w:id="244"/>
      <w:r w:rsidRPr="00096909">
        <w:rPr>
          <w:rFonts w:ascii="Times New Roman" w:hAnsi="Times New Roman" w:cs="Times New Roman"/>
          <w:sz w:val="24"/>
          <w:szCs w:val="24"/>
        </w:rPr>
        <w:t xml:space="preserve">, vescovo di Dol, un magnifico </w:t>
      </w:r>
      <w:r w:rsidRPr="00096909">
        <w:rPr>
          <w:rFonts w:ascii="Times New Roman" w:hAnsi="Times New Roman" w:cs="Times New Roman"/>
          <w:i/>
          <w:sz w:val="24"/>
          <w:szCs w:val="24"/>
        </w:rPr>
        <w:lastRenderedPageBreak/>
        <w:t>Messale</w:t>
      </w:r>
      <w:r w:rsidRPr="00096909">
        <w:rPr>
          <w:rFonts w:ascii="Times New Roman" w:hAnsi="Times New Roman" w:cs="Times New Roman"/>
          <w:sz w:val="24"/>
          <w:szCs w:val="24"/>
        </w:rPr>
        <w:t xml:space="preserve"> in collaborazione con Giovan Pietro Birago, abbellito da un frontespizio dalla ricca cornice in cui spicca la copia del monile con </w:t>
      </w:r>
      <w:r w:rsidRPr="00096909">
        <w:rPr>
          <w:rFonts w:ascii="Times New Roman" w:hAnsi="Times New Roman" w:cs="Times New Roman"/>
          <w:i/>
          <w:sz w:val="24"/>
          <w:szCs w:val="24"/>
        </w:rPr>
        <w:t>Dioniso sul carro trainato da Psychai</w:t>
      </w:r>
      <w:r w:rsidRPr="00096909">
        <w:rPr>
          <w:rFonts w:ascii="Times New Roman" w:hAnsi="Times New Roman" w:cs="Times New Roman"/>
          <w:sz w:val="24"/>
          <w:szCs w:val="24"/>
        </w:rPr>
        <w:t xml:space="preserve"> appartenuto alla collezione medicea.</w:t>
      </w:r>
      <w:r w:rsidRPr="00096909">
        <w:rPr>
          <w:rStyle w:val="Rimandonotaapidipagina"/>
          <w:rFonts w:ascii="Times New Roman" w:hAnsi="Times New Roman" w:cs="Times New Roman"/>
          <w:sz w:val="24"/>
          <w:szCs w:val="24"/>
        </w:rPr>
        <w:footnoteReference w:id="307"/>
      </w:r>
      <w:r w:rsidRPr="00096909">
        <w:rPr>
          <w:rFonts w:ascii="Times New Roman" w:hAnsi="Times New Roman" w:cs="Times New Roman"/>
          <w:sz w:val="24"/>
          <w:szCs w:val="24"/>
        </w:rPr>
        <w:t xml:space="preserve"> </w:t>
      </w:r>
    </w:p>
    <w:p w14:paraId="24C948B1"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23 aprile 1494 Attavante firmò con il mercante fiorentino </w:t>
      </w:r>
      <w:bookmarkStart w:id="246" w:name="_Hlk535871466"/>
      <w:r w:rsidRPr="00096909">
        <w:rPr>
          <w:rFonts w:ascii="Times New Roman" w:hAnsi="Times New Roman" w:cs="Times New Roman"/>
          <w:sz w:val="24"/>
          <w:szCs w:val="24"/>
        </w:rPr>
        <w:t>Clemente Sernigi</w:t>
      </w:r>
      <w:bookmarkEnd w:id="246"/>
      <w:r w:rsidRPr="00096909">
        <w:rPr>
          <w:rFonts w:ascii="Times New Roman" w:hAnsi="Times New Roman" w:cs="Times New Roman"/>
          <w:sz w:val="24"/>
          <w:szCs w:val="24"/>
        </w:rPr>
        <w:t xml:space="preserve">, intermediario del re </w:t>
      </w:r>
      <w:bookmarkStart w:id="247" w:name="_Hlk535871506"/>
      <w:r w:rsidRPr="00096909">
        <w:rPr>
          <w:rFonts w:ascii="Times New Roman" w:hAnsi="Times New Roman" w:cs="Times New Roman"/>
          <w:sz w:val="24"/>
          <w:szCs w:val="24"/>
        </w:rPr>
        <w:t>Emanuele di Portogallo</w:t>
      </w:r>
      <w:bookmarkEnd w:id="247"/>
      <w:r w:rsidRPr="00096909">
        <w:rPr>
          <w:rFonts w:ascii="Times New Roman" w:hAnsi="Times New Roman" w:cs="Times New Roman"/>
          <w:sz w:val="24"/>
          <w:szCs w:val="24"/>
        </w:rPr>
        <w:t xml:space="preserve">, un proficuo contratto per l’esecuzione di una monumentale </w:t>
      </w:r>
      <w:r w:rsidRPr="00096909">
        <w:rPr>
          <w:rFonts w:ascii="Times New Roman" w:hAnsi="Times New Roman" w:cs="Times New Roman"/>
          <w:i/>
          <w:sz w:val="24"/>
          <w:szCs w:val="24"/>
        </w:rPr>
        <w:t>Bibbia</w:t>
      </w:r>
      <w:r w:rsidRPr="00096909">
        <w:rPr>
          <w:rFonts w:ascii="Times New Roman" w:hAnsi="Times New Roman" w:cs="Times New Roman"/>
          <w:sz w:val="24"/>
          <w:szCs w:val="24"/>
        </w:rPr>
        <w:t xml:space="preserve"> con il commento di Niccolò de L</w:t>
      </w:r>
      <w:r w:rsidR="00616EF3">
        <w:rPr>
          <w:rFonts w:ascii="Times New Roman" w:hAnsi="Times New Roman" w:cs="Times New Roman"/>
          <w:sz w:val="24"/>
          <w:szCs w:val="24"/>
        </w:rPr>
        <w:t>i</w:t>
      </w:r>
      <w:r w:rsidRPr="00096909">
        <w:rPr>
          <w:rFonts w:ascii="Times New Roman" w:hAnsi="Times New Roman" w:cs="Times New Roman"/>
          <w:sz w:val="24"/>
          <w:szCs w:val="24"/>
        </w:rPr>
        <w:t>ra in sette volumi.</w:t>
      </w:r>
      <w:r w:rsidRPr="00096909">
        <w:rPr>
          <w:rStyle w:val="Rimandonotaapidipagina"/>
          <w:rFonts w:ascii="Times New Roman" w:hAnsi="Times New Roman" w:cs="Times New Roman"/>
          <w:sz w:val="24"/>
          <w:szCs w:val="24"/>
        </w:rPr>
        <w:footnoteReference w:id="308"/>
      </w:r>
      <w:r w:rsidRPr="00096909">
        <w:rPr>
          <w:rFonts w:ascii="Times New Roman" w:hAnsi="Times New Roman" w:cs="Times New Roman"/>
          <w:sz w:val="24"/>
          <w:szCs w:val="24"/>
        </w:rPr>
        <w:t xml:space="preserve"> In questi codici sorprende l’attenzione dell’Attavanti nel proporre un ricco campionario di soluzioni architettoniche e scultoree ispirate ai monumenti realizzati a Firenze per influenti personalità di origini portoghesi, ripresi tanto nei frontespizi architettonici quanto negli interni in cui l’artista ambienta gli episodi della storia sacra. La cappella del cardinale Jacopo di Lusitania in San Miniato al Monte, progettata da </w:t>
      </w:r>
      <w:bookmarkStart w:id="249" w:name="_Hlk535871699"/>
      <w:r w:rsidRPr="00096909">
        <w:rPr>
          <w:rFonts w:ascii="Times New Roman" w:hAnsi="Times New Roman" w:cs="Times New Roman"/>
          <w:sz w:val="24"/>
          <w:szCs w:val="24"/>
        </w:rPr>
        <w:t>Antonio Rossellino</w:t>
      </w:r>
      <w:bookmarkEnd w:id="249"/>
      <w:r w:rsidRPr="00096909">
        <w:rPr>
          <w:rFonts w:ascii="Times New Roman" w:hAnsi="Times New Roman" w:cs="Times New Roman"/>
          <w:sz w:val="24"/>
          <w:szCs w:val="24"/>
        </w:rPr>
        <w:t xml:space="preserve">, </w:t>
      </w:r>
      <w:r w:rsidR="00212A5B">
        <w:rPr>
          <w:rFonts w:ascii="Times New Roman" w:hAnsi="Times New Roman" w:cs="Times New Roman"/>
          <w:sz w:val="24"/>
          <w:szCs w:val="24"/>
        </w:rPr>
        <w:t xml:space="preserve">fu </w:t>
      </w:r>
      <w:r w:rsidRPr="00096909">
        <w:rPr>
          <w:rFonts w:ascii="Times New Roman" w:hAnsi="Times New Roman" w:cs="Times New Roman"/>
          <w:sz w:val="24"/>
          <w:szCs w:val="24"/>
        </w:rPr>
        <w:t>ad esempio rielaborata dal miniatore nel frontespizio dei libri 23-31 del commento di de L</w:t>
      </w:r>
      <w:r w:rsidR="00616EF3">
        <w:rPr>
          <w:rFonts w:ascii="Times New Roman" w:hAnsi="Times New Roman" w:cs="Times New Roman"/>
          <w:sz w:val="24"/>
          <w:szCs w:val="24"/>
        </w:rPr>
        <w:t>i</w:t>
      </w:r>
      <w:r w:rsidRPr="00096909">
        <w:rPr>
          <w:rFonts w:ascii="Times New Roman" w:hAnsi="Times New Roman" w:cs="Times New Roman"/>
          <w:sz w:val="24"/>
          <w:szCs w:val="24"/>
        </w:rPr>
        <w:t>ra che compongono il IV volume dell’opera (fig. 41).</w:t>
      </w:r>
      <w:r w:rsidRPr="00096909">
        <w:rPr>
          <w:rStyle w:val="Rimandonotaapidipagina"/>
          <w:rFonts w:ascii="Times New Roman" w:hAnsi="Times New Roman" w:cs="Times New Roman"/>
          <w:sz w:val="24"/>
          <w:szCs w:val="24"/>
        </w:rPr>
        <w:footnoteReference w:id="309"/>
      </w:r>
      <w:r w:rsidRPr="00096909">
        <w:rPr>
          <w:rFonts w:ascii="Times New Roman" w:hAnsi="Times New Roman" w:cs="Times New Roman"/>
          <w:sz w:val="24"/>
          <w:szCs w:val="24"/>
        </w:rPr>
        <w:t xml:space="preserve"> </w:t>
      </w:r>
    </w:p>
    <w:p w14:paraId="58F67029"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L’arco che incornicia lo sfondo blu su cui compaiono i titoli dei libri raccolti nel volume riprende perfettamente la grande arcata a lacunari del sepolcro del prelato. Allo stesso modo gli angeli reggicortina richiamano le soluzioni architettoniche adottate dal Rossellino nel monumento funebre, dei quali la pagina di Attavante prova a imitare persino la lucentezza e il gioco sofisticato d’intarsio dei marmi dei pavimenti e delle cornici, su cui un fanciullo dai capelli dorati gioca con una scimmia, mentre alle sue spalle avanzano dei giovani intenti nella discussione </w:t>
      </w:r>
      <w:r>
        <w:rPr>
          <w:rFonts w:ascii="Times New Roman" w:hAnsi="Times New Roman" w:cs="Times New Roman"/>
          <w:sz w:val="24"/>
          <w:szCs w:val="24"/>
        </w:rPr>
        <w:t>su</w:t>
      </w:r>
      <w:r w:rsidRPr="00096909">
        <w:rPr>
          <w:rFonts w:ascii="Times New Roman" w:hAnsi="Times New Roman" w:cs="Times New Roman"/>
          <w:sz w:val="24"/>
          <w:szCs w:val="24"/>
        </w:rPr>
        <w:t xml:space="preserve">lle Scritture. </w:t>
      </w:r>
    </w:p>
    <w:p w14:paraId="0139C823"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proposito del miniatore di ritrarre il monumento è dunque evidente, e sarà qui opportuno notare che l’eccellenza dei manoscritti prodotti a Firenze dovette essere ben nota a Emanuele I e alla sua corte anche grazie all’acquisto e all’invio in patria di volumi da parte di chierici provenienti dal Portogallo presenti all’epoca in città. Lo stesso Vespasiano da Bisticci dedica tre delle sue vite ad altrettante personalità altolocate portoghesi che erano state tra i suoi acquirenti: il ricordato cardinale di Portogallo; </w:t>
      </w:r>
      <w:bookmarkStart w:id="250" w:name="_Hlk535871777"/>
      <w:r w:rsidRPr="00096909">
        <w:rPr>
          <w:rFonts w:ascii="Times New Roman" w:hAnsi="Times New Roman" w:cs="Times New Roman"/>
          <w:sz w:val="24"/>
          <w:szCs w:val="24"/>
        </w:rPr>
        <w:t>Alvaro Alfonso</w:t>
      </w:r>
      <w:bookmarkEnd w:id="250"/>
      <w:r w:rsidRPr="00096909">
        <w:rPr>
          <w:rFonts w:ascii="Times New Roman" w:hAnsi="Times New Roman" w:cs="Times New Roman"/>
          <w:sz w:val="24"/>
          <w:szCs w:val="24"/>
        </w:rPr>
        <w:t>, vescovo di Algarve; e Messer Valasco di Portogallo, avvocato di curia di Eugenio IV.</w:t>
      </w:r>
      <w:r w:rsidRPr="00096909">
        <w:rPr>
          <w:rStyle w:val="Rimandonotaapidipagina"/>
          <w:rFonts w:ascii="Times New Roman" w:hAnsi="Times New Roman" w:cs="Times New Roman"/>
          <w:sz w:val="24"/>
          <w:szCs w:val="24"/>
        </w:rPr>
        <w:footnoteReference w:id="310"/>
      </w:r>
      <w:r w:rsidRPr="00096909">
        <w:rPr>
          <w:rFonts w:ascii="Times New Roman" w:hAnsi="Times New Roman" w:cs="Times New Roman"/>
          <w:sz w:val="24"/>
          <w:szCs w:val="24"/>
        </w:rPr>
        <w:t xml:space="preserve"> </w:t>
      </w:r>
    </w:p>
    <w:p w14:paraId="20BFA821"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Senza entrare nello specifico delle committenze di ciascuno di questi personaggi, vorrei notare come il cardinale </w:t>
      </w:r>
      <w:bookmarkStart w:id="251" w:name="_Hlk535872017"/>
      <w:r w:rsidRPr="00096909">
        <w:rPr>
          <w:rFonts w:ascii="Times New Roman" w:hAnsi="Times New Roman" w:cs="Times New Roman"/>
          <w:sz w:val="24"/>
          <w:szCs w:val="24"/>
        </w:rPr>
        <w:t xml:space="preserve">Giacomo di Lusitania </w:t>
      </w:r>
      <w:bookmarkEnd w:id="251"/>
      <w:r w:rsidRPr="00096909">
        <w:rPr>
          <w:rFonts w:ascii="Times New Roman" w:hAnsi="Times New Roman" w:cs="Times New Roman"/>
          <w:sz w:val="24"/>
          <w:szCs w:val="24"/>
        </w:rPr>
        <w:t xml:space="preserve">sia ricordato nelle </w:t>
      </w:r>
      <w:r w:rsidRPr="00096909">
        <w:rPr>
          <w:rFonts w:ascii="Times New Roman" w:hAnsi="Times New Roman" w:cs="Times New Roman"/>
          <w:i/>
          <w:sz w:val="24"/>
          <w:szCs w:val="24"/>
        </w:rPr>
        <w:t>Vite</w:t>
      </w:r>
      <w:r w:rsidRPr="00096909">
        <w:rPr>
          <w:rFonts w:ascii="Times New Roman" w:hAnsi="Times New Roman" w:cs="Times New Roman"/>
          <w:sz w:val="24"/>
          <w:szCs w:val="24"/>
        </w:rPr>
        <w:t xml:space="preserve"> quale possessore di una ricca biblioteca di testi giuridici e liturgici, i quali, dopo la sua morte, il 27 agosto 1459, furono venduti </w:t>
      </w:r>
      <w:r w:rsidRPr="00096909">
        <w:rPr>
          <w:rFonts w:ascii="Times New Roman" w:hAnsi="Times New Roman" w:cs="Times New Roman"/>
          <w:sz w:val="24"/>
          <w:szCs w:val="24"/>
        </w:rPr>
        <w:lastRenderedPageBreak/>
        <w:t>dal suo maestro di casa, il vescovo Alvaro Alfonso, per pagare le spese dei funerali e la costruzione della ricordata cappella sepolcrale in San Miniato al Monte. A fare da mediatore nella vendita fu lo stesso Vespasiano, cui pare spettarono dei pagamenti da parte di Alfonso persino per l’acquisto presso Jacopo di Poggio Bracciolini di blocchi di porfido destinati alla cappella del prelato. Il cardinale di Portogallo era stato non solo un principe della chiesa, ma anche il figlio dell’infante di Portogallo don Pedro e il nipote del re Giovanni I, e la mediazione del Bisticci nella gestione dell’eredità di Giacomo di Lusitania si inseriva quindi in un delicato gioco di rapporti diplomatici, in cui il cartolaio fiorentino seppe destreggiarsi senza intoppi quale esperto mercante. I libri del presule furono da lui offerti ai Medici e ad altri ecclesiastici gravitanti intorno alla sua bottega, alla quale non mancavano certo clientela e notorietà.</w:t>
      </w:r>
      <w:r w:rsidRPr="00096909">
        <w:rPr>
          <w:rStyle w:val="Rimandonotaapidipagina"/>
          <w:rFonts w:ascii="Times New Roman" w:hAnsi="Times New Roman" w:cs="Times New Roman"/>
          <w:sz w:val="24"/>
          <w:szCs w:val="24"/>
        </w:rPr>
        <w:footnoteReference w:id="311"/>
      </w:r>
      <w:r w:rsidRPr="00096909">
        <w:rPr>
          <w:rFonts w:ascii="Times New Roman" w:hAnsi="Times New Roman" w:cs="Times New Roman"/>
          <w:sz w:val="24"/>
          <w:szCs w:val="24"/>
        </w:rPr>
        <w:t xml:space="preserve"> </w:t>
      </w:r>
    </w:p>
    <w:p w14:paraId="73A1C36B" w14:textId="77777777" w:rsidR="008742A3" w:rsidRPr="00096909" w:rsidRDefault="008742A3" w:rsidP="008742A3">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 questo quadro riassuntivo dei rapporti tra i bibliofili portoghesi e Vespasiano da Bisticci appare meno insolita la richiesta bibliografica di re Emanuele che, collocandosi sul finire dell’ultimo decennio del secolo, attesta come la centralità del ruolo di Firenze nel mercato europeo del libro manoscritto sia stata costante per tutto il Quattrocento. Grazie all’eccellenza delle sue maestranze e alle capacità diplomatiche medicee, la fucina fiorentina aveva esportato all’estero l’alta qualità delle belle lettere, composte dai più dotti umanisti e disegnate dai migliori calligrafi. Tra le pagine dei codici di sua produzione le novità dell’arte del Rinascimento viaggiavano da una corte all’altra raggiungendo un pubblico nuovo, bramoso di cultura e di bellezza.    </w:t>
      </w:r>
    </w:p>
    <w:p w14:paraId="1FD2C583" w14:textId="77777777" w:rsidR="008742A3" w:rsidRDefault="008742A3" w:rsidP="004D6442">
      <w:pPr>
        <w:spacing w:after="0" w:line="360" w:lineRule="auto"/>
        <w:ind w:right="-1" w:firstLine="397"/>
        <w:jc w:val="both"/>
        <w:rPr>
          <w:rFonts w:ascii="Times New Roman" w:hAnsi="Times New Roman" w:cs="Times New Roman"/>
          <w:sz w:val="24"/>
          <w:szCs w:val="24"/>
        </w:rPr>
      </w:pPr>
    </w:p>
    <w:p w14:paraId="73F00888" w14:textId="77777777" w:rsidR="008742A3" w:rsidRDefault="008742A3" w:rsidP="004D6442">
      <w:pPr>
        <w:spacing w:after="0" w:line="360" w:lineRule="auto"/>
        <w:ind w:right="-1" w:firstLine="397"/>
        <w:jc w:val="both"/>
        <w:rPr>
          <w:rFonts w:ascii="Times New Roman" w:hAnsi="Times New Roman" w:cs="Times New Roman"/>
          <w:sz w:val="24"/>
          <w:szCs w:val="24"/>
        </w:rPr>
      </w:pPr>
    </w:p>
    <w:p w14:paraId="5A84305B" w14:textId="77777777" w:rsidR="008742A3" w:rsidRPr="00096909" w:rsidRDefault="008742A3" w:rsidP="008742A3">
      <w:pPr>
        <w:ind w:right="-1" w:firstLine="397"/>
        <w:jc w:val="both"/>
        <w:rPr>
          <w:rFonts w:ascii="Times New Roman" w:hAnsi="Times New Roman" w:cs="Times New Roman"/>
          <w:i/>
          <w:sz w:val="24"/>
          <w:szCs w:val="24"/>
        </w:rPr>
      </w:pPr>
      <w:r w:rsidRPr="008742A3">
        <w:rPr>
          <w:rFonts w:ascii="Times New Roman" w:hAnsi="Times New Roman" w:cs="Times New Roman"/>
          <w:sz w:val="24"/>
          <w:szCs w:val="24"/>
        </w:rPr>
        <w:t>5.2.</w:t>
      </w:r>
      <w:r w:rsidRPr="00096909">
        <w:rPr>
          <w:rFonts w:ascii="Times New Roman" w:hAnsi="Times New Roman" w:cs="Times New Roman"/>
          <w:i/>
          <w:sz w:val="24"/>
          <w:szCs w:val="24"/>
        </w:rPr>
        <w:t xml:space="preserve"> Un poeta fiorentino al servizio del principe: Naldo Naldi e il </w:t>
      </w:r>
      <w:r w:rsidRPr="0073797D">
        <w:rPr>
          <w:rFonts w:ascii="Times New Roman" w:hAnsi="Times New Roman" w:cs="Times New Roman"/>
          <w:sz w:val="24"/>
          <w:szCs w:val="24"/>
        </w:rPr>
        <w:t>De laudibus augustae bibliothecae</w:t>
      </w:r>
      <w:r w:rsidRPr="00096909">
        <w:rPr>
          <w:rFonts w:ascii="Times New Roman" w:hAnsi="Times New Roman" w:cs="Times New Roman"/>
          <w:i/>
          <w:sz w:val="24"/>
          <w:szCs w:val="24"/>
        </w:rPr>
        <w:t xml:space="preserve"> per Mattia Corvino.</w:t>
      </w:r>
    </w:p>
    <w:p w14:paraId="1C400314"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p>
    <w:p w14:paraId="5EC2DEF2"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L’efficacia dei mezzi comunicativi affinati dalla fucina fiorentina del libro manoscritto </w:t>
      </w:r>
      <w:r>
        <w:rPr>
          <w:rFonts w:ascii="Times New Roman" w:hAnsi="Times New Roman" w:cs="Times New Roman"/>
          <w:sz w:val="24"/>
          <w:szCs w:val="24"/>
        </w:rPr>
        <w:t xml:space="preserve">al fine di </w:t>
      </w:r>
      <w:r w:rsidRPr="00096909">
        <w:rPr>
          <w:rFonts w:ascii="Times New Roman" w:hAnsi="Times New Roman" w:cs="Times New Roman"/>
          <w:sz w:val="24"/>
          <w:szCs w:val="24"/>
        </w:rPr>
        <w:t xml:space="preserve">esaltare il potere del principe mi sembra espressa perfettamente, negli anni Ottanta del Quattrocento, dalle vicende </w:t>
      </w:r>
      <w:r>
        <w:rPr>
          <w:rFonts w:ascii="Times New Roman" w:hAnsi="Times New Roman" w:cs="Times New Roman"/>
          <w:sz w:val="24"/>
          <w:szCs w:val="24"/>
        </w:rPr>
        <w:t xml:space="preserve">che </w:t>
      </w:r>
      <w:r w:rsidRPr="00096909">
        <w:rPr>
          <w:rFonts w:ascii="Times New Roman" w:hAnsi="Times New Roman" w:cs="Times New Roman"/>
          <w:sz w:val="24"/>
          <w:szCs w:val="24"/>
        </w:rPr>
        <w:t>riguarda</w:t>
      </w:r>
      <w:r>
        <w:rPr>
          <w:rFonts w:ascii="Times New Roman" w:hAnsi="Times New Roman" w:cs="Times New Roman"/>
          <w:sz w:val="24"/>
          <w:szCs w:val="24"/>
        </w:rPr>
        <w:t>rono</w:t>
      </w:r>
      <w:r w:rsidRPr="00096909">
        <w:rPr>
          <w:rFonts w:ascii="Times New Roman" w:hAnsi="Times New Roman" w:cs="Times New Roman"/>
          <w:sz w:val="24"/>
          <w:szCs w:val="24"/>
        </w:rPr>
        <w:t xml:space="preserve"> l’allestimento della biblioteca di Mattia Corvino. Il raffinato committente non solo si avvalse, come detto, di miniatori e legatori fiorentini per realizzare i codici destinati al castello di Buda, ma ricorse anche alle consulenze letterarie di stimati umanisti attivi in città, quali Fonzio e Poliziano, per selezionare i titoli indispensabili alla raccolta. Per ampliare la fama del</w:t>
      </w:r>
      <w:r>
        <w:rPr>
          <w:rFonts w:ascii="Times New Roman" w:hAnsi="Times New Roman" w:cs="Times New Roman"/>
          <w:sz w:val="24"/>
          <w:szCs w:val="24"/>
        </w:rPr>
        <w:t>l’</w:t>
      </w:r>
      <w:r w:rsidRPr="00096909">
        <w:rPr>
          <w:rFonts w:ascii="Times New Roman" w:hAnsi="Times New Roman" w:cs="Times New Roman"/>
          <w:sz w:val="24"/>
          <w:szCs w:val="24"/>
        </w:rPr>
        <w:t>istituzione il re ungherese poté contare inoltre su una descrizione della biblioteca composta</w:t>
      </w:r>
      <w:r>
        <w:rPr>
          <w:rFonts w:ascii="Times New Roman" w:hAnsi="Times New Roman" w:cs="Times New Roman"/>
          <w:sz w:val="24"/>
          <w:szCs w:val="24"/>
        </w:rPr>
        <w:t xml:space="preserve"> per lui</w:t>
      </w:r>
      <w:r w:rsidRPr="00096909">
        <w:rPr>
          <w:rFonts w:ascii="Times New Roman" w:hAnsi="Times New Roman" w:cs="Times New Roman"/>
          <w:sz w:val="24"/>
          <w:szCs w:val="24"/>
        </w:rPr>
        <w:t xml:space="preserve"> dal poeta Naldo Naldi, ricercato cantore delle feste promosse da Lorenzo de’ Medici e uno dei primi letterati del Magnifico a sperimentare le potenzialità della </w:t>
      </w:r>
      <w:r w:rsidRPr="00096909">
        <w:rPr>
          <w:rFonts w:ascii="Times New Roman" w:hAnsi="Times New Roman" w:cs="Times New Roman"/>
          <w:sz w:val="24"/>
          <w:szCs w:val="24"/>
        </w:rPr>
        <w:lastRenderedPageBreak/>
        <w:t>stampa per fare circolare la magnificenza degli spettacoli medicei.</w:t>
      </w:r>
      <w:r w:rsidRPr="00096909">
        <w:rPr>
          <w:rStyle w:val="Rimandonotaapidipagina"/>
          <w:rFonts w:ascii="Times New Roman" w:hAnsi="Times New Roman" w:cs="Times New Roman"/>
          <w:sz w:val="24"/>
          <w:szCs w:val="24"/>
        </w:rPr>
        <w:footnoteReference w:id="312"/>
      </w:r>
      <w:r w:rsidRPr="00096909">
        <w:rPr>
          <w:rFonts w:ascii="Times New Roman" w:hAnsi="Times New Roman" w:cs="Times New Roman"/>
          <w:sz w:val="24"/>
          <w:szCs w:val="24"/>
        </w:rPr>
        <w:t xml:space="preserve"> Agli occhi d</w:t>
      </w:r>
      <w:r>
        <w:rPr>
          <w:rFonts w:ascii="Times New Roman" w:hAnsi="Times New Roman" w:cs="Times New Roman"/>
          <w:sz w:val="24"/>
          <w:szCs w:val="24"/>
        </w:rPr>
        <w:t xml:space="preserve">el sovrano </w:t>
      </w:r>
      <w:r w:rsidRPr="00096909">
        <w:rPr>
          <w:rFonts w:ascii="Times New Roman" w:hAnsi="Times New Roman" w:cs="Times New Roman"/>
          <w:sz w:val="24"/>
          <w:szCs w:val="24"/>
        </w:rPr>
        <w:t xml:space="preserve">Firenze apparve dunque come il centro in cui reperire tutte le professionalità necessarie all’esaltazione della propria immagine pubblica attraverso i libri e la letteratura.  </w:t>
      </w:r>
    </w:p>
    <w:p w14:paraId="74EFCB18"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Va anzitutto ribadito come nella formazione della collezione libraria del Corvino sia stato centrale il contributo di Taddeo Ugoletti da Parma.</w:t>
      </w:r>
      <w:r w:rsidRPr="00096909">
        <w:rPr>
          <w:rStyle w:val="Rimandonotaapidipagina"/>
          <w:rFonts w:ascii="Times New Roman" w:hAnsi="Times New Roman" w:cs="Times New Roman"/>
          <w:sz w:val="24"/>
          <w:szCs w:val="24"/>
        </w:rPr>
        <w:footnoteReference w:id="313"/>
      </w:r>
      <w:r w:rsidRPr="00096909">
        <w:rPr>
          <w:rFonts w:ascii="Times New Roman" w:hAnsi="Times New Roman" w:cs="Times New Roman"/>
          <w:sz w:val="24"/>
          <w:szCs w:val="24"/>
        </w:rPr>
        <w:t xml:space="preserve"> Presunto allievo del Merula, docente di eloquenza presso lo Studio di Reggio Emilia, intorno al 1477 aveva avuto i primi contatti con l’Ungheria aiutando il vescovo di Esztergom, János Vitéz, a reperire testi latini e greci per la biblioteca dell’Università, istituita nel 1465 per volontà d</w:t>
      </w:r>
      <w:r>
        <w:rPr>
          <w:rFonts w:ascii="Times New Roman" w:hAnsi="Times New Roman" w:cs="Times New Roman"/>
          <w:sz w:val="24"/>
          <w:szCs w:val="24"/>
        </w:rPr>
        <w:t>i</w:t>
      </w:r>
      <w:r w:rsidRPr="00096909">
        <w:rPr>
          <w:rFonts w:ascii="Times New Roman" w:hAnsi="Times New Roman" w:cs="Times New Roman"/>
          <w:sz w:val="24"/>
          <w:szCs w:val="24"/>
        </w:rPr>
        <w:t xml:space="preserve"> re </w:t>
      </w:r>
      <w:r>
        <w:rPr>
          <w:rFonts w:ascii="Times New Roman" w:hAnsi="Times New Roman" w:cs="Times New Roman"/>
          <w:sz w:val="24"/>
          <w:szCs w:val="24"/>
        </w:rPr>
        <w:t>Matt</w:t>
      </w:r>
      <w:r w:rsidRPr="00096909">
        <w:rPr>
          <w:rFonts w:ascii="Times New Roman" w:hAnsi="Times New Roman" w:cs="Times New Roman"/>
          <w:sz w:val="24"/>
          <w:szCs w:val="24"/>
        </w:rPr>
        <w:t>ia a Pozsony, attuale Bratislava. Attorno al 1480 entrò al servizio della corte di Buda in qualità di precettore del figlio naturale d</w:t>
      </w:r>
      <w:r>
        <w:rPr>
          <w:rFonts w:ascii="Times New Roman" w:hAnsi="Times New Roman" w:cs="Times New Roman"/>
          <w:sz w:val="24"/>
          <w:szCs w:val="24"/>
        </w:rPr>
        <w:t>el Corvino</w:t>
      </w:r>
      <w:r w:rsidRPr="00096909">
        <w:rPr>
          <w:rFonts w:ascii="Times New Roman" w:hAnsi="Times New Roman" w:cs="Times New Roman"/>
          <w:sz w:val="24"/>
          <w:szCs w:val="24"/>
        </w:rPr>
        <w:t xml:space="preserve">, Giovanni Hunyadi, al quale fornì una raffinata educazione, completa della conoscenza del greco. </w:t>
      </w:r>
    </w:p>
    <w:p w14:paraId="2E4F481D"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Preposto alla direzione della biblioteca reale, tra il 1488 e il 1489, Ugoletti fu inviato dal Corvino a Firenze per fare incetta di libri. In tale occasione acquistò sette manoscritti della rinomata collezione di Francesco Sassetti e strinse rapporti con importanti personalità dell’umanesimo locale destinate a influire sulla formazione della Corviniana.</w:t>
      </w:r>
      <w:r w:rsidRPr="00096909">
        <w:rPr>
          <w:rStyle w:val="Rimandonotaapidipagina"/>
          <w:rFonts w:ascii="Times New Roman" w:hAnsi="Times New Roman" w:cs="Times New Roman"/>
          <w:sz w:val="24"/>
          <w:szCs w:val="24"/>
        </w:rPr>
        <w:footnoteReference w:id="314"/>
      </w:r>
      <w:r w:rsidRPr="00096909">
        <w:rPr>
          <w:rFonts w:ascii="Times New Roman" w:hAnsi="Times New Roman" w:cs="Times New Roman"/>
          <w:sz w:val="24"/>
          <w:szCs w:val="24"/>
        </w:rPr>
        <w:t xml:space="preserve"> </w:t>
      </w:r>
    </w:p>
    <w:p w14:paraId="328E45B2"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Per l’acquisizione dei volumi del Sassetti fu infatti essenziale la mediazione di Bartolomeo della Fonte, filologo stimato dello </w:t>
      </w:r>
      <w:r w:rsidRPr="00096909">
        <w:rPr>
          <w:rFonts w:ascii="Times New Roman" w:hAnsi="Times New Roman" w:cs="Times New Roman"/>
          <w:i/>
          <w:sz w:val="24"/>
          <w:szCs w:val="24"/>
        </w:rPr>
        <w:t>Studium florentinum</w:t>
      </w:r>
      <w:r w:rsidRPr="00096909">
        <w:rPr>
          <w:rFonts w:ascii="Times New Roman" w:hAnsi="Times New Roman" w:cs="Times New Roman"/>
          <w:sz w:val="24"/>
          <w:szCs w:val="24"/>
        </w:rPr>
        <w:t xml:space="preserve">, che tra il febbraio e l’agosto 1489 soggiornò presso la reggia di Mattia, offrendo la propria consulenza nei lavori di allestimento della biblioteca. Il 16 settembre 1489, Fonzio, rientrato in patria, si preoccupò di inviare al tesoriere </w:t>
      </w:r>
      <w:r w:rsidRPr="00096909">
        <w:rPr>
          <w:rFonts w:ascii="Times New Roman" w:hAnsi="Times New Roman" w:cs="Times New Roman"/>
          <w:sz w:val="24"/>
          <w:szCs w:val="24"/>
        </w:rPr>
        <w:lastRenderedPageBreak/>
        <w:t xml:space="preserve">János Móré un </w:t>
      </w:r>
      <w:r w:rsidRPr="00096909">
        <w:rPr>
          <w:rFonts w:ascii="Times New Roman" w:hAnsi="Times New Roman" w:cs="Times New Roman"/>
          <w:i/>
          <w:sz w:val="24"/>
          <w:szCs w:val="24"/>
        </w:rPr>
        <w:t xml:space="preserve">libellus auctorum </w:t>
      </w:r>
      <w:r w:rsidRPr="00096909">
        <w:rPr>
          <w:rFonts w:ascii="Times New Roman" w:hAnsi="Times New Roman" w:cs="Times New Roman"/>
          <w:sz w:val="24"/>
          <w:szCs w:val="24"/>
        </w:rPr>
        <w:t>con l’indicazione dei testi indispensabili alla raccolta, nel quale si razionalizzava la loro copiatura tra i centri scrittorii di Firenze, Vienna e Buda.</w:t>
      </w:r>
      <w:r w:rsidRPr="00096909">
        <w:rPr>
          <w:rStyle w:val="Rimandonotaapidipagina"/>
          <w:rFonts w:ascii="Times New Roman" w:hAnsi="Times New Roman" w:cs="Times New Roman"/>
          <w:sz w:val="24"/>
          <w:szCs w:val="24"/>
        </w:rPr>
        <w:footnoteReference w:id="315"/>
      </w:r>
      <w:r w:rsidRPr="00096909">
        <w:rPr>
          <w:rFonts w:ascii="Times New Roman" w:hAnsi="Times New Roman" w:cs="Times New Roman"/>
          <w:sz w:val="24"/>
          <w:szCs w:val="24"/>
        </w:rPr>
        <w:t xml:space="preserve"> </w:t>
      </w:r>
    </w:p>
    <w:p w14:paraId="17148A3E"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È assai probabile che proprio Fonzio, ben inserito nei circoli letterari medicei nonostante le rivalità con Poliziano, abbia contribuito, con le proprie impressioni sul soggiorno a Buda e con la sua frequentazione della biblioteca regia, alla elaborazione del </w:t>
      </w:r>
      <w:r w:rsidRPr="00096909">
        <w:rPr>
          <w:rFonts w:ascii="Times New Roman" w:hAnsi="Times New Roman" w:cs="Times New Roman"/>
          <w:i/>
          <w:sz w:val="24"/>
          <w:szCs w:val="24"/>
        </w:rPr>
        <w:t>De laudibus augustae bibliothecae ad Matthiam Corvinum</w:t>
      </w:r>
      <w:r w:rsidRPr="00096909">
        <w:rPr>
          <w:rFonts w:ascii="Times New Roman" w:hAnsi="Times New Roman" w:cs="Times New Roman"/>
          <w:sz w:val="24"/>
          <w:szCs w:val="24"/>
        </w:rPr>
        <w:t>, poemetto in quattro libri d’esametri composto dal fiorentino Naldo Naldi tra il 1488 e il 1490 su invito dello stesso Ugoletti.</w:t>
      </w:r>
      <w:r w:rsidRPr="00096909">
        <w:rPr>
          <w:rStyle w:val="Rimandonotaapidipagina"/>
          <w:rFonts w:ascii="Times New Roman" w:hAnsi="Times New Roman" w:cs="Times New Roman"/>
          <w:sz w:val="24"/>
          <w:szCs w:val="24"/>
        </w:rPr>
        <w:footnoteReference w:id="316"/>
      </w:r>
      <w:r w:rsidRPr="00096909">
        <w:rPr>
          <w:rFonts w:ascii="Times New Roman" w:hAnsi="Times New Roman" w:cs="Times New Roman"/>
          <w:sz w:val="24"/>
          <w:szCs w:val="24"/>
        </w:rPr>
        <w:t xml:space="preserve"> </w:t>
      </w:r>
    </w:p>
    <w:p w14:paraId="0A08386E"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Nella lettera prefatoria allo scritto Naldi ricordava come fossero stati proprio i racconti entusiasti di Taddeo, sua fonte principale di documentazione, a infiammare la sua vena creativa e a spingerlo a scrivere un poemetto in lode di quella biblioteca che non aveva mai avuto l’onore di visitare, ma che sapeva fornita di ogni opera della cultura classica occidentale, tanto da essere il sogno finalmente realizzato della raccolta vagheggiata dai dotti d’Italia fin dai tempi di Petrarca. </w:t>
      </w:r>
    </w:p>
    <w:p w14:paraId="78698782"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primo libro si apre pertanto con l’elogio del savio sovrano, di sua moglie, Beatrice d’Aragona, e dell’erede al trono, Giovanni Corvino. Seguono, nei libri II-IV, le descrizioni del magnifico palazzo di Buda, del suo arredamento e dei libri della biblioteca, nella quale sono ammesse esclusivamente le opere dell’antichità in codici ornatissimi, disposti nelle tre sezioni di letteratura greca, latina e patristica. </w:t>
      </w:r>
    </w:p>
    <w:p w14:paraId="0380853C"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Klára Pajorin, nei suoi studi sul </w:t>
      </w:r>
      <w:r w:rsidRPr="00096909">
        <w:rPr>
          <w:rFonts w:ascii="Times New Roman" w:hAnsi="Times New Roman" w:cs="Times New Roman"/>
          <w:i/>
          <w:sz w:val="24"/>
          <w:szCs w:val="24"/>
        </w:rPr>
        <w:t>De laudibus augustae bibliothecae</w:t>
      </w:r>
      <w:r w:rsidRPr="00096909">
        <w:rPr>
          <w:rFonts w:ascii="Times New Roman" w:hAnsi="Times New Roman" w:cs="Times New Roman"/>
          <w:sz w:val="24"/>
          <w:szCs w:val="24"/>
        </w:rPr>
        <w:t xml:space="preserve">, ha messo in risalto come Naldi abbia probabilmente avuto come modello per la definizione del canone letterario del poemetto la </w:t>
      </w:r>
      <w:r w:rsidRPr="00096909">
        <w:rPr>
          <w:rFonts w:ascii="Times New Roman" w:hAnsi="Times New Roman" w:cs="Times New Roman"/>
          <w:i/>
          <w:sz w:val="24"/>
          <w:szCs w:val="24"/>
        </w:rPr>
        <w:t>Politia litteraria</w:t>
      </w:r>
      <w:r w:rsidRPr="00096909">
        <w:rPr>
          <w:rFonts w:ascii="Times New Roman" w:hAnsi="Times New Roman" w:cs="Times New Roman"/>
          <w:sz w:val="24"/>
          <w:szCs w:val="24"/>
        </w:rPr>
        <w:t xml:space="preserve"> del Decembrio, rispetto alla quale il fiorentino preferì iniziare l’esposizione dei titoli raccolti partendo da quelli greci per poi passare a quelli latini, ma con cui condivise la totale esclusione delle opere volgari e l’attenzione nel descrivere gli spazi dedicati alla lettura dei volumi e i loro arredi.</w:t>
      </w:r>
      <w:r w:rsidRPr="00096909">
        <w:rPr>
          <w:rStyle w:val="Rimandonotaapidipagina"/>
          <w:rFonts w:ascii="Times New Roman" w:hAnsi="Times New Roman" w:cs="Times New Roman"/>
          <w:sz w:val="24"/>
          <w:szCs w:val="24"/>
        </w:rPr>
        <w:footnoteReference w:id="317"/>
      </w:r>
      <w:r w:rsidRPr="00096909">
        <w:rPr>
          <w:rFonts w:ascii="Times New Roman" w:hAnsi="Times New Roman" w:cs="Times New Roman"/>
          <w:sz w:val="24"/>
          <w:szCs w:val="24"/>
        </w:rPr>
        <w:t xml:space="preserve"> </w:t>
      </w:r>
    </w:p>
    <w:p w14:paraId="7483FDC6"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L’evidente intento encomiastico del </w:t>
      </w:r>
      <w:r w:rsidRPr="00096909">
        <w:rPr>
          <w:rFonts w:ascii="Times New Roman" w:hAnsi="Times New Roman" w:cs="Times New Roman"/>
          <w:i/>
          <w:sz w:val="24"/>
          <w:szCs w:val="24"/>
        </w:rPr>
        <w:t>De laudibus augustae bibliothecae</w:t>
      </w:r>
      <w:r w:rsidRPr="00096909">
        <w:rPr>
          <w:rFonts w:ascii="Times New Roman" w:hAnsi="Times New Roman" w:cs="Times New Roman"/>
          <w:sz w:val="24"/>
          <w:szCs w:val="24"/>
        </w:rPr>
        <w:t xml:space="preserve"> e la somiglianza tra gli scritti dei due umanisti hanno indotto la critica a dubitare dell’attendibilità delle informazioni trasmesse da Naldi circa i libri presenti nella Corvinana, alcuni dei quali, come i versi di Saffo e </w:t>
      </w:r>
      <w:r w:rsidRPr="00096909">
        <w:rPr>
          <w:rFonts w:ascii="Times New Roman" w:hAnsi="Times New Roman" w:cs="Times New Roman"/>
          <w:sz w:val="24"/>
          <w:szCs w:val="24"/>
        </w:rPr>
        <w:lastRenderedPageBreak/>
        <w:t>di Alceo, non poterono certo fare parte del suo patrimonio in quanto sconosciuti al Rinascimento.</w:t>
      </w:r>
      <w:r w:rsidRPr="00096909">
        <w:rPr>
          <w:rStyle w:val="Rimandonotaapidipagina"/>
          <w:rFonts w:ascii="Times New Roman" w:hAnsi="Times New Roman" w:cs="Times New Roman"/>
          <w:sz w:val="24"/>
          <w:szCs w:val="24"/>
        </w:rPr>
        <w:footnoteReference w:id="318"/>
      </w:r>
      <w:r w:rsidRPr="00096909">
        <w:rPr>
          <w:rFonts w:ascii="Times New Roman" w:hAnsi="Times New Roman" w:cs="Times New Roman"/>
          <w:sz w:val="24"/>
          <w:szCs w:val="24"/>
        </w:rPr>
        <w:t xml:space="preserve">  </w:t>
      </w:r>
    </w:p>
    <w:p w14:paraId="06AB90DD"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catalogo in esametri della Corviniana, nelle pagine di Naldi, oscilla dunque tra l’intento documentario e l’esaltazione dell’istituzione, e non vi è dubbio che la ricercata selezione dei titoli mirasse a esaltare la saggia scelta del re di dotare il suo regno di una biblioteca capace di reggere il confronto con quelle più famose del mondo antico e contemporaneo.  </w:t>
      </w:r>
    </w:p>
    <w:p w14:paraId="7EE1328B"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Non c’è motivo di dubitare che, come scrive il poeta, la biblioteca custodisse l’opera storica di Erodiano, forse nella traduzione di Angelo Poliziano, il quale aveva più volte offerto i propri servigi a Mattia e che da Firenze si era premurato di inviare anch’egli un </w:t>
      </w:r>
      <w:r w:rsidRPr="00096909">
        <w:rPr>
          <w:rFonts w:ascii="Times New Roman" w:hAnsi="Times New Roman" w:cs="Times New Roman"/>
          <w:i/>
          <w:sz w:val="24"/>
          <w:szCs w:val="24"/>
        </w:rPr>
        <w:t>registrum codicum M. Angeli Politiani Invictissimo Domino Regi Mathie submissum anno 1489</w:t>
      </w:r>
      <w:r w:rsidRPr="00096909">
        <w:rPr>
          <w:rFonts w:ascii="Times New Roman" w:hAnsi="Times New Roman" w:cs="Times New Roman"/>
          <w:sz w:val="24"/>
          <w:szCs w:val="24"/>
        </w:rPr>
        <w:t xml:space="preserve"> con la segnalazione di diciotto titoli di libri reputati degni della raccolta; fatto che attesta, una volta di più, </w:t>
      </w:r>
      <w:r>
        <w:rPr>
          <w:rFonts w:ascii="Times New Roman" w:hAnsi="Times New Roman" w:cs="Times New Roman"/>
          <w:sz w:val="24"/>
          <w:szCs w:val="24"/>
        </w:rPr>
        <w:t>il</w:t>
      </w:r>
      <w:r w:rsidRPr="00096909">
        <w:rPr>
          <w:rFonts w:ascii="Times New Roman" w:hAnsi="Times New Roman" w:cs="Times New Roman"/>
          <w:sz w:val="24"/>
          <w:szCs w:val="24"/>
        </w:rPr>
        <w:t xml:space="preserve"> coinvolgimento degli intellettuali medicei nel progetto del Corvino, i quali avranno probabilmente condiviso con Naldi le loro informazioni sulla biblioteca di Buda nel momento della scrittura del </w:t>
      </w:r>
      <w:r w:rsidRPr="00096909">
        <w:rPr>
          <w:rFonts w:ascii="Times New Roman" w:hAnsi="Times New Roman" w:cs="Times New Roman"/>
          <w:i/>
          <w:sz w:val="24"/>
          <w:szCs w:val="24"/>
        </w:rPr>
        <w:t>De laudibus augustae bibliothecae</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319"/>
      </w:r>
    </w:p>
    <w:p w14:paraId="205CEA8C"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Proprio la citazione della traduzione di Erodiano, completata dall’Ambrogini nell’agosto </w:t>
      </w:r>
      <w:r>
        <w:rPr>
          <w:rFonts w:ascii="Times New Roman" w:hAnsi="Times New Roman" w:cs="Times New Roman"/>
          <w:sz w:val="24"/>
          <w:szCs w:val="24"/>
        </w:rPr>
        <w:t xml:space="preserve">del </w:t>
      </w:r>
      <w:r w:rsidRPr="00096909">
        <w:rPr>
          <w:rFonts w:ascii="Times New Roman" w:hAnsi="Times New Roman" w:cs="Times New Roman"/>
          <w:sz w:val="24"/>
          <w:szCs w:val="24"/>
        </w:rPr>
        <w:t xml:space="preserve">1487, costituisce il termine </w:t>
      </w:r>
      <w:r w:rsidRPr="00096909">
        <w:rPr>
          <w:rFonts w:ascii="Times New Roman" w:hAnsi="Times New Roman" w:cs="Times New Roman"/>
          <w:i/>
          <w:sz w:val="24"/>
          <w:szCs w:val="24"/>
        </w:rPr>
        <w:t>post quem</w:t>
      </w:r>
      <w:r w:rsidRPr="00096909">
        <w:rPr>
          <w:rFonts w:ascii="Times New Roman" w:hAnsi="Times New Roman" w:cs="Times New Roman"/>
          <w:sz w:val="24"/>
          <w:szCs w:val="24"/>
        </w:rPr>
        <w:t xml:space="preserve"> per datare la stesura del poemetto che, copiato dal calligrafo Neri di Filippo Rinuccini, fu inviato al sovrano in un bel codicetto di sessantadue carte, prodotto anch’esso tutto fiorentino, ornato da miniature della bottega dell’Attavanti. Al recto del terzo foglio (fig. 42), la lettera prefatoria è inquadrata da una cornice di fiori e foglie su cui posano, negli angoli, quattro medaglioni con i ritratti di altrettanti giovani studiosi non identificati. Lungo i lati, invece, trovano posto l’inquartato di re Mattia e tre emblemi a lui particolarmente cari: il drago, simbolo del cavalleresco Ordine del Drago, istituito nel 1408 dall’imperatore Sigismondo di Lussemburgo, già re d’Ungheria, per fare fronte comune tra i regnanti europei contro l’avanzata dei Turchi; la botticella, </w:t>
      </w:r>
      <w:r>
        <w:rPr>
          <w:rFonts w:ascii="Times New Roman" w:hAnsi="Times New Roman" w:cs="Times New Roman"/>
          <w:sz w:val="24"/>
          <w:szCs w:val="24"/>
        </w:rPr>
        <w:t xml:space="preserve">quale allusione </w:t>
      </w:r>
      <w:r w:rsidRPr="00096909">
        <w:rPr>
          <w:rFonts w:ascii="Times New Roman" w:hAnsi="Times New Roman" w:cs="Times New Roman"/>
          <w:sz w:val="24"/>
          <w:szCs w:val="24"/>
        </w:rPr>
        <w:t>ai pregiati vini ungheresi amati dal sovrano e all’abbondanza dei beni del suo regno; il pozzo, simbolo della profondità della scienza del Corvino.</w:t>
      </w:r>
      <w:r w:rsidRPr="00096909">
        <w:rPr>
          <w:rStyle w:val="Rimandonotaapidipagina"/>
          <w:rFonts w:ascii="Times New Roman" w:hAnsi="Times New Roman" w:cs="Times New Roman"/>
          <w:sz w:val="24"/>
          <w:szCs w:val="24"/>
        </w:rPr>
        <w:footnoteReference w:id="320"/>
      </w:r>
      <w:r w:rsidRPr="00096909">
        <w:rPr>
          <w:rFonts w:ascii="Times New Roman" w:hAnsi="Times New Roman" w:cs="Times New Roman"/>
          <w:sz w:val="24"/>
          <w:szCs w:val="24"/>
        </w:rPr>
        <w:t xml:space="preserve"> Nell’iniziale C che apre il testo compare, infine, un ritratto giovanile dell’autore. </w:t>
      </w:r>
    </w:p>
    <w:p w14:paraId="279EADA4"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Naldo Naldi, poeta dalla raffinata cultura letteraria, dal 16 ottobre 1484 era stato assegnato alla cattedra di poetica e oratoria dello </w:t>
      </w:r>
      <w:r w:rsidRPr="00096909">
        <w:rPr>
          <w:rFonts w:ascii="Times New Roman" w:hAnsi="Times New Roman" w:cs="Times New Roman"/>
          <w:i/>
          <w:sz w:val="24"/>
          <w:szCs w:val="24"/>
        </w:rPr>
        <w:t>Studium Florentinum</w:t>
      </w:r>
      <w:r w:rsidRPr="00096909">
        <w:rPr>
          <w:rFonts w:ascii="Times New Roman" w:hAnsi="Times New Roman" w:cs="Times New Roman"/>
          <w:sz w:val="24"/>
          <w:szCs w:val="24"/>
        </w:rPr>
        <w:t>. In contatto con i Medici già dagli anni Sessanta, era riuscito ad attirare su di sé la benevolenza del Magnifico, che gli aveva assegnato alcuni incarichi amministrativi, del Poliziano, che gli dedicò un epigramma elogiativo, e del Ficino, con il quale intrattenne una duratura amicizia.</w:t>
      </w:r>
      <w:r w:rsidRPr="00096909">
        <w:rPr>
          <w:rStyle w:val="Rimandonotaapidipagina"/>
          <w:rFonts w:ascii="Times New Roman" w:hAnsi="Times New Roman" w:cs="Times New Roman"/>
          <w:sz w:val="24"/>
          <w:szCs w:val="24"/>
        </w:rPr>
        <w:footnoteReference w:id="321"/>
      </w:r>
      <w:r w:rsidRPr="00096909">
        <w:rPr>
          <w:rFonts w:ascii="Times New Roman" w:hAnsi="Times New Roman" w:cs="Times New Roman"/>
          <w:sz w:val="24"/>
          <w:szCs w:val="24"/>
        </w:rPr>
        <w:t xml:space="preserve"> </w:t>
      </w:r>
    </w:p>
    <w:p w14:paraId="0D782993"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Entrato anch’egli in contatto con l’Ugoletti all’epoca della sua visita fiorentina, si era reso disponibile quale garante della correttezza testuale dei codici acquistati per il re d’Ungheria; ma il suo merito maggiore nei confronti delle ambizioni del sovrano fu quello di aver contribuito con il suo poemetto laudativo alla diffusione della fama della </w:t>
      </w:r>
      <w:r>
        <w:rPr>
          <w:rFonts w:ascii="Times New Roman" w:hAnsi="Times New Roman" w:cs="Times New Roman"/>
          <w:sz w:val="24"/>
          <w:szCs w:val="24"/>
        </w:rPr>
        <w:t>C</w:t>
      </w:r>
      <w:r w:rsidRPr="00096909">
        <w:rPr>
          <w:rFonts w:ascii="Times New Roman" w:hAnsi="Times New Roman" w:cs="Times New Roman"/>
          <w:sz w:val="24"/>
          <w:szCs w:val="24"/>
        </w:rPr>
        <w:t xml:space="preserve">orviniana. Certamente, quando il bibliotecario </w:t>
      </w:r>
      <w:r>
        <w:rPr>
          <w:rFonts w:ascii="Times New Roman" w:hAnsi="Times New Roman" w:cs="Times New Roman"/>
          <w:sz w:val="24"/>
          <w:szCs w:val="24"/>
        </w:rPr>
        <w:t xml:space="preserve">gli </w:t>
      </w:r>
      <w:r w:rsidRPr="00096909">
        <w:rPr>
          <w:rFonts w:ascii="Times New Roman" w:hAnsi="Times New Roman" w:cs="Times New Roman"/>
          <w:sz w:val="24"/>
          <w:szCs w:val="24"/>
        </w:rPr>
        <w:t>si rivolse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per richiedere la scrittura dell’opera dovette essergli nota la facile vena creativa </w:t>
      </w:r>
      <w:r>
        <w:rPr>
          <w:rFonts w:ascii="Times New Roman" w:hAnsi="Times New Roman" w:cs="Times New Roman"/>
          <w:sz w:val="24"/>
          <w:szCs w:val="24"/>
        </w:rPr>
        <w:t xml:space="preserve">del </w:t>
      </w:r>
      <w:r w:rsidRPr="00096909">
        <w:rPr>
          <w:rFonts w:ascii="Times New Roman" w:hAnsi="Times New Roman" w:cs="Times New Roman"/>
          <w:sz w:val="24"/>
          <w:szCs w:val="24"/>
        </w:rPr>
        <w:t>Naldi nel genere della poesia encomiastica,</w:t>
      </w:r>
      <w:r>
        <w:rPr>
          <w:rFonts w:ascii="Times New Roman" w:hAnsi="Times New Roman" w:cs="Times New Roman"/>
          <w:sz w:val="24"/>
          <w:szCs w:val="24"/>
        </w:rPr>
        <w:t xml:space="preserve"> della quale</w:t>
      </w:r>
      <w:r w:rsidRPr="00096909">
        <w:rPr>
          <w:rFonts w:ascii="Times New Roman" w:hAnsi="Times New Roman" w:cs="Times New Roman"/>
          <w:sz w:val="24"/>
          <w:szCs w:val="24"/>
        </w:rPr>
        <w:t xml:space="preserve"> aveva dato prova in componimenti in onore dei Medici e a sostegno della loro politica. Senza soffermarci sulle lodi di Cosimo, di Piero e di Lorenzo espresse nelle </w:t>
      </w:r>
      <w:r w:rsidRPr="00096909">
        <w:rPr>
          <w:rFonts w:ascii="Times New Roman" w:hAnsi="Times New Roman" w:cs="Times New Roman"/>
          <w:i/>
          <w:sz w:val="24"/>
          <w:szCs w:val="24"/>
        </w:rPr>
        <w:t>Eclogae</w:t>
      </w:r>
      <w:r w:rsidRPr="00096909">
        <w:rPr>
          <w:rFonts w:ascii="Times New Roman" w:hAnsi="Times New Roman" w:cs="Times New Roman"/>
          <w:sz w:val="24"/>
          <w:szCs w:val="24"/>
        </w:rPr>
        <w:t xml:space="preserve"> e nei tre libri delle </w:t>
      </w:r>
      <w:r w:rsidRPr="00096909">
        <w:rPr>
          <w:rFonts w:ascii="Times New Roman" w:hAnsi="Times New Roman" w:cs="Times New Roman"/>
          <w:i/>
          <w:sz w:val="24"/>
          <w:szCs w:val="24"/>
        </w:rPr>
        <w:t xml:space="preserve">Elegiae, </w:t>
      </w:r>
      <w:r w:rsidRPr="00096909">
        <w:rPr>
          <w:rFonts w:ascii="Times New Roman" w:hAnsi="Times New Roman" w:cs="Times New Roman"/>
          <w:sz w:val="24"/>
          <w:szCs w:val="24"/>
        </w:rPr>
        <w:t xml:space="preserve">va ricordato come al poeta fosse spettato il compito di celebrare in versi latini </w:t>
      </w:r>
      <w:r>
        <w:rPr>
          <w:rFonts w:ascii="Times New Roman" w:hAnsi="Times New Roman" w:cs="Times New Roman"/>
          <w:sz w:val="24"/>
          <w:szCs w:val="24"/>
        </w:rPr>
        <w:t xml:space="preserve">tre </w:t>
      </w:r>
      <w:r w:rsidRPr="00096909">
        <w:rPr>
          <w:rFonts w:ascii="Times New Roman" w:hAnsi="Times New Roman" w:cs="Times New Roman"/>
          <w:sz w:val="24"/>
          <w:szCs w:val="24"/>
        </w:rPr>
        <w:t>eventi spettacol</w:t>
      </w:r>
      <w:r>
        <w:rPr>
          <w:rFonts w:ascii="Times New Roman" w:hAnsi="Times New Roman" w:cs="Times New Roman"/>
          <w:sz w:val="24"/>
          <w:szCs w:val="24"/>
        </w:rPr>
        <w:t>ari</w:t>
      </w:r>
      <w:r w:rsidRPr="00096909">
        <w:rPr>
          <w:rFonts w:ascii="Times New Roman" w:hAnsi="Times New Roman" w:cs="Times New Roman"/>
          <w:sz w:val="24"/>
          <w:szCs w:val="24"/>
        </w:rPr>
        <w:t xml:space="preserve"> fiorentin</w:t>
      </w:r>
      <w:r>
        <w:rPr>
          <w:rFonts w:ascii="Times New Roman" w:hAnsi="Times New Roman" w:cs="Times New Roman"/>
          <w:sz w:val="24"/>
          <w:szCs w:val="24"/>
        </w:rPr>
        <w:t>i</w:t>
      </w:r>
      <w:r w:rsidRPr="00096909">
        <w:rPr>
          <w:rFonts w:ascii="Times New Roman" w:hAnsi="Times New Roman" w:cs="Times New Roman"/>
          <w:sz w:val="24"/>
          <w:szCs w:val="24"/>
        </w:rPr>
        <w:t xml:space="preserve"> alla cui </w:t>
      </w:r>
      <w:r>
        <w:rPr>
          <w:rFonts w:ascii="Times New Roman" w:hAnsi="Times New Roman" w:cs="Times New Roman"/>
          <w:sz w:val="24"/>
          <w:szCs w:val="24"/>
        </w:rPr>
        <w:t>riuscita</w:t>
      </w:r>
      <w:r w:rsidRPr="00096909">
        <w:rPr>
          <w:rFonts w:ascii="Times New Roman" w:hAnsi="Times New Roman" w:cs="Times New Roman"/>
          <w:sz w:val="24"/>
          <w:szCs w:val="24"/>
        </w:rPr>
        <w:t xml:space="preserve"> contribuì attivamene Lorenzo de’ Medici: la giostra del 29 gennaio 1475 vinta da Giuliano de’ Medici in onore di Simonetta Vespucci Cattaneo, cantata nel </w:t>
      </w:r>
      <w:r w:rsidRPr="00096909">
        <w:rPr>
          <w:rFonts w:ascii="Times New Roman" w:hAnsi="Times New Roman" w:cs="Times New Roman"/>
          <w:i/>
          <w:sz w:val="24"/>
          <w:szCs w:val="24"/>
        </w:rPr>
        <w:t xml:space="preserve">Carmen de ludicro hastatorum equitum certamine; </w:t>
      </w:r>
      <w:r w:rsidRPr="00096909">
        <w:rPr>
          <w:rFonts w:ascii="Times New Roman" w:hAnsi="Times New Roman" w:cs="Times New Roman"/>
          <w:sz w:val="24"/>
          <w:szCs w:val="24"/>
        </w:rPr>
        <w:t xml:space="preserve">il sontuoso sposalizio di Lorenzo Tornabuoni e Giovanna degli Albizi celebrato nel settembre 1486, al quale dedicò un </w:t>
      </w:r>
      <w:r w:rsidRPr="00096909">
        <w:rPr>
          <w:rFonts w:ascii="Times New Roman" w:hAnsi="Times New Roman" w:cs="Times New Roman"/>
          <w:i/>
          <w:sz w:val="24"/>
          <w:szCs w:val="24"/>
        </w:rPr>
        <w:t>Nuptiale Carmen</w:t>
      </w:r>
      <w:r w:rsidRPr="00096909">
        <w:rPr>
          <w:rFonts w:ascii="Times New Roman" w:hAnsi="Times New Roman" w:cs="Times New Roman"/>
          <w:sz w:val="24"/>
          <w:szCs w:val="24"/>
        </w:rPr>
        <w:t>; la mascherata classica allestita dalla Compagnia della Stella durante il carnevale del 1490, descritta nell’</w:t>
      </w:r>
      <w:r w:rsidRPr="00096909">
        <w:rPr>
          <w:rFonts w:ascii="Times New Roman" w:hAnsi="Times New Roman" w:cs="Times New Roman"/>
          <w:i/>
          <w:sz w:val="24"/>
          <w:szCs w:val="24"/>
        </w:rPr>
        <w:t>Elegia in septem stellas errantes sub humana specie per urbem Florentinam</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322"/>
      </w:r>
      <w:r w:rsidRPr="00096909">
        <w:rPr>
          <w:rFonts w:ascii="Times New Roman" w:hAnsi="Times New Roman" w:cs="Times New Roman"/>
          <w:sz w:val="24"/>
          <w:szCs w:val="24"/>
        </w:rPr>
        <w:t xml:space="preserve"> </w:t>
      </w:r>
    </w:p>
    <w:p w14:paraId="55DF9A55"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Il primo di questi componimenti,</w:t>
      </w:r>
      <w:r>
        <w:rPr>
          <w:rFonts w:ascii="Times New Roman" w:hAnsi="Times New Roman" w:cs="Times New Roman"/>
          <w:sz w:val="24"/>
          <w:szCs w:val="24"/>
        </w:rPr>
        <w:t xml:space="preserve"> letto in parallelo al</w:t>
      </w:r>
      <w:r w:rsidRPr="00096909">
        <w:rPr>
          <w:rFonts w:ascii="Times New Roman" w:hAnsi="Times New Roman" w:cs="Times New Roman"/>
          <w:sz w:val="24"/>
          <w:szCs w:val="24"/>
        </w:rPr>
        <w:t xml:space="preserve">le incomplete </w:t>
      </w:r>
      <w:r w:rsidRPr="00096909">
        <w:rPr>
          <w:rFonts w:ascii="Times New Roman" w:hAnsi="Times New Roman" w:cs="Times New Roman"/>
          <w:i/>
          <w:sz w:val="24"/>
          <w:szCs w:val="24"/>
        </w:rPr>
        <w:t>Stanze per la Giostra</w:t>
      </w:r>
      <w:r w:rsidRPr="00096909">
        <w:rPr>
          <w:rFonts w:ascii="Times New Roman" w:hAnsi="Times New Roman" w:cs="Times New Roman"/>
          <w:sz w:val="24"/>
          <w:szCs w:val="24"/>
        </w:rPr>
        <w:t xml:space="preserve"> del Poliziano, è interessante per comprendere l’atteggiamento di Lorenzo nei confronti della tradizione dello spettacolo cittadino </w:t>
      </w:r>
      <w:r>
        <w:rPr>
          <w:rFonts w:ascii="Times New Roman" w:hAnsi="Times New Roman" w:cs="Times New Roman"/>
          <w:sz w:val="24"/>
          <w:szCs w:val="24"/>
        </w:rPr>
        <w:t>durante la</w:t>
      </w:r>
      <w:r w:rsidRPr="00096909">
        <w:rPr>
          <w:rFonts w:ascii="Times New Roman" w:hAnsi="Times New Roman" w:cs="Times New Roman"/>
          <w:sz w:val="24"/>
          <w:szCs w:val="24"/>
        </w:rPr>
        <w:t xml:space="preserve"> prima stagione del suo reggimento</w:t>
      </w:r>
      <w:r>
        <w:rPr>
          <w:rFonts w:ascii="Times New Roman" w:hAnsi="Times New Roman" w:cs="Times New Roman"/>
          <w:sz w:val="24"/>
          <w:szCs w:val="24"/>
        </w:rPr>
        <w:t xml:space="preserve"> e</w:t>
      </w:r>
      <w:r w:rsidRPr="00096909">
        <w:rPr>
          <w:rFonts w:ascii="Times New Roman" w:hAnsi="Times New Roman" w:cs="Times New Roman"/>
          <w:sz w:val="24"/>
          <w:szCs w:val="24"/>
        </w:rPr>
        <w:t xml:space="preserve"> il processo di promozione </w:t>
      </w:r>
      <w:r w:rsidRPr="00096909">
        <w:rPr>
          <w:rFonts w:ascii="Times New Roman" w:hAnsi="Times New Roman" w:cs="Times New Roman"/>
          <w:sz w:val="24"/>
          <w:szCs w:val="24"/>
        </w:rPr>
        <w:lastRenderedPageBreak/>
        <w:t xml:space="preserve">della propria immagine pubblica di </w:t>
      </w:r>
      <w:r w:rsidRPr="00096909">
        <w:rPr>
          <w:rFonts w:ascii="Times New Roman" w:hAnsi="Times New Roman" w:cs="Times New Roman"/>
          <w:i/>
          <w:sz w:val="24"/>
          <w:szCs w:val="24"/>
        </w:rPr>
        <w:t>primi inter pares</w:t>
      </w:r>
      <w:r w:rsidRPr="00096909">
        <w:rPr>
          <w:rFonts w:ascii="Times New Roman" w:hAnsi="Times New Roman" w:cs="Times New Roman"/>
          <w:sz w:val="24"/>
          <w:szCs w:val="24"/>
        </w:rPr>
        <w:t xml:space="preserve"> orchestrato dai Medici nel contesto oligarchico repubblicano fiorentino. </w:t>
      </w:r>
    </w:p>
    <w:p w14:paraId="7E3095FA"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Tra il 1469, anno in cui il Magnifico subentrò al padre Piero nella gestione delle influenze politiche medicee, e il 1478, anno della congiura dei Pazzi, Lorenzo non introdusse novità nel calendario festivo</w:t>
      </w:r>
      <w:r>
        <w:rPr>
          <w:rFonts w:ascii="Times New Roman" w:hAnsi="Times New Roman" w:cs="Times New Roman"/>
          <w:sz w:val="24"/>
          <w:szCs w:val="24"/>
        </w:rPr>
        <w:t xml:space="preserve"> fiorentino</w:t>
      </w:r>
      <w:r w:rsidRPr="00096909">
        <w:rPr>
          <w:rFonts w:ascii="Times New Roman" w:hAnsi="Times New Roman" w:cs="Times New Roman"/>
          <w:sz w:val="24"/>
          <w:szCs w:val="24"/>
        </w:rPr>
        <w:t>, limitandosi piuttosto a partecipare alle tradizionali giostre e armeggerie organizzate dalle brigate di giovani per il carnevale e il calendimaggio, riadattandole cautamente in base ai suoi propositi comunicativi.</w:t>
      </w:r>
      <w:r w:rsidRPr="00096909">
        <w:rPr>
          <w:rStyle w:val="Rimandonotaapidipagina"/>
          <w:rFonts w:ascii="Times New Roman" w:hAnsi="Times New Roman" w:cs="Times New Roman"/>
          <w:sz w:val="24"/>
          <w:szCs w:val="24"/>
        </w:rPr>
        <w:footnoteReference w:id="323"/>
      </w:r>
      <w:r w:rsidRPr="00096909">
        <w:rPr>
          <w:rFonts w:ascii="Times New Roman" w:hAnsi="Times New Roman" w:cs="Times New Roman"/>
          <w:sz w:val="24"/>
          <w:szCs w:val="24"/>
        </w:rPr>
        <w:t xml:space="preserve"> È questo il caso della menzionata giostra di Giuliano, nella quale furono sfoggiati dal vincitore e dai suoi </w:t>
      </w:r>
      <w:r>
        <w:rPr>
          <w:rFonts w:ascii="Times New Roman" w:hAnsi="Times New Roman" w:cs="Times New Roman"/>
          <w:sz w:val="24"/>
          <w:szCs w:val="24"/>
        </w:rPr>
        <w:t xml:space="preserve">donzelli </w:t>
      </w:r>
      <w:r w:rsidRPr="00096909">
        <w:rPr>
          <w:rFonts w:ascii="Times New Roman" w:hAnsi="Times New Roman" w:cs="Times New Roman"/>
          <w:sz w:val="24"/>
          <w:szCs w:val="24"/>
        </w:rPr>
        <w:t>divise intessute di perle e gioie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ammesse in tali occasioni grazie all’allentamento delle restrizioni prescritte dalle leggi sontuarie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e uno stendardo con l’immagine di Pallade in armi vincitrice su Cupido, che avanzando su un prato fiorito, con lo sguardo rivolto al sole, si accompagnava al motto </w:t>
      </w:r>
      <w:r w:rsidRPr="00096909">
        <w:rPr>
          <w:rFonts w:ascii="Times New Roman" w:hAnsi="Times New Roman" w:cs="Times New Roman"/>
          <w:i/>
          <w:sz w:val="24"/>
          <w:szCs w:val="24"/>
        </w:rPr>
        <w:t>la sans par</w:t>
      </w:r>
      <w:r w:rsidRPr="00096909">
        <w:rPr>
          <w:rFonts w:ascii="Times New Roman" w:hAnsi="Times New Roman" w:cs="Times New Roman"/>
          <w:sz w:val="24"/>
          <w:szCs w:val="24"/>
        </w:rPr>
        <w:t xml:space="preserve">. La complessa simbologia dell’impresa, probabilmente disegnata da Botticelli, destò l’ammirazione e la sorpresa degli spettatori, e si prestò a differenti livelli di lettura, connessi tanto </w:t>
      </w:r>
      <w:r>
        <w:rPr>
          <w:rFonts w:ascii="Times New Roman" w:hAnsi="Times New Roman" w:cs="Times New Roman"/>
          <w:sz w:val="24"/>
          <w:szCs w:val="24"/>
        </w:rPr>
        <w:t>al</w:t>
      </w:r>
      <w:r w:rsidRPr="00096909">
        <w:rPr>
          <w:rFonts w:ascii="Times New Roman" w:hAnsi="Times New Roman" w:cs="Times New Roman"/>
          <w:sz w:val="24"/>
          <w:szCs w:val="24"/>
        </w:rPr>
        <w:t xml:space="preserve">la tradizione cortese medievaleggiante del cavaliere combattente per amore della donna </w:t>
      </w:r>
      <w:r w:rsidRPr="00096909">
        <w:rPr>
          <w:rFonts w:ascii="Times New Roman" w:hAnsi="Times New Roman" w:cs="Times New Roman"/>
          <w:i/>
          <w:sz w:val="24"/>
          <w:szCs w:val="24"/>
        </w:rPr>
        <w:t>sans par</w:t>
      </w:r>
      <w:r w:rsidRPr="00096909">
        <w:rPr>
          <w:rFonts w:ascii="Times New Roman" w:hAnsi="Times New Roman" w:cs="Times New Roman"/>
          <w:sz w:val="24"/>
          <w:szCs w:val="24"/>
        </w:rPr>
        <w:t xml:space="preserve">, </w:t>
      </w:r>
      <w:r>
        <w:rPr>
          <w:rFonts w:ascii="Times New Roman" w:hAnsi="Times New Roman" w:cs="Times New Roman"/>
          <w:sz w:val="24"/>
          <w:szCs w:val="24"/>
        </w:rPr>
        <w:t>qu</w:t>
      </w:r>
      <w:r w:rsidRPr="00096909">
        <w:rPr>
          <w:rFonts w:ascii="Times New Roman" w:hAnsi="Times New Roman" w:cs="Times New Roman"/>
          <w:sz w:val="24"/>
          <w:szCs w:val="24"/>
        </w:rPr>
        <w:t xml:space="preserve">anto </w:t>
      </w:r>
      <w:r>
        <w:rPr>
          <w:rFonts w:ascii="Times New Roman" w:hAnsi="Times New Roman" w:cs="Times New Roman"/>
          <w:sz w:val="24"/>
          <w:szCs w:val="24"/>
        </w:rPr>
        <w:t>a</w:t>
      </w:r>
      <w:r w:rsidRPr="00096909">
        <w:rPr>
          <w:rFonts w:ascii="Times New Roman" w:hAnsi="Times New Roman" w:cs="Times New Roman"/>
          <w:sz w:val="24"/>
          <w:szCs w:val="24"/>
        </w:rPr>
        <w:t>l processo neoplatonico d’elevazione all’amore contemplativo cui la bella Simonetta, sposa fedele del medico Marco Vespucci, avrebbe guidato Giuliano, rendendolo capace di compiere grandi imprese per la propria gloria e per il bene della città.</w:t>
      </w:r>
      <w:r w:rsidRPr="00096909">
        <w:rPr>
          <w:rStyle w:val="Rimandonotaapidipagina"/>
          <w:rFonts w:ascii="Times New Roman" w:hAnsi="Times New Roman" w:cs="Times New Roman"/>
          <w:sz w:val="24"/>
          <w:szCs w:val="24"/>
        </w:rPr>
        <w:footnoteReference w:id="324"/>
      </w:r>
      <w:r w:rsidRPr="00096909">
        <w:rPr>
          <w:rFonts w:ascii="Times New Roman" w:hAnsi="Times New Roman" w:cs="Times New Roman"/>
          <w:sz w:val="24"/>
          <w:szCs w:val="24"/>
        </w:rPr>
        <w:t xml:space="preserve"> </w:t>
      </w:r>
    </w:p>
    <w:p w14:paraId="28F695A0"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Ad Angelo Poliziano </w:t>
      </w:r>
      <w:r>
        <w:rPr>
          <w:rFonts w:ascii="Times New Roman" w:hAnsi="Times New Roman" w:cs="Times New Roman"/>
          <w:sz w:val="24"/>
          <w:szCs w:val="24"/>
        </w:rPr>
        <w:t>spettò</w:t>
      </w:r>
      <w:r w:rsidRPr="00096909">
        <w:rPr>
          <w:rFonts w:ascii="Times New Roman" w:hAnsi="Times New Roman" w:cs="Times New Roman"/>
          <w:sz w:val="24"/>
          <w:szCs w:val="24"/>
        </w:rPr>
        <w:t xml:space="preserve"> il compito di connettere </w:t>
      </w:r>
      <w:r>
        <w:rPr>
          <w:rFonts w:ascii="Times New Roman" w:hAnsi="Times New Roman" w:cs="Times New Roman"/>
          <w:sz w:val="24"/>
          <w:szCs w:val="24"/>
        </w:rPr>
        <w:t xml:space="preserve">questo </w:t>
      </w:r>
      <w:r w:rsidRPr="00096909">
        <w:rPr>
          <w:rFonts w:ascii="Times New Roman" w:hAnsi="Times New Roman" w:cs="Times New Roman"/>
          <w:sz w:val="24"/>
          <w:szCs w:val="24"/>
        </w:rPr>
        <w:t>evento spettacolare al processo di elevazione della natura umana vagheggiato da Marsilio Ficino</w:t>
      </w:r>
      <w:r>
        <w:rPr>
          <w:rFonts w:ascii="Times New Roman" w:hAnsi="Times New Roman" w:cs="Times New Roman"/>
          <w:sz w:val="24"/>
          <w:szCs w:val="24"/>
        </w:rPr>
        <w:t>,</w:t>
      </w:r>
      <w:r w:rsidRPr="00096909">
        <w:rPr>
          <w:rFonts w:ascii="Times New Roman" w:hAnsi="Times New Roman" w:cs="Times New Roman"/>
          <w:sz w:val="24"/>
          <w:szCs w:val="24"/>
        </w:rPr>
        <w:t xml:space="preserve"> narra</w:t>
      </w:r>
      <w:r>
        <w:rPr>
          <w:rFonts w:ascii="Times New Roman" w:hAnsi="Times New Roman" w:cs="Times New Roman"/>
          <w:sz w:val="24"/>
          <w:szCs w:val="24"/>
        </w:rPr>
        <w:t xml:space="preserve">ndo </w:t>
      </w:r>
      <w:r w:rsidRPr="00096909">
        <w:rPr>
          <w:rFonts w:ascii="Times New Roman" w:hAnsi="Times New Roman" w:cs="Times New Roman"/>
          <w:sz w:val="24"/>
          <w:szCs w:val="24"/>
        </w:rPr>
        <w:t xml:space="preserve">l’antefatto </w:t>
      </w:r>
      <w:r>
        <w:rPr>
          <w:rFonts w:ascii="Times New Roman" w:hAnsi="Times New Roman" w:cs="Times New Roman"/>
          <w:sz w:val="24"/>
          <w:szCs w:val="24"/>
        </w:rPr>
        <w:t>de</w:t>
      </w:r>
      <w:r w:rsidRPr="00096909">
        <w:rPr>
          <w:rFonts w:ascii="Times New Roman" w:hAnsi="Times New Roman" w:cs="Times New Roman"/>
          <w:sz w:val="24"/>
          <w:szCs w:val="24"/>
        </w:rPr>
        <w:t xml:space="preserve">lla giostra </w:t>
      </w:r>
      <w:r>
        <w:rPr>
          <w:rFonts w:ascii="Times New Roman" w:hAnsi="Times New Roman" w:cs="Times New Roman"/>
          <w:sz w:val="24"/>
          <w:szCs w:val="24"/>
        </w:rPr>
        <w:t>n</w:t>
      </w:r>
      <w:r w:rsidRPr="00096909">
        <w:rPr>
          <w:rFonts w:ascii="Times New Roman" w:hAnsi="Times New Roman" w:cs="Times New Roman"/>
          <w:sz w:val="24"/>
          <w:szCs w:val="24"/>
        </w:rPr>
        <w:t xml:space="preserve">elle sue </w:t>
      </w:r>
      <w:r w:rsidRPr="00096909">
        <w:rPr>
          <w:rFonts w:ascii="Times New Roman" w:hAnsi="Times New Roman" w:cs="Times New Roman"/>
          <w:i/>
          <w:sz w:val="24"/>
          <w:szCs w:val="24"/>
        </w:rPr>
        <w:t>Stanze</w:t>
      </w:r>
      <w:r>
        <w:rPr>
          <w:rFonts w:ascii="Times New Roman" w:hAnsi="Times New Roman" w:cs="Times New Roman"/>
          <w:i/>
          <w:sz w:val="24"/>
          <w:szCs w:val="24"/>
        </w:rPr>
        <w:t xml:space="preserve">, </w:t>
      </w:r>
      <w:r w:rsidRPr="004D1184">
        <w:rPr>
          <w:rFonts w:ascii="Times New Roman" w:hAnsi="Times New Roman" w:cs="Times New Roman"/>
          <w:sz w:val="24"/>
          <w:szCs w:val="24"/>
        </w:rPr>
        <w:t>nelle quali</w:t>
      </w:r>
      <w:r w:rsidRPr="00096909">
        <w:rPr>
          <w:rFonts w:ascii="Times New Roman" w:hAnsi="Times New Roman" w:cs="Times New Roman"/>
          <w:sz w:val="24"/>
          <w:szCs w:val="24"/>
        </w:rPr>
        <w:t xml:space="preserve"> Giuliano adolescente, intento in una battuta di caccia, è attratto da una cerva, ma proprio mentre sta per catturarla essa svanisce per lasciare posto alla bella Simonetta, della quale il giovane si innamora. Scoperto che non potrà possedere la fanciulla, Giuliano dovrà apprendere come amarla per mezzo di una sublimata passione intellettuale, domando i sensi e giungendo ad un grado superiore d’affinamento dell’anima. </w:t>
      </w:r>
    </w:p>
    <w:p w14:paraId="16D6F411"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passaggio all’età adulta del rampollo di casa Medici veniva così magnificamente espresso per mezzo d’immagini poetiche. Nell’introduzione alla sua recente edizione delle </w:t>
      </w:r>
      <w:r w:rsidRPr="00096909">
        <w:rPr>
          <w:rFonts w:ascii="Times New Roman" w:hAnsi="Times New Roman" w:cs="Times New Roman"/>
          <w:i/>
          <w:sz w:val="24"/>
          <w:szCs w:val="24"/>
        </w:rPr>
        <w:t>Stanze</w:t>
      </w:r>
      <w:r w:rsidRPr="00096909">
        <w:rPr>
          <w:rFonts w:ascii="Times New Roman" w:hAnsi="Times New Roman" w:cs="Times New Roman"/>
          <w:sz w:val="24"/>
          <w:szCs w:val="24"/>
        </w:rPr>
        <w:t xml:space="preserve"> Francesco Bausi ha osservato come l’Ambrogini nella </w:t>
      </w:r>
      <w:r w:rsidRPr="00096909">
        <w:rPr>
          <w:rFonts w:ascii="Times New Roman" w:hAnsi="Times New Roman" w:cs="Times New Roman"/>
          <w:i/>
          <w:sz w:val="24"/>
          <w:szCs w:val="24"/>
        </w:rPr>
        <w:t>Sylva in scabiem</w:t>
      </w:r>
      <w:r w:rsidRPr="00096909">
        <w:rPr>
          <w:rFonts w:ascii="Times New Roman" w:hAnsi="Times New Roman" w:cs="Times New Roman"/>
          <w:sz w:val="24"/>
          <w:szCs w:val="24"/>
        </w:rPr>
        <w:t xml:space="preserve">, databile al 1477-1480, </w:t>
      </w:r>
      <w:r>
        <w:rPr>
          <w:rFonts w:ascii="Times New Roman" w:hAnsi="Times New Roman" w:cs="Times New Roman"/>
          <w:sz w:val="24"/>
          <w:szCs w:val="24"/>
        </w:rPr>
        <w:lastRenderedPageBreak/>
        <w:t>abbia alluso</w:t>
      </w:r>
      <w:r w:rsidRPr="00096909">
        <w:rPr>
          <w:rFonts w:ascii="Times New Roman" w:hAnsi="Times New Roman" w:cs="Times New Roman"/>
          <w:sz w:val="24"/>
          <w:szCs w:val="24"/>
        </w:rPr>
        <w:t xml:space="preserve"> al proprio poema sulla giostra come ad uno scritto terminato, completo anche delle sezioni dedicate al combattimento di Giuliano. Di questa redazione non </w:t>
      </w:r>
      <w:r>
        <w:rPr>
          <w:rFonts w:ascii="Times New Roman" w:hAnsi="Times New Roman" w:cs="Times New Roman"/>
          <w:sz w:val="24"/>
          <w:szCs w:val="24"/>
        </w:rPr>
        <w:t>è</w:t>
      </w:r>
      <w:r w:rsidRPr="00096909">
        <w:rPr>
          <w:rFonts w:ascii="Times New Roman" w:hAnsi="Times New Roman" w:cs="Times New Roman"/>
          <w:sz w:val="24"/>
          <w:szCs w:val="24"/>
        </w:rPr>
        <w:t xml:space="preserve"> giunto alcun testimone, ma è </w:t>
      </w:r>
      <w:r>
        <w:rPr>
          <w:rFonts w:ascii="Times New Roman" w:hAnsi="Times New Roman" w:cs="Times New Roman"/>
          <w:sz w:val="24"/>
          <w:szCs w:val="24"/>
        </w:rPr>
        <w:t>possibile ipotizzare</w:t>
      </w:r>
      <w:r w:rsidRPr="00096909">
        <w:rPr>
          <w:rFonts w:ascii="Times New Roman" w:hAnsi="Times New Roman" w:cs="Times New Roman"/>
          <w:sz w:val="24"/>
          <w:szCs w:val="24"/>
        </w:rPr>
        <w:t xml:space="preserve">, con lo studioso, che essa fosse stata effettivamente realizzata, pubblicata e forse data alle stampe, in ragione della particolare natura di </w:t>
      </w:r>
      <w:r>
        <w:rPr>
          <w:rFonts w:ascii="Times New Roman" w:hAnsi="Times New Roman" w:cs="Times New Roman"/>
          <w:sz w:val="24"/>
          <w:szCs w:val="24"/>
        </w:rPr>
        <w:t>s</w:t>
      </w:r>
      <w:r w:rsidRPr="00096909">
        <w:rPr>
          <w:rFonts w:ascii="Times New Roman" w:hAnsi="Times New Roman" w:cs="Times New Roman"/>
          <w:sz w:val="24"/>
          <w:szCs w:val="24"/>
        </w:rPr>
        <w:t>i</w:t>
      </w:r>
      <w:r>
        <w:rPr>
          <w:rFonts w:ascii="Times New Roman" w:hAnsi="Times New Roman" w:cs="Times New Roman"/>
          <w:sz w:val="24"/>
          <w:szCs w:val="24"/>
        </w:rPr>
        <w:t>mili</w:t>
      </w:r>
      <w:r w:rsidRPr="00096909">
        <w:rPr>
          <w:rFonts w:ascii="Times New Roman" w:hAnsi="Times New Roman" w:cs="Times New Roman"/>
          <w:sz w:val="24"/>
          <w:szCs w:val="24"/>
        </w:rPr>
        <w:t xml:space="preserve"> testi, composti per circolare tra i lettori immediatamente dopo lo svolgimento dei fatti narrati. Se così fosse, osserva Bausi, in occasione della giostra del 1475 si sarebbe assistito alla circolazione di due cronache dell’evento, una in volgare e una in latino, proprio come </w:t>
      </w:r>
      <w:r>
        <w:rPr>
          <w:rFonts w:ascii="Times New Roman" w:hAnsi="Times New Roman" w:cs="Times New Roman"/>
          <w:sz w:val="24"/>
          <w:szCs w:val="24"/>
        </w:rPr>
        <w:t xml:space="preserve">era accaduto </w:t>
      </w:r>
      <w:r w:rsidRPr="00096909">
        <w:rPr>
          <w:rFonts w:ascii="Times New Roman" w:hAnsi="Times New Roman" w:cs="Times New Roman"/>
          <w:sz w:val="24"/>
          <w:szCs w:val="24"/>
        </w:rPr>
        <w:t xml:space="preserve">nel 1469 per quella vinta da Lorenzo </w:t>
      </w:r>
      <w:r>
        <w:rPr>
          <w:rFonts w:ascii="Times New Roman" w:hAnsi="Times New Roman" w:cs="Times New Roman"/>
          <w:sz w:val="24"/>
          <w:szCs w:val="24"/>
        </w:rPr>
        <w:t xml:space="preserve">quando </w:t>
      </w:r>
      <w:r w:rsidRPr="00096909">
        <w:rPr>
          <w:rFonts w:ascii="Times New Roman" w:hAnsi="Times New Roman" w:cs="Times New Roman"/>
          <w:sz w:val="24"/>
          <w:szCs w:val="24"/>
        </w:rPr>
        <w:t>si e</w:t>
      </w:r>
      <w:r>
        <w:rPr>
          <w:rFonts w:ascii="Times New Roman" w:hAnsi="Times New Roman" w:cs="Times New Roman"/>
          <w:sz w:val="24"/>
          <w:szCs w:val="24"/>
        </w:rPr>
        <w:t>rano avute</w:t>
      </w:r>
      <w:r w:rsidRPr="00096909">
        <w:rPr>
          <w:rFonts w:ascii="Times New Roman" w:hAnsi="Times New Roman" w:cs="Times New Roman"/>
          <w:sz w:val="24"/>
          <w:szCs w:val="24"/>
        </w:rPr>
        <w:t xml:space="preserve"> le due descrizioni, una in volgare e l’altra latina, composte da Lugi Pulci e da Ugolino Verino</w:t>
      </w:r>
      <w:r w:rsidRPr="00096909">
        <w:rPr>
          <w:rFonts w:ascii="Times New Roman" w:hAnsi="Times New Roman" w:cs="Times New Roman"/>
        </w:rPr>
        <w:t>.</w:t>
      </w:r>
      <w:r w:rsidRPr="00096909">
        <w:rPr>
          <w:rStyle w:val="Rimandonotaapidipagina"/>
          <w:rFonts w:ascii="Times New Roman" w:hAnsi="Times New Roman" w:cs="Times New Roman"/>
          <w:sz w:val="24"/>
          <w:szCs w:val="24"/>
        </w:rPr>
        <w:footnoteReference w:id="325"/>
      </w:r>
      <w:r w:rsidRPr="00096909">
        <w:rPr>
          <w:rFonts w:ascii="Times New Roman" w:hAnsi="Times New Roman" w:cs="Times New Roman"/>
          <w:sz w:val="24"/>
          <w:szCs w:val="24"/>
        </w:rPr>
        <w:t xml:space="preserve"> </w:t>
      </w:r>
    </w:p>
    <w:p w14:paraId="4F5DFAF4"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 Naldo Naldi toccò </w:t>
      </w:r>
      <w:r>
        <w:rPr>
          <w:rFonts w:ascii="Times New Roman" w:hAnsi="Times New Roman" w:cs="Times New Roman"/>
          <w:sz w:val="24"/>
          <w:szCs w:val="24"/>
        </w:rPr>
        <w:t>pertanto la redazione della</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seconda </w:t>
      </w:r>
      <w:r w:rsidRPr="00096909">
        <w:rPr>
          <w:rFonts w:ascii="Times New Roman" w:hAnsi="Times New Roman" w:cs="Times New Roman"/>
          <w:sz w:val="24"/>
          <w:szCs w:val="24"/>
        </w:rPr>
        <w:t>descri</w:t>
      </w:r>
      <w:r>
        <w:rPr>
          <w:rFonts w:ascii="Times New Roman" w:hAnsi="Times New Roman" w:cs="Times New Roman"/>
          <w:sz w:val="24"/>
          <w:szCs w:val="24"/>
        </w:rPr>
        <w:t>zione</w:t>
      </w:r>
      <w:r w:rsidRPr="00096909">
        <w:rPr>
          <w:rFonts w:ascii="Times New Roman" w:hAnsi="Times New Roman" w:cs="Times New Roman"/>
          <w:sz w:val="24"/>
          <w:szCs w:val="24"/>
        </w:rPr>
        <w:t xml:space="preserve"> </w:t>
      </w:r>
      <w:r>
        <w:rPr>
          <w:rFonts w:ascii="Times New Roman" w:hAnsi="Times New Roman" w:cs="Times New Roman"/>
          <w:sz w:val="24"/>
          <w:szCs w:val="24"/>
        </w:rPr>
        <w:t>de</w:t>
      </w:r>
      <w:r w:rsidRPr="00096909">
        <w:rPr>
          <w:rFonts w:ascii="Times New Roman" w:hAnsi="Times New Roman" w:cs="Times New Roman"/>
          <w:sz w:val="24"/>
          <w:szCs w:val="24"/>
        </w:rPr>
        <w:t xml:space="preserve">l combattimento di Giuliano in esametri </w:t>
      </w:r>
      <w:r>
        <w:rPr>
          <w:rFonts w:ascii="Times New Roman" w:hAnsi="Times New Roman" w:cs="Times New Roman"/>
          <w:sz w:val="24"/>
          <w:szCs w:val="24"/>
        </w:rPr>
        <w:t xml:space="preserve">latini </w:t>
      </w:r>
      <w:r w:rsidRPr="00096909">
        <w:rPr>
          <w:rFonts w:ascii="Times New Roman" w:hAnsi="Times New Roman" w:cs="Times New Roman"/>
          <w:sz w:val="24"/>
          <w:szCs w:val="24"/>
        </w:rPr>
        <w:t>immediatamente a ridosso del suo svolgimento; rendendolo impresa degna dei toni dell’epica classica virgiliana, ma senza rinunciare a una registrazione abbastanza precisa dei momenti dello spettacolo.</w:t>
      </w:r>
      <w:r w:rsidRPr="00096909">
        <w:rPr>
          <w:rStyle w:val="Rimandonotaapidipagina"/>
          <w:rFonts w:ascii="Times New Roman" w:hAnsi="Times New Roman" w:cs="Times New Roman"/>
          <w:sz w:val="24"/>
          <w:szCs w:val="24"/>
        </w:rPr>
        <w:footnoteReference w:id="326"/>
      </w:r>
      <w:r w:rsidRPr="00096909">
        <w:rPr>
          <w:rFonts w:ascii="Times New Roman" w:hAnsi="Times New Roman" w:cs="Times New Roman"/>
          <w:sz w:val="24"/>
          <w:szCs w:val="24"/>
        </w:rPr>
        <w:t xml:space="preserve"> </w:t>
      </w:r>
    </w:p>
    <w:p w14:paraId="6371471E" w14:textId="77777777" w:rsidR="008742A3" w:rsidRPr="00096909" w:rsidRDefault="008742A3" w:rsidP="008742A3">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carme si apre con la descrizione delle gradinate e dei parapetti in legno predisposti in piazza Santa Croce per consentire agli spettatori di assistere in sicurezza alla giostra: </w:t>
      </w:r>
    </w:p>
    <w:p w14:paraId="0BC239FF" w14:textId="77777777" w:rsidR="008742A3" w:rsidRPr="00096909" w:rsidRDefault="008742A3" w:rsidP="008742A3">
      <w:pPr>
        <w:spacing w:after="0" w:line="360" w:lineRule="auto"/>
        <w:ind w:right="-1"/>
        <w:jc w:val="both"/>
        <w:rPr>
          <w:rFonts w:ascii="Times New Roman" w:hAnsi="Times New Roman" w:cs="Times New Roman"/>
          <w:sz w:val="20"/>
          <w:szCs w:val="20"/>
        </w:rPr>
      </w:pPr>
    </w:p>
    <w:p w14:paraId="353794EC" w14:textId="77777777" w:rsidR="008742A3" w:rsidRPr="00096909" w:rsidRDefault="008742A3" w:rsidP="008742A3">
      <w:pPr>
        <w:spacing w:after="0" w:line="360" w:lineRule="auto"/>
        <w:ind w:left="2268" w:right="-1"/>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 xml:space="preserve">Est locus Etrusca penitus campestris in urbe: </w:t>
      </w:r>
    </w:p>
    <w:p w14:paraId="3058FECC"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 xml:space="preserve">hic, ubi se tollit templum sublime columnis, </w:t>
      </w:r>
    </w:p>
    <w:p w14:paraId="6133A283"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inque Crucis nomen celeberrima sacra coluntur,</w:t>
      </w:r>
    </w:p>
    <w:p w14:paraId="14EE6398"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 xml:space="preserve">ante gradus templi spatio patet area quadro, </w:t>
      </w:r>
    </w:p>
    <w:p w14:paraId="186F7631"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 xml:space="preserve">quam circum variaeque domus variique Penates </w:t>
      </w:r>
    </w:p>
    <w:p w14:paraId="07160395"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Tyrrhenis constant: huc se, cum ludicra Lydi</w:t>
      </w:r>
    </w:p>
    <w:p w14:paraId="72940D12"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 xml:space="preserve">Exercere volunt acris certamina Martis, </w:t>
      </w:r>
    </w:p>
    <w:p w14:paraId="34C6503E"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consuevere quidem nitidis conferre sub armis:</w:t>
      </w:r>
    </w:p>
    <w:p w14:paraId="37013929"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nam datur ad ludos illic locus amplus habendos</w:t>
      </w:r>
    </w:p>
    <w:p w14:paraId="44FA9D2E"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ingentis caveae, tignis quam saepta subactis</w:t>
      </w:r>
    </w:p>
    <w:p w14:paraId="5D6CCBE5"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 xml:space="preserve">in terram faciunt tabulis contexta refixis, </w:t>
      </w:r>
    </w:p>
    <w:p w14:paraId="31D6F665"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forte tridentatis ne Mars dum fervet in hastis</w:t>
      </w:r>
    </w:p>
    <w:p w14:paraId="1EB7513E"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 xml:space="preserve">civis ab impulsu quisquam laedatur equorum. </w:t>
      </w:r>
    </w:p>
    <w:p w14:paraId="79B4751C"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rPr>
      </w:pPr>
      <w:r w:rsidRPr="00096909">
        <w:rPr>
          <w:rFonts w:ascii="Times New Roman" w:hAnsi="Times New Roman" w:cs="Times New Roman"/>
          <w:i/>
          <w:sz w:val="20"/>
          <w:szCs w:val="20"/>
        </w:rPr>
        <w:t>Preterea nobis quoniam repetatur origo</w:t>
      </w:r>
    </w:p>
    <w:p w14:paraId="1AFDBF37"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rPr>
      </w:pPr>
      <w:r w:rsidRPr="00096909">
        <w:rPr>
          <w:rFonts w:ascii="Times New Roman" w:hAnsi="Times New Roman" w:cs="Times New Roman"/>
          <w:i/>
          <w:sz w:val="20"/>
          <w:szCs w:val="20"/>
        </w:rPr>
        <w:t xml:space="preserve">militibus Sullae deducta ferocibus olim, </w:t>
      </w:r>
    </w:p>
    <w:p w14:paraId="139D6731"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rPr>
      </w:pPr>
      <w:r w:rsidRPr="00096909">
        <w:rPr>
          <w:rFonts w:ascii="Times New Roman" w:hAnsi="Times New Roman" w:cs="Times New Roman"/>
          <w:i/>
          <w:sz w:val="20"/>
          <w:szCs w:val="20"/>
        </w:rPr>
        <w:t xml:space="preserve">mos nostra ut veterum servetur in urbe Quiritum, </w:t>
      </w:r>
    </w:p>
    <w:p w14:paraId="188C7DD9"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rPr>
      </w:pPr>
      <w:r w:rsidRPr="00096909">
        <w:rPr>
          <w:rFonts w:ascii="Times New Roman" w:hAnsi="Times New Roman" w:cs="Times New Roman"/>
          <w:i/>
          <w:sz w:val="20"/>
          <w:szCs w:val="20"/>
        </w:rPr>
        <w:t>omnibus inde viris spectare volentibus acrem</w:t>
      </w:r>
    </w:p>
    <w:p w14:paraId="60C4A667"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rPr>
      </w:pPr>
      <w:r w:rsidRPr="00096909">
        <w:rPr>
          <w:rFonts w:ascii="Times New Roman" w:hAnsi="Times New Roman" w:cs="Times New Roman"/>
          <w:i/>
          <w:sz w:val="20"/>
          <w:szCs w:val="20"/>
        </w:rPr>
        <w:t>hastatorum equitum pugnam, tabula parantur</w:t>
      </w:r>
    </w:p>
    <w:p w14:paraId="73309C93"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rPr>
      </w:pPr>
      <w:r w:rsidRPr="00096909">
        <w:rPr>
          <w:rFonts w:ascii="Times New Roman" w:hAnsi="Times New Roman" w:cs="Times New Roman"/>
          <w:i/>
          <w:sz w:val="20"/>
          <w:szCs w:val="20"/>
        </w:rPr>
        <w:lastRenderedPageBreak/>
        <w:t xml:space="preserve">in declive quidem, Romani more theatri, </w:t>
      </w:r>
    </w:p>
    <w:p w14:paraId="2AF3A778"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ad caveam, possit popuus quo rite tueri</w:t>
      </w:r>
    </w:p>
    <w:p w14:paraId="606C6801" w14:textId="77777777" w:rsidR="008742A3" w:rsidRPr="00096909" w:rsidRDefault="008742A3" w:rsidP="008742A3">
      <w:pPr>
        <w:spacing w:after="0" w:line="360" w:lineRule="auto"/>
        <w:ind w:left="4536" w:right="-1" w:hanging="2268"/>
        <w:jc w:val="both"/>
        <w:rPr>
          <w:rFonts w:ascii="Times New Roman" w:hAnsi="Times New Roman" w:cs="Times New Roman"/>
          <w:i/>
          <w:sz w:val="20"/>
          <w:szCs w:val="20"/>
        </w:rPr>
      </w:pPr>
      <w:r w:rsidRPr="00096909">
        <w:rPr>
          <w:rFonts w:ascii="Times New Roman" w:hAnsi="Times New Roman" w:cs="Times New Roman"/>
          <w:i/>
          <w:sz w:val="20"/>
          <w:szCs w:val="20"/>
        </w:rPr>
        <w:t>proelia, que Tusci (tanta est sibi gloria curae)</w:t>
      </w:r>
    </w:p>
    <w:p w14:paraId="39DEDE28" w14:textId="77777777" w:rsidR="008742A3" w:rsidRPr="00096909" w:rsidRDefault="008742A3" w:rsidP="008742A3">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i/>
          <w:sz w:val="20"/>
          <w:szCs w:val="20"/>
        </w:rPr>
        <w:t>pro pulchro inter se cives meditantur honore</w:t>
      </w:r>
      <w:r w:rsidRPr="00096909">
        <w:rPr>
          <w:rFonts w:ascii="Times New Roman" w:hAnsi="Times New Roman" w:cs="Times New Roman"/>
          <w:sz w:val="20"/>
          <w:szCs w:val="20"/>
        </w:rPr>
        <w:t>.</w:t>
      </w:r>
      <w:r w:rsidRPr="00096909">
        <w:rPr>
          <w:rStyle w:val="Rimandonotaapidipagina"/>
          <w:rFonts w:ascii="Times New Roman" w:hAnsi="Times New Roman" w:cs="Times New Roman"/>
        </w:rPr>
        <w:footnoteReference w:id="327"/>
      </w:r>
    </w:p>
    <w:p w14:paraId="35FD7EAC" w14:textId="77777777" w:rsidR="008742A3" w:rsidRPr="00096909" w:rsidRDefault="008742A3" w:rsidP="008742A3">
      <w:pPr>
        <w:spacing w:after="0" w:line="360" w:lineRule="auto"/>
        <w:ind w:left="2268" w:right="-1"/>
        <w:jc w:val="both"/>
        <w:rPr>
          <w:rFonts w:ascii="Times New Roman" w:hAnsi="Times New Roman" w:cs="Times New Roman"/>
          <w:sz w:val="20"/>
          <w:szCs w:val="20"/>
        </w:rPr>
      </w:pPr>
    </w:p>
    <w:p w14:paraId="58F153AA" w14:textId="77777777" w:rsidR="008742A3" w:rsidRPr="00096909" w:rsidRDefault="008742A3" w:rsidP="008742A3">
      <w:pPr>
        <w:tabs>
          <w:tab w:val="left" w:pos="0"/>
        </w:tabs>
        <w:spacing w:after="0" w:line="360" w:lineRule="auto"/>
        <w:ind w:right="-1"/>
        <w:jc w:val="both"/>
        <w:rPr>
          <w:rFonts w:ascii="Times New Roman" w:hAnsi="Times New Roman" w:cs="Times New Roman"/>
          <w:sz w:val="24"/>
          <w:szCs w:val="24"/>
        </w:rPr>
      </w:pPr>
    </w:p>
    <w:p w14:paraId="3D239007" w14:textId="77777777" w:rsidR="008742A3" w:rsidRPr="00096909" w:rsidRDefault="008742A3" w:rsidP="008742A3">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Segue quindi la presentazione dei giovani delle famiglie del patriziato fiorentino che, insieme a Rodolfo Gonzaga, affrontarono Giuliano nello scontro, dei quali i versi di Naldi elogiano l’eccellenza delle armi e la bellezza di elmi e armature, mentre le loro virtù sono messe a paragone con quelle di dèi e semidei dell’epica classica.</w:t>
      </w:r>
      <w:r w:rsidRPr="00096909">
        <w:rPr>
          <w:rStyle w:val="Rimandonotaapidipagina"/>
          <w:rFonts w:ascii="Times New Roman" w:hAnsi="Times New Roman" w:cs="Times New Roman"/>
          <w:sz w:val="24"/>
          <w:szCs w:val="24"/>
        </w:rPr>
        <w:footnoteReference w:id="328"/>
      </w:r>
      <w:r w:rsidRPr="00096909">
        <w:rPr>
          <w:rFonts w:ascii="Times New Roman" w:hAnsi="Times New Roman" w:cs="Times New Roman"/>
          <w:sz w:val="24"/>
          <w:szCs w:val="24"/>
        </w:rPr>
        <w:t xml:space="preserve"> </w:t>
      </w:r>
    </w:p>
    <w:p w14:paraId="18592C45" w14:textId="77777777" w:rsidR="008742A3" w:rsidRDefault="008742A3" w:rsidP="008742A3">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Sospeso tra la realistica registrazione dell’evento e la sua trasposizione mitopoietica, il testo dell’</w:t>
      </w:r>
      <w:r w:rsidRPr="00096909">
        <w:rPr>
          <w:rFonts w:ascii="Times New Roman" w:hAnsi="Times New Roman" w:cs="Times New Roman"/>
          <w:i/>
          <w:sz w:val="24"/>
          <w:szCs w:val="24"/>
        </w:rPr>
        <w:t>Hastiludium</w:t>
      </w:r>
      <w:r w:rsidRPr="00096909">
        <w:rPr>
          <w:rFonts w:ascii="Times New Roman" w:hAnsi="Times New Roman" w:cs="Times New Roman"/>
          <w:sz w:val="24"/>
          <w:szCs w:val="24"/>
        </w:rPr>
        <w:t xml:space="preserve"> fu edito in un incunabolo </w:t>
      </w:r>
      <w:r w:rsidRPr="00096909">
        <w:rPr>
          <w:rFonts w:ascii="Times New Roman" w:hAnsi="Times New Roman" w:cs="Times New Roman"/>
          <w:i/>
          <w:sz w:val="24"/>
          <w:szCs w:val="24"/>
        </w:rPr>
        <w:t>sine notis</w:t>
      </w:r>
      <w:r w:rsidRPr="00096909">
        <w:rPr>
          <w:rFonts w:ascii="Times New Roman" w:hAnsi="Times New Roman" w:cs="Times New Roman"/>
          <w:sz w:val="24"/>
          <w:szCs w:val="24"/>
        </w:rPr>
        <w:t xml:space="preserve"> di dieci carte assegnato ai torchi fiorentini di Francesco di Dino. </w:t>
      </w:r>
    </w:p>
    <w:p w14:paraId="300410BC" w14:textId="77777777" w:rsidR="008742A3" w:rsidRPr="00096909" w:rsidRDefault="008742A3" w:rsidP="008742A3">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i/>
          <w:sz w:val="24"/>
          <w:szCs w:val="24"/>
        </w:rPr>
        <w:t>S</w:t>
      </w:r>
      <w:r w:rsidRPr="00096909">
        <w:rPr>
          <w:rFonts w:ascii="Times New Roman" w:hAnsi="Times New Roman" w:cs="Times New Roman"/>
          <w:i/>
          <w:sz w:val="24"/>
          <w:szCs w:val="24"/>
        </w:rPr>
        <w:t>ine notis</w:t>
      </w:r>
      <w:r w:rsidRPr="00096909">
        <w:rPr>
          <w:rFonts w:ascii="Times New Roman" w:hAnsi="Times New Roman" w:cs="Times New Roman"/>
          <w:sz w:val="24"/>
          <w:szCs w:val="24"/>
        </w:rPr>
        <w:t xml:space="preserve"> apparve anche l’</w:t>
      </w:r>
      <w:r w:rsidRPr="00096909">
        <w:rPr>
          <w:rFonts w:ascii="Times New Roman" w:hAnsi="Times New Roman" w:cs="Times New Roman"/>
          <w:i/>
          <w:sz w:val="24"/>
          <w:szCs w:val="24"/>
        </w:rPr>
        <w:t>Elegia in septem stellas errantes sub humana specie per urbem Florentinam curribus a Laurentio Medice patriae patre duci iussas more triumphantium,</w:t>
      </w:r>
      <w:r w:rsidRPr="00096909">
        <w:rPr>
          <w:rFonts w:ascii="Times New Roman" w:hAnsi="Times New Roman" w:cs="Times New Roman"/>
          <w:sz w:val="24"/>
          <w:szCs w:val="24"/>
        </w:rPr>
        <w:t xml:space="preserve"> dedicata alla sfilata di soggetto mitologico organizzata per il carnevale 1490: evento segnato da un’iniziativa del Magnifico sulle feste cittadine più scoperta in ragione del conseguimento di una maggiore stabilità del proprio potere dopo la sventata congiura dei Pazzi e l’ascesa al cardinalato del figlio Giovanni.</w:t>
      </w:r>
      <w:r w:rsidRPr="00096909">
        <w:rPr>
          <w:rStyle w:val="Rimandonotaapidipagina"/>
          <w:rFonts w:ascii="Times New Roman" w:hAnsi="Times New Roman" w:cs="Times New Roman"/>
          <w:sz w:val="24"/>
          <w:szCs w:val="24"/>
        </w:rPr>
        <w:footnoteReference w:id="329"/>
      </w:r>
      <w:r w:rsidRPr="00096909">
        <w:rPr>
          <w:rFonts w:ascii="Times New Roman" w:hAnsi="Times New Roman" w:cs="Times New Roman"/>
          <w:sz w:val="24"/>
          <w:szCs w:val="24"/>
        </w:rPr>
        <w:t xml:space="preserve"> </w:t>
      </w:r>
    </w:p>
    <w:p w14:paraId="2702C295" w14:textId="77777777" w:rsidR="008742A3" w:rsidRPr="00096909" w:rsidRDefault="008742A3" w:rsidP="008742A3">
      <w:pPr>
        <w:tabs>
          <w:tab w:val="left" w:pos="2268"/>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Paola Ventrone ha segnalato come il poeta in quest’ultimo componimento non </w:t>
      </w:r>
      <w:r w:rsidR="00336237">
        <w:rPr>
          <w:rFonts w:ascii="Times New Roman" w:hAnsi="Times New Roman" w:cs="Times New Roman"/>
          <w:sz w:val="24"/>
          <w:szCs w:val="24"/>
        </w:rPr>
        <w:t xml:space="preserve">abbia fornito </w:t>
      </w:r>
      <w:r w:rsidRPr="00096909">
        <w:rPr>
          <w:rFonts w:ascii="Times New Roman" w:hAnsi="Times New Roman" w:cs="Times New Roman"/>
          <w:sz w:val="24"/>
          <w:szCs w:val="24"/>
        </w:rPr>
        <w:t>informazioni sull’aspetto dei carri della sfilata, probabilmente modellati sull’esempio di quelli adoperati per le processioni di san Giovanni nel corso del secolo XV.</w:t>
      </w:r>
      <w:r w:rsidRPr="00096909">
        <w:rPr>
          <w:rStyle w:val="Rimandonotaapidipagina"/>
          <w:rFonts w:ascii="Times New Roman" w:hAnsi="Times New Roman" w:cs="Times New Roman"/>
          <w:sz w:val="24"/>
          <w:szCs w:val="24"/>
        </w:rPr>
        <w:footnoteReference w:id="330"/>
      </w:r>
      <w:r w:rsidRPr="00096909">
        <w:rPr>
          <w:rFonts w:ascii="Times New Roman" w:hAnsi="Times New Roman" w:cs="Times New Roman"/>
          <w:sz w:val="24"/>
          <w:szCs w:val="24"/>
        </w:rPr>
        <w:t xml:space="preserve"> Nell’</w:t>
      </w:r>
      <w:r w:rsidRPr="00096909">
        <w:rPr>
          <w:rFonts w:ascii="Times New Roman" w:hAnsi="Times New Roman" w:cs="Times New Roman"/>
          <w:i/>
          <w:sz w:val="24"/>
          <w:szCs w:val="24"/>
        </w:rPr>
        <w:t>Elegia</w:t>
      </w:r>
      <w:r w:rsidRPr="00096909">
        <w:rPr>
          <w:rFonts w:ascii="Times New Roman" w:hAnsi="Times New Roman" w:cs="Times New Roman"/>
          <w:sz w:val="24"/>
          <w:szCs w:val="24"/>
        </w:rPr>
        <w:t xml:space="preserve"> leggiamo invece una precisa descrizione dei costumi e degli attributi dei figuranti rappresentanti i pianeti, indispensabili per far riconoscere agli spettatori le divinità impersonate. Il merito del Magnifico, del quale Naldi nell’opuscolo dichiara espressamente il coinvolgimento nella preparazione della sfilata, sarebbe stato proprio quello di avere condotto gli astri in terra per il diletto del popolo.</w:t>
      </w:r>
    </w:p>
    <w:p w14:paraId="2FEF9024" w14:textId="77777777" w:rsidR="008742A3" w:rsidRPr="00096909" w:rsidRDefault="008742A3" w:rsidP="008742A3">
      <w:pPr>
        <w:tabs>
          <w:tab w:val="left" w:pos="0"/>
        </w:tabs>
        <w:spacing w:after="0" w:line="360" w:lineRule="auto"/>
        <w:ind w:right="-1"/>
        <w:jc w:val="both"/>
        <w:rPr>
          <w:rFonts w:ascii="Times New Roman" w:hAnsi="Times New Roman" w:cs="Times New Roman"/>
          <w:sz w:val="24"/>
          <w:szCs w:val="24"/>
        </w:rPr>
      </w:pPr>
    </w:p>
    <w:p w14:paraId="14798FE5" w14:textId="77777777" w:rsidR="008742A3" w:rsidRPr="00096909" w:rsidRDefault="008742A3" w:rsidP="008742A3">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Vidimus haec igitur manibus tractandaque nostris</w:t>
      </w:r>
    </w:p>
    <w:p w14:paraId="1691FD5D" w14:textId="77777777" w:rsidR="008742A3" w:rsidRPr="00096909" w:rsidRDefault="008742A3" w:rsidP="008742A3">
      <w:pPr>
        <w:spacing w:after="0" w:line="360" w:lineRule="auto"/>
        <w:ind w:left="2268" w:right="-1"/>
        <w:jc w:val="both"/>
        <w:rPr>
          <w:rFonts w:ascii="Times New Roman" w:hAnsi="Times New Roman" w:cs="Times New Roman"/>
          <w:sz w:val="24"/>
          <w:szCs w:val="24"/>
        </w:rPr>
      </w:pPr>
      <w:r w:rsidRPr="00096909">
        <w:rPr>
          <w:rFonts w:ascii="Times New Roman" w:hAnsi="Times New Roman" w:cs="Times New Roman"/>
          <w:i/>
          <w:sz w:val="20"/>
          <w:szCs w:val="20"/>
        </w:rPr>
        <w:lastRenderedPageBreak/>
        <w:t>Sunt data te, Medices, sydera tanta duce</w:t>
      </w:r>
      <w:r w:rsidRPr="00096909">
        <w:rPr>
          <w:rFonts w:ascii="Times New Roman" w:hAnsi="Times New Roman" w:cs="Times New Roman"/>
          <w:sz w:val="20"/>
          <w:szCs w:val="20"/>
        </w:rPr>
        <w:t>.</w:t>
      </w:r>
    </w:p>
    <w:p w14:paraId="79B1A2F6" w14:textId="77777777" w:rsidR="008742A3" w:rsidRPr="00096909" w:rsidRDefault="008742A3" w:rsidP="008742A3">
      <w:pPr>
        <w:tabs>
          <w:tab w:val="left" w:pos="0"/>
        </w:tabs>
        <w:spacing w:after="0" w:line="360" w:lineRule="auto"/>
        <w:ind w:right="-1"/>
        <w:jc w:val="both"/>
        <w:rPr>
          <w:rFonts w:ascii="Times New Roman" w:hAnsi="Times New Roman" w:cs="Times New Roman"/>
          <w:sz w:val="24"/>
          <w:szCs w:val="24"/>
        </w:rPr>
      </w:pPr>
    </w:p>
    <w:p w14:paraId="2EC5B0D4" w14:textId="77777777" w:rsidR="008742A3" w:rsidRPr="00096909" w:rsidRDefault="008742A3" w:rsidP="008742A3">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savio patrono Lorenzo si sarebbe dunque speso per l’ideazione del soggetto della sfilata e per la sua realizzazione, componendo anche una </w:t>
      </w:r>
      <w:r w:rsidRPr="00096909">
        <w:rPr>
          <w:rFonts w:ascii="Times New Roman" w:hAnsi="Times New Roman" w:cs="Times New Roman"/>
          <w:i/>
          <w:sz w:val="24"/>
          <w:szCs w:val="24"/>
        </w:rPr>
        <w:t>Canzona de’ sette pianeti</w:t>
      </w:r>
      <w:r w:rsidRPr="00096909">
        <w:rPr>
          <w:rFonts w:ascii="Times New Roman" w:hAnsi="Times New Roman" w:cs="Times New Roman"/>
          <w:sz w:val="24"/>
          <w:szCs w:val="24"/>
        </w:rPr>
        <w:t xml:space="preserve"> eseguita durante i festeggiamenti per introdurre il tema della festa. Dalla lettura dell’</w:t>
      </w:r>
      <w:r w:rsidRPr="00096909">
        <w:rPr>
          <w:rFonts w:ascii="Times New Roman" w:hAnsi="Times New Roman" w:cs="Times New Roman"/>
          <w:i/>
          <w:sz w:val="24"/>
          <w:szCs w:val="24"/>
        </w:rPr>
        <w:t>Elegia</w:t>
      </w:r>
      <w:r w:rsidRPr="00096909">
        <w:rPr>
          <w:rFonts w:ascii="Times New Roman" w:hAnsi="Times New Roman" w:cs="Times New Roman"/>
          <w:sz w:val="24"/>
          <w:szCs w:val="24"/>
        </w:rPr>
        <w:t xml:space="preserve"> naldiana sappiamo che ciascuno dei carri fu accompagnato da un gruppo di musici con il compito di cantare le strofe che presenta</w:t>
      </w:r>
      <w:r>
        <w:rPr>
          <w:rFonts w:ascii="Times New Roman" w:hAnsi="Times New Roman" w:cs="Times New Roman"/>
          <w:sz w:val="24"/>
          <w:szCs w:val="24"/>
        </w:rPr>
        <w:t>rono</w:t>
      </w:r>
      <w:r w:rsidRPr="00096909">
        <w:rPr>
          <w:rFonts w:ascii="Times New Roman" w:hAnsi="Times New Roman" w:cs="Times New Roman"/>
          <w:sz w:val="24"/>
          <w:szCs w:val="24"/>
        </w:rPr>
        <w:t xml:space="preserve"> agli astanti il potere degli astri discesi dal cielo, così da rendere </w:t>
      </w:r>
      <w:r>
        <w:rPr>
          <w:rFonts w:ascii="Times New Roman" w:hAnsi="Times New Roman" w:cs="Times New Roman"/>
          <w:sz w:val="24"/>
          <w:szCs w:val="24"/>
        </w:rPr>
        <w:t xml:space="preserve">note </w:t>
      </w:r>
      <w:r w:rsidRPr="00096909">
        <w:rPr>
          <w:rFonts w:ascii="Times New Roman" w:hAnsi="Times New Roman" w:cs="Times New Roman"/>
          <w:sz w:val="24"/>
          <w:szCs w:val="24"/>
        </w:rPr>
        <w:t xml:space="preserve">le virtù e i benefici che il loro moto poteva portare ai cittadini di Firenze. Il poeta non riporta i versi cantati ma quanto egli ha scritto è indispensabile per comprendere come si svolse concretamente lo spettacolo. </w:t>
      </w:r>
    </w:p>
    <w:p w14:paraId="711D796C" w14:textId="77777777" w:rsidR="008742A3" w:rsidRPr="00096909" w:rsidRDefault="008742A3" w:rsidP="008742A3">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 una lettera di Filippo da Gagliano a Niccolò Michelozzi del 20 febbraio 1490 apprendiamo invece che la realizzazione dei carri vide il coinvolgimento della Compagnia della Stella, brigata di giovani preposta all’organizzazione di spettacoli pubblici di cui il primo intervento sembrerebbe proprio quello </w:t>
      </w:r>
      <w:r>
        <w:rPr>
          <w:rFonts w:ascii="Times New Roman" w:hAnsi="Times New Roman" w:cs="Times New Roman"/>
          <w:sz w:val="24"/>
          <w:szCs w:val="24"/>
        </w:rPr>
        <w:t>per</w:t>
      </w:r>
      <w:r w:rsidRPr="00096909">
        <w:rPr>
          <w:rFonts w:ascii="Times New Roman" w:hAnsi="Times New Roman" w:cs="Times New Roman"/>
          <w:sz w:val="24"/>
          <w:szCs w:val="24"/>
        </w:rPr>
        <w:t xml:space="preserve"> questo Carnevale. La cautela di Lorenzo nel demandare a questa compagnia di suo patronato l’organizzazione della sfilata mostra come egli volesse agire con moderazione sulla vita dello spettacolo civico, senza tuttavia rinunciare a imprimervi un carattere tanto principesco, dal momento che i trionfi dei pianeti si erano visti nelle accoglienze ferraresi del 1473 per l’ingresso della duchessa Eleonora d’Aragona in omaggio agli interessi astrologici d</w:t>
      </w:r>
      <w:r>
        <w:rPr>
          <w:rFonts w:ascii="Times New Roman" w:hAnsi="Times New Roman" w:cs="Times New Roman"/>
          <w:sz w:val="24"/>
          <w:szCs w:val="24"/>
        </w:rPr>
        <w:t>i</w:t>
      </w:r>
      <w:r w:rsidRPr="00096909">
        <w:rPr>
          <w:rFonts w:ascii="Times New Roman" w:hAnsi="Times New Roman" w:cs="Times New Roman"/>
          <w:sz w:val="24"/>
          <w:szCs w:val="24"/>
        </w:rPr>
        <w:t xml:space="preserve"> Ercole d’Este, quanto culturalmente elitario, in ragione dei richiami alle dottrine neoplatoniche sulle musiche celesti destinate a influire sulla vita dei mortali discusse presso l’Accademia neoplatonica ficiniana</w:t>
      </w:r>
      <w:r>
        <w:rPr>
          <w:rFonts w:ascii="Times New Roman" w:hAnsi="Times New Roman" w:cs="Times New Roman"/>
          <w:sz w:val="24"/>
          <w:szCs w:val="24"/>
        </w:rPr>
        <w:t>,</w:t>
      </w:r>
      <w:r w:rsidRPr="00096909">
        <w:rPr>
          <w:rFonts w:ascii="Times New Roman" w:hAnsi="Times New Roman" w:cs="Times New Roman"/>
          <w:sz w:val="24"/>
          <w:szCs w:val="24"/>
        </w:rPr>
        <w:t xml:space="preserve"> frequentata dallo stesso Naldi.</w:t>
      </w:r>
      <w:r w:rsidRPr="00096909">
        <w:rPr>
          <w:rStyle w:val="Rimandonotaapidipagina"/>
          <w:rFonts w:ascii="Times New Roman" w:hAnsi="Times New Roman" w:cs="Times New Roman"/>
          <w:sz w:val="24"/>
          <w:szCs w:val="24"/>
        </w:rPr>
        <w:footnoteReference w:id="331"/>
      </w:r>
      <w:r w:rsidRPr="00096909">
        <w:rPr>
          <w:rFonts w:ascii="Times New Roman" w:hAnsi="Times New Roman" w:cs="Times New Roman"/>
          <w:sz w:val="24"/>
          <w:szCs w:val="24"/>
        </w:rPr>
        <w:t xml:space="preserve"> </w:t>
      </w:r>
    </w:p>
    <w:p w14:paraId="12C81E39" w14:textId="77777777" w:rsidR="008742A3" w:rsidRPr="00096909" w:rsidRDefault="008742A3" w:rsidP="008742A3">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Le novità introdotte dal </w:t>
      </w:r>
      <w:r w:rsidRPr="00096909">
        <w:rPr>
          <w:rFonts w:ascii="Times New Roman" w:hAnsi="Times New Roman" w:cs="Times New Roman"/>
          <w:i/>
          <w:sz w:val="24"/>
          <w:szCs w:val="24"/>
        </w:rPr>
        <w:t>primus civis</w:t>
      </w:r>
      <w:r w:rsidRPr="00096909">
        <w:rPr>
          <w:rFonts w:ascii="Times New Roman" w:hAnsi="Times New Roman" w:cs="Times New Roman"/>
          <w:sz w:val="24"/>
          <w:szCs w:val="24"/>
        </w:rPr>
        <w:t xml:space="preserve"> Lorenzo nella vita festiva repubblicana grazie alle sue giostre e</w:t>
      </w:r>
      <w:r>
        <w:rPr>
          <w:rFonts w:ascii="Times New Roman" w:hAnsi="Times New Roman" w:cs="Times New Roman"/>
          <w:sz w:val="24"/>
          <w:szCs w:val="24"/>
        </w:rPr>
        <w:t xml:space="preserve"> alle sue</w:t>
      </w:r>
      <w:r w:rsidRPr="00096909">
        <w:rPr>
          <w:rFonts w:ascii="Times New Roman" w:hAnsi="Times New Roman" w:cs="Times New Roman"/>
          <w:sz w:val="24"/>
          <w:szCs w:val="24"/>
        </w:rPr>
        <w:t xml:space="preserve"> mascherate mitologiche poteva</w:t>
      </w:r>
      <w:r>
        <w:rPr>
          <w:rFonts w:ascii="Times New Roman" w:hAnsi="Times New Roman" w:cs="Times New Roman"/>
          <w:sz w:val="24"/>
          <w:szCs w:val="24"/>
        </w:rPr>
        <w:t>no</w:t>
      </w:r>
      <w:r w:rsidRPr="00096909">
        <w:rPr>
          <w:rFonts w:ascii="Times New Roman" w:hAnsi="Times New Roman" w:cs="Times New Roman"/>
          <w:sz w:val="24"/>
          <w:szCs w:val="24"/>
        </w:rPr>
        <w:t xml:space="preserve"> viaggiare per mezzo dei due incunaboli con le descrizioni di Naldi, ed intercettare un pubblico di eruditi</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attirati dagli esametri latini del poeta e dalle sue citazioni virgiliane ed ovidiane</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al quale reputo che i libretti fossero offerti in omaggio. </w:t>
      </w:r>
    </w:p>
    <w:p w14:paraId="223C1918" w14:textId="77777777" w:rsidR="008742A3" w:rsidRPr="00096909" w:rsidRDefault="008742A3" w:rsidP="008742A3">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veste grafica delle due edizioni, priva di xilografie e di capilettera, le loro modeste dimensioni e l’adozione del formato in quarto – quello delle stampe destinate a larga diffusione popolare – lasciano supporre che il prodotto editoriale da realizzare dovesse essere di poche pretese: un opuscolo da distribuire agli invitati </w:t>
      </w:r>
      <w:r>
        <w:rPr>
          <w:rFonts w:ascii="Times New Roman" w:hAnsi="Times New Roman" w:cs="Times New Roman"/>
          <w:sz w:val="24"/>
          <w:szCs w:val="24"/>
        </w:rPr>
        <w:t xml:space="preserve">altolocati </w:t>
      </w:r>
      <w:r w:rsidRPr="00096909">
        <w:rPr>
          <w:rFonts w:ascii="Times New Roman" w:hAnsi="Times New Roman" w:cs="Times New Roman"/>
          <w:sz w:val="24"/>
          <w:szCs w:val="24"/>
        </w:rPr>
        <w:t xml:space="preserve">delle feste, forse gli stessi che dopo </w:t>
      </w:r>
      <w:r>
        <w:rPr>
          <w:rFonts w:ascii="Times New Roman" w:hAnsi="Times New Roman" w:cs="Times New Roman"/>
          <w:sz w:val="24"/>
          <w:szCs w:val="24"/>
        </w:rPr>
        <w:t xml:space="preserve">la </w:t>
      </w:r>
      <w:r w:rsidRPr="00096909">
        <w:rPr>
          <w:rFonts w:ascii="Times New Roman" w:hAnsi="Times New Roman" w:cs="Times New Roman"/>
          <w:sz w:val="24"/>
          <w:szCs w:val="24"/>
        </w:rPr>
        <w:t>sfilata dei carri carnascialeschi furono invitati dai Medici a proseguire i festeggiamenti nel loro palazzo gentilesco.</w:t>
      </w:r>
      <w:r w:rsidRPr="00096909">
        <w:rPr>
          <w:rStyle w:val="Rimandonotaapidipagina"/>
          <w:rFonts w:ascii="Times New Roman" w:hAnsi="Times New Roman" w:cs="Times New Roman"/>
          <w:sz w:val="24"/>
          <w:szCs w:val="24"/>
        </w:rPr>
        <w:footnoteReference w:id="332"/>
      </w:r>
      <w:r w:rsidRPr="00096909">
        <w:rPr>
          <w:rFonts w:ascii="Times New Roman" w:hAnsi="Times New Roman" w:cs="Times New Roman"/>
          <w:sz w:val="24"/>
          <w:szCs w:val="24"/>
        </w:rPr>
        <w:t xml:space="preserve"> </w:t>
      </w:r>
    </w:p>
    <w:p w14:paraId="769B83E2" w14:textId="77777777" w:rsidR="008742A3" w:rsidRPr="00096909" w:rsidRDefault="008742A3" w:rsidP="008742A3">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La scrittura dei loro testi doveva dunque avvenire immediatamente dopo lo svolgersi dell’evento, come nel caso della giostra del 1475, se non addirittura prima, come credo sia stato possibile per l’</w:t>
      </w:r>
      <w:r w:rsidRPr="00096909">
        <w:rPr>
          <w:rFonts w:ascii="Times New Roman" w:hAnsi="Times New Roman" w:cs="Times New Roman"/>
          <w:i/>
          <w:sz w:val="24"/>
          <w:szCs w:val="24"/>
        </w:rPr>
        <w:t xml:space="preserve">Elegia, </w:t>
      </w:r>
      <w:r w:rsidRPr="00096909">
        <w:rPr>
          <w:rFonts w:ascii="Times New Roman" w:hAnsi="Times New Roman" w:cs="Times New Roman"/>
          <w:sz w:val="24"/>
          <w:szCs w:val="24"/>
        </w:rPr>
        <w:t xml:space="preserve">dal momento che il suo autore, in ragione della propria frequentazione della cerchia medicea, sarà stato al corrente dei progetti del Medici e dei suoi amici intellettuali per il carnevale 1490 nei giorni dedicati alla preparazione della sfilata. </w:t>
      </w:r>
    </w:p>
    <w:p w14:paraId="471F70F5" w14:textId="77777777" w:rsidR="008742A3" w:rsidRPr="00096909" w:rsidRDefault="008742A3" w:rsidP="008742A3">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C</w:t>
      </w:r>
      <w:r w:rsidRPr="00096909">
        <w:rPr>
          <w:rFonts w:ascii="Times New Roman" w:hAnsi="Times New Roman" w:cs="Times New Roman"/>
          <w:sz w:val="24"/>
          <w:szCs w:val="24"/>
        </w:rPr>
        <w:t>onf</w:t>
      </w:r>
      <w:r>
        <w:rPr>
          <w:rFonts w:ascii="Times New Roman" w:hAnsi="Times New Roman" w:cs="Times New Roman"/>
          <w:sz w:val="24"/>
          <w:szCs w:val="24"/>
        </w:rPr>
        <w:t>e</w:t>
      </w:r>
      <w:r w:rsidRPr="00096909">
        <w:rPr>
          <w:rFonts w:ascii="Times New Roman" w:hAnsi="Times New Roman" w:cs="Times New Roman"/>
          <w:sz w:val="24"/>
          <w:szCs w:val="24"/>
        </w:rPr>
        <w:t>rm</w:t>
      </w:r>
      <w:r>
        <w:rPr>
          <w:rFonts w:ascii="Times New Roman" w:hAnsi="Times New Roman" w:cs="Times New Roman"/>
          <w:sz w:val="24"/>
          <w:szCs w:val="24"/>
        </w:rPr>
        <w:t>e</w:t>
      </w:r>
      <w:r w:rsidRPr="00096909">
        <w:rPr>
          <w:rFonts w:ascii="Times New Roman" w:hAnsi="Times New Roman" w:cs="Times New Roman"/>
          <w:sz w:val="24"/>
          <w:szCs w:val="24"/>
        </w:rPr>
        <w:t>re</w:t>
      </w:r>
      <w:r>
        <w:rPr>
          <w:rFonts w:ascii="Times New Roman" w:hAnsi="Times New Roman" w:cs="Times New Roman"/>
          <w:sz w:val="24"/>
          <w:szCs w:val="24"/>
        </w:rPr>
        <w:t>bbe</w:t>
      </w:r>
      <w:r w:rsidRPr="00096909">
        <w:rPr>
          <w:rFonts w:ascii="Times New Roman" w:hAnsi="Times New Roman" w:cs="Times New Roman"/>
          <w:sz w:val="24"/>
          <w:szCs w:val="24"/>
        </w:rPr>
        <w:t xml:space="preserve"> il fatto che i testi del Naldi fossero oggetto di una simile destinazione editoriale anche l’esiguo numero di esemplari conservati dei </w:t>
      </w:r>
      <w:r w:rsidR="00E23F84">
        <w:rPr>
          <w:rFonts w:ascii="Times New Roman" w:hAnsi="Times New Roman" w:cs="Times New Roman"/>
          <w:sz w:val="24"/>
          <w:szCs w:val="24"/>
        </w:rPr>
        <w:t>loro</w:t>
      </w:r>
      <w:r w:rsidRPr="00096909">
        <w:rPr>
          <w:rFonts w:ascii="Times New Roman" w:hAnsi="Times New Roman" w:cs="Times New Roman"/>
          <w:sz w:val="24"/>
          <w:szCs w:val="24"/>
        </w:rPr>
        <w:t xml:space="preserve"> incunaboli: uno solo dell’</w:t>
      </w:r>
      <w:r w:rsidRPr="00096909">
        <w:rPr>
          <w:rFonts w:ascii="Times New Roman" w:hAnsi="Times New Roman" w:cs="Times New Roman"/>
          <w:i/>
          <w:sz w:val="24"/>
          <w:szCs w:val="24"/>
        </w:rPr>
        <w:t>Elegia</w:t>
      </w:r>
      <w:r w:rsidRPr="00096909">
        <w:rPr>
          <w:rFonts w:ascii="Times New Roman" w:hAnsi="Times New Roman" w:cs="Times New Roman"/>
          <w:sz w:val="24"/>
          <w:szCs w:val="24"/>
        </w:rPr>
        <w:t xml:space="preserve"> e due dell’</w:t>
      </w:r>
      <w:r w:rsidRPr="00096909">
        <w:rPr>
          <w:rFonts w:ascii="Times New Roman" w:hAnsi="Times New Roman" w:cs="Times New Roman"/>
          <w:i/>
          <w:sz w:val="24"/>
          <w:szCs w:val="24"/>
        </w:rPr>
        <w:t>Hastiludium</w:t>
      </w:r>
      <w:r w:rsidRPr="00096909">
        <w:rPr>
          <w:rFonts w:ascii="Times New Roman" w:hAnsi="Times New Roman" w:cs="Times New Roman"/>
          <w:sz w:val="24"/>
          <w:szCs w:val="24"/>
        </w:rPr>
        <w:t xml:space="preserve">. Una simile rarità delle copie conservate è una caratteristica che i due libretti condividono con le stampe popolari, alla conservazione delle quali i proprietari prestavano poca attenzione. </w:t>
      </w:r>
    </w:p>
    <w:p w14:paraId="1C3D4A96" w14:textId="77777777" w:rsidR="008742A3" w:rsidRPr="00096909" w:rsidRDefault="008742A3" w:rsidP="008742A3">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Come vedremo nel capitolo successivo, anche i libretti per le nozze dei principi italiani del Rinascimento furono editi in forme editoriali simili e condivisero con questi opuscoli il medesimo pubblico di destinatari. Per ora, ci basti notare come Naldi, segnalatosi nei circoli dei letterati medicei per la facile vena compositiva, avesse saputo fare della capacità di cantare in latino la bellezza delle feste organizzate da Lorenzo un proprio punto di forza professionale, apprezzato dal Magnifico, il quale gli richiese nel 1487 anche la descrizione dello sposalizio di Annibale Bentivoglio, cui, peraltro, il poeta non aveva assistito, sulla quale ci soffermeremo successivamente. </w:t>
      </w:r>
    </w:p>
    <w:p w14:paraId="76631F53" w14:textId="77777777" w:rsidR="008742A3" w:rsidRDefault="008742A3" w:rsidP="008742A3">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Come nel caso del </w:t>
      </w:r>
      <w:r w:rsidRPr="00096909">
        <w:rPr>
          <w:rFonts w:ascii="Times New Roman" w:hAnsi="Times New Roman" w:cs="Times New Roman"/>
          <w:i/>
          <w:sz w:val="24"/>
          <w:szCs w:val="24"/>
        </w:rPr>
        <w:t>De laudibus augustae bibliothecae</w:t>
      </w:r>
      <w:r w:rsidRPr="00096909">
        <w:rPr>
          <w:rFonts w:ascii="Times New Roman" w:hAnsi="Times New Roman" w:cs="Times New Roman"/>
          <w:sz w:val="24"/>
          <w:szCs w:val="24"/>
        </w:rPr>
        <w:t xml:space="preserve">, l’abilità di Naldi nel proiettare la materia cantata nel mondo mitologico della classicità suppliva perfettamente alla mancata visione dello spettacolo, fosse esso lo sposalizio del principe o la sua meravigliosa biblioteca. Nella fucina fiorentina si erano infatti messi a punto gli strumenti espressivi per promuovere l’immagine del regnante attraverso le belle pagine create dai letterati, dai miniatori, dai legatori e, sempre più frequentemente, dai tipografi.  </w:t>
      </w:r>
    </w:p>
    <w:p w14:paraId="53B5B441" w14:textId="77777777" w:rsidR="00FE49C6" w:rsidRDefault="00FE49C6" w:rsidP="008742A3">
      <w:pPr>
        <w:tabs>
          <w:tab w:val="left" w:pos="0"/>
        </w:tabs>
        <w:spacing w:after="0" w:line="360" w:lineRule="auto"/>
        <w:ind w:firstLine="397"/>
        <w:jc w:val="both"/>
        <w:rPr>
          <w:rFonts w:ascii="Times New Roman" w:hAnsi="Times New Roman" w:cs="Times New Roman"/>
          <w:sz w:val="24"/>
          <w:szCs w:val="24"/>
        </w:rPr>
      </w:pPr>
    </w:p>
    <w:p w14:paraId="7CD0FA40" w14:textId="77777777" w:rsidR="00FE49C6" w:rsidRPr="00096909" w:rsidRDefault="00FE49C6" w:rsidP="00FE49C6">
      <w:pPr>
        <w:jc w:val="both"/>
        <w:rPr>
          <w:rFonts w:ascii="Times New Roman" w:hAnsi="Times New Roman" w:cs="Times New Roman"/>
          <w:i/>
          <w:sz w:val="24"/>
          <w:szCs w:val="24"/>
        </w:rPr>
      </w:pPr>
      <w:r w:rsidRPr="0024192C">
        <w:rPr>
          <w:rFonts w:ascii="Times New Roman" w:hAnsi="Times New Roman" w:cs="Times New Roman"/>
          <w:sz w:val="24"/>
          <w:szCs w:val="24"/>
        </w:rPr>
        <w:t>6.</w:t>
      </w:r>
      <w:r w:rsidRPr="00096909">
        <w:rPr>
          <w:rFonts w:ascii="Times New Roman" w:hAnsi="Times New Roman" w:cs="Times New Roman"/>
          <w:i/>
          <w:sz w:val="24"/>
          <w:szCs w:val="24"/>
        </w:rPr>
        <w:t xml:space="preserve"> Ospit</w:t>
      </w:r>
      <w:r>
        <w:rPr>
          <w:rFonts w:ascii="Times New Roman" w:hAnsi="Times New Roman" w:cs="Times New Roman"/>
          <w:i/>
          <w:sz w:val="24"/>
          <w:szCs w:val="24"/>
        </w:rPr>
        <w:t>i</w:t>
      </w:r>
      <w:r w:rsidRPr="00096909">
        <w:rPr>
          <w:rFonts w:ascii="Times New Roman" w:hAnsi="Times New Roman" w:cs="Times New Roman"/>
          <w:i/>
          <w:sz w:val="24"/>
          <w:szCs w:val="24"/>
        </w:rPr>
        <w:t xml:space="preserve"> e ambasciatori in visita alla biblioteca di corte.</w:t>
      </w:r>
    </w:p>
    <w:p w14:paraId="781D64E1" w14:textId="77777777" w:rsidR="00FE49C6" w:rsidRPr="00096909" w:rsidRDefault="00FE49C6" w:rsidP="00FE49C6">
      <w:pPr>
        <w:tabs>
          <w:tab w:val="left" w:pos="0"/>
        </w:tabs>
        <w:spacing w:after="0" w:line="360" w:lineRule="auto"/>
        <w:ind w:right="-1"/>
        <w:jc w:val="both"/>
        <w:rPr>
          <w:rFonts w:ascii="Times New Roman" w:hAnsi="Times New Roman" w:cs="Times New Roman"/>
          <w:sz w:val="24"/>
          <w:szCs w:val="24"/>
        </w:rPr>
      </w:pPr>
    </w:p>
    <w:p w14:paraId="1AB400DB" w14:textId="77777777" w:rsidR="00FE49C6" w:rsidRPr="00096909" w:rsidRDefault="00FE49C6" w:rsidP="00FE49C6">
      <w:pPr>
        <w:tabs>
          <w:tab w:val="left" w:pos="0"/>
        </w:tabs>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Nel quadro fin qui delineato, il collezionismo librario dei signori italiani del Quattrocento è stato messo in relazione da un lato con il </w:t>
      </w:r>
      <w:r>
        <w:rPr>
          <w:rFonts w:ascii="Times New Roman" w:hAnsi="Times New Roman" w:cs="Times New Roman"/>
          <w:sz w:val="24"/>
          <w:szCs w:val="24"/>
        </w:rPr>
        <w:t xml:space="preserve">loro </w:t>
      </w:r>
      <w:r w:rsidRPr="00096909">
        <w:rPr>
          <w:rFonts w:ascii="Times New Roman" w:hAnsi="Times New Roman" w:cs="Times New Roman"/>
          <w:sz w:val="24"/>
          <w:szCs w:val="24"/>
        </w:rPr>
        <w:t>proposito di incarnare l’ideale del colto e saggio governante descritto dagli umanisti,</w:t>
      </w:r>
      <w:r w:rsidR="002072B5">
        <w:rPr>
          <w:rFonts w:ascii="Times New Roman" w:hAnsi="Times New Roman" w:cs="Times New Roman"/>
          <w:sz w:val="24"/>
          <w:szCs w:val="24"/>
        </w:rPr>
        <w:t xml:space="preserve"> e</w:t>
      </w:r>
      <w:r w:rsidRPr="00096909">
        <w:rPr>
          <w:rFonts w:ascii="Times New Roman" w:hAnsi="Times New Roman" w:cs="Times New Roman"/>
          <w:sz w:val="24"/>
          <w:szCs w:val="24"/>
        </w:rPr>
        <w:t xml:space="preserve"> dall’altro con l</w:t>
      </w:r>
      <w:r>
        <w:rPr>
          <w:rFonts w:ascii="Times New Roman" w:hAnsi="Times New Roman" w:cs="Times New Roman"/>
          <w:sz w:val="24"/>
          <w:szCs w:val="24"/>
        </w:rPr>
        <w:t>’</w:t>
      </w:r>
      <w:r w:rsidRPr="00096909">
        <w:rPr>
          <w:rFonts w:ascii="Times New Roman" w:hAnsi="Times New Roman" w:cs="Times New Roman"/>
          <w:sz w:val="24"/>
          <w:szCs w:val="24"/>
        </w:rPr>
        <w:t xml:space="preserve">ambizione di poter rivaleggiare con il fiore della nobiltà europea quanto allo splendore dei volumi posseduti. I libri del principe avevano </w:t>
      </w:r>
      <w:r w:rsidRPr="00096909">
        <w:rPr>
          <w:rFonts w:ascii="Times New Roman" w:hAnsi="Times New Roman" w:cs="Times New Roman"/>
          <w:sz w:val="24"/>
          <w:szCs w:val="24"/>
        </w:rPr>
        <w:lastRenderedPageBreak/>
        <w:t>dunque un valore rappresentativo dell</w:t>
      </w:r>
      <w:r>
        <w:rPr>
          <w:rFonts w:ascii="Times New Roman" w:hAnsi="Times New Roman" w:cs="Times New Roman"/>
          <w:sz w:val="24"/>
          <w:szCs w:val="24"/>
        </w:rPr>
        <w:t>a</w:t>
      </w:r>
      <w:r w:rsidRPr="00096909">
        <w:rPr>
          <w:rFonts w:ascii="Times New Roman" w:hAnsi="Times New Roman" w:cs="Times New Roman"/>
          <w:sz w:val="24"/>
          <w:szCs w:val="24"/>
        </w:rPr>
        <w:t xml:space="preserve"> magnificenza che il </w:t>
      </w:r>
      <w:r>
        <w:rPr>
          <w:rFonts w:ascii="Times New Roman" w:hAnsi="Times New Roman" w:cs="Times New Roman"/>
          <w:sz w:val="24"/>
          <w:szCs w:val="24"/>
        </w:rPr>
        <w:t xml:space="preserve">loro </w:t>
      </w:r>
      <w:r w:rsidRPr="00096909">
        <w:rPr>
          <w:rFonts w:ascii="Times New Roman" w:hAnsi="Times New Roman" w:cs="Times New Roman"/>
          <w:sz w:val="24"/>
          <w:szCs w:val="24"/>
        </w:rPr>
        <w:t xml:space="preserve">possessore ambiva a conseguire e potevano amplificarne l’immagine pubblica qualora le loro pagine fossero state ammirate da altri autorevoli spettatori. </w:t>
      </w:r>
    </w:p>
    <w:p w14:paraId="06918171" w14:textId="77777777" w:rsidR="00FE49C6" w:rsidRPr="00096909" w:rsidRDefault="00FE49C6" w:rsidP="00FE49C6">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 un suo recente studio Brian Richardson si è soffermato, </w:t>
      </w:r>
      <w:r>
        <w:rPr>
          <w:rFonts w:ascii="Times New Roman" w:hAnsi="Times New Roman" w:cs="Times New Roman"/>
          <w:sz w:val="24"/>
          <w:szCs w:val="24"/>
        </w:rPr>
        <w:t>per</w:t>
      </w:r>
      <w:r w:rsidRPr="00096909">
        <w:rPr>
          <w:rFonts w:ascii="Times New Roman" w:hAnsi="Times New Roman" w:cs="Times New Roman"/>
          <w:sz w:val="24"/>
          <w:szCs w:val="24"/>
        </w:rPr>
        <w:t xml:space="preserve"> esempio, sul </w:t>
      </w:r>
      <w:r w:rsidRPr="00096909">
        <w:rPr>
          <w:rFonts w:ascii="Times New Roman" w:hAnsi="Times New Roman" w:cs="Times New Roman"/>
          <w:i/>
          <w:sz w:val="24"/>
          <w:szCs w:val="24"/>
        </w:rPr>
        <w:t>social use</w:t>
      </w:r>
      <w:r w:rsidRPr="00096909">
        <w:rPr>
          <w:rFonts w:ascii="Times New Roman" w:hAnsi="Times New Roman" w:cs="Times New Roman"/>
          <w:sz w:val="24"/>
          <w:szCs w:val="24"/>
        </w:rPr>
        <w:t xml:space="preserve"> dei volumi conservati nello studiolo di Isabella d’Este, che nel panorama delle biblioteche delle nobildonne italiane del Rinascimento si distinsero </w:t>
      </w:r>
      <w:r>
        <w:rPr>
          <w:rFonts w:ascii="Times New Roman" w:hAnsi="Times New Roman" w:cs="Times New Roman"/>
          <w:sz w:val="24"/>
          <w:szCs w:val="24"/>
        </w:rPr>
        <w:t>per</w:t>
      </w:r>
      <w:r w:rsidRPr="00096909">
        <w:rPr>
          <w:rFonts w:ascii="Times New Roman" w:hAnsi="Times New Roman" w:cs="Times New Roman"/>
          <w:sz w:val="24"/>
          <w:szCs w:val="24"/>
        </w:rPr>
        <w:t xml:space="preserve"> numero e ricercatezza dei titoli, accrescendo la fama della principessa tra le corti dell’epoca.</w:t>
      </w:r>
      <w:r w:rsidRPr="00096909">
        <w:rPr>
          <w:rStyle w:val="Rimandonotaapidipagina"/>
          <w:rFonts w:ascii="Times New Roman" w:hAnsi="Times New Roman" w:cs="Times New Roman"/>
          <w:sz w:val="24"/>
          <w:szCs w:val="24"/>
        </w:rPr>
        <w:footnoteReference w:id="333"/>
      </w:r>
      <w:r w:rsidRPr="00096909">
        <w:rPr>
          <w:rFonts w:ascii="Times New Roman" w:hAnsi="Times New Roman" w:cs="Times New Roman"/>
          <w:sz w:val="24"/>
          <w:szCs w:val="24"/>
        </w:rPr>
        <w:t xml:space="preserve"> La marchesa di Mantova aveva, infatti, preteso per sé soltanto volumi di rara bellezza, capaci di attirare l’ammirazione dei visitatori dei suoi appartamenti e dei letterati con cui si intratteneva, al punto che quando questi si premuravano di offrirle le loro opere avevano cura che anche l’aspetto del manoscritto fosse conforme alle aspettative della destinataria. Ricevendo da Gianninello una copia di lusso delle poesie del Pistoia, ad esempio, così ella ne dava comunicazione a Bernardino Prosperi il 18 dicembre 1511: </w:t>
      </w:r>
    </w:p>
    <w:p w14:paraId="171F8227" w14:textId="77777777" w:rsidR="00FE49C6" w:rsidRPr="00096909" w:rsidRDefault="00FE49C6" w:rsidP="00FE49C6">
      <w:pPr>
        <w:tabs>
          <w:tab w:val="left" w:pos="0"/>
        </w:tabs>
        <w:spacing w:after="0" w:line="360" w:lineRule="auto"/>
        <w:ind w:firstLine="397"/>
        <w:jc w:val="both"/>
        <w:rPr>
          <w:rFonts w:ascii="Times New Roman" w:hAnsi="Times New Roman" w:cs="Times New Roman"/>
          <w:sz w:val="24"/>
          <w:szCs w:val="24"/>
        </w:rPr>
      </w:pPr>
    </w:p>
    <w:p w14:paraId="2ED0CB31" w14:textId="77777777" w:rsidR="00FE49C6" w:rsidRPr="00096909" w:rsidRDefault="00FE49C6" w:rsidP="00FE49C6">
      <w:pPr>
        <w:tabs>
          <w:tab w:val="left" w:pos="567"/>
        </w:tabs>
        <w:spacing w:after="0" w:line="360" w:lineRule="auto"/>
        <w:ind w:left="567" w:right="567" w:firstLine="397"/>
        <w:jc w:val="both"/>
        <w:rPr>
          <w:rFonts w:ascii="Times New Roman" w:hAnsi="Times New Roman" w:cs="Times New Roman"/>
          <w:sz w:val="24"/>
          <w:szCs w:val="24"/>
        </w:rPr>
      </w:pPr>
      <w:r w:rsidRPr="00096909">
        <w:rPr>
          <w:rFonts w:ascii="Times New Roman" w:hAnsi="Times New Roman" w:cs="Times New Roman"/>
          <w:sz w:val="20"/>
          <w:szCs w:val="20"/>
        </w:rPr>
        <w:t>Zo Francesco Gianinello mi ha mandato a donare un libro de li Sonetti del Pistoia meglio ligato, sì di nova inventione come di li ornamenti, che vedesimo mai, a nui intitolato: il quale ni è stato summamente grato</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334"/>
      </w:r>
      <w:r w:rsidRPr="00096909">
        <w:rPr>
          <w:rFonts w:ascii="Times New Roman" w:hAnsi="Times New Roman" w:cs="Times New Roman"/>
          <w:sz w:val="24"/>
          <w:szCs w:val="24"/>
        </w:rPr>
        <w:t xml:space="preserve">    </w:t>
      </w:r>
    </w:p>
    <w:p w14:paraId="1B0FD30C" w14:textId="77777777" w:rsidR="00FE49C6" w:rsidRPr="00096909" w:rsidRDefault="00FE49C6" w:rsidP="00FE49C6">
      <w:pPr>
        <w:tabs>
          <w:tab w:val="left" w:pos="0"/>
        </w:tabs>
        <w:spacing w:after="0" w:line="360" w:lineRule="auto"/>
        <w:ind w:right="-1"/>
        <w:jc w:val="both"/>
        <w:rPr>
          <w:rFonts w:ascii="Times New Roman" w:hAnsi="Times New Roman" w:cs="Times New Roman"/>
          <w:sz w:val="24"/>
          <w:szCs w:val="24"/>
        </w:rPr>
      </w:pPr>
    </w:p>
    <w:p w14:paraId="49202855" w14:textId="77777777" w:rsidR="00FE49C6" w:rsidRPr="00096909" w:rsidRDefault="00FE49C6" w:rsidP="00FE49C6">
      <w:pPr>
        <w:tabs>
          <w:tab w:val="left" w:pos="0"/>
        </w:tabs>
        <w:spacing w:after="0" w:line="360" w:lineRule="auto"/>
        <w:ind w:right="-1"/>
        <w:jc w:val="both"/>
        <w:rPr>
          <w:rFonts w:ascii="Times New Roman" w:hAnsi="Times New Roman" w:cs="Times New Roman"/>
          <w:sz w:val="24"/>
          <w:szCs w:val="24"/>
        </w:rPr>
      </w:pPr>
    </w:p>
    <w:p w14:paraId="71B82ED3"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La visita diplomatica di principi, d’alti prelati o di ambasciatori di potenze alleate fu, in questa prospettiva, il momento privilegiato nel quale la biblioteca poté prestarsi al</w:t>
      </w:r>
      <w:r w:rsidRPr="00096909">
        <w:rPr>
          <w:rFonts w:ascii="Times New Roman" w:hAnsi="Times New Roman" w:cs="Times New Roman"/>
          <w:i/>
          <w:sz w:val="24"/>
          <w:szCs w:val="24"/>
        </w:rPr>
        <w:t xml:space="preserve"> social</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use</w:t>
      </w:r>
      <w:r w:rsidRPr="00096909">
        <w:rPr>
          <w:rFonts w:ascii="Times New Roman" w:hAnsi="Times New Roman" w:cs="Times New Roman"/>
          <w:sz w:val="24"/>
          <w:szCs w:val="24"/>
        </w:rPr>
        <w:t xml:space="preserve"> da parte del suo proprietario descritto da Richardson. Non è, infatti, casuale che molte informazioni a nostra disposizione sull’aspetto di questi locali di rappresentanza e sull’effetto che la loro visione suscitava nei visitatori siano trasmessi da relazioni di visite ufficiali. </w:t>
      </w:r>
    </w:p>
    <w:p w14:paraId="41E94EB6"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17 aprile 1456 Facino da Fabriano, ad esempio, così riferiva a Francesco Sforza riguardo alla visita alla Biblioteca del castello di Pavia da parte di alcuni religiosi diretti a Parigi cui il duca aveva concesso l’accesso alla raccolta: </w:t>
      </w:r>
    </w:p>
    <w:p w14:paraId="2E7D71E9" w14:textId="77777777" w:rsidR="00FE49C6" w:rsidRPr="00096909" w:rsidRDefault="00FE49C6" w:rsidP="00FE49C6">
      <w:pPr>
        <w:tabs>
          <w:tab w:val="left" w:pos="567"/>
        </w:tabs>
        <w:spacing w:after="0" w:line="360" w:lineRule="auto"/>
        <w:ind w:left="567" w:right="-1" w:firstLine="397"/>
        <w:jc w:val="both"/>
        <w:rPr>
          <w:rFonts w:ascii="Times New Roman" w:hAnsi="Times New Roman" w:cs="Times New Roman"/>
          <w:sz w:val="20"/>
          <w:szCs w:val="20"/>
        </w:rPr>
      </w:pPr>
    </w:p>
    <w:p w14:paraId="1D87D0A9" w14:textId="77777777" w:rsidR="00FE49C6" w:rsidRPr="00096909" w:rsidRDefault="00FE49C6" w:rsidP="00FE49C6">
      <w:pPr>
        <w:tabs>
          <w:tab w:val="left" w:pos="567"/>
        </w:tabs>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Io non me partito e sforzarome obbedire vivo et morto S. non volglio partitamente scrivere que habbia decto fra Jacomo da Mozanica generale de i minori et altri magistri de thelogia et frati de i </w:t>
      </w:r>
      <w:r w:rsidRPr="00096909">
        <w:rPr>
          <w:rFonts w:ascii="Times New Roman" w:hAnsi="Times New Roman" w:cs="Times New Roman"/>
          <w:sz w:val="20"/>
          <w:szCs w:val="20"/>
        </w:rPr>
        <w:lastRenderedPageBreak/>
        <w:t>carmini quali vengono da Napoli, da Roma et multi luochi che vanno ad capitulo in Parisio, et le oratione de lodi che dicono per queste libraria della V.S. La comparatione che fanno de questa et quella della Maestà del Re, o quella de Cosmo et quella voliva fare papa Nicola, et la grande volunta che epso papa havia vedere questa libraria, che multi non se possono dare ad intendere che in terra sia si bella cosa, et de quelli ce sono stati che allo intrare della libraria se sonno inginocchiati a gionte le mano ad Dio de si mirabile cosa, et quando hanno inteso et veduto l’ordene dei libri, stanno più stupidi che prima et alcuni, come fo M. Nicola da Napoli, procuratore de i carmelitani in corte de Roma, disse havere muto più caro aver veduta questa libraria che essere andato in Jerusalem al Sepulchro. Concludendo S. questa è una gloria et grande, in terra, et quisti frati dicono ne diranno per tucto in exaltatione della V. Ill. S. alla quale me recommando sempre.</w:t>
      </w:r>
      <w:r w:rsidRPr="00096909">
        <w:rPr>
          <w:rStyle w:val="Rimandonotaapidipagina"/>
          <w:rFonts w:ascii="Times New Roman" w:hAnsi="Times New Roman" w:cs="Times New Roman"/>
        </w:rPr>
        <w:footnoteReference w:id="335"/>
      </w:r>
      <w:r w:rsidRPr="00096909">
        <w:rPr>
          <w:rFonts w:ascii="Times New Roman" w:hAnsi="Times New Roman" w:cs="Times New Roman"/>
          <w:sz w:val="20"/>
          <w:szCs w:val="20"/>
        </w:rPr>
        <w:t xml:space="preserve"> </w:t>
      </w:r>
    </w:p>
    <w:p w14:paraId="7E5CB523"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p>
    <w:p w14:paraId="459E0670"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Analogamente, il 15 giugno 1480 il cardinale Giuliano della Rovere, nominato da papa Sisto IV nunzio apostolico per la Francia il 28 aprile precedente, giunse a Urbino e fu accolto dal duca Federico che gli mostrò le bellezze del suo palazzo e, ovviamente, la biblioteca. Il poeta Antonio Nuti da Mercatello nel suo poemetto </w:t>
      </w:r>
      <w:r w:rsidRPr="00096909">
        <w:rPr>
          <w:rFonts w:ascii="Times New Roman" w:hAnsi="Times New Roman" w:cs="Times New Roman"/>
          <w:i/>
          <w:sz w:val="24"/>
          <w:szCs w:val="24"/>
        </w:rPr>
        <w:t>Il Palazzo di Federico da Montefeltro</w:t>
      </w:r>
      <w:r w:rsidRPr="00096909">
        <w:rPr>
          <w:rFonts w:ascii="Times New Roman" w:hAnsi="Times New Roman" w:cs="Times New Roman"/>
          <w:sz w:val="24"/>
          <w:szCs w:val="24"/>
        </w:rPr>
        <w:t xml:space="preserve"> così ritrae il passaggio del presule e il suo accesso alla raccolta urbinate:</w:t>
      </w:r>
    </w:p>
    <w:p w14:paraId="5A69C0F1" w14:textId="77777777" w:rsidR="00FE49C6" w:rsidRPr="00096909" w:rsidRDefault="00FE49C6" w:rsidP="00FE49C6">
      <w:pPr>
        <w:tabs>
          <w:tab w:val="left" w:pos="0"/>
        </w:tabs>
        <w:spacing w:after="0" w:line="360" w:lineRule="auto"/>
        <w:ind w:right="-1"/>
        <w:jc w:val="both"/>
        <w:rPr>
          <w:rFonts w:ascii="Times New Roman" w:hAnsi="Times New Roman" w:cs="Times New Roman"/>
          <w:sz w:val="24"/>
          <w:szCs w:val="24"/>
        </w:rPr>
      </w:pPr>
      <w:r w:rsidRPr="00096909">
        <w:rPr>
          <w:rFonts w:ascii="Times New Roman" w:hAnsi="Times New Roman" w:cs="Times New Roman"/>
          <w:sz w:val="24"/>
          <w:szCs w:val="24"/>
        </w:rPr>
        <w:t xml:space="preserve"> </w:t>
      </w:r>
    </w:p>
    <w:p w14:paraId="261BB79E"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I’ voglio satisfare el mi talento,</w:t>
      </w:r>
    </w:p>
    <w:p w14:paraId="105FE89D"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dir de la grande et bella libraria,</w:t>
      </w:r>
    </w:p>
    <w:p w14:paraId="4A6B9C10"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in ne la quale io so già stato drento:</w:t>
      </w:r>
    </w:p>
    <w:p w14:paraId="1D4EE12A"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Chi non la vede non la crederia.</w:t>
      </w:r>
    </w:p>
    <w:p w14:paraId="7620C971"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De dir quando la viddi so contento, </w:t>
      </w:r>
    </w:p>
    <w:p w14:paraId="62DCF54D"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Al tempo che ci entrò la signoria</w:t>
      </w:r>
    </w:p>
    <w:p w14:paraId="51BB718C"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Del Kardenale signor reverendissimo,</w:t>
      </w:r>
    </w:p>
    <w:p w14:paraId="1EFFFB40"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Nepote al padre Sancto Beatissimo.</w:t>
      </w:r>
    </w:p>
    <w:p w14:paraId="5D569599"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p>
    <w:p w14:paraId="5DB5F622"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Chi v’era dentro amiration se danno</w:t>
      </w:r>
    </w:p>
    <w:p w14:paraId="28B0513E"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In ne la quale io sì como l'era grande e luminata</w:t>
      </w:r>
    </w:p>
    <w:p w14:paraId="0F2977AA"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Ch'ancor ci veggio, e partir non se sanno </w:t>
      </w:r>
    </w:p>
    <w:p w14:paraId="44E07AD1"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Perché ell'era sì rica et ornata: </w:t>
      </w:r>
    </w:p>
    <w:p w14:paraId="72D47765"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Doi volte libri più che dì in l'anno</w:t>
      </w:r>
    </w:p>
    <w:p w14:paraId="5BF544DE"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Compresi, contando io la taulata, </w:t>
      </w:r>
    </w:p>
    <w:p w14:paraId="6B5FD721"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E chi nol crede la vadi a vedere, </w:t>
      </w:r>
    </w:p>
    <w:p w14:paraId="56CD0F10"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Che mostra li sirà al suo piacere.</w:t>
      </w:r>
      <w:r w:rsidRPr="00096909">
        <w:rPr>
          <w:rStyle w:val="Rimandonotaapidipagina"/>
          <w:rFonts w:ascii="Times New Roman" w:hAnsi="Times New Roman" w:cs="Times New Roman"/>
        </w:rPr>
        <w:footnoteReference w:id="336"/>
      </w:r>
    </w:p>
    <w:p w14:paraId="13C7BF3E" w14:textId="77777777" w:rsidR="00FE49C6" w:rsidRPr="00096909" w:rsidRDefault="00FE49C6" w:rsidP="00FE49C6">
      <w:pPr>
        <w:tabs>
          <w:tab w:val="left" w:pos="2268"/>
        </w:tabs>
        <w:spacing w:after="0" w:line="360" w:lineRule="auto"/>
        <w:ind w:left="2268" w:right="-1"/>
        <w:jc w:val="both"/>
        <w:rPr>
          <w:rFonts w:ascii="Times New Roman" w:hAnsi="Times New Roman" w:cs="Times New Roman"/>
          <w:sz w:val="20"/>
          <w:szCs w:val="20"/>
        </w:rPr>
      </w:pPr>
    </w:p>
    <w:p w14:paraId="71006C9C" w14:textId="77777777" w:rsidR="00FE49C6" w:rsidRPr="00096909" w:rsidRDefault="00FE49C6" w:rsidP="00FE49C6">
      <w:pPr>
        <w:spacing w:after="0" w:line="360" w:lineRule="auto"/>
        <w:ind w:right="-1"/>
        <w:jc w:val="both"/>
        <w:rPr>
          <w:rFonts w:ascii="Times New Roman" w:hAnsi="Times New Roman" w:cs="Times New Roman"/>
          <w:sz w:val="24"/>
          <w:szCs w:val="24"/>
        </w:rPr>
      </w:pPr>
    </w:p>
    <w:p w14:paraId="38539AA1" w14:textId="77777777" w:rsidR="00FE49C6" w:rsidRPr="00096909" w:rsidRDefault="00FE49C6" w:rsidP="00FE49C6">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 contesto repubblicano fiorentino Lorenzo de’ Medici, prodigo nell’ospitare a proprie spese gli ospiti illustri della Signoria, seppe opportunamente organizzare per </w:t>
      </w:r>
      <w:r>
        <w:rPr>
          <w:rFonts w:ascii="Times New Roman" w:hAnsi="Times New Roman" w:cs="Times New Roman"/>
          <w:sz w:val="24"/>
          <w:szCs w:val="24"/>
        </w:rPr>
        <w:t xml:space="preserve">loro </w:t>
      </w:r>
      <w:r w:rsidRPr="00096909">
        <w:rPr>
          <w:rFonts w:ascii="Times New Roman" w:hAnsi="Times New Roman" w:cs="Times New Roman"/>
          <w:sz w:val="24"/>
          <w:szCs w:val="24"/>
        </w:rPr>
        <w:t xml:space="preserve">visite al suo palazzo e alle sue rinomate collezioni d’oggetti d’arte, di antichità e di libri, in modo da poter ostentare un lusso personale proporzionato a quello dei principi di passaggio. </w:t>
      </w:r>
    </w:p>
    <w:p w14:paraId="7A5FD300" w14:textId="77777777" w:rsidR="00FE49C6" w:rsidRPr="00096909" w:rsidRDefault="00FE49C6" w:rsidP="00FE49C6">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decisione di Cosimo il Vecchio di dotare Firenze di una biblioteca pubblica che esprimesse il patronato della sua famiglia sulla città e di procurarsi una collezione libraria privata degna dei collezionisti aristocratici più esigenti, nell’età laurenziana consentì di fare mostra di entrambe, dando prova degli ottimi effetti del governo mediceo tanto dentro il palazzo di via Larga, quanto presso la Biblioteca del Convento di san Marco. </w:t>
      </w:r>
    </w:p>
    <w:p w14:paraId="492E8FE6" w14:textId="77777777" w:rsidR="00FE49C6" w:rsidRPr="00096909" w:rsidRDefault="00FE49C6" w:rsidP="00FE49C6">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Lo conferma la missiva dell’ambasciatore estense Antonio da Montecatini a</w:t>
      </w:r>
      <w:r>
        <w:rPr>
          <w:rFonts w:ascii="Times New Roman" w:hAnsi="Times New Roman" w:cs="Times New Roman"/>
          <w:sz w:val="24"/>
          <w:szCs w:val="24"/>
        </w:rPr>
        <w:t>l duca</w:t>
      </w:r>
      <w:r w:rsidRPr="00096909">
        <w:rPr>
          <w:rFonts w:ascii="Times New Roman" w:hAnsi="Times New Roman" w:cs="Times New Roman"/>
          <w:sz w:val="24"/>
          <w:szCs w:val="24"/>
        </w:rPr>
        <w:t xml:space="preserve"> Ercole I del 21 agosto 1480 sull’ingresso del cardinale Giovanni d’Aragona. Quest’ultimo, fratello della regina Beatrice, nominato l’anno precedente da Sisto IV legato pontificio per il regno d’Ungheria al fine di promuovere la crociata, faceva rientro alla corte pontificia in un momento di particolare tensione politica, dovuta alla conquista di Otranto da parte dei Turchi del 28 luglio precedente.</w:t>
      </w:r>
      <w:r w:rsidRPr="00096909">
        <w:rPr>
          <w:rStyle w:val="Rimandonotaapidipagina"/>
          <w:rFonts w:ascii="Times New Roman" w:hAnsi="Times New Roman" w:cs="Times New Roman"/>
          <w:sz w:val="24"/>
          <w:szCs w:val="24"/>
        </w:rPr>
        <w:footnoteReference w:id="337"/>
      </w:r>
      <w:r w:rsidRPr="00096909">
        <w:rPr>
          <w:rFonts w:ascii="Times New Roman" w:hAnsi="Times New Roman" w:cs="Times New Roman"/>
          <w:sz w:val="24"/>
          <w:szCs w:val="24"/>
        </w:rPr>
        <w:t xml:space="preserve"> La necessità del prelato di verificare la disponibilità dei signori italiani a prestare soccorso all’impellente avanzata dei nemici della Cristianità non gli impedì tuttavia di gustare l’ospitalità della residenza del Magnifico: </w:t>
      </w:r>
    </w:p>
    <w:p w14:paraId="1A534FC9" w14:textId="77777777" w:rsidR="00FE49C6" w:rsidRPr="00096909" w:rsidRDefault="00FE49C6" w:rsidP="00FE49C6">
      <w:pPr>
        <w:spacing w:after="0" w:line="360" w:lineRule="auto"/>
        <w:ind w:right="-1" w:firstLine="397"/>
        <w:jc w:val="both"/>
        <w:rPr>
          <w:rFonts w:ascii="Times New Roman" w:hAnsi="Times New Roman" w:cs="Times New Roman"/>
          <w:sz w:val="24"/>
          <w:szCs w:val="24"/>
        </w:rPr>
      </w:pPr>
    </w:p>
    <w:p w14:paraId="092894B6" w14:textId="77777777" w:rsidR="00FE49C6" w:rsidRPr="00096909" w:rsidRDefault="00FE49C6" w:rsidP="00FE49C6">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Poi andò [Giovanni d’Aragona] suso dove era la camera de Lorencio, aparata da sua signoria, et in ogni loco erano varie copie de figure, le quale contemplava. Andò poi a vedere la camera dove stava Cosmo, conducta in milgiore forma, dove erano libri et pure picture molto solenne. Andò poi ne la sala, vete quelle forcie de Hercule, tute comendò. Poi intrò ne la camera fu di Piero, et gi la mostrò, et quello cortile con zardino di sopra, in solaro con quela lozeta, et de questa camera intrò in capella et mostrogli la sua capella. Poi intrò nel studio pure de la camera fu di Piero, et qui monstò prima el dicto studio cum tante copie de libri che era una cosa stupenda, tuti digni, scripti cum penna. Poi tornammo pure soto quella lozeta lì de dicta camera. Et in su una tavola li fece venire le sue zoie, che erano vasi, bochali, confetiere de prede fornite d’oro, che erano de diverse prete, diaspesi et altre. Eraci uno bichiero de cristallo fornito con el coperto et uno piè de arzento, erali ligate perle de conto, rubini et diamanti, et altre prede. Una schudella scholpita dentro de tante varie figure, che era una cosa digna, fu reputata de </w:t>
      </w:r>
      <w:r w:rsidRPr="00096909">
        <w:rPr>
          <w:rFonts w:ascii="Times New Roman" w:hAnsi="Times New Roman" w:cs="Times New Roman"/>
          <w:sz w:val="20"/>
          <w:szCs w:val="20"/>
        </w:rPr>
        <w:lastRenderedPageBreak/>
        <w:t>valuta de quatromilia ducati. Poi li fece portare dui bacili grandi pieni de medaglie antique, uno de medaglie d’oro et l’altro pieno de medaglie de arzento, poi una casetta con molte zoie, anelle, et altre prede intagliate […]. Poi el prefato monsignore andò a vedere San Marcho et la libraria, poi quello zardino de Lorencio lì.</w:t>
      </w:r>
      <w:r w:rsidRPr="00096909">
        <w:rPr>
          <w:rStyle w:val="Rimandonotaapidipagina"/>
          <w:rFonts w:ascii="Times New Roman" w:hAnsi="Times New Roman" w:cs="Times New Roman"/>
        </w:rPr>
        <w:footnoteReference w:id="338"/>
      </w:r>
    </w:p>
    <w:p w14:paraId="74DDB08D"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p>
    <w:p w14:paraId="77CB1864"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L’illustre ospite fu dunque condotto tra le meravigliose sale della residenza medicea, tra cui la Sala Grande del piano nobile, dove ammirò le tre perdute tele di Antonio del Pollaiolo con </w:t>
      </w:r>
      <w:r w:rsidRPr="00096909">
        <w:rPr>
          <w:rFonts w:ascii="Times New Roman" w:hAnsi="Times New Roman" w:cs="Times New Roman"/>
          <w:i/>
          <w:sz w:val="24"/>
          <w:szCs w:val="24"/>
        </w:rPr>
        <w:t>Le fatiche di Ercole</w:t>
      </w:r>
      <w:r w:rsidRPr="00096909">
        <w:rPr>
          <w:rFonts w:ascii="Times New Roman" w:hAnsi="Times New Roman" w:cs="Times New Roman"/>
          <w:sz w:val="24"/>
          <w:szCs w:val="24"/>
        </w:rPr>
        <w:t xml:space="preserve">, la cappella affrescata da Benozzo Gozzoli, e lo studiolo di Piero de’ Medici con la sua celebre raccolta di codici miniati. La loro mostra, nella cronaca dell’ambasciatore estense, pare del tutto equiparabile a quella delle preziose medaglie, delle gemme, o delle antiche rarità, come la coppa Farnese, chiamate a manifestare la ricchezza del possidente e la sua ricercata cultura antiquaria. </w:t>
      </w:r>
    </w:p>
    <w:p w14:paraId="4573A83E"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Ciò che preme qui sottolineare è però il naturale proseguimento della visita del cardinale d’Aragona alla vicina biblioteca di san Marco e al «zardino de Lorencio lì», il così detto Giardino di san Marco, luogo di delizie affacciato sulla piazza d</w:t>
      </w:r>
      <w:r>
        <w:rPr>
          <w:rFonts w:ascii="Times New Roman" w:hAnsi="Times New Roman" w:cs="Times New Roman"/>
          <w:sz w:val="24"/>
          <w:szCs w:val="24"/>
        </w:rPr>
        <w:t>el convento</w:t>
      </w:r>
      <w:r w:rsidRPr="00096909">
        <w:rPr>
          <w:rFonts w:ascii="Times New Roman" w:hAnsi="Times New Roman" w:cs="Times New Roman"/>
          <w:sz w:val="24"/>
          <w:szCs w:val="24"/>
        </w:rPr>
        <w:t xml:space="preserve"> e sulla via degli Arazzieri, prossimo ai terreni della Compagnia dei Preti, dove a partire dagli anni Settanta Lorenzo aveva collocato parte della raccolta</w:t>
      </w:r>
      <w:r w:rsidR="0024320D">
        <w:rPr>
          <w:rFonts w:ascii="Times New Roman" w:hAnsi="Times New Roman" w:cs="Times New Roman"/>
          <w:sz w:val="24"/>
          <w:szCs w:val="24"/>
        </w:rPr>
        <w:t xml:space="preserve"> medicea</w:t>
      </w:r>
      <w:r w:rsidRPr="00096909">
        <w:rPr>
          <w:rFonts w:ascii="Times New Roman" w:hAnsi="Times New Roman" w:cs="Times New Roman"/>
          <w:sz w:val="24"/>
          <w:szCs w:val="24"/>
        </w:rPr>
        <w:t xml:space="preserve"> di statue antiche acquistate sul mercato antiquario romano.</w:t>
      </w:r>
      <w:r w:rsidRPr="00096909">
        <w:rPr>
          <w:rStyle w:val="Rimandonotaapidipagina"/>
          <w:rFonts w:ascii="Times New Roman" w:hAnsi="Times New Roman" w:cs="Times New Roman"/>
          <w:sz w:val="24"/>
          <w:szCs w:val="24"/>
        </w:rPr>
        <w:footnoteReference w:id="339"/>
      </w:r>
      <w:r w:rsidRPr="00096909">
        <w:rPr>
          <w:rFonts w:ascii="Times New Roman" w:hAnsi="Times New Roman" w:cs="Times New Roman"/>
          <w:sz w:val="24"/>
          <w:szCs w:val="24"/>
        </w:rPr>
        <w:t xml:space="preserve"> </w:t>
      </w:r>
    </w:p>
    <w:p w14:paraId="010A2C5E"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 programma delle accoglienze organizzate per il porporato, il passaggio dal palazzo gentilizio a questi luoghi fa sì che la visione della biblioteca conventuale rientri perfettamente nella mostra dei beni medicei disposti per il benessere della città. Mi sembra abbastanza plausibile che il medesimo itinerario sia stato adottato anche il 3 ottobre 1481 nel corso delle accoglienze riservate dalla Repubblica di Firenze a Costanzo Sforza, giunto in città il giorno precedente con un imponente corteo per ricevere dalla Signoria l’investitura di capitano generale dell’esercito. </w:t>
      </w:r>
    </w:p>
    <w:p w14:paraId="7E54BD74"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Antonio da Montecatini, in una lettera indirizzata a Ercole d’Este a Modena il 4 ottobre 1481, così sintetizza la presentazione al condottiero delle bellezze della casa di Lorenzo, dove egli trascorse parte del soggiorno:</w:t>
      </w:r>
    </w:p>
    <w:p w14:paraId="13F50AE6"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p>
    <w:p w14:paraId="3AAFCD08" w14:textId="77777777" w:rsidR="00FE49C6" w:rsidRPr="00096909" w:rsidRDefault="00FE49C6" w:rsidP="00FE49C6">
      <w:pPr>
        <w:spacing w:line="257"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Lo signore Costantio mercori matina andò a visitare la Signoria e li Signori Octo […]. </w:t>
      </w:r>
    </w:p>
    <w:p w14:paraId="05597D95" w14:textId="77777777" w:rsidR="00FE49C6" w:rsidRPr="00096909" w:rsidRDefault="00FE49C6" w:rsidP="00FE49C6">
      <w:pPr>
        <w:spacing w:line="257"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Dappoi mangiare sua signoria andò visitando le giese et la casa de Laurentio, lo quale li mostrò libri, zoie et figure.</w:t>
      </w:r>
      <w:r w:rsidRPr="00096909">
        <w:rPr>
          <w:rStyle w:val="Rimandonotaapidipagina"/>
          <w:rFonts w:ascii="Times New Roman" w:hAnsi="Times New Roman" w:cs="Times New Roman"/>
        </w:rPr>
        <w:footnoteReference w:id="340"/>
      </w:r>
    </w:p>
    <w:p w14:paraId="55337027"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p>
    <w:p w14:paraId="31627CC2"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Certamente, lo spettacolo della biblioteca del Magnifico non dovette lasciare indifferente il capitano di ventura, il quale aveva ricevuto in eredità da suo padre Alessandro una discreta raccolta libraria che, secondo le notizie di Vespasiano da Bisticci, ebbe cura di ampliare.</w:t>
      </w:r>
      <w:r w:rsidRPr="00096909">
        <w:rPr>
          <w:rStyle w:val="Rimandonotaapidipagina"/>
          <w:rFonts w:ascii="Times New Roman" w:hAnsi="Times New Roman" w:cs="Times New Roman"/>
          <w:sz w:val="24"/>
          <w:szCs w:val="24"/>
        </w:rPr>
        <w:footnoteReference w:id="341"/>
      </w:r>
      <w:r w:rsidRPr="00096909">
        <w:rPr>
          <w:rFonts w:ascii="Times New Roman" w:hAnsi="Times New Roman" w:cs="Times New Roman"/>
          <w:sz w:val="24"/>
          <w:szCs w:val="24"/>
        </w:rPr>
        <w:t xml:space="preserve"> </w:t>
      </w:r>
    </w:p>
    <w:p w14:paraId="2A58EA3B"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rassegna degli esempi di notizie simili sulle visite alle raccolte librarie principesche potrebbe continuare ancora a lungo, anche in ragione del fatto che nei locali riservati alla lettura, come si è visto per lo studiolo di Piero de’ Medici, il principe amava conservare anche oggetti molto rari e d’aspetto insolito. La libreria, già splendente per l’oro delle borchie dei volumi e delle superbe miniature, assumeva così l’aspetto di un’autentica </w:t>
      </w:r>
      <w:r w:rsidRPr="00096909">
        <w:rPr>
          <w:rFonts w:ascii="Times New Roman" w:hAnsi="Times New Roman" w:cs="Times New Roman"/>
          <w:i/>
          <w:sz w:val="24"/>
          <w:szCs w:val="24"/>
        </w:rPr>
        <w:t>Wunderkammer</w:t>
      </w:r>
      <w:r w:rsidRPr="00096909">
        <w:rPr>
          <w:rFonts w:ascii="Times New Roman" w:hAnsi="Times New Roman" w:cs="Times New Roman"/>
          <w:sz w:val="24"/>
          <w:szCs w:val="24"/>
        </w:rPr>
        <w:t>. Secondo l’inventario della biblioteca viscontea del 1426 pare</w:t>
      </w:r>
      <w:r>
        <w:rPr>
          <w:rFonts w:ascii="Times New Roman" w:hAnsi="Times New Roman" w:cs="Times New Roman"/>
          <w:sz w:val="24"/>
          <w:szCs w:val="24"/>
        </w:rPr>
        <w:t>,</w:t>
      </w:r>
      <w:r w:rsidRPr="00096909">
        <w:rPr>
          <w:rFonts w:ascii="Times New Roman" w:hAnsi="Times New Roman" w:cs="Times New Roman"/>
          <w:sz w:val="24"/>
          <w:szCs w:val="24"/>
        </w:rPr>
        <w:t xml:space="preserve"> ad esempio</w:t>
      </w:r>
      <w:r>
        <w:rPr>
          <w:rFonts w:ascii="Times New Roman" w:hAnsi="Times New Roman" w:cs="Times New Roman"/>
          <w:sz w:val="24"/>
          <w:szCs w:val="24"/>
        </w:rPr>
        <w:t>,</w:t>
      </w:r>
      <w:r w:rsidRPr="00096909">
        <w:rPr>
          <w:rFonts w:ascii="Times New Roman" w:hAnsi="Times New Roman" w:cs="Times New Roman"/>
          <w:sz w:val="24"/>
          <w:szCs w:val="24"/>
        </w:rPr>
        <w:t xml:space="preserve"> che nelle sue sale trovassero posto il leggendario orologio realizzato da Giovanni Dondi, le </w:t>
      </w:r>
      <w:r w:rsidRPr="00096909">
        <w:rPr>
          <w:rFonts w:ascii="Times New Roman" w:hAnsi="Times New Roman" w:cs="Times New Roman"/>
          <w:i/>
          <w:sz w:val="24"/>
          <w:szCs w:val="24"/>
        </w:rPr>
        <w:t>spere duo de auricalcho rotunde</w:t>
      </w:r>
      <w:r w:rsidRPr="00096909">
        <w:rPr>
          <w:rFonts w:ascii="Times New Roman" w:hAnsi="Times New Roman" w:cs="Times New Roman"/>
          <w:sz w:val="24"/>
          <w:szCs w:val="24"/>
        </w:rPr>
        <w:t xml:space="preserve"> – probabilmente un mappamondo e una sfera armillare –, e la misteriosa </w:t>
      </w:r>
      <w:r w:rsidRPr="00096909">
        <w:rPr>
          <w:rFonts w:ascii="Times New Roman" w:hAnsi="Times New Roman" w:cs="Times New Roman"/>
          <w:i/>
          <w:sz w:val="24"/>
          <w:szCs w:val="24"/>
        </w:rPr>
        <w:t>Calamita una cum catena ligni</w:t>
      </w:r>
      <w:r w:rsidRPr="00096909">
        <w:rPr>
          <w:rFonts w:ascii="Times New Roman" w:hAnsi="Times New Roman" w:cs="Times New Roman"/>
          <w:sz w:val="24"/>
          <w:szCs w:val="24"/>
        </w:rPr>
        <w:t xml:space="preserve">. Gli </w:t>
      </w:r>
      <w:r w:rsidRPr="00096909">
        <w:rPr>
          <w:rFonts w:ascii="Times New Roman" w:hAnsi="Times New Roman" w:cs="Times New Roman"/>
          <w:i/>
          <w:sz w:val="24"/>
          <w:szCs w:val="24"/>
        </w:rPr>
        <w:t>Annali</w:t>
      </w:r>
      <w:r w:rsidRPr="00096909">
        <w:rPr>
          <w:rFonts w:ascii="Times New Roman" w:hAnsi="Times New Roman" w:cs="Times New Roman"/>
          <w:sz w:val="24"/>
          <w:szCs w:val="24"/>
        </w:rPr>
        <w:t xml:space="preserve"> dello storico comasco Francesco Muralto, alla data 1499, registravano inoltre come «</w:t>
      </w:r>
      <w:r w:rsidRPr="00096909">
        <w:rPr>
          <w:rFonts w:ascii="Times New Roman" w:hAnsi="Times New Roman" w:cs="Times New Roman"/>
          <w:i/>
          <w:sz w:val="24"/>
          <w:szCs w:val="24"/>
        </w:rPr>
        <w:t>Exportavitque Maurus cornua duo unicorni, unum eorum erat brachiorum sex et amplius ac magni pretii et forte annis ducentis, quae a Vicecomitibus in castro Papiae in bibliotheca reclusa fuerunt</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342"/>
      </w:r>
      <w:r w:rsidRPr="00096909">
        <w:rPr>
          <w:rFonts w:ascii="Times New Roman" w:hAnsi="Times New Roman" w:cs="Times New Roman"/>
          <w:sz w:val="24"/>
          <w:szCs w:val="24"/>
        </w:rPr>
        <w:t xml:space="preserve"> </w:t>
      </w:r>
    </w:p>
    <w:p w14:paraId="301EA56A"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 nel corso del secolo XV la biblioteca è dunque divenuta la stanza delle meraviglie del principe, luogo in cui intrattenere gli ospiti e presentare loro le cose più curiose non stupirà più di tanto leggere quanto l’umanista genovese Adamo di Montaldo riferisce, nella sua orazione </w:t>
      </w:r>
      <w:r w:rsidRPr="00096909">
        <w:rPr>
          <w:rFonts w:ascii="Times New Roman" w:hAnsi="Times New Roman" w:cs="Times New Roman"/>
          <w:i/>
          <w:sz w:val="24"/>
          <w:szCs w:val="24"/>
        </w:rPr>
        <w:t>De clara vita Alphonsi Regis</w:t>
      </w:r>
      <w:r w:rsidRPr="00096909">
        <w:rPr>
          <w:rFonts w:ascii="Times New Roman" w:hAnsi="Times New Roman" w:cs="Times New Roman"/>
          <w:sz w:val="24"/>
          <w:szCs w:val="24"/>
        </w:rPr>
        <w:t xml:space="preserve"> rivolta a papa Cal</w:t>
      </w:r>
      <w:r w:rsidR="0054279A">
        <w:rPr>
          <w:rFonts w:ascii="Times New Roman" w:hAnsi="Times New Roman" w:cs="Times New Roman"/>
          <w:sz w:val="24"/>
          <w:szCs w:val="24"/>
        </w:rPr>
        <w:t>l</w:t>
      </w:r>
      <w:r w:rsidRPr="00096909">
        <w:rPr>
          <w:rFonts w:ascii="Times New Roman" w:hAnsi="Times New Roman" w:cs="Times New Roman"/>
          <w:sz w:val="24"/>
          <w:szCs w:val="24"/>
        </w:rPr>
        <w:t xml:space="preserve">isto, riguardo i piacevoli momenti ivi trascorsi dal sovrano. Dopo aver lodato la rettitudine della vita cristiana del Magnanimo, dedita alla preghiera, </w:t>
      </w:r>
      <w:r w:rsidRPr="00096909">
        <w:rPr>
          <w:rFonts w:ascii="Times New Roman" w:hAnsi="Times New Roman" w:cs="Times New Roman"/>
          <w:sz w:val="24"/>
          <w:szCs w:val="24"/>
        </w:rPr>
        <w:lastRenderedPageBreak/>
        <w:t>al digiuno e alle elemosine, e la sua passione per la caccia, che addestra l’animo alla prontezza e all’astuzia, così Adamo ritrae l’amore del re per le letture:</w:t>
      </w:r>
    </w:p>
    <w:p w14:paraId="22BC8E07" w14:textId="77777777" w:rsidR="00FE49C6" w:rsidRPr="00096909" w:rsidRDefault="00FE49C6" w:rsidP="00FE49C6">
      <w:pPr>
        <w:tabs>
          <w:tab w:val="left" w:pos="0"/>
        </w:tabs>
        <w:spacing w:after="0" w:line="360" w:lineRule="auto"/>
        <w:ind w:right="-1" w:firstLine="397"/>
        <w:jc w:val="both"/>
        <w:rPr>
          <w:rFonts w:ascii="Times New Roman" w:hAnsi="Times New Roman" w:cs="Times New Roman"/>
          <w:sz w:val="24"/>
          <w:szCs w:val="24"/>
        </w:rPr>
      </w:pPr>
    </w:p>
    <w:p w14:paraId="36A17710" w14:textId="77777777" w:rsidR="00FE49C6" w:rsidRPr="00096909" w:rsidRDefault="00FE49C6" w:rsidP="00FE49C6">
      <w:pPr>
        <w:tabs>
          <w:tab w:val="left" w:pos="567"/>
        </w:tabs>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i/>
          <w:sz w:val="20"/>
          <w:szCs w:val="20"/>
        </w:rPr>
        <w:t>Sumpto autem prandio se retrahit in eminentiori castelli loco unde paululum moratus bibliothecam librorum omnium voluminibus singularem redit more praehabito audiundi legi a doctissimo viro quodam, imperat quicquam lectionis dari. Illic enim auscultandi omnium maxima fit delectatio, cum multifaria humanae monumenta vitae atque historiarum elegantiae ad exempla virtutum et vitiorum audiuntium militum cuiusque generis ac caeterorum tradantur. Ibique concursus vehementissimus est dominorum auctoritatis quorum propter\ maiestatis clementiam custodes introeundi nemini libertatem denegavere. Postea vero quam perfecta lectionis congratulatio est, consuetudine principis communi refectionem multi generis pomorum regi et reliquorum praesentiae gratia communicandi ferunt. Subsequenter cratheras magnos statuunt et vina coronant. Inter quae autem histrio quandoquidem burlazotus facetus caeterorum omnium fabulator miranda interponit cuiusmodi regiae eo tempore maiestati solent plurimum delectationi esse.</w:t>
      </w:r>
      <w:r w:rsidRPr="00096909">
        <w:rPr>
          <w:rStyle w:val="Rimandonotaapidipagina"/>
          <w:rFonts w:ascii="Times New Roman" w:hAnsi="Times New Roman" w:cs="Times New Roman"/>
        </w:rPr>
        <w:footnoteReference w:id="343"/>
      </w:r>
      <w:r w:rsidRPr="00096909">
        <w:rPr>
          <w:rFonts w:ascii="Times New Roman" w:hAnsi="Times New Roman" w:cs="Times New Roman"/>
          <w:sz w:val="20"/>
          <w:szCs w:val="20"/>
        </w:rPr>
        <w:t xml:space="preserve"> </w:t>
      </w:r>
    </w:p>
    <w:p w14:paraId="6B617674" w14:textId="77777777" w:rsidR="00FE49C6" w:rsidRPr="00096909" w:rsidRDefault="00FE49C6" w:rsidP="00FE49C6">
      <w:pPr>
        <w:tabs>
          <w:tab w:val="left" w:pos="567"/>
        </w:tabs>
        <w:spacing w:after="0" w:line="360" w:lineRule="auto"/>
        <w:ind w:left="-142" w:right="-1" w:firstLine="397"/>
        <w:jc w:val="both"/>
        <w:rPr>
          <w:rFonts w:ascii="Times New Roman" w:hAnsi="Times New Roman" w:cs="Times New Roman"/>
          <w:sz w:val="24"/>
          <w:szCs w:val="24"/>
        </w:rPr>
      </w:pPr>
    </w:p>
    <w:p w14:paraId="150A3196" w14:textId="77777777" w:rsidR="009E2D8D" w:rsidRDefault="00FE49C6" w:rsidP="009E2D8D">
      <w:pPr>
        <w:tabs>
          <w:tab w:val="left" w:pos="567"/>
        </w:tabs>
        <w:spacing w:after="0" w:line="360" w:lineRule="auto"/>
        <w:ind w:left="-142" w:right="-1" w:firstLine="397"/>
        <w:jc w:val="both"/>
        <w:rPr>
          <w:rFonts w:ascii="Times New Roman" w:hAnsi="Times New Roman" w:cs="Times New Roman"/>
          <w:sz w:val="24"/>
          <w:szCs w:val="24"/>
        </w:rPr>
      </w:pPr>
      <w:r w:rsidRPr="00096909">
        <w:rPr>
          <w:rFonts w:ascii="Times New Roman" w:hAnsi="Times New Roman" w:cs="Times New Roman"/>
          <w:sz w:val="24"/>
          <w:szCs w:val="24"/>
        </w:rPr>
        <w:t>L’</w:t>
      </w:r>
      <w:r w:rsidRPr="00096909">
        <w:rPr>
          <w:rFonts w:ascii="Times New Roman" w:hAnsi="Times New Roman" w:cs="Times New Roman"/>
          <w:i/>
          <w:sz w:val="24"/>
          <w:szCs w:val="24"/>
        </w:rPr>
        <w:t xml:space="preserve">histrio burlazotus et facetus, </w:t>
      </w:r>
      <w:r w:rsidRPr="00096909">
        <w:rPr>
          <w:rFonts w:ascii="Times New Roman" w:hAnsi="Times New Roman" w:cs="Times New Roman"/>
          <w:sz w:val="24"/>
          <w:szCs w:val="24"/>
        </w:rPr>
        <w:t xml:space="preserve">una volta concluse le alte discussioni degli ospiti di Alfonso, fa dunque irruzione nelle sale della biblioteca insieme ai paggi recanti le anfore di vini pregiati e i vassoi con frutti maturi. Tra le piacevolezze della reggia aragonese i suoi lazzi poterono allora girovagare liberamente per le sale del castello, alla ricerca di un luogo dove fossero presenti spettatori pronti ad ascoltare le sue storie. Il faceto dicitore li avrà forse trovati talvolta intenti a riporre tra gli scaffali i volumi con le </w:t>
      </w:r>
      <w:r w:rsidRPr="00096909">
        <w:rPr>
          <w:rFonts w:ascii="Times New Roman" w:hAnsi="Times New Roman" w:cs="Times New Roman"/>
          <w:i/>
          <w:sz w:val="24"/>
          <w:szCs w:val="24"/>
        </w:rPr>
        <w:t>Historiae</w:t>
      </w:r>
      <w:r w:rsidRPr="00096909">
        <w:rPr>
          <w:rFonts w:ascii="Times New Roman" w:hAnsi="Times New Roman" w:cs="Times New Roman"/>
          <w:sz w:val="24"/>
          <w:szCs w:val="24"/>
        </w:rPr>
        <w:t xml:space="preserve"> di Livio, di Plinio, di Virgilio e di quei grandi che riempivano di sogni il mondo della corte rinascimentale. </w:t>
      </w:r>
    </w:p>
    <w:p w14:paraId="431CFB45" w14:textId="77777777" w:rsidR="009E2D8D" w:rsidRPr="00330F1A" w:rsidRDefault="00E81BCD" w:rsidP="00330F1A">
      <w:pPr>
        <w:spacing w:line="259" w:lineRule="auto"/>
        <w:jc w:val="center"/>
        <w:rPr>
          <w:rFonts w:ascii="Times New Roman" w:hAnsi="Times New Roman" w:cs="Times New Roman"/>
          <w:smallCaps/>
          <w:sz w:val="24"/>
          <w:szCs w:val="24"/>
        </w:rPr>
      </w:pPr>
      <w:r>
        <w:rPr>
          <w:rFonts w:ascii="Times New Roman" w:hAnsi="Times New Roman" w:cs="Times New Roman"/>
          <w:smallCaps/>
          <w:sz w:val="24"/>
          <w:szCs w:val="24"/>
        </w:rPr>
        <w:br w:type="page"/>
      </w:r>
      <w:r w:rsidR="009E2D8D" w:rsidRPr="00096909">
        <w:rPr>
          <w:rFonts w:ascii="Times New Roman" w:hAnsi="Times New Roman" w:cs="Times New Roman"/>
          <w:smallCaps/>
          <w:sz w:val="24"/>
          <w:szCs w:val="24"/>
        </w:rPr>
        <w:lastRenderedPageBreak/>
        <w:t>Capitolo II</w:t>
      </w:r>
    </w:p>
    <w:p w14:paraId="49E04D3F" w14:textId="77777777" w:rsidR="009E2D8D" w:rsidRPr="00096909" w:rsidRDefault="009E2D8D" w:rsidP="009E2D8D">
      <w:pPr>
        <w:jc w:val="center"/>
        <w:rPr>
          <w:rFonts w:ascii="Times New Roman" w:hAnsi="Times New Roman" w:cs="Times New Roman"/>
          <w:smallCaps/>
          <w:sz w:val="24"/>
          <w:szCs w:val="24"/>
        </w:rPr>
      </w:pPr>
      <w:r w:rsidRPr="00096909">
        <w:rPr>
          <w:rFonts w:ascii="Times New Roman" w:hAnsi="Times New Roman" w:cs="Times New Roman"/>
          <w:smallCaps/>
          <w:sz w:val="24"/>
          <w:szCs w:val="24"/>
        </w:rPr>
        <w:t xml:space="preserve"> I Libretti per nozze a stampa</w:t>
      </w:r>
    </w:p>
    <w:p w14:paraId="3D005928" w14:textId="77777777" w:rsidR="009E2D8D" w:rsidRPr="00096909" w:rsidRDefault="009E2D8D" w:rsidP="009E2D8D">
      <w:pPr>
        <w:jc w:val="both"/>
        <w:rPr>
          <w:rFonts w:ascii="Times New Roman" w:hAnsi="Times New Roman" w:cs="Times New Roman"/>
          <w:sz w:val="24"/>
          <w:szCs w:val="24"/>
        </w:rPr>
      </w:pPr>
    </w:p>
    <w:p w14:paraId="51692341" w14:textId="77777777" w:rsidR="009E2D8D" w:rsidRPr="00096909" w:rsidRDefault="009E2D8D" w:rsidP="009E2D8D">
      <w:pPr>
        <w:jc w:val="both"/>
        <w:rPr>
          <w:rFonts w:ascii="Times New Roman" w:hAnsi="Times New Roman" w:cs="Times New Roman"/>
          <w:sz w:val="24"/>
          <w:szCs w:val="24"/>
        </w:rPr>
      </w:pPr>
    </w:p>
    <w:p w14:paraId="497A58A4" w14:textId="77777777" w:rsidR="009E2D8D" w:rsidRPr="00096909" w:rsidRDefault="009E2D8D" w:rsidP="009E2D8D">
      <w:pPr>
        <w:jc w:val="both"/>
        <w:rPr>
          <w:rFonts w:ascii="Times New Roman" w:hAnsi="Times New Roman" w:cs="Times New Roman"/>
          <w:sz w:val="24"/>
          <w:szCs w:val="24"/>
        </w:rPr>
      </w:pPr>
      <w:r w:rsidRPr="0038673C">
        <w:rPr>
          <w:rFonts w:ascii="Times New Roman" w:hAnsi="Times New Roman" w:cs="Times New Roman"/>
          <w:sz w:val="24"/>
          <w:szCs w:val="24"/>
        </w:rPr>
        <w:t>1.</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 xml:space="preserve">Quali libri per quali matrimoni? Vicende editoriali </w:t>
      </w:r>
      <w:r w:rsidRPr="002D7A49">
        <w:rPr>
          <w:rFonts w:ascii="Times New Roman" w:hAnsi="Times New Roman" w:cs="Times New Roman"/>
          <w:i/>
          <w:sz w:val="24"/>
          <w:szCs w:val="24"/>
        </w:rPr>
        <w:t>degli incunaboli per nozze.</w:t>
      </w:r>
    </w:p>
    <w:p w14:paraId="75A77839" w14:textId="77777777" w:rsidR="009E2D8D" w:rsidRPr="00096909" w:rsidRDefault="009E2D8D" w:rsidP="009E2D8D">
      <w:pPr>
        <w:jc w:val="both"/>
        <w:rPr>
          <w:rFonts w:ascii="Times New Roman" w:hAnsi="Times New Roman" w:cs="Times New Roman"/>
          <w:sz w:val="24"/>
          <w:szCs w:val="24"/>
        </w:rPr>
      </w:pPr>
    </w:p>
    <w:p w14:paraId="34BC0B15" w14:textId="77777777" w:rsidR="009E2D8D" w:rsidRPr="00096909" w:rsidRDefault="009E2D8D" w:rsidP="009E2D8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Gli incunaboli </w:t>
      </w:r>
      <w:r w:rsidR="002D0D14">
        <w:rPr>
          <w:rFonts w:ascii="Times New Roman" w:hAnsi="Times New Roman" w:cs="Times New Roman"/>
          <w:sz w:val="24"/>
          <w:szCs w:val="24"/>
        </w:rPr>
        <w:t>del</w:t>
      </w:r>
      <w:r w:rsidRPr="00096909">
        <w:rPr>
          <w:rFonts w:ascii="Times New Roman" w:hAnsi="Times New Roman" w:cs="Times New Roman"/>
          <w:sz w:val="24"/>
          <w:szCs w:val="24"/>
        </w:rPr>
        <w:t xml:space="preserve">le descrizioni delle feste per i matrimoni dei principi italiani della Rinascenza costituiscono per più ragioni un oggetto di studio interessante </w:t>
      </w:r>
      <w:r w:rsidR="002D0D14">
        <w:rPr>
          <w:rFonts w:ascii="Times New Roman" w:hAnsi="Times New Roman" w:cs="Times New Roman"/>
          <w:sz w:val="24"/>
          <w:szCs w:val="24"/>
        </w:rPr>
        <w:t xml:space="preserve">sia </w:t>
      </w:r>
      <w:r w:rsidRPr="00096909">
        <w:rPr>
          <w:rFonts w:ascii="Times New Roman" w:hAnsi="Times New Roman" w:cs="Times New Roman"/>
          <w:sz w:val="24"/>
          <w:szCs w:val="24"/>
        </w:rPr>
        <w:t xml:space="preserve">per gli specialisti di storia del libro </w:t>
      </w:r>
      <w:r w:rsidR="002D0D14">
        <w:rPr>
          <w:rFonts w:ascii="Times New Roman" w:hAnsi="Times New Roman" w:cs="Times New Roman"/>
          <w:sz w:val="24"/>
          <w:szCs w:val="24"/>
        </w:rPr>
        <w:t xml:space="preserve">sia </w:t>
      </w:r>
      <w:r w:rsidRPr="00096909">
        <w:rPr>
          <w:rFonts w:ascii="Times New Roman" w:hAnsi="Times New Roman" w:cs="Times New Roman"/>
          <w:sz w:val="24"/>
          <w:szCs w:val="24"/>
        </w:rPr>
        <w:t xml:space="preserve">per gli storici dello spettacolo. </w:t>
      </w:r>
    </w:p>
    <w:p w14:paraId="2D01FF85"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 primo luogo, bisogna notare come nel Quattrocento l’Italia sia l’unico paese europeo che presenti relazioni a stampa di sposalizi principeschi. Sebbene ci siano giunti incunaboli con le cronache delle consacrazioni regali di Carlo VIII nel 1484 e di Luigi XII nel 1498 a Reims, non abbiamo, infatti, pubblicazioni sulle nozze dei due re </w:t>
      </w:r>
      <w:r>
        <w:rPr>
          <w:rFonts w:ascii="Times New Roman" w:hAnsi="Times New Roman" w:cs="Times New Roman"/>
          <w:sz w:val="24"/>
          <w:szCs w:val="24"/>
        </w:rPr>
        <w:t xml:space="preserve">francesi </w:t>
      </w:r>
      <w:r w:rsidRPr="00096909">
        <w:rPr>
          <w:rFonts w:ascii="Times New Roman" w:hAnsi="Times New Roman" w:cs="Times New Roman"/>
          <w:sz w:val="24"/>
          <w:szCs w:val="24"/>
        </w:rPr>
        <w:t>con Anna di Bretagna, come non ne possediamo per quelle di altri sovrani e principi dell’epoca;</w:t>
      </w:r>
      <w:r w:rsidRPr="00096909">
        <w:rPr>
          <w:rStyle w:val="Rimandonotaapidipagina"/>
          <w:rFonts w:ascii="Times New Roman" w:hAnsi="Times New Roman" w:cs="Times New Roman"/>
          <w:sz w:val="24"/>
          <w:szCs w:val="24"/>
        </w:rPr>
        <w:footnoteReference w:id="344"/>
      </w:r>
      <w:r w:rsidRPr="00096909">
        <w:rPr>
          <w:rFonts w:ascii="Times New Roman" w:hAnsi="Times New Roman" w:cs="Times New Roman"/>
          <w:sz w:val="24"/>
          <w:szCs w:val="24"/>
        </w:rPr>
        <w:t xml:space="preserve"> mentre il ducato di Savoia, politicamente e culturalmente vicino tanto alla Francia quanto all’Italia, dovette attendere il 1510 perché fosse stampato il primo testo che p</w:t>
      </w:r>
      <w:r>
        <w:rPr>
          <w:rFonts w:ascii="Times New Roman" w:hAnsi="Times New Roman" w:cs="Times New Roman"/>
          <w:sz w:val="24"/>
          <w:szCs w:val="24"/>
        </w:rPr>
        <w:t>ossa</w:t>
      </w:r>
      <w:r w:rsidRPr="00096909">
        <w:rPr>
          <w:rFonts w:ascii="Times New Roman" w:hAnsi="Times New Roman" w:cs="Times New Roman"/>
          <w:sz w:val="24"/>
          <w:szCs w:val="24"/>
        </w:rPr>
        <w:t xml:space="preserve"> essere messo in relazione con il cerimoniale di corte: l’</w:t>
      </w:r>
      <w:r w:rsidRPr="00096909">
        <w:rPr>
          <w:rFonts w:ascii="Times New Roman" w:hAnsi="Times New Roman" w:cs="Times New Roman"/>
          <w:i/>
          <w:sz w:val="24"/>
          <w:szCs w:val="24"/>
        </w:rPr>
        <w:t>Ordonnance</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et institution de l’ordre du collier de Savoie</w:t>
      </w:r>
      <w:r>
        <w:rPr>
          <w:rFonts w:ascii="Times New Roman" w:hAnsi="Times New Roman" w:cs="Times New Roman"/>
          <w:sz w:val="24"/>
          <w:szCs w:val="24"/>
        </w:rPr>
        <w:t xml:space="preserve">, edito </w:t>
      </w:r>
      <w:r w:rsidRPr="00096909">
        <w:rPr>
          <w:rFonts w:ascii="Times New Roman" w:hAnsi="Times New Roman" w:cs="Times New Roman"/>
          <w:sz w:val="24"/>
          <w:szCs w:val="24"/>
        </w:rPr>
        <w:t xml:space="preserve">a Ginevra da </w:t>
      </w:r>
      <w:bookmarkStart w:id="276" w:name="_Hlk535914837"/>
      <w:r w:rsidRPr="00096909">
        <w:rPr>
          <w:rFonts w:ascii="Times New Roman" w:hAnsi="Times New Roman" w:cs="Times New Roman"/>
          <w:sz w:val="24"/>
          <w:szCs w:val="24"/>
        </w:rPr>
        <w:t>Jean Belot</w:t>
      </w:r>
      <w:bookmarkEnd w:id="276"/>
      <w:r>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345"/>
      </w:r>
    </w:p>
    <w:p w14:paraId="40B45175"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Possediamo viceversa alcuni libretti pubblicati in onore dei matrimoni di Costanzo Sforza e Camilla d’Aragona (Pesaro, maggio 1475), di Annibale Bentivoglio e Lucrezia d’Este (Bologna, gennaio-febbraio 1487), di Gian Galeazzo Sforza e Isabella d’Aragona (Milano, febbraio 1489), e dell’imperatore Massimiliano I d’Asburgo con Bianca Maria Sforza (Milano, </w:t>
      </w:r>
      <w:r w:rsidRPr="00096909">
        <w:rPr>
          <w:rFonts w:ascii="Times New Roman" w:hAnsi="Times New Roman"/>
          <w:sz w:val="24"/>
          <w:szCs w:val="24"/>
        </w:rPr>
        <w:t>novembre 1493)</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346"/>
      </w:r>
      <w:r w:rsidRPr="00096909">
        <w:rPr>
          <w:rFonts w:ascii="Times New Roman" w:hAnsi="Times New Roman" w:cs="Times New Roman"/>
          <w:sz w:val="24"/>
          <w:szCs w:val="24"/>
        </w:rPr>
        <w:t xml:space="preserve">  </w:t>
      </w:r>
    </w:p>
    <w:p w14:paraId="60A5BB8F"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Agli stampatori e agli editori italiani va pertanto riconosciuto un ruolo pionieristico nella definizione dei caratteri editoriali di un genere, quello del </w:t>
      </w:r>
      <w:r w:rsidRPr="00096909">
        <w:rPr>
          <w:rFonts w:ascii="Times New Roman" w:hAnsi="Times New Roman" w:cs="Times New Roman"/>
          <w:i/>
          <w:sz w:val="24"/>
          <w:szCs w:val="24"/>
        </w:rPr>
        <w:t>livret</w:t>
      </w:r>
      <w:r w:rsidRPr="00096909">
        <w:rPr>
          <w:rFonts w:ascii="Times New Roman" w:hAnsi="Times New Roman" w:cs="Times New Roman"/>
          <w:sz w:val="24"/>
          <w:szCs w:val="24"/>
        </w:rPr>
        <w:t xml:space="preserve"> con le descrizioni dei più importanti festeggiamenti dinastici, destinato a godere nel secolo successivo di grande successo in tutta Europa;</w:t>
      </w:r>
      <w:r w:rsidRPr="00096909">
        <w:rPr>
          <w:rStyle w:val="Rimandonotaapidipagina"/>
          <w:rFonts w:ascii="Times New Roman" w:hAnsi="Times New Roman" w:cs="Times New Roman"/>
          <w:sz w:val="24"/>
          <w:szCs w:val="24"/>
        </w:rPr>
        <w:footnoteReference w:id="347"/>
      </w:r>
      <w:r w:rsidRPr="00096909">
        <w:rPr>
          <w:rFonts w:ascii="Times New Roman" w:hAnsi="Times New Roman" w:cs="Times New Roman"/>
          <w:sz w:val="24"/>
          <w:szCs w:val="24"/>
        </w:rPr>
        <w:t xml:space="preserve"> così come ai letterati autori di queste prime cronache spetterebbe il merito di avere ideato un modello di scrittura encomiastica, in volgare e in latino, segnato da un’organizzazione armoniosa e funzionale della materia presentata, dalla scelta di un lessico ricercato e spesso addirittura sofisticatamente inusuale, e dal tentativo di produrre un’opera di buon valore artistico che rispondesse alle esigenze </w:t>
      </w:r>
      <w:r>
        <w:rPr>
          <w:rFonts w:ascii="Times New Roman" w:hAnsi="Times New Roman" w:cs="Times New Roman"/>
          <w:sz w:val="24"/>
          <w:szCs w:val="24"/>
        </w:rPr>
        <w:t xml:space="preserve">encomiastiche </w:t>
      </w:r>
      <w:r w:rsidRPr="00096909">
        <w:rPr>
          <w:rFonts w:ascii="Times New Roman" w:hAnsi="Times New Roman" w:cs="Times New Roman"/>
          <w:sz w:val="24"/>
          <w:szCs w:val="24"/>
        </w:rPr>
        <w:t xml:space="preserve">della famiglia dominante senza tuttavia risultare un mero omaggio cortigiano.   </w:t>
      </w:r>
    </w:p>
    <w:p w14:paraId="511956C8"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È poi opportuno </w:t>
      </w:r>
      <w:r w:rsidRPr="00096909">
        <w:rPr>
          <w:rFonts w:ascii="Times New Roman" w:hAnsi="Times New Roman" w:cs="Times New Roman"/>
          <w:sz w:val="24"/>
          <w:szCs w:val="24"/>
        </w:rPr>
        <w:t>considera</w:t>
      </w:r>
      <w:r>
        <w:rPr>
          <w:rFonts w:ascii="Times New Roman" w:hAnsi="Times New Roman" w:cs="Times New Roman"/>
          <w:sz w:val="24"/>
          <w:szCs w:val="24"/>
        </w:rPr>
        <w:t>re</w:t>
      </w:r>
      <w:r w:rsidRPr="00096909">
        <w:rPr>
          <w:rFonts w:ascii="Times New Roman" w:hAnsi="Times New Roman" w:cs="Times New Roman"/>
          <w:sz w:val="24"/>
          <w:szCs w:val="24"/>
        </w:rPr>
        <w:t xml:space="preserve"> come queste descrizioni – abitualmente edite in formato in quarto, di non più di venti carte, prive d’illustrazioni e di finezze grafiche, conosciute soltanto in copie impresse su carta e mai su pergamena – si conservino in un numero d’esemplari superiore al quantitativo medio delle copie d’edizioni incunabole pervenute ai nostri giorni. </w:t>
      </w:r>
      <w:r>
        <w:rPr>
          <w:rFonts w:ascii="Times New Roman" w:hAnsi="Times New Roman" w:cs="Times New Roman"/>
          <w:sz w:val="24"/>
          <w:szCs w:val="24"/>
        </w:rPr>
        <w:t>Fatto che</w:t>
      </w:r>
      <w:r w:rsidRPr="00096909">
        <w:rPr>
          <w:rFonts w:ascii="Times New Roman" w:hAnsi="Times New Roman" w:cs="Times New Roman"/>
          <w:sz w:val="24"/>
          <w:szCs w:val="24"/>
        </w:rPr>
        <w:t xml:space="preserve"> merita qualche osservazione più puntuale al fine di comprendere la particolare natura di questi stampati e l’obiettivo per il quale furono pubblicati.  </w:t>
      </w:r>
    </w:p>
    <w:p w14:paraId="54231DD5" w14:textId="654BC2E2"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Una ricerca condotta da Jonathan Green, Frank McIntyre e Paul Needham sui 30.527 titoli repertoriati nell’ISTC ha recentemente appurato come circa 6.800 delle edizioni del secolo XV siano pervenute</w:t>
      </w:r>
      <w:r>
        <w:rPr>
          <w:rFonts w:ascii="Times New Roman" w:hAnsi="Times New Roman" w:cs="Times New Roman"/>
          <w:sz w:val="24"/>
          <w:szCs w:val="24"/>
        </w:rPr>
        <w:t xml:space="preserve"> ai giorni nostri</w:t>
      </w:r>
      <w:r w:rsidRPr="00096909">
        <w:rPr>
          <w:rFonts w:ascii="Times New Roman" w:hAnsi="Times New Roman" w:cs="Times New Roman"/>
          <w:sz w:val="24"/>
          <w:szCs w:val="24"/>
        </w:rPr>
        <w:t xml:space="preserve"> in un unico esemplare, 3.100 in due esemplari, 2.000 in tre, 1.500 in quattro, 1.200 in cinque. Pertanto, quasi </w:t>
      </w:r>
      <w:r w:rsidR="002D0D14">
        <w:rPr>
          <w:rFonts w:ascii="Times New Roman" w:hAnsi="Times New Roman" w:cs="Times New Roman"/>
          <w:sz w:val="24"/>
          <w:szCs w:val="24"/>
        </w:rPr>
        <w:t xml:space="preserve">la </w:t>
      </w:r>
      <w:r w:rsidRPr="00096909">
        <w:rPr>
          <w:rFonts w:ascii="Times New Roman" w:hAnsi="Times New Roman" w:cs="Times New Roman"/>
          <w:sz w:val="24"/>
          <w:szCs w:val="24"/>
        </w:rPr>
        <w:t>metà del patrimonio librario schedato dal sito britannico si conserva attualmente in non più di cinque copie.</w:t>
      </w:r>
      <w:r w:rsidRPr="00096909">
        <w:rPr>
          <w:rStyle w:val="Rimandonotaapidipagina"/>
          <w:rFonts w:ascii="Times New Roman" w:hAnsi="Times New Roman" w:cs="Times New Roman"/>
          <w:sz w:val="24"/>
          <w:szCs w:val="24"/>
        </w:rPr>
        <w:footnoteReference w:id="348"/>
      </w:r>
      <w:r w:rsidRPr="00096909">
        <w:rPr>
          <w:rFonts w:ascii="Times New Roman" w:hAnsi="Times New Roman" w:cs="Times New Roman"/>
          <w:sz w:val="24"/>
          <w:szCs w:val="24"/>
        </w:rPr>
        <w:t xml:space="preserve"> </w:t>
      </w:r>
    </w:p>
    <w:p w14:paraId="623C52C9"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 prodotti tipografici apparsi grosso modo entro l’anno 1480 ebbero generalmente una tiratura non superiore alle cinquecento</w:t>
      </w:r>
      <w:r>
        <w:rPr>
          <w:rFonts w:ascii="Times New Roman" w:hAnsi="Times New Roman" w:cs="Times New Roman"/>
          <w:sz w:val="24"/>
          <w:szCs w:val="24"/>
        </w:rPr>
        <w:t xml:space="preserve"> unità</w:t>
      </w:r>
      <w:r w:rsidRPr="00096909">
        <w:rPr>
          <w:rFonts w:ascii="Times New Roman" w:hAnsi="Times New Roman" w:cs="Times New Roman"/>
          <w:sz w:val="24"/>
          <w:szCs w:val="24"/>
        </w:rPr>
        <w:t>, mentre quelli impressi nel periodo 1481-1500, quando il più avanzato torchio a due colpi sostituì la primitiva attrezzatura a un solo colpo, ne ebbero una di mille esemplari.</w:t>
      </w:r>
      <w:r w:rsidRPr="00096909">
        <w:rPr>
          <w:rStyle w:val="Rimandonotaapidipagina"/>
          <w:rFonts w:ascii="Times New Roman" w:hAnsi="Times New Roman" w:cs="Times New Roman"/>
          <w:sz w:val="24"/>
          <w:szCs w:val="24"/>
        </w:rPr>
        <w:footnoteReference w:id="349"/>
      </w:r>
      <w:r w:rsidRPr="00096909">
        <w:rPr>
          <w:rFonts w:ascii="Times New Roman" w:hAnsi="Times New Roman" w:cs="Times New Roman"/>
          <w:sz w:val="24"/>
          <w:szCs w:val="24"/>
        </w:rPr>
        <w:t xml:space="preserve"> La sopravvivenza degli incunaboli pubblicati nel primo periodo, stando agli </w:t>
      </w:r>
      <w:r w:rsidRPr="00096909">
        <w:rPr>
          <w:rFonts w:ascii="Times New Roman" w:hAnsi="Times New Roman" w:cs="Times New Roman"/>
          <w:sz w:val="24"/>
          <w:szCs w:val="24"/>
        </w:rPr>
        <w:lastRenderedPageBreak/>
        <w:t>studi di Neil Harris, si attesterebbe allora, fatte le debite proporzioni, intorno allo 0,2% del totale, e quella dei testi apparsi nel ventennio conclusivo del Quattrocento intorno allo 0,1%.</w:t>
      </w:r>
      <w:r w:rsidRPr="00096909">
        <w:rPr>
          <w:rStyle w:val="Rimandonotaapidipagina"/>
          <w:rFonts w:ascii="Times New Roman" w:hAnsi="Times New Roman" w:cs="Times New Roman"/>
          <w:sz w:val="24"/>
          <w:szCs w:val="24"/>
        </w:rPr>
        <w:footnoteReference w:id="350"/>
      </w:r>
      <w:r w:rsidRPr="00096909">
        <w:rPr>
          <w:rFonts w:ascii="Times New Roman" w:hAnsi="Times New Roman" w:cs="Times New Roman"/>
          <w:sz w:val="24"/>
          <w:szCs w:val="24"/>
        </w:rPr>
        <w:t xml:space="preserve"> </w:t>
      </w:r>
    </w:p>
    <w:p w14:paraId="3F40E421"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Conoscere l’esistenza di un incunabolo poiché ne è rimasto un unico esemplare risulta così una situazione piuttosto usuale.</w:t>
      </w:r>
      <w:r w:rsidRPr="00096909">
        <w:rPr>
          <w:rStyle w:val="Rimandonotaapidipagina"/>
          <w:rFonts w:ascii="Times New Roman" w:hAnsi="Times New Roman" w:cs="Times New Roman"/>
          <w:sz w:val="24"/>
          <w:szCs w:val="24"/>
        </w:rPr>
        <w:footnoteReference w:id="351"/>
      </w:r>
      <w:r w:rsidRPr="00096909">
        <w:rPr>
          <w:rFonts w:ascii="Times New Roman" w:hAnsi="Times New Roman" w:cs="Times New Roman"/>
          <w:sz w:val="24"/>
          <w:szCs w:val="24"/>
        </w:rPr>
        <w:t xml:space="preserve"> All’opposto, fa riflettere il fatto che il libretto con la cronaca anonima delle feste nuziali pesaresi del 1475 </w:t>
      </w:r>
      <w:r>
        <w:rPr>
          <w:rFonts w:ascii="Times New Roman" w:hAnsi="Times New Roman" w:cs="Times New Roman"/>
          <w:sz w:val="24"/>
          <w:szCs w:val="24"/>
        </w:rPr>
        <w:t>è</w:t>
      </w:r>
      <w:r w:rsidRPr="00096909">
        <w:rPr>
          <w:rFonts w:ascii="Times New Roman" w:hAnsi="Times New Roman" w:cs="Times New Roman"/>
          <w:sz w:val="24"/>
          <w:szCs w:val="24"/>
        </w:rPr>
        <w:t xml:space="preserve"> pervenuto in ben otto copie, mentre quella scritta da Angelo Michele Salimbeni per le nozze bolognesi del 1487 </w:t>
      </w:r>
      <w:r>
        <w:rPr>
          <w:rFonts w:ascii="Times New Roman" w:hAnsi="Times New Roman" w:cs="Times New Roman"/>
          <w:sz w:val="24"/>
          <w:szCs w:val="24"/>
        </w:rPr>
        <w:t>è</w:t>
      </w:r>
      <w:r w:rsidRPr="00096909">
        <w:rPr>
          <w:rFonts w:ascii="Times New Roman" w:hAnsi="Times New Roman" w:cs="Times New Roman"/>
          <w:sz w:val="24"/>
          <w:szCs w:val="24"/>
        </w:rPr>
        <w:t xml:space="preserve"> giunta ai nostri giorni in quattro esemplari. I componimenti di Naldo Naldi e di Filippo Beroaldo su quest’ultimo evento si conservano invece rispettivamente in sette e dodici copie: un numero consistente che, nel caso della descrizione di Stefano Dolcino per lo sposalizio del duca di Milano del 1489, sale fino a ventidue libretti superstiti, corrispondenti esattamente al 2,2% del totale delle mille copie impresse, come si apprende dal colophon dell’opuscolo. Tre, infine, gli esemplari del poemetto di Baldassarre Taccone sullo sposalizio di Bianca Maria Sforza del 1493, e cinque quelli dell’</w:t>
      </w:r>
      <w:r w:rsidRPr="00096909">
        <w:rPr>
          <w:rFonts w:ascii="Times New Roman" w:hAnsi="Times New Roman" w:cs="Times New Roman"/>
          <w:i/>
          <w:sz w:val="24"/>
          <w:szCs w:val="24"/>
        </w:rPr>
        <w:t>Epithalamium</w:t>
      </w:r>
      <w:r w:rsidRPr="00096909">
        <w:rPr>
          <w:rFonts w:ascii="Times New Roman" w:hAnsi="Times New Roman" w:cs="Times New Roman"/>
          <w:sz w:val="24"/>
          <w:szCs w:val="24"/>
        </w:rPr>
        <w:t xml:space="preserve"> di Pietro Lazzaroni dedicato alla stessa</w:t>
      </w:r>
      <w:r>
        <w:rPr>
          <w:rFonts w:ascii="Times New Roman" w:hAnsi="Times New Roman" w:cs="Times New Roman"/>
          <w:sz w:val="24"/>
          <w:szCs w:val="24"/>
        </w:rPr>
        <w:t xml:space="preserve"> cerimonia</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352"/>
      </w:r>
      <w:r w:rsidRPr="00096909">
        <w:rPr>
          <w:rFonts w:ascii="Times New Roman" w:hAnsi="Times New Roman" w:cs="Times New Roman"/>
          <w:sz w:val="24"/>
          <w:szCs w:val="24"/>
        </w:rPr>
        <w:t xml:space="preserve">   </w:t>
      </w:r>
    </w:p>
    <w:p w14:paraId="377C8A2D"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Come efficacemente sintetizzato da Harris, sulla possibile sopravvivenza degli incunaboli incisero, nel corso dei secoli, alcuni fattori d’ordine esterno</w:t>
      </w:r>
      <w:r>
        <w:rPr>
          <w:rFonts w:ascii="Times New Roman" w:hAnsi="Times New Roman" w:cs="Times New Roman"/>
          <w:sz w:val="24"/>
          <w:szCs w:val="24"/>
        </w:rPr>
        <w:t>,</w:t>
      </w:r>
      <w:r w:rsidRPr="00096909">
        <w:rPr>
          <w:rFonts w:ascii="Times New Roman" w:hAnsi="Times New Roman" w:cs="Times New Roman"/>
          <w:sz w:val="24"/>
          <w:szCs w:val="24"/>
        </w:rPr>
        <w:t xml:space="preserve"> quali incendi, alluvioni, furti, roditori, che certamente portarono alla distruzione anche di molti dei libretti per nozze stampati nel secolo XV.</w:t>
      </w:r>
      <w:r w:rsidRPr="00096909">
        <w:rPr>
          <w:rStyle w:val="Rimandonotaapidipagina"/>
          <w:rFonts w:ascii="Times New Roman" w:hAnsi="Times New Roman" w:cs="Times New Roman"/>
          <w:sz w:val="24"/>
          <w:szCs w:val="24"/>
        </w:rPr>
        <w:footnoteReference w:id="353"/>
      </w:r>
      <w:r w:rsidRPr="00096909">
        <w:rPr>
          <w:rFonts w:ascii="Times New Roman" w:hAnsi="Times New Roman" w:cs="Times New Roman"/>
          <w:sz w:val="24"/>
          <w:szCs w:val="24"/>
        </w:rPr>
        <w:t xml:space="preserve">  </w:t>
      </w:r>
    </w:p>
    <w:p w14:paraId="3FCD9F10" w14:textId="26804280"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Altri fattori di ordine interno ai libri, dei quali valuteremo ora l’incidenza sulla storia dei nostri opuscoli, ne facilitarono però la conservazione. Harris osserva, ad esempio, come la scrittura in latino, lingua della maggior parte delle nostre redazioni, solitamente</w:t>
      </w:r>
      <w:r>
        <w:rPr>
          <w:rFonts w:ascii="Times New Roman" w:hAnsi="Times New Roman" w:cs="Times New Roman"/>
          <w:sz w:val="24"/>
          <w:szCs w:val="24"/>
        </w:rPr>
        <w:t xml:space="preserve"> riducesse</w:t>
      </w:r>
      <w:r w:rsidRPr="00096909">
        <w:rPr>
          <w:rFonts w:ascii="Times New Roman" w:hAnsi="Times New Roman" w:cs="Times New Roman"/>
          <w:sz w:val="24"/>
          <w:szCs w:val="24"/>
        </w:rPr>
        <w:t xml:space="preserve"> la dispersione, a ragione del fatto che quella di Cicerone era stata la lingua delle opere della classicità, </w:t>
      </w:r>
      <w:r>
        <w:rPr>
          <w:rFonts w:ascii="Times New Roman" w:hAnsi="Times New Roman" w:cs="Times New Roman"/>
          <w:sz w:val="24"/>
          <w:szCs w:val="24"/>
        </w:rPr>
        <w:t>ma anche</w:t>
      </w:r>
      <w:r w:rsidRPr="00096909">
        <w:rPr>
          <w:rFonts w:ascii="Times New Roman" w:hAnsi="Times New Roman" w:cs="Times New Roman"/>
          <w:sz w:val="24"/>
          <w:szCs w:val="24"/>
        </w:rPr>
        <w:t xml:space="preserve"> qu</w:t>
      </w:r>
      <w:r>
        <w:rPr>
          <w:rFonts w:ascii="Times New Roman" w:hAnsi="Times New Roman" w:cs="Times New Roman"/>
          <w:sz w:val="24"/>
          <w:szCs w:val="24"/>
        </w:rPr>
        <w:t>e</w:t>
      </w:r>
      <w:r w:rsidRPr="00096909">
        <w:rPr>
          <w:rFonts w:ascii="Times New Roman" w:hAnsi="Times New Roman" w:cs="Times New Roman"/>
          <w:sz w:val="24"/>
          <w:szCs w:val="24"/>
        </w:rPr>
        <w:t>l</w:t>
      </w:r>
      <w:r>
        <w:rPr>
          <w:rFonts w:ascii="Times New Roman" w:hAnsi="Times New Roman" w:cs="Times New Roman"/>
          <w:sz w:val="24"/>
          <w:szCs w:val="24"/>
        </w:rPr>
        <w:t>la</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impiegata nel </w:t>
      </w:r>
      <w:r w:rsidRPr="00096909">
        <w:rPr>
          <w:rFonts w:ascii="Times New Roman" w:hAnsi="Times New Roman" w:cs="Times New Roman"/>
          <w:sz w:val="24"/>
          <w:szCs w:val="24"/>
        </w:rPr>
        <w:t>Rinascimento</w:t>
      </w:r>
      <w:r>
        <w:rPr>
          <w:rFonts w:ascii="Times New Roman" w:hAnsi="Times New Roman" w:cs="Times New Roman"/>
          <w:sz w:val="24"/>
          <w:szCs w:val="24"/>
        </w:rPr>
        <w:t xml:space="preserve"> per i</w:t>
      </w:r>
      <w:r w:rsidRPr="00096909">
        <w:rPr>
          <w:rFonts w:ascii="Times New Roman" w:hAnsi="Times New Roman" w:cs="Times New Roman"/>
          <w:sz w:val="24"/>
          <w:szCs w:val="24"/>
        </w:rPr>
        <w:t xml:space="preserve"> trattati di materie giuridiche, mediche e letterarie, </w:t>
      </w:r>
      <w:r>
        <w:rPr>
          <w:rFonts w:ascii="Times New Roman" w:hAnsi="Times New Roman" w:cs="Times New Roman"/>
          <w:sz w:val="24"/>
          <w:szCs w:val="24"/>
        </w:rPr>
        <w:t xml:space="preserve">ossia per i testi </w:t>
      </w:r>
      <w:r w:rsidRPr="00096909">
        <w:rPr>
          <w:rFonts w:ascii="Times New Roman" w:hAnsi="Times New Roman" w:cs="Times New Roman"/>
          <w:sz w:val="24"/>
          <w:szCs w:val="24"/>
        </w:rPr>
        <w:t>destinati a lettori avveduti e interessati a custodirli</w:t>
      </w:r>
      <w:r>
        <w:rPr>
          <w:rFonts w:ascii="Times New Roman" w:hAnsi="Times New Roman" w:cs="Times New Roman"/>
          <w:sz w:val="24"/>
          <w:szCs w:val="24"/>
        </w:rPr>
        <w:t xml:space="preserve">, come credo lo siano stati gli avveduti possessori degli incunaboli per </w:t>
      </w:r>
      <w:r w:rsidR="00C21E7A">
        <w:rPr>
          <w:rFonts w:ascii="Times New Roman" w:hAnsi="Times New Roman" w:cs="Times New Roman"/>
          <w:sz w:val="24"/>
          <w:szCs w:val="24"/>
        </w:rPr>
        <w:t>g</w:t>
      </w:r>
      <w:r>
        <w:rPr>
          <w:rFonts w:ascii="Times New Roman" w:hAnsi="Times New Roman" w:cs="Times New Roman"/>
          <w:sz w:val="24"/>
          <w:szCs w:val="24"/>
        </w:rPr>
        <w:t>li sposalizi principeschi, i quali li conservarono nelle loro biblioteche.</w:t>
      </w:r>
      <w:r w:rsidRPr="00096909">
        <w:rPr>
          <w:rFonts w:ascii="Times New Roman" w:hAnsi="Times New Roman" w:cs="Times New Roman"/>
          <w:sz w:val="24"/>
          <w:szCs w:val="24"/>
        </w:rPr>
        <w:t xml:space="preserve"> </w:t>
      </w:r>
    </w:p>
    <w:p w14:paraId="4E5C03ED"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 libretti nuziali hanno solitamente formati piccoli, caratteristica che facilita l</w:t>
      </w:r>
      <w:r>
        <w:rPr>
          <w:rFonts w:ascii="Times New Roman" w:hAnsi="Times New Roman" w:cs="Times New Roman"/>
          <w:sz w:val="24"/>
          <w:szCs w:val="24"/>
        </w:rPr>
        <w:t xml:space="preserve">o smarrimento </w:t>
      </w:r>
      <w:r w:rsidRPr="00096909">
        <w:rPr>
          <w:rFonts w:ascii="Times New Roman" w:hAnsi="Times New Roman" w:cs="Times New Roman"/>
          <w:sz w:val="24"/>
          <w:szCs w:val="24"/>
        </w:rPr>
        <w:t xml:space="preserve">degli stampati. Tuttavia, proprio le loro modeste dimensione, insieme al soggetto insolito trattato, attirarono la curiosità dei collezionisti di stampe rare, che inserirono </w:t>
      </w:r>
      <w:r>
        <w:rPr>
          <w:rFonts w:ascii="Times New Roman" w:hAnsi="Times New Roman" w:cs="Times New Roman"/>
          <w:sz w:val="24"/>
          <w:szCs w:val="24"/>
        </w:rPr>
        <w:t>questi</w:t>
      </w:r>
      <w:r w:rsidRPr="00096909">
        <w:rPr>
          <w:rFonts w:ascii="Times New Roman" w:hAnsi="Times New Roman" w:cs="Times New Roman"/>
          <w:sz w:val="24"/>
          <w:szCs w:val="24"/>
        </w:rPr>
        <w:t xml:space="preserve"> opuscoli in raccolte miscellanee, riuscendo in tal modo a preservarli. </w:t>
      </w:r>
    </w:p>
    <w:p w14:paraId="3B0F7024"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forbice temporale, che registra una crescente longevità degli stampati via via che si oltrepassano i primi 150 anni dalla nascita dell’arte tipografica, credo non sia una variabile determinante per lo studio dei nostri libretti, impressi tutti tra il 1475 e il 1494, ovvero in un arco cronologico segnato da una forte possibilità di dispersione; mentre informazioni più interessanti</w:t>
      </w:r>
      <w:r>
        <w:rPr>
          <w:rFonts w:ascii="Times New Roman" w:hAnsi="Times New Roman" w:cs="Times New Roman"/>
          <w:sz w:val="24"/>
          <w:szCs w:val="24"/>
        </w:rPr>
        <w:t xml:space="preserve"> ai fini della nostra ricerca</w:t>
      </w:r>
      <w:r w:rsidRPr="00096909">
        <w:rPr>
          <w:rFonts w:ascii="Times New Roman" w:hAnsi="Times New Roman" w:cs="Times New Roman"/>
          <w:sz w:val="24"/>
          <w:szCs w:val="24"/>
        </w:rPr>
        <w:t xml:space="preserve"> si apprendo considerando l’incidenza di altri due fattori esterni studiati da Harris: la destinazione d’uso dei volumetti e il pubblico dei loro lettori. </w:t>
      </w:r>
    </w:p>
    <w:p w14:paraId="5A4DF523"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 queste pagine, proveremo a sostenere l’ipotesi che gli incunaboli con le cronache dei matrimoni principeschi </w:t>
      </w:r>
      <w:r>
        <w:rPr>
          <w:rFonts w:ascii="Times New Roman" w:hAnsi="Times New Roman" w:cs="Times New Roman"/>
          <w:sz w:val="24"/>
          <w:szCs w:val="24"/>
        </w:rPr>
        <w:t xml:space="preserve">fossero </w:t>
      </w:r>
      <w:r w:rsidRPr="00096909">
        <w:rPr>
          <w:rFonts w:ascii="Times New Roman" w:hAnsi="Times New Roman" w:cs="Times New Roman"/>
          <w:sz w:val="24"/>
          <w:szCs w:val="24"/>
        </w:rPr>
        <w:t>stati probabilmente offerti, in larga parte, agli ambasciatori e agli ospiti delle cerimonie poco dopo il loro svolgimento, al fine di amplificare la notorietà dei fasti delle nozze, in una dinamica del tutto simile a quella</w:t>
      </w:r>
      <w:r>
        <w:rPr>
          <w:rFonts w:ascii="Times New Roman" w:hAnsi="Times New Roman" w:cs="Times New Roman"/>
          <w:sz w:val="24"/>
          <w:szCs w:val="24"/>
        </w:rPr>
        <w:t>,</w:t>
      </w:r>
      <w:r w:rsidRPr="00096909">
        <w:rPr>
          <w:rFonts w:ascii="Times New Roman" w:hAnsi="Times New Roman" w:cs="Times New Roman"/>
          <w:sz w:val="24"/>
          <w:szCs w:val="24"/>
        </w:rPr>
        <w:t xml:space="preserve"> descritta nel capitolo precedente</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che riguardò </w:t>
      </w:r>
      <w:r w:rsidRPr="00096909">
        <w:rPr>
          <w:rFonts w:ascii="Times New Roman" w:hAnsi="Times New Roman" w:cs="Times New Roman"/>
          <w:sz w:val="24"/>
          <w:szCs w:val="24"/>
        </w:rPr>
        <w:t xml:space="preserve">le opere di Naldo Naldi sugli spettacoli patrocinati da Lorenzo de’ Medici. </w:t>
      </w:r>
    </w:p>
    <w:p w14:paraId="7BC2144E"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 promuovere la stampa degli opuscoli furono inoltre, in più casi, gli stessi autori dei resoconti, come illustrano le loro vicende redazionali qui ricostruite. Questo permise allo scrittore-editore di disporre liberamente della parte più cospicua delle copie pubblicate e facilitò l’arrivo dei </w:t>
      </w:r>
      <w:r w:rsidRPr="00096909">
        <w:rPr>
          <w:rFonts w:ascii="Times New Roman" w:hAnsi="Times New Roman" w:cs="Times New Roman"/>
          <w:i/>
          <w:sz w:val="24"/>
          <w:szCs w:val="24"/>
        </w:rPr>
        <w:t>livrets</w:t>
      </w:r>
      <w:r w:rsidRPr="00096909">
        <w:rPr>
          <w:rFonts w:ascii="Times New Roman" w:hAnsi="Times New Roman" w:cs="Times New Roman"/>
          <w:sz w:val="24"/>
          <w:szCs w:val="24"/>
        </w:rPr>
        <w:t xml:space="preserve"> a un pubblico interessato a conservarli, in quanto selezionato personalmente dall’autore tra i propri estimatori e tra personalità dalle quali forse egli sperava appoggi per agevolare la propria carriera cortigiana. </w:t>
      </w:r>
    </w:p>
    <w:p w14:paraId="5F91F74F"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Penso, dunque, che i libri italiani per nozze del secolo XV, opere spesso di considerevole valore letterario, non vadano rubricate, come si è soliti pensare, sotto la categoria che gli storici del libro anglosassoni chiamano </w:t>
      </w:r>
      <w:r w:rsidRPr="00096909">
        <w:rPr>
          <w:rFonts w:ascii="Times New Roman" w:hAnsi="Times New Roman" w:cs="Times New Roman"/>
          <w:i/>
          <w:sz w:val="24"/>
          <w:szCs w:val="24"/>
        </w:rPr>
        <w:t>ephemera</w:t>
      </w:r>
      <w:r w:rsidRPr="00096909">
        <w:rPr>
          <w:rFonts w:ascii="Times New Roman" w:hAnsi="Times New Roman" w:cs="Times New Roman"/>
          <w:sz w:val="24"/>
          <w:szCs w:val="24"/>
        </w:rPr>
        <w:t>, ovvero quella di testi destinati a non essere conservati</w:t>
      </w:r>
      <w:r>
        <w:rPr>
          <w:rFonts w:ascii="Times New Roman" w:hAnsi="Times New Roman" w:cs="Times New Roman"/>
          <w:sz w:val="24"/>
          <w:szCs w:val="24"/>
        </w:rPr>
        <w:t>. Infatti,</w:t>
      </w:r>
      <w:r w:rsidRPr="00096909">
        <w:rPr>
          <w:rFonts w:ascii="Times New Roman" w:hAnsi="Times New Roman" w:cs="Times New Roman"/>
          <w:sz w:val="24"/>
          <w:szCs w:val="24"/>
        </w:rPr>
        <w:t xml:space="preserve"> l’elevato numero di esemplari superstiti testé ricordato indica esattamente il contrario. Eppure, </w:t>
      </w:r>
      <w:r>
        <w:rPr>
          <w:rFonts w:ascii="Times New Roman" w:hAnsi="Times New Roman" w:cs="Times New Roman"/>
          <w:sz w:val="24"/>
          <w:szCs w:val="24"/>
        </w:rPr>
        <w:t xml:space="preserve">le stampe nuziali in esame </w:t>
      </w:r>
      <w:r w:rsidRPr="00096909">
        <w:rPr>
          <w:rFonts w:ascii="Times New Roman" w:hAnsi="Times New Roman" w:cs="Times New Roman"/>
          <w:sz w:val="24"/>
          <w:szCs w:val="24"/>
        </w:rPr>
        <w:t xml:space="preserve">hanno molto in comune con i fogli volanti con notizie su eventi </w:t>
      </w:r>
      <w:r w:rsidRPr="00096909">
        <w:rPr>
          <w:rFonts w:ascii="Times New Roman" w:hAnsi="Times New Roman" w:cs="Times New Roman"/>
          <w:sz w:val="24"/>
          <w:szCs w:val="24"/>
        </w:rPr>
        <w:lastRenderedPageBreak/>
        <w:t xml:space="preserve">bellici, catastrofi naturali, prodigi, vicende della vita dei potenti, editi </w:t>
      </w:r>
      <w:r>
        <w:rPr>
          <w:rFonts w:ascii="Times New Roman" w:hAnsi="Times New Roman" w:cs="Times New Roman"/>
          <w:sz w:val="24"/>
          <w:szCs w:val="24"/>
        </w:rPr>
        <w:t>per</w:t>
      </w:r>
      <w:r w:rsidRPr="00096909">
        <w:rPr>
          <w:rFonts w:ascii="Times New Roman" w:hAnsi="Times New Roman" w:cs="Times New Roman"/>
          <w:sz w:val="24"/>
          <w:szCs w:val="24"/>
        </w:rPr>
        <w:t xml:space="preserve"> fin</w:t>
      </w:r>
      <w:r>
        <w:rPr>
          <w:rFonts w:ascii="Times New Roman" w:hAnsi="Times New Roman" w:cs="Times New Roman"/>
          <w:sz w:val="24"/>
          <w:szCs w:val="24"/>
        </w:rPr>
        <w:t>i</w:t>
      </w:r>
      <w:r w:rsidRPr="00096909">
        <w:rPr>
          <w:rFonts w:ascii="Times New Roman" w:hAnsi="Times New Roman" w:cs="Times New Roman"/>
          <w:sz w:val="24"/>
          <w:szCs w:val="24"/>
        </w:rPr>
        <w:t xml:space="preserve"> informativ</w:t>
      </w:r>
      <w:r>
        <w:rPr>
          <w:rFonts w:ascii="Times New Roman" w:hAnsi="Times New Roman" w:cs="Times New Roman"/>
          <w:sz w:val="24"/>
          <w:szCs w:val="24"/>
        </w:rPr>
        <w:t>i</w:t>
      </w:r>
      <w:r w:rsidRPr="00096909">
        <w:rPr>
          <w:rFonts w:ascii="Times New Roman" w:hAnsi="Times New Roman" w:cs="Times New Roman"/>
          <w:sz w:val="24"/>
          <w:szCs w:val="24"/>
        </w:rPr>
        <w:t xml:space="preserve"> e per un consumo immediato da parte del pubblico, e dunque travolti frequentemente dalla «Strage ignorata», ossia dalla dispersione pressoché totale, di cui ha diffusamente trattato Ugo Rozzo. </w:t>
      </w:r>
    </w:p>
    <w:p w14:paraId="7DC97F04"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Lo studioso ha segnalato come questi scritti cronistici – si pensi, ad esempio, a quello stampato a Basilea nel 1492 col racconto in versi latini e tedeschi della caduta di un meteorite innanzi alla cittadina di Ensisheim interpretato come auspicio favorevole alla guerra di Massimiliano I contro </w:t>
      </w:r>
      <w:r w:rsidR="002816D2">
        <w:rPr>
          <w:rFonts w:ascii="Times New Roman" w:hAnsi="Times New Roman" w:cs="Times New Roman"/>
          <w:sz w:val="24"/>
          <w:szCs w:val="24"/>
        </w:rPr>
        <w:t>f</w:t>
      </w:r>
      <w:r w:rsidRPr="00096909">
        <w:rPr>
          <w:rFonts w:ascii="Times New Roman" w:hAnsi="Times New Roman" w:cs="Times New Roman"/>
          <w:sz w:val="24"/>
          <w:szCs w:val="24"/>
        </w:rPr>
        <w:t xml:space="preserve">rancesi e </w:t>
      </w:r>
      <w:r w:rsidR="002816D2">
        <w:rPr>
          <w:rFonts w:ascii="Times New Roman" w:hAnsi="Times New Roman" w:cs="Times New Roman"/>
          <w:sz w:val="24"/>
          <w:szCs w:val="24"/>
        </w:rPr>
        <w:t>b</w:t>
      </w:r>
      <w:r w:rsidRPr="00096909">
        <w:rPr>
          <w:rFonts w:ascii="Times New Roman" w:hAnsi="Times New Roman" w:cs="Times New Roman"/>
          <w:sz w:val="24"/>
          <w:szCs w:val="24"/>
        </w:rPr>
        <w:t>orgognoni – siano andati completamente perduti per quanto riguarda l’area italiana.</w:t>
      </w:r>
      <w:r w:rsidRPr="00096909">
        <w:rPr>
          <w:rStyle w:val="Rimandonotaapidipagina"/>
          <w:rFonts w:ascii="Times New Roman" w:hAnsi="Times New Roman" w:cs="Times New Roman"/>
          <w:sz w:val="24"/>
          <w:szCs w:val="24"/>
        </w:rPr>
        <w:footnoteReference w:id="354"/>
      </w:r>
      <w:r w:rsidRPr="00096909">
        <w:rPr>
          <w:rFonts w:ascii="Times New Roman" w:hAnsi="Times New Roman" w:cs="Times New Roman"/>
          <w:sz w:val="24"/>
          <w:szCs w:val="24"/>
        </w:rPr>
        <w:t xml:space="preserve">  </w:t>
      </w:r>
    </w:p>
    <w:p w14:paraId="361ABD2E"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Ciò non toglie però che nella Penisola fossero impressi nel Quattrocento scritti su fatti d’attualità in opuscoli di poche carte, </w:t>
      </w:r>
      <w:r>
        <w:rPr>
          <w:rFonts w:ascii="Times New Roman" w:hAnsi="Times New Roman" w:cs="Times New Roman"/>
          <w:sz w:val="24"/>
          <w:szCs w:val="24"/>
        </w:rPr>
        <w:t>probabilmente</w:t>
      </w:r>
      <w:r w:rsidRPr="00096909">
        <w:rPr>
          <w:rFonts w:ascii="Times New Roman" w:hAnsi="Times New Roman" w:cs="Times New Roman"/>
          <w:sz w:val="24"/>
          <w:szCs w:val="24"/>
        </w:rPr>
        <w:t xml:space="preserve"> destinati, come già i fogli studiati dal Rozzo, a una lettura comunitaria, che doveva in parte supplire al problema dell’analfabetismo diffuso all’epoca e che costituivano i primissimi casi di editoria popolare del Rinascimento.</w:t>
      </w:r>
      <w:r w:rsidRPr="00096909">
        <w:rPr>
          <w:rStyle w:val="Rimandonotaapidipagina"/>
          <w:rFonts w:ascii="Times New Roman" w:hAnsi="Times New Roman" w:cs="Times New Roman"/>
          <w:sz w:val="24"/>
          <w:szCs w:val="24"/>
        </w:rPr>
        <w:footnoteReference w:id="355"/>
      </w:r>
      <w:r w:rsidRPr="00096909">
        <w:rPr>
          <w:rFonts w:ascii="Times New Roman" w:hAnsi="Times New Roman" w:cs="Times New Roman"/>
          <w:sz w:val="24"/>
          <w:szCs w:val="24"/>
        </w:rPr>
        <w:t xml:space="preserve"> </w:t>
      </w:r>
    </w:p>
    <w:p w14:paraId="3AD869F3"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Sebbene le stampe per gli sposalizi di cui trattiamo fossero sicuramente state più raffinate dei fogli volanti, in quanto pensate per un pubblico colto e di maggiori pretese, va segnalato che, almeno per l’incunabolo del 1475 dedicato alle nozze di Costanzo Sforza, possediamo una notizia riguardo alla sua lettura pubblica, confacente al tipo di circolazione testuale appena descritto. Nel 1550, pubblicando la sua </w:t>
      </w:r>
      <w:r w:rsidRPr="00096909">
        <w:rPr>
          <w:rFonts w:ascii="Times New Roman" w:hAnsi="Times New Roman" w:cs="Times New Roman"/>
          <w:i/>
          <w:sz w:val="24"/>
          <w:szCs w:val="24"/>
        </w:rPr>
        <w:t>Descrittione di tutta Italia</w:t>
      </w:r>
      <w:r w:rsidRPr="00096909">
        <w:rPr>
          <w:rFonts w:ascii="Times New Roman" w:hAnsi="Times New Roman" w:cs="Times New Roman"/>
          <w:sz w:val="24"/>
          <w:szCs w:val="24"/>
        </w:rPr>
        <w:t xml:space="preserve">, così scriveva di quell’opuscolo lo storico domenicano </w:t>
      </w:r>
      <w:bookmarkStart w:id="282" w:name="_Hlk535915617"/>
      <w:r w:rsidRPr="00096909">
        <w:rPr>
          <w:rFonts w:ascii="Times New Roman" w:hAnsi="Times New Roman" w:cs="Times New Roman"/>
          <w:sz w:val="24"/>
          <w:szCs w:val="24"/>
        </w:rPr>
        <w:t>Leandro Alberti</w:t>
      </w:r>
      <w:bookmarkEnd w:id="282"/>
      <w:r w:rsidRPr="00096909">
        <w:rPr>
          <w:rFonts w:ascii="Times New Roman" w:hAnsi="Times New Roman" w:cs="Times New Roman"/>
          <w:sz w:val="24"/>
          <w:szCs w:val="24"/>
        </w:rPr>
        <w:t xml:space="preserve">: </w:t>
      </w:r>
    </w:p>
    <w:p w14:paraId="1B6559C2" w14:textId="77777777" w:rsidR="009E2D8D" w:rsidRPr="00096909" w:rsidRDefault="009E2D8D" w:rsidP="009E2D8D">
      <w:pPr>
        <w:spacing w:after="0" w:line="360" w:lineRule="auto"/>
        <w:ind w:firstLine="397"/>
        <w:jc w:val="both"/>
        <w:rPr>
          <w:rFonts w:ascii="Times New Roman" w:hAnsi="Times New Roman" w:cs="Times New Roman"/>
          <w:sz w:val="24"/>
          <w:szCs w:val="24"/>
        </w:rPr>
      </w:pPr>
    </w:p>
    <w:p w14:paraId="1A313016" w14:textId="77777777" w:rsidR="009E2D8D" w:rsidRPr="00096909" w:rsidRDefault="009E2D8D" w:rsidP="009E2D8D">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[Costanzo Sforza] ebbe per moglie Camilla, illustre donna e litterata, della nobilissima famiglia Aragonesa di Napoli. Nelle cui nozze fu fatto tanto magnifico apparato che credo poco più si avrebbe potuto fare ad un Re, come chiaramente considerar si può dalla descrittione di quello volgarmente fatta. La quale fu impressa e volgata per tuta Italia, ch’era cosa molto dilettevole a leggerla o udirla leggere.</w:t>
      </w:r>
      <w:r w:rsidRPr="00096909">
        <w:rPr>
          <w:rStyle w:val="Rimandonotaapidipagina"/>
          <w:rFonts w:ascii="Times New Roman" w:hAnsi="Times New Roman" w:cs="Times New Roman"/>
          <w:sz w:val="20"/>
          <w:szCs w:val="20"/>
        </w:rPr>
        <w:footnoteReference w:id="356"/>
      </w:r>
      <w:r w:rsidRPr="00096909">
        <w:rPr>
          <w:rFonts w:ascii="Times New Roman" w:hAnsi="Times New Roman" w:cs="Times New Roman"/>
          <w:sz w:val="20"/>
          <w:szCs w:val="20"/>
        </w:rPr>
        <w:t xml:space="preserve">      </w:t>
      </w:r>
    </w:p>
    <w:p w14:paraId="6C0E6FD7"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       </w:t>
      </w:r>
    </w:p>
    <w:p w14:paraId="00E57FA0"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 settantacinque anni dalla sua pubblicazione, l’opuscolo godeva dunque ancora di attenzioni da parte di lettori e ascoltatori, e ancora incontrava un pubblico simile a quello degli scritti d’attualità dei fogli volanti, i quali, come documentato da Rozzo, potevano riportare anche frottole dialogiche e semplici componimenti poetici editi a spese del loro autore</w:t>
      </w:r>
      <w:r>
        <w:rPr>
          <w:rFonts w:ascii="Times New Roman" w:hAnsi="Times New Roman" w:cs="Times New Roman"/>
          <w:sz w:val="24"/>
          <w:szCs w:val="24"/>
        </w:rPr>
        <w:t>,</w:t>
      </w:r>
      <w:r w:rsidRPr="00096909">
        <w:rPr>
          <w:rFonts w:ascii="Times New Roman" w:hAnsi="Times New Roman" w:cs="Times New Roman"/>
          <w:sz w:val="24"/>
          <w:szCs w:val="24"/>
        </w:rPr>
        <w:t xml:space="preserve"> oppure con il parziale contributo di un finanziatore-editore o dello stampatore medesimo</w:t>
      </w:r>
      <w:r>
        <w:rPr>
          <w:rFonts w:ascii="Times New Roman" w:hAnsi="Times New Roman" w:cs="Times New Roman"/>
          <w:sz w:val="24"/>
          <w:szCs w:val="24"/>
        </w:rPr>
        <w:t xml:space="preserve">, </w:t>
      </w:r>
      <w:r w:rsidRPr="00096909">
        <w:rPr>
          <w:rFonts w:ascii="Times New Roman" w:hAnsi="Times New Roman" w:cs="Times New Roman"/>
          <w:sz w:val="24"/>
          <w:szCs w:val="24"/>
        </w:rPr>
        <w:t>proprio come</w:t>
      </w:r>
      <w:r>
        <w:rPr>
          <w:rFonts w:ascii="Times New Roman" w:hAnsi="Times New Roman" w:cs="Times New Roman"/>
          <w:sz w:val="24"/>
          <w:szCs w:val="24"/>
        </w:rPr>
        <w:t xml:space="preserve"> penso fosse stato risolto il problema dei costi di pubblicazione</w:t>
      </w:r>
      <w:r w:rsidRPr="00096909">
        <w:rPr>
          <w:rFonts w:ascii="Times New Roman" w:hAnsi="Times New Roman" w:cs="Times New Roman"/>
          <w:sz w:val="24"/>
          <w:szCs w:val="24"/>
        </w:rPr>
        <w:t xml:space="preserve"> </w:t>
      </w:r>
      <w:r>
        <w:rPr>
          <w:rFonts w:ascii="Times New Roman" w:hAnsi="Times New Roman" w:cs="Times New Roman"/>
          <w:sz w:val="24"/>
          <w:szCs w:val="24"/>
        </w:rPr>
        <w:t>del</w:t>
      </w:r>
      <w:r w:rsidRPr="00096909">
        <w:rPr>
          <w:rFonts w:ascii="Times New Roman" w:hAnsi="Times New Roman" w:cs="Times New Roman"/>
          <w:sz w:val="24"/>
          <w:szCs w:val="24"/>
        </w:rPr>
        <w:t>le cronache nuziali.</w:t>
      </w:r>
      <w:r w:rsidRPr="00096909">
        <w:rPr>
          <w:rStyle w:val="Rimandonotaapidipagina"/>
          <w:rFonts w:ascii="Times New Roman" w:hAnsi="Times New Roman" w:cs="Times New Roman"/>
          <w:sz w:val="24"/>
          <w:szCs w:val="24"/>
        </w:rPr>
        <w:footnoteReference w:id="357"/>
      </w:r>
      <w:r w:rsidRPr="00096909">
        <w:rPr>
          <w:rFonts w:ascii="Times New Roman" w:hAnsi="Times New Roman" w:cs="Times New Roman"/>
          <w:sz w:val="24"/>
          <w:szCs w:val="24"/>
        </w:rPr>
        <w:t xml:space="preserve"> </w:t>
      </w:r>
    </w:p>
    <w:p w14:paraId="7F5DBB9E" w14:textId="5B1056F0" w:rsidR="009E2D8D" w:rsidRPr="00096909" w:rsidRDefault="009E2D8D" w:rsidP="009E2D8D">
      <w:pPr>
        <w:spacing w:after="0" w:line="360" w:lineRule="auto"/>
        <w:ind w:firstLine="397"/>
        <w:jc w:val="both"/>
        <w:rPr>
          <w:sz w:val="24"/>
          <w:szCs w:val="24"/>
        </w:rPr>
      </w:pPr>
      <w:r>
        <w:rPr>
          <w:rFonts w:ascii="Times New Roman" w:hAnsi="Times New Roman" w:cs="Times New Roman"/>
          <w:sz w:val="24"/>
          <w:szCs w:val="24"/>
        </w:rPr>
        <w:t xml:space="preserve">Nel </w:t>
      </w:r>
      <w:r w:rsidRPr="00096909">
        <w:rPr>
          <w:rFonts w:ascii="Times New Roman" w:hAnsi="Times New Roman" w:cs="Times New Roman"/>
          <w:sz w:val="24"/>
          <w:szCs w:val="24"/>
        </w:rPr>
        <w:t>secondo caso</w:t>
      </w:r>
      <w:r>
        <w:rPr>
          <w:rFonts w:ascii="Times New Roman" w:hAnsi="Times New Roman" w:cs="Times New Roman"/>
          <w:sz w:val="24"/>
          <w:szCs w:val="24"/>
        </w:rPr>
        <w:t xml:space="preserve"> ipotizzato</w:t>
      </w:r>
      <w:r w:rsidRPr="00096909">
        <w:rPr>
          <w:rFonts w:ascii="Times New Roman" w:hAnsi="Times New Roman" w:cs="Times New Roman"/>
          <w:sz w:val="24"/>
          <w:szCs w:val="24"/>
        </w:rPr>
        <w:t>, le copie degli opuscoli di proprietà dell’editore potevano essere vendute in empori di cartolai, alle fiere o nel corso dei viaggi rocamboleschi dei cerretani</w:t>
      </w:r>
      <w:r w:rsidRPr="00096909">
        <w:rPr>
          <w:sz w:val="24"/>
          <w:szCs w:val="24"/>
        </w:rPr>
        <w:t xml:space="preserve">. </w:t>
      </w:r>
      <w:r w:rsidRPr="00096909">
        <w:rPr>
          <w:rFonts w:ascii="Times New Roman" w:hAnsi="Times New Roman" w:cs="Times New Roman"/>
          <w:sz w:val="24"/>
          <w:szCs w:val="24"/>
        </w:rPr>
        <w:t xml:space="preserve">Una sorte simile credo </w:t>
      </w:r>
      <w:r w:rsidR="009E6ED6">
        <w:rPr>
          <w:rFonts w:ascii="Times New Roman" w:hAnsi="Times New Roman" w:cs="Times New Roman"/>
          <w:sz w:val="24"/>
          <w:szCs w:val="24"/>
        </w:rPr>
        <w:t>fosse spettata</w:t>
      </w:r>
      <w:r w:rsidRPr="00096909">
        <w:rPr>
          <w:rFonts w:ascii="Times New Roman" w:hAnsi="Times New Roman" w:cs="Times New Roman"/>
          <w:sz w:val="24"/>
          <w:szCs w:val="24"/>
        </w:rPr>
        <w:t xml:space="preserve"> almeno </w:t>
      </w:r>
      <w:r w:rsidR="00D75319">
        <w:rPr>
          <w:rFonts w:ascii="Times New Roman" w:hAnsi="Times New Roman" w:cs="Times New Roman"/>
          <w:sz w:val="24"/>
          <w:szCs w:val="24"/>
        </w:rPr>
        <w:t xml:space="preserve">a </w:t>
      </w:r>
      <w:r w:rsidRPr="00096909">
        <w:rPr>
          <w:rFonts w:ascii="Times New Roman" w:hAnsi="Times New Roman" w:cs="Times New Roman"/>
          <w:sz w:val="24"/>
          <w:szCs w:val="24"/>
        </w:rPr>
        <w:t>una parte degli opuscoli sui festeggiamenti pesaresi del 1475, dotati di una lunghezza superiore a quella media degli altri testi di cui tratteremo, composti in volgare, quindi ben più smerciabili di un ampolloso resoconto in latino, e suddivisi in paragrafi corrispondenti alle giornate della festa, così da poterne agevolmente ripartire l’eventuale lettura ad alta voce.</w:t>
      </w:r>
      <w:r w:rsidRPr="00096909">
        <w:rPr>
          <w:sz w:val="24"/>
          <w:szCs w:val="24"/>
        </w:rPr>
        <w:t xml:space="preserve"> </w:t>
      </w:r>
    </w:p>
    <w:p w14:paraId="49F399D4"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Per questo volumetto mi sembrerebbe plausibile ipotizzare una doppia modalità di circolazione: una parte della tiratura potrebbe essere stata offerta in omaggio agli ospiti e alle personalità di riguardo presenti allo sposalizio, mentre l’altra potrebbe essere stata messa in vendita, incontrando un pubblico più ampio e indifferenziato</w:t>
      </w:r>
      <w:r>
        <w:rPr>
          <w:rFonts w:ascii="Times New Roman" w:hAnsi="Times New Roman" w:cs="Times New Roman"/>
          <w:sz w:val="24"/>
          <w:szCs w:val="24"/>
        </w:rPr>
        <w:t>.</w:t>
      </w:r>
    </w:p>
    <w:p w14:paraId="216141F1"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Per avvalorare queste tesi, h</w:t>
      </w:r>
      <w:r w:rsidRPr="00096909">
        <w:rPr>
          <w:rFonts w:ascii="Times New Roman" w:hAnsi="Times New Roman" w:cs="Times New Roman"/>
          <w:sz w:val="24"/>
          <w:szCs w:val="24"/>
        </w:rPr>
        <w:t xml:space="preserve">o provato a rintracciare informazioni sui possessori degli esemplari dei libretti nuziali quattrocenteschi in esame nelle schede loro dedicate dal database MEI </w:t>
      </w:r>
      <w:r w:rsidRPr="00096909">
        <w:rPr>
          <w:rFonts w:ascii="Times New Roman" w:hAnsi="Times New Roman" w:cs="Times New Roman"/>
          <w:i/>
          <w:sz w:val="24"/>
          <w:szCs w:val="24"/>
        </w:rPr>
        <w:t>Material Evidence in Incunabola</w:t>
      </w:r>
      <w:r w:rsidRPr="00096909">
        <w:rPr>
          <w:rFonts w:ascii="Times New Roman" w:hAnsi="Times New Roman" w:cs="Times New Roman"/>
          <w:sz w:val="24"/>
          <w:szCs w:val="24"/>
        </w:rPr>
        <w:t xml:space="preserve">, </w:t>
      </w:r>
      <w:r>
        <w:rPr>
          <w:rFonts w:ascii="Times New Roman" w:hAnsi="Times New Roman" w:cs="Times New Roman"/>
          <w:sz w:val="24"/>
          <w:szCs w:val="24"/>
        </w:rPr>
        <w:t>così</w:t>
      </w:r>
      <w:r w:rsidRPr="00096909">
        <w:rPr>
          <w:rFonts w:ascii="Times New Roman" w:hAnsi="Times New Roman" w:cs="Times New Roman"/>
          <w:sz w:val="24"/>
          <w:szCs w:val="24"/>
        </w:rPr>
        <w:t xml:space="preserve"> da precisare meglio il pubblico cui erano stati destinati.</w:t>
      </w:r>
      <w:r w:rsidRPr="00096909">
        <w:rPr>
          <w:rStyle w:val="Rimandonotaapidipagina"/>
          <w:rFonts w:ascii="Times New Roman" w:hAnsi="Times New Roman" w:cs="Times New Roman"/>
          <w:sz w:val="24"/>
          <w:szCs w:val="24"/>
        </w:rPr>
        <w:footnoteReference w:id="358"/>
      </w:r>
      <w:r w:rsidRPr="00096909">
        <w:rPr>
          <w:rFonts w:ascii="Times New Roman" w:hAnsi="Times New Roman" w:cs="Times New Roman"/>
          <w:sz w:val="24"/>
          <w:szCs w:val="24"/>
        </w:rPr>
        <w:t xml:space="preserve"> Ho riscontrato che proprio solo per l’esemplare dell’</w:t>
      </w:r>
      <w:r w:rsidRPr="00096909">
        <w:rPr>
          <w:rFonts w:ascii="Times New Roman" w:hAnsi="Times New Roman" w:cs="Times New Roman"/>
          <w:i/>
          <w:sz w:val="24"/>
          <w:szCs w:val="24"/>
        </w:rPr>
        <w:t xml:space="preserve">Ordine de le noze de lo Illustrissimo Signor misir Costantio Sfortia de Aragonia et de la Illustrissima Madona Camilla de Aragonia sua consorte </w:t>
      </w:r>
      <w:r w:rsidRPr="00096909">
        <w:rPr>
          <w:rFonts w:ascii="Times New Roman" w:hAnsi="Times New Roman" w:cs="Times New Roman"/>
          <w:sz w:val="24"/>
          <w:szCs w:val="24"/>
        </w:rPr>
        <w:t>oggi</w:t>
      </w:r>
      <w:r w:rsidRPr="00096909">
        <w:rPr>
          <w:rFonts w:ascii="Times New Roman" w:hAnsi="Times New Roman" w:cs="Times New Roman"/>
          <w:i/>
          <w:sz w:val="24"/>
          <w:szCs w:val="24"/>
        </w:rPr>
        <w:t xml:space="preserve"> </w:t>
      </w:r>
      <w:r w:rsidRPr="00096909">
        <w:rPr>
          <w:rFonts w:ascii="Times New Roman" w:hAnsi="Times New Roman" w:cs="Times New Roman"/>
          <w:sz w:val="24"/>
          <w:szCs w:val="24"/>
        </w:rPr>
        <w:t>alla Biblioteca Nazionale Marciana di Venezia è possibile individuare un proprietario vissuto a cavallo tra i secoli XV e XVI.</w:t>
      </w:r>
      <w:r w:rsidRPr="00096909">
        <w:rPr>
          <w:rStyle w:val="Rimandonotaapidipagina"/>
          <w:rFonts w:ascii="Times New Roman" w:hAnsi="Times New Roman" w:cs="Times New Roman"/>
          <w:sz w:val="24"/>
          <w:szCs w:val="24"/>
        </w:rPr>
        <w:footnoteReference w:id="359"/>
      </w:r>
      <w:r w:rsidRPr="00096909">
        <w:rPr>
          <w:rFonts w:ascii="Times New Roman" w:hAnsi="Times New Roman" w:cs="Times New Roman"/>
          <w:sz w:val="24"/>
          <w:szCs w:val="24"/>
        </w:rPr>
        <w:t xml:space="preserve"> Si tratta del nobiluomo </w:t>
      </w:r>
      <w:bookmarkStart w:id="287" w:name="_Hlk535916052"/>
      <w:r w:rsidRPr="00096909">
        <w:rPr>
          <w:rFonts w:ascii="Times New Roman" w:hAnsi="Times New Roman" w:cs="Times New Roman"/>
          <w:sz w:val="24"/>
          <w:szCs w:val="24"/>
        </w:rPr>
        <w:t xml:space="preserve">Giuseppe Morosini </w:t>
      </w:r>
      <w:bookmarkEnd w:id="287"/>
      <w:r w:rsidRPr="00096909">
        <w:rPr>
          <w:rFonts w:ascii="Times New Roman" w:hAnsi="Times New Roman" w:cs="Times New Roman"/>
          <w:sz w:val="24"/>
          <w:szCs w:val="24"/>
        </w:rPr>
        <w:t>(1480-1550), identificato quasi con sicurezza dai curatori della scheda MEI con un discendente del ramo della famiglia Morosini della Tressa. Il dato, pur con qualche cautela sull</w:t>
      </w:r>
      <w:r>
        <w:rPr>
          <w:rFonts w:ascii="Times New Roman" w:hAnsi="Times New Roman" w:cs="Times New Roman"/>
          <w:sz w:val="24"/>
          <w:szCs w:val="24"/>
        </w:rPr>
        <w:t xml:space="preserve">a sua </w:t>
      </w:r>
      <w:r w:rsidRPr="00096909">
        <w:rPr>
          <w:rFonts w:ascii="Times New Roman" w:hAnsi="Times New Roman" w:cs="Times New Roman"/>
          <w:sz w:val="24"/>
          <w:szCs w:val="24"/>
        </w:rPr>
        <w:t xml:space="preserve">attendibilità, mi pare confermi una circolazione dell’operetta in un ambiente aristocratico – lo </w:t>
      </w:r>
      <w:r w:rsidRPr="00096909">
        <w:rPr>
          <w:rFonts w:ascii="Times New Roman" w:hAnsi="Times New Roman" w:cs="Times New Roman"/>
          <w:sz w:val="24"/>
          <w:szCs w:val="24"/>
        </w:rPr>
        <w:lastRenderedPageBreak/>
        <w:t xml:space="preserve">stesso al quale appartenevano i protagonisti delle vicende narrate – perfettamente parallela a quella permessa dalle letture pubbliche in ambito popolare su cui siamo informati da Leandro Alberti. </w:t>
      </w:r>
    </w:p>
    <w:p w14:paraId="2B2B91EB"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Dunque, s</w:t>
      </w:r>
      <w:r w:rsidRPr="00096909">
        <w:rPr>
          <w:rFonts w:ascii="Times New Roman" w:hAnsi="Times New Roman" w:cs="Times New Roman"/>
          <w:sz w:val="24"/>
          <w:szCs w:val="24"/>
        </w:rPr>
        <w:t xml:space="preserve">ebbene </w:t>
      </w:r>
      <w:r>
        <w:rPr>
          <w:rFonts w:ascii="Times New Roman" w:hAnsi="Times New Roman" w:cs="Times New Roman"/>
          <w:sz w:val="24"/>
          <w:szCs w:val="24"/>
        </w:rPr>
        <w:t>gl</w:t>
      </w:r>
      <w:r w:rsidRPr="00096909">
        <w:rPr>
          <w:rFonts w:ascii="Times New Roman" w:hAnsi="Times New Roman" w:cs="Times New Roman"/>
          <w:sz w:val="24"/>
          <w:szCs w:val="24"/>
        </w:rPr>
        <w:t>i opuscoli</w:t>
      </w:r>
      <w:r>
        <w:rPr>
          <w:rFonts w:ascii="Times New Roman" w:hAnsi="Times New Roman" w:cs="Times New Roman"/>
          <w:sz w:val="24"/>
          <w:szCs w:val="24"/>
        </w:rPr>
        <w:t xml:space="preserve"> nuziali del XV secolo</w:t>
      </w:r>
      <w:r w:rsidRPr="00096909">
        <w:rPr>
          <w:rFonts w:ascii="Times New Roman" w:hAnsi="Times New Roman" w:cs="Times New Roman"/>
          <w:sz w:val="24"/>
          <w:szCs w:val="24"/>
        </w:rPr>
        <w:t xml:space="preserve"> abbiano tutto l’aspetto di stampe popolari, i loro lettori appartennero principalmente a un livello sociale elevato. Del resto, per Naldi, Beroaldo e Dolcino, estensori delle cronache in latino delle feste nuziali, sarà stato presumibilmente più proficuo e auspicabile possedere copie da offrire direttamente alla corte</w:t>
      </w:r>
      <w:r>
        <w:rPr>
          <w:rFonts w:ascii="Times New Roman" w:hAnsi="Times New Roman" w:cs="Times New Roman"/>
          <w:sz w:val="24"/>
          <w:szCs w:val="24"/>
        </w:rPr>
        <w:t xml:space="preserve"> o</w:t>
      </w:r>
      <w:r w:rsidRPr="00096909">
        <w:rPr>
          <w:rFonts w:ascii="Times New Roman" w:hAnsi="Times New Roman" w:cs="Times New Roman"/>
          <w:sz w:val="24"/>
          <w:szCs w:val="24"/>
        </w:rPr>
        <w:t xml:space="preserve"> da distribuire a personalità di rango</w:t>
      </w:r>
      <w:r>
        <w:rPr>
          <w:rFonts w:ascii="Times New Roman" w:hAnsi="Times New Roman" w:cs="Times New Roman"/>
          <w:sz w:val="24"/>
          <w:szCs w:val="24"/>
        </w:rPr>
        <w:t>, capaci di pprezzarne le finezze letterarie,</w:t>
      </w:r>
      <w:r w:rsidRPr="00096909">
        <w:rPr>
          <w:rFonts w:ascii="Times New Roman" w:hAnsi="Times New Roman" w:cs="Times New Roman"/>
          <w:sz w:val="24"/>
          <w:szCs w:val="24"/>
        </w:rPr>
        <w:t xml:space="preserve"> piuttosto che affidarne la diffusione ai canali convenzionali del mercato librario. </w:t>
      </w:r>
    </w:p>
    <w:p w14:paraId="4189B645"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Va osservato poi che ciascuna delle descrizioni di sposalizi di cui ci occupiamo fu edita grazie all’interessamento di personaggi bene inseriti presso la corte del principe coinvolto nei festeggiamenti, come emergerà dall’analisi delle vicende redazionali degli opuscoli esposte in questo capitolo. Sebbene non abbia reperito documentazione che attesti una committenza di membri delle famiglie degli sposi </w:t>
      </w:r>
      <w:r>
        <w:rPr>
          <w:rFonts w:ascii="Times New Roman" w:hAnsi="Times New Roman" w:cs="Times New Roman"/>
          <w:sz w:val="24"/>
          <w:szCs w:val="24"/>
        </w:rPr>
        <w:t xml:space="preserve">per </w:t>
      </w:r>
      <w:r w:rsidRPr="00096909">
        <w:rPr>
          <w:rFonts w:ascii="Times New Roman" w:hAnsi="Times New Roman" w:cs="Times New Roman"/>
          <w:sz w:val="24"/>
          <w:szCs w:val="24"/>
        </w:rPr>
        <w:t xml:space="preserve">l’impressione delle cronache, credo che senza la loro autorizzazione difficilmente questi scritti sarebbero giunti in tipografia e che la presenza di un cortigiano autorevole in veste di mediatore tra l’autore, il tipografo e la famiglia omaggiata dal resoconto sia stata fondamentale per portare a termine un’operazione editoriale che, tra XV e XVI secolo – una volta compreso il valore della stampa quale </w:t>
      </w:r>
      <w:r w:rsidRPr="00096909">
        <w:rPr>
          <w:rFonts w:ascii="Times New Roman" w:hAnsi="Times New Roman" w:cs="Times New Roman"/>
          <w:i/>
          <w:sz w:val="24"/>
          <w:szCs w:val="24"/>
        </w:rPr>
        <w:t>quarto potere</w:t>
      </w:r>
      <w:r w:rsidRPr="00096909">
        <w:rPr>
          <w:rFonts w:ascii="Times New Roman" w:hAnsi="Times New Roman" w:cs="Times New Roman"/>
          <w:sz w:val="24"/>
          <w:szCs w:val="24"/>
        </w:rPr>
        <w:t xml:space="preserve"> – si configurò come un’autentica “propaganda celebrativa”. Essa non mediava un messaggio politico preciso ma mirava semplicemente a dispiegare splendore e magnificenza allo scopo di rendere credibile il regime che aveva promosso la sfarzosa festa dinastica.</w:t>
      </w:r>
      <w:r w:rsidRPr="00096909">
        <w:rPr>
          <w:rStyle w:val="Rimandonotaapidipagina"/>
          <w:rFonts w:ascii="Times New Roman" w:hAnsi="Times New Roman" w:cs="Times New Roman"/>
          <w:sz w:val="24"/>
          <w:szCs w:val="24"/>
        </w:rPr>
        <w:footnoteReference w:id="360"/>
      </w:r>
      <w:r w:rsidRPr="00096909">
        <w:rPr>
          <w:rFonts w:ascii="Times New Roman" w:hAnsi="Times New Roman" w:cs="Times New Roman"/>
          <w:sz w:val="24"/>
          <w:szCs w:val="24"/>
        </w:rPr>
        <w:t xml:space="preserve"> </w:t>
      </w:r>
    </w:p>
    <w:p w14:paraId="5B223CFF"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 tal senso, la cerimonia e le sue stampe commemorative finivano </w:t>
      </w:r>
      <w:r>
        <w:rPr>
          <w:rFonts w:ascii="Times New Roman" w:hAnsi="Times New Roman" w:cs="Times New Roman"/>
          <w:sz w:val="24"/>
          <w:szCs w:val="24"/>
        </w:rPr>
        <w:t>per</w:t>
      </w:r>
      <w:r w:rsidRPr="00096909">
        <w:rPr>
          <w:rFonts w:ascii="Times New Roman" w:hAnsi="Times New Roman" w:cs="Times New Roman"/>
          <w:sz w:val="24"/>
          <w:szCs w:val="24"/>
        </w:rPr>
        <w:t xml:space="preserve"> rivolgersi allo stesso pubblico – una potenziale platea indistinta e composta da aristocratici invitati, ambasciatori, cortigiani, ma anche da popolani e da ospiti stranieri accorsi per assistere al corteo della sposa e agli intrattenimenti pubblici in suo onore – </w:t>
      </w:r>
      <w:r>
        <w:rPr>
          <w:rFonts w:ascii="Times New Roman" w:hAnsi="Times New Roman" w:cs="Times New Roman"/>
          <w:sz w:val="24"/>
          <w:szCs w:val="24"/>
        </w:rPr>
        <w:t>con</w:t>
      </w:r>
      <w:r w:rsidRPr="00096909">
        <w:rPr>
          <w:rFonts w:ascii="Times New Roman" w:hAnsi="Times New Roman" w:cs="Times New Roman"/>
          <w:sz w:val="24"/>
          <w:szCs w:val="24"/>
        </w:rPr>
        <w:t xml:space="preserve"> lo stesso obiettivo: consolidare l’immagine pubblica dei principi e del loro buon governo. </w:t>
      </w:r>
    </w:p>
    <w:p w14:paraId="4B8AEADD"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In quest’ottica è rilevante il fatto che l’incunabolo per lo sposalizio d’Isabella d’Aragona e Gian Galeazzo Sforza rend</w:t>
      </w:r>
      <w:r>
        <w:rPr>
          <w:rFonts w:ascii="Times New Roman" w:hAnsi="Times New Roman" w:cs="Times New Roman"/>
          <w:sz w:val="24"/>
          <w:szCs w:val="24"/>
        </w:rPr>
        <w:t>esse</w:t>
      </w:r>
      <w:r w:rsidRPr="00096909">
        <w:rPr>
          <w:rFonts w:ascii="Times New Roman" w:hAnsi="Times New Roman" w:cs="Times New Roman"/>
          <w:sz w:val="24"/>
          <w:szCs w:val="24"/>
        </w:rPr>
        <w:t xml:space="preserve"> note nel 1489</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le alleanze matrimoniali tra la famiglia ducale </w:t>
      </w:r>
      <w:r w:rsidRPr="00096909">
        <w:rPr>
          <w:rFonts w:ascii="Times New Roman" w:hAnsi="Times New Roman" w:cs="Times New Roman"/>
          <w:sz w:val="24"/>
          <w:szCs w:val="24"/>
        </w:rPr>
        <w:lastRenderedPageBreak/>
        <w:t>milanese e la casa regnante di Napoli, in un momento in cui gli Sforza</w:t>
      </w:r>
      <w:r>
        <w:rPr>
          <w:rFonts w:ascii="Times New Roman" w:hAnsi="Times New Roman" w:cs="Times New Roman"/>
          <w:sz w:val="24"/>
          <w:szCs w:val="24"/>
        </w:rPr>
        <w:t>,</w:t>
      </w:r>
      <w:r w:rsidRPr="00096909">
        <w:rPr>
          <w:rFonts w:ascii="Times New Roman" w:hAnsi="Times New Roman" w:cs="Times New Roman"/>
          <w:sz w:val="24"/>
          <w:szCs w:val="24"/>
        </w:rPr>
        <w:t xml:space="preserve"> giunti al potere di recente</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apparivano</w:t>
      </w:r>
      <w:r w:rsidRPr="00096909">
        <w:rPr>
          <w:rFonts w:ascii="Times New Roman" w:hAnsi="Times New Roman" w:cs="Times New Roman"/>
          <w:sz w:val="24"/>
          <w:szCs w:val="24"/>
        </w:rPr>
        <w:t xml:space="preserve"> alla ricerca di una legittimazione della propria autorità da parte dell’Imperatore, e successivamente, che i libretti editi per le nozze di Bianca Maria Sforza del 1493 sottolineassero la loro nuova parentela con il re dei romani Massimiliano I, che tra le clausole del contratto nuziale </w:t>
      </w:r>
      <w:r>
        <w:rPr>
          <w:rFonts w:ascii="Times New Roman" w:hAnsi="Times New Roman" w:cs="Times New Roman"/>
          <w:sz w:val="24"/>
          <w:szCs w:val="24"/>
        </w:rPr>
        <w:t xml:space="preserve">aveva promesso </w:t>
      </w:r>
      <w:r w:rsidRPr="00096909">
        <w:rPr>
          <w:rFonts w:ascii="Times New Roman" w:hAnsi="Times New Roman" w:cs="Times New Roman"/>
          <w:sz w:val="24"/>
          <w:szCs w:val="24"/>
        </w:rPr>
        <w:t>a Ludovico il Moro la concessione tanto attesa del titolo ducale, della quale suo fratello Galeazzo Maria non aveva beneficiato in vita.</w:t>
      </w:r>
    </w:p>
    <w:p w14:paraId="2B60ED2A"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Allo stesso modo, l’edizione disposta per le nozze del signore di Pesaro nel 1475 esprimerebbe il desiderio di affermare l’importanza politica raggiunta dal giovane dominio cittadino istituito da Alessandro Sforza nel 1445, in grado dopo soli trent’anni d’imparentarsi con la casata d’Aragona, ma certo non privo di problemi di stabilità.</w:t>
      </w:r>
    </w:p>
    <w:p w14:paraId="407725AC" w14:textId="77777777" w:rsidR="009E2D8D" w:rsidRPr="00096909"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possibilità di un uso di questi opuscoli a fini propagandistici potrebbe essere inoltre confermata dall’assenza di pubblicazioni analoghe per gli sposalizi dei membri di casate più illustri e dal governo più stabile, come nel caso di quelli tra Eleonora d’Aragona ed Ercole d’Este. Sebbene per essi si disponga di una ampia varietà di fonti manoscritte che registrarono il passaggio per la Penisola della macchina trionfale che accompagnò la principessa da Napoli a Ferrara tra i mesi di maggio e giugno 1473, nessuna di esse beneficiò di un’edizione a stampa; compresi i pregevoli poemetti latini di Emilio Boccabella e </w:t>
      </w:r>
      <w:bookmarkStart w:id="289" w:name="_Hlk535916153"/>
      <w:r w:rsidRPr="00096909">
        <w:rPr>
          <w:rFonts w:ascii="Times New Roman" w:hAnsi="Times New Roman" w:cs="Times New Roman"/>
          <w:sz w:val="24"/>
          <w:szCs w:val="24"/>
        </w:rPr>
        <w:t xml:space="preserve">Porcelio de’ Pandoni </w:t>
      </w:r>
      <w:bookmarkEnd w:id="289"/>
      <w:r w:rsidRPr="00096909">
        <w:rPr>
          <w:rFonts w:ascii="Times New Roman" w:hAnsi="Times New Roman" w:cs="Times New Roman"/>
          <w:sz w:val="24"/>
          <w:szCs w:val="24"/>
        </w:rPr>
        <w:t>sulle accoglienze e sul sontuoso banchetto imbandito per la sposa a Roma dal cardinale Pietro Riario.</w:t>
      </w:r>
      <w:r w:rsidRPr="00096909">
        <w:rPr>
          <w:rStyle w:val="Rimandonotaapidipagina"/>
          <w:rFonts w:ascii="Times New Roman" w:hAnsi="Times New Roman" w:cs="Times New Roman"/>
          <w:sz w:val="24"/>
          <w:szCs w:val="24"/>
        </w:rPr>
        <w:footnoteReference w:id="361"/>
      </w:r>
      <w:r w:rsidRPr="00096909">
        <w:rPr>
          <w:rFonts w:ascii="Times New Roman" w:hAnsi="Times New Roman" w:cs="Times New Roman"/>
          <w:sz w:val="24"/>
          <w:szCs w:val="24"/>
        </w:rPr>
        <w:t xml:space="preserve"> Le nozze della figlia di Fer</w:t>
      </w:r>
      <w:r w:rsidR="0089685D">
        <w:rPr>
          <w:rFonts w:ascii="Times New Roman" w:hAnsi="Times New Roman" w:cs="Times New Roman"/>
          <w:sz w:val="24"/>
          <w:szCs w:val="24"/>
        </w:rPr>
        <w:t>rante</w:t>
      </w:r>
      <w:r w:rsidRPr="00096909">
        <w:rPr>
          <w:rFonts w:ascii="Times New Roman" w:hAnsi="Times New Roman" w:cs="Times New Roman"/>
          <w:sz w:val="24"/>
          <w:szCs w:val="24"/>
        </w:rPr>
        <w:t xml:space="preserve"> I, re di Napoli, discendente dell’unica casa regale presente in Italia, e del duca di Ferrara non necessitarono di alcun resoconto ufficiale delle feste e men che meno di una sua circolazione a stampa.</w:t>
      </w:r>
      <w:r w:rsidRPr="00096909">
        <w:rPr>
          <w:rStyle w:val="Rimandonotaapidipagina"/>
          <w:rFonts w:ascii="Times New Roman" w:hAnsi="Times New Roman" w:cs="Times New Roman"/>
          <w:sz w:val="24"/>
          <w:szCs w:val="24"/>
        </w:rPr>
        <w:footnoteReference w:id="362"/>
      </w:r>
    </w:p>
    <w:p w14:paraId="35ED00EA" w14:textId="77777777" w:rsidR="009E2D8D" w:rsidRDefault="009E2D8D" w:rsidP="009E2D8D">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Al fine di potersi esprimere con precisione sulla nascita di una propaganda celebrativa nell’Italia del Quattrocento si procederà ora all’analisi delle vicende editoriali di ciascuno degli incunaboli italiani per nozze, considerandoli in relazione ai contesti politici in cui vennero impressi e alla loro capacità di amplificare la fama dei festeggiamenti matrimoniali.</w:t>
      </w:r>
      <w:r w:rsidRPr="00096909">
        <w:rPr>
          <w:rStyle w:val="Rimandonotaapidipagina"/>
          <w:rFonts w:ascii="Times New Roman" w:hAnsi="Times New Roman" w:cs="Times New Roman"/>
          <w:sz w:val="24"/>
          <w:szCs w:val="24"/>
        </w:rPr>
        <w:footnoteReference w:id="363"/>
      </w:r>
      <w:r w:rsidRPr="00096909">
        <w:rPr>
          <w:rFonts w:ascii="Times New Roman" w:hAnsi="Times New Roman" w:cs="Times New Roman"/>
          <w:sz w:val="24"/>
          <w:szCs w:val="24"/>
        </w:rPr>
        <w:t xml:space="preserve">  </w:t>
      </w:r>
    </w:p>
    <w:p w14:paraId="6048EB25" w14:textId="77777777" w:rsidR="00A11721" w:rsidRDefault="00A11721" w:rsidP="00A11721">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lastRenderedPageBreak/>
        <w:t>2.</w:t>
      </w:r>
      <w:r>
        <w:rPr>
          <w:rFonts w:ascii="Times New Roman" w:hAnsi="Times New Roman" w:cs="Times New Roman"/>
          <w:i/>
          <w:sz w:val="24"/>
          <w:szCs w:val="24"/>
        </w:rPr>
        <w:t xml:space="preserve"> Le nozze di Costanzo Sforza e Camilla d’Aragona. I manoscritti e la stampa (1475). </w:t>
      </w:r>
    </w:p>
    <w:p w14:paraId="6871D7FC" w14:textId="77777777" w:rsidR="00A11721" w:rsidRDefault="00A11721" w:rsidP="00A11721">
      <w:pPr>
        <w:spacing w:after="0" w:line="360" w:lineRule="auto"/>
        <w:jc w:val="both"/>
        <w:rPr>
          <w:rFonts w:ascii="Times New Roman" w:hAnsi="Times New Roman" w:cs="Times New Roman"/>
          <w:i/>
          <w:sz w:val="24"/>
          <w:szCs w:val="24"/>
        </w:rPr>
      </w:pPr>
    </w:p>
    <w:p w14:paraId="7277CDD0" w14:textId="77777777" w:rsidR="00A11721" w:rsidRDefault="00A11721" w:rsidP="00A11721">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Il 9 novembre 1475, a Vicenza, lo stampatore Hermann Liechtenstein da Colonia sottoscrisse il colophon dell’</w:t>
      </w:r>
      <w:r>
        <w:rPr>
          <w:rFonts w:ascii="Times New Roman" w:hAnsi="Times New Roman" w:cs="Times New Roman"/>
          <w:i/>
          <w:sz w:val="24"/>
          <w:szCs w:val="24"/>
        </w:rPr>
        <w:t>Ordine de le noze de lo Illustrissimo Signor misir Costantio Sfortia de Aragonia et de la Illustrissima Madona Camilla de Aragonia sua consorte nel anno 1475.</w:t>
      </w:r>
      <w:r>
        <w:rPr>
          <w:rStyle w:val="Rimandonotaapidipagina"/>
          <w:rFonts w:ascii="Times New Roman" w:hAnsi="Times New Roman" w:cs="Times New Roman"/>
          <w:sz w:val="24"/>
          <w:szCs w:val="24"/>
        </w:rPr>
        <w:footnoteReference w:id="364"/>
      </w:r>
      <w:r>
        <w:rPr>
          <w:rFonts w:ascii="Times New Roman" w:hAnsi="Times New Roman" w:cs="Times New Roman"/>
          <w:i/>
          <w:sz w:val="24"/>
          <w:szCs w:val="24"/>
        </w:rPr>
        <w:t xml:space="preserve"> </w:t>
      </w:r>
    </w:p>
    <w:p w14:paraId="791F9AA5"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Le trattative per questo matrimonio si erano aperte nel maggio del 1473, quando Costanzo Sforza, su sollecitazione di Federico da Montefeltro, aveva inviato a Napoli come suoi ambasciatori </w:t>
      </w:r>
      <w:bookmarkStart w:id="295" w:name="_Hlk535916496"/>
      <w:r>
        <w:rPr>
          <w:rFonts w:ascii="Times New Roman" w:hAnsi="Times New Roman" w:cs="Times New Roman"/>
          <w:sz w:val="24"/>
          <w:szCs w:val="24"/>
        </w:rPr>
        <w:t xml:space="preserve">Niccolò </w:t>
      </w:r>
      <w:r w:rsidR="000D4637">
        <w:rPr>
          <w:rFonts w:ascii="Times New Roman" w:hAnsi="Times New Roman" w:cs="Times New Roman"/>
          <w:sz w:val="24"/>
          <w:szCs w:val="24"/>
        </w:rPr>
        <w:t xml:space="preserve">da </w:t>
      </w:r>
      <w:r>
        <w:rPr>
          <w:rFonts w:ascii="Times New Roman" w:hAnsi="Times New Roman" w:cs="Times New Roman"/>
          <w:sz w:val="24"/>
          <w:szCs w:val="24"/>
        </w:rPr>
        <w:t xml:space="preserve">Barignano </w:t>
      </w:r>
      <w:bookmarkEnd w:id="295"/>
      <w:r>
        <w:rPr>
          <w:rFonts w:ascii="Times New Roman" w:hAnsi="Times New Roman" w:cs="Times New Roman"/>
          <w:sz w:val="24"/>
          <w:szCs w:val="24"/>
        </w:rPr>
        <w:t xml:space="preserve">e </w:t>
      </w:r>
      <w:bookmarkStart w:id="296" w:name="_Hlk535916540"/>
      <w:r>
        <w:rPr>
          <w:rFonts w:ascii="Times New Roman" w:hAnsi="Times New Roman" w:cs="Times New Roman"/>
          <w:sz w:val="24"/>
          <w:szCs w:val="24"/>
        </w:rPr>
        <w:t xml:space="preserve">Jacopo Bagarotto </w:t>
      </w:r>
      <w:bookmarkEnd w:id="296"/>
      <w:r>
        <w:rPr>
          <w:rFonts w:ascii="Times New Roman" w:hAnsi="Times New Roman" w:cs="Times New Roman"/>
          <w:sz w:val="24"/>
          <w:szCs w:val="24"/>
        </w:rPr>
        <w:t xml:space="preserve">per stipulare con re Ferrante il contratto per una condotta militare della durata di tre anni, effettivamente firmato il 7 giugno dello stesso anno. Verso la fine di settembre il condottiero si recò in visita alla corte aragonese e discusse personalmente con il re la questione del suo fidanzamento con una giovane della casa reale di Napoli che avrebbe cementato maggiormente l’alleanza. Solo nella primavera del 1474 fu però deciso che egli avrebbe avuto come moglie Cubella Marzano, figlia della sorella di re Ferrante, Eleonora d’Aragona, e di </w:t>
      </w:r>
      <w:bookmarkStart w:id="297" w:name="_Hlk535916603"/>
      <w:r>
        <w:rPr>
          <w:rFonts w:ascii="Times New Roman" w:hAnsi="Times New Roman" w:cs="Times New Roman"/>
          <w:sz w:val="24"/>
          <w:szCs w:val="24"/>
        </w:rPr>
        <w:t>Marino Marzano</w:t>
      </w:r>
      <w:bookmarkEnd w:id="297"/>
      <w:r>
        <w:rPr>
          <w:rFonts w:ascii="Times New Roman" w:hAnsi="Times New Roman" w:cs="Times New Roman"/>
          <w:sz w:val="24"/>
          <w:szCs w:val="24"/>
        </w:rPr>
        <w:t>, principe di Rossano e duca di Sessa.</w:t>
      </w:r>
      <w:r>
        <w:rPr>
          <w:rStyle w:val="Rimandonotaapidipagina"/>
          <w:rFonts w:ascii="Times New Roman" w:hAnsi="Times New Roman" w:cs="Times New Roman"/>
          <w:sz w:val="24"/>
          <w:szCs w:val="24"/>
        </w:rPr>
        <w:footnoteReference w:id="365"/>
      </w:r>
    </w:p>
    <w:p w14:paraId="4C7CB655"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L’unione fu benedetta da Sisto IV che, con una bolla del primo giugno 1474, confermò il titolo di vicario di Pesaro allo Sforza e alle due generazioni successive dei discendenti dello sposo. Il 9 giugno venne dunque firmato, alla presenza del re di Napoli, del duca di Urbino e di Jacopo Bagarotto il contratto nuziale, che fissava la dote di Cubella alla somma di 12.000 ducati e il trasferimento della sposa a Pesaro entro il settembre prossimo o, al più tardi, entro la Pasqua successiva. </w:t>
      </w:r>
    </w:p>
    <w:p w14:paraId="676BC799" w14:textId="69E68B96"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Nei mesi estivi, la partecipazione di Costanzo alla spedizione militare guidata da Federico da Montefeltro contro </w:t>
      </w:r>
      <w:bookmarkStart w:id="298" w:name="_Hlk535916855"/>
      <w:r>
        <w:rPr>
          <w:rFonts w:ascii="Times New Roman" w:hAnsi="Times New Roman" w:cs="Times New Roman"/>
          <w:sz w:val="24"/>
          <w:szCs w:val="24"/>
        </w:rPr>
        <w:t>Niccolò Vitelli</w:t>
      </w:r>
      <w:bookmarkEnd w:id="298"/>
      <w:r>
        <w:rPr>
          <w:rFonts w:ascii="Times New Roman" w:hAnsi="Times New Roman" w:cs="Times New Roman"/>
          <w:sz w:val="24"/>
          <w:szCs w:val="24"/>
        </w:rPr>
        <w:t xml:space="preserve">, il quale aveva capeggiato la rivolta di Città di Castello all’autorità pontificia, ritardò lo svolgimento dello sposalizio, e solo nel febbraio del 1475 si iniziò a inviare le lettere d’invito alle nozze e a fare rifornimenti degli ingredienti necessari ai banchetti </w:t>
      </w:r>
      <w:r>
        <w:rPr>
          <w:rFonts w:ascii="Times New Roman" w:hAnsi="Times New Roman" w:cs="Times New Roman"/>
          <w:sz w:val="24"/>
          <w:szCs w:val="24"/>
        </w:rPr>
        <w:lastRenderedPageBreak/>
        <w:t>e dei materiali per costruire gli apparati ornamentali cittadini.</w:t>
      </w:r>
      <w:r>
        <w:rPr>
          <w:rStyle w:val="Rimandonotaapidipagina"/>
          <w:rFonts w:ascii="Times New Roman" w:hAnsi="Times New Roman" w:cs="Times New Roman"/>
          <w:sz w:val="24"/>
          <w:szCs w:val="24"/>
        </w:rPr>
        <w:footnoteReference w:id="366"/>
      </w:r>
      <w:r>
        <w:rPr>
          <w:rFonts w:ascii="Times New Roman" w:hAnsi="Times New Roman" w:cs="Times New Roman"/>
          <w:sz w:val="24"/>
          <w:szCs w:val="24"/>
        </w:rPr>
        <w:t xml:space="preserve"> Nel mese di marzo, una malattia di Cubella ritardò ancora la sua partenza da Napoli e fu necessario attendere il primo di maggio perché giungesse in città la delegazione guidata dal fratello dello sposo, Carlo Sforza, inviata per scortare la sposa a Pesaro. </w:t>
      </w:r>
    </w:p>
    <w:p w14:paraId="2CD527ED"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viaggio della principessa si svolse così tra il 5 e il 26 maggio 1475. In quest’ultima data si apre il racconto dell’anonimo </w:t>
      </w:r>
      <w:r>
        <w:rPr>
          <w:rFonts w:ascii="Times New Roman" w:hAnsi="Times New Roman" w:cs="Times New Roman"/>
          <w:i/>
          <w:sz w:val="24"/>
          <w:szCs w:val="24"/>
        </w:rPr>
        <w:t>Ordine de le noze de lo Illustrissimo Signor misir Costantio Sfortia</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367"/>
      </w:r>
    </w:p>
    <w:p w14:paraId="086985CB"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La situazione ecdotica della cronaca, tramandata anche da tre manoscritti, può essere così riassunta: dall’incunabolo fu copiato il ms. 962 della Biblioteca Oliveriana di Pesaro. Lo stesso componimento fu inserito dal calligrafo Niccolò di Antonio degli Alberti in chiusura del codice miscellaneo ms. 2256 della Riccardiana di Firenze, datato 21 novembre 1475.</w:t>
      </w:r>
      <w:r>
        <w:rPr>
          <w:rStyle w:val="Rimandonotaapidipagina"/>
          <w:rFonts w:ascii="Times New Roman" w:hAnsi="Times New Roman" w:cs="Times New Roman"/>
          <w:sz w:val="24"/>
          <w:szCs w:val="24"/>
        </w:rPr>
        <w:footnoteReference w:id="368"/>
      </w:r>
      <w:r>
        <w:rPr>
          <w:rFonts w:ascii="Times New Roman" w:hAnsi="Times New Roman" w:cs="Times New Roman"/>
          <w:sz w:val="24"/>
          <w:szCs w:val="24"/>
        </w:rPr>
        <w:t xml:space="preserve"> Al 1480 si data invece il codice Urb. Lat. 899 della Biblioteca Apostolica Vaticana firmato dal copista «Lionardo da Colle servitore dello illustrissimo signor Costantio», il solo che riporta integralmente l’orazione latina ufficiale recitata da Pandolfo Collenuccio la domenica 28 maggio, con un corredo di trentadue miniature che illustrano la descrizione presentando i carri, gli addobbi e gli interventi dei figuranti in abiti di divinità classiche che omaggiarono gli sposi tra venerdì 26 e martedì 30 maggio 1475.</w:t>
      </w:r>
      <w:r>
        <w:rPr>
          <w:rStyle w:val="Rimandonotaapidipagina"/>
          <w:rFonts w:ascii="Times New Roman" w:hAnsi="Times New Roman" w:cs="Times New Roman"/>
          <w:sz w:val="24"/>
          <w:szCs w:val="24"/>
        </w:rPr>
        <w:footnoteReference w:id="369"/>
      </w:r>
      <w:r>
        <w:rPr>
          <w:rFonts w:ascii="Times New Roman" w:hAnsi="Times New Roman" w:cs="Times New Roman"/>
          <w:sz w:val="24"/>
          <w:szCs w:val="24"/>
        </w:rPr>
        <w:t xml:space="preserve"> </w:t>
      </w:r>
    </w:p>
    <w:p w14:paraId="533E764A"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 tre testimoni presentano lo stesso testo, differenziato da varianti grafiche, morfologiche e da qualche toscanizzazione in più nel codice Riccardiano. L’edizione della cronaca ha confermato come il testimone fiorentino e l’incunabolo derivino da un archetipo comune e come il primo non sia un </w:t>
      </w:r>
      <w:r>
        <w:rPr>
          <w:rFonts w:ascii="Times New Roman" w:hAnsi="Times New Roman" w:cs="Times New Roman"/>
          <w:i/>
          <w:sz w:val="24"/>
          <w:szCs w:val="24"/>
        </w:rPr>
        <w:t>descriptus</w:t>
      </w:r>
      <w:r>
        <w:rPr>
          <w:rFonts w:ascii="Times New Roman" w:hAnsi="Times New Roman" w:cs="Times New Roman"/>
          <w:sz w:val="24"/>
          <w:szCs w:val="24"/>
        </w:rPr>
        <w:t xml:space="preserve"> del secondo. Più forte è invece il legame tra la stampa e la lezione dell’Urb. Lat. 899, in cui si leggono tuttavia varianti testuali e concordanze con il Riccardiano, oltre all’orazione di Collenuccio: fatto che dimostra come l’estensore abbia avuto sottomano altri materiali con cui integrare ed emendare la versione dell’incunabolo.</w:t>
      </w:r>
      <w:r>
        <w:rPr>
          <w:rStyle w:val="Rimandonotaapidipagina"/>
          <w:rFonts w:ascii="Times New Roman" w:hAnsi="Times New Roman" w:cs="Times New Roman"/>
          <w:sz w:val="24"/>
          <w:szCs w:val="24"/>
        </w:rPr>
        <w:footnoteReference w:id="370"/>
      </w:r>
      <w:r>
        <w:rPr>
          <w:rFonts w:ascii="Times New Roman" w:hAnsi="Times New Roman" w:cs="Times New Roman"/>
          <w:sz w:val="24"/>
          <w:szCs w:val="24"/>
        </w:rPr>
        <w:t xml:space="preserve"> </w:t>
      </w:r>
    </w:p>
    <w:p w14:paraId="1E4CE1E8"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 xml:space="preserve">Quel che più preme osservare è però come, a brevissima distanza dallo svolgimento della festa, l’autore del resoconto avesse proceduto alla descrizione delle celebrazioni in modo da avere pronto in breve tempo un testo da inviare in tipografia e da cui trarre, in un secondo momento, la copia del pregevole manoscritto donato dallo sposo a Federico da Montefeltro. Si approntò, insomma, una versione ufficiale dei festeggiamenti da diffondere, come un attento osservatore degli eventi di quei tempi, lo storico bergamasco Giacomo Filippo Foresti, non mancò di registrare nel suo </w:t>
      </w:r>
      <w:r>
        <w:rPr>
          <w:rFonts w:ascii="Times New Roman" w:hAnsi="Times New Roman" w:cs="Times New Roman"/>
          <w:i/>
          <w:sz w:val="24"/>
          <w:szCs w:val="24"/>
        </w:rPr>
        <w:t>Supplementum chronicarum</w:t>
      </w:r>
      <w:r>
        <w:rPr>
          <w:rFonts w:ascii="Times New Roman" w:hAnsi="Times New Roman" w:cs="Times New Roman"/>
          <w:sz w:val="24"/>
          <w:szCs w:val="24"/>
        </w:rPr>
        <w:t xml:space="preserve">, pubblicato otto anni dopo lo sposalizio: </w:t>
      </w:r>
    </w:p>
    <w:p w14:paraId="06833FC6" w14:textId="77777777" w:rsidR="00A11721" w:rsidRDefault="00A11721" w:rsidP="00A11721">
      <w:pPr>
        <w:spacing w:after="0" w:line="360" w:lineRule="auto"/>
        <w:jc w:val="both"/>
        <w:rPr>
          <w:rFonts w:ascii="Times New Roman" w:hAnsi="Times New Roman" w:cs="Times New Roman"/>
          <w:sz w:val="24"/>
          <w:szCs w:val="24"/>
        </w:rPr>
      </w:pPr>
    </w:p>
    <w:p w14:paraId="74325522" w14:textId="77777777" w:rsidR="00A11721" w:rsidRDefault="00A11721" w:rsidP="00A11721">
      <w:pPr>
        <w:spacing w:after="0" w:line="360" w:lineRule="auto"/>
        <w:ind w:left="567" w:right="567" w:firstLine="397"/>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
          <w:sz w:val="20"/>
          <w:szCs w:val="20"/>
        </w:rPr>
        <w:t>Costantius</w:t>
      </w:r>
      <w:r>
        <w:rPr>
          <w:rFonts w:ascii="Times New Roman" w:hAnsi="Times New Roman" w:cs="Times New Roman"/>
          <w:sz w:val="20"/>
          <w:szCs w:val="20"/>
        </w:rPr>
        <w:t xml:space="preserve">] </w:t>
      </w:r>
      <w:r>
        <w:rPr>
          <w:rFonts w:ascii="Times New Roman" w:hAnsi="Times New Roman" w:cs="Times New Roman"/>
          <w:i/>
          <w:sz w:val="20"/>
          <w:szCs w:val="20"/>
        </w:rPr>
        <w:t>erat enim prae omnibus splendidissimus vir, quod quam maxime in nuptiis magnificentissime et lautissime celebratis ostendit. Nam quum Camillam illustris Marini Martiani filiam ex regio Aragonum genere natam accepisset uxorem, eius nuptias tanto cum fastu et apparatu ac pompa celebravit ut Xerxis regis convivium diceres, et propterea ex illis conviviorum quedam confecta fuerunt opera</w:t>
      </w:r>
      <w:r>
        <w:rPr>
          <w:rFonts w:ascii="Times New Roman" w:hAnsi="Times New Roman" w:cs="Times New Roman"/>
          <w:sz w:val="20"/>
          <w:szCs w:val="20"/>
        </w:rPr>
        <w:t>.</w:t>
      </w:r>
      <w:r>
        <w:rPr>
          <w:rStyle w:val="Rimandonotaapidipagina"/>
          <w:rFonts w:ascii="Times New Roman" w:hAnsi="Times New Roman" w:cs="Times New Roman"/>
          <w:sz w:val="20"/>
          <w:szCs w:val="20"/>
        </w:rPr>
        <w:footnoteReference w:id="371"/>
      </w:r>
      <w:r>
        <w:rPr>
          <w:rFonts w:ascii="Times New Roman" w:hAnsi="Times New Roman" w:cs="Times New Roman"/>
          <w:sz w:val="20"/>
          <w:szCs w:val="20"/>
        </w:rPr>
        <w:t xml:space="preserve"> </w:t>
      </w:r>
    </w:p>
    <w:p w14:paraId="49F9011F" w14:textId="77777777" w:rsidR="00A11721" w:rsidRDefault="00A11721" w:rsidP="00A11721">
      <w:pPr>
        <w:spacing w:after="0" w:line="360" w:lineRule="auto"/>
        <w:ind w:left="567" w:right="566"/>
        <w:jc w:val="both"/>
        <w:rPr>
          <w:rFonts w:ascii="Times New Roman" w:hAnsi="Times New Roman" w:cs="Times New Roman"/>
          <w:sz w:val="20"/>
          <w:szCs w:val="20"/>
        </w:rPr>
      </w:pPr>
    </w:p>
    <w:p w14:paraId="70ACE131"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Poiché non sono noti altri componimenti sui fasti dei conviti pesaresi, penso proprio che con il fugace riferimento alle </w:t>
      </w:r>
      <w:r>
        <w:rPr>
          <w:rFonts w:ascii="Times New Roman" w:hAnsi="Times New Roman" w:cs="Times New Roman"/>
          <w:i/>
          <w:sz w:val="24"/>
          <w:szCs w:val="24"/>
        </w:rPr>
        <w:t>opera confecta</w:t>
      </w:r>
      <w:r>
        <w:rPr>
          <w:rFonts w:ascii="Times New Roman" w:hAnsi="Times New Roman" w:cs="Times New Roman"/>
          <w:sz w:val="24"/>
          <w:szCs w:val="24"/>
        </w:rPr>
        <w:t xml:space="preserve"> Foresti volesse ricordare i libretti a stampa dei quali trattiamo e di cui poté forse sfogliare un esemplare. Mi pare si colga nelle sue parole una punta di ammirazione, magari dovuta al fatto che la scelta di dare alle stampe resoconti di eventi simili era, nei primi anni Ottanta del secolo, un fatto insolito o, meglio, inedito. </w:t>
      </w:r>
    </w:p>
    <w:p w14:paraId="33481A53" w14:textId="77777777" w:rsidR="00A11721" w:rsidRDefault="00A11721" w:rsidP="00A11721">
      <w:pPr>
        <w:spacing w:after="0" w:line="360" w:lineRule="auto"/>
        <w:ind w:firstLine="397"/>
        <w:jc w:val="both"/>
        <w:rPr>
          <w:rFonts w:ascii="Times New Roman" w:hAnsi="Times New Roman" w:cs="Times New Roman"/>
          <w:sz w:val="24"/>
        </w:rPr>
      </w:pPr>
      <w:r>
        <w:rPr>
          <w:rFonts w:ascii="Times New Roman" w:hAnsi="Times New Roman" w:cs="Times New Roman"/>
          <w:sz w:val="24"/>
          <w:szCs w:val="24"/>
        </w:rPr>
        <w:t>L’attività a Vicenza di Hermann Liechtenstein, il tipografo tedesco che aveva apposto il suo nome italianizzato, Ermanno Levilapide, all’opuscolo per lo sposalizio di Camilla d’Aragona, è testimoniata a partire da poco più di due mesi prima della pubblicazione della descrizione nuziale. Il 13 settembre 1475 uscì, infatti, dai suoi torchi l’</w:t>
      </w:r>
      <w:r>
        <w:rPr>
          <w:rFonts w:ascii="Times New Roman" w:hAnsi="Times New Roman" w:cs="Times New Roman"/>
          <w:i/>
          <w:sz w:val="24"/>
          <w:szCs w:val="24"/>
        </w:rPr>
        <w:t>editio</w:t>
      </w:r>
      <w:r>
        <w:rPr>
          <w:rFonts w:ascii="Times New Roman" w:hAnsi="Times New Roman" w:cs="Times New Roman"/>
          <w:sz w:val="24"/>
          <w:szCs w:val="24"/>
        </w:rPr>
        <w:t xml:space="preserve"> </w:t>
      </w:r>
      <w:r>
        <w:rPr>
          <w:rFonts w:ascii="Times New Roman" w:hAnsi="Times New Roman" w:cs="Times New Roman"/>
          <w:i/>
          <w:sz w:val="24"/>
          <w:szCs w:val="24"/>
        </w:rPr>
        <w:t>princeps</w:t>
      </w:r>
      <w:r>
        <w:rPr>
          <w:rFonts w:ascii="Times New Roman" w:hAnsi="Times New Roman" w:cs="Times New Roman"/>
          <w:sz w:val="24"/>
          <w:szCs w:val="24"/>
        </w:rPr>
        <w:t xml:space="preserve"> della </w:t>
      </w:r>
      <w:r>
        <w:rPr>
          <w:rFonts w:ascii="Times New Roman" w:hAnsi="Times New Roman" w:cs="Times New Roman"/>
          <w:i/>
          <w:sz w:val="24"/>
          <w:szCs w:val="24"/>
        </w:rPr>
        <w:t>Cosmographia</w:t>
      </w:r>
      <w:r>
        <w:rPr>
          <w:rFonts w:ascii="Times New Roman" w:hAnsi="Times New Roman" w:cs="Times New Roman"/>
          <w:sz w:val="24"/>
          <w:szCs w:val="24"/>
        </w:rPr>
        <w:t xml:space="preserve"> di Tolomeo nella versione latina di </w:t>
      </w:r>
      <w:r>
        <w:rPr>
          <w:rFonts w:ascii="Times New Roman" w:hAnsi="Times New Roman" w:cs="Times New Roman"/>
          <w:sz w:val="24"/>
        </w:rPr>
        <w:t>Jacopo di Angelo da Scarperia: un maestoso volume in folio, di centoquarantadue carte, illustrato da tre xilografie e curato dagli umanisti locali Angelo Vadio e Barnaba Pizzardo.</w:t>
      </w:r>
      <w:r>
        <w:rPr>
          <w:rStyle w:val="Rimandonotaapidipagina"/>
          <w:rFonts w:ascii="Times New Roman" w:hAnsi="Times New Roman" w:cs="Times New Roman"/>
          <w:sz w:val="24"/>
        </w:rPr>
        <w:footnoteReference w:id="372"/>
      </w:r>
      <w:r>
        <w:rPr>
          <w:rFonts w:ascii="Times New Roman" w:hAnsi="Times New Roman" w:cs="Times New Roman"/>
          <w:sz w:val="24"/>
        </w:rPr>
        <w:t xml:space="preserve"> Esso fu il risultato di un’operazione editoriale alquanto impegnativa, ideata </w:t>
      </w:r>
      <w:r>
        <w:rPr>
          <w:rFonts w:ascii="Times New Roman" w:hAnsi="Times New Roman" w:cs="Times New Roman"/>
          <w:sz w:val="24"/>
        </w:rPr>
        <w:lastRenderedPageBreak/>
        <w:t>pensando a una destinazione commerciale rivolta al fiorente mercato librario di Venezia, tanto che Sandal ha supposto che Liechtenstein avesse eseguito la stampa su richiesta di committenti veneziani, fatto che avrebbe tutelato l’artigiano nell’avvio della sua officina con un’impresa tanto rischiosa.</w:t>
      </w:r>
      <w:r>
        <w:rPr>
          <w:rStyle w:val="Rimandonotaapidipagina"/>
          <w:rFonts w:ascii="Times New Roman" w:hAnsi="Times New Roman" w:cs="Times New Roman"/>
          <w:sz w:val="24"/>
        </w:rPr>
        <w:footnoteReference w:id="373"/>
      </w:r>
      <w:r>
        <w:rPr>
          <w:rFonts w:ascii="Times New Roman" w:hAnsi="Times New Roman" w:cs="Times New Roman"/>
          <w:sz w:val="24"/>
        </w:rPr>
        <w:t xml:space="preserve"> </w:t>
      </w:r>
    </w:p>
    <w:p w14:paraId="7026B000"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L’arte della stampa era stata introdotta a Vicenza soltanto l’anno precedente, quando «un mese in ver’ Natale» Leonardo Achates da Basilea, che in precedenza aveva stampato a Padova e nella vicina Santorso, vi aveva inaugurato una tipografia congedando la </w:t>
      </w:r>
      <w:r>
        <w:rPr>
          <w:rFonts w:ascii="Times New Roman" w:hAnsi="Times New Roman" w:cs="Times New Roman"/>
          <w:i/>
          <w:sz w:val="24"/>
          <w:szCs w:val="24"/>
        </w:rPr>
        <w:t>princeps</w:t>
      </w:r>
      <w:r>
        <w:rPr>
          <w:rFonts w:ascii="Times New Roman" w:hAnsi="Times New Roman" w:cs="Times New Roman"/>
          <w:sz w:val="24"/>
          <w:szCs w:val="24"/>
        </w:rPr>
        <w:t xml:space="preserve"> del </w:t>
      </w:r>
      <w:r>
        <w:rPr>
          <w:rFonts w:ascii="Times New Roman" w:hAnsi="Times New Roman" w:cs="Times New Roman"/>
          <w:i/>
          <w:sz w:val="24"/>
          <w:szCs w:val="24"/>
        </w:rPr>
        <w:t>Dittamondo</w:t>
      </w:r>
      <w:r>
        <w:rPr>
          <w:rFonts w:ascii="Times New Roman" w:hAnsi="Times New Roman" w:cs="Times New Roman"/>
          <w:sz w:val="24"/>
          <w:szCs w:val="24"/>
        </w:rPr>
        <w:t xml:space="preserve"> di Fazio degli Uberti.</w:t>
      </w:r>
      <w:r>
        <w:rPr>
          <w:rStyle w:val="Rimandonotaapidipagina"/>
          <w:rFonts w:ascii="Times New Roman" w:hAnsi="Times New Roman" w:cs="Times New Roman"/>
          <w:sz w:val="24"/>
          <w:szCs w:val="24"/>
        </w:rPr>
        <w:footnoteReference w:id="374"/>
      </w:r>
      <w:r>
        <w:rPr>
          <w:rFonts w:ascii="Times New Roman" w:hAnsi="Times New Roman" w:cs="Times New Roman"/>
          <w:sz w:val="24"/>
          <w:szCs w:val="24"/>
        </w:rPr>
        <w:t xml:space="preserve"> </w:t>
      </w:r>
    </w:p>
    <w:p w14:paraId="173AE5A4"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Lichtenstein fu invece il secondo stampatore presente nel capoluogo berico, dove tra il 1475 e il 1480 stampò diciassette incunaboli.</w:t>
      </w:r>
      <w:r>
        <w:rPr>
          <w:rStyle w:val="Rimandonotaapidipagina"/>
          <w:rFonts w:ascii="Times New Roman" w:hAnsi="Times New Roman" w:cs="Times New Roman"/>
          <w:sz w:val="24"/>
          <w:szCs w:val="24"/>
        </w:rPr>
        <w:footnoteReference w:id="375"/>
      </w:r>
      <w:r>
        <w:rPr>
          <w:rFonts w:ascii="Times New Roman" w:hAnsi="Times New Roman" w:cs="Times New Roman"/>
          <w:sz w:val="24"/>
          <w:szCs w:val="24"/>
        </w:rPr>
        <w:t xml:space="preserve"> I primi tre titoli del suo catalogo apparvero nel medesimo anno d’avvio della tipografia: la menzionata </w:t>
      </w:r>
      <w:r>
        <w:rPr>
          <w:rFonts w:ascii="Times New Roman" w:hAnsi="Times New Roman" w:cs="Times New Roman"/>
          <w:i/>
          <w:sz w:val="24"/>
          <w:szCs w:val="24"/>
        </w:rPr>
        <w:t>Cosmographia,</w:t>
      </w:r>
      <w:r>
        <w:rPr>
          <w:rFonts w:ascii="Times New Roman" w:hAnsi="Times New Roman" w:cs="Times New Roman"/>
          <w:sz w:val="24"/>
          <w:szCs w:val="24"/>
        </w:rPr>
        <w:t xml:space="preserve"> l’</w:t>
      </w:r>
      <w:r>
        <w:rPr>
          <w:rFonts w:ascii="Times New Roman" w:hAnsi="Times New Roman" w:cs="Times New Roman"/>
          <w:i/>
          <w:sz w:val="24"/>
          <w:szCs w:val="24"/>
        </w:rPr>
        <w:t>Ordine delle nozze di Costanzo Sforza</w:t>
      </w:r>
      <w:r>
        <w:rPr>
          <w:rFonts w:ascii="Times New Roman" w:hAnsi="Times New Roman" w:cs="Times New Roman"/>
          <w:sz w:val="24"/>
          <w:szCs w:val="24"/>
        </w:rPr>
        <w:t xml:space="preserve"> e gli </w:t>
      </w:r>
      <w:r>
        <w:rPr>
          <w:rFonts w:ascii="Times New Roman" w:hAnsi="Times New Roman" w:cs="Times New Roman"/>
          <w:i/>
          <w:sz w:val="24"/>
          <w:szCs w:val="24"/>
        </w:rPr>
        <w:t>Statuta</w:t>
      </w:r>
      <w:r>
        <w:rPr>
          <w:rFonts w:ascii="Times New Roman" w:hAnsi="Times New Roman" w:cs="Times New Roman"/>
          <w:sz w:val="24"/>
          <w:szCs w:val="24"/>
        </w:rPr>
        <w:t xml:space="preserve"> </w:t>
      </w:r>
      <w:r>
        <w:rPr>
          <w:rFonts w:ascii="Times New Roman" w:hAnsi="Times New Roman" w:cs="Times New Roman"/>
          <w:i/>
          <w:sz w:val="24"/>
          <w:szCs w:val="24"/>
        </w:rPr>
        <w:t>Veronae</w:t>
      </w:r>
      <w:r>
        <w:rPr>
          <w:rFonts w:ascii="Times New Roman" w:hAnsi="Times New Roman" w:cs="Times New Roman"/>
          <w:sz w:val="24"/>
          <w:szCs w:val="24"/>
        </w:rPr>
        <w:t xml:space="preserve"> del 20 dicembre 1475, realizzati su incarico dei fratelli Antonio, Gerardo, Giovan Pietro e Bartolomeo da Verona.</w:t>
      </w:r>
      <w:r>
        <w:rPr>
          <w:rStyle w:val="Rimandonotaapidipagina"/>
          <w:rFonts w:ascii="Times New Roman" w:hAnsi="Times New Roman" w:cs="Times New Roman"/>
          <w:sz w:val="24"/>
          <w:szCs w:val="24"/>
        </w:rPr>
        <w:footnoteReference w:id="376"/>
      </w:r>
      <w:r>
        <w:rPr>
          <w:rFonts w:ascii="Times New Roman" w:hAnsi="Times New Roman" w:cs="Times New Roman"/>
          <w:sz w:val="24"/>
          <w:szCs w:val="24"/>
        </w:rPr>
        <w:t xml:space="preserve"> Si trattava di tre opere certamente destinate a trovare pubblico e acquirenti principalmente fuori dalle mura di Vicenza, centro che nel Quattrocento, con dodici officine operanti, produsse novantotto edizioni: un numero decisamente ampio se si considera la posizione abbastanza periferica della cittadina e l’assenza di un’istituzione universitaria che avrebbe potuto favorire la richiesta di stampati.</w:t>
      </w:r>
      <w:r>
        <w:rPr>
          <w:rStyle w:val="Rimandonotaapidipagina"/>
          <w:rFonts w:ascii="Times New Roman" w:hAnsi="Times New Roman" w:cs="Times New Roman"/>
          <w:sz w:val="24"/>
          <w:szCs w:val="24"/>
        </w:rPr>
        <w:footnoteReference w:id="377"/>
      </w:r>
      <w:r>
        <w:rPr>
          <w:rFonts w:ascii="Times New Roman" w:hAnsi="Times New Roman" w:cs="Times New Roman"/>
          <w:sz w:val="24"/>
          <w:szCs w:val="24"/>
        </w:rPr>
        <w:t xml:space="preserve"> In compenso, la presenza in loco di una fiorente industria cartiera, che nella seconda metà del secolo ebbe nel monastero benedettino di San Pietro un primo polo produttivo, favorì la nascente imprenditoria tipografica fornendo la materia prima e abbassando i costi di produzione.</w:t>
      </w:r>
      <w:r>
        <w:rPr>
          <w:rStyle w:val="Rimandonotaapidipagina"/>
          <w:rFonts w:ascii="Times New Roman" w:hAnsi="Times New Roman" w:cs="Times New Roman"/>
          <w:sz w:val="24"/>
          <w:szCs w:val="24"/>
        </w:rPr>
        <w:footnoteReference w:id="378"/>
      </w:r>
      <w:r>
        <w:rPr>
          <w:rFonts w:ascii="Times New Roman" w:hAnsi="Times New Roman" w:cs="Times New Roman"/>
          <w:sz w:val="24"/>
          <w:szCs w:val="24"/>
        </w:rPr>
        <w:t xml:space="preserve"> </w:t>
      </w:r>
    </w:p>
    <w:p w14:paraId="49887EF2"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Non credo però che questo fattore economico avesse influito sulla scelta di fare imprimere il resoconto delle feste pesaresi proprio a Vicenza, località piuttosto distante da Pesaro, ed è complicato avanzare ipotesi sul perché fosse stato preferito il torchio di Liechtenstein per l’edizione rispetto a quelli operanti nelle cittadine marchigiane, o perché mai, qualora lo avesse fatto, egli avesse assunto per sé una simile iniziativa editoriale.</w:t>
      </w:r>
      <w:r>
        <w:rPr>
          <w:rStyle w:val="Rimandonotaapidipagina"/>
          <w:rFonts w:ascii="Times New Roman" w:hAnsi="Times New Roman" w:cs="Times New Roman"/>
          <w:sz w:val="24"/>
          <w:szCs w:val="24"/>
        </w:rPr>
        <w:footnoteReference w:id="379"/>
      </w:r>
      <w:r>
        <w:rPr>
          <w:rFonts w:ascii="Times New Roman" w:hAnsi="Times New Roman" w:cs="Times New Roman"/>
          <w:sz w:val="24"/>
          <w:szCs w:val="24"/>
        </w:rPr>
        <w:t xml:space="preserve"> </w:t>
      </w:r>
    </w:p>
    <w:p w14:paraId="147AF6DD"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Jean Bridgeman, nel suo studio sullo sposalizio di Costanzo Sforza ha assegnato al tipografo un’origine ebraica che, considerando il ruolo importante giocato dalla comunità giudaica di Pesaro nell’organizzazione degli intrattenimenti offerti nelle giornate della festa, permetterebbe di stabilire una relazione tra le due città, ipotizzando che la comunità avesse voluto offrire anche la pubblicazione dell’incunabolo, servendosi di un artigiano con cui in precedenza aveva forse avuto dei contatti.</w:t>
      </w:r>
      <w:r>
        <w:rPr>
          <w:rStyle w:val="Rimandonotaapidipagina"/>
          <w:rFonts w:ascii="Times New Roman" w:hAnsi="Times New Roman" w:cs="Times New Roman"/>
          <w:sz w:val="24"/>
          <w:szCs w:val="24"/>
        </w:rPr>
        <w:footnoteReference w:id="380"/>
      </w:r>
      <w:r>
        <w:rPr>
          <w:rFonts w:ascii="Times New Roman" w:hAnsi="Times New Roman" w:cs="Times New Roman"/>
          <w:sz w:val="24"/>
          <w:szCs w:val="24"/>
        </w:rPr>
        <w:t xml:space="preserve"> </w:t>
      </w:r>
    </w:p>
    <w:p w14:paraId="4C5D33CE"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Non ho trovato però documentazione che attesti un’origine ebraica dello stampatore e anche il suo testamento, redatto il 28 giugno 1494 a Venezia, con cui l’artigiano lasciava una parte cospicua dei suoi beni ai francescani della chiesa di san Francesco della Vigna e a diverse pie istituzioni lagunari mi pare deporre a sfavore di quanto affermato dalla studiosa.</w:t>
      </w:r>
      <w:r>
        <w:rPr>
          <w:rStyle w:val="Rimandonotaapidipagina"/>
          <w:rFonts w:ascii="Times New Roman" w:hAnsi="Times New Roman" w:cs="Times New Roman"/>
          <w:sz w:val="24"/>
          <w:szCs w:val="24"/>
        </w:rPr>
        <w:footnoteReference w:id="381"/>
      </w:r>
      <w:r>
        <w:rPr>
          <w:rFonts w:ascii="Times New Roman" w:hAnsi="Times New Roman" w:cs="Times New Roman"/>
          <w:sz w:val="24"/>
          <w:szCs w:val="24"/>
        </w:rPr>
        <w:t xml:space="preserve"> Inoltre, la supposta committenza degli ebrei pesaresi per l’impressione dell’opuscolo a Vicenza si collocherebbe proprio nel pieno delle ostilità antisemite sorte nei territori veneti pochi mesi addietro, in seguito al presunto assassinio rituale del quale era stato vittima il fanciullo Simone Lomferdorm a Trento il 26 marzo 1475. Della sua morte fu incolpata la locale comunità ebraica, contro la quale furono immediatamente celebrati dei processi e presi provvedimenti, intanto che dalle tipografiche di Santorso, Vicenza, Treviso, Verona, Roma e Venezia uscivano a stampa cronache della </w:t>
      </w:r>
      <w:r>
        <w:rPr>
          <w:rFonts w:ascii="Times New Roman" w:hAnsi="Times New Roman" w:cs="Times New Roman"/>
          <w:i/>
          <w:sz w:val="24"/>
          <w:szCs w:val="24"/>
        </w:rPr>
        <w:t>Passio beati Simonis Pueri tridentini</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382"/>
      </w:r>
      <w:r>
        <w:rPr>
          <w:rFonts w:ascii="Times New Roman" w:hAnsi="Times New Roman" w:cs="Times New Roman"/>
          <w:sz w:val="24"/>
          <w:szCs w:val="24"/>
        </w:rPr>
        <w:t xml:space="preserve"> </w:t>
      </w:r>
    </w:p>
    <w:p w14:paraId="2E995688"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Non si comprende inoltre per quale ragione, se la comunità ebraica di Pesaro avesse voluto avvalersi di uno stampatore ebreo per l’impressione della cronaca nuziale, non si fosse rivolta ai </w:t>
      </w:r>
      <w:r>
        <w:rPr>
          <w:rFonts w:ascii="Times New Roman" w:hAnsi="Times New Roman" w:cs="Times New Roman"/>
          <w:sz w:val="24"/>
          <w:szCs w:val="24"/>
        </w:rPr>
        <w:lastRenderedPageBreak/>
        <w:t xml:space="preserve">tipi di Meshullam Cuzi, che già nel 1475 pubblicava a Piove di Sacco, vicino Padova, </w:t>
      </w:r>
      <w:r w:rsidR="00BA07A0">
        <w:rPr>
          <w:rFonts w:ascii="Times New Roman" w:hAnsi="Times New Roman" w:cs="Times New Roman"/>
          <w:sz w:val="24"/>
          <w:szCs w:val="24"/>
        </w:rPr>
        <w:t xml:space="preserve">un </w:t>
      </w:r>
      <w:r w:rsidR="00BA07A0">
        <w:rPr>
          <w:rFonts w:ascii="Times New Roman" w:hAnsi="Times New Roman" w:cs="Times New Roman"/>
          <w:i/>
          <w:sz w:val="24"/>
          <w:szCs w:val="24"/>
        </w:rPr>
        <w:t>Selihot</w:t>
      </w:r>
      <w:r w:rsidR="00BA07A0">
        <w:rPr>
          <w:rFonts w:ascii="Times New Roman" w:hAnsi="Times New Roman" w:cs="Times New Roman"/>
          <w:sz w:val="24"/>
          <w:szCs w:val="24"/>
        </w:rPr>
        <w:t xml:space="preserve"> </w:t>
      </w:r>
      <w:r w:rsidR="00BA07A0">
        <w:rPr>
          <w:rFonts w:ascii="Times New Roman" w:hAnsi="Times New Roman" w:cs="Times New Roman"/>
          <w:i/>
          <w:sz w:val="24"/>
          <w:szCs w:val="24"/>
        </w:rPr>
        <w:t>sine notis</w:t>
      </w:r>
      <w:r w:rsidR="00BA07A0">
        <w:rPr>
          <w:rFonts w:ascii="Times New Roman" w:hAnsi="Times New Roman" w:cs="Times New Roman"/>
          <w:sz w:val="24"/>
          <w:szCs w:val="24"/>
        </w:rPr>
        <w:t xml:space="preserve"> e un </w:t>
      </w:r>
      <w:r w:rsidR="00BA07A0">
        <w:rPr>
          <w:rFonts w:ascii="Times New Roman" w:hAnsi="Times New Roman" w:cs="Times New Roman"/>
          <w:i/>
          <w:sz w:val="24"/>
          <w:szCs w:val="24"/>
        </w:rPr>
        <w:t>Arba'ah Turim</w:t>
      </w:r>
      <w:r w:rsidR="00BA07A0">
        <w:rPr>
          <w:rFonts w:ascii="Times New Roman" w:hAnsi="Times New Roman" w:cs="Times New Roman"/>
          <w:sz w:val="24"/>
          <w:szCs w:val="24"/>
        </w:rPr>
        <w:t xml:space="preserve"> </w:t>
      </w:r>
      <w:r>
        <w:rPr>
          <w:rFonts w:ascii="Times New Roman" w:hAnsi="Times New Roman" w:cs="Times New Roman"/>
          <w:sz w:val="24"/>
          <w:szCs w:val="24"/>
        </w:rPr>
        <w:t>in caratteri ebraici,</w:t>
      </w:r>
      <w:r>
        <w:rPr>
          <w:rFonts w:ascii="Times New Roman" w:hAnsi="Times New Roman" w:cs="Times New Roman"/>
          <w:i/>
          <w:sz w:val="24"/>
          <w:szCs w:val="24"/>
        </w:rPr>
        <w:t xml:space="preserve"> </w:t>
      </w:r>
      <w:r>
        <w:rPr>
          <w:rFonts w:ascii="Times New Roman" w:hAnsi="Times New Roman" w:cs="Times New Roman"/>
          <w:sz w:val="24"/>
          <w:szCs w:val="24"/>
        </w:rPr>
        <w:t>contendendo a A</w:t>
      </w:r>
      <w:r w:rsidR="00BA07A0">
        <w:rPr>
          <w:rFonts w:ascii="Times New Roman" w:hAnsi="Times New Roman" w:cs="Times New Roman"/>
          <w:sz w:val="24"/>
          <w:szCs w:val="24"/>
        </w:rPr>
        <w:t>b</w:t>
      </w:r>
      <w:r>
        <w:rPr>
          <w:rFonts w:ascii="Times New Roman" w:hAnsi="Times New Roman" w:cs="Times New Roman"/>
          <w:sz w:val="24"/>
          <w:szCs w:val="24"/>
        </w:rPr>
        <w:t>raham ben Garton ben Yishaq</w:t>
      </w:r>
      <w:r>
        <w:rPr>
          <w:rFonts w:ascii="Times New Roman" w:hAnsi="Times New Roman" w:cs="Times New Roman"/>
          <w:i/>
          <w:sz w:val="24"/>
          <w:szCs w:val="24"/>
        </w:rPr>
        <w:t xml:space="preserve"> </w:t>
      </w:r>
      <w:r>
        <w:rPr>
          <w:rFonts w:ascii="Times New Roman" w:hAnsi="Times New Roman" w:cs="Times New Roman"/>
          <w:sz w:val="24"/>
          <w:szCs w:val="24"/>
        </w:rPr>
        <w:t xml:space="preserve">e al suo </w:t>
      </w:r>
      <w:r>
        <w:rPr>
          <w:rFonts w:ascii="Times New Roman" w:hAnsi="Times New Roman" w:cs="Times New Roman"/>
          <w:i/>
          <w:sz w:val="24"/>
          <w:szCs w:val="24"/>
        </w:rPr>
        <w:t>Commento al Pentateuco</w:t>
      </w:r>
      <w:r>
        <w:rPr>
          <w:rFonts w:ascii="Times New Roman" w:hAnsi="Times New Roman" w:cs="Times New Roman"/>
          <w:sz w:val="24"/>
          <w:szCs w:val="24"/>
        </w:rPr>
        <w:t>, edito a Reggio Calabria il 18 febbraio del medesimo anno, il primato dell’introduzione della stampa in caratteri rabbinici in Italia.</w:t>
      </w:r>
      <w:r>
        <w:rPr>
          <w:rStyle w:val="Rimandonotaapidipagina"/>
          <w:rFonts w:ascii="Times New Roman" w:hAnsi="Times New Roman" w:cs="Times New Roman"/>
          <w:sz w:val="24"/>
          <w:szCs w:val="24"/>
        </w:rPr>
        <w:footnoteReference w:id="383"/>
      </w:r>
      <w:r>
        <w:rPr>
          <w:rFonts w:ascii="Times New Roman" w:hAnsi="Times New Roman" w:cs="Times New Roman"/>
          <w:sz w:val="24"/>
          <w:szCs w:val="24"/>
        </w:rPr>
        <w:t xml:space="preserve"> Di entrambi gli artigiani sono noti solo libri in ebraico, ma credo che con facilità essi avrebbero potuto trovare colleghi disposti a prestare o noleggiare loro una polizza di caratteri romani per l’impressione dell’</w:t>
      </w:r>
      <w:r>
        <w:rPr>
          <w:rFonts w:ascii="Times New Roman" w:hAnsi="Times New Roman" w:cs="Times New Roman"/>
          <w:i/>
          <w:sz w:val="24"/>
          <w:szCs w:val="24"/>
        </w:rPr>
        <w:t xml:space="preserve">Ordine delle nozze </w:t>
      </w:r>
      <w:r>
        <w:rPr>
          <w:rFonts w:ascii="Times New Roman" w:hAnsi="Times New Roman" w:cs="Times New Roman"/>
          <w:sz w:val="24"/>
          <w:szCs w:val="24"/>
        </w:rPr>
        <w:t xml:space="preserve">di Costanzo Sforza. </w:t>
      </w:r>
    </w:p>
    <w:p w14:paraId="4B995A13"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Allo stato attuale delle ricerche non è dunque possibile determinare come mai l’incunabolo sia stato pubblicato a Vicenza, anche perché esso è privo di elementi paratestuali che suggeriscano altre piste di ricerca, e mancano documenti che attestino relazioni tra la corte di Pesaro e la tipografia di Emanno Levilapide.</w:t>
      </w:r>
    </w:p>
    <w:p w14:paraId="55216D5B"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Anche l’anonimato dell’autore della descrizione – per il quale si può soltanto supporre un’origine marchigiana dall’analisi della lingua del componimento – rende difficile chiarire il significato dell’operazione editoriale. È certo invece come egli abbia voluto raccogliere nel resoconto tutti i testi agiti dai figuranti della festa, i motti che ne ornarono i costumi, le iscrizioni latine degli apparati e la saffica di Antonio Costanzi recitata da un fanciullo dopo la colazione e le danze di lunedì 29 maggio.</w:t>
      </w:r>
      <w:r>
        <w:rPr>
          <w:rStyle w:val="Rimandonotaapidipagina"/>
          <w:rFonts w:ascii="Times New Roman" w:hAnsi="Times New Roman" w:cs="Times New Roman"/>
          <w:sz w:val="24"/>
          <w:szCs w:val="24"/>
        </w:rPr>
        <w:footnoteReference w:id="384"/>
      </w:r>
      <w:r>
        <w:rPr>
          <w:rFonts w:ascii="Times New Roman" w:hAnsi="Times New Roman" w:cs="Times New Roman"/>
          <w:sz w:val="24"/>
          <w:szCs w:val="24"/>
        </w:rPr>
        <w:t xml:space="preserve"> </w:t>
      </w:r>
    </w:p>
    <w:p w14:paraId="7E6D2FD2"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partizione del testo pubblicato nell’incunabolo mostra una cura redazionale elementare, quasi approssimativa. Alla carta a1v si legge il proemio dell’opera, riassuntivo del contenuto del libretto, a cui segue un sonetto di dedica a Costanzo Sforza. Si avvia così la successione di prose e di versi che percorre l’opuscolo, marcata dall’allineamento in colonna delle sezioni poetiche. </w:t>
      </w:r>
    </w:p>
    <w:p w14:paraId="3DD07D7B"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scansione del resoconto nelle cinque giornate della festa è segnalata per la prima volta a carta a3v da una semplice sporgenza a sinistra della S di “Sabato 27 maggio” rispetto al resto del testo; a carta a7r dal titoletto “Domenica adi. xxviii. del dicto”, centrato e nello stesso carattere romano usato per tutto lo scritto; a carta c8r da un titolo centrato e maggiormente distanziato dal testo composto tutto in maiuscole “LUNEDI ADI XXVIIII DEL DICTO”; e infine a carta e6v da un titolo similmente composto “MARTEDI ADI TRENTA DEL DICTO”, dove però la numerazione del giorno è espressa in lettere e non in numero romano come nel caso precedente. Sembra, dunque, che la composizione tipografica sia stata effettuata o con poca cura o con fretta, ad ogni modo in vista della preparazione di un prodotto editoriale non propriamente raffinato.  </w:t>
      </w:r>
    </w:p>
    <w:p w14:paraId="026AAAA2"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Il lettore del volumetto avrà tuttavia apprezzato la successione delle stupende accoglienze alla sposa che si aprirono con l’incontro nei pressi di Fano, il 26 maggio 1475, tra Camilla, la sua comitiva, Diana e dodici ninfe cacciatrici, le quali, dato il benvenuto alla principessa, la accompagnarono al castello di Novilara, a tre miglia da Pesaro, dove era previsto che trascorresse la notte. Fanciulli in vesti bianche, coronati di ghirlande, le andarono incontro lungo la via con rami d’ulivo e gridando divisi in quattro squadre, «Aragona, Sforza, Costanzo, Camilla», ed entrando nella cittadella il corteo attraversò un arco di verzura dal quale alcuni bambini spargevano fiori. Ivi settanta giovani in abito verde con frange d’oro e d’argento si unirono alla scorta della sposa, che proseguendo incontrò Ginevra Sforza e trenta gentildonne di Pesaro.</w:t>
      </w:r>
      <w:r>
        <w:rPr>
          <w:rStyle w:val="Rimandonotaapidipagina"/>
          <w:rFonts w:ascii="Times New Roman" w:hAnsi="Times New Roman" w:cs="Times New Roman"/>
          <w:sz w:val="24"/>
          <w:szCs w:val="24"/>
        </w:rPr>
        <w:footnoteReference w:id="385"/>
      </w:r>
      <w:r>
        <w:rPr>
          <w:rFonts w:ascii="Times New Roman" w:hAnsi="Times New Roman" w:cs="Times New Roman"/>
          <w:sz w:val="24"/>
          <w:szCs w:val="24"/>
        </w:rPr>
        <w:t xml:space="preserve"> All’ingresso del castello, da un arco trionfale sotto il quale doveva passare la compagnia, calò uno spiritello che dichiarò la gioia del popolo in quella giornata: «Gridan le strade el castello et la villa: / “Viva Costantio cum la sua Camilla”».</w:t>
      </w:r>
      <w:r>
        <w:rPr>
          <w:rStyle w:val="Rimandonotaapidipagina"/>
          <w:rFonts w:ascii="Times New Roman" w:hAnsi="Times New Roman" w:cs="Times New Roman"/>
          <w:sz w:val="24"/>
          <w:szCs w:val="24"/>
        </w:rPr>
        <w:footnoteReference w:id="386"/>
      </w:r>
      <w:r>
        <w:rPr>
          <w:rFonts w:ascii="Times New Roman" w:hAnsi="Times New Roman" w:cs="Times New Roman"/>
          <w:sz w:val="24"/>
          <w:szCs w:val="24"/>
        </w:rPr>
        <w:t xml:space="preserve"> </w:t>
      </w:r>
    </w:p>
    <w:p w14:paraId="5120BF40"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Sabato 27 maggio si svolse invece l’ingresso a Pesaro. Il percorso da Novilara alle mura della città fu apparato dai signori dei castelli soggetti all’autorità dello Sforza con dieci loggette di verzura, presso le quali, tra le accoglienze dei putti vestiti di bianco, la comitiva fu ricevuta con recite di versi augurali, danze, rinfreschi di dolci, frutta e vini. Quaranta nobildonne pesaresi e alcuni cittadini</w:t>
      </w:r>
      <w:r w:rsidR="009F3B23">
        <w:rPr>
          <w:rFonts w:ascii="Times New Roman" w:hAnsi="Times New Roman" w:cs="Times New Roman"/>
          <w:sz w:val="24"/>
          <w:szCs w:val="24"/>
        </w:rPr>
        <w:t xml:space="preserve"> altolocati</w:t>
      </w:r>
      <w:r>
        <w:rPr>
          <w:rFonts w:ascii="Times New Roman" w:hAnsi="Times New Roman" w:cs="Times New Roman"/>
          <w:sz w:val="24"/>
          <w:szCs w:val="24"/>
        </w:rPr>
        <w:t xml:space="preserve"> accompagnarono Camilla che, lasciata la residenza di Novilara, raggiunse Rainero Almerici, Ni</w:t>
      </w:r>
      <w:r w:rsidR="009F3B23">
        <w:rPr>
          <w:rFonts w:ascii="Times New Roman" w:hAnsi="Times New Roman" w:cs="Times New Roman"/>
          <w:sz w:val="24"/>
          <w:szCs w:val="24"/>
        </w:rPr>
        <w:t>c</w:t>
      </w:r>
      <w:r>
        <w:rPr>
          <w:rFonts w:ascii="Times New Roman" w:hAnsi="Times New Roman" w:cs="Times New Roman"/>
          <w:sz w:val="24"/>
          <w:szCs w:val="24"/>
        </w:rPr>
        <w:t>colò da B</w:t>
      </w:r>
      <w:r w:rsidR="009F3B23">
        <w:rPr>
          <w:rFonts w:ascii="Times New Roman" w:hAnsi="Times New Roman" w:cs="Times New Roman"/>
          <w:sz w:val="24"/>
          <w:szCs w:val="24"/>
        </w:rPr>
        <w:t>a</w:t>
      </w:r>
      <w:r>
        <w:rPr>
          <w:rFonts w:ascii="Times New Roman" w:hAnsi="Times New Roman" w:cs="Times New Roman"/>
          <w:sz w:val="24"/>
          <w:szCs w:val="24"/>
        </w:rPr>
        <w:t>rignano e una legazione dell’esercito di Costanzo lungo la via. A questi si aggiunsero, circa a metà del tragitto, il fratello dello sposo, Ercole Sforza, e i dottori e i magistrati della città.</w:t>
      </w:r>
      <w:r>
        <w:rPr>
          <w:rStyle w:val="Rimandonotaapidipagina"/>
          <w:rFonts w:ascii="Times New Roman" w:hAnsi="Times New Roman" w:cs="Times New Roman"/>
          <w:sz w:val="24"/>
          <w:szCs w:val="24"/>
        </w:rPr>
        <w:footnoteReference w:id="387"/>
      </w:r>
      <w:r>
        <w:rPr>
          <w:rFonts w:ascii="Times New Roman" w:hAnsi="Times New Roman" w:cs="Times New Roman"/>
          <w:sz w:val="24"/>
          <w:szCs w:val="24"/>
        </w:rPr>
        <w:t xml:space="preserve"> </w:t>
      </w:r>
    </w:p>
    <w:p w14:paraId="7055CF25"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 un miglio da Pesaro avvenne l’incontro della principessa con lo sposo, alla presenza di Federico da Montefeltro e degli ambasciatori dei duchi di Calabria e di Ferrara. Baciata la mano alla giovane, il corteo, tra suoni di pifferi e trombetti, riprese la marcia e, a un quarto di miglio dalla meta, si fermò davanti a un carro a forma di nave semovente, sul quale «circa quaranta </w:t>
      </w:r>
      <w:r>
        <w:rPr>
          <w:rFonts w:ascii="Times New Roman" w:hAnsi="Times New Roman" w:cs="Times New Roman"/>
          <w:sz w:val="24"/>
          <w:szCs w:val="24"/>
        </w:rPr>
        <w:lastRenderedPageBreak/>
        <w:t>mercatanti et borghisani di Pesaro»,</w:t>
      </w:r>
      <w:r>
        <w:rPr>
          <w:rStyle w:val="Rimandonotaapidipagina"/>
          <w:rFonts w:ascii="Times New Roman" w:hAnsi="Times New Roman" w:cs="Times New Roman"/>
          <w:sz w:val="24"/>
          <w:szCs w:val="24"/>
        </w:rPr>
        <w:footnoteReference w:id="388"/>
      </w:r>
      <w:r>
        <w:rPr>
          <w:rFonts w:ascii="Times New Roman" w:hAnsi="Times New Roman" w:cs="Times New Roman"/>
          <w:sz w:val="24"/>
          <w:szCs w:val="24"/>
        </w:rPr>
        <w:t xml:space="preserve"> e un ulteriore gruppo di musici, salutarono la coppia affidando al nocchiere il compito di recitare alcuni versi. La nave si unì quindi al corteo di Camilla avanzando fino alle porte di Pesaro, dove il luogotenente le offrì le chiavi della città. </w:t>
      </w:r>
    </w:p>
    <w:p w14:paraId="26F8A791"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Varcata la porta, si fece incontro alla sposa un carro carico di festoni all’antica, alto diciotto piedi</w:t>
      </w:r>
      <w:r>
        <w:rPr>
          <w:rStyle w:val="Rimandonotaapidipagina"/>
          <w:rFonts w:ascii="Times New Roman" w:hAnsi="Times New Roman" w:cs="Times New Roman"/>
          <w:sz w:val="24"/>
          <w:szCs w:val="24"/>
        </w:rPr>
        <w:footnoteReference w:id="389"/>
      </w:r>
      <w:r>
        <w:rPr>
          <w:rFonts w:ascii="Times New Roman" w:hAnsi="Times New Roman" w:cs="Times New Roman"/>
          <w:sz w:val="24"/>
          <w:szCs w:val="24"/>
        </w:rPr>
        <w:t xml:space="preserve"> e recante sulla sommità l’allegoria della Pudicizia, contornata da sei donne pudiche dell’antichità. Era preceduto da un carretto con giovinette in bianche tuniche, ciascuna con un giglio nella mano e una sosteneva uno stendardo su cui campeggiava un ermellino dal collare ingioiellato. Dopo che la Pudicizia ebbe omaggiato la virtuosa principessa, anche questo carro proseguì la sua marcia nel corteo, mentre gli sposi presero posto sotto un baldacchino di panno dorato. </w:t>
      </w:r>
    </w:p>
    <w:p w14:paraId="2C413986"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Un arco trionfale in muratura alto venticinque piedi attendeva ancora gli invitati. Al suo vertice, v’era l’albero di una nave con due ordini di rami di ferro ruotanti ciascuno in senso opposto, ai quali erano appesi alcuni bambini con strumenti che inneggiavano al passaggio dei principi. Sulla sua sommità un fiore si dischiuse perché potesse uscirne un figurante per salutare Camilla. Una coppia di giganti abbigliati all’antica si offrì dunque come ultima scorta alla principessa fino alla piazza maggiore, dove sorgeva il palazzo signorile di Costanzo. Qui una fontana da cui sgorgavano vino rosso, bianco e acqua rinfrescò i partecipanti alla festa, mentre Ginevra Sforza accompagnò nelle sue stanze la nuova signora di Pesaro.     </w:t>
      </w:r>
    </w:p>
    <w:p w14:paraId="5D4886F8"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Domenica mattina si svolse la cerimonia sponsale. Il cronista descrive in primo luogo la sala grande della corte parata a festa, della quale l’immenso soffitto fu coperto con panni turchini per simulare un cielo trapunto di stelle disposte nell’ordine delle costellazioni dello zodiaco, con al centro un meccanismo, detto paradiso, che si apriva per far scendere dall’alto le personificazioni del Sole e della Luna. 2.500 specchi moltiplicavano l’effetto scenico dell’apparato riflettendo miriadi di luci, mentre lungo le pareti correvano due file parallele di festoni di fiori e verzura, con appesi tondi dorati e semilune con le armi e le divise sforzesche. </w:t>
      </w:r>
    </w:p>
    <w:p w14:paraId="426EC843"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Un lato intero del salone venne occupato da una tribuna di cinque gradoni, alta cinque piedi e sormontata da un baldacchino riservato ai </w:t>
      </w:r>
      <w:r w:rsidR="002256CA">
        <w:rPr>
          <w:rFonts w:ascii="Times New Roman" w:hAnsi="Times New Roman" w:cs="Times New Roman"/>
          <w:sz w:val="24"/>
          <w:szCs w:val="24"/>
        </w:rPr>
        <w:t>s</w:t>
      </w:r>
      <w:r>
        <w:rPr>
          <w:rFonts w:ascii="Times New Roman" w:hAnsi="Times New Roman" w:cs="Times New Roman"/>
          <w:sz w:val="24"/>
          <w:szCs w:val="24"/>
        </w:rPr>
        <w:t xml:space="preserve">ignori di Pesaro e agli ospiti eminenti. Una credenza colma di preziosi argenti fu posizionata sul lato prospicente, mentre sul lato breve destro trovarono posto un palchetto per le gentildonne e, in una nicchia di pietra, i musici. Contro la parete di sinistra venne collocato un organo. Tra il tribunale e la credenza furono preparati i posti a sedere per gli invitati che assistettero per prima cosa alla recita dell’orazione ufficiale rivolta da Pandolfo </w:t>
      </w:r>
      <w:r>
        <w:rPr>
          <w:rFonts w:ascii="Times New Roman" w:hAnsi="Times New Roman" w:cs="Times New Roman"/>
          <w:sz w:val="24"/>
          <w:szCs w:val="24"/>
        </w:rPr>
        <w:lastRenderedPageBreak/>
        <w:t>Collenuccio agli sposi. Il vescovo di Terni, legato del papa,</w:t>
      </w:r>
      <w:r>
        <w:rPr>
          <w:rStyle w:val="Rimandonotaapidipagina"/>
          <w:rFonts w:ascii="Times New Roman" w:hAnsi="Times New Roman" w:cs="Times New Roman"/>
          <w:sz w:val="24"/>
          <w:szCs w:val="24"/>
        </w:rPr>
        <w:footnoteReference w:id="390"/>
      </w:r>
      <w:r>
        <w:rPr>
          <w:rFonts w:ascii="Times New Roman" w:hAnsi="Times New Roman" w:cs="Times New Roman"/>
          <w:sz w:val="24"/>
          <w:szCs w:val="24"/>
        </w:rPr>
        <w:t xml:space="preserve"> diede lettura del contratto nuziale, dopo di che tutti i presenti uscirono dalla corte per recarsi al vescovato e assistere alla messa sponsale, allietata da un doppio coro di valentissimi cantori. </w:t>
      </w:r>
    </w:p>
    <w:p w14:paraId="2F0588F5"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Tornati tutti al palazzo, ebbe inizio il banchetto. Otto tavole erano state apparecchiate e a ciascuna venne preposta una squadra di scalchi e sottoscalchi. </w:t>
      </w:r>
      <w:bookmarkStart w:id="315" w:name="_Hlk535918772"/>
      <w:r>
        <w:rPr>
          <w:rFonts w:ascii="Times New Roman" w:hAnsi="Times New Roman" w:cs="Times New Roman"/>
          <w:sz w:val="24"/>
          <w:szCs w:val="24"/>
        </w:rPr>
        <w:t xml:space="preserve">Ercole Bentivoglio </w:t>
      </w:r>
      <w:bookmarkEnd w:id="315"/>
      <w:r>
        <w:rPr>
          <w:rFonts w:ascii="Times New Roman" w:hAnsi="Times New Roman" w:cs="Times New Roman"/>
          <w:sz w:val="24"/>
          <w:szCs w:val="24"/>
        </w:rPr>
        <w:t xml:space="preserve">e Carlo Sforza servirono al desco d’onore del tribunale maggiore, dove sedevano gli sposi e, alla loro destra, Oliviero Caracciolo, il conte di Aliano, gli ambasciatori dei duchi di Calabria, di Ferrara e di Amalfi; alla loro sinistra, Federico da Montefeltro, Giovanni da Senigallia, Ginevra Sforza e Antonio Ubaldini.  </w:t>
      </w:r>
    </w:p>
    <w:p w14:paraId="0263F7F3"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Con la calata dal paradiso del Sole, che annunciò come gli dei stessero per giungere a offrire l’influenza dei pianeti loro soggetti a beneficio della coppia, ebbe inizio il pranzo, suddiviso in due sezioni: la prima presieduta dal Sole, la seconda dalla Luna.  </w:t>
      </w:r>
    </w:p>
    <w:p w14:paraId="502BC9B1"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Come specifica il cronista, gli interventi degli dèi si concretizzarono nell’invio di alcuni messi recanti i messaggi augurali e le pietanze per il banchetto. Ciascuno dei messi era introdotto da un’insegna, che due giovinetti in abiti bianchi coperti di stelle d’oro, Castore e Polluce, avevano il compito di collocare dentro un candelabro all’antica posto alla destra del tribunale. </w:t>
      </w:r>
    </w:p>
    <w:p w14:paraId="3AE56FC8"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primo intervento divino fu però quello del dio delle nozze, Imeneo, che recò personalmente le sue vivande e si fece precedere da due fiaccole ardenti unite da un anello d’oro con un diamante incastonato. Venere inviò invece la musa Erato, coronata di edera e mirto e rivestita da una tunica di stelle dorate sulla cui spalla si leggeva il motto </w:t>
      </w:r>
      <w:r>
        <w:rPr>
          <w:rFonts w:ascii="Times New Roman" w:hAnsi="Times New Roman" w:cs="Times New Roman"/>
          <w:i/>
          <w:sz w:val="24"/>
          <w:szCs w:val="24"/>
        </w:rPr>
        <w:t>Connubia et rectos mortalibus addit amores</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391"/>
      </w:r>
      <w:r>
        <w:rPr>
          <w:rFonts w:ascii="Times New Roman" w:hAnsi="Times New Roman" w:cs="Times New Roman"/>
          <w:sz w:val="24"/>
          <w:szCs w:val="24"/>
        </w:rPr>
        <w:t xml:space="preserve"> Tra le mani recava una lira ed era preceduta dall’insegna del cigno d’argento con al collo un Ceston (un cingolo) simbolo del legame di castità. Giove mandò poi Perseo, un uomo di mezza età ma di prestante virilità e piacevole aspetto, coperto da un elmo e armato di spada d’oro, con la testa di Medusa nella mano destra. Per insegna aveva un’aquila dorata con collare di gioie e corona. La quarta «imbandisone» fu inviata da Giunone per mezzo di Iris, una giovinetta alata in veste corta color oro, rosso e azzurro e con un copricapo ad arco di tre colori per simulare l’arcobaleno: al suo fianco, un pavone con un collare dorato e con due bracciali d’oro e d’argento sulle zampe. Seguì l’apparizione del messo di Apollo: Orfeo, canuto e barbuto, indossava una tunica corta gialla, una </w:t>
      </w:r>
      <w:r>
        <w:rPr>
          <w:rFonts w:ascii="Times New Roman" w:hAnsi="Times New Roman" w:cs="Times New Roman"/>
          <w:sz w:val="24"/>
          <w:szCs w:val="24"/>
        </w:rPr>
        <w:lastRenderedPageBreak/>
        <w:t xml:space="preserve">corona d’alloro e un mantello di seta. Insieme alla lira si accompagnava con l’insegna di un grifone con un ramo d’alloro. Il sesto servizio di tavola fu infine introdotto da Ebe su invito di Atena, che avanzò rivestita di un abito verde ornato di fiori e di un velo su una spalla, portando un’anfora d’oro e facendosi precedere dall’insegna dell’ulivo con lo scudo di Minerva. </w:t>
      </w:r>
    </w:p>
    <w:p w14:paraId="0EFE2C64"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 decretare la fine della prima parte del convito fu il cambio delle tovaglie alle tavole degli ospiti e l’apertura dell’ingegno posto al centro del cielo, dal quale calò, fermandosi a mezz’aria, una giovane vestita d’argento adagiata su una mezzaluna illuminata con varie lumiere. Era la luna, la quale, preannunciato ai signori di Pesaro un futuro colmo di ogni beneficio, risalì nuovamente al cielo e disparve, mentre gli scalchi portavano in tavola il nuovo servizio e i bacili per lavare le mani con acqua di rose. </w:t>
      </w:r>
    </w:p>
    <w:p w14:paraId="47F9BEE9"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prima rubrica della seconda sezione del pranzo specifica che, poiché la parte precedente si era aperta con la venuta di un dio, questa si sarebbe aperta sotto gli auspici di una dea, alla quale sarebbe seguita una successione di divinità maschili e femminili inversa rispetto a quella alternatasi fino a quel momento. Sopraggiunsero così per primi l’ambasciatrice di Vesta, Tatia, in una tunica bianca dalla cintura dorata e con un velo sulla testa, recante tra le mani un crivello dorato, con l’insegna di un vaso da cui usciva fuoco ardente, e il messaggero di Nettuno, Tritone, che con il volto tinto di verde, una corona di corallo e un corno vestiva un costume che imitava la coda di un pesce ed era preceduto da una navicella dorata trasportante un tridente antico su cui si avvolgeva un delfino. Entrò poi nella sala, per volere di Diana, la ninfa cacciatrice Licaste, con arco e frecce d’oro, insieme all’insegna della cerva argentata con le corna dorate. Marte mandò suo figlio Romolo, in armatura d’oro e d’argento, con una stella sulla fronte, con l’insegna di un grande elmo munito di corna di cervo su cui posava un uccello. Seguì poi la ninfa Aretusa, rappresentante di Cerere, con i capelli argentei e una corta veste argentata per imitare il corso delle acque, accompagnata dall’insegna della cornucopia colma di fiori. L’ingresso dell’ultimo figurante fu preceduto da un lavacro delle mani con acqua di rose, dopo di che un anziano, nei panni di Sileno, coronato di grappoli d’uva, giunse a recare gli auguri di Bacco e l’insegna del tirso dorato fiorito di edera e uva sorretto da un lupo. </w:t>
      </w:r>
    </w:p>
    <w:p w14:paraId="531DCE87"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Terminato il servizio di Sileno fece ingresso nella sala un figurante con una tunica dei sette colori dell’arcobaleno a mezza gamba ornata da monete d’oro e con un turbante tempestato di pietre false: questo personaggio era identificato, grazie ad un cartiglio posto sul suo costume, come l’Influsso di Fortuna. Costui, promessa la propria benevola presenza agli sposi nel corso del loro duraturo dominio, pose sulla tavola del tribunale maggiore un vassoio con i ritratti in pasta di zucchero dorata di Costanzo e di Camilla circondati da un serpente e da numerose monete, anch’esse di zucchero, che vennero distribuite ai commensali come buon auspicio. Una volta che </w:t>
      </w:r>
      <w:r>
        <w:rPr>
          <w:rFonts w:ascii="Times New Roman" w:hAnsi="Times New Roman" w:cs="Times New Roman"/>
          <w:sz w:val="24"/>
          <w:szCs w:val="24"/>
        </w:rPr>
        <w:lastRenderedPageBreak/>
        <w:t xml:space="preserve">il figurante fu uscito dalla sala, le squadre degli scalchi procedettero a togliere l’ultima tovaglia dalle tavole e a spazzare il pavimento con scope d’oro e d’argento. </w:t>
      </w:r>
    </w:p>
    <w:p w14:paraId="398901BC"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Si aprì dunque di nuovo il cielo e ne discese il Sole, dando appuntamento a tutti gli ospiti il giorno seguente per assistere alle meraviglie che l’apparizione di un monte avrebbe portato alla festosa comitiva.</w:t>
      </w:r>
    </w:p>
    <w:p w14:paraId="58146A54"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L’anonimo cronista chiude il suo resoconto sul banchetto specificando che durò sette ore e mezza, che fu servito con perfetto ordine dagli scalchi e che la prima parte fu allietata dalla degustazione di vini bianchi e rossi dolci mentre la seconda parte da quella di vini bianchi e rossi secchi. Inoltre, il vasellame e le stoviglie furono tutti di materiali preziosi, e tra un intervento recitato e l’altro si ascoltò la musica di pifferi e di flauti o dell’organo e si assistette all’esibizione di funamboli. </w:t>
      </w:r>
    </w:p>
    <w:p w14:paraId="223FFAF9"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Lunedì 29 maggio, come annunciato dal Sole, al termine del pranzo, fece ingresso nella sala grande una montagna semovente di legno, ricoperta di alberi, di erbe e popolata da caprioli, lepri e animali finti. Da una caverna di questa struttura uscì un uomo vestito da leone, che saltò sulle tavole degli invitati e fece diverse esibizioni ginniche, prima di essere inseguito da un uomo selvatico che tentò di catturarlo. Mentre i due figuranti erano intenti in questo scontro, dal monte uscirono altri due giovani, vestiti con eleganti casacche di seta, l’una verde e l’altra porpora, che si esibirono in una danza per poi rientrare insieme al leone e all’uomo selvaggio nell’edifizio scenografico mobile. Ne uscirono, però, presto guidando due squadre di giovani che, eseguita una moresca, offrirono agli sposi e agli invitati degli scrigni di zucchero colmi di gioielli anch’essi di zucchero. Dopo aver fatto ballare con loro alcune nobildonne, anche questi danzatori rientrarono nel monte che a questo punto indietreggiò per lasciare posto alla presentazione dei doni agli sposi.</w:t>
      </w:r>
    </w:p>
    <w:p w14:paraId="0B8BEFDD"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primo a omaggiare Costanzo e Camilla fu il duca di Urbino, che donò un fiasco all’antica e due confettiere, aprendo la serie dei regali presentati dagli ambasciatori. A destare maggiormente l’attenzione dei presenti fu però l’offerta della comunità degli ebrei pesaresi, che inscenò la visita della regina di Saba a Salomone con l’ingresso di un corteggio di fanciulli in vesti arabeggianti, i quali scortarono un finto elefante su cui sedeva la sovrana, a sua volta seguita da altri due elefanti che trasportavano fanciulle in vesti arabe. Giunta alla presenza dei </w:t>
      </w:r>
      <w:r w:rsidR="00950AD6">
        <w:rPr>
          <w:rFonts w:ascii="Times New Roman" w:hAnsi="Times New Roman" w:cs="Times New Roman"/>
          <w:sz w:val="24"/>
          <w:szCs w:val="24"/>
        </w:rPr>
        <w:t>s</w:t>
      </w:r>
      <w:r>
        <w:rPr>
          <w:rFonts w:ascii="Times New Roman" w:hAnsi="Times New Roman" w:cs="Times New Roman"/>
          <w:sz w:val="24"/>
          <w:szCs w:val="24"/>
        </w:rPr>
        <w:t xml:space="preserve">ignori di Pesaro la regina li salutò in ebraico e chiese a un anziano della sua corte di tradurre in volgare l’augurio, quindi donò loro un bacile e alla coppia un vaso d’argento. </w:t>
      </w:r>
    </w:p>
    <w:p w14:paraId="127D96C1"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Usciti dalla sala tutti i membri dell’ambasceria regale e terminate, tra musiche e danze, le presentazioni dei doni da parte degli altri ospiti, entrò nel salone una seconda montagna, munita di un ponte levatoio e di una torre, dalla quale si affacciò uno spiritello per annunciare che sarebbe presto giunto un vecchio venerabile, il quale aveva fatto tanta strada per venire a rallegrarsi e a </w:t>
      </w:r>
      <w:r>
        <w:rPr>
          <w:rFonts w:ascii="Times New Roman" w:hAnsi="Times New Roman" w:cs="Times New Roman"/>
          <w:sz w:val="24"/>
          <w:szCs w:val="24"/>
        </w:rPr>
        <w:lastRenderedPageBreak/>
        <w:t xml:space="preserve">congratularsi con gli sposi e per chiedere al principe alcune terre da lavorare. Calò dunque il ponte e avanzò il vecchio saggio Roboam che, dichiarando d’essere giunto da Betlemme a Pesaro spinto dalla fama del Signore della città, rivolse la sua richiesta a Costanzo. Ricevuta dallo sposo risposta positiva, Roboam invitò un gruppo di dodici giovani a uscire dal monte con le zappe e a danzare una moresca per festeggiare la generosa donazione. In questo intervento coreutico vennero dunque mimati i momenti del dissodamento del terreno, dell’aratura, della semina e della raccolta del grano. </w:t>
      </w:r>
    </w:p>
    <w:p w14:paraId="770D16B1"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Seguì, annunciato da uno spiritello, l’arrivo dei sette carri dei sette pianeti, che il cronista dichiara essere stati di foggia antica, muniti di troni su cui sedevano gli interpreti scelti per impersonare le divinità olimpiche. La Luna, Mercurio, Venere, il Sole, Marte, Giove e Saturno attraversarono così la sala, facendosi ammirare dagli ospiti e recitando agli sposi versi d’augurio. Dopo l’uscita di questi, e dopo un’altra serie di balli degli invitati, venne apparecchiata la colazione grande del lunedì, caratterizzata dall’offerta, al suono delle musiche dei flauti, di castelli e sofisticate sculture di zucchero da parte di centoventi giovani, abbigliati secondo la moda francese e con cappelli decorati da penne di fagiano. </w:t>
      </w:r>
    </w:p>
    <w:p w14:paraId="4C2C876D"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Dopo altre danze, aperte da Costanzo e da Camilla, un giovinetto di Fano pronunciò la saffica del poeta Antonio Costanzi in lode dello sposalizio. Terminata la recita, altri paggi introdussero piattelli colmi di dolci e fu fatto entrare nel salone un automa a forma di cammello «che pareva vivo e apriva la bocha e destendeva el collo e calcavase in terra como fanno li veri camelli».</w:t>
      </w:r>
      <w:r>
        <w:rPr>
          <w:rStyle w:val="Rimandonotaapidipagina"/>
          <w:rFonts w:ascii="Times New Roman" w:hAnsi="Times New Roman" w:cs="Times New Roman"/>
          <w:sz w:val="24"/>
          <w:szCs w:val="24"/>
        </w:rPr>
        <w:footnoteReference w:id="392"/>
      </w:r>
      <w:r>
        <w:rPr>
          <w:rFonts w:ascii="Times New Roman" w:hAnsi="Times New Roman" w:cs="Times New Roman"/>
          <w:sz w:val="24"/>
          <w:szCs w:val="24"/>
        </w:rPr>
        <w:t xml:space="preserve"> Dal suo dorso un ragazzo etiope lanciava da due ceste confetti ai presenti. Egualmente ammirabile fu l’offerta da parte di </w:t>
      </w:r>
      <w:bookmarkStart w:id="317" w:name="_Hlk535919246"/>
      <w:r>
        <w:rPr>
          <w:rFonts w:ascii="Times New Roman" w:hAnsi="Times New Roman" w:cs="Times New Roman"/>
          <w:sz w:val="24"/>
          <w:szCs w:val="24"/>
        </w:rPr>
        <w:t>Ludovico da Barteo</w:t>
      </w:r>
      <w:bookmarkEnd w:id="317"/>
      <w:r>
        <w:rPr>
          <w:rFonts w:ascii="Times New Roman" w:hAnsi="Times New Roman" w:cs="Times New Roman"/>
          <w:sz w:val="24"/>
          <w:szCs w:val="24"/>
        </w:rPr>
        <w:t xml:space="preserve">, cittadino di Pesaro, di una riproduzione magnifica in zucchero della Rocca Costanzia, all’epoca in costruzione. </w:t>
      </w:r>
    </w:p>
    <w:p w14:paraId="635435A4"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Fu poi annunciato allo sposo che, oltre la porta della sala, era in attesa la Poesia, che avrebbe gradito rendergli omaggio. Le fu consentito d’entrare ed ella avanzò in compagnia di Grammatica, Retorica e Astrologia che reggevano un vassoio su cui poggiava un monte Parnaso con Apollo e le Muse, tutto confezionato con zucchero. Dietro questo sopraggiungevano dieci poeti latini e dieci poeti greci, ciascuno con un libro fatto di zucchero nelle mani. Dopo il saluto della Poesia, spettò a costoro offrire in coppia i loro libri ai festeggiati, presentandoli con due versi in greco e due in latino.</w:t>
      </w:r>
    </w:p>
    <w:p w14:paraId="309AB4A3"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Lo spettacolo di una elaborata girandola di fuochi d’artificio chiuse la giornata di festa e a tutti gli invitati venne dato appuntamento al giorno successivo per assistere alla giostra.   </w:t>
      </w:r>
    </w:p>
    <w:p w14:paraId="3A10A5CF"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Le condizioni metereologiche sfavorevoli di martedì 30 maggio ritardarono però lo svolgimento della competizione tra i giostranti, poiché il vento e la pioggia rovinarono i tendaggi </w:t>
      </w:r>
      <w:r>
        <w:rPr>
          <w:rFonts w:ascii="Times New Roman" w:hAnsi="Times New Roman" w:cs="Times New Roman"/>
          <w:sz w:val="24"/>
          <w:szCs w:val="24"/>
        </w:rPr>
        <w:lastRenderedPageBreak/>
        <w:t>rossi, blu e bianchi, montati sulla piazza che avrebbe ospitato lo spettacolo. Per ingannare l’attesa del miglioramento del tempo venne così organizzato un gioco della gatta nel cortile del palazzo signorile. Sull’area destinata allo spettacolo erano state in precedenza montate le gradinate per gli spettatori, addossate lungo le pareti delle case affacciate sullo spiazzo, e un posto d’onore era stato riservato per gli sposi e per il duca d’Urbino. Furono eletti tavolieri della giostra Niccolò da B</w:t>
      </w:r>
      <w:r w:rsidR="0037420B">
        <w:rPr>
          <w:rFonts w:ascii="Times New Roman" w:hAnsi="Times New Roman" w:cs="Times New Roman"/>
          <w:sz w:val="24"/>
          <w:szCs w:val="24"/>
        </w:rPr>
        <w:t>a</w:t>
      </w:r>
      <w:r>
        <w:rPr>
          <w:rFonts w:ascii="Times New Roman" w:hAnsi="Times New Roman" w:cs="Times New Roman"/>
          <w:sz w:val="24"/>
          <w:szCs w:val="24"/>
        </w:rPr>
        <w:t>rignano e Almerico Almerici. L’inizio degli scontri fu preceduto dall’ingresso sul piazzale di un carro a base quadrata con tondi e riquadri su ogni lato con feste all’antica. Sui quattro angoli della base sedevano dei putti con gigli nelle mani e al centro trovava posto una struttura triangolare con tre arpie argentate e tre figuranti nei panni di Cesare, Alessandro Magno e Scipione, che facevano da piedistallo a una grossa sfera rappresentante la terra. Su quest’ultima posava la Fama, con le ali d’oro e una tromba</w:t>
      </w:r>
      <w:r w:rsidR="0037420B">
        <w:rPr>
          <w:rFonts w:ascii="Times New Roman" w:hAnsi="Times New Roman" w:cs="Times New Roman"/>
          <w:sz w:val="24"/>
          <w:szCs w:val="24"/>
        </w:rPr>
        <w:t>, la quale,</w:t>
      </w:r>
      <w:r>
        <w:rPr>
          <w:rFonts w:ascii="Times New Roman" w:hAnsi="Times New Roman" w:cs="Times New Roman"/>
          <w:sz w:val="24"/>
          <w:szCs w:val="24"/>
        </w:rPr>
        <w:t xml:space="preserve"> </w:t>
      </w:r>
      <w:r w:rsidR="0037420B">
        <w:rPr>
          <w:rFonts w:ascii="Times New Roman" w:hAnsi="Times New Roman" w:cs="Times New Roman"/>
          <w:sz w:val="24"/>
          <w:szCs w:val="24"/>
        </w:rPr>
        <w:t>g</w:t>
      </w:r>
      <w:r>
        <w:rPr>
          <w:rFonts w:ascii="Times New Roman" w:hAnsi="Times New Roman" w:cs="Times New Roman"/>
          <w:sz w:val="24"/>
          <w:szCs w:val="24"/>
        </w:rPr>
        <w:t>iunta nel centro dell’arena</w:t>
      </w:r>
      <w:r w:rsidR="0037420B">
        <w:rPr>
          <w:rFonts w:ascii="Times New Roman" w:hAnsi="Times New Roman" w:cs="Times New Roman"/>
          <w:sz w:val="24"/>
          <w:szCs w:val="24"/>
        </w:rPr>
        <w:t>,</w:t>
      </w:r>
      <w:r>
        <w:rPr>
          <w:rFonts w:ascii="Times New Roman" w:hAnsi="Times New Roman" w:cs="Times New Roman"/>
          <w:sz w:val="24"/>
          <w:szCs w:val="24"/>
        </w:rPr>
        <w:t xml:space="preserve"> annunciò che avrebbe concesso al vincitore l’onore di salire sul suo carro e, collocatasi in un canto della piazza, diede avvio alla giostra. Costanzo ebbe il primo onore nei combattimenti, che si chiusero pertanto con la sua ascesa sul carro e la dipartita in un corteo trionfale dei cavalieri. </w:t>
      </w:r>
    </w:p>
    <w:p w14:paraId="2BB5D2D0"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È questa l’ultima immagine che chiude la descrizione delle feste, alla quale seguono solo alcune note su come, nei giorni delle nozze, i cittadini eminenti di Pesaro ebbero il compito di accogliere nelle loro dimore gli invitati illustri convenuti per l’evento. Sulle porte dei loro palazzi furono appese ghirlande di fiori e verzura con le insegne delle casate di appartenenza degli ospiti, così che ciascuno sapesse dove avrebbe dovuto alloggiare. Il Signore di Pesaro provvide invece a dotare queste residenze di cibi raffinati e di candele di cera purissima, e a comandare che presso il proprio palazzo fosse sempre imbandita una mensa per i forestieri. </w:t>
      </w:r>
    </w:p>
    <w:p w14:paraId="79653C84" w14:textId="77777777" w:rsidR="0037420B"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 perenne ricordo dello sposalizio furono coniati 1400 ducati d’oro con il ritratto di Costanzo e con l’arme intrecciata degli Sforza e degli Aragona e l’iscrizione </w:t>
      </w:r>
      <w:r>
        <w:rPr>
          <w:rFonts w:ascii="Times New Roman" w:hAnsi="Times New Roman" w:cs="Times New Roman"/>
          <w:i/>
          <w:sz w:val="24"/>
          <w:szCs w:val="24"/>
        </w:rPr>
        <w:t>Laetitiae coniugali</w:t>
      </w:r>
      <w:r>
        <w:rPr>
          <w:rFonts w:ascii="Times New Roman" w:hAnsi="Times New Roman" w:cs="Times New Roman"/>
          <w:sz w:val="24"/>
          <w:szCs w:val="24"/>
        </w:rPr>
        <w:t>, subito distribuiti come premio ai musici, ai recitanti e agli artisti apparatori delle splendide feste.</w:t>
      </w:r>
      <w:r w:rsidR="0037420B" w:rsidRPr="0037420B">
        <w:rPr>
          <w:rStyle w:val="Rimandonotaapidipagina"/>
          <w:rFonts w:ascii="Times New Roman" w:hAnsi="Times New Roman" w:cs="Times New Roman"/>
          <w:sz w:val="24"/>
          <w:szCs w:val="24"/>
        </w:rPr>
        <w:t xml:space="preserve"> </w:t>
      </w:r>
      <w:r w:rsidR="0037420B">
        <w:rPr>
          <w:rStyle w:val="Rimandonotaapidipagina"/>
          <w:rFonts w:ascii="Times New Roman" w:hAnsi="Times New Roman" w:cs="Times New Roman"/>
          <w:sz w:val="24"/>
          <w:szCs w:val="24"/>
        </w:rPr>
        <w:footnoteReference w:id="393"/>
      </w:r>
      <w:r>
        <w:rPr>
          <w:rFonts w:ascii="Times New Roman" w:hAnsi="Times New Roman" w:cs="Times New Roman"/>
          <w:sz w:val="24"/>
          <w:szCs w:val="24"/>
        </w:rPr>
        <w:t xml:space="preserve"> </w:t>
      </w:r>
    </w:p>
    <w:p w14:paraId="3BCF94AE" w14:textId="45E86881"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Come si sarà compreso dal riassunto fornito, il resoconto edito da Liechtenstein dà una descrizione estremamente precisa di ciascuno dei momenti della festa, mettendo in risalto alcuni particolari che aiutano a comprendere la complessità organizzativa degli eventi dinastici e spettacolari rinascimentali. Lo scritto, che non fornisce notizie su chi abbia realizzato i carri e gli apparati per l’ingresso della sposa o su chi abbia composto i versi recitati dai figuranti dei banchetti, rivela invece come fosse stato Costanzo Sforza l’ideatore del programma e dei soggetti </w:t>
      </w:r>
      <w:r>
        <w:rPr>
          <w:rFonts w:ascii="Times New Roman" w:hAnsi="Times New Roman" w:cs="Times New Roman"/>
          <w:sz w:val="24"/>
          <w:szCs w:val="24"/>
        </w:rPr>
        <w:lastRenderedPageBreak/>
        <w:t>iconografici delle feste.</w:t>
      </w:r>
      <w:r>
        <w:rPr>
          <w:rStyle w:val="Rimandonotaapidipagina"/>
          <w:rFonts w:ascii="Times New Roman" w:hAnsi="Times New Roman" w:cs="Times New Roman"/>
          <w:sz w:val="24"/>
          <w:szCs w:val="24"/>
        </w:rPr>
        <w:footnoteReference w:id="394"/>
      </w:r>
      <w:r>
        <w:rPr>
          <w:rFonts w:ascii="Times New Roman" w:hAnsi="Times New Roman" w:cs="Times New Roman"/>
          <w:sz w:val="24"/>
          <w:szCs w:val="24"/>
        </w:rPr>
        <w:t xml:space="preserve"> </w:t>
      </w:r>
      <w:r w:rsidR="00302889">
        <w:rPr>
          <w:rFonts w:ascii="Times New Roman" w:hAnsi="Times New Roman" w:cs="Times New Roman"/>
          <w:sz w:val="24"/>
          <w:szCs w:val="24"/>
        </w:rPr>
        <w:t xml:space="preserve">Si ebbe </w:t>
      </w:r>
      <w:r>
        <w:rPr>
          <w:rFonts w:ascii="Times New Roman" w:hAnsi="Times New Roman" w:cs="Times New Roman"/>
          <w:sz w:val="24"/>
          <w:szCs w:val="24"/>
        </w:rPr>
        <w:t xml:space="preserve">dunque un caso di circolazione a stampa della notizia del coinvolgimento del principe nell’ideazione dei programmi iconografici dei festeggiamenti che lo riguardarono analogo alla situazione vista nel capitolo precedente per la </w:t>
      </w:r>
      <w:r>
        <w:rPr>
          <w:rFonts w:ascii="Times New Roman" w:hAnsi="Times New Roman" w:cs="Times New Roman"/>
          <w:i/>
          <w:sz w:val="24"/>
          <w:szCs w:val="24"/>
        </w:rPr>
        <w:t>Festa del Paradiso</w:t>
      </w:r>
      <w:r>
        <w:rPr>
          <w:rFonts w:ascii="Times New Roman" w:hAnsi="Times New Roman" w:cs="Times New Roman"/>
          <w:sz w:val="24"/>
          <w:szCs w:val="24"/>
        </w:rPr>
        <w:t xml:space="preserve"> di Ludovico il Moro nel 1490 e per la sfilata del Carnevale 149</w:t>
      </w:r>
      <w:r w:rsidR="00397601">
        <w:rPr>
          <w:rFonts w:ascii="Times New Roman" w:hAnsi="Times New Roman" w:cs="Times New Roman"/>
          <w:sz w:val="24"/>
          <w:szCs w:val="24"/>
        </w:rPr>
        <w:t>0</w:t>
      </w:r>
      <w:r>
        <w:rPr>
          <w:rFonts w:ascii="Times New Roman" w:hAnsi="Times New Roman" w:cs="Times New Roman"/>
          <w:sz w:val="24"/>
          <w:szCs w:val="24"/>
        </w:rPr>
        <w:t xml:space="preserve"> di Lorenzo de’ Medici.</w:t>
      </w:r>
    </w:p>
    <w:p w14:paraId="2587B373"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Nella cronaca emerge poi con chiarezza la preminenza di Federico da Montefeltro: è lui ad accompagnare lo sposo incontro a Camilla alle porte di Pesaro; a sedere alla loro tavola nel grande banchetto della domenica 28 maggio; a offrire per primo un prezioso omaggio alla coppia nella parata dei doni del 29 maggio. Oltre che alla stretta alleanza militare che legava il duca d’Urbino al Signore di Pesaro, di cui già si è accennato, tale preminenza era dovuta alla parentela tra i due, dal momento che Federico, nel febbraio del 1460, aveva sposato in seconde nozze la sorella di Costanzo, </w:t>
      </w:r>
      <w:bookmarkStart w:id="318" w:name="_Hlk535919376"/>
      <w:r>
        <w:rPr>
          <w:rFonts w:ascii="Times New Roman" w:hAnsi="Times New Roman" w:cs="Times New Roman"/>
          <w:sz w:val="24"/>
          <w:szCs w:val="24"/>
        </w:rPr>
        <w:t>Battista Sforza</w:t>
      </w:r>
      <w:bookmarkEnd w:id="318"/>
      <w:r>
        <w:rPr>
          <w:rFonts w:ascii="Times New Roman" w:hAnsi="Times New Roman" w:cs="Times New Roman"/>
          <w:sz w:val="24"/>
          <w:szCs w:val="24"/>
        </w:rPr>
        <w:t>, morta prematuramente il 7 luglio 1472.</w:t>
      </w:r>
      <w:r>
        <w:rPr>
          <w:rStyle w:val="Rimandonotaapidipagina"/>
          <w:rFonts w:ascii="Times New Roman" w:hAnsi="Times New Roman" w:cs="Times New Roman"/>
          <w:sz w:val="24"/>
          <w:szCs w:val="24"/>
        </w:rPr>
        <w:footnoteReference w:id="395"/>
      </w:r>
      <w:r>
        <w:rPr>
          <w:rFonts w:ascii="Times New Roman" w:hAnsi="Times New Roman" w:cs="Times New Roman"/>
          <w:sz w:val="24"/>
          <w:szCs w:val="24"/>
        </w:rPr>
        <w:t xml:space="preserve">  </w:t>
      </w:r>
    </w:p>
    <w:p w14:paraId="61FC0D41"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forte legame tra Pesaro e Urbino, oltre che dalla prossemica dei due principi nei vari momenti del cerimoniale, è documentato dalle vicende relative alla produzione del testimone più raffinato della cronaca, il citato manoscritto Urb. Lat. 899, destinato per l’appunto alla biblioteca del Montefeltro. A tal riguardo, va sottolineato come le miniature del codice, fedeli nell’illustrare gli avvenimenti a quanto riferito dal cronista sugli spettacoli, siano state più volte messe a paragone dagli storici dell’arte con un referente letterario e iconografico effettivamente ben noto alla corte urbinate: il </w:t>
      </w:r>
      <w:r>
        <w:rPr>
          <w:rFonts w:ascii="Times New Roman" w:hAnsi="Times New Roman" w:cs="Times New Roman"/>
          <w:i/>
          <w:sz w:val="24"/>
          <w:szCs w:val="24"/>
        </w:rPr>
        <w:t>Libellus de deorum gentilium imaginibus</w:t>
      </w:r>
      <w:r>
        <w:rPr>
          <w:rFonts w:ascii="Times New Roman" w:hAnsi="Times New Roman" w:cs="Times New Roman"/>
          <w:sz w:val="24"/>
          <w:szCs w:val="24"/>
        </w:rPr>
        <w:t xml:space="preserve"> di </w:t>
      </w:r>
      <w:bookmarkStart w:id="321" w:name="_Hlk535919423"/>
      <w:r>
        <w:rPr>
          <w:rFonts w:ascii="Times New Roman" w:hAnsi="Times New Roman" w:cs="Times New Roman"/>
          <w:sz w:val="24"/>
          <w:szCs w:val="24"/>
        </w:rPr>
        <w:t>Ludovico Lazzarelli</w:t>
      </w:r>
      <w:bookmarkEnd w:id="321"/>
      <w:r>
        <w:rPr>
          <w:rFonts w:ascii="Times New Roman" w:hAnsi="Times New Roman" w:cs="Times New Roman"/>
          <w:sz w:val="24"/>
          <w:szCs w:val="24"/>
        </w:rPr>
        <w:t>, dedicato a Federico da Montefeltro e presente in due codici nella biblioteca urbinate – il primo completato nel 1471 e il secondo, con una redazione successiva del testo, realizzato entro il 1474.</w:t>
      </w:r>
      <w:r>
        <w:rPr>
          <w:rStyle w:val="Rimandonotaapidipagina"/>
          <w:rFonts w:ascii="Times New Roman" w:hAnsi="Times New Roman" w:cs="Times New Roman"/>
          <w:sz w:val="24"/>
          <w:szCs w:val="24"/>
        </w:rPr>
        <w:footnoteReference w:id="396"/>
      </w:r>
      <w:r>
        <w:rPr>
          <w:rFonts w:ascii="Times New Roman" w:hAnsi="Times New Roman" w:cs="Times New Roman"/>
          <w:sz w:val="24"/>
          <w:szCs w:val="24"/>
        </w:rPr>
        <w:t xml:space="preserve"> Il programma iconografico di questi due manoscritti fu disegnato da Lazzarelli stesso, che si avvalse, per il secondo testimone, di un miniatore professionista per completare la decorazione.</w:t>
      </w:r>
      <w:r>
        <w:rPr>
          <w:rStyle w:val="Rimandonotaapidipagina"/>
          <w:rFonts w:ascii="Times New Roman" w:hAnsi="Times New Roman" w:cs="Times New Roman"/>
          <w:sz w:val="24"/>
          <w:szCs w:val="24"/>
        </w:rPr>
        <w:footnoteReference w:id="397"/>
      </w:r>
      <w:r>
        <w:rPr>
          <w:rFonts w:ascii="Times New Roman" w:hAnsi="Times New Roman" w:cs="Times New Roman"/>
          <w:sz w:val="24"/>
          <w:szCs w:val="24"/>
        </w:rPr>
        <w:t xml:space="preserve"> L’obiettivo dello scritto, ispirato dalla vista di diverse immagini degli antichi dèi modificate, storpiate e disperse tra le carte dei tarocchi – come i famosi </w:t>
      </w:r>
      <w:r>
        <w:rPr>
          <w:rFonts w:ascii="Times New Roman" w:hAnsi="Times New Roman" w:cs="Times New Roman"/>
          <w:i/>
          <w:sz w:val="24"/>
          <w:szCs w:val="24"/>
        </w:rPr>
        <w:t>Tarocchi del Mantegna</w:t>
      </w:r>
      <w:r>
        <w:rPr>
          <w:rFonts w:ascii="Times New Roman" w:hAnsi="Times New Roman" w:cs="Times New Roman"/>
          <w:sz w:val="24"/>
          <w:szCs w:val="24"/>
        </w:rPr>
        <w:t xml:space="preserve">, con i quali le miniature dei codici urbinati avrebbero diverse affinità iconografiche – fu quello di ricostruire in maniera </w:t>
      </w:r>
      <w:r>
        <w:rPr>
          <w:rFonts w:ascii="Times New Roman" w:hAnsi="Times New Roman" w:cs="Times New Roman"/>
          <w:sz w:val="24"/>
          <w:szCs w:val="24"/>
        </w:rPr>
        <w:lastRenderedPageBreak/>
        <w:t xml:space="preserve">quanto più filologica l’immagine delle divinità pagane così come tramandata dagli autori dell’antichità, strappandola dalle mani del volgo che l’aveva irrimediabilmente distorta: </w:t>
      </w:r>
    </w:p>
    <w:p w14:paraId="1D956596" w14:textId="77777777" w:rsidR="00A11721" w:rsidRDefault="00A11721" w:rsidP="00A11721">
      <w:pPr>
        <w:spacing w:after="0" w:line="360" w:lineRule="auto"/>
        <w:ind w:left="2268" w:right="-1"/>
        <w:jc w:val="both"/>
        <w:rPr>
          <w:rFonts w:ascii="Times New Roman" w:hAnsi="Times New Roman" w:cs="Times New Roman"/>
          <w:i/>
          <w:sz w:val="20"/>
          <w:szCs w:val="20"/>
        </w:rPr>
      </w:pPr>
    </w:p>
    <w:p w14:paraId="0766DF59" w14:textId="77777777" w:rsidR="00A11721" w:rsidRDefault="00A11721" w:rsidP="00A11721">
      <w:pPr>
        <w:spacing w:after="0" w:line="360" w:lineRule="auto"/>
        <w:ind w:left="2268" w:right="-1"/>
        <w:jc w:val="both"/>
        <w:rPr>
          <w:rFonts w:ascii="Times New Roman" w:hAnsi="Times New Roman" w:cs="Times New Roman"/>
          <w:i/>
          <w:sz w:val="20"/>
          <w:szCs w:val="20"/>
          <w:lang w:val="en-US"/>
        </w:rPr>
      </w:pPr>
      <w:r>
        <w:rPr>
          <w:rFonts w:ascii="Times New Roman" w:hAnsi="Times New Roman" w:cs="Times New Roman"/>
          <w:i/>
          <w:sz w:val="20"/>
          <w:szCs w:val="20"/>
          <w:lang w:val="en-US"/>
        </w:rPr>
        <w:t xml:space="preserve">Nunc quas vulgus inhers et nescia turba triumphos </w:t>
      </w:r>
    </w:p>
    <w:p w14:paraId="1093011F" w14:textId="77777777" w:rsidR="00A11721" w:rsidRDefault="00A11721" w:rsidP="00A11721">
      <w:pPr>
        <w:spacing w:after="0" w:line="360" w:lineRule="auto"/>
        <w:ind w:left="2268" w:right="-1"/>
        <w:jc w:val="both"/>
        <w:rPr>
          <w:rFonts w:ascii="Times New Roman" w:hAnsi="Times New Roman" w:cs="Times New Roman"/>
          <w:i/>
          <w:sz w:val="20"/>
          <w:szCs w:val="20"/>
        </w:rPr>
      </w:pPr>
      <w:r>
        <w:rPr>
          <w:rFonts w:ascii="Times New Roman" w:hAnsi="Times New Roman" w:cs="Times New Roman"/>
          <w:i/>
          <w:sz w:val="20"/>
          <w:szCs w:val="20"/>
        </w:rPr>
        <w:t>Appellat tactu comaculatque rudi</w:t>
      </w:r>
    </w:p>
    <w:p w14:paraId="729EC70B" w14:textId="77777777" w:rsidR="00A11721" w:rsidRDefault="00A11721" w:rsidP="00A11721">
      <w:pPr>
        <w:spacing w:after="0" w:line="360" w:lineRule="auto"/>
        <w:ind w:left="2268" w:right="-1"/>
        <w:jc w:val="both"/>
        <w:rPr>
          <w:rFonts w:ascii="Times New Roman" w:hAnsi="Times New Roman" w:cs="Times New Roman"/>
          <w:i/>
          <w:sz w:val="20"/>
          <w:szCs w:val="20"/>
        </w:rPr>
      </w:pPr>
      <w:r>
        <w:rPr>
          <w:rFonts w:ascii="Times New Roman" w:hAnsi="Times New Roman" w:cs="Times New Roman"/>
          <w:i/>
          <w:sz w:val="20"/>
          <w:szCs w:val="20"/>
        </w:rPr>
        <w:t xml:space="preserve">priscorum formam sequor et simulacra deorum: </w:t>
      </w:r>
    </w:p>
    <w:p w14:paraId="5046E775" w14:textId="77777777" w:rsidR="00A11721" w:rsidRDefault="00A11721" w:rsidP="00A11721">
      <w:pPr>
        <w:spacing w:after="0" w:line="360" w:lineRule="auto"/>
        <w:ind w:left="2268" w:right="-1"/>
        <w:jc w:val="both"/>
        <w:rPr>
          <w:rFonts w:ascii="Times New Roman" w:hAnsi="Times New Roman" w:cs="Times New Roman"/>
          <w:sz w:val="24"/>
          <w:szCs w:val="24"/>
        </w:rPr>
      </w:pPr>
      <w:r>
        <w:rPr>
          <w:rFonts w:ascii="Times New Roman" w:hAnsi="Times New Roman" w:cs="Times New Roman"/>
          <w:i/>
          <w:sz w:val="20"/>
          <w:szCs w:val="20"/>
        </w:rPr>
        <w:t>pictores tabulis nunc ego signo sonis</w:t>
      </w:r>
      <w:r>
        <w:rPr>
          <w:rFonts w:ascii="Times New Roman" w:hAnsi="Times New Roman" w:cs="Times New Roman"/>
          <w:sz w:val="24"/>
          <w:szCs w:val="24"/>
        </w:rPr>
        <w:t>.</w:t>
      </w:r>
      <w:r>
        <w:rPr>
          <w:rStyle w:val="Rimandonotaapidipagina"/>
          <w:rFonts w:ascii="Times New Roman" w:hAnsi="Times New Roman" w:cs="Times New Roman"/>
          <w:sz w:val="20"/>
          <w:szCs w:val="20"/>
        </w:rPr>
        <w:footnoteReference w:id="398"/>
      </w:r>
      <w:r>
        <w:rPr>
          <w:rFonts w:ascii="Times New Roman" w:hAnsi="Times New Roman" w:cs="Times New Roman"/>
          <w:sz w:val="20"/>
          <w:szCs w:val="20"/>
        </w:rPr>
        <w:t xml:space="preserve"> </w:t>
      </w:r>
    </w:p>
    <w:p w14:paraId="4B2A5416" w14:textId="77777777" w:rsidR="00A11721" w:rsidRDefault="00A11721" w:rsidP="00A11721">
      <w:pPr>
        <w:spacing w:after="0" w:line="360" w:lineRule="auto"/>
        <w:ind w:right="-1"/>
        <w:jc w:val="both"/>
        <w:rPr>
          <w:rFonts w:ascii="Times New Roman" w:hAnsi="Times New Roman" w:cs="Times New Roman"/>
          <w:i/>
          <w:sz w:val="24"/>
          <w:szCs w:val="24"/>
        </w:rPr>
      </w:pPr>
    </w:p>
    <w:p w14:paraId="31E8AF01"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 due codici della biblioteca urbinate che trasmettono questo sussidio visivo e testuale, prezioso per quanti volessero dare forma a un Olimpo pagano, mostrano effettivamente delle analogie con quanto il codice Urb. Lat. 899 ha trasmesso in parole e immagini riguardo alla festa pesarese, probabilmente per il fatto che tutti i manoscritti hanno per modello le citate xilografie disegnate da Mantegna.</w:t>
      </w:r>
      <w:r>
        <w:rPr>
          <w:rStyle w:val="Rimandonotaapidipagina"/>
          <w:rFonts w:ascii="Times New Roman" w:hAnsi="Times New Roman" w:cs="Times New Roman"/>
          <w:sz w:val="24"/>
          <w:szCs w:val="24"/>
        </w:rPr>
        <w:footnoteReference w:id="399"/>
      </w:r>
      <w:r>
        <w:rPr>
          <w:rFonts w:ascii="Times New Roman" w:hAnsi="Times New Roman" w:cs="Times New Roman"/>
          <w:sz w:val="24"/>
          <w:szCs w:val="24"/>
        </w:rPr>
        <w:t xml:space="preserve"> Credo però che più stringenti similarità si possano trovare tra le immagini miniate delle nozze di Costanzo Sforza e la serie delle xilografie dei “Pianeti Finiguerra” realizzate dal fiorentino </w:t>
      </w:r>
      <w:bookmarkStart w:id="325" w:name="_Hlk535919694"/>
      <w:r>
        <w:rPr>
          <w:rFonts w:ascii="Times New Roman" w:hAnsi="Times New Roman" w:cs="Times New Roman"/>
          <w:sz w:val="24"/>
          <w:szCs w:val="24"/>
        </w:rPr>
        <w:t xml:space="preserve">Baccio Baldini </w:t>
      </w:r>
      <w:bookmarkEnd w:id="325"/>
      <w:r>
        <w:rPr>
          <w:rFonts w:ascii="Times New Roman" w:hAnsi="Times New Roman" w:cs="Times New Roman"/>
          <w:sz w:val="24"/>
          <w:szCs w:val="24"/>
        </w:rPr>
        <w:t>intorno al 1464.</w:t>
      </w:r>
      <w:r>
        <w:rPr>
          <w:rStyle w:val="Rimandonotaapidipagina"/>
          <w:rFonts w:ascii="Times New Roman" w:hAnsi="Times New Roman" w:cs="Times New Roman"/>
          <w:sz w:val="24"/>
          <w:szCs w:val="24"/>
        </w:rPr>
        <w:footnoteReference w:id="400"/>
      </w:r>
      <w:r>
        <w:rPr>
          <w:rFonts w:ascii="Times New Roman" w:hAnsi="Times New Roman" w:cs="Times New Roman"/>
          <w:sz w:val="24"/>
          <w:szCs w:val="24"/>
        </w:rPr>
        <w:t xml:space="preserve"> Queste ultime raffigurano Saturno, Giove, Marte, il Sole, Venere, Mercurio e la Luna, nell’atto di attraversare il cielo su carri trainati dagli animali che la tradizione classica aveva loro attribuito, mentre nei registri medio ed inferiore delle carte si vedono gli effetti degli influssi esercitati sui figli dei pianeti e le didascalie che spiegano il potere delle divinità raffigurate. Le dottrine astrologiche medievali assegnavano a ogni pianeta una casa, con riferimento ai segni zodiacali nei quali questi risiedono abitualmente e sui quali esercitano una particolare influenza. Così nelle incisioni di Baldini, ad eccezione del Sole e della Luna che possiedono una sola casa, le raffigurazioni degli altri pianeti mostrano sulle ruote dei carri i relativi due segni zodiacali, proprio come accade nelle miniature dell’Urb. Lat. 899 dedicate alla colazione di lunedì. </w:t>
      </w:r>
    </w:p>
    <w:p w14:paraId="468E7921"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 xml:space="preserve">A fronte di queste analogie bisogna però prestare attenzione a quanto il cronista dello sposalizio pesarese scrisse riguardo alla struttura dei carri delle divinità: </w:t>
      </w:r>
    </w:p>
    <w:p w14:paraId="62C9B091" w14:textId="77777777" w:rsidR="00A11721" w:rsidRDefault="00A11721" w:rsidP="00A11721">
      <w:pPr>
        <w:spacing w:after="0" w:line="360" w:lineRule="auto"/>
        <w:ind w:right="-1"/>
        <w:jc w:val="both"/>
        <w:rPr>
          <w:rFonts w:ascii="Times New Roman" w:hAnsi="Times New Roman" w:cs="Times New Roman"/>
          <w:sz w:val="24"/>
          <w:szCs w:val="24"/>
        </w:rPr>
      </w:pPr>
    </w:p>
    <w:p w14:paraId="6E8792C0" w14:textId="77777777" w:rsidR="00A11721" w:rsidRDefault="00A11721" w:rsidP="00A11721">
      <w:pPr>
        <w:spacing w:after="0" w:line="360" w:lineRule="auto"/>
        <w:ind w:left="567" w:right="567" w:firstLine="397"/>
        <w:jc w:val="both"/>
        <w:rPr>
          <w:rFonts w:ascii="Times New Roman" w:hAnsi="Times New Roman" w:cs="Times New Roman"/>
          <w:sz w:val="24"/>
          <w:szCs w:val="24"/>
        </w:rPr>
      </w:pPr>
      <w:r>
        <w:rPr>
          <w:rFonts w:ascii="Times New Roman" w:hAnsi="Times New Roman" w:cs="Times New Roman"/>
          <w:sz w:val="20"/>
          <w:szCs w:val="20"/>
        </w:rPr>
        <w:t>Danzatosi tuta via in salla vene un’altra livrea de septe pianeti, li quali veneron sopra septe carrette quadre all’anticha, qualle erano menate de rote, ne se vedeva da chi o in che modo, ben ornate d’oro, argento e di colori, e in mezo de ciascuno di questi carri era una sedia all’anticha pur quadra, e sopra ciascuna d’essi era un giovene vestito ornatissimamente in quel habito che ciaschun pianeto o da poeti o da astrologi se depinge cum sue insegne</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401"/>
      </w:r>
      <w:r>
        <w:rPr>
          <w:rFonts w:ascii="Times New Roman" w:hAnsi="Times New Roman" w:cs="Times New Roman"/>
          <w:sz w:val="24"/>
          <w:szCs w:val="24"/>
        </w:rPr>
        <w:t xml:space="preserve">   </w:t>
      </w:r>
    </w:p>
    <w:p w14:paraId="6215B50D" w14:textId="77777777" w:rsidR="00A11721" w:rsidRDefault="00A11721" w:rsidP="00A11721">
      <w:pPr>
        <w:spacing w:after="0" w:line="360" w:lineRule="auto"/>
        <w:ind w:left="567" w:right="566"/>
        <w:jc w:val="both"/>
        <w:rPr>
          <w:rFonts w:ascii="Times New Roman" w:hAnsi="Times New Roman" w:cs="Times New Roman"/>
          <w:sz w:val="24"/>
          <w:szCs w:val="24"/>
        </w:rPr>
      </w:pPr>
    </w:p>
    <w:p w14:paraId="75CFA3BD"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Nessuna indicazione viene data sulla presenza dei segni delle case nelle ruote dei trionfi. Si può ipotizzare, allora, che l’intenzione documentale di chi ha dipinto le miniature dell’Urb. Lat. 899 fosse scesa a patti con i modelli iconografici forniti da artisti, come Baldini, che già avevano risolto il problema dell’aspetto dei carri degli dèi affidandosi a quanto «da poeti o da astrologi se depinge». Il poeta Lazzarelli, ad esempio, aveva dato precise indicazioni a proposito dei segni delle ruote dei carri e altre se ne potevano reperire, sull’aspetto degli dèi, degli eroi e delle arti liberali, nel </w:t>
      </w:r>
      <w:r>
        <w:rPr>
          <w:rFonts w:ascii="Times New Roman" w:hAnsi="Times New Roman" w:cs="Times New Roman"/>
          <w:i/>
          <w:sz w:val="24"/>
          <w:szCs w:val="24"/>
        </w:rPr>
        <w:t>De Nuptiis Mercurii et Philologiae</w:t>
      </w:r>
      <w:r>
        <w:rPr>
          <w:rFonts w:ascii="Times New Roman" w:hAnsi="Times New Roman" w:cs="Times New Roman"/>
          <w:sz w:val="24"/>
          <w:szCs w:val="24"/>
        </w:rPr>
        <w:t xml:space="preserve"> di </w:t>
      </w:r>
      <w:bookmarkStart w:id="327" w:name="_Hlk535919761"/>
      <w:r>
        <w:rPr>
          <w:rFonts w:ascii="Times New Roman" w:hAnsi="Times New Roman" w:cs="Times New Roman"/>
          <w:sz w:val="24"/>
          <w:szCs w:val="24"/>
        </w:rPr>
        <w:t>Marziano Capella</w:t>
      </w:r>
      <w:bookmarkEnd w:id="327"/>
      <w:r>
        <w:rPr>
          <w:rFonts w:ascii="Times New Roman" w:hAnsi="Times New Roman" w:cs="Times New Roman"/>
          <w:sz w:val="24"/>
          <w:szCs w:val="24"/>
        </w:rPr>
        <w:t>, prosimetro alquanto diffuso nel secolo XV e anch’esso presente nella biblioteca del duca d’Urbino.</w:t>
      </w:r>
      <w:r>
        <w:rPr>
          <w:rStyle w:val="Rimandonotaapidipagina"/>
          <w:rFonts w:ascii="Times New Roman" w:hAnsi="Times New Roman" w:cs="Times New Roman"/>
          <w:sz w:val="24"/>
          <w:szCs w:val="24"/>
        </w:rPr>
        <w:footnoteReference w:id="402"/>
      </w:r>
    </w:p>
    <w:p w14:paraId="39C978B4"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Egualmente, come detto, la cronaca del banchetto pesarese informa di come il sarto che cucì l’abito di Erato si fosse preoccupato di applicarvi un cartiglio con l’esametro dedicato alla musa da Guarino Veronese e inviato a L</w:t>
      </w:r>
      <w:r w:rsidR="00822AFD">
        <w:rPr>
          <w:rFonts w:ascii="Times New Roman" w:hAnsi="Times New Roman" w:cs="Times New Roman"/>
          <w:sz w:val="24"/>
          <w:szCs w:val="24"/>
        </w:rPr>
        <w:t>e</w:t>
      </w:r>
      <w:r>
        <w:rPr>
          <w:rFonts w:ascii="Times New Roman" w:hAnsi="Times New Roman" w:cs="Times New Roman"/>
          <w:sz w:val="24"/>
          <w:szCs w:val="24"/>
        </w:rPr>
        <w:t>onello d’Este insieme a gli altri versi e alle indicazioni iconografiche per distinguere le figlie di Apollo. Il cartiglio non è stato miniato dall’illustratore dell’Urb. Lat. 899, che anche in tal caso diverge dalla descrizione, ma la sua citazione nel testo restituisce un’idea del composito universo di referenze letterarie al quale si rivolgevano tanto gli apparatori delle feste, quanto i loro cronisti e illustratori in vista di un recupero archeologico dell’aspetto originario delle divinità olimpiche: il loro reintegro sarebbe stato forse latore della originaria potenza di significazione dell’immagine del dio così come descritta dagli autori antichi e tramandata attraverso i secoli.</w:t>
      </w:r>
      <w:r>
        <w:rPr>
          <w:rStyle w:val="Rimandonotaapidipagina"/>
          <w:rFonts w:ascii="Times New Roman" w:hAnsi="Times New Roman" w:cs="Times New Roman"/>
          <w:sz w:val="24"/>
          <w:szCs w:val="24"/>
        </w:rPr>
        <w:footnoteReference w:id="403"/>
      </w:r>
      <w:r>
        <w:rPr>
          <w:rFonts w:ascii="Times New Roman" w:hAnsi="Times New Roman" w:cs="Times New Roman"/>
          <w:sz w:val="24"/>
          <w:szCs w:val="24"/>
        </w:rPr>
        <w:t xml:space="preserve"> </w:t>
      </w:r>
    </w:p>
    <w:p w14:paraId="012872BA"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complessità interpretativa di queste immagini, siano esse quelle viventi delle feste rinascimentali o quelle dipinte dagli artisti che assistettero o ebbero notizia degli spettacoli, invita a domandarsi quali spettatori dell’epoca, oltre ai diretti apparatori delle mascherate mitologiche, </w:t>
      </w:r>
      <w:r>
        <w:rPr>
          <w:rFonts w:ascii="Times New Roman" w:hAnsi="Times New Roman" w:cs="Times New Roman"/>
          <w:sz w:val="24"/>
          <w:szCs w:val="24"/>
        </w:rPr>
        <w:lastRenderedPageBreak/>
        <w:t>potessero effettivamente coglierne il significato e la rete di referenze letterarie ad esse sottesa. Si trattò presumibilmente di un linguaggio comprensibile solo a iniziati, appartenenti al medesimo ristretto ambiente culturale, nei confronti del quale le ipotesi di lettura vanno avanzate con cautela.</w:t>
      </w:r>
      <w:r>
        <w:rPr>
          <w:rStyle w:val="Rimandonotaapidipagina"/>
          <w:rFonts w:ascii="Times New Roman" w:hAnsi="Times New Roman" w:cs="Times New Roman"/>
          <w:sz w:val="24"/>
          <w:szCs w:val="24"/>
        </w:rPr>
        <w:footnoteReference w:id="404"/>
      </w:r>
      <w:r>
        <w:rPr>
          <w:rFonts w:ascii="Times New Roman" w:hAnsi="Times New Roman" w:cs="Times New Roman"/>
          <w:sz w:val="24"/>
          <w:szCs w:val="24"/>
        </w:rPr>
        <w:t xml:space="preserve"> </w:t>
      </w:r>
    </w:p>
    <w:p w14:paraId="07C5FB2D"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Con analoga discrezione va considerata l’ipotesi di Maria Grazia Ciardi Dupré Dal Poggetto, la quale vorrebbe </w:t>
      </w:r>
      <w:bookmarkStart w:id="332" w:name="_Hlk535919843"/>
      <w:r>
        <w:rPr>
          <w:rFonts w:ascii="Times New Roman" w:hAnsi="Times New Roman" w:cs="Times New Roman"/>
          <w:sz w:val="24"/>
          <w:szCs w:val="24"/>
        </w:rPr>
        <w:t xml:space="preserve">Giovanni Santi </w:t>
      </w:r>
      <w:bookmarkEnd w:id="332"/>
      <w:r>
        <w:rPr>
          <w:rFonts w:ascii="Times New Roman" w:hAnsi="Times New Roman" w:cs="Times New Roman"/>
          <w:sz w:val="24"/>
          <w:szCs w:val="24"/>
        </w:rPr>
        <w:t xml:space="preserve">tanto autore delle miniature del codice Urb. Lat. 899 quanto apparatore delle feste in onore di Costanzo Sforza e Camilla d’Aragona. L’attribuzione delle illustrazioni del manoscritto è avanzata dalla studiosa sulla base di affinità stilistiche: l’analogia nella trattazione dell’anatomia dei fanciulli della fontana del foglio 11r (fig. 43) e quella del Gesù Bambino della </w:t>
      </w:r>
      <w:r>
        <w:rPr>
          <w:rFonts w:ascii="Times New Roman" w:hAnsi="Times New Roman" w:cs="Times New Roman"/>
          <w:i/>
          <w:sz w:val="24"/>
          <w:szCs w:val="24"/>
        </w:rPr>
        <w:t>Sacra conversazione</w:t>
      </w:r>
      <w:r>
        <w:rPr>
          <w:rFonts w:ascii="Times New Roman" w:hAnsi="Times New Roman" w:cs="Times New Roman"/>
          <w:sz w:val="24"/>
          <w:szCs w:val="24"/>
        </w:rPr>
        <w:t xml:space="preserve"> - detta Pala Buffi - oggi alla Galleria Nazionale delle Marche (fig. 44), oppure la similarità tra il paesaggio roccioso della </w:t>
      </w:r>
      <w:r>
        <w:rPr>
          <w:rFonts w:ascii="Times New Roman" w:hAnsi="Times New Roman" w:cs="Times New Roman"/>
          <w:i/>
          <w:sz w:val="24"/>
          <w:szCs w:val="24"/>
        </w:rPr>
        <w:t>Santa martire</w:t>
      </w:r>
      <w:r>
        <w:rPr>
          <w:rFonts w:ascii="Times New Roman" w:hAnsi="Times New Roman" w:cs="Times New Roman"/>
          <w:sz w:val="24"/>
          <w:szCs w:val="24"/>
        </w:rPr>
        <w:t xml:space="preserve"> della medesima Galleria e quello petroso del monte degli Ebrei del foglio 84v. </w:t>
      </w:r>
    </w:p>
    <w:p w14:paraId="5141AA44"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Le argomentazioni della Ciardi Dupré Dal Poggetto prendono inoltre in considerazione la pratica del Santi della scena spettacolare rinascimentale.</w:t>
      </w:r>
      <w:r>
        <w:rPr>
          <w:rStyle w:val="Rimandonotaapidipagina"/>
          <w:rFonts w:ascii="Times New Roman" w:hAnsi="Times New Roman" w:cs="Times New Roman"/>
          <w:sz w:val="24"/>
          <w:szCs w:val="24"/>
        </w:rPr>
        <w:footnoteReference w:id="405"/>
      </w:r>
      <w:r>
        <w:rPr>
          <w:rFonts w:ascii="Times New Roman" w:hAnsi="Times New Roman" w:cs="Times New Roman"/>
          <w:sz w:val="24"/>
          <w:szCs w:val="24"/>
        </w:rPr>
        <w:t xml:space="preserve"> È noto, effetti</w:t>
      </w:r>
      <w:r w:rsidR="0065227E">
        <w:rPr>
          <w:rFonts w:ascii="Times New Roman" w:hAnsi="Times New Roman" w:cs="Times New Roman"/>
          <w:sz w:val="24"/>
          <w:szCs w:val="24"/>
        </w:rPr>
        <w:t>vamente</w:t>
      </w:r>
      <w:r>
        <w:rPr>
          <w:rFonts w:ascii="Times New Roman" w:hAnsi="Times New Roman" w:cs="Times New Roman"/>
          <w:sz w:val="24"/>
          <w:szCs w:val="24"/>
        </w:rPr>
        <w:t xml:space="preserve">, come l’artista nel 1474, in occasione della visita di Federico d’Aragona alla corte urbinate, avesse progettato una rappresentazione allegorica intitolata </w:t>
      </w:r>
      <w:r>
        <w:rPr>
          <w:rFonts w:ascii="Times New Roman" w:hAnsi="Times New Roman" w:cs="Times New Roman"/>
          <w:i/>
          <w:sz w:val="24"/>
          <w:szCs w:val="24"/>
        </w:rPr>
        <w:t>Amore al tribunale della Pudicizia</w:t>
      </w:r>
      <w:r>
        <w:rPr>
          <w:rFonts w:ascii="Times New Roman" w:hAnsi="Times New Roman" w:cs="Times New Roman"/>
          <w:sz w:val="24"/>
          <w:szCs w:val="24"/>
        </w:rPr>
        <w:t>, trasmessa da un manoscritto della Biblioteca Nazionale di Firenze anonimo e anepigrafo, ma attribuito da Alfredo Saviotti per via filologia al padre di Raffaello;</w:t>
      </w:r>
      <w:r>
        <w:rPr>
          <w:rStyle w:val="Rimandonotaapidipagina"/>
          <w:rFonts w:ascii="Times New Roman" w:hAnsi="Times New Roman" w:cs="Times New Roman"/>
          <w:sz w:val="24"/>
          <w:szCs w:val="24"/>
        </w:rPr>
        <w:footnoteReference w:id="406"/>
      </w:r>
      <w:r>
        <w:rPr>
          <w:rFonts w:ascii="Times New Roman" w:hAnsi="Times New Roman" w:cs="Times New Roman"/>
          <w:sz w:val="24"/>
          <w:szCs w:val="24"/>
        </w:rPr>
        <w:t xml:space="preserve"> mentre una lettera di Benedetto Capilupi a Maddalena Gonzaga del 16 febbraio 1488 informa dell’intervento del Santi quale scenografo per </w:t>
      </w:r>
      <w:r>
        <w:rPr>
          <w:rFonts w:ascii="Times New Roman" w:hAnsi="Times New Roman" w:cs="Times New Roman"/>
          <w:sz w:val="24"/>
          <w:szCs w:val="24"/>
        </w:rPr>
        <w:lastRenderedPageBreak/>
        <w:t>un contrasto tra Diana e Giunone allestito, sempre a Urbino, per le nozze di Guidubaldo da Montefeltro con Elisabetta Gonzaga.</w:t>
      </w:r>
      <w:r>
        <w:rPr>
          <w:rStyle w:val="Rimandonotaapidipagina"/>
          <w:rFonts w:ascii="Times New Roman" w:hAnsi="Times New Roman" w:cs="Times New Roman"/>
          <w:sz w:val="24"/>
          <w:szCs w:val="24"/>
        </w:rPr>
        <w:footnoteReference w:id="407"/>
      </w:r>
      <w:r>
        <w:rPr>
          <w:rFonts w:ascii="Times New Roman" w:hAnsi="Times New Roman" w:cs="Times New Roman"/>
          <w:sz w:val="24"/>
          <w:szCs w:val="24"/>
        </w:rPr>
        <w:t xml:space="preserve"> </w:t>
      </w:r>
    </w:p>
    <w:p w14:paraId="5F2DCB87"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L’assegnazione a Santi dell’ideazione delle feste del 1475 e delle miniature considerate amplierebbe il suo catalogo di apparatore di spettacoli; risolverebbe il problema dell’assenza di documentazione sulla sua attività </w:t>
      </w:r>
      <w:r w:rsidR="001F5032">
        <w:rPr>
          <w:rFonts w:ascii="Times New Roman" w:hAnsi="Times New Roman" w:cs="Times New Roman"/>
          <w:sz w:val="24"/>
          <w:szCs w:val="24"/>
        </w:rPr>
        <w:t xml:space="preserve">anteriore </w:t>
      </w:r>
      <w:r>
        <w:rPr>
          <w:rFonts w:ascii="Times New Roman" w:hAnsi="Times New Roman" w:cs="Times New Roman"/>
          <w:sz w:val="24"/>
          <w:szCs w:val="24"/>
        </w:rPr>
        <w:t xml:space="preserve">al 1481 – anno del suo primo dipinto databile con sicurezza: il </w:t>
      </w:r>
      <w:r>
        <w:rPr>
          <w:rFonts w:ascii="Times New Roman" w:hAnsi="Times New Roman" w:cs="Times New Roman"/>
          <w:i/>
          <w:sz w:val="24"/>
          <w:szCs w:val="24"/>
        </w:rPr>
        <w:t>Cristo a mezzobusto in Pietà tra i santi Gerolamo e Bonaventura</w:t>
      </w:r>
      <w:r>
        <w:rPr>
          <w:rFonts w:ascii="Times New Roman" w:hAnsi="Times New Roman" w:cs="Times New Roman"/>
          <w:sz w:val="24"/>
          <w:szCs w:val="24"/>
        </w:rPr>
        <w:t xml:space="preserve"> della cappella Tiranni nella chiesa di San Domenico di Cagli –; e si collocherebbe perfettamente nel quadro di una produzione pittorica riconosciuta da larga parte della critica come fortemente influenzata dalla coeva sperimentazione teatrale.</w:t>
      </w:r>
      <w:r>
        <w:rPr>
          <w:rStyle w:val="Rimandonotaapidipagina"/>
          <w:rFonts w:ascii="Times New Roman" w:hAnsi="Times New Roman" w:cs="Times New Roman"/>
          <w:sz w:val="24"/>
          <w:szCs w:val="24"/>
        </w:rPr>
        <w:footnoteReference w:id="408"/>
      </w:r>
      <w:r>
        <w:rPr>
          <w:rFonts w:ascii="Times New Roman" w:hAnsi="Times New Roman" w:cs="Times New Roman"/>
          <w:sz w:val="24"/>
          <w:szCs w:val="24"/>
        </w:rPr>
        <w:t xml:space="preserve"> Essa consoliderebbe inoltre la rete dei rapporti tra il Signore di Pesaro e la corte di Urbino – alla quale il Santi legò la parte più consistente della sua carriera – ma non è purtroppo suffragata da alcuna prova documentaria. E sebbene le analogie stilistiche fra le miniature del codice urbinate e la contemporanea pittura dell’artista messe in risalto da Ciardi Dupré Dal Poggetto risultino convincenti, è pur vero che le medesime illustrazioni sono state attribuite anche a maestranze ferraresi, le stesse che Federico predilesse negli anni del suo ducato – e forse meglio identificabili con la mano di Franco dei Russi.</w:t>
      </w:r>
      <w:r>
        <w:rPr>
          <w:rStyle w:val="Rimandonotaapidipagina"/>
          <w:rFonts w:ascii="Times New Roman" w:hAnsi="Times New Roman" w:cs="Times New Roman"/>
          <w:sz w:val="24"/>
          <w:szCs w:val="24"/>
        </w:rPr>
        <w:footnoteReference w:id="409"/>
      </w:r>
      <w:r>
        <w:rPr>
          <w:rFonts w:ascii="Times New Roman" w:hAnsi="Times New Roman" w:cs="Times New Roman"/>
          <w:sz w:val="24"/>
          <w:szCs w:val="24"/>
        </w:rPr>
        <w:t xml:space="preserve"> </w:t>
      </w:r>
    </w:p>
    <w:p w14:paraId="7AE5F3E0"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partecipazione di Giovanni Santi all’organizzazione delle feste per lo sposalizio di Costanzo Sforza resta relegata dunque all’ambito delle ipotesi; mentre il proposito emulativo di Pesaro nei confronti della cultura figurativa della vicina Urbino mi sembra emergere con maggiore chiarezza. </w:t>
      </w:r>
    </w:p>
    <w:p w14:paraId="62C9BF8D"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L’ambizione, nella primavera del 1474, aveva spinto Costanzo ad avviare un’importante operazione di riqualificazione urbana di Pesaro che, ispirata ai monumentali cantieri urbinati intrapresi da Federico da Montefeltro, si concentrò sull’edificazione della Rocca Costanza, un fortilizio collocato nell’angolo orientale delle mura malatestiane – ideato per funzioni difensive del porto cittadino ma dotato di ambienti di rappresentanza – terminato nel 1483.</w:t>
      </w:r>
      <w:r>
        <w:rPr>
          <w:rStyle w:val="Rimandonotaapidipagina"/>
          <w:rFonts w:ascii="Times New Roman" w:hAnsi="Times New Roman" w:cs="Times New Roman"/>
          <w:sz w:val="24"/>
          <w:szCs w:val="24"/>
        </w:rPr>
        <w:footnoteReference w:id="410"/>
      </w:r>
      <w:r>
        <w:rPr>
          <w:rFonts w:ascii="Times New Roman" w:hAnsi="Times New Roman" w:cs="Times New Roman"/>
          <w:sz w:val="24"/>
          <w:szCs w:val="24"/>
        </w:rPr>
        <w:t xml:space="preserve"> Come si ricorderà, un modello in zucchero di questo edificio, che all’epoca caratterizzava già con la sua imponente mole l’urbanistica pesarese, </w:t>
      </w:r>
      <w:r w:rsidR="00117BD3">
        <w:rPr>
          <w:rFonts w:ascii="Times New Roman" w:hAnsi="Times New Roman" w:cs="Times New Roman"/>
          <w:sz w:val="24"/>
          <w:szCs w:val="24"/>
        </w:rPr>
        <w:t xml:space="preserve">fu </w:t>
      </w:r>
      <w:r>
        <w:rPr>
          <w:rFonts w:ascii="Times New Roman" w:hAnsi="Times New Roman" w:cs="Times New Roman"/>
          <w:sz w:val="24"/>
          <w:szCs w:val="24"/>
        </w:rPr>
        <w:t xml:space="preserve">presentato al termine della colazione del lunedì da </w:t>
      </w:r>
      <w:r>
        <w:rPr>
          <w:rFonts w:ascii="Times New Roman" w:hAnsi="Times New Roman" w:cs="Times New Roman"/>
          <w:sz w:val="24"/>
          <w:szCs w:val="24"/>
        </w:rPr>
        <w:lastRenderedPageBreak/>
        <w:t xml:space="preserve">Ludovico da Barteo, e giungendo al palazzo gentilizio di Costanzo – oggi Palazzo Ducale –, gli invitati del matrimonio ne poterono ammirare la facciata restaurata e le cinque finestre visibilmente ispirate a quelle disegnate per il palazzo ducale di Urbino da Luciano Laurana tra il 1467 e il 1472, sormontate da cinque scudi con l’arme degli Sforza e degli Aragona scolpiti appositamente per le nozze. </w:t>
      </w:r>
    </w:p>
    <w:p w14:paraId="70C662B4"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Sempre per lo sposalizio, Costanzo comandò che fosse disposta la nuova pavimentazione della piazza antistante il suo palazzo.</w:t>
      </w:r>
      <w:r>
        <w:rPr>
          <w:rStyle w:val="Rimandonotaapidipagina"/>
          <w:rFonts w:ascii="Times New Roman" w:hAnsi="Times New Roman" w:cs="Times New Roman"/>
          <w:sz w:val="24"/>
          <w:szCs w:val="24"/>
        </w:rPr>
        <w:footnoteReference w:id="411"/>
      </w:r>
      <w:r>
        <w:rPr>
          <w:rFonts w:ascii="Times New Roman" w:hAnsi="Times New Roman" w:cs="Times New Roman"/>
          <w:sz w:val="24"/>
          <w:szCs w:val="24"/>
        </w:rPr>
        <w:t xml:space="preserve"> </w:t>
      </w:r>
    </w:p>
    <w:p w14:paraId="05C59578"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Come avremo modo di vedere analizzando i programmi delle celebrazioni di altri matrimoni, l’inaugurazione durante festeggiamenti dinastici di architetture patrocinate dalle famiglie degli sposi fu pratica relativamente comune nel secondo Quattrocento italiano. La politica urbanistica del principe trovò nella festa un’occasione importante di glorificazione della propria magnificenza e nella messa a stampa delle cronache dei festeggiamenti una maniera efficace per far circolare notizie intorno al rinnovamento edilizio dei dominî del committente. Per ora, basti sottolineare come lo sconosciuto editore dell’incunabolo per lo sposalizio sforzesco e l’estensore del testo avessero forse colto solo parzialmente questa potenzialità della stampa, presentando soltanto nelle pagine conclusive della descrizione le dimore dei pesaresi apparate per accogliere gli invitati di Costanzo e Camilla. Andrà loro però riconosciuto il merito di avere sperimentato per primi la diffusione a stampa di un resoconto che mostrasse le potenzialità della scrittura volgare di restituire un’immagine puntuale e fedele della festa, degli apparati, dei carri, dei costumi.</w:t>
      </w:r>
    </w:p>
    <w:p w14:paraId="0803DCA9" w14:textId="77777777" w:rsidR="00A11721" w:rsidRDefault="00A11721" w:rsidP="00A1172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Nel nono decennio del Quattrocento gli incunaboli con descrizioni di festeggiamenti nuziali si presenteranno con altri intenti, più spiccatamente encomiastici, e il latino dei loro estensori trasformerà la festa principesca in un trionfo classico capace di elevare il principe al livello degli eroi e degli dei di Roma antica.</w:t>
      </w:r>
    </w:p>
    <w:p w14:paraId="1734FE7D" w14:textId="77777777" w:rsidR="00A11721" w:rsidRDefault="00A11721" w:rsidP="009E2D8D">
      <w:pPr>
        <w:spacing w:after="0" w:line="360" w:lineRule="auto"/>
        <w:ind w:firstLine="397"/>
        <w:jc w:val="both"/>
        <w:rPr>
          <w:rFonts w:ascii="Times New Roman" w:hAnsi="Times New Roman" w:cs="Times New Roman"/>
          <w:sz w:val="24"/>
          <w:szCs w:val="24"/>
        </w:rPr>
      </w:pPr>
    </w:p>
    <w:p w14:paraId="6713B2A3" w14:textId="77777777" w:rsidR="00817DB5" w:rsidRDefault="00817DB5" w:rsidP="009E2D8D">
      <w:pPr>
        <w:spacing w:after="0" w:line="360" w:lineRule="auto"/>
        <w:ind w:firstLine="397"/>
        <w:jc w:val="both"/>
        <w:rPr>
          <w:rFonts w:ascii="Times New Roman" w:hAnsi="Times New Roman" w:cs="Times New Roman"/>
          <w:sz w:val="24"/>
          <w:szCs w:val="24"/>
        </w:rPr>
      </w:pPr>
    </w:p>
    <w:p w14:paraId="79B8FE03" w14:textId="77777777" w:rsidR="00817DB5" w:rsidRDefault="00817DB5" w:rsidP="00817DB5">
      <w:pPr>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i/>
          <w:sz w:val="24"/>
          <w:szCs w:val="24"/>
        </w:rPr>
        <w:t>Un incunabolo per il matrimonio di Sigismondo d’Asburgo e Caterina di Sassonia (1484)</w:t>
      </w:r>
      <w:r>
        <w:rPr>
          <w:rFonts w:ascii="Times New Roman" w:hAnsi="Times New Roman" w:cs="Times New Roman"/>
          <w:sz w:val="24"/>
          <w:szCs w:val="24"/>
        </w:rPr>
        <w:t>.</w:t>
      </w:r>
    </w:p>
    <w:p w14:paraId="48F5C162" w14:textId="77777777" w:rsidR="00817DB5" w:rsidRDefault="00817DB5" w:rsidP="00817DB5">
      <w:pPr>
        <w:spacing w:after="0" w:line="360" w:lineRule="auto"/>
        <w:ind w:right="-1"/>
        <w:jc w:val="both"/>
        <w:rPr>
          <w:rFonts w:ascii="Times New Roman" w:hAnsi="Times New Roman" w:cs="Times New Roman"/>
          <w:sz w:val="24"/>
          <w:szCs w:val="24"/>
        </w:rPr>
      </w:pPr>
    </w:p>
    <w:p w14:paraId="1708B607" w14:textId="77777777" w:rsidR="00817DB5" w:rsidRDefault="00817DB5" w:rsidP="00817DB5">
      <w:pPr>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Di una differente tipologia rispetto a quella vista per lo sposalizio pesarese è la pubblicazione offerta in onore delle seconde nozze di Sigismondo d’Asburgo, duca del Tirolo, e di Caterina di </w:t>
      </w:r>
      <w:r>
        <w:rPr>
          <w:rFonts w:ascii="Times New Roman" w:hAnsi="Times New Roman" w:cs="Times New Roman"/>
          <w:sz w:val="24"/>
          <w:szCs w:val="24"/>
        </w:rPr>
        <w:lastRenderedPageBreak/>
        <w:t>Sassonia.</w:t>
      </w:r>
      <w:r>
        <w:rPr>
          <w:rStyle w:val="Rimandonotaapidipagina"/>
          <w:rFonts w:ascii="Times New Roman" w:hAnsi="Times New Roman" w:cs="Times New Roman"/>
          <w:sz w:val="24"/>
          <w:szCs w:val="24"/>
        </w:rPr>
        <w:footnoteReference w:id="412"/>
      </w:r>
      <w:r>
        <w:rPr>
          <w:rFonts w:ascii="Times New Roman" w:hAnsi="Times New Roman" w:cs="Times New Roman"/>
          <w:sz w:val="24"/>
          <w:szCs w:val="24"/>
        </w:rPr>
        <w:t xml:space="preserve"> L’</w:t>
      </w:r>
      <w:r>
        <w:rPr>
          <w:rFonts w:ascii="Times New Roman" w:hAnsi="Times New Roman" w:cs="Times New Roman"/>
          <w:i/>
          <w:sz w:val="24"/>
          <w:szCs w:val="24"/>
        </w:rPr>
        <w:t>In Sigismundum archiducem pro epithalamio carminum libellus</w:t>
      </w:r>
      <w:r>
        <w:rPr>
          <w:rFonts w:ascii="Times New Roman" w:hAnsi="Times New Roman" w:cs="Times New Roman"/>
          <w:sz w:val="24"/>
          <w:szCs w:val="24"/>
        </w:rPr>
        <w:t xml:space="preserve"> non è, infatti, una descrizione delle feste organizzate a Innsbruck nel febbraio del 1484, bensì una raccolta di nove carmi encomiastici latini dedicati allo sposo, chiusa da un’egloga d’ispirazione virgiliana.</w:t>
      </w:r>
      <w:r>
        <w:rPr>
          <w:rStyle w:val="Rimandonotaapidipagina"/>
          <w:rFonts w:ascii="Times New Roman" w:hAnsi="Times New Roman" w:cs="Times New Roman"/>
          <w:sz w:val="24"/>
          <w:szCs w:val="24"/>
        </w:rPr>
        <w:footnoteReference w:id="413"/>
      </w:r>
      <w:r>
        <w:rPr>
          <w:rFonts w:ascii="Times New Roman" w:hAnsi="Times New Roman" w:cs="Times New Roman"/>
          <w:sz w:val="24"/>
          <w:szCs w:val="24"/>
        </w:rPr>
        <w:t xml:space="preserve"> In quest’ultimo componimento l’autore, l’umanista veneziano Francesco Negri, dopo aver ricordato allusivamente la sua mancata ascesa al vescovato di Veglia e le vicende che gli avevano procurato l’inimicizia del governo di Venezia, tesse le lodi di Sigismondo, che spera voglia offrirgli rifugio in un momento in cui, vittima delle calunnie degli invidiosi, è costretto a lasciare la città di san Marco.</w:t>
      </w:r>
      <w:r>
        <w:rPr>
          <w:rStyle w:val="Rimandonotaapidipagina"/>
          <w:rFonts w:ascii="Times New Roman" w:hAnsi="Times New Roman" w:cs="Times New Roman"/>
          <w:sz w:val="24"/>
          <w:szCs w:val="24"/>
        </w:rPr>
        <w:footnoteReference w:id="414"/>
      </w:r>
      <w:r>
        <w:rPr>
          <w:rFonts w:ascii="Times New Roman" w:hAnsi="Times New Roman" w:cs="Times New Roman"/>
          <w:sz w:val="24"/>
          <w:szCs w:val="24"/>
        </w:rPr>
        <w:t xml:space="preserve"> La candidatura al vescovato di Veglia era stata, infatti, avanzata dal Negri nel 1483, con l’appoggio del Senato veneziano; ma nel maggio dello stesso anno l’umanista, sospettato di tramare per il ritorno sull’isola del tiranno Giovanni Frangipane, con il quale era imparentato, venne incarcerato e successivamente prosciolto grazie all’intervento del patriarca Maffeo Gherardi. </w:t>
      </w:r>
    </w:p>
    <w:p w14:paraId="443BF3D3" w14:textId="77777777" w:rsidR="00817DB5" w:rsidRDefault="00817DB5" w:rsidP="00817DB5">
      <w:pPr>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La stampa dell’opuscolo – in quarto, in carattere gotico, composto di quattordici carte non segnate e riconducibile ai torchi dello stampatore austriaco Matteo Cerdonis, attivo a Padova tra il 1482 e il 1487 –</w:t>
      </w:r>
      <w:r>
        <w:rPr>
          <w:rStyle w:val="Rimandonotaapidipagina"/>
          <w:rFonts w:ascii="Times New Roman" w:hAnsi="Times New Roman" w:cs="Times New Roman"/>
          <w:sz w:val="24"/>
          <w:szCs w:val="24"/>
        </w:rPr>
        <w:footnoteReference w:id="415"/>
      </w:r>
      <w:r>
        <w:rPr>
          <w:rFonts w:ascii="Times New Roman" w:hAnsi="Times New Roman" w:cs="Times New Roman"/>
          <w:sz w:val="24"/>
          <w:szCs w:val="24"/>
        </w:rPr>
        <w:t xml:space="preserve"> si dovette dunque alle aspettative dell’aspirante cortigiano Negri, che negli anni 1484-1485, costretto dalle ristrettezze economiche a prestare servizio a Padova come precettore dei nipoti del vescovo d’Antiochia Lorenzo Zane, auspicava per sé un più gradevole trasferimento in terra asburgica, dove già suo cugino Giovanni aveva trovato nobili protettori alcuni anni prima. </w:t>
      </w:r>
    </w:p>
    <w:p w14:paraId="4B05B1DB" w14:textId="77777777" w:rsidR="00817DB5" w:rsidRDefault="00817DB5" w:rsidP="00817DB5">
      <w:pPr>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 xml:space="preserve">Senza entrare nello specifico di ciascuno dei testi raccolti nel libretto, vorrei sottolineare però come essi siano di differenti schemi metrici e rielaborino un vario repertorio mitologico in </w:t>
      </w:r>
      <w:r>
        <w:rPr>
          <w:rFonts w:ascii="Times New Roman" w:hAnsi="Times New Roman" w:cs="Times New Roman"/>
          <w:sz w:val="24"/>
          <w:szCs w:val="24"/>
        </w:rPr>
        <w:lastRenderedPageBreak/>
        <w:t xml:space="preserve">funzione elogiativa, concordemente alla necessità dell’autore di dare mostra delle proprie abilità compositive in latino. Si trattò, insomma, di una sorta di saggio della propria arte, camuffato da dono di nozze inviato al futuro mecenate, che voleva mostrare al duca del Tirolo di quali servizi letterari sarebbe stato capace il poeta, compresa la scrittura di un </w:t>
      </w:r>
      <w:r>
        <w:rPr>
          <w:rFonts w:ascii="Times New Roman" w:hAnsi="Times New Roman" w:cs="Times New Roman"/>
          <w:i/>
          <w:sz w:val="24"/>
          <w:szCs w:val="24"/>
        </w:rPr>
        <w:t>Bucolicum Drama Daphnis Antigenes</w:t>
      </w:r>
      <w:r>
        <w:rPr>
          <w:rFonts w:ascii="Times New Roman" w:hAnsi="Times New Roman" w:cs="Times New Roman"/>
          <w:sz w:val="24"/>
          <w:szCs w:val="24"/>
        </w:rPr>
        <w:t xml:space="preserve">. </w:t>
      </w:r>
    </w:p>
    <w:p w14:paraId="3484EDFC" w14:textId="77777777" w:rsidR="00817DB5" w:rsidRDefault="00817DB5" w:rsidP="00817DB5">
      <w:pPr>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 xml:space="preserve">Nell’egloga il mesto pastore Antigene, su invito di Dafni, racconta le proprie sventure: una tempesta ha disperso il suo gregge ed egli, privo di ogni bene, è costretto a lasciare i dolci campi d’Arcadia e a interrompere i propri canti per cercare miglior sorte altrove. Il parallelismo tra le vicende di Antigene e quelle del Negri è molto chiaro, così come evidente è il modello virgiliano delle </w:t>
      </w:r>
      <w:r>
        <w:rPr>
          <w:rFonts w:ascii="Times New Roman" w:hAnsi="Times New Roman" w:cs="Times New Roman"/>
          <w:i/>
          <w:sz w:val="24"/>
          <w:szCs w:val="24"/>
        </w:rPr>
        <w:t>Bucolicae</w:t>
      </w:r>
      <w:r>
        <w:rPr>
          <w:rFonts w:ascii="Times New Roman" w:hAnsi="Times New Roman" w:cs="Times New Roman"/>
          <w:sz w:val="24"/>
          <w:szCs w:val="24"/>
        </w:rPr>
        <w:t xml:space="preserve"> al quale si ispirò il testo. Non vi sono invece indizi che lascino ipotizzare una sua destinazione performativa, e penso che l’autore si sia dedicato alla sua stesura forse partecipando del clima di rinnovato interesse per la letteratura bucolica diffuso in Italia nel secondo Quattrocento, quando si riconobbe al genere un’insita vocazione al dialogo recitativo, alla tenzone agonistica, al canto e alla musica, che approdò ai noti esiti sulla scena rinascimentale delle egloghe volgari di Serafino Aquilano e di Francesco Arzocchi.</w:t>
      </w:r>
      <w:r>
        <w:rPr>
          <w:rStyle w:val="Rimandonotaapidipagina"/>
          <w:rFonts w:ascii="Times New Roman" w:hAnsi="Times New Roman" w:cs="Times New Roman"/>
          <w:sz w:val="24"/>
          <w:szCs w:val="24"/>
        </w:rPr>
        <w:footnoteReference w:id="416"/>
      </w:r>
    </w:p>
    <w:p w14:paraId="6AAAA4B3" w14:textId="77777777" w:rsidR="00817DB5" w:rsidRDefault="00817DB5" w:rsidP="00817DB5">
      <w:pPr>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Poiché nelle carte di questa stampa non vi sono cenni al fastoso sposalizio di Caterina di Sassonia, lascerò da parte i versi di Francesco Negri per spendere alcune considerazioni sulle tre pubblicazioni per le nozze bolognesi di Annibale Bentivoglio e Lucrezia d’Este, generose nel ricordo delle cerimonie e degli spettacoli organizzati e più interessanti per la ricerca di programmi di propaganda celebrativa che prevedessero l’operato in sinergia di apparatori di trionfi, letterati, editori e stampatori.</w:t>
      </w:r>
    </w:p>
    <w:p w14:paraId="2F7D6429" w14:textId="77777777" w:rsidR="00BD3461" w:rsidRDefault="00BD3461" w:rsidP="00817DB5">
      <w:pPr>
        <w:spacing w:after="0" w:line="360" w:lineRule="auto"/>
        <w:ind w:right="-1" w:firstLine="397"/>
        <w:jc w:val="both"/>
        <w:rPr>
          <w:rFonts w:ascii="Times New Roman" w:hAnsi="Times New Roman" w:cs="Times New Roman"/>
          <w:sz w:val="24"/>
          <w:szCs w:val="24"/>
        </w:rPr>
      </w:pPr>
    </w:p>
    <w:p w14:paraId="78783968" w14:textId="77777777" w:rsidR="00BD3461" w:rsidRDefault="00BD3461" w:rsidP="00817DB5">
      <w:pPr>
        <w:spacing w:after="0" w:line="360" w:lineRule="auto"/>
        <w:ind w:right="-1" w:firstLine="397"/>
        <w:jc w:val="both"/>
        <w:rPr>
          <w:rFonts w:ascii="Times New Roman" w:hAnsi="Times New Roman" w:cs="Times New Roman"/>
          <w:sz w:val="24"/>
          <w:szCs w:val="24"/>
        </w:rPr>
      </w:pPr>
    </w:p>
    <w:p w14:paraId="373F33AF" w14:textId="77777777" w:rsidR="00BD3461" w:rsidRPr="00096909" w:rsidRDefault="00BD3461" w:rsidP="00BD3461">
      <w:pPr>
        <w:spacing w:after="0" w:line="360" w:lineRule="auto"/>
        <w:jc w:val="both"/>
        <w:rPr>
          <w:rFonts w:ascii="Times New Roman" w:hAnsi="Times New Roman" w:cs="Times New Roman"/>
          <w:i/>
          <w:sz w:val="24"/>
          <w:szCs w:val="24"/>
        </w:rPr>
      </w:pPr>
      <w:r w:rsidRPr="00BD3461">
        <w:rPr>
          <w:rFonts w:ascii="Times New Roman" w:hAnsi="Times New Roman" w:cs="Times New Roman"/>
          <w:sz w:val="24"/>
          <w:szCs w:val="24"/>
        </w:rPr>
        <w:t>4.</w:t>
      </w:r>
      <w:r w:rsidRPr="00096909">
        <w:rPr>
          <w:rFonts w:ascii="Times New Roman" w:hAnsi="Times New Roman" w:cs="Times New Roman"/>
          <w:i/>
          <w:sz w:val="24"/>
          <w:szCs w:val="24"/>
        </w:rPr>
        <w:t xml:space="preserve"> I libretti per le nozze di Annibale II Bentivoglio e Lucrezia d’Este (1487).</w:t>
      </w:r>
    </w:p>
    <w:p w14:paraId="0EAE7F71" w14:textId="77777777" w:rsidR="00BD3461" w:rsidRPr="00096909" w:rsidRDefault="00BD3461" w:rsidP="00BD3461">
      <w:pPr>
        <w:spacing w:after="0" w:line="360" w:lineRule="auto"/>
        <w:jc w:val="both"/>
        <w:rPr>
          <w:rFonts w:ascii="Times New Roman" w:hAnsi="Times New Roman" w:cs="Times New Roman"/>
          <w:i/>
          <w:sz w:val="24"/>
          <w:szCs w:val="24"/>
        </w:rPr>
      </w:pPr>
    </w:p>
    <w:p w14:paraId="575BD4BC" w14:textId="77777777" w:rsidR="00BD3461" w:rsidRPr="00096909" w:rsidRDefault="00BD3461" w:rsidP="00BD3461">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Nel gennaio del 1487 il matrimonio di Annibale II, figlio di Giovanni II e di Ginevra Sforza, consolidò la validità del governo signorile dei Bentivoglio su Bologna e rese maggiormente </w:t>
      </w:r>
      <w:r>
        <w:rPr>
          <w:rFonts w:ascii="Times New Roman" w:hAnsi="Times New Roman" w:cs="Times New Roman"/>
          <w:sz w:val="24"/>
          <w:szCs w:val="24"/>
        </w:rPr>
        <w:t xml:space="preserve">nota </w:t>
      </w:r>
      <w:r w:rsidRPr="00096909">
        <w:rPr>
          <w:rFonts w:ascii="Times New Roman" w:hAnsi="Times New Roman" w:cs="Times New Roman"/>
          <w:sz w:val="24"/>
          <w:szCs w:val="24"/>
        </w:rPr>
        <w:t>la rete delle loro relazioni internazionali.</w:t>
      </w:r>
      <w:r w:rsidRPr="00096909">
        <w:rPr>
          <w:rStyle w:val="Rimandonotaapidipagina"/>
          <w:rFonts w:ascii="Times New Roman" w:hAnsi="Times New Roman" w:cs="Times New Roman"/>
          <w:sz w:val="24"/>
          <w:szCs w:val="24"/>
        </w:rPr>
        <w:footnoteReference w:id="417"/>
      </w:r>
    </w:p>
    <w:p w14:paraId="78FD2375"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L’unione del giovane – per il quale il Senato Bolognese aveva ottenuto nel 1474 da Sisto IV il diritto a succedere al padre nella guida della città – con Lucrezia d’Este, figlia naturale del duca di Ferrara, aumentava</w:t>
      </w:r>
      <w:r>
        <w:rPr>
          <w:rFonts w:ascii="Times New Roman" w:hAnsi="Times New Roman" w:cs="Times New Roman"/>
          <w:sz w:val="24"/>
          <w:szCs w:val="24"/>
        </w:rPr>
        <w:t>,</w:t>
      </w:r>
      <w:r w:rsidRPr="00096909">
        <w:rPr>
          <w:rFonts w:ascii="Times New Roman" w:hAnsi="Times New Roman" w:cs="Times New Roman"/>
          <w:sz w:val="24"/>
          <w:szCs w:val="24"/>
        </w:rPr>
        <w:t xml:space="preserve"> infatti</w:t>
      </w:r>
      <w:r>
        <w:rPr>
          <w:rFonts w:ascii="Times New Roman" w:hAnsi="Times New Roman" w:cs="Times New Roman"/>
          <w:sz w:val="24"/>
          <w:szCs w:val="24"/>
        </w:rPr>
        <w:t>,</w:t>
      </w:r>
      <w:r w:rsidRPr="00096909">
        <w:rPr>
          <w:rFonts w:ascii="Times New Roman" w:hAnsi="Times New Roman" w:cs="Times New Roman"/>
          <w:sz w:val="24"/>
          <w:szCs w:val="24"/>
        </w:rPr>
        <w:t xml:space="preserve"> il prestigio della famiglia e rendeva esplicita l’alleanza dei Bentivoglio con la casata estense</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A</w:t>
      </w:r>
      <w:r w:rsidRPr="00096909">
        <w:rPr>
          <w:rFonts w:ascii="Times New Roman" w:hAnsi="Times New Roman" w:cs="Times New Roman"/>
          <w:sz w:val="24"/>
          <w:szCs w:val="24"/>
        </w:rPr>
        <w:t>lleanza alla quale si accostava quella di più lunga durata con i duchi di Milano che, tramite lo sposalizio di Ginevra, prima con Sante (1454) e poi con Giovanni II (1464), aveva assicurato il sostegno politico, diplomatico ed economico indispensabile al clan bentivolesco per l’ascesa al potere.</w:t>
      </w:r>
      <w:r w:rsidRPr="00096909">
        <w:rPr>
          <w:rStyle w:val="Rimandonotaapidipagina"/>
          <w:rFonts w:ascii="Times New Roman" w:hAnsi="Times New Roman" w:cs="Times New Roman"/>
          <w:sz w:val="24"/>
          <w:szCs w:val="24"/>
        </w:rPr>
        <w:footnoteReference w:id="418"/>
      </w:r>
    </w:p>
    <w:p w14:paraId="224646AD"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Dal marzo dell’anno delle nozze, </w:t>
      </w:r>
      <w:r w:rsidR="00912C1D">
        <w:rPr>
          <w:rFonts w:ascii="Times New Roman" w:hAnsi="Times New Roman" w:cs="Times New Roman"/>
          <w:sz w:val="24"/>
          <w:szCs w:val="24"/>
        </w:rPr>
        <w:t xml:space="preserve">lo sposo </w:t>
      </w:r>
      <w:r w:rsidRPr="00096909">
        <w:rPr>
          <w:rFonts w:ascii="Times New Roman" w:hAnsi="Times New Roman" w:cs="Times New Roman"/>
          <w:sz w:val="24"/>
          <w:szCs w:val="24"/>
        </w:rPr>
        <w:t>risultava inoltre ingaggiato dalla Repubblica di Firenze per una condotta che lo vide fronteggiare valorosamente i genovesi nella riconquista della roccaforte di Sarzana, conseguita il 22 giugno 1487.</w:t>
      </w:r>
      <w:r w:rsidRPr="00096909">
        <w:rPr>
          <w:rStyle w:val="Rimandonotaapidipagina"/>
          <w:rFonts w:ascii="Times New Roman" w:hAnsi="Times New Roman" w:cs="Times New Roman"/>
          <w:sz w:val="24"/>
          <w:szCs w:val="24"/>
        </w:rPr>
        <w:footnoteReference w:id="419"/>
      </w:r>
    </w:p>
    <w:p w14:paraId="7D122865" w14:textId="77777777" w:rsidR="00BD3461"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reticolato di queste alleanze bolognesi con Milano e con Firenze è visibile nella filigrana delle vicende redazionali che portarono alla stampa dei tre opuscoli che tramandarono il ricordo dello sposalizio. </w:t>
      </w:r>
    </w:p>
    <w:p w14:paraId="3CA4AAD2" w14:textId="3C9833B1"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Pr>
          <w:rFonts w:ascii="Times New Roman" w:hAnsi="Times New Roman" w:cs="Times New Roman"/>
          <w:sz w:val="24"/>
          <w:szCs w:val="24"/>
        </w:rPr>
        <w:t>C</w:t>
      </w:r>
      <w:r w:rsidRPr="00096909">
        <w:rPr>
          <w:rFonts w:ascii="Times New Roman" w:hAnsi="Times New Roman" w:cs="Times New Roman"/>
          <w:sz w:val="24"/>
          <w:szCs w:val="24"/>
        </w:rPr>
        <w:t xml:space="preserve">ome accennato, </w:t>
      </w:r>
      <w:r>
        <w:rPr>
          <w:rFonts w:ascii="Times New Roman" w:hAnsi="Times New Roman" w:cs="Times New Roman"/>
          <w:sz w:val="24"/>
          <w:szCs w:val="24"/>
        </w:rPr>
        <w:t>p</w:t>
      </w:r>
      <w:r w:rsidRPr="00096909">
        <w:rPr>
          <w:rFonts w:ascii="Times New Roman" w:hAnsi="Times New Roman" w:cs="Times New Roman"/>
          <w:sz w:val="24"/>
          <w:szCs w:val="24"/>
        </w:rPr>
        <w:t>er ringraziare Annibale del valore dimostrato nell’impresa sarzanese Lorenzo de’ Medici richiese a Naldo Naldi la scrittura di un poemetto in esametri sulle magnifiche feste con cui omaggia</w:t>
      </w:r>
      <w:r>
        <w:rPr>
          <w:rFonts w:ascii="Times New Roman" w:hAnsi="Times New Roman" w:cs="Times New Roman"/>
          <w:sz w:val="24"/>
          <w:szCs w:val="24"/>
        </w:rPr>
        <w:t>re</w:t>
      </w:r>
      <w:r w:rsidRPr="00096909">
        <w:rPr>
          <w:rFonts w:ascii="Times New Roman" w:hAnsi="Times New Roman" w:cs="Times New Roman"/>
          <w:sz w:val="24"/>
          <w:szCs w:val="24"/>
        </w:rPr>
        <w:t xml:space="preserve"> il condottiero. Si trattava della seconda volta che il poeta si prestava alla composizione di una cronaca nuziale. </w:t>
      </w:r>
      <w:r>
        <w:rPr>
          <w:rFonts w:ascii="Times New Roman" w:hAnsi="Times New Roman" w:cs="Times New Roman"/>
          <w:sz w:val="24"/>
          <w:szCs w:val="24"/>
        </w:rPr>
        <w:t>Infatti,</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nell’anno precedente </w:t>
      </w:r>
      <w:r w:rsidRPr="00096909">
        <w:rPr>
          <w:rFonts w:ascii="Times New Roman" w:hAnsi="Times New Roman" w:cs="Times New Roman"/>
          <w:sz w:val="24"/>
          <w:szCs w:val="24"/>
        </w:rPr>
        <w:t>egli aveva</w:t>
      </w:r>
      <w:r w:rsidRPr="00FA5311">
        <w:rPr>
          <w:rFonts w:ascii="Times New Roman" w:hAnsi="Times New Roman" w:cs="Times New Roman"/>
          <w:sz w:val="24"/>
          <w:szCs w:val="24"/>
        </w:rPr>
        <w:t xml:space="preserve"> </w:t>
      </w:r>
      <w:r w:rsidRPr="00096909">
        <w:rPr>
          <w:rFonts w:ascii="Times New Roman" w:hAnsi="Times New Roman" w:cs="Times New Roman"/>
          <w:sz w:val="24"/>
          <w:szCs w:val="24"/>
        </w:rPr>
        <w:t>cantato i festeggiamenti del settembre 1486 per</w:t>
      </w:r>
      <w:r>
        <w:rPr>
          <w:rFonts w:ascii="Times New Roman" w:hAnsi="Times New Roman" w:cs="Times New Roman"/>
          <w:sz w:val="24"/>
          <w:szCs w:val="24"/>
        </w:rPr>
        <w:t xml:space="preserve"> l’unione tra</w:t>
      </w:r>
      <w:r w:rsidRPr="00096909">
        <w:rPr>
          <w:rFonts w:ascii="Times New Roman" w:hAnsi="Times New Roman" w:cs="Times New Roman"/>
          <w:sz w:val="24"/>
          <w:szCs w:val="24"/>
        </w:rPr>
        <w:t xml:space="preserve"> Lorenzo Tornabuoni e Giovanni degli Albizzi, </w:t>
      </w:r>
      <w:r w:rsidRPr="00096909">
        <w:rPr>
          <w:rFonts w:ascii="Times New Roman" w:hAnsi="Times New Roman" w:cs="Times New Roman"/>
          <w:sz w:val="24"/>
          <w:szCs w:val="24"/>
        </w:rPr>
        <w:lastRenderedPageBreak/>
        <w:t xml:space="preserve">caratterizzati da un lusso e da una </w:t>
      </w:r>
      <w:r>
        <w:rPr>
          <w:rFonts w:ascii="Times New Roman" w:hAnsi="Times New Roman" w:cs="Times New Roman"/>
          <w:sz w:val="24"/>
          <w:szCs w:val="24"/>
        </w:rPr>
        <w:t>opulenza</w:t>
      </w:r>
      <w:r w:rsidRPr="00096909">
        <w:rPr>
          <w:rFonts w:ascii="Times New Roman" w:hAnsi="Times New Roman" w:cs="Times New Roman"/>
          <w:sz w:val="24"/>
          <w:szCs w:val="24"/>
        </w:rPr>
        <w:t xml:space="preserve"> che andavano ben oltre quelli concessi dalle norme suntuarie allora vigenti a Firenze.</w:t>
      </w:r>
      <w:r w:rsidRPr="00096909">
        <w:rPr>
          <w:rStyle w:val="Rimandonotaapidipagina"/>
          <w:rFonts w:ascii="Times New Roman" w:hAnsi="Times New Roman" w:cs="Times New Roman"/>
          <w:sz w:val="24"/>
          <w:szCs w:val="24"/>
        </w:rPr>
        <w:footnoteReference w:id="420"/>
      </w:r>
    </w:p>
    <w:p w14:paraId="143A0525" w14:textId="77777777"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 contesto repubblicano fiorentino, la committenza stessa del resoconto ufficiale di un matrimonio costituiva un vezzo principesco alquanto ardito e raro, come dimostra l’assenza di un testo simile per lo sposalizio di Lorenzo de’ Medici con Clarice Orsini, celebrato tra il 20 maggio e il 4 giugno 1469, per il quale non si ebbe un grandioso ingresso della sposa, né furono preparate rappresentazioni teatrali pubbliche, </w:t>
      </w:r>
      <w:r>
        <w:rPr>
          <w:rFonts w:ascii="Times New Roman" w:hAnsi="Times New Roman" w:cs="Times New Roman"/>
          <w:sz w:val="24"/>
          <w:szCs w:val="24"/>
        </w:rPr>
        <w:t xml:space="preserve">ma </w:t>
      </w:r>
      <w:r w:rsidRPr="00096909">
        <w:rPr>
          <w:rFonts w:ascii="Times New Roman" w:hAnsi="Times New Roman" w:cs="Times New Roman"/>
          <w:sz w:val="24"/>
          <w:szCs w:val="24"/>
        </w:rPr>
        <w:t>fu apparecchiato,</w:t>
      </w:r>
      <w:r w:rsidRPr="00096909">
        <w:rPr>
          <w:rFonts w:cstheme="minorHAnsi"/>
          <w:sz w:val="24"/>
          <w:szCs w:val="24"/>
        </w:rPr>
        <w:t xml:space="preserve"> </w:t>
      </w:r>
      <w:r w:rsidRPr="00096909">
        <w:rPr>
          <w:rFonts w:ascii="Times New Roman" w:hAnsi="Times New Roman" w:cs="Times New Roman"/>
          <w:sz w:val="24"/>
          <w:szCs w:val="24"/>
        </w:rPr>
        <w:t>nel cortile del palazzo di via Larga, un banchetto con vivande definite da Marco Parenti «acomodate a noze, più tosto che a conviti splendidissimi, e questo credo che facessi de industria, per dare exemplo agl’altri a servare quella modestia e mediocrità che·ssi richiede nelle noze, peroché non die’ mai più che uno arrosto».</w:t>
      </w:r>
      <w:r w:rsidRPr="00096909">
        <w:rPr>
          <w:rStyle w:val="Rimandonotaapidipagina"/>
          <w:rFonts w:ascii="Times New Roman" w:hAnsi="Times New Roman" w:cs="Times New Roman"/>
          <w:sz w:val="24"/>
          <w:szCs w:val="24"/>
        </w:rPr>
        <w:footnoteReference w:id="421"/>
      </w:r>
      <w:r w:rsidRPr="00096909">
        <w:rPr>
          <w:rFonts w:ascii="Times New Roman" w:hAnsi="Times New Roman" w:cs="Times New Roman"/>
          <w:sz w:val="24"/>
          <w:szCs w:val="24"/>
        </w:rPr>
        <w:t xml:space="preserve"> </w:t>
      </w:r>
    </w:p>
    <w:p w14:paraId="10E42187" w14:textId="77777777"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Come osserva Paola Ventrone, la moderazione di Lorenzo nell’esibire ricchezze e fasto alle proprie nozze fu conforme al suo desiderio di mostrarsi cautamente in pubblico quale membro dell’élite cittadina dotato di un potere e di un</w:t>
      </w:r>
      <w:r>
        <w:rPr>
          <w:rFonts w:ascii="Times New Roman" w:hAnsi="Times New Roman" w:cs="Times New Roman"/>
          <w:sz w:val="24"/>
          <w:szCs w:val="24"/>
        </w:rPr>
        <w:t xml:space="preserve">a magnificenza </w:t>
      </w:r>
      <w:r w:rsidRPr="00096909">
        <w:rPr>
          <w:rFonts w:ascii="Times New Roman" w:hAnsi="Times New Roman" w:cs="Times New Roman"/>
          <w:sz w:val="24"/>
          <w:szCs w:val="24"/>
        </w:rPr>
        <w:t xml:space="preserve">esattamente parificati a quelli degli altri esponenti dell’oligarchia. All’opposto, la ridondanza del lusso dello sposalizio Tornabuoni </w:t>
      </w:r>
      <w:r>
        <w:rPr>
          <w:rFonts w:ascii="Times New Roman" w:hAnsi="Times New Roman" w:cs="Times New Roman"/>
          <w:sz w:val="24"/>
          <w:szCs w:val="24"/>
        </w:rPr>
        <w:t>e</w:t>
      </w:r>
      <w:r w:rsidRPr="00096909">
        <w:rPr>
          <w:rFonts w:ascii="Times New Roman" w:hAnsi="Times New Roman" w:cs="Times New Roman"/>
          <w:sz w:val="24"/>
          <w:szCs w:val="24"/>
        </w:rPr>
        <w:t xml:space="preserve"> di quelli delle famiglie che più attivamente sostennero l’ascesa del partito mediceo suggerisce</w:t>
      </w:r>
      <w:r>
        <w:rPr>
          <w:rFonts w:ascii="Times New Roman" w:hAnsi="Times New Roman" w:cs="Times New Roman"/>
          <w:sz w:val="24"/>
          <w:szCs w:val="24"/>
        </w:rPr>
        <w:t xml:space="preserve"> la presenza di </w:t>
      </w:r>
      <w:r w:rsidRPr="00096909">
        <w:rPr>
          <w:rFonts w:ascii="Times New Roman" w:hAnsi="Times New Roman" w:cs="Times New Roman"/>
          <w:sz w:val="24"/>
          <w:szCs w:val="24"/>
        </w:rPr>
        <w:t>«</w:t>
      </w:r>
      <w:r w:rsidRPr="00DF47C5">
        <w:rPr>
          <w:rFonts w:ascii="Times New Roman" w:hAnsi="Times New Roman" w:cs="Times New Roman"/>
          <w:i/>
          <w:color w:val="000000"/>
          <w:sz w:val="24"/>
          <w:szCs w:val="24"/>
        </w:rPr>
        <w:t>a concerted sharing of charisma within the narrow Medici circle, with the magnificence exhibited redounding to the ruling family’s advantage too</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422"/>
      </w:r>
    </w:p>
    <w:p w14:paraId="1AE6FDA7" w14:textId="77777777"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È lecito allora pensare che, nelle dinamiche di questa ‘condivisione di carisma’, anche l</w:t>
      </w:r>
      <w:r>
        <w:rPr>
          <w:rFonts w:ascii="Times New Roman" w:hAnsi="Times New Roman" w:cs="Times New Roman"/>
          <w:sz w:val="24"/>
          <w:szCs w:val="24"/>
        </w:rPr>
        <w:t>a committenza delle</w:t>
      </w:r>
      <w:r w:rsidRPr="00096909">
        <w:rPr>
          <w:rFonts w:ascii="Times New Roman" w:hAnsi="Times New Roman" w:cs="Times New Roman"/>
          <w:sz w:val="24"/>
          <w:szCs w:val="24"/>
        </w:rPr>
        <w:t xml:space="preserve"> composizioni del Naldi </w:t>
      </w:r>
      <w:r>
        <w:rPr>
          <w:rFonts w:ascii="Times New Roman" w:hAnsi="Times New Roman" w:cs="Times New Roman"/>
          <w:sz w:val="24"/>
          <w:szCs w:val="24"/>
        </w:rPr>
        <w:t xml:space="preserve">per i </w:t>
      </w:r>
      <w:r w:rsidRPr="00096909">
        <w:rPr>
          <w:rFonts w:ascii="Times New Roman" w:hAnsi="Times New Roman" w:cs="Times New Roman"/>
          <w:sz w:val="24"/>
          <w:szCs w:val="24"/>
        </w:rPr>
        <w:t xml:space="preserve">matrimoni Tornabuoni-Albizi e Bentivoglio-Este si inserisse nel proposito del Magnifico di proporre un’immagine eccellente del suo </w:t>
      </w:r>
      <w:r w:rsidRPr="00096909">
        <w:rPr>
          <w:rFonts w:ascii="Times New Roman" w:hAnsi="Times New Roman" w:cs="Times New Roman"/>
          <w:i/>
          <w:sz w:val="24"/>
          <w:szCs w:val="24"/>
        </w:rPr>
        <w:t>entourage</w:t>
      </w:r>
      <w:r w:rsidRPr="00096909">
        <w:rPr>
          <w:rFonts w:ascii="Times New Roman" w:hAnsi="Times New Roman" w:cs="Times New Roman"/>
          <w:sz w:val="24"/>
          <w:szCs w:val="24"/>
        </w:rPr>
        <w:t xml:space="preserve"> che facesse intendere al lettore-spettatore come il proprio profilo fosse a questa paritario. Se la relazione sullo sposalizio di Lorenzo Tornabuoni, nel 1486, rimase confinata entro un pregevole manoscritto miniato donato agli sposi, quella dedicata ad Annibale Bentivoglio nel 1487 approdò alle stampe, per magnificare le nozze di un alleato strategico di Lorenzo che, in un contesto esente </w:t>
      </w:r>
      <w:r w:rsidRPr="00096909">
        <w:rPr>
          <w:rFonts w:ascii="Times New Roman" w:hAnsi="Times New Roman" w:cs="Times New Roman"/>
          <w:sz w:val="24"/>
          <w:szCs w:val="24"/>
        </w:rPr>
        <w:lastRenderedPageBreak/>
        <w:t xml:space="preserve">dalle ristrettezze repubblicane fiorentine, poteva essere beneficiato di una pubblicistica sperimentata in precedenza solo dal signore di Pesaro.  </w:t>
      </w:r>
    </w:p>
    <w:p w14:paraId="2A9DBFB1" w14:textId="77777777"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Per la stesura delle</w:t>
      </w:r>
      <w:r w:rsidRPr="00096909">
        <w:rPr>
          <w:rFonts w:ascii="Times New Roman" w:hAnsi="Times New Roman" w:cs="Times New Roman"/>
          <w:i/>
          <w:sz w:val="24"/>
          <w:szCs w:val="24"/>
        </w:rPr>
        <w:t xml:space="preserve"> Nuptiae Hannibalis Bentivoli</w:t>
      </w:r>
      <w:r w:rsidRPr="00096909">
        <w:rPr>
          <w:rFonts w:ascii="Times New Roman" w:hAnsi="Times New Roman" w:cs="Times New Roman"/>
          <w:sz w:val="24"/>
          <w:szCs w:val="24"/>
        </w:rPr>
        <w:t>, commissionate sei mesi dopo le celebrazioni, Fulvio Pezzarossa ha ipotizzato l’impiego di uno schema descrittivo della ricorrenza, che spiegherebbe come il Naldi a</w:t>
      </w:r>
      <w:r>
        <w:rPr>
          <w:rFonts w:ascii="Times New Roman" w:hAnsi="Times New Roman" w:cs="Times New Roman"/>
          <w:sz w:val="24"/>
          <w:szCs w:val="24"/>
        </w:rPr>
        <w:t>vesse</w:t>
      </w:r>
      <w:r w:rsidRPr="00096909">
        <w:rPr>
          <w:rFonts w:ascii="Times New Roman" w:hAnsi="Times New Roman" w:cs="Times New Roman"/>
          <w:sz w:val="24"/>
          <w:szCs w:val="24"/>
        </w:rPr>
        <w:t xml:space="preserve"> risolto il problema della propria mancata partecipazione alle feste e la ragione per la quale la sua ripartizione della materia cantata, ricca di numerosi dettagli, non trovi corrispondenze nelle altre cronache degli eventi.</w:t>
      </w:r>
      <w:r w:rsidRPr="00096909">
        <w:rPr>
          <w:rStyle w:val="Rimandonotaapidipagina"/>
          <w:rFonts w:ascii="Times New Roman" w:hAnsi="Times New Roman" w:cs="Times New Roman"/>
          <w:sz w:val="24"/>
          <w:szCs w:val="24"/>
        </w:rPr>
        <w:footnoteReference w:id="423"/>
      </w:r>
    </w:p>
    <w:p w14:paraId="00CFC2D8" w14:textId="77777777"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L’incunabolo che trasmette il testo, in quarto, in caratteri romani, </w:t>
      </w:r>
      <w:r w:rsidRPr="00096909">
        <w:rPr>
          <w:rFonts w:ascii="Times New Roman" w:hAnsi="Times New Roman" w:cs="Times New Roman"/>
          <w:i/>
          <w:sz w:val="24"/>
          <w:szCs w:val="24"/>
        </w:rPr>
        <w:t>sine notis</w:t>
      </w:r>
      <w:r w:rsidRPr="00096909">
        <w:rPr>
          <w:rFonts w:ascii="Times New Roman" w:hAnsi="Times New Roman" w:cs="Times New Roman"/>
          <w:sz w:val="24"/>
          <w:szCs w:val="24"/>
        </w:rPr>
        <w:t>, ma assegnato dai repertori unanimemente ai tipi del tipografo fiorentino Francesco di Dino, reca alle carte d3r</w:t>
      </w:r>
      <w:r>
        <w:rPr>
          <w:rFonts w:ascii="Times New Roman" w:hAnsi="Times New Roman" w:cs="Times New Roman"/>
          <w:sz w:val="24"/>
          <w:szCs w:val="24"/>
        </w:rPr>
        <w:t xml:space="preserve"> </w:t>
      </w:r>
      <w:r w:rsidRPr="00096909">
        <w:rPr>
          <w:rFonts w:ascii="Times New Roman" w:hAnsi="Times New Roman" w:cs="Times New Roman"/>
          <w:sz w:val="24"/>
          <w:szCs w:val="24"/>
        </w:rPr>
        <w:t>- d4r un’</w:t>
      </w:r>
      <w:r w:rsidRPr="00096909">
        <w:rPr>
          <w:rFonts w:ascii="Times New Roman" w:hAnsi="Times New Roman" w:cs="Times New Roman"/>
          <w:i/>
          <w:sz w:val="24"/>
          <w:szCs w:val="24"/>
        </w:rPr>
        <w:t>Elegia</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ad Hannibalem Bentivolum</w:t>
      </w:r>
      <w:r w:rsidRPr="00096909">
        <w:rPr>
          <w:rFonts w:ascii="Times New Roman" w:hAnsi="Times New Roman" w:cs="Times New Roman"/>
          <w:sz w:val="24"/>
          <w:szCs w:val="24"/>
        </w:rPr>
        <w:t xml:space="preserve"> nella quale l’autore, dopo aver ricordato sinteticamente gli intenti, la dedica, e i diversi momenti della festa cantati dal poemetto, richiedeva un’accoglienza benevola per la sua opera tanto allo sposo quanto al dotto Filippo Beroaldo, autore della relazione ufficiale in prosa latina dei festeggiamenti – impressa poco dopo le cerimonie presumibilmente a Bologna dai torchi di Pasquino Fontanesi.</w:t>
      </w:r>
      <w:r w:rsidRPr="00096909">
        <w:rPr>
          <w:rStyle w:val="Rimandonotaapidipagina"/>
          <w:rFonts w:ascii="Times New Roman" w:hAnsi="Times New Roman" w:cs="Times New Roman"/>
          <w:sz w:val="24"/>
          <w:szCs w:val="24"/>
        </w:rPr>
        <w:footnoteReference w:id="424"/>
      </w:r>
      <w:r w:rsidRPr="00096909">
        <w:rPr>
          <w:rFonts w:ascii="Times New Roman" w:hAnsi="Times New Roman" w:cs="Times New Roman"/>
          <w:sz w:val="24"/>
          <w:szCs w:val="24"/>
        </w:rPr>
        <w:t xml:space="preserve">  </w:t>
      </w:r>
    </w:p>
    <w:p w14:paraId="3D728E45" w14:textId="77777777"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Beroaldo, maestro di eloquenza, stimato docente dell’università bolognese, cultore di lettere antiche rinomato in tutta Europa e ben inserito nelle cerchie del governo cittadino – avendo ottenuto per interessamento di Giovanni II Bentivoglio l’ufficio di Cancelliere dei Riformatori dello Stato di Libertà –, fu certamente il letterato adatto cui richiedere un testo che, quant’anche promosso per finalità cortigiane, fosse capace di rivolgersi a un pubblico d’elevata cultura mantenendo un alto valore artistico, senza cadere in lodi smodate dei Bentivoglio. Il suo resoconto si presenta, infatti, come un’elegante cronaca dei festeggiamenti, attenta a chiarire il significato di diverse usanze bolognesi ai lettori e a volgere i vocaboli più popolari in un pregevole latino gradito agli umanisti. </w:t>
      </w:r>
    </w:p>
    <w:p w14:paraId="6EC8B093" w14:textId="77777777"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Rinunciando alla registrazione di ogni minimo dettaglio, i momenti delle cerimonie sono immersi in un’atmosfera classicheggiante, che nobilita l’omaggio dell’intellettuale alla famiglia in cerca di prestigio agli occhi dei signori italiani del Rinascimento. L’umanista non informa, ad esempio, sulla recita dell’orazione latina di sua composizione durante le accoglienze a Lucrezia d’Este – della quale leggiamo invece all’ottava 110 dell’</w:t>
      </w:r>
      <w:r w:rsidRPr="00096909">
        <w:rPr>
          <w:rFonts w:ascii="Times New Roman" w:hAnsi="Times New Roman" w:cs="Times New Roman"/>
          <w:i/>
          <w:sz w:val="24"/>
          <w:szCs w:val="24"/>
        </w:rPr>
        <w:t>Epitalamium</w:t>
      </w:r>
      <w:r w:rsidRPr="00096909">
        <w:rPr>
          <w:rFonts w:ascii="Times New Roman" w:hAnsi="Times New Roman" w:cs="Times New Roman"/>
          <w:sz w:val="24"/>
          <w:szCs w:val="24"/>
        </w:rPr>
        <w:t xml:space="preserve"> di Angelo Michele </w:t>
      </w:r>
      <w:r w:rsidRPr="00096909">
        <w:rPr>
          <w:rFonts w:ascii="Times New Roman" w:hAnsi="Times New Roman" w:cs="Times New Roman"/>
          <w:sz w:val="24"/>
          <w:szCs w:val="24"/>
        </w:rPr>
        <w:lastRenderedPageBreak/>
        <w:t>Salimbeni, sul quale mi soffermerò a breve – e parimenti tralascia l’elenco dei ricchi doni offerti agli sposi, usuale in questo genere di descrizioni, rivelando con tali omissioni un certo dispetto per la scrittura di prose cortigiane, alle quali egli si volse di rado, preferendo ingraziarsi i potenti dell</w:t>
      </w:r>
      <w:r>
        <w:rPr>
          <w:rFonts w:ascii="Times New Roman" w:hAnsi="Times New Roman" w:cs="Times New Roman"/>
          <w:sz w:val="24"/>
          <w:szCs w:val="24"/>
        </w:rPr>
        <w:t>’</w:t>
      </w:r>
      <w:r w:rsidRPr="00096909">
        <w:rPr>
          <w:rFonts w:ascii="Times New Roman" w:hAnsi="Times New Roman" w:cs="Times New Roman"/>
          <w:sz w:val="24"/>
          <w:szCs w:val="24"/>
        </w:rPr>
        <w:t>epoca dedicando loro le edizioni dei classici di sua curatela.</w:t>
      </w:r>
      <w:r w:rsidRPr="00096909">
        <w:rPr>
          <w:rStyle w:val="Rimandonotaapidipagina"/>
          <w:rFonts w:ascii="Times New Roman" w:hAnsi="Times New Roman" w:cs="Times New Roman"/>
          <w:sz w:val="24"/>
          <w:szCs w:val="24"/>
        </w:rPr>
        <w:footnoteReference w:id="425"/>
      </w:r>
    </w:p>
    <w:p w14:paraId="242AF5F5"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Oltre che per la ricercatezza delle citazioni mitologiche, per le misurate soluzioni retoriche e per la scelta di un lessico atto a esaltare il soggetto, le </w:t>
      </w:r>
      <w:r w:rsidRPr="00096909">
        <w:rPr>
          <w:rFonts w:ascii="Times New Roman" w:hAnsi="Times New Roman" w:cs="Times New Roman"/>
          <w:i/>
          <w:sz w:val="24"/>
          <w:szCs w:val="24"/>
        </w:rPr>
        <w:t>Nuptiae Bentivolorum</w:t>
      </w:r>
      <w:r w:rsidRPr="00096909">
        <w:rPr>
          <w:rFonts w:ascii="Times New Roman" w:hAnsi="Times New Roman" w:cs="Times New Roman"/>
          <w:sz w:val="24"/>
          <w:szCs w:val="24"/>
        </w:rPr>
        <w:t xml:space="preserve"> si imposero, nel panorama della produzione di relazioni nuziali del secolo XV, per l’efficace partizione e organizzazione della materia, tanto da porsi, come vedremo, quale modello compositivo delle successive descrizioni delle nozze sforzesche firmate da Stefano Dolcino e da Tristano Calco.</w:t>
      </w:r>
      <w:r w:rsidRPr="00096909">
        <w:rPr>
          <w:rStyle w:val="Rimandonotaapidipagina"/>
          <w:rFonts w:ascii="Times New Roman" w:hAnsi="Times New Roman" w:cs="Times New Roman"/>
          <w:sz w:val="24"/>
          <w:szCs w:val="24"/>
        </w:rPr>
        <w:footnoteReference w:id="426"/>
      </w:r>
      <w:r w:rsidRPr="00096909">
        <w:rPr>
          <w:rFonts w:ascii="Times New Roman" w:hAnsi="Times New Roman" w:cs="Times New Roman"/>
          <w:sz w:val="24"/>
          <w:szCs w:val="24"/>
        </w:rPr>
        <w:t xml:space="preserve"> </w:t>
      </w:r>
    </w:p>
    <w:p w14:paraId="1F2A89E7" w14:textId="77777777" w:rsidR="00BD3461" w:rsidRPr="00096909" w:rsidRDefault="00BD3461" w:rsidP="00BD3461">
      <w:pPr>
        <w:spacing w:after="0" w:line="360" w:lineRule="auto"/>
        <w:ind w:firstLine="397"/>
        <w:jc w:val="both"/>
        <w:rPr>
          <w:rFonts w:ascii="Times New Roman" w:hAnsi="Times New Roman" w:cs="Times New Roman"/>
          <w:bCs/>
          <w:color w:val="000000"/>
          <w:sz w:val="24"/>
          <w:szCs w:val="24"/>
          <w:shd w:val="clear" w:color="auto" w:fill="FFFFFF"/>
        </w:rPr>
      </w:pPr>
      <w:r w:rsidRPr="00096909">
        <w:rPr>
          <w:rFonts w:ascii="Times New Roman" w:hAnsi="Times New Roman" w:cs="Times New Roman"/>
          <w:bCs/>
          <w:color w:val="000000"/>
          <w:sz w:val="24"/>
          <w:szCs w:val="24"/>
          <w:shd w:val="clear" w:color="auto" w:fill="FFFFFF"/>
        </w:rPr>
        <w:t>La circolazione in ambiente milanese della cronaca del matrimonio fu assicurata, oltre che dalle alleanze ricordate tra Bentivoglio e Sforza, dalla dedica dell’autore al primo segretario ducale Bartolomeo Calco,</w:t>
      </w:r>
      <w:r w:rsidRPr="00096909">
        <w:rPr>
          <w:rStyle w:val="Rimandonotaapidipagina"/>
          <w:rFonts w:ascii="Times New Roman" w:hAnsi="Times New Roman" w:cs="Times New Roman"/>
          <w:bCs/>
          <w:color w:val="000000"/>
          <w:sz w:val="24"/>
          <w:szCs w:val="24"/>
          <w:shd w:val="clear" w:color="auto" w:fill="FFFFFF"/>
        </w:rPr>
        <w:footnoteReference w:id="427"/>
      </w:r>
      <w:r w:rsidRPr="00096909">
        <w:rPr>
          <w:rFonts w:ascii="Times New Roman" w:hAnsi="Times New Roman" w:cs="Times New Roman"/>
          <w:bCs/>
          <w:color w:val="000000"/>
          <w:sz w:val="24"/>
          <w:szCs w:val="24"/>
          <w:shd w:val="clear" w:color="auto" w:fill="FFFFFF"/>
        </w:rPr>
        <w:t xml:space="preserve"> riportata anche nell’edizione delle </w:t>
      </w:r>
      <w:r w:rsidRPr="00096909">
        <w:rPr>
          <w:rFonts w:ascii="Times New Roman" w:hAnsi="Times New Roman" w:cs="Times New Roman"/>
          <w:bCs/>
          <w:i/>
          <w:color w:val="000000"/>
          <w:sz w:val="24"/>
          <w:szCs w:val="24"/>
          <w:shd w:val="clear" w:color="auto" w:fill="FFFFFF"/>
        </w:rPr>
        <w:t>Nuptiae Bentivolorum</w:t>
      </w:r>
      <w:r w:rsidRPr="00096909">
        <w:rPr>
          <w:rFonts w:ascii="Times New Roman" w:hAnsi="Times New Roman" w:cs="Times New Roman"/>
          <w:bCs/>
          <w:color w:val="000000"/>
          <w:sz w:val="24"/>
          <w:szCs w:val="24"/>
          <w:shd w:val="clear" w:color="auto" w:fill="FFFFFF"/>
        </w:rPr>
        <w:t xml:space="preserve"> che Beroaldo incluse nel </w:t>
      </w:r>
      <w:r w:rsidRPr="00096909">
        <w:rPr>
          <w:rFonts w:ascii="Times New Roman" w:hAnsi="Times New Roman" w:cs="Times New Roman"/>
          <w:sz w:val="24"/>
          <w:szCs w:val="24"/>
        </w:rPr>
        <w:t xml:space="preserve">1491 nelle sue </w:t>
      </w:r>
      <w:r w:rsidRPr="00096909">
        <w:rPr>
          <w:rFonts w:ascii="Times New Roman" w:hAnsi="Times New Roman" w:cs="Times New Roman"/>
          <w:i/>
          <w:sz w:val="24"/>
          <w:szCs w:val="24"/>
        </w:rPr>
        <w:t>Orationes et quamplures apendiculae versuum</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428"/>
      </w:r>
      <w:r w:rsidRPr="00096909">
        <w:rPr>
          <w:rFonts w:ascii="Times New Roman" w:hAnsi="Times New Roman" w:cs="Times New Roman"/>
          <w:sz w:val="24"/>
          <w:szCs w:val="24"/>
        </w:rPr>
        <w:t xml:space="preserve"> La pubblicazione, che ebbe per editore Benedetto Ercoli, fu impressa a Bologna da Francesco de Benedictis e raccolse il meglio della produzione in prosa e in versi dell’erudito, amplificandone la fama di scrittore eccellente, destinata a crescere ancora di più l’anno successivo, quando l’umanista Josse Bade ripubblicò la fortunata silloge per i tipi lionesi di Jean Trechsel, permettendo agli scritti beroaldiani un’ampia circolazione in Francia.</w:t>
      </w:r>
      <w:r w:rsidRPr="00096909">
        <w:rPr>
          <w:rStyle w:val="Rimandonotaapidipagina"/>
          <w:rFonts w:ascii="Times New Roman" w:hAnsi="Times New Roman" w:cs="Times New Roman"/>
          <w:sz w:val="24"/>
          <w:szCs w:val="24"/>
        </w:rPr>
        <w:footnoteReference w:id="429"/>
      </w:r>
      <w:r w:rsidRPr="00096909">
        <w:rPr>
          <w:rFonts w:ascii="Times New Roman" w:hAnsi="Times New Roman" w:cs="Times New Roman"/>
          <w:sz w:val="24"/>
          <w:szCs w:val="24"/>
        </w:rPr>
        <w:t xml:space="preserve"> Nella lettera prefatoria a quest’ultimo incunabolo, indirizzata al carmelitano Laurent Bureau, </w:t>
      </w:r>
      <w:r>
        <w:rPr>
          <w:rFonts w:ascii="Times New Roman" w:hAnsi="Times New Roman" w:cs="Times New Roman"/>
          <w:sz w:val="24"/>
          <w:szCs w:val="24"/>
        </w:rPr>
        <w:t xml:space="preserve">il quale </w:t>
      </w:r>
      <w:r w:rsidRPr="00096909">
        <w:rPr>
          <w:rFonts w:ascii="Times New Roman" w:hAnsi="Times New Roman" w:cs="Times New Roman"/>
          <w:sz w:val="24"/>
          <w:szCs w:val="24"/>
        </w:rPr>
        <w:t xml:space="preserve">aveva portato a Lione un esemplare della </w:t>
      </w:r>
      <w:r w:rsidRPr="00096909">
        <w:rPr>
          <w:rFonts w:ascii="Times New Roman" w:hAnsi="Times New Roman" w:cs="Times New Roman"/>
          <w:i/>
          <w:sz w:val="24"/>
          <w:szCs w:val="24"/>
        </w:rPr>
        <w:t>princeps</w:t>
      </w:r>
      <w:r w:rsidRPr="00096909">
        <w:rPr>
          <w:rFonts w:ascii="Times New Roman" w:hAnsi="Times New Roman" w:cs="Times New Roman"/>
          <w:sz w:val="24"/>
          <w:szCs w:val="24"/>
        </w:rPr>
        <w:t xml:space="preserve"> </w:t>
      </w:r>
      <w:r w:rsidRPr="00096909">
        <w:rPr>
          <w:rFonts w:ascii="Times New Roman" w:hAnsi="Times New Roman" w:cs="Times New Roman"/>
          <w:bCs/>
          <w:color w:val="000000"/>
          <w:sz w:val="24"/>
          <w:szCs w:val="24"/>
          <w:shd w:val="clear" w:color="auto" w:fill="FFFFFF"/>
        </w:rPr>
        <w:t xml:space="preserve">usato per editare il testo, viene esaltata l’eccellenza dell’eclettico latino di Beroaldo, eletto indiscutibile modello di stile, in virtù della varietà di soggetti che egli seppe trattare servendosi di un lessico raro e sofisticato, memore di letture che abbracciavano tutto l’arco della latinità, da Plauto ad Apuleio. </w:t>
      </w:r>
    </w:p>
    <w:p w14:paraId="3DF92AD9" w14:textId="77777777" w:rsidR="00BD3461" w:rsidRPr="00096909" w:rsidRDefault="00BD3461" w:rsidP="00BD3461">
      <w:pPr>
        <w:spacing w:after="0" w:line="360" w:lineRule="auto"/>
        <w:ind w:firstLine="397"/>
        <w:jc w:val="both"/>
        <w:rPr>
          <w:rFonts w:ascii="Times New Roman" w:hAnsi="Times New Roman" w:cs="Times New Roman"/>
          <w:bCs/>
          <w:color w:val="000000"/>
          <w:shd w:val="clear" w:color="auto" w:fill="FFFFFF"/>
        </w:rPr>
      </w:pPr>
      <w:r w:rsidRPr="00096909">
        <w:rPr>
          <w:rFonts w:ascii="Times New Roman" w:hAnsi="Times New Roman" w:cs="Times New Roman"/>
          <w:bCs/>
          <w:color w:val="000000"/>
          <w:sz w:val="24"/>
          <w:szCs w:val="24"/>
          <w:shd w:val="clear" w:color="auto" w:fill="FFFFFF"/>
        </w:rPr>
        <w:lastRenderedPageBreak/>
        <w:t xml:space="preserve">È dunque interessante osservare come anche la cronaca delle feste bolognesi potesse beneficiare di una simile circolazione, presentandosi a un pubblico di estrazione colta sia come un prodotto di raffinatissimo artigianato letterario, sia come un modello di eloquenza </w:t>
      </w:r>
      <w:r w:rsidRPr="00096909">
        <w:rPr>
          <w:rFonts w:ascii="Times New Roman" w:hAnsi="Times New Roman" w:cs="Times New Roman"/>
          <w:bCs/>
          <w:strike/>
          <w:color w:val="000000"/>
          <w:sz w:val="24"/>
          <w:szCs w:val="24"/>
          <w:shd w:val="clear" w:color="auto" w:fill="FFFFFF"/>
        </w:rPr>
        <w:t>a</w:t>
      </w:r>
      <w:r w:rsidRPr="00096909">
        <w:rPr>
          <w:rFonts w:ascii="Times New Roman" w:hAnsi="Times New Roman" w:cs="Times New Roman"/>
          <w:bCs/>
          <w:color w:val="000000"/>
          <w:sz w:val="24"/>
          <w:szCs w:val="24"/>
          <w:shd w:val="clear" w:color="auto" w:fill="FFFFFF"/>
        </w:rPr>
        <w:t xml:space="preserve">l quale </w:t>
      </w:r>
      <w:r>
        <w:rPr>
          <w:rFonts w:ascii="Times New Roman" w:hAnsi="Times New Roman" w:cs="Times New Roman"/>
          <w:bCs/>
          <w:color w:val="000000"/>
          <w:sz w:val="24"/>
          <w:szCs w:val="24"/>
          <w:shd w:val="clear" w:color="auto" w:fill="FFFFFF"/>
        </w:rPr>
        <w:t xml:space="preserve">fare riferimento </w:t>
      </w:r>
      <w:r w:rsidRPr="00096909">
        <w:rPr>
          <w:rFonts w:ascii="Times New Roman" w:hAnsi="Times New Roman" w:cs="Times New Roman"/>
          <w:bCs/>
          <w:color w:val="000000"/>
          <w:sz w:val="24"/>
          <w:szCs w:val="24"/>
          <w:shd w:val="clear" w:color="auto" w:fill="FFFFFF"/>
        </w:rPr>
        <w:t>per la composizione di prose d’occasione</w:t>
      </w:r>
      <w:r w:rsidRPr="00096909">
        <w:rPr>
          <w:rFonts w:ascii="Times New Roman" w:hAnsi="Times New Roman" w:cs="Times New Roman"/>
          <w:bCs/>
          <w:color w:val="000000"/>
          <w:shd w:val="clear" w:color="auto" w:fill="FFFFFF"/>
        </w:rPr>
        <w:t xml:space="preserve">.    </w:t>
      </w:r>
    </w:p>
    <w:p w14:paraId="1AEDAF0F" w14:textId="77777777"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Ben altro tenore presenta la terza descrizione stampata per le nozze Bentivoglio: l’</w:t>
      </w:r>
      <w:r w:rsidRPr="00096909">
        <w:rPr>
          <w:rFonts w:ascii="Times New Roman" w:hAnsi="Times New Roman" w:cs="Times New Roman"/>
          <w:i/>
          <w:sz w:val="24"/>
          <w:szCs w:val="24"/>
        </w:rPr>
        <w:t>Epitalamium</w:t>
      </w:r>
      <w:r w:rsidRPr="00096909">
        <w:rPr>
          <w:rFonts w:ascii="Times New Roman" w:hAnsi="Times New Roman" w:cs="Times New Roman"/>
          <w:sz w:val="24"/>
          <w:szCs w:val="24"/>
        </w:rPr>
        <w:t xml:space="preserve"> in ottave volgari del notaio e poeta bolognese Angelo Michele Salimbeni. L’attribuzione di questo incunabolo – </w:t>
      </w:r>
      <w:r w:rsidRPr="00096909">
        <w:rPr>
          <w:rFonts w:ascii="Times New Roman" w:hAnsi="Times New Roman" w:cs="Times New Roman"/>
          <w:i/>
          <w:sz w:val="24"/>
          <w:szCs w:val="24"/>
        </w:rPr>
        <w:t>sine notis</w:t>
      </w:r>
      <w:r w:rsidRPr="00096909">
        <w:rPr>
          <w:rFonts w:ascii="Times New Roman" w:hAnsi="Times New Roman" w:cs="Times New Roman"/>
          <w:sz w:val="24"/>
          <w:szCs w:val="24"/>
        </w:rPr>
        <w:t>, in quarto, in carattere gotico, con distribuzione a piena pagina delle ottave del testo e quattro spazi privi di lettere guida per segnalare nel resoconto l’inizio di ciascuna giornata della festa – è assegnata dai repertori alternativamente alla tipografia bolognese di Francesco de Benedictis o a quella milanese di Leonardus Pachel e Uldericus Scinzenzeler.</w:t>
      </w:r>
      <w:r w:rsidRPr="00096909">
        <w:rPr>
          <w:rStyle w:val="Rimandonotaapidipagina"/>
          <w:rFonts w:ascii="Times New Roman" w:hAnsi="Times New Roman" w:cs="Times New Roman"/>
          <w:sz w:val="24"/>
          <w:szCs w:val="24"/>
        </w:rPr>
        <w:footnoteReference w:id="430"/>
      </w:r>
      <w:r w:rsidRPr="00096909">
        <w:rPr>
          <w:rFonts w:ascii="Times New Roman" w:hAnsi="Times New Roman" w:cs="Times New Roman"/>
          <w:sz w:val="24"/>
          <w:szCs w:val="24"/>
        </w:rPr>
        <w:t xml:space="preserve"> </w:t>
      </w:r>
    </w:p>
    <w:p w14:paraId="2B619F54" w14:textId="77777777"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Personalmente </w:t>
      </w:r>
      <w:r w:rsidR="00C57958">
        <w:rPr>
          <w:rFonts w:ascii="Times New Roman" w:hAnsi="Times New Roman" w:cs="Times New Roman"/>
          <w:sz w:val="24"/>
          <w:szCs w:val="24"/>
        </w:rPr>
        <w:t xml:space="preserve">credo </w:t>
      </w:r>
      <w:r w:rsidRPr="00096909">
        <w:rPr>
          <w:rFonts w:ascii="Times New Roman" w:hAnsi="Times New Roman" w:cs="Times New Roman"/>
          <w:sz w:val="24"/>
          <w:szCs w:val="24"/>
        </w:rPr>
        <w:t>sia più plausibile un’origine bolognese della stampa, suggerita dallo stretto legame con il capoluogo felsineo di tutta l’attività del Salimbeni, il quale sia come poeta che come notaio rimane personalità fino a oggi poco studiata.</w:t>
      </w:r>
      <w:r w:rsidRPr="00096909">
        <w:rPr>
          <w:rStyle w:val="Rimandonotaapidipagina"/>
          <w:rFonts w:ascii="Times New Roman" w:hAnsi="Times New Roman" w:cs="Times New Roman"/>
          <w:sz w:val="24"/>
          <w:szCs w:val="24"/>
        </w:rPr>
        <w:footnoteReference w:id="431"/>
      </w:r>
    </w:p>
    <w:p w14:paraId="5B2A1AED" w14:textId="77777777" w:rsidR="00BD3461" w:rsidRPr="00096909" w:rsidRDefault="00BD3461" w:rsidP="00BD3461">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Dell’</w:t>
      </w:r>
      <w:r w:rsidRPr="00096909">
        <w:rPr>
          <w:rFonts w:ascii="Times New Roman" w:hAnsi="Times New Roman" w:cs="Times New Roman"/>
          <w:i/>
          <w:sz w:val="24"/>
          <w:szCs w:val="24"/>
        </w:rPr>
        <w:t>Epitalamium</w:t>
      </w:r>
      <w:r w:rsidRPr="00096909">
        <w:rPr>
          <w:rFonts w:ascii="Times New Roman" w:hAnsi="Times New Roman" w:cs="Times New Roman"/>
          <w:sz w:val="24"/>
          <w:szCs w:val="24"/>
        </w:rPr>
        <w:t xml:space="preserve"> Fulvio Pezzarossa ha segnalato le improbabili pretese di fiorentinità, ravvisabili nella scelta di un lessico e di una sintassi sorvegliati e depurati da influenze emiliane, nella composizione in ottava rima, cara alla tradizione cavalleresca, nella citazione frequente di autori fiorentini, tra i quali Dante e Coluccio Salutati, e nel richiamo esplicito al magistero del contemporaneo Cristoforo Landino.</w:t>
      </w:r>
      <w:r w:rsidRPr="00096909">
        <w:rPr>
          <w:rStyle w:val="Rimandonotaapidipagina"/>
          <w:rFonts w:ascii="Times New Roman" w:hAnsi="Times New Roman" w:cs="Times New Roman"/>
          <w:sz w:val="24"/>
          <w:szCs w:val="24"/>
        </w:rPr>
        <w:footnoteReference w:id="432"/>
      </w:r>
      <w:r w:rsidRPr="00096909">
        <w:rPr>
          <w:rFonts w:ascii="Times New Roman" w:hAnsi="Times New Roman" w:cs="Times New Roman"/>
          <w:sz w:val="24"/>
          <w:szCs w:val="24"/>
        </w:rPr>
        <w:t xml:space="preserve"> Del resto era evidente, specie nella dedica dell’operetta al Magnifico, il proposito di Salimbeni di ricercare agganci presso i Medici, mostrando di saper padroneggiare gli strumenti espressivi del genere epico-cavalleresco, allora in voga, in una poesia che indugia sulla descrizione del torneo della terza giornata delle feste, alla quale è dedicata la sezione più estesa del poemetto, e che registra presenz</w:t>
      </w:r>
      <w:r>
        <w:rPr>
          <w:rFonts w:ascii="Times New Roman" w:hAnsi="Times New Roman" w:cs="Times New Roman"/>
          <w:sz w:val="24"/>
          <w:szCs w:val="24"/>
        </w:rPr>
        <w:t>e</w:t>
      </w:r>
      <w:r w:rsidRPr="00096909">
        <w:rPr>
          <w:rFonts w:ascii="Times New Roman" w:hAnsi="Times New Roman" w:cs="Times New Roman"/>
          <w:sz w:val="24"/>
          <w:szCs w:val="24"/>
        </w:rPr>
        <w:t xml:space="preserve"> e gesti dei nobili invitati e dei loro ambasciatori con tono adulatorio. Nella parata dei nobili inviati che apre la cronaca Salimbeni riservò inoltre un elogio particolarmente ampolloso – di cinque ottave contro il rapido cenno di </w:t>
      </w:r>
      <w:r w:rsidRPr="00096909">
        <w:rPr>
          <w:rFonts w:ascii="Times New Roman" w:hAnsi="Times New Roman" w:cs="Times New Roman"/>
          <w:sz w:val="24"/>
          <w:szCs w:val="24"/>
        </w:rPr>
        <w:lastRenderedPageBreak/>
        <w:t>una sola stanza riservato agli altri gentiluomini – al rappresentante della Signoria di Firenze: Lorenzo di Pier Francesco de’ Medici:</w:t>
      </w:r>
    </w:p>
    <w:p w14:paraId="7957E5E3" w14:textId="77777777" w:rsidR="00BD3461" w:rsidRPr="00096909" w:rsidRDefault="00BD3461" w:rsidP="00BD3461">
      <w:pPr>
        <w:pStyle w:val="Nessunaspaziatura"/>
        <w:spacing w:line="360" w:lineRule="auto"/>
        <w:ind w:left="2268"/>
        <w:jc w:val="both"/>
        <w:rPr>
          <w:rFonts w:ascii="Times New Roman" w:hAnsi="Times New Roman" w:cs="Times New Roman"/>
          <w:sz w:val="20"/>
          <w:szCs w:val="20"/>
        </w:rPr>
      </w:pPr>
    </w:p>
    <w:p w14:paraId="3C1B35F8" w14:textId="77777777" w:rsidR="00BD3461" w:rsidRPr="00096909" w:rsidRDefault="00BD3461" w:rsidP="00BD3461">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t>E da Fiorenza Lorenzo vi venne</w:t>
      </w:r>
    </w:p>
    <w:p w14:paraId="7AF23259" w14:textId="77777777" w:rsidR="00BD3461" w:rsidRPr="00096909" w:rsidRDefault="00BD3461" w:rsidP="00BD3461">
      <w:pPr>
        <w:pStyle w:val="Nessunaspaziatura"/>
        <w:spacing w:line="360" w:lineRule="auto"/>
        <w:ind w:left="2268"/>
        <w:jc w:val="both"/>
        <w:rPr>
          <w:rFonts w:ascii="Times New Roman" w:hAnsi="Times New Roman" w:cs="Times New Roman"/>
          <w:sz w:val="20"/>
          <w:szCs w:val="20"/>
        </w:rPr>
      </w:pPr>
      <w:r>
        <w:rPr>
          <w:rFonts w:ascii="Times New Roman" w:hAnsi="Times New Roman" w:cs="Times New Roman"/>
          <w:sz w:val="20"/>
          <w:szCs w:val="20"/>
        </w:rPr>
        <w:t>d</w:t>
      </w:r>
      <w:r w:rsidRPr="00096909">
        <w:rPr>
          <w:rFonts w:ascii="Times New Roman" w:hAnsi="Times New Roman" w:cs="Times New Roman"/>
          <w:sz w:val="20"/>
          <w:szCs w:val="20"/>
        </w:rPr>
        <w:t>i Pier Francesco non pigliassi errore.</w:t>
      </w:r>
    </w:p>
    <w:p w14:paraId="38827692" w14:textId="77777777" w:rsidR="00BD3461" w:rsidRPr="00096909" w:rsidRDefault="00BD3461" w:rsidP="00BD3461">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t>L’aspetto suo fe’ le nuptie solemne.</w:t>
      </w:r>
    </w:p>
    <w:p w14:paraId="000B8ACC" w14:textId="77777777" w:rsidR="00BD3461" w:rsidRPr="00096909" w:rsidRDefault="00BD3461" w:rsidP="00BD3461">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t>E questa volta e sempre si fe’ honore</w:t>
      </w:r>
    </w:p>
    <w:p w14:paraId="55D859B9" w14:textId="77777777" w:rsidR="00BD3461" w:rsidRPr="00096909" w:rsidRDefault="00BD3461" w:rsidP="00BD3461">
      <w:pPr>
        <w:pStyle w:val="Nessunaspaziatura"/>
        <w:spacing w:line="360" w:lineRule="auto"/>
        <w:ind w:left="2268"/>
        <w:jc w:val="both"/>
        <w:rPr>
          <w:rFonts w:ascii="Times New Roman" w:hAnsi="Times New Roman" w:cs="Times New Roman"/>
          <w:sz w:val="20"/>
          <w:szCs w:val="20"/>
        </w:rPr>
      </w:pPr>
      <w:r>
        <w:rPr>
          <w:rFonts w:ascii="Times New Roman" w:hAnsi="Times New Roman" w:cs="Times New Roman"/>
          <w:sz w:val="20"/>
          <w:szCs w:val="20"/>
        </w:rPr>
        <w:t>c</w:t>
      </w:r>
      <w:r w:rsidRPr="00096909">
        <w:rPr>
          <w:rFonts w:ascii="Times New Roman" w:hAnsi="Times New Roman" w:cs="Times New Roman"/>
          <w:sz w:val="20"/>
          <w:szCs w:val="20"/>
        </w:rPr>
        <w:t>ome a sua dignità proprio convenne</w:t>
      </w:r>
    </w:p>
    <w:p w14:paraId="67F6EF17" w14:textId="77777777" w:rsidR="00BD3461" w:rsidRPr="00096909" w:rsidRDefault="00BD3461" w:rsidP="00BD3461">
      <w:pPr>
        <w:pStyle w:val="Nessunaspaziatura"/>
        <w:spacing w:line="360" w:lineRule="auto"/>
        <w:ind w:left="2268"/>
        <w:jc w:val="both"/>
        <w:rPr>
          <w:rFonts w:ascii="Times New Roman" w:hAnsi="Times New Roman" w:cs="Times New Roman"/>
          <w:sz w:val="20"/>
          <w:szCs w:val="20"/>
        </w:rPr>
      </w:pPr>
      <w:r>
        <w:rPr>
          <w:rFonts w:ascii="Times New Roman" w:hAnsi="Times New Roman" w:cs="Times New Roman"/>
          <w:sz w:val="20"/>
          <w:szCs w:val="20"/>
        </w:rPr>
        <w:t>e</w:t>
      </w:r>
      <w:r w:rsidRPr="00096909">
        <w:rPr>
          <w:rFonts w:ascii="Times New Roman" w:hAnsi="Times New Roman" w:cs="Times New Roman"/>
          <w:sz w:val="20"/>
          <w:szCs w:val="20"/>
        </w:rPr>
        <w:t xml:space="preserve"> so ben che fu grato al mio signore.</w:t>
      </w:r>
    </w:p>
    <w:p w14:paraId="073F2784" w14:textId="77777777" w:rsidR="00BD3461" w:rsidRPr="00096909" w:rsidRDefault="00BD3461" w:rsidP="00BD3461">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t>Zoie, cavalli e una centura bella</w:t>
      </w:r>
    </w:p>
    <w:p w14:paraId="1CDBA47C" w14:textId="77777777" w:rsidR="00BD3461" w:rsidRPr="00096909" w:rsidRDefault="00BD3461" w:rsidP="00BD3461">
      <w:pPr>
        <w:pStyle w:val="Nessunaspaziatura"/>
        <w:spacing w:line="360" w:lineRule="auto"/>
        <w:ind w:left="2268"/>
        <w:jc w:val="both"/>
        <w:rPr>
          <w:rFonts w:ascii="Times New Roman" w:hAnsi="Times New Roman" w:cs="Times New Roman"/>
          <w:sz w:val="24"/>
          <w:szCs w:val="24"/>
        </w:rPr>
      </w:pPr>
      <w:r>
        <w:rPr>
          <w:rFonts w:ascii="Times New Roman" w:hAnsi="Times New Roman" w:cs="Times New Roman"/>
          <w:sz w:val="20"/>
          <w:szCs w:val="20"/>
        </w:rPr>
        <w:t>f</w:t>
      </w:r>
      <w:r w:rsidRPr="00096909">
        <w:rPr>
          <w:rFonts w:ascii="Times New Roman" w:hAnsi="Times New Roman" w:cs="Times New Roman"/>
          <w:sz w:val="20"/>
          <w:szCs w:val="20"/>
        </w:rPr>
        <w:t>an che a Bologna anchor se ne favella.</w:t>
      </w:r>
      <w:r w:rsidRPr="00096909">
        <w:rPr>
          <w:rStyle w:val="Rimandonotaapidipagina"/>
          <w:rFonts w:ascii="Times New Roman" w:hAnsi="Times New Roman" w:cs="Times New Roman"/>
          <w:sz w:val="20"/>
          <w:szCs w:val="20"/>
        </w:rPr>
        <w:footnoteReference w:id="433"/>
      </w:r>
    </w:p>
    <w:p w14:paraId="3141DEFF" w14:textId="77777777" w:rsidR="00BD3461" w:rsidRPr="00096909" w:rsidRDefault="00BD3461" w:rsidP="00BD3461">
      <w:pPr>
        <w:spacing w:after="0" w:line="360" w:lineRule="auto"/>
        <w:jc w:val="both"/>
        <w:rPr>
          <w:rFonts w:ascii="Times New Roman" w:hAnsi="Times New Roman" w:cs="Times New Roman"/>
          <w:sz w:val="24"/>
          <w:szCs w:val="24"/>
        </w:rPr>
      </w:pPr>
    </w:p>
    <w:p w14:paraId="4714AE15"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Tra le fonti a nostra disposizione l’</w:t>
      </w:r>
      <w:r w:rsidRPr="00096909">
        <w:rPr>
          <w:rFonts w:ascii="Times New Roman" w:hAnsi="Times New Roman" w:cs="Times New Roman"/>
          <w:i/>
          <w:sz w:val="24"/>
          <w:szCs w:val="24"/>
        </w:rPr>
        <w:t>Epithalamium</w:t>
      </w:r>
      <w:r w:rsidRPr="00096909">
        <w:rPr>
          <w:rFonts w:ascii="Times New Roman" w:hAnsi="Times New Roman" w:cs="Times New Roman"/>
          <w:sz w:val="24"/>
          <w:szCs w:val="24"/>
        </w:rPr>
        <w:t xml:space="preserve"> si dimostra piuttosto puntuale nell’elencare le personalità accorse a Bologna per presenziare allo sposalizio, alle quali dedica un sintetico ritratto. Nell’ordine Salimbeni nomin</w:t>
      </w:r>
      <w:r>
        <w:rPr>
          <w:rFonts w:ascii="Times New Roman" w:hAnsi="Times New Roman" w:cs="Times New Roman"/>
          <w:sz w:val="24"/>
          <w:szCs w:val="24"/>
        </w:rPr>
        <w:t>ò:</w:t>
      </w:r>
      <w:r w:rsidRPr="00096909">
        <w:rPr>
          <w:rFonts w:ascii="Times New Roman" w:hAnsi="Times New Roman" w:cs="Times New Roman"/>
          <w:sz w:val="24"/>
          <w:szCs w:val="24"/>
        </w:rPr>
        <w:t xml:space="preserve"> il vescovo di Urbino, quale legato di Innocenzo VIII; il vescovo di Gravina, inviato dal re di Napoli; Giovan Francesco Sanseverino, mandato da Gian Galeazzo Sforza; Antonio Trotto, inviato da Ludovico il Moro; Aloisio Capra, in rappresentanza del cardinale Ascanio Sforza; Bartolomeo Arconati per il cardinale Sabello; Pandolfo Malatesta; Girolamo Panfilo, messo del duca di Urbino; Galeazzo Sforza, in vece del Signore di Pesaro; Pandolfo da Pesaro, per il Signore di Camerino Giulio da Varano; Niccolò e Borso da Correggio; Bernardino Dottore per Giovanni Borromeo; i conti Girolamo Boiardo e Francesco Rangoni; Ercole Bentivoglio; e infine Ercole I d’Este, padre della sposa.</w:t>
      </w:r>
      <w:r w:rsidRPr="00096909">
        <w:rPr>
          <w:rStyle w:val="Rimandonotaapidipagina"/>
          <w:rFonts w:ascii="Times New Roman" w:hAnsi="Times New Roman" w:cs="Times New Roman"/>
          <w:sz w:val="24"/>
          <w:szCs w:val="24"/>
        </w:rPr>
        <w:footnoteReference w:id="434"/>
      </w:r>
    </w:p>
    <w:p w14:paraId="7F674679"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Con precisione e puntiglio l’autore descri</w:t>
      </w:r>
      <w:r>
        <w:rPr>
          <w:rFonts w:ascii="Times New Roman" w:hAnsi="Times New Roman" w:cs="Times New Roman"/>
          <w:sz w:val="24"/>
          <w:szCs w:val="24"/>
        </w:rPr>
        <w:t>ss</w:t>
      </w:r>
      <w:r w:rsidRPr="00096909">
        <w:rPr>
          <w:rFonts w:ascii="Times New Roman" w:hAnsi="Times New Roman" w:cs="Times New Roman"/>
          <w:sz w:val="24"/>
          <w:szCs w:val="24"/>
        </w:rPr>
        <w:t xml:space="preserve">e le divise dei sei scalchi eletti </w:t>
      </w:r>
      <w:r>
        <w:rPr>
          <w:rFonts w:ascii="Times New Roman" w:hAnsi="Times New Roman" w:cs="Times New Roman"/>
          <w:sz w:val="24"/>
          <w:szCs w:val="24"/>
        </w:rPr>
        <w:t xml:space="preserve">per </w:t>
      </w:r>
      <w:r w:rsidRPr="00096909">
        <w:rPr>
          <w:rFonts w:ascii="Times New Roman" w:hAnsi="Times New Roman" w:cs="Times New Roman"/>
          <w:sz w:val="24"/>
          <w:szCs w:val="24"/>
        </w:rPr>
        <w:t>gesti</w:t>
      </w:r>
      <w:r>
        <w:rPr>
          <w:rFonts w:ascii="Times New Roman" w:hAnsi="Times New Roman" w:cs="Times New Roman"/>
          <w:sz w:val="24"/>
          <w:szCs w:val="24"/>
        </w:rPr>
        <w:t>r</w:t>
      </w:r>
      <w:r w:rsidRPr="00096909">
        <w:rPr>
          <w:rFonts w:ascii="Times New Roman" w:hAnsi="Times New Roman" w:cs="Times New Roman"/>
          <w:sz w:val="24"/>
          <w:szCs w:val="24"/>
        </w:rPr>
        <w:t xml:space="preserve">e </w:t>
      </w:r>
      <w:r>
        <w:rPr>
          <w:rFonts w:ascii="Times New Roman" w:hAnsi="Times New Roman" w:cs="Times New Roman"/>
          <w:sz w:val="24"/>
          <w:szCs w:val="24"/>
        </w:rPr>
        <w:t>i</w:t>
      </w:r>
      <w:r w:rsidRPr="00096909">
        <w:rPr>
          <w:rFonts w:ascii="Times New Roman" w:hAnsi="Times New Roman" w:cs="Times New Roman"/>
          <w:sz w:val="24"/>
          <w:szCs w:val="24"/>
        </w:rPr>
        <w:t xml:space="preserve">l grandioso convito della seconda giornata – Bonifacio Cattaneo, Girolamo Ranuzzi, Andrea Bentivoglio, Andrea Grato, Pirro Malvezzi, Guido Pepoli – e quelle dei paggi </w:t>
      </w:r>
      <w:r>
        <w:rPr>
          <w:rFonts w:ascii="Times New Roman" w:hAnsi="Times New Roman" w:cs="Times New Roman"/>
          <w:sz w:val="24"/>
          <w:szCs w:val="24"/>
        </w:rPr>
        <w:t>scelti per</w:t>
      </w:r>
      <w:r w:rsidRPr="00096909">
        <w:rPr>
          <w:rFonts w:ascii="Times New Roman" w:hAnsi="Times New Roman" w:cs="Times New Roman"/>
          <w:sz w:val="24"/>
          <w:szCs w:val="24"/>
        </w:rPr>
        <w:t xml:space="preserve"> </w:t>
      </w:r>
      <w:r>
        <w:rPr>
          <w:rFonts w:ascii="Times New Roman" w:hAnsi="Times New Roman" w:cs="Times New Roman"/>
          <w:sz w:val="24"/>
          <w:szCs w:val="24"/>
        </w:rPr>
        <w:t>i</w:t>
      </w:r>
      <w:r w:rsidRPr="00096909">
        <w:rPr>
          <w:rFonts w:ascii="Times New Roman" w:hAnsi="Times New Roman" w:cs="Times New Roman"/>
          <w:sz w:val="24"/>
          <w:szCs w:val="24"/>
        </w:rPr>
        <w:t xml:space="preserve">l servizio delle mense. </w:t>
      </w:r>
    </w:p>
    <w:p w14:paraId="380790E9"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Messo dunque a paragone con i due scritti editi da Beroaldo e da Naldi, che offrirono al signore di Bologna il servizio di una elaborazione artistica del resoconto delle feste, l’</w:t>
      </w:r>
      <w:r w:rsidRPr="00096909">
        <w:rPr>
          <w:rFonts w:ascii="Times New Roman" w:hAnsi="Times New Roman" w:cs="Times New Roman"/>
          <w:i/>
          <w:sz w:val="24"/>
          <w:szCs w:val="24"/>
        </w:rPr>
        <w:t>Epithalamium</w:t>
      </w:r>
      <w:r w:rsidRPr="00096909">
        <w:rPr>
          <w:rFonts w:ascii="Times New Roman" w:hAnsi="Times New Roman" w:cs="Times New Roman"/>
          <w:sz w:val="24"/>
          <w:szCs w:val="24"/>
        </w:rPr>
        <w:t xml:space="preserve"> di Salimbeni, sebbene sia uno scritto poetico, appare piuttosto come un testo marcatamente cronachistico, attento alla registrazione dei dettagli degli eventi senza rinunciare agli elogi dei potenti accorsi per l’occasione. </w:t>
      </w:r>
    </w:p>
    <w:p w14:paraId="154F055A"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Il medesimo carattere credo si possa riconoscere anche a un’altra importante testimonianza manoscritta dedicata allo sposalizio: l’</w:t>
      </w:r>
      <w:r w:rsidRPr="00096909">
        <w:rPr>
          <w:rFonts w:ascii="Times New Roman" w:hAnsi="Times New Roman" w:cs="Times New Roman"/>
          <w:i/>
          <w:sz w:val="24"/>
          <w:szCs w:val="24"/>
        </w:rPr>
        <w:t>Hymeneus Bentivolus</w:t>
      </w:r>
      <w:r w:rsidRPr="00096909">
        <w:rPr>
          <w:rFonts w:ascii="Times New Roman" w:hAnsi="Times New Roman" w:cs="Times New Roman"/>
          <w:sz w:val="24"/>
          <w:szCs w:val="24"/>
        </w:rPr>
        <w:t xml:space="preserve"> di Giovanni Sabadino degli Arienti. Intellettuale legato alla famiglia egemone bolognese fin dai suoi esordi letterari, negli anni </w:t>
      </w:r>
      <w:r w:rsidRPr="00096909">
        <w:rPr>
          <w:rFonts w:ascii="Times New Roman" w:hAnsi="Times New Roman" w:cs="Times New Roman"/>
          <w:sz w:val="24"/>
          <w:szCs w:val="24"/>
        </w:rPr>
        <w:lastRenderedPageBreak/>
        <w:t xml:space="preserve">giovanili </w:t>
      </w:r>
      <w:r>
        <w:rPr>
          <w:rFonts w:ascii="Times New Roman" w:hAnsi="Times New Roman" w:cs="Times New Roman"/>
          <w:sz w:val="24"/>
          <w:szCs w:val="24"/>
        </w:rPr>
        <w:t xml:space="preserve">Arienti </w:t>
      </w:r>
      <w:r w:rsidRPr="00096909">
        <w:rPr>
          <w:rFonts w:ascii="Times New Roman" w:hAnsi="Times New Roman" w:cs="Times New Roman"/>
          <w:sz w:val="24"/>
          <w:szCs w:val="24"/>
        </w:rPr>
        <w:t>dovette a Ludovico Bentivoglio, cugino di Giovanni II, il sostegno ai propri studi notarili e l’assegnazione alla carica di segretario personale di Andrea Bentivoglio, il quale dal 1469 era membro del Consiglio dei Riformatori e che, come detto poc’anzi, fu tra gli scalchi del banchetto nuziale.</w:t>
      </w:r>
      <w:r w:rsidRPr="00096909">
        <w:rPr>
          <w:rStyle w:val="Rimandonotaapidipagina"/>
          <w:rFonts w:ascii="Times New Roman" w:hAnsi="Times New Roman" w:cs="Times New Roman"/>
          <w:sz w:val="24"/>
          <w:szCs w:val="24"/>
        </w:rPr>
        <w:footnoteReference w:id="435"/>
      </w:r>
      <w:r w:rsidRPr="00096909">
        <w:rPr>
          <w:rFonts w:ascii="Times New Roman" w:hAnsi="Times New Roman" w:cs="Times New Roman"/>
          <w:sz w:val="24"/>
          <w:szCs w:val="24"/>
        </w:rPr>
        <w:t xml:space="preserve"> </w:t>
      </w:r>
    </w:p>
    <w:p w14:paraId="138D04D8"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Nella primavera del 1471 </w:t>
      </w:r>
      <w:r>
        <w:rPr>
          <w:rFonts w:ascii="Times New Roman" w:hAnsi="Times New Roman" w:cs="Times New Roman"/>
          <w:sz w:val="24"/>
          <w:szCs w:val="24"/>
        </w:rPr>
        <w:t xml:space="preserve">l’autore </w:t>
      </w:r>
      <w:r w:rsidRPr="00096909">
        <w:rPr>
          <w:rFonts w:ascii="Times New Roman" w:hAnsi="Times New Roman" w:cs="Times New Roman"/>
          <w:sz w:val="24"/>
          <w:szCs w:val="24"/>
        </w:rPr>
        <w:t xml:space="preserve">aveva offerto a Giovanni II un pregevole manoscritto miniato contenente la descrizione del </w:t>
      </w:r>
      <w:r w:rsidRPr="00096909">
        <w:rPr>
          <w:rFonts w:ascii="Times New Roman" w:hAnsi="Times New Roman" w:cs="Times New Roman"/>
          <w:i/>
          <w:sz w:val="24"/>
          <w:szCs w:val="24"/>
        </w:rPr>
        <w:t>Torneo</w:t>
      </w:r>
      <w:r w:rsidRPr="00096909">
        <w:rPr>
          <w:rFonts w:ascii="Times New Roman" w:hAnsi="Times New Roman" w:cs="Times New Roman"/>
          <w:sz w:val="24"/>
          <w:szCs w:val="24"/>
        </w:rPr>
        <w:t xml:space="preserve"> organizzato dal </w:t>
      </w:r>
      <w:r w:rsidR="0098710C">
        <w:rPr>
          <w:rFonts w:ascii="Times New Roman" w:hAnsi="Times New Roman" w:cs="Times New Roman"/>
          <w:sz w:val="24"/>
          <w:szCs w:val="24"/>
        </w:rPr>
        <w:t>s</w:t>
      </w:r>
      <w:r w:rsidRPr="00096909">
        <w:rPr>
          <w:rFonts w:ascii="Times New Roman" w:hAnsi="Times New Roman" w:cs="Times New Roman"/>
          <w:sz w:val="24"/>
          <w:szCs w:val="24"/>
        </w:rPr>
        <w:t>ignore di Bologna in onore della festa patronale di san Petronio, il 4 ottobre 1470.</w:t>
      </w:r>
      <w:r w:rsidRPr="00096909">
        <w:rPr>
          <w:rStyle w:val="Rimandonotaapidipagina"/>
          <w:rFonts w:ascii="Times New Roman" w:hAnsi="Times New Roman" w:cs="Times New Roman"/>
          <w:sz w:val="24"/>
          <w:szCs w:val="24"/>
        </w:rPr>
        <w:footnoteReference w:id="436"/>
      </w:r>
      <w:r w:rsidRPr="00096909">
        <w:rPr>
          <w:rFonts w:ascii="Times New Roman" w:hAnsi="Times New Roman" w:cs="Times New Roman"/>
          <w:sz w:val="24"/>
          <w:szCs w:val="24"/>
        </w:rPr>
        <w:t xml:space="preserve"> Quest’opera, non richiesta espressamente dal Bentivoglio, mise in luce le doti descrittive del letterato, che nel 1487 presentò la cronaca dei festeggiamenti per le nozze di Annibale quale dimostrazione ulteriore del proprio sostegno </w:t>
      </w:r>
      <w:r w:rsidRPr="00096909">
        <w:rPr>
          <w:rStyle w:val="Rimandocommento"/>
          <w:rFonts w:ascii="Times New Roman" w:hAnsi="Times New Roman" w:cs="Times New Roman"/>
          <w:sz w:val="24"/>
          <w:szCs w:val="24"/>
        </w:rPr>
        <w:t>al</w:t>
      </w:r>
      <w:r w:rsidRPr="00096909">
        <w:rPr>
          <w:rFonts w:ascii="Times New Roman" w:hAnsi="Times New Roman" w:cs="Times New Roman"/>
          <w:sz w:val="24"/>
          <w:szCs w:val="24"/>
        </w:rPr>
        <w:t>la famiglia egemone.</w:t>
      </w:r>
      <w:r w:rsidRPr="00096909">
        <w:rPr>
          <w:rStyle w:val="Rimandonotaapidipagina"/>
          <w:rFonts w:ascii="Times New Roman" w:hAnsi="Times New Roman" w:cs="Times New Roman"/>
          <w:sz w:val="24"/>
          <w:szCs w:val="24"/>
        </w:rPr>
        <w:footnoteReference w:id="437"/>
      </w:r>
      <w:r w:rsidRPr="00096909">
        <w:rPr>
          <w:rFonts w:ascii="Times New Roman" w:hAnsi="Times New Roman" w:cs="Times New Roman"/>
          <w:sz w:val="24"/>
          <w:szCs w:val="24"/>
        </w:rPr>
        <w:t xml:space="preserve"> </w:t>
      </w:r>
    </w:p>
    <w:p w14:paraId="23FFA052"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In virtù dell’appartenenza alla cerchia di Andrea Bentivoglio, responsabile dei preparativi di parte dell’evento, Arienti poté accedere ai registri delle spese sostenute per il lussuoso addobbo del palazzo signorile, per la preparazione del banchetto e per la creazione de</w:t>
      </w:r>
      <w:r>
        <w:rPr>
          <w:rFonts w:ascii="Times New Roman" w:hAnsi="Times New Roman" w:cs="Times New Roman"/>
          <w:sz w:val="24"/>
          <w:szCs w:val="24"/>
        </w:rPr>
        <w:t>lle decorazione</w:t>
      </w:r>
      <w:r w:rsidRPr="00096909">
        <w:rPr>
          <w:rFonts w:ascii="Times New Roman" w:hAnsi="Times New Roman" w:cs="Times New Roman"/>
          <w:sz w:val="24"/>
          <w:szCs w:val="24"/>
        </w:rPr>
        <w:t xml:space="preserve"> urban</w:t>
      </w:r>
      <w:r>
        <w:rPr>
          <w:rFonts w:ascii="Times New Roman" w:hAnsi="Times New Roman" w:cs="Times New Roman"/>
          <w:sz w:val="24"/>
          <w:szCs w:val="24"/>
        </w:rPr>
        <w:t>e</w:t>
      </w:r>
      <w:r w:rsidRPr="00096909">
        <w:rPr>
          <w:rFonts w:ascii="Times New Roman" w:hAnsi="Times New Roman" w:cs="Times New Roman"/>
          <w:sz w:val="24"/>
          <w:szCs w:val="24"/>
        </w:rPr>
        <w:t xml:space="preserve">, e gli fu anche concesso di inserire nel suo resoconto i versi di Lorenzo Rossi declamati dalle allegorie delle Sette Virtù durante il corteo d’ingresso della sposa; il testo della fabula allegorica di </w:t>
      </w:r>
      <w:bookmarkStart w:id="352" w:name="_Hlk535923778"/>
      <w:r w:rsidRPr="00096909">
        <w:rPr>
          <w:rFonts w:ascii="Times New Roman" w:hAnsi="Times New Roman" w:cs="Times New Roman"/>
          <w:sz w:val="24"/>
          <w:szCs w:val="24"/>
        </w:rPr>
        <w:t xml:space="preserve">Domenico Foschi </w:t>
      </w:r>
      <w:bookmarkEnd w:id="352"/>
      <w:r w:rsidRPr="00096909">
        <w:rPr>
          <w:rFonts w:ascii="Times New Roman" w:hAnsi="Times New Roman" w:cs="Times New Roman"/>
          <w:sz w:val="24"/>
          <w:szCs w:val="24"/>
        </w:rPr>
        <w:t xml:space="preserve">da Rimini recitato alla presenza di Lucrezia d’Este la sera del 29 gennaio; le due ottave di </w:t>
      </w:r>
      <w:bookmarkStart w:id="353" w:name="_Hlk535923827"/>
      <w:r w:rsidRPr="00096909">
        <w:rPr>
          <w:rFonts w:ascii="Times New Roman" w:hAnsi="Times New Roman" w:cs="Times New Roman"/>
          <w:sz w:val="24"/>
          <w:szCs w:val="24"/>
        </w:rPr>
        <w:t xml:space="preserve">Andrea Magnani </w:t>
      </w:r>
      <w:bookmarkEnd w:id="353"/>
      <w:r w:rsidRPr="00096909">
        <w:rPr>
          <w:rFonts w:ascii="Times New Roman" w:hAnsi="Times New Roman" w:cs="Times New Roman"/>
          <w:sz w:val="24"/>
          <w:szCs w:val="24"/>
        </w:rPr>
        <w:t xml:space="preserve">sul contrasto tra Fortuna e Prudenza che aprì la partita al gioco del </w:t>
      </w:r>
      <w:r w:rsidRPr="00096909">
        <w:rPr>
          <w:rFonts w:ascii="Times New Roman" w:hAnsi="Times New Roman" w:cs="Times New Roman"/>
          <w:sz w:val="24"/>
          <w:szCs w:val="24"/>
        </w:rPr>
        <w:lastRenderedPageBreak/>
        <w:t>pallone disputata il giorno successivo: componimenti che non compaiono negli altri scritti sulla festa.</w:t>
      </w:r>
      <w:r w:rsidRPr="00096909">
        <w:rPr>
          <w:rStyle w:val="Rimandonotaapidipagina"/>
          <w:rFonts w:ascii="Times New Roman" w:hAnsi="Times New Roman" w:cs="Times New Roman"/>
          <w:sz w:val="24"/>
          <w:szCs w:val="24"/>
        </w:rPr>
        <w:footnoteReference w:id="438"/>
      </w:r>
      <w:r w:rsidRPr="00096909">
        <w:rPr>
          <w:rFonts w:ascii="Times New Roman" w:hAnsi="Times New Roman" w:cs="Times New Roman"/>
          <w:sz w:val="24"/>
          <w:szCs w:val="24"/>
        </w:rPr>
        <w:t xml:space="preserve"> </w:t>
      </w:r>
    </w:p>
    <w:p w14:paraId="20B63911"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w:t>
      </w:r>
      <w:r w:rsidRPr="00096909">
        <w:rPr>
          <w:rFonts w:ascii="Times New Roman" w:hAnsi="Times New Roman" w:cs="Times New Roman"/>
          <w:i/>
          <w:sz w:val="24"/>
          <w:szCs w:val="24"/>
        </w:rPr>
        <w:t>Hymeneus</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Bentivolus</w:t>
      </w:r>
      <w:r w:rsidRPr="00096909">
        <w:rPr>
          <w:rFonts w:ascii="Times New Roman" w:hAnsi="Times New Roman" w:cs="Times New Roman"/>
          <w:sz w:val="24"/>
          <w:szCs w:val="24"/>
        </w:rPr>
        <w:t xml:space="preserve"> è dunque il testimone meglio informato sugli eventi e che, attraverso i suoi cinquantadue paragrafi, marcati nell’esemplare oggi alla Biblioteca dell’Archiginnasio da capilettera miniati, propone la registrazione più ampia dei festeggiamenti, dal viaggio dello sposo a Ferrara per presentare l’anello a Lucrezia il 22 gennaio 1487 fino al congedo degli invitati al termine della festa il 2 febbraio successivo. </w:t>
      </w:r>
    </w:p>
    <w:p w14:paraId="09B7FB66"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 questa si potrà aggiungere un’altra testimonianza sull’evento, reperibile in un manoscritto intitolato </w:t>
      </w:r>
      <w:r w:rsidRPr="00096909">
        <w:rPr>
          <w:rFonts w:ascii="Times New Roman" w:hAnsi="Times New Roman" w:cs="Times New Roman"/>
          <w:i/>
          <w:sz w:val="24"/>
          <w:szCs w:val="24"/>
        </w:rPr>
        <w:t>Narratione particolare delle nozze della Ill.ma Prencipessa di Ferrara in Bologna col Ill.mo Signor Annibale Bentivoglio nel MCCCCLXXXVII à dì XXVIII di Gènaio</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439"/>
      </w:r>
      <w:r w:rsidRPr="00096909">
        <w:rPr>
          <w:rFonts w:ascii="Times New Roman" w:hAnsi="Times New Roman" w:cs="Times New Roman"/>
          <w:sz w:val="24"/>
          <w:szCs w:val="24"/>
        </w:rPr>
        <w:t xml:space="preserve"> Francesca Bortoletti ha segnalato la particolare attenzione dell’anonimo estensore di quest’ultimo testo alle coreografie eseguite durante la recita della fabula mitologica di Domenico F</w:t>
      </w:r>
      <w:r w:rsidR="008F1CBE">
        <w:rPr>
          <w:rFonts w:ascii="Times New Roman" w:hAnsi="Times New Roman" w:cs="Times New Roman"/>
          <w:sz w:val="24"/>
          <w:szCs w:val="24"/>
        </w:rPr>
        <w:t>o</w:t>
      </w:r>
      <w:r w:rsidRPr="00096909">
        <w:rPr>
          <w:rFonts w:ascii="Times New Roman" w:hAnsi="Times New Roman" w:cs="Times New Roman"/>
          <w:sz w:val="24"/>
          <w:szCs w:val="24"/>
        </w:rPr>
        <w:t>sc</w:t>
      </w:r>
      <w:r w:rsidR="008F1CBE">
        <w:rPr>
          <w:rFonts w:ascii="Times New Roman" w:hAnsi="Times New Roman" w:cs="Times New Roman"/>
          <w:sz w:val="24"/>
          <w:szCs w:val="24"/>
        </w:rPr>
        <w:t>hi</w:t>
      </w:r>
      <w:r w:rsidRPr="00096909">
        <w:rPr>
          <w:rFonts w:ascii="Times New Roman" w:hAnsi="Times New Roman" w:cs="Times New Roman"/>
          <w:sz w:val="24"/>
          <w:szCs w:val="24"/>
        </w:rPr>
        <w:t>, indizio che, unito alla lettura delle missive inviate da Giovanni II a Francesco Gonzaga</w:t>
      </w:r>
      <w:r w:rsidR="008F1CBE">
        <w:rPr>
          <w:rFonts w:ascii="Times New Roman" w:hAnsi="Times New Roman" w:cs="Times New Roman"/>
          <w:sz w:val="24"/>
          <w:szCs w:val="24"/>
        </w:rPr>
        <w:t xml:space="preserve"> II</w:t>
      </w:r>
      <w:r w:rsidRPr="00096909">
        <w:rPr>
          <w:rFonts w:ascii="Times New Roman" w:hAnsi="Times New Roman" w:cs="Times New Roman"/>
          <w:sz w:val="24"/>
          <w:szCs w:val="24"/>
        </w:rPr>
        <w:t xml:space="preserve"> per domandare in prestito il maestro fiorentino di ballo Lorenzo Lavagnolo, ha consentito</w:t>
      </w:r>
      <w:r>
        <w:rPr>
          <w:rFonts w:ascii="Times New Roman" w:hAnsi="Times New Roman" w:cs="Times New Roman"/>
          <w:sz w:val="24"/>
          <w:szCs w:val="24"/>
        </w:rPr>
        <w:t xml:space="preserve"> alla studiosa</w:t>
      </w:r>
      <w:r w:rsidRPr="00096909">
        <w:rPr>
          <w:rFonts w:ascii="Times New Roman" w:hAnsi="Times New Roman" w:cs="Times New Roman"/>
          <w:sz w:val="24"/>
          <w:szCs w:val="24"/>
        </w:rPr>
        <w:t xml:space="preserve"> di comprendere meglio l’importanza del ruolo della danza all’interno della festa nuziale di Lucrezia d’Este.</w:t>
      </w:r>
      <w:r w:rsidRPr="00096909">
        <w:rPr>
          <w:rStyle w:val="Rimandonotaapidipagina"/>
          <w:rFonts w:ascii="Times New Roman" w:hAnsi="Times New Roman" w:cs="Times New Roman"/>
          <w:sz w:val="24"/>
          <w:szCs w:val="24"/>
        </w:rPr>
        <w:footnoteReference w:id="440"/>
      </w:r>
      <w:r w:rsidRPr="00096909">
        <w:rPr>
          <w:rFonts w:ascii="Times New Roman" w:hAnsi="Times New Roman" w:cs="Times New Roman"/>
          <w:sz w:val="24"/>
          <w:szCs w:val="24"/>
        </w:rPr>
        <w:t xml:space="preserve"> </w:t>
      </w:r>
    </w:p>
    <w:p w14:paraId="723430B3"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L’attenta </w:t>
      </w:r>
      <w:r>
        <w:rPr>
          <w:rFonts w:ascii="Times New Roman" w:hAnsi="Times New Roman" w:cs="Times New Roman"/>
          <w:sz w:val="24"/>
          <w:szCs w:val="24"/>
        </w:rPr>
        <w:t>ricognizione e la critica</w:t>
      </w:r>
      <w:r w:rsidRPr="00096909">
        <w:rPr>
          <w:rFonts w:ascii="Times New Roman" w:hAnsi="Times New Roman" w:cs="Times New Roman"/>
          <w:sz w:val="24"/>
          <w:szCs w:val="24"/>
        </w:rPr>
        <w:t xml:space="preserve"> delle fonti si conferma</w:t>
      </w:r>
      <w:r>
        <w:rPr>
          <w:rFonts w:ascii="Times New Roman" w:hAnsi="Times New Roman" w:cs="Times New Roman"/>
          <w:sz w:val="24"/>
          <w:szCs w:val="24"/>
        </w:rPr>
        <w:t>no</w:t>
      </w:r>
      <w:r w:rsidRPr="00096909">
        <w:rPr>
          <w:rFonts w:ascii="Times New Roman" w:hAnsi="Times New Roman" w:cs="Times New Roman"/>
          <w:sz w:val="24"/>
          <w:szCs w:val="24"/>
        </w:rPr>
        <w:t xml:space="preserve"> dunque strument</w:t>
      </w:r>
      <w:r>
        <w:rPr>
          <w:rFonts w:ascii="Times New Roman" w:hAnsi="Times New Roman" w:cs="Times New Roman"/>
          <w:sz w:val="24"/>
          <w:szCs w:val="24"/>
        </w:rPr>
        <w:t>i</w:t>
      </w:r>
      <w:r w:rsidRPr="00096909">
        <w:rPr>
          <w:rFonts w:ascii="Times New Roman" w:hAnsi="Times New Roman" w:cs="Times New Roman"/>
          <w:sz w:val="24"/>
          <w:szCs w:val="24"/>
        </w:rPr>
        <w:t xml:space="preserve"> util</w:t>
      </w:r>
      <w:r>
        <w:rPr>
          <w:rFonts w:ascii="Times New Roman" w:hAnsi="Times New Roman" w:cs="Times New Roman"/>
          <w:sz w:val="24"/>
          <w:szCs w:val="24"/>
        </w:rPr>
        <w:t>i</w:t>
      </w:r>
      <w:r w:rsidRPr="00096909">
        <w:rPr>
          <w:rFonts w:ascii="Times New Roman" w:hAnsi="Times New Roman" w:cs="Times New Roman"/>
          <w:sz w:val="24"/>
          <w:szCs w:val="24"/>
        </w:rPr>
        <w:t xml:space="preserve"> tanto per ricostruire la sequenza dei momenti delle cerimonie dinastiche</w:t>
      </w:r>
      <w:r>
        <w:rPr>
          <w:rFonts w:ascii="Times New Roman" w:hAnsi="Times New Roman" w:cs="Times New Roman"/>
          <w:sz w:val="24"/>
          <w:szCs w:val="24"/>
        </w:rPr>
        <w:t>,</w:t>
      </w:r>
      <w:r w:rsidRPr="00096909">
        <w:rPr>
          <w:rFonts w:ascii="Times New Roman" w:hAnsi="Times New Roman" w:cs="Times New Roman"/>
          <w:sz w:val="24"/>
          <w:szCs w:val="24"/>
        </w:rPr>
        <w:t xml:space="preserve"> quanto per indagarne il significato e la rete di relazioni diplomatiche necessarie a organizzare un evento capace di catturare l’attenzione di un pubblico principesco aggiornato su quanto di meglio l’Italia rinascimentale potesse offrire in fatto di divertimenti e di spettacoli. </w:t>
      </w:r>
    </w:p>
    <w:p w14:paraId="573D2927"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Si proverà pertanto a dare conto dell</w:t>
      </w:r>
      <w:r>
        <w:rPr>
          <w:rFonts w:ascii="Times New Roman" w:hAnsi="Times New Roman" w:cs="Times New Roman"/>
          <w:sz w:val="24"/>
          <w:szCs w:val="24"/>
        </w:rPr>
        <w:t>e</w:t>
      </w:r>
      <w:r w:rsidRPr="00096909">
        <w:rPr>
          <w:rFonts w:ascii="Times New Roman" w:hAnsi="Times New Roman" w:cs="Times New Roman"/>
          <w:sz w:val="24"/>
          <w:szCs w:val="24"/>
        </w:rPr>
        <w:t xml:space="preserve"> particolarità dei festeggiamenti dello sposalizio Bentivoglio-D’Este seguendo le informazioni trasmesse da Giovanni Sabadino degli Arienti e mettendole a confronto con quanto scritto dagli altri cronisti per chiarire i passi più dubbi e più interessanti per una ricerca </w:t>
      </w:r>
      <w:r>
        <w:rPr>
          <w:rFonts w:ascii="Times New Roman" w:hAnsi="Times New Roman" w:cs="Times New Roman"/>
          <w:sz w:val="24"/>
          <w:szCs w:val="24"/>
        </w:rPr>
        <w:t>nell’</w:t>
      </w:r>
      <w:r w:rsidRPr="00096909">
        <w:rPr>
          <w:rFonts w:ascii="Times New Roman" w:hAnsi="Times New Roman" w:cs="Times New Roman"/>
          <w:sz w:val="24"/>
          <w:szCs w:val="24"/>
        </w:rPr>
        <w:t>ambito d</w:t>
      </w:r>
      <w:r>
        <w:rPr>
          <w:rFonts w:ascii="Times New Roman" w:hAnsi="Times New Roman" w:cs="Times New Roman"/>
          <w:sz w:val="24"/>
          <w:szCs w:val="24"/>
        </w:rPr>
        <w:t>ella</w:t>
      </w:r>
      <w:r w:rsidRPr="00096909">
        <w:rPr>
          <w:rFonts w:ascii="Times New Roman" w:hAnsi="Times New Roman" w:cs="Times New Roman"/>
          <w:sz w:val="24"/>
          <w:szCs w:val="24"/>
        </w:rPr>
        <w:t xml:space="preserve"> storia del teatro.</w:t>
      </w:r>
    </w:p>
    <w:p w14:paraId="6060AD2F"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 primi tre paragrafi [I-III]</w:t>
      </w:r>
      <w:r w:rsidRPr="00096909">
        <w:rPr>
          <w:rStyle w:val="Rimandonotaapidipagina"/>
          <w:rFonts w:ascii="Times New Roman" w:hAnsi="Times New Roman" w:cs="Times New Roman"/>
          <w:sz w:val="24"/>
          <w:szCs w:val="24"/>
        </w:rPr>
        <w:footnoteReference w:id="441"/>
      </w:r>
      <w:r w:rsidRPr="00096909">
        <w:rPr>
          <w:rFonts w:ascii="Times New Roman" w:hAnsi="Times New Roman" w:cs="Times New Roman"/>
          <w:sz w:val="24"/>
          <w:szCs w:val="24"/>
        </w:rPr>
        <w:t xml:space="preserve"> dell’</w:t>
      </w:r>
      <w:r w:rsidRPr="00096909">
        <w:rPr>
          <w:rFonts w:ascii="Times New Roman" w:hAnsi="Times New Roman" w:cs="Times New Roman"/>
          <w:i/>
          <w:sz w:val="24"/>
          <w:szCs w:val="24"/>
        </w:rPr>
        <w:t>Hymeneus Bentivolus</w:t>
      </w:r>
      <w:r w:rsidRPr="00096909">
        <w:rPr>
          <w:rFonts w:ascii="Times New Roman" w:hAnsi="Times New Roman" w:cs="Times New Roman"/>
          <w:sz w:val="24"/>
          <w:szCs w:val="24"/>
        </w:rPr>
        <w:t xml:space="preserve"> sono dedicati all’elogio delle famiglie degli sposi, delle quali l’autore traccia un profilo storiografico sintetico</w:t>
      </w:r>
      <w:r>
        <w:rPr>
          <w:rFonts w:ascii="Times New Roman" w:hAnsi="Times New Roman" w:cs="Times New Roman"/>
          <w:sz w:val="24"/>
          <w:szCs w:val="24"/>
        </w:rPr>
        <w:t xml:space="preserve"> e</w:t>
      </w:r>
      <w:r w:rsidRPr="00096909">
        <w:rPr>
          <w:rFonts w:ascii="Times New Roman" w:hAnsi="Times New Roman" w:cs="Times New Roman"/>
          <w:sz w:val="24"/>
          <w:szCs w:val="24"/>
        </w:rPr>
        <w:t xml:space="preserve"> approssimativo, fondato su leggende e che nulla ha a che vedere con le puntuali digressioni genealogiche premesse dai cronisti sforzeschi alle descrizioni degli sposalizi milanesi del 1489 e del 1493. Bisogna osservare tuttavia come una simile premessa storica, che diverrà un </w:t>
      </w:r>
      <w:r w:rsidRPr="00096909">
        <w:rPr>
          <w:rFonts w:ascii="Times New Roman" w:hAnsi="Times New Roman" w:cs="Times New Roman"/>
          <w:i/>
          <w:sz w:val="24"/>
          <w:szCs w:val="24"/>
        </w:rPr>
        <w:t>cliché</w:t>
      </w:r>
      <w:r w:rsidRPr="00096909">
        <w:rPr>
          <w:rFonts w:ascii="Times New Roman" w:hAnsi="Times New Roman" w:cs="Times New Roman"/>
          <w:sz w:val="24"/>
          <w:szCs w:val="24"/>
        </w:rPr>
        <w:t xml:space="preserve"> delle cronache nuziali ufficiali successive, manchi nelle altre descrizioni del matrimonio bolognese. </w:t>
      </w:r>
    </w:p>
    <w:p w14:paraId="77E0D31D"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Il resoconto procede dunque ricordando come lo sposalizio venne celebrato nei freddi giorni conclusivi di gennaio su richiesta di Ercole d’Este, che aveva progettato di recarsi in pellegrinaggio a Santiago de Compostela nella primavera seguente [IV].</w:t>
      </w:r>
      <w:r w:rsidRPr="00096909">
        <w:rPr>
          <w:rStyle w:val="Rimandonotaapidipagina"/>
          <w:rFonts w:ascii="Times New Roman" w:hAnsi="Times New Roman" w:cs="Times New Roman"/>
          <w:sz w:val="24"/>
          <w:szCs w:val="24"/>
        </w:rPr>
        <w:footnoteReference w:id="442"/>
      </w:r>
      <w:r w:rsidRPr="00096909">
        <w:rPr>
          <w:rFonts w:ascii="Times New Roman" w:hAnsi="Times New Roman" w:cs="Times New Roman"/>
          <w:sz w:val="24"/>
          <w:szCs w:val="24"/>
        </w:rPr>
        <w:t xml:space="preserve"> Vennero dunque eletti celermente sei scalchi tra i bolognesi più nobili e facoltosi per il servizio delle mense e ventisei loro assistenti. Altri 131 cittadini abbienti furono poi deputati all’accoglienza degli ospiti</w:t>
      </w:r>
      <w:r>
        <w:rPr>
          <w:rFonts w:ascii="Times New Roman" w:hAnsi="Times New Roman" w:cs="Times New Roman"/>
          <w:sz w:val="24"/>
          <w:szCs w:val="24"/>
        </w:rPr>
        <w:t xml:space="preserve"> e</w:t>
      </w:r>
      <w:r w:rsidRPr="00096909">
        <w:rPr>
          <w:rFonts w:ascii="Times New Roman" w:hAnsi="Times New Roman" w:cs="Times New Roman"/>
          <w:sz w:val="24"/>
          <w:szCs w:val="24"/>
        </w:rPr>
        <w:t xml:space="preserve"> al decoro delle vie e dei castelli di Bentivoglio, di San Giorgio e di Zucca, quest’ultimo scelto come luogo di sosta della sposa prima dell’ingresso in città [V]. </w:t>
      </w:r>
    </w:p>
    <w:p w14:paraId="07100716"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In previsione dello sposalizio Giovanni II predispose un’ingente opera di riorganizzazione urbana</w:t>
      </w:r>
      <w:r>
        <w:rPr>
          <w:rFonts w:ascii="Times New Roman" w:hAnsi="Times New Roman" w:cs="Times New Roman"/>
          <w:sz w:val="24"/>
          <w:szCs w:val="24"/>
        </w:rPr>
        <w:t>,</w:t>
      </w:r>
      <w:r w:rsidRPr="00096909">
        <w:rPr>
          <w:rFonts w:ascii="Times New Roman" w:hAnsi="Times New Roman" w:cs="Times New Roman"/>
          <w:sz w:val="24"/>
          <w:szCs w:val="24"/>
        </w:rPr>
        <w:t xml:space="preserve"> così sintetizzata dall’Arienti: </w:t>
      </w:r>
    </w:p>
    <w:p w14:paraId="0CEC7ABD" w14:textId="77777777" w:rsidR="00BD3461" w:rsidRPr="00096909" w:rsidRDefault="00BD3461" w:rsidP="00BD3461">
      <w:pPr>
        <w:spacing w:after="0" w:line="360" w:lineRule="auto"/>
        <w:ind w:left="567" w:right="566"/>
        <w:jc w:val="both"/>
        <w:rPr>
          <w:rFonts w:ascii="Times New Roman" w:hAnsi="Times New Roman" w:cs="Times New Roman"/>
          <w:sz w:val="20"/>
          <w:szCs w:val="20"/>
        </w:rPr>
      </w:pPr>
    </w:p>
    <w:p w14:paraId="672D4A6C" w14:textId="77777777" w:rsidR="00BD3461" w:rsidRPr="00096909" w:rsidRDefault="00BD3461" w:rsidP="00BD3461">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Il principe Bentivoglio comprò certe case che erano avanti il suo palazo e fin a terra le fece disfare, et feceli gran piaza che di longheza (per mi misurata) furono cento e decimo septimo varghi et varghi trenta per larghezza, et tutta la fece de sexto tabulare. Et tutta piaza fece de panni celesti coprire.</w:t>
      </w:r>
    </w:p>
    <w:p w14:paraId="4F8D000D" w14:textId="77777777" w:rsidR="00BD3461" w:rsidRPr="00096909" w:rsidRDefault="00BD3461" w:rsidP="00BD3461">
      <w:pPr>
        <w:spacing w:after="0" w:line="360" w:lineRule="auto"/>
        <w:ind w:left="567" w:right="566"/>
        <w:jc w:val="both"/>
        <w:rPr>
          <w:rFonts w:ascii="Times New Roman" w:hAnsi="Times New Roman" w:cs="Times New Roman"/>
          <w:sz w:val="20"/>
          <w:szCs w:val="20"/>
        </w:rPr>
      </w:pPr>
    </w:p>
    <w:p w14:paraId="6F47E55C"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 magnifico arco di verzura montato su finte colonne di legno all’antica, dal quale pendevano le insegne dei duchi di Milano, di Mantova, di Ferrara e del Bentivoglio, dava accesso al palazzo gentilizio. Le sue sale furono egualmente abbellite con intarsi in pietra viva e dorature, mentre dal </w:t>
      </w:r>
      <w:r w:rsidRPr="00096909">
        <w:rPr>
          <w:rFonts w:ascii="Times New Roman" w:hAnsi="Times New Roman" w:cs="Times New Roman"/>
          <w:sz w:val="24"/>
          <w:szCs w:val="24"/>
        </w:rPr>
        <w:lastRenderedPageBreak/>
        <w:t xml:space="preserve">soffitto della scala montante al piano superiore pendeva un serpente modellato in verzura con le fauci aperte per sbranare un moro, chiara allusione all’insegna visconteo-sforzesca. </w:t>
      </w:r>
    </w:p>
    <w:p w14:paraId="3436F72E"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porta d’ingresso della sala deputata a ospitare la festa venne decorata con le insegne della famiglia dello sposo, dei duchi di Milano, di Ferrara e di Urbino, del re di Napoli, e di alcune casate nobili con cui Giovanni II aveva vincoli di parentela (Manfredi, Pio, Mirandola, Rangoni) [VI]</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L</w:t>
      </w:r>
      <w:r w:rsidRPr="00096909">
        <w:rPr>
          <w:rFonts w:ascii="Times New Roman" w:hAnsi="Times New Roman" w:cs="Times New Roman"/>
          <w:sz w:val="24"/>
          <w:szCs w:val="24"/>
        </w:rPr>
        <w:t xml:space="preserve">e pareti furono apparate con spalliere, pedane, arazzi e festoni con le insegne dei principi invitati, tra le quali spiccava quella di Innocenzo VIII, retta da due angeli. Il soffitto </w:t>
      </w:r>
      <w:r>
        <w:rPr>
          <w:rFonts w:ascii="Times New Roman" w:hAnsi="Times New Roman" w:cs="Times New Roman"/>
          <w:sz w:val="24"/>
          <w:szCs w:val="24"/>
        </w:rPr>
        <w:t xml:space="preserve">fu </w:t>
      </w:r>
      <w:r w:rsidRPr="00096909">
        <w:rPr>
          <w:rFonts w:ascii="Times New Roman" w:hAnsi="Times New Roman" w:cs="Times New Roman"/>
          <w:sz w:val="24"/>
          <w:szCs w:val="24"/>
        </w:rPr>
        <w:t xml:space="preserve">coperto da panni azzurri con stelle d’oro, cui era appeso un festone di fronde di mirto, edera, pino, cipresso. Un palco </w:t>
      </w:r>
      <w:r>
        <w:rPr>
          <w:rFonts w:ascii="Times New Roman" w:hAnsi="Times New Roman" w:cs="Times New Roman"/>
          <w:sz w:val="24"/>
          <w:szCs w:val="24"/>
        </w:rPr>
        <w:t>a</w:t>
      </w:r>
      <w:r w:rsidRPr="00096909">
        <w:rPr>
          <w:rFonts w:ascii="Times New Roman" w:hAnsi="Times New Roman" w:cs="Times New Roman"/>
          <w:sz w:val="24"/>
          <w:szCs w:val="24"/>
        </w:rPr>
        <w:t xml:space="preserve"> sette gradoni era stato predisposto per la mensa della sposa e innanzi a esso fece bella mostra una credenza colma di servizi da tavola preziosi custodita dalle statue di due guerrieri recanti l’uno una spada e uno scudo con l’arme Bentivoglio, inquartata con quella dei duchi di Milano, l’altro una clava e uno scudo con gli stemmi di casa d’Este e Bentivoglio. </w:t>
      </w:r>
    </w:p>
    <w:p w14:paraId="3BB563D2"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Ma la meraviglia maggiore del salone fu forse la luminaria sospesa al soffitto, composta da due candelieri argentei in forma di vasi di fiori, i quali custodivano tra i petali dei lumi che, la sera del convito, si accesero automaticamente</w:t>
      </w:r>
      <w:r w:rsidR="00AF4F22">
        <w:rPr>
          <w:rFonts w:ascii="Times New Roman" w:hAnsi="Times New Roman" w:cs="Times New Roman"/>
          <w:sz w:val="24"/>
          <w:szCs w:val="24"/>
        </w:rPr>
        <w:t>,</w:t>
      </w:r>
      <w:r w:rsidRPr="00096909">
        <w:rPr>
          <w:rFonts w:ascii="Times New Roman" w:hAnsi="Times New Roman" w:cs="Times New Roman"/>
          <w:sz w:val="24"/>
          <w:szCs w:val="24"/>
        </w:rPr>
        <w:t xml:space="preserve"> con grande stupore e meraviglia dei </w:t>
      </w:r>
      <w:r>
        <w:rPr>
          <w:rFonts w:ascii="Times New Roman" w:hAnsi="Times New Roman" w:cs="Times New Roman"/>
          <w:sz w:val="24"/>
          <w:szCs w:val="24"/>
        </w:rPr>
        <w:t xml:space="preserve">convitati </w:t>
      </w:r>
      <w:r w:rsidRPr="00096909">
        <w:rPr>
          <w:rFonts w:ascii="Times New Roman" w:hAnsi="Times New Roman" w:cs="Times New Roman"/>
          <w:sz w:val="24"/>
          <w:szCs w:val="24"/>
        </w:rPr>
        <w:t xml:space="preserve">[VII]. </w:t>
      </w:r>
    </w:p>
    <w:p w14:paraId="38C34D66"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Tanto Arienti, quanto le altre fonti a nostra disposizione, dichiarano che negli otto giorni precedenti il matrimonio venne concesso ai cittadini di Bologna di visitare il sontuoso apparato del palazzo gentilizio. Salimbeni, ad esempio, così ne scrisse:</w:t>
      </w:r>
    </w:p>
    <w:p w14:paraId="377D214A" w14:textId="77777777" w:rsidR="00BD3461" w:rsidRPr="00096909" w:rsidRDefault="00BD3461" w:rsidP="00BD3461">
      <w:pPr>
        <w:spacing w:after="0" w:line="360" w:lineRule="auto"/>
        <w:ind w:right="-1"/>
        <w:jc w:val="both"/>
        <w:rPr>
          <w:rFonts w:ascii="Times New Roman" w:hAnsi="Times New Roman" w:cs="Times New Roman"/>
          <w:sz w:val="24"/>
          <w:szCs w:val="24"/>
        </w:rPr>
      </w:pPr>
    </w:p>
    <w:p w14:paraId="5672E88D"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E non è meraviglia se ogni giorno</w:t>
      </w:r>
    </w:p>
    <w:p w14:paraId="11504CCE"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venute son de le terre vicine</w:t>
      </w:r>
    </w:p>
    <w:p w14:paraId="509F3DAC"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gente a vedere il gran palazo adorno.</w:t>
      </w:r>
    </w:p>
    <w:p w14:paraId="080DCA3A"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Giovani</w:t>
      </w:r>
      <w:r>
        <w:rPr>
          <w:rFonts w:ascii="Times New Roman" w:hAnsi="Times New Roman" w:cs="Times New Roman"/>
          <w:sz w:val="20"/>
          <w:szCs w:val="20"/>
        </w:rPr>
        <w:t>,</w:t>
      </w:r>
      <w:r w:rsidRPr="00096909">
        <w:rPr>
          <w:rFonts w:ascii="Times New Roman" w:hAnsi="Times New Roman" w:cs="Times New Roman"/>
          <w:sz w:val="20"/>
          <w:szCs w:val="20"/>
        </w:rPr>
        <w:t xml:space="preserve"> e vecchi</w:t>
      </w:r>
      <w:r>
        <w:rPr>
          <w:rFonts w:ascii="Times New Roman" w:hAnsi="Times New Roman" w:cs="Times New Roman"/>
          <w:sz w:val="20"/>
          <w:szCs w:val="20"/>
        </w:rPr>
        <w:t>,</w:t>
      </w:r>
      <w:r w:rsidRPr="00096909">
        <w:rPr>
          <w:rFonts w:ascii="Times New Roman" w:hAnsi="Times New Roman" w:cs="Times New Roman"/>
          <w:sz w:val="20"/>
          <w:szCs w:val="20"/>
        </w:rPr>
        <w:t xml:space="preserve"> e dame peregrine</w:t>
      </w:r>
    </w:p>
    <w:p w14:paraId="1413C546"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e pon sicur venir e far ritorno,</w:t>
      </w:r>
    </w:p>
    <w:p w14:paraId="5583DCBB"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ché questo non è il giocho ale Sabine</w:t>
      </w:r>
    </w:p>
    <w:p w14:paraId="3EB7C4A8"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e altre feste son che di Neptuno,</w:t>
      </w:r>
    </w:p>
    <w:p w14:paraId="2B0028E4" w14:textId="77777777" w:rsidR="00BD3461" w:rsidRPr="00096909" w:rsidRDefault="00BD3461" w:rsidP="00BD3461">
      <w:pPr>
        <w:spacing w:after="0" w:line="360" w:lineRule="auto"/>
        <w:ind w:left="2268" w:right="-1"/>
        <w:jc w:val="both"/>
        <w:rPr>
          <w:rFonts w:ascii="Times New Roman" w:hAnsi="Times New Roman" w:cs="Times New Roman"/>
          <w:sz w:val="24"/>
          <w:szCs w:val="24"/>
        </w:rPr>
      </w:pPr>
      <w:r w:rsidRPr="00096909">
        <w:rPr>
          <w:rFonts w:ascii="Times New Roman" w:hAnsi="Times New Roman" w:cs="Times New Roman"/>
          <w:sz w:val="20"/>
          <w:szCs w:val="20"/>
        </w:rPr>
        <w:t>grate acoglienze e licentie a ciascuno</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443"/>
      </w:r>
      <w:r w:rsidRPr="00096909">
        <w:rPr>
          <w:rFonts w:ascii="Times New Roman" w:hAnsi="Times New Roman" w:cs="Times New Roman"/>
          <w:sz w:val="24"/>
          <w:szCs w:val="24"/>
        </w:rPr>
        <w:t xml:space="preserve"> </w:t>
      </w:r>
    </w:p>
    <w:p w14:paraId="402D6DB9" w14:textId="77777777" w:rsidR="00BD3461" w:rsidRPr="00096909" w:rsidRDefault="00BD3461" w:rsidP="00BD3461">
      <w:pPr>
        <w:spacing w:after="0" w:line="360" w:lineRule="auto"/>
        <w:ind w:left="2268" w:right="-1"/>
        <w:jc w:val="both"/>
        <w:rPr>
          <w:rFonts w:ascii="Times New Roman" w:hAnsi="Times New Roman" w:cs="Times New Roman"/>
          <w:sz w:val="24"/>
          <w:szCs w:val="24"/>
        </w:rPr>
      </w:pPr>
    </w:p>
    <w:p w14:paraId="29D72335"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Beroaldo, nel procedere nella descrizione degli ambienti preparati nel palazzo Bentivoglio per alloggiare gli sposi e il duca di Ferrara, è alquanto sbrigativo: </w:t>
      </w:r>
    </w:p>
    <w:p w14:paraId="3D6E694B" w14:textId="77777777" w:rsidR="00BD3461" w:rsidRPr="00096909" w:rsidRDefault="00BD3461" w:rsidP="00BD3461">
      <w:pPr>
        <w:spacing w:after="0" w:line="360" w:lineRule="auto"/>
        <w:ind w:right="-1"/>
        <w:jc w:val="both"/>
        <w:rPr>
          <w:rFonts w:ascii="Times New Roman" w:hAnsi="Times New Roman" w:cs="Times New Roman"/>
          <w:sz w:val="24"/>
          <w:szCs w:val="24"/>
        </w:rPr>
      </w:pPr>
    </w:p>
    <w:p w14:paraId="4FCA2F32" w14:textId="77777777" w:rsidR="00BD3461" w:rsidRPr="00096909" w:rsidRDefault="00BD3461" w:rsidP="00BD3461">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i/>
          <w:sz w:val="20"/>
          <w:szCs w:val="20"/>
        </w:rPr>
        <w:t xml:space="preserve">Fervet per totas Bentivolorum aedes apparatus nuptialis: conclavia omnia atque cubicula tapetibus stragulaque veste consternuntur. Ornatur et lectus genialis in thalamo sponsi </w:t>
      </w:r>
      <w:r w:rsidRPr="00096909">
        <w:rPr>
          <w:rFonts w:ascii="Times New Roman" w:hAnsi="Times New Roman" w:cs="Times New Roman"/>
          <w:i/>
          <w:sz w:val="20"/>
          <w:szCs w:val="20"/>
        </w:rPr>
        <w:lastRenderedPageBreak/>
        <w:t>magnificentissime. Dii boni, qualis ille quamque preclarus apparatus, quo exornatum est cubiculum principi Ferrariensi destinatum</w:t>
      </w:r>
      <w:r w:rsidRPr="00096909">
        <w:rPr>
          <w:rFonts w:ascii="Times New Roman" w:hAnsi="Times New Roman" w:cs="Times New Roman"/>
          <w:sz w:val="20"/>
          <w:szCs w:val="20"/>
        </w:rPr>
        <w:t>!</w:t>
      </w:r>
      <w:r w:rsidRPr="00096909">
        <w:rPr>
          <w:rStyle w:val="Rimandonotaapidipagina"/>
          <w:rFonts w:ascii="Times New Roman" w:hAnsi="Times New Roman" w:cs="Times New Roman"/>
          <w:sz w:val="20"/>
          <w:szCs w:val="20"/>
        </w:rPr>
        <w:footnoteReference w:id="444"/>
      </w:r>
      <w:r w:rsidRPr="00096909">
        <w:rPr>
          <w:rFonts w:ascii="Times New Roman" w:hAnsi="Times New Roman" w:cs="Times New Roman"/>
          <w:sz w:val="20"/>
          <w:szCs w:val="20"/>
        </w:rPr>
        <w:t xml:space="preserve">          </w:t>
      </w:r>
    </w:p>
    <w:p w14:paraId="1A817FE9" w14:textId="77777777" w:rsidR="00BD3461" w:rsidRPr="00096909" w:rsidRDefault="00BD3461" w:rsidP="00BD3461">
      <w:pPr>
        <w:spacing w:after="0" w:line="360" w:lineRule="auto"/>
        <w:ind w:left="567" w:right="566" w:hanging="567"/>
        <w:jc w:val="both"/>
        <w:rPr>
          <w:rFonts w:ascii="Times New Roman" w:hAnsi="Times New Roman" w:cs="Times New Roman"/>
          <w:sz w:val="20"/>
          <w:szCs w:val="20"/>
        </w:rPr>
      </w:pPr>
    </w:p>
    <w:p w14:paraId="7514D2F3" w14:textId="77777777" w:rsidR="00BD3461" w:rsidRPr="00096909" w:rsidRDefault="00BD3461" w:rsidP="00BD3461">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Riguardo l’addobbo delle sale di palazzo Bentivoglio, Arienti [VIII] precisa invece che gli arazzi appesi nell’alloggio di Ercole d’Este ebbero per soggetto le imprese di Eracle, mentre nell’anticamera furono posti altri arazzi con la vittoria riportata da Alessandro Magno su Poro. Quelli per la stanza nuziale elogiarono invece la pudicizia della sposa con scene di danze di ninfe tra i boschi. </w:t>
      </w:r>
    </w:p>
    <w:p w14:paraId="3AEDB528" w14:textId="77777777" w:rsidR="00BD3461" w:rsidRPr="00096909" w:rsidRDefault="00BD3461" w:rsidP="00BD3461">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Fatta menzione dei preparativi bolognesi, l’</w:t>
      </w:r>
      <w:r w:rsidRPr="00096909">
        <w:rPr>
          <w:rFonts w:ascii="Times New Roman" w:hAnsi="Times New Roman" w:cs="Times New Roman"/>
          <w:i/>
          <w:sz w:val="24"/>
          <w:szCs w:val="24"/>
        </w:rPr>
        <w:t>Hymeneus</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Bentivolus</w:t>
      </w:r>
      <w:r w:rsidRPr="00096909">
        <w:rPr>
          <w:rFonts w:ascii="Times New Roman" w:hAnsi="Times New Roman" w:cs="Times New Roman"/>
          <w:sz w:val="24"/>
          <w:szCs w:val="24"/>
        </w:rPr>
        <w:t xml:space="preserve"> passa in rassegna la comitiva che il 22 gennaio accompagnò Annibale II a Ferrara, disposta in un magnifico corteo diretto da Antonio Paganello. Tra i 190 partecipanti vi furono anche il Beroaldo e </w:t>
      </w:r>
      <w:bookmarkStart w:id="358" w:name="_Hlk535924154"/>
      <w:r w:rsidRPr="00096909">
        <w:rPr>
          <w:rFonts w:ascii="Times New Roman" w:hAnsi="Times New Roman" w:cs="Times New Roman"/>
          <w:sz w:val="24"/>
          <w:szCs w:val="24"/>
        </w:rPr>
        <w:t>Vincenzo Paliotto</w:t>
      </w:r>
      <w:bookmarkEnd w:id="358"/>
      <w:r w:rsidRPr="00096909">
        <w:rPr>
          <w:rFonts w:ascii="Times New Roman" w:hAnsi="Times New Roman" w:cs="Times New Roman"/>
          <w:sz w:val="24"/>
          <w:szCs w:val="24"/>
        </w:rPr>
        <w:t xml:space="preserve">, docente dello Studio felsineo, che tenne il discorso beneaugurale [IX]. </w:t>
      </w:r>
    </w:p>
    <w:p w14:paraId="4C4B8331" w14:textId="77777777" w:rsidR="00BD3461" w:rsidRPr="00096909" w:rsidRDefault="00BD3461" w:rsidP="00BD3461">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Mentre da tutto il contado si inviavano doni per le nozze [X], iniziarono ad arrivare gli invitati, ciascuno con un seguito di cavalli e paggi, raggiunti la sera di sabato 27 gennaio dal duca d’Este con un</w:t>
      </w:r>
      <w:r>
        <w:rPr>
          <w:rFonts w:ascii="Times New Roman" w:hAnsi="Times New Roman" w:cs="Times New Roman"/>
          <w:sz w:val="24"/>
          <w:szCs w:val="24"/>
        </w:rPr>
        <w:t>’</w:t>
      </w:r>
      <w:r w:rsidRPr="00096909">
        <w:rPr>
          <w:rFonts w:ascii="Times New Roman" w:hAnsi="Times New Roman" w:cs="Times New Roman"/>
          <w:sz w:val="24"/>
          <w:szCs w:val="24"/>
        </w:rPr>
        <w:t xml:space="preserve">imponente comitiva di quattrocento cavalli che fece sosta nel castello di Bentivoglio, dove egualmente giunsero la sposa e il marchese di Mantova, Francesco </w:t>
      </w:r>
      <w:r w:rsidR="00A4271D">
        <w:rPr>
          <w:rFonts w:ascii="Times New Roman" w:hAnsi="Times New Roman" w:cs="Times New Roman"/>
          <w:sz w:val="24"/>
          <w:szCs w:val="24"/>
        </w:rPr>
        <w:t xml:space="preserve">II </w:t>
      </w:r>
      <w:r w:rsidRPr="00096909">
        <w:rPr>
          <w:rFonts w:ascii="Times New Roman" w:hAnsi="Times New Roman" w:cs="Times New Roman"/>
          <w:sz w:val="24"/>
          <w:szCs w:val="24"/>
        </w:rPr>
        <w:t xml:space="preserve">Gonzaga. [XI]. </w:t>
      </w:r>
    </w:p>
    <w:p w14:paraId="07F4C978" w14:textId="77777777" w:rsidR="00BD3461" w:rsidRPr="00096909" w:rsidRDefault="00BD3461" w:rsidP="00BD3461">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Domenica 28 gennaio </w:t>
      </w:r>
      <w:r>
        <w:rPr>
          <w:rFonts w:ascii="Times New Roman" w:hAnsi="Times New Roman" w:cs="Times New Roman"/>
          <w:sz w:val="24"/>
          <w:szCs w:val="24"/>
        </w:rPr>
        <w:t>Lucrezia d’Este</w:t>
      </w:r>
      <w:r w:rsidRPr="00096909">
        <w:rPr>
          <w:rFonts w:ascii="Times New Roman" w:hAnsi="Times New Roman" w:cs="Times New Roman"/>
          <w:sz w:val="24"/>
          <w:szCs w:val="24"/>
        </w:rPr>
        <w:t xml:space="preserve"> si avvicinò a Bologna, sostando presso la località di Zucca prima d’entrare in città. La accompagnava una pioggia fastidiosa destinata a rendere meno gradevole il programma dei festeggiamenti [XII]. Indossato l’abito nuziale, </w:t>
      </w:r>
      <w:r>
        <w:rPr>
          <w:rFonts w:ascii="Times New Roman" w:hAnsi="Times New Roman" w:cs="Times New Roman"/>
          <w:sz w:val="24"/>
          <w:szCs w:val="24"/>
        </w:rPr>
        <w:t>la sposa</w:t>
      </w:r>
      <w:r w:rsidRPr="00096909">
        <w:rPr>
          <w:rFonts w:ascii="Times New Roman" w:hAnsi="Times New Roman" w:cs="Times New Roman"/>
          <w:sz w:val="24"/>
          <w:szCs w:val="24"/>
        </w:rPr>
        <w:t xml:space="preserve">, su un cavallo dai finimenti dorati governato da otto palafrenieri vestiti di broccato d’argento all’arme dei Bentivoglio, prese posto nel corteo tra il vescovo di Gravina e il conte di Caiazzo. La precedevano cavalieri, picchieri, trombettieri, stradiotti abbigliati in verde alla turca – secondo il costume del marchese di Mantova </w:t>
      </w:r>
      <w:r>
        <w:rPr>
          <w:rFonts w:ascii="Times New Roman" w:hAnsi="Times New Roman" w:cs="Times New Roman"/>
          <w:sz w:val="24"/>
          <w:szCs w:val="24"/>
        </w:rPr>
        <w:t>–</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445"/>
      </w:r>
      <w:r w:rsidRPr="00096909">
        <w:rPr>
          <w:rFonts w:ascii="Times New Roman" w:hAnsi="Times New Roman" w:cs="Times New Roman"/>
          <w:sz w:val="24"/>
          <w:szCs w:val="24"/>
        </w:rPr>
        <w:t xml:space="preserve"> 150 scudieri alla divisa Bentivoglio, i sei scalchi preceduti dai loro assistenti, alcuni illustri cittadini di Bologna, ottanta trombetti, infine un gruppo di aristocratici tra i quali lo sposo [XIII]. </w:t>
      </w:r>
    </w:p>
    <w:p w14:paraId="54E1ABD4" w14:textId="77777777" w:rsidR="00BD3461" w:rsidRPr="00096909" w:rsidRDefault="00BD3461" w:rsidP="00BD3461">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Giunti alla porta Galliera, Lucrezia trovò </w:t>
      </w:r>
      <w:r w:rsidR="00841B7F">
        <w:rPr>
          <w:rFonts w:ascii="Times New Roman" w:hAnsi="Times New Roman" w:cs="Times New Roman"/>
          <w:sz w:val="24"/>
          <w:szCs w:val="24"/>
        </w:rPr>
        <w:t xml:space="preserve">la sua struttura </w:t>
      </w:r>
      <w:r w:rsidRPr="00096909">
        <w:rPr>
          <w:rFonts w:ascii="Times New Roman" w:hAnsi="Times New Roman" w:cs="Times New Roman"/>
          <w:sz w:val="24"/>
          <w:szCs w:val="24"/>
        </w:rPr>
        <w:t>rivestita da una copertura lignea posticcia, modellata come un arco all’antica. I suoi battenti erano chiusi</w:t>
      </w:r>
      <w:r w:rsidR="00841B7F">
        <w:rPr>
          <w:rFonts w:ascii="Times New Roman" w:hAnsi="Times New Roman" w:cs="Times New Roman"/>
          <w:sz w:val="24"/>
          <w:szCs w:val="24"/>
        </w:rPr>
        <w:t xml:space="preserve"> e</w:t>
      </w:r>
      <w:r w:rsidRPr="00096909">
        <w:rPr>
          <w:rFonts w:ascii="Times New Roman" w:hAnsi="Times New Roman" w:cs="Times New Roman"/>
          <w:sz w:val="24"/>
          <w:szCs w:val="24"/>
        </w:rPr>
        <w:t xml:space="preserve"> </w:t>
      </w:r>
      <w:r w:rsidR="00841B7F">
        <w:rPr>
          <w:rFonts w:ascii="Times New Roman" w:hAnsi="Times New Roman" w:cs="Times New Roman"/>
          <w:sz w:val="24"/>
          <w:szCs w:val="24"/>
        </w:rPr>
        <w:t>s</w:t>
      </w:r>
      <w:r w:rsidRPr="00096909">
        <w:rPr>
          <w:rFonts w:ascii="Times New Roman" w:hAnsi="Times New Roman" w:cs="Times New Roman"/>
          <w:sz w:val="24"/>
          <w:szCs w:val="24"/>
        </w:rPr>
        <w:t xml:space="preserve">opra di essa apparve </w:t>
      </w:r>
      <w:r w:rsidRPr="00096909">
        <w:rPr>
          <w:rFonts w:ascii="Times New Roman" w:hAnsi="Times New Roman" w:cs="Times New Roman"/>
          <w:sz w:val="24"/>
          <w:szCs w:val="24"/>
        </w:rPr>
        <w:lastRenderedPageBreak/>
        <w:t>una giovane vestita di verde</w:t>
      </w:r>
      <w:r w:rsidR="00841B7F">
        <w:rPr>
          <w:rFonts w:ascii="Times New Roman" w:hAnsi="Times New Roman" w:cs="Times New Roman"/>
          <w:sz w:val="24"/>
          <w:szCs w:val="24"/>
        </w:rPr>
        <w:t>: era</w:t>
      </w:r>
      <w:r w:rsidRPr="00096909">
        <w:rPr>
          <w:rFonts w:ascii="Times New Roman" w:hAnsi="Times New Roman" w:cs="Times New Roman"/>
          <w:sz w:val="24"/>
          <w:szCs w:val="24"/>
        </w:rPr>
        <w:t xml:space="preserve"> la Speranza, desiderosa di dare il benvenuto alla sposa. Recitata l’ottava di saluto, al comando dell’allegoria la porta si spalancò. </w:t>
      </w:r>
    </w:p>
    <w:p w14:paraId="7089B66F" w14:textId="77777777" w:rsidR="00BD3461" w:rsidRPr="00096909" w:rsidRDefault="00BD3461" w:rsidP="00BD3461">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Entrata in Bologna la principessa ricevette dunque l’omaggio delle altre sei Virtù: a ponte Reno era collocata la Carità, su una struttura in tutto simile a quella descritta per la Speranza, ma abbellita da un pannello sul soggetto di Ercole che uccide il leone Nemeo; davanti alla chiesa della Madonna di Galliera, luogo di culto caro a</w:t>
      </w:r>
      <w:r>
        <w:rPr>
          <w:rFonts w:ascii="Times New Roman" w:hAnsi="Times New Roman" w:cs="Times New Roman"/>
          <w:sz w:val="24"/>
          <w:szCs w:val="24"/>
        </w:rPr>
        <w:t xml:space="preserve">lla famiglia egemone </w:t>
      </w:r>
      <w:r w:rsidRPr="00096909">
        <w:rPr>
          <w:rFonts w:ascii="Times New Roman" w:hAnsi="Times New Roman" w:cs="Times New Roman"/>
          <w:sz w:val="24"/>
          <w:szCs w:val="24"/>
        </w:rPr>
        <w:t>e all’epoca in costruzione, la Temperanza; in piazza Maggiore, sede del governo, si trovava la Giustizia, che indicò a Lucrezia il palazzo senatorio e quello del pretore dal quale, transitato il corteo, uscirono alcuni prigionieri liberati in onore della festa. Sulla piazza della Mercanzia era stata posta la porta della Prudenza, con un ampio festone di verzura al quale erano appese le insegne de</w:t>
      </w:r>
      <w:r>
        <w:rPr>
          <w:rFonts w:ascii="Times New Roman" w:hAnsi="Times New Roman" w:cs="Times New Roman"/>
          <w:sz w:val="24"/>
          <w:szCs w:val="24"/>
        </w:rPr>
        <w:t>llo sposo</w:t>
      </w:r>
      <w:r w:rsidRPr="00096909">
        <w:rPr>
          <w:rFonts w:ascii="Times New Roman" w:hAnsi="Times New Roman" w:cs="Times New Roman"/>
          <w:sz w:val="24"/>
          <w:szCs w:val="24"/>
        </w:rPr>
        <w:t>, degli Sforza, degli Este e dei Medici. Al centro della piazza di Porta Ravegnana fu montato un padiglione per i musici mentre, nei pressi della chiesa di San Giacomo, si trovava la porta della Fede, che marcava l’ingresso nel quartiere delle dimore dei Bentivolgio. Infine, davanti al palazzo gentilizio, Lucrezia fu onorata dalla Fortezza, che, al passaggio della comitiva, uscì da un fiore posto sopra alla settima porta lignea che sbocciò automaticamente per consentire alla figurante di recitare alcuni versi augur</w:t>
      </w:r>
      <w:r>
        <w:rPr>
          <w:rFonts w:ascii="Times New Roman" w:hAnsi="Times New Roman" w:cs="Times New Roman"/>
          <w:sz w:val="24"/>
          <w:szCs w:val="24"/>
        </w:rPr>
        <w:t>ali</w:t>
      </w:r>
      <w:r w:rsidRPr="00096909">
        <w:rPr>
          <w:rFonts w:ascii="Times New Roman" w:hAnsi="Times New Roman" w:cs="Times New Roman"/>
          <w:sz w:val="24"/>
          <w:szCs w:val="24"/>
        </w:rPr>
        <w:t xml:space="preserve"> [XIV-XIX]. Con l’ingresso della sposa nel palazzo Bentivoglio, accompagnata da Ginevra Sforza, si chiuse la prima giornata di festa [XX].  </w:t>
      </w:r>
    </w:p>
    <w:p w14:paraId="6E28B908" w14:textId="77777777" w:rsidR="00BD3461" w:rsidRPr="00096909" w:rsidRDefault="00BD3461" w:rsidP="00BD3461">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L’indomani, 29 gennaio, poiché la pioggia impedì di recarsi alla cattedrale di San Petronio</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dove era previsto che fosse officiato </w:t>
      </w:r>
      <w:r>
        <w:rPr>
          <w:rFonts w:ascii="Times New Roman" w:hAnsi="Times New Roman" w:cs="Times New Roman"/>
          <w:sz w:val="24"/>
          <w:szCs w:val="24"/>
        </w:rPr>
        <w:t>lo sposalizio –</w:t>
      </w:r>
      <w:r w:rsidRPr="00096909">
        <w:rPr>
          <w:rFonts w:ascii="Times New Roman" w:hAnsi="Times New Roman" w:cs="Times New Roman"/>
          <w:sz w:val="24"/>
          <w:szCs w:val="24"/>
        </w:rPr>
        <w:t xml:space="preserve"> il rito nuziale fu celebrato in una sala del palazzo soprastante quella apparecchiata per il convito. Gli invitati presero quindi parte al banchetto. Se Beroaldo passa sotto silenzio la posizione degli ospiti alle mense e i versi di Naldi e </w:t>
      </w:r>
      <w:r>
        <w:rPr>
          <w:rFonts w:ascii="Times New Roman" w:hAnsi="Times New Roman" w:cs="Times New Roman"/>
          <w:sz w:val="24"/>
          <w:szCs w:val="24"/>
        </w:rPr>
        <w:t xml:space="preserve">di </w:t>
      </w:r>
      <w:r w:rsidRPr="00096909">
        <w:rPr>
          <w:rFonts w:ascii="Times New Roman" w:hAnsi="Times New Roman" w:cs="Times New Roman"/>
          <w:sz w:val="24"/>
          <w:szCs w:val="24"/>
        </w:rPr>
        <w:t>Salimbeni sono alquanto vaghi in merito, Arienti informa di come Ercole d’Este e Francesco Gonzaga fossero stati serviti nelle stanze loro</w:t>
      </w:r>
      <w:r>
        <w:rPr>
          <w:rFonts w:ascii="Times New Roman" w:hAnsi="Times New Roman" w:cs="Times New Roman"/>
          <w:sz w:val="24"/>
          <w:szCs w:val="24"/>
        </w:rPr>
        <w:t xml:space="preserve"> rispettive</w:t>
      </w:r>
      <w:r w:rsidRPr="00096909">
        <w:rPr>
          <w:rFonts w:ascii="Times New Roman" w:hAnsi="Times New Roman" w:cs="Times New Roman"/>
          <w:sz w:val="24"/>
          <w:szCs w:val="24"/>
        </w:rPr>
        <w:t xml:space="preserve"> riservate. Al tribunale d’onore sedettero invece gli sposi con Antonio Trott</w:t>
      </w:r>
      <w:r w:rsidR="00D95E92">
        <w:rPr>
          <w:rFonts w:ascii="Times New Roman" w:hAnsi="Times New Roman" w:cs="Times New Roman"/>
          <w:sz w:val="24"/>
          <w:szCs w:val="24"/>
        </w:rPr>
        <w:t>o</w:t>
      </w:r>
      <w:r w:rsidRPr="00096909">
        <w:rPr>
          <w:rFonts w:ascii="Times New Roman" w:hAnsi="Times New Roman" w:cs="Times New Roman"/>
          <w:sz w:val="24"/>
          <w:szCs w:val="24"/>
        </w:rPr>
        <w:t xml:space="preserve">, il conte di Caiazzo, Galeazzo Sforza, Pandolfo Malatesta e sua moglie Violante Bentivoglio, Galeazzo Sforza a destra; il vescovo di Gravina, l’oratore del duca di Calabria, </w:t>
      </w:r>
      <w:bookmarkStart w:id="360" w:name="_Hlk535924403"/>
      <w:r w:rsidRPr="00096909">
        <w:rPr>
          <w:rFonts w:ascii="Times New Roman" w:hAnsi="Times New Roman" w:cs="Times New Roman"/>
          <w:sz w:val="24"/>
          <w:szCs w:val="24"/>
        </w:rPr>
        <w:t>Girolamo Panfilo</w:t>
      </w:r>
      <w:bookmarkEnd w:id="360"/>
      <w:r w:rsidRPr="00096909">
        <w:rPr>
          <w:rFonts w:ascii="Times New Roman" w:hAnsi="Times New Roman" w:cs="Times New Roman"/>
          <w:sz w:val="24"/>
          <w:szCs w:val="24"/>
        </w:rPr>
        <w:t xml:space="preserve">, l’ambasciatore del Signore di Camerino e Lorenzo di Pierfrancesco de’ Medici a sinistra. </w:t>
      </w:r>
    </w:p>
    <w:p w14:paraId="2B4F59B9" w14:textId="77777777" w:rsidR="00BD3461" w:rsidRPr="00096909" w:rsidRDefault="00BD3461" w:rsidP="00BD3461">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Parteciparono al </w:t>
      </w:r>
      <w:r>
        <w:rPr>
          <w:rFonts w:ascii="Times New Roman" w:hAnsi="Times New Roman" w:cs="Times New Roman"/>
          <w:sz w:val="24"/>
          <w:szCs w:val="24"/>
        </w:rPr>
        <w:t xml:space="preserve">ricevimento </w:t>
      </w:r>
      <w:r w:rsidRPr="00096909">
        <w:rPr>
          <w:rFonts w:ascii="Times New Roman" w:hAnsi="Times New Roman" w:cs="Times New Roman"/>
          <w:sz w:val="24"/>
          <w:szCs w:val="24"/>
        </w:rPr>
        <w:t>cinquanta uomini e settantacinque donne, distribuiti su tredici tavolate [XXI]; e il servizio fu scandito dai comandi dei sescalchi che, al suono di trombe, presentarono ventidue vivande [XXII]. Queste non furono recate da figuranti, come si è visto per il sontuoso ricevimento pesarese</w:t>
      </w:r>
      <w:r>
        <w:rPr>
          <w:rFonts w:ascii="Times New Roman" w:hAnsi="Times New Roman" w:cs="Times New Roman"/>
          <w:sz w:val="24"/>
          <w:szCs w:val="24"/>
        </w:rPr>
        <w:t>; e</w:t>
      </w:r>
      <w:r w:rsidRPr="00096909">
        <w:rPr>
          <w:rFonts w:ascii="Times New Roman" w:hAnsi="Times New Roman" w:cs="Times New Roman"/>
          <w:sz w:val="24"/>
          <w:szCs w:val="24"/>
        </w:rPr>
        <w:t xml:space="preserve"> </w:t>
      </w:r>
      <w:r>
        <w:rPr>
          <w:rFonts w:ascii="Times New Roman" w:hAnsi="Times New Roman" w:cs="Times New Roman"/>
          <w:sz w:val="24"/>
          <w:szCs w:val="24"/>
        </w:rPr>
        <w:t>l</w:t>
      </w:r>
      <w:r w:rsidRPr="00096909">
        <w:rPr>
          <w:rFonts w:ascii="Times New Roman" w:hAnsi="Times New Roman" w:cs="Times New Roman"/>
          <w:sz w:val="24"/>
          <w:szCs w:val="24"/>
        </w:rPr>
        <w:t xml:space="preserve">a meraviglia di questo convito fu affidata piuttosto all’apparizione di animali vivi: </w:t>
      </w:r>
    </w:p>
    <w:p w14:paraId="1E31E4C0" w14:textId="77777777" w:rsidR="00BD3461" w:rsidRPr="00096909" w:rsidRDefault="00BD3461" w:rsidP="00BD3461">
      <w:pPr>
        <w:spacing w:after="0" w:line="360" w:lineRule="auto"/>
        <w:ind w:left="567" w:right="1133"/>
        <w:jc w:val="both"/>
        <w:rPr>
          <w:rFonts w:ascii="Times New Roman" w:hAnsi="Times New Roman" w:cs="Times New Roman"/>
          <w:sz w:val="20"/>
          <w:szCs w:val="20"/>
        </w:rPr>
      </w:pPr>
    </w:p>
    <w:p w14:paraId="7B216BB8" w14:textId="77777777" w:rsidR="00BD3461" w:rsidRPr="00096909" w:rsidRDefault="00BD3461" w:rsidP="00BD3461">
      <w:pPr>
        <w:spacing w:after="0" w:line="360" w:lineRule="auto"/>
        <w:ind w:left="567" w:right="1134" w:firstLine="397"/>
        <w:jc w:val="both"/>
        <w:rPr>
          <w:rFonts w:ascii="Times New Roman" w:hAnsi="Times New Roman" w:cs="Times New Roman"/>
          <w:sz w:val="24"/>
          <w:szCs w:val="24"/>
        </w:rPr>
      </w:pPr>
      <w:r w:rsidRPr="00096909">
        <w:rPr>
          <w:rFonts w:ascii="Times New Roman" w:hAnsi="Times New Roman" w:cs="Times New Roman"/>
          <w:sz w:val="20"/>
          <w:szCs w:val="20"/>
        </w:rPr>
        <w:t xml:space="preserve">Poi, per l’octava vivanda, furono portate lasagne infulate dorate cum rapresentatione de uno vivo capriolo et una lepore et cum dui cagnolini spagnoli: li quali animali erano in uno adornato </w:t>
      </w:r>
      <w:r w:rsidRPr="00096909">
        <w:rPr>
          <w:rFonts w:ascii="Times New Roman" w:hAnsi="Times New Roman" w:cs="Times New Roman"/>
          <w:sz w:val="20"/>
          <w:szCs w:val="20"/>
        </w:rPr>
        <w:lastRenderedPageBreak/>
        <w:t>vaso de fronde, rose et fiori et viole, il quale in mensa aprontato, ello se aperse et fuori uscì il capriolo, la lepre et li cagnoli, et sopra il tribunale cum piacere et riso de li astanti corerono</w:t>
      </w:r>
      <w:r w:rsidRPr="00096909">
        <w:rPr>
          <w:rFonts w:ascii="Times New Roman" w:hAnsi="Times New Roman" w:cs="Times New Roman"/>
          <w:sz w:val="24"/>
          <w:szCs w:val="24"/>
        </w:rPr>
        <w:t xml:space="preserve">. </w:t>
      </w:r>
    </w:p>
    <w:p w14:paraId="4C2E671B" w14:textId="77777777" w:rsidR="00BD3461" w:rsidRPr="00096909" w:rsidRDefault="00BD3461" w:rsidP="00BD3461">
      <w:pPr>
        <w:spacing w:after="0" w:line="360" w:lineRule="auto"/>
        <w:ind w:left="567" w:right="1133"/>
        <w:jc w:val="both"/>
        <w:rPr>
          <w:rFonts w:ascii="Times New Roman" w:hAnsi="Times New Roman" w:cs="Times New Roman"/>
          <w:sz w:val="24"/>
          <w:szCs w:val="24"/>
        </w:rPr>
      </w:pPr>
    </w:p>
    <w:p w14:paraId="2B365AFD" w14:textId="77777777" w:rsidR="00BD3461" w:rsidRPr="00096909" w:rsidRDefault="00BD3461" w:rsidP="00BD3461">
      <w:pPr>
        <w:spacing w:after="0" w:line="360" w:lineRule="auto"/>
        <w:ind w:right="1134"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 ancora: </w:t>
      </w:r>
    </w:p>
    <w:p w14:paraId="5F4D7021" w14:textId="77777777" w:rsidR="00BD3461" w:rsidRPr="00096909" w:rsidRDefault="00BD3461" w:rsidP="00BD3461">
      <w:pPr>
        <w:spacing w:after="0" w:line="360" w:lineRule="auto"/>
        <w:ind w:left="567" w:right="1133"/>
        <w:jc w:val="both"/>
        <w:rPr>
          <w:rFonts w:ascii="Times New Roman" w:hAnsi="Times New Roman" w:cs="Times New Roman"/>
          <w:sz w:val="20"/>
          <w:szCs w:val="20"/>
        </w:rPr>
      </w:pPr>
    </w:p>
    <w:p w14:paraId="38D3821F" w14:textId="77777777" w:rsidR="00BD3461" w:rsidRPr="00096909" w:rsidRDefault="00BD3461" w:rsidP="00BD3461">
      <w:pPr>
        <w:spacing w:after="0" w:line="360" w:lineRule="auto"/>
        <w:ind w:left="567" w:right="1134" w:firstLine="397"/>
        <w:jc w:val="both"/>
        <w:rPr>
          <w:rFonts w:ascii="Times New Roman" w:hAnsi="Times New Roman" w:cs="Times New Roman"/>
          <w:sz w:val="20"/>
          <w:szCs w:val="20"/>
        </w:rPr>
      </w:pPr>
      <w:r>
        <w:rPr>
          <w:rFonts w:ascii="Times New Roman" w:hAnsi="Times New Roman" w:cs="Times New Roman"/>
          <w:sz w:val="20"/>
          <w:szCs w:val="20"/>
        </w:rPr>
        <w:t>F</w:t>
      </w:r>
      <w:r w:rsidRPr="00096909">
        <w:rPr>
          <w:rFonts w:ascii="Times New Roman" w:hAnsi="Times New Roman" w:cs="Times New Roman"/>
          <w:sz w:val="20"/>
          <w:szCs w:val="20"/>
        </w:rPr>
        <w:t xml:space="preserve">urono presentati vivi fasani in uno egregio vaso in forma de zardino cum sepe intorno pincto et dorato, li quali per la sala volarono, che piacere ne avrebbe avuto il patre Tereo. </w:t>
      </w:r>
    </w:p>
    <w:p w14:paraId="2533BAD3" w14:textId="77777777" w:rsidR="00BD3461" w:rsidRPr="00096909" w:rsidRDefault="00BD3461" w:rsidP="00BD3461">
      <w:pPr>
        <w:spacing w:after="0" w:line="360" w:lineRule="auto"/>
        <w:ind w:right="1133"/>
        <w:jc w:val="both"/>
        <w:rPr>
          <w:rFonts w:ascii="Times New Roman" w:hAnsi="Times New Roman" w:cs="Times New Roman"/>
          <w:sz w:val="24"/>
          <w:szCs w:val="24"/>
        </w:rPr>
      </w:pPr>
    </w:p>
    <w:p w14:paraId="4C930924"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Concluso il pranzo e spazzata la sala con scope dorate si procedette alla presentazione dei doni dei principi e degli ambasciatori presenti [XXIII]. Al suono di un tamburo e di alcuni flauti, una bambina di soli sei anni iniziò poi a danzare magnificamente insieme a un danzatore adulto</w:t>
      </w:r>
      <w:r>
        <w:rPr>
          <w:rFonts w:ascii="Times New Roman" w:hAnsi="Times New Roman" w:cs="Times New Roman"/>
          <w:sz w:val="24"/>
          <w:szCs w:val="24"/>
        </w:rPr>
        <w:t>. T</w:t>
      </w:r>
      <w:r w:rsidRPr="00096909">
        <w:rPr>
          <w:rFonts w:ascii="Times New Roman" w:hAnsi="Times New Roman" w:cs="Times New Roman"/>
          <w:sz w:val="24"/>
          <w:szCs w:val="24"/>
        </w:rPr>
        <w:t xml:space="preserve">utte le cronache sono concordi nel dire che </w:t>
      </w:r>
      <w:r>
        <w:rPr>
          <w:rFonts w:ascii="Times New Roman" w:hAnsi="Times New Roman" w:cs="Times New Roman"/>
          <w:sz w:val="24"/>
          <w:szCs w:val="24"/>
        </w:rPr>
        <w:t>la bambina</w:t>
      </w:r>
      <w:r w:rsidRPr="00096909">
        <w:rPr>
          <w:rFonts w:ascii="Times New Roman" w:hAnsi="Times New Roman" w:cs="Times New Roman"/>
          <w:sz w:val="24"/>
          <w:szCs w:val="24"/>
        </w:rPr>
        <w:t xml:space="preserve"> era d’origine fiorentina. </w:t>
      </w:r>
    </w:p>
    <w:p w14:paraId="3FD297C6"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Entrò poi nella sala – sgombrata intanto delle tavole, poiché gli invitati si erano accomodati sui tribunali collocati lungo le pareti – un uomo selvatico, il quale introdusse l’ingresso di quattro edifici portati a mano che, senza che alcuno vedesse come fossero mossi, danzarono lungo il perimetro del salone per </w:t>
      </w:r>
      <w:r>
        <w:rPr>
          <w:rFonts w:ascii="Times New Roman" w:hAnsi="Times New Roman" w:cs="Times New Roman"/>
          <w:sz w:val="24"/>
          <w:szCs w:val="24"/>
        </w:rPr>
        <w:t>farsi</w:t>
      </w:r>
      <w:r w:rsidRPr="00096909">
        <w:rPr>
          <w:rFonts w:ascii="Times New Roman" w:hAnsi="Times New Roman" w:cs="Times New Roman"/>
          <w:sz w:val="24"/>
          <w:szCs w:val="24"/>
        </w:rPr>
        <w:t xml:space="preserve"> ammira</w:t>
      </w:r>
      <w:r>
        <w:rPr>
          <w:rFonts w:ascii="Times New Roman" w:hAnsi="Times New Roman" w:cs="Times New Roman"/>
          <w:sz w:val="24"/>
          <w:szCs w:val="24"/>
        </w:rPr>
        <w:t>re</w:t>
      </w:r>
      <w:r w:rsidRPr="00096909">
        <w:rPr>
          <w:rFonts w:ascii="Times New Roman" w:hAnsi="Times New Roman" w:cs="Times New Roman"/>
          <w:sz w:val="24"/>
          <w:szCs w:val="24"/>
        </w:rPr>
        <w:t xml:space="preserve">: erano la Torre di Giunone, il Palazzo di Venere e di Cupido, il Monte di Diana e delle Ninfe, un Masso che ospitava al suo interno un giovane e otto mori. </w:t>
      </w:r>
    </w:p>
    <w:p w14:paraId="0D155DC6"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Una volta che </w:t>
      </w:r>
      <w:r>
        <w:rPr>
          <w:rFonts w:ascii="Times New Roman" w:hAnsi="Times New Roman" w:cs="Times New Roman"/>
          <w:sz w:val="24"/>
          <w:szCs w:val="24"/>
        </w:rPr>
        <w:t xml:space="preserve">gli </w:t>
      </w:r>
      <w:r w:rsidRPr="00096909">
        <w:rPr>
          <w:rFonts w:ascii="Times New Roman" w:hAnsi="Times New Roman" w:cs="Times New Roman"/>
          <w:sz w:val="24"/>
          <w:szCs w:val="24"/>
        </w:rPr>
        <w:t>edifici ebbero preso posto l’uno accanto all’altro, dall’interno del monte Diana ordinò a una sua ninfa di presentarsi al tribunale per offrire agli sposi e ai presenti una fiera, che ella inviava in dono chiedendo di essere ammessa al nobile banchetto.</w:t>
      </w:r>
      <w:r w:rsidRPr="00096909">
        <w:rPr>
          <w:rStyle w:val="Rimandonotaapidipagina"/>
          <w:rFonts w:ascii="Times New Roman" w:hAnsi="Times New Roman" w:cs="Times New Roman"/>
          <w:sz w:val="24"/>
          <w:szCs w:val="24"/>
        </w:rPr>
        <w:footnoteReference w:id="446"/>
      </w:r>
      <w:r w:rsidRPr="00096909">
        <w:rPr>
          <w:rFonts w:ascii="Times New Roman" w:hAnsi="Times New Roman" w:cs="Times New Roman"/>
          <w:sz w:val="24"/>
          <w:szCs w:val="24"/>
        </w:rPr>
        <w:t xml:space="preserve"> La ninfa uscì dunque dal monte recando un uomo vestito da leone che si dibatteva e ruggiva, ma che non le impedì di riportare il messaggio. Finita la sua ambasceria, e ricevuto l’assenso alla venuta di Diana, la bella messaggera fece </w:t>
      </w:r>
      <w:r>
        <w:rPr>
          <w:rFonts w:ascii="Times New Roman" w:hAnsi="Times New Roman" w:cs="Times New Roman"/>
          <w:sz w:val="24"/>
          <w:szCs w:val="24"/>
        </w:rPr>
        <w:t>così</w:t>
      </w:r>
      <w:r w:rsidRPr="00096909">
        <w:rPr>
          <w:rFonts w:ascii="Times New Roman" w:hAnsi="Times New Roman" w:cs="Times New Roman"/>
          <w:sz w:val="24"/>
          <w:szCs w:val="24"/>
        </w:rPr>
        <w:t xml:space="preserve"> ritorno al monte, invitando la d</w:t>
      </w:r>
      <w:r w:rsidR="00D95E92">
        <w:rPr>
          <w:rFonts w:ascii="Times New Roman" w:hAnsi="Times New Roman" w:cs="Times New Roman"/>
          <w:sz w:val="24"/>
          <w:szCs w:val="24"/>
        </w:rPr>
        <w:t>ivinità</w:t>
      </w:r>
      <w:r w:rsidRPr="00096909">
        <w:rPr>
          <w:rFonts w:ascii="Times New Roman" w:hAnsi="Times New Roman" w:cs="Times New Roman"/>
          <w:sz w:val="24"/>
          <w:szCs w:val="24"/>
        </w:rPr>
        <w:t xml:space="preserve"> a scendere lei stessa a vedere la bellezza e la cortesia dei nobili ospiti. Al suono di una caccia eseguita da alcuni cantori, Diana e le Ninfe incedettero </w:t>
      </w:r>
      <w:r>
        <w:rPr>
          <w:rFonts w:ascii="Times New Roman" w:hAnsi="Times New Roman" w:cs="Times New Roman"/>
          <w:sz w:val="24"/>
          <w:szCs w:val="24"/>
        </w:rPr>
        <w:t xml:space="preserve">allora </w:t>
      </w:r>
      <w:r w:rsidRPr="00096909">
        <w:rPr>
          <w:rFonts w:ascii="Times New Roman" w:hAnsi="Times New Roman" w:cs="Times New Roman"/>
          <w:sz w:val="24"/>
          <w:szCs w:val="24"/>
        </w:rPr>
        <w:t xml:space="preserve">nella sala danzando. Mentre queste eseguivano una bassadanza, questa volta al suono degli strumenti, Cupido uscì dal suo palazzo e con una freccia colpì una delle ninfe, Lucrezia, mentre le sue compagne impaurite facevano ritorno alla montagna. A Lucrezia, sola e smarrita, si avvicinò allora Venere, accompagnata da Infamia e Gelosia, che propose alla ninfa di seguire i suoi insegnamenti. Questa fuggì invece, provocando lo sdegno della dea che rientrò nel palazzo. Avanzò allora Giunone, che le illustrò i precetti e le gioie della vita coniugale per poi rientrare anch’essa nella sua torre. </w:t>
      </w:r>
    </w:p>
    <w:p w14:paraId="07BB3C6A"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Indecisa sul da farsi, Lucrezia tentò di essere riammessa alla presenza di Diana ma</w:t>
      </w:r>
      <w:r>
        <w:rPr>
          <w:rFonts w:ascii="Times New Roman" w:hAnsi="Times New Roman" w:cs="Times New Roman"/>
          <w:sz w:val="24"/>
          <w:szCs w:val="24"/>
        </w:rPr>
        <w:t>,</w:t>
      </w:r>
      <w:r w:rsidRPr="00096909">
        <w:rPr>
          <w:rFonts w:ascii="Times New Roman" w:hAnsi="Times New Roman" w:cs="Times New Roman"/>
          <w:sz w:val="24"/>
          <w:szCs w:val="24"/>
        </w:rPr>
        <w:t xml:space="preserve"> rifiutata da quest’ultima, si volse senza indugi a Giunone, che le aprì le porte della torre. Ne uscì subito però in compagnia della dea e di due ragazzi per ballare una danza, detta </w:t>
      </w:r>
      <w:r w:rsidRPr="00096909">
        <w:rPr>
          <w:rFonts w:ascii="Times New Roman" w:hAnsi="Times New Roman" w:cs="Times New Roman"/>
          <w:i/>
          <w:sz w:val="24"/>
          <w:szCs w:val="24"/>
        </w:rPr>
        <w:t>Vivo lieta</w:t>
      </w:r>
      <w:r w:rsidRPr="00096909">
        <w:rPr>
          <w:rFonts w:ascii="Times New Roman" w:hAnsi="Times New Roman" w:cs="Times New Roman"/>
          <w:sz w:val="24"/>
          <w:szCs w:val="24"/>
        </w:rPr>
        <w:t xml:space="preserve">. Li raggiunse Cupido che si rivolse al pubblico per dichiarare di essere stato vinto dalla ninfa Lucrezia. Si volse così al suo palazzo per scagliare una freccia e subito ne uscirono quattro imperatori e quattro donne per eseguire un’altra danza intitolata </w:t>
      </w:r>
      <w:r w:rsidRPr="00096909">
        <w:rPr>
          <w:rFonts w:ascii="Times New Roman" w:hAnsi="Times New Roman" w:cs="Times New Roman"/>
          <w:i/>
          <w:sz w:val="24"/>
          <w:szCs w:val="24"/>
        </w:rPr>
        <w:t>Travasamondo</w:t>
      </w:r>
      <w:r w:rsidRPr="00096909">
        <w:rPr>
          <w:rFonts w:ascii="Times New Roman" w:hAnsi="Times New Roman" w:cs="Times New Roman"/>
          <w:sz w:val="24"/>
          <w:szCs w:val="24"/>
        </w:rPr>
        <w:t xml:space="preserve"> «al canto dei cantori», precisa Arienti. Indi Cupido lanciò un secondo dardo contro il masso, da cui</w:t>
      </w:r>
      <w:r>
        <w:rPr>
          <w:rFonts w:ascii="Times New Roman" w:hAnsi="Times New Roman" w:cs="Times New Roman"/>
          <w:sz w:val="24"/>
          <w:szCs w:val="24"/>
        </w:rPr>
        <w:t>:</w:t>
      </w:r>
      <w:r w:rsidRPr="00096909">
        <w:rPr>
          <w:rFonts w:ascii="Times New Roman" w:hAnsi="Times New Roman" w:cs="Times New Roman"/>
          <w:sz w:val="24"/>
          <w:szCs w:val="24"/>
        </w:rPr>
        <w:t xml:space="preserve"> </w:t>
      </w:r>
    </w:p>
    <w:p w14:paraId="35096CED" w14:textId="77777777" w:rsidR="00BD3461" w:rsidRPr="00096909" w:rsidRDefault="00BD3461" w:rsidP="00BD3461">
      <w:pPr>
        <w:spacing w:after="0" w:line="360" w:lineRule="auto"/>
        <w:ind w:right="-1"/>
        <w:jc w:val="both"/>
        <w:rPr>
          <w:rFonts w:ascii="Times New Roman" w:hAnsi="Times New Roman" w:cs="Times New Roman"/>
          <w:sz w:val="24"/>
          <w:szCs w:val="24"/>
        </w:rPr>
      </w:pPr>
    </w:p>
    <w:p w14:paraId="45A47F56" w14:textId="77777777" w:rsidR="00BD3461" w:rsidRPr="00096909" w:rsidRDefault="00BD3461" w:rsidP="00BD3461">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Al suono de uno tamburino e altri dulci strumenti uscì una giovene gentilmente vestita de abito vago cum uno fiore in mano e una pomaranza danzando a la moresca. Diretro a lei venne octo cum facie nere, chiome bianche e vestimente de candida tela, de stelle de auro adorne, avevano a le gambe cerchii de bellissimi sonagli e ballarono a la moresca cum tanta legiadria intorno a la gentil giovene quanto sia possibile a dire.   </w:t>
      </w:r>
    </w:p>
    <w:p w14:paraId="52B5EBC5" w14:textId="77777777" w:rsidR="00BD3461" w:rsidRPr="00096909" w:rsidRDefault="00BD3461" w:rsidP="00BD3461">
      <w:pPr>
        <w:spacing w:after="0" w:line="360" w:lineRule="auto"/>
        <w:ind w:right="-1"/>
        <w:jc w:val="both"/>
        <w:rPr>
          <w:rFonts w:ascii="Times New Roman" w:hAnsi="Times New Roman" w:cs="Times New Roman"/>
          <w:sz w:val="24"/>
          <w:szCs w:val="24"/>
        </w:rPr>
      </w:pPr>
    </w:p>
    <w:p w14:paraId="2822C321"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Infine, aperta da</w:t>
      </w:r>
      <w:r>
        <w:rPr>
          <w:rFonts w:ascii="Times New Roman" w:hAnsi="Times New Roman" w:cs="Times New Roman"/>
          <w:sz w:val="24"/>
          <w:szCs w:val="24"/>
        </w:rPr>
        <w:t xml:space="preserve">lla </w:t>
      </w:r>
      <w:r w:rsidRPr="00096909">
        <w:rPr>
          <w:rFonts w:ascii="Times New Roman" w:hAnsi="Times New Roman" w:cs="Times New Roman"/>
          <w:sz w:val="24"/>
          <w:szCs w:val="24"/>
        </w:rPr>
        <w:t xml:space="preserve">danza di alcuni membri della consorteria dei “becari”, alla quale in antichità erano iscritti anche i Bentivoglio, iniziò la serie dei balli da sala </w:t>
      </w:r>
      <w:r>
        <w:rPr>
          <w:rFonts w:ascii="Times New Roman" w:hAnsi="Times New Roman" w:cs="Times New Roman"/>
          <w:sz w:val="24"/>
          <w:szCs w:val="24"/>
        </w:rPr>
        <w:t xml:space="preserve">offerti </w:t>
      </w:r>
      <w:r w:rsidRPr="00096909">
        <w:rPr>
          <w:rFonts w:ascii="Times New Roman" w:hAnsi="Times New Roman" w:cs="Times New Roman"/>
          <w:sz w:val="24"/>
          <w:szCs w:val="24"/>
        </w:rPr>
        <w:t xml:space="preserve">a tutti i presenti, che concluse in allegria la serata.   </w:t>
      </w:r>
    </w:p>
    <w:p w14:paraId="58A4854E" w14:textId="3867A140"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Il 30 gennaio, profittando di una pausa dalla pioggia, gli illustri ospiti furono disposti nuovamente in un ordinato corteo per recarsi alla cattedrale di San Petronio a udire la Messa</w:t>
      </w:r>
      <w:r>
        <w:rPr>
          <w:rFonts w:ascii="Times New Roman" w:hAnsi="Times New Roman" w:cs="Times New Roman"/>
          <w:sz w:val="24"/>
          <w:szCs w:val="24"/>
        </w:rPr>
        <w:t xml:space="preserve"> sponsale</w:t>
      </w:r>
      <w:r w:rsidRPr="00096909">
        <w:rPr>
          <w:rFonts w:ascii="Times New Roman" w:hAnsi="Times New Roman" w:cs="Times New Roman"/>
          <w:sz w:val="24"/>
          <w:szCs w:val="24"/>
        </w:rPr>
        <w:t xml:space="preserve"> [XXXV]. Rientrati a palazzo Bentivoglio e rifocillati da un altro banchetto, essi poterono assistere, dalle finestre della dimora, allo scontro di cinquanta giovani, sulla piazza tavolata antistante la residenza, che si affrontarono in una sfida gladiatoria per conquistare un guanto posto al centro della pavimentazione. La battaglia fu annunciata dal saluto di Romolo, inviato dal padre Marte per rendere onore ai novelli sposi</w:t>
      </w:r>
      <w:r w:rsidR="00AB0811">
        <w:rPr>
          <w:rFonts w:ascii="Times New Roman" w:hAnsi="Times New Roman" w:cs="Times New Roman"/>
          <w:sz w:val="24"/>
          <w:szCs w:val="24"/>
        </w:rPr>
        <w:t>,</w:t>
      </w:r>
      <w:r w:rsidRPr="00096909">
        <w:rPr>
          <w:rFonts w:ascii="Times New Roman" w:hAnsi="Times New Roman" w:cs="Times New Roman"/>
          <w:sz w:val="24"/>
          <w:szCs w:val="24"/>
        </w:rPr>
        <w:t xml:space="preserve"> ed ebbe per vincitore </w:t>
      </w:r>
      <w:bookmarkStart w:id="362" w:name="_Hlk535924484"/>
      <w:r w:rsidRPr="00096909">
        <w:rPr>
          <w:rFonts w:ascii="Times New Roman" w:hAnsi="Times New Roman" w:cs="Times New Roman"/>
          <w:sz w:val="24"/>
          <w:szCs w:val="24"/>
        </w:rPr>
        <w:t xml:space="preserve">Nicola Bazano </w:t>
      </w:r>
      <w:bookmarkEnd w:id="362"/>
      <w:r w:rsidRPr="00096909">
        <w:rPr>
          <w:rFonts w:ascii="Times New Roman" w:hAnsi="Times New Roman" w:cs="Times New Roman"/>
          <w:sz w:val="24"/>
          <w:szCs w:val="24"/>
        </w:rPr>
        <w:t>[XXXVI]. Seguì una partita al gioco del pallone, disputata da due squadre di sessanta contendenti sotto gli auspici della Fortuna e della Prudenza, che fu interrotta dal calare della sera e da nuovi balli in palazzo Bentivoglio [XXXVII-XLI].</w:t>
      </w:r>
    </w:p>
    <w:p w14:paraId="3A9AE3A4"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 festeggiamenti del 31 gennaio si aprirono invece con una colazione servita dai sei scalchi nelle sale del palazzo gentilizio, contraddistinta dalla presentazione agli invitati più eminenti di statue di zucchero magnificamente elaborate [LXI]: al vescovo d’Urbino fu offerto un modello del Rocca di Castel Sant’Angelo; all’oratore del re di Napoli una riproduzione di Castel dell’Ovo; al conte di Caiazzo una torta raffigurante il Castello di Pavia; al duca di Ferrara una riproduzione di un lussuoso bagno termale, a similitudine di quello che egli possedeva nella residenza di </w:t>
      </w:r>
      <w:r w:rsidRPr="00096909">
        <w:rPr>
          <w:rFonts w:ascii="Times New Roman" w:hAnsi="Times New Roman" w:cs="Times New Roman"/>
          <w:sz w:val="24"/>
          <w:szCs w:val="24"/>
        </w:rPr>
        <w:lastRenderedPageBreak/>
        <w:t>Belriguardo,</w:t>
      </w:r>
      <w:r w:rsidRPr="00096909">
        <w:rPr>
          <w:rStyle w:val="Rimandonotaapidipagina"/>
          <w:rFonts w:ascii="Times New Roman" w:hAnsi="Times New Roman" w:cs="Times New Roman"/>
          <w:sz w:val="24"/>
          <w:szCs w:val="24"/>
        </w:rPr>
        <w:footnoteReference w:id="447"/>
      </w:r>
      <w:r w:rsidRPr="00096909">
        <w:rPr>
          <w:rFonts w:ascii="Times New Roman" w:hAnsi="Times New Roman" w:cs="Times New Roman"/>
          <w:sz w:val="24"/>
          <w:szCs w:val="24"/>
        </w:rPr>
        <w:t xml:space="preserve"> ancora castelli, navi, draghi e torri di zucchero vennero esibiti durante il grazioso rinfresco fino a quando, al suono delle trombe, Lucrezia e i suoi invitati si recarono nella piazza antistante il palazzo per assistere alla giostra.</w:t>
      </w:r>
    </w:p>
    <w:p w14:paraId="631BF067"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Arienti, con precisione, rifer</w:t>
      </w:r>
      <w:r w:rsidR="008A1079">
        <w:rPr>
          <w:rFonts w:ascii="Times New Roman" w:hAnsi="Times New Roman" w:cs="Times New Roman"/>
          <w:sz w:val="24"/>
          <w:szCs w:val="24"/>
        </w:rPr>
        <w:t>ì</w:t>
      </w:r>
      <w:r w:rsidRPr="00096909">
        <w:rPr>
          <w:rFonts w:ascii="Times New Roman" w:hAnsi="Times New Roman" w:cs="Times New Roman"/>
          <w:sz w:val="24"/>
          <w:szCs w:val="24"/>
        </w:rPr>
        <w:t xml:space="preserve"> come un palco per la sposa fosse stato montato presso le scalinate della residenza Bentivoglio, abbellito da tappeti e arazzi, mentre parapetti di legno proteggevano il pubblico dai colpi delle lance e delle armi dei contendenti [XLII]. Nei pressi dell’area di combattimento furono poi preparati due palchetti per i membri della giuria, che dopo tre ore di duelli, </w:t>
      </w:r>
      <w:r>
        <w:rPr>
          <w:rFonts w:ascii="Times New Roman" w:hAnsi="Times New Roman" w:cs="Times New Roman"/>
          <w:sz w:val="24"/>
          <w:szCs w:val="24"/>
        </w:rPr>
        <w:t>nei</w:t>
      </w:r>
      <w:r w:rsidRPr="00096909">
        <w:rPr>
          <w:rFonts w:ascii="Times New Roman" w:hAnsi="Times New Roman" w:cs="Times New Roman"/>
          <w:sz w:val="24"/>
          <w:szCs w:val="24"/>
        </w:rPr>
        <w:t xml:space="preserve"> quali i cavalieri diedero mostra della loro destrezza, assegnarono la vittoria a Francesco Gonzaga [XLII-LIV]. Verso sera, tutto il popolo assistette allo spettacolo pirotecnico di una girandola di fuochi d’artificio allestita per festeggiare la vittoria della giostra. L’accensione misteriosa di questo ingegno, con quattro ruote in forma di draghi sputafuoco che si mossero salendo e discendendo lungo un palo sulla cui sommità erano poste le teste soffianti dei quattro venti, fu definita efficacemente da Beroaldo </w:t>
      </w:r>
      <w:r w:rsidRPr="00096909">
        <w:rPr>
          <w:rFonts w:ascii="Times New Roman" w:hAnsi="Times New Roman" w:cs="Times New Roman"/>
          <w:i/>
          <w:sz w:val="24"/>
          <w:szCs w:val="24"/>
        </w:rPr>
        <w:t>plenum horroris cum voluptate spectaculum</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448"/>
      </w:r>
      <w:r w:rsidRPr="00096909">
        <w:rPr>
          <w:rFonts w:ascii="Times New Roman" w:hAnsi="Times New Roman" w:cs="Times New Roman"/>
          <w:sz w:val="24"/>
          <w:szCs w:val="24"/>
        </w:rPr>
        <w:t xml:space="preserve"> Tanto l’erudito umanista quanto Arienti dichiarano che a progettare la girandola fu il fiorentino </w:t>
      </w:r>
      <w:bookmarkStart w:id="363" w:name="_Hlk535924580"/>
      <w:r w:rsidRPr="00096909">
        <w:rPr>
          <w:rFonts w:ascii="Times New Roman" w:hAnsi="Times New Roman" w:cs="Times New Roman"/>
          <w:sz w:val="24"/>
          <w:szCs w:val="24"/>
        </w:rPr>
        <w:t>Francesco d’Angelo, detto Cecca</w:t>
      </w:r>
      <w:bookmarkEnd w:id="363"/>
      <w:r w:rsidRPr="00096909">
        <w:rPr>
          <w:rFonts w:ascii="Times New Roman" w:hAnsi="Times New Roman" w:cs="Times New Roman"/>
          <w:sz w:val="24"/>
          <w:szCs w:val="24"/>
        </w:rPr>
        <w:t>.</w:t>
      </w:r>
    </w:p>
    <w:p w14:paraId="41E299DA"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Soltanto Arienti fornisce, infine, notizie sugli intrattenimenti del primo febbraio [LV]: dopo pranzo, alcuni giovani si fronteggiarono in assalti di scherma e si giocò una seconda partita di calcio, questa volta «fra gli omini illustri» riuniti in due squadre capitanate da Francesco Gonzaga e Giovan Francesco Sanseverino. Nuovamente, il marchese di Mantova ebbe il primo onore e fu festeggiato in una piacevole cena, allietata da musiche e danze, e da un ultimo spettacolo così sinteticamente descritto dall’</w:t>
      </w:r>
      <w:r w:rsidRPr="00096909">
        <w:rPr>
          <w:rFonts w:ascii="Times New Roman" w:hAnsi="Times New Roman" w:cs="Times New Roman"/>
          <w:i/>
          <w:sz w:val="24"/>
          <w:szCs w:val="24"/>
        </w:rPr>
        <w:t>Hymeneus</w:t>
      </w:r>
      <w:r w:rsidRPr="00096909">
        <w:rPr>
          <w:rFonts w:ascii="Times New Roman" w:hAnsi="Times New Roman" w:cs="Times New Roman"/>
          <w:sz w:val="24"/>
          <w:szCs w:val="24"/>
        </w:rPr>
        <w:t>:</w:t>
      </w:r>
    </w:p>
    <w:p w14:paraId="2D351265" w14:textId="77777777" w:rsidR="00BD3461" w:rsidRPr="00096909" w:rsidRDefault="00BD3461" w:rsidP="00BD3461">
      <w:pPr>
        <w:spacing w:after="0" w:line="360" w:lineRule="auto"/>
        <w:ind w:right="-1"/>
        <w:jc w:val="both"/>
        <w:rPr>
          <w:rFonts w:ascii="Times New Roman" w:hAnsi="Times New Roman" w:cs="Times New Roman"/>
          <w:sz w:val="20"/>
          <w:szCs w:val="20"/>
        </w:rPr>
      </w:pPr>
    </w:p>
    <w:p w14:paraId="680F6A21" w14:textId="77777777" w:rsidR="00BD3461" w:rsidRPr="00096909" w:rsidRDefault="00BD3461" w:rsidP="00BD3461">
      <w:pPr>
        <w:spacing w:after="0" w:line="360" w:lineRule="auto"/>
        <w:ind w:left="567" w:right="567" w:firstLine="397"/>
        <w:jc w:val="both"/>
        <w:rPr>
          <w:rFonts w:ascii="Times New Roman" w:hAnsi="Times New Roman" w:cs="Times New Roman"/>
          <w:sz w:val="24"/>
          <w:szCs w:val="24"/>
        </w:rPr>
      </w:pPr>
      <w:r w:rsidRPr="00096909">
        <w:rPr>
          <w:rFonts w:ascii="Times New Roman" w:hAnsi="Times New Roman" w:cs="Times New Roman"/>
          <w:sz w:val="20"/>
          <w:szCs w:val="20"/>
        </w:rPr>
        <w:t>Di poi vennero dui figurati: uno che proprio parea leone, et l’altro uno unicorno. Dal corpo del leone usirono, credo, due omini sylvani, quali se misero danzando intorno a l’unicorno egregiamente et certi acti li faceano quasi come el volesseno pigliare per torli del fronte el virtuoso corno: per la qual cosa le umane viste de dolce piacere se cibarono</w:t>
      </w:r>
      <w:r w:rsidRPr="00096909">
        <w:rPr>
          <w:rFonts w:ascii="Times New Roman" w:hAnsi="Times New Roman" w:cs="Times New Roman"/>
          <w:sz w:val="24"/>
          <w:szCs w:val="24"/>
        </w:rPr>
        <w:t xml:space="preserve">. </w:t>
      </w:r>
    </w:p>
    <w:p w14:paraId="32677218" w14:textId="77777777" w:rsidR="00BD3461" w:rsidRPr="00096909" w:rsidRDefault="00BD3461" w:rsidP="00BD3461">
      <w:pPr>
        <w:spacing w:after="0" w:line="360" w:lineRule="auto"/>
        <w:ind w:right="-1"/>
        <w:jc w:val="both"/>
        <w:rPr>
          <w:rFonts w:ascii="Times New Roman" w:hAnsi="Times New Roman" w:cs="Times New Roman"/>
          <w:sz w:val="24"/>
          <w:szCs w:val="24"/>
        </w:rPr>
      </w:pPr>
    </w:p>
    <w:p w14:paraId="4590D118"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Nient’altro si dice sullo svolgimento di questo intervento danzato al quale lo scrittore fa seguire la partenza degli ospiti per il riposo notturno, ma mi pare verosimile che i “figurati” qui citati fossero delle strutture lignee, forse di più modeste dimensioni, ma simili a quelle che abbiamo </w:t>
      </w:r>
      <w:r w:rsidRPr="00096909">
        <w:rPr>
          <w:rFonts w:ascii="Times New Roman" w:hAnsi="Times New Roman" w:cs="Times New Roman"/>
          <w:sz w:val="24"/>
          <w:szCs w:val="24"/>
        </w:rPr>
        <w:lastRenderedPageBreak/>
        <w:t xml:space="preserve">visto impiegate nella fabula allegorica del precedente 29 gennaio, poiché, dato il carattere particolareggiato della descrizione di Arienti, qualora si fosse trattato di apparati scenotecnici d’altra tipologia penso che egli lo avrebbe precisato al lettore. Dal ventre del leone uscirono dunque i due uomini selvaggi al fine di insidiare con le loro danze l’unicorno, tradizionale simbolo della pudicizia e dunque allusione alla incorruttibile virtù di Lucrezia. Nel capitolo seguente avremo modo di ritornare su questo spettacolo per precisarne le affinità, sia per il soggetto che per le modalità sceniche di esecuzione, con alcuni </w:t>
      </w:r>
      <w:r w:rsidRPr="00096909">
        <w:rPr>
          <w:rFonts w:ascii="Times New Roman" w:hAnsi="Times New Roman" w:cs="Times New Roman"/>
          <w:i/>
          <w:sz w:val="24"/>
          <w:szCs w:val="24"/>
        </w:rPr>
        <w:t>entremets</w:t>
      </w:r>
      <w:r w:rsidRPr="00096909">
        <w:rPr>
          <w:rFonts w:ascii="Times New Roman" w:hAnsi="Times New Roman" w:cs="Times New Roman"/>
          <w:sz w:val="24"/>
          <w:szCs w:val="24"/>
        </w:rPr>
        <w:t xml:space="preserve"> presentati alla corte borgognona di Filippo il Buono e Carlo il Temerario. Per ora basti considerare come con questo balletto si chiuda la serie degli spettacoli della festa nuziale, dal momento che le note di Arienti riservate al giorno seguente, 2 febbraio, sono tutte dedicate alla partenza degli ospiti e al loro commiato da Giovanni II.</w:t>
      </w:r>
    </w:p>
    <w:p w14:paraId="5FB25F68"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programma dei festeggiamenti bolognesi, ricostruito attraverso il confronto tra le fonti letterarie che lo hanno descritto, permette di farsi un’idea dei vari momenti della festa ai quali sovrintesero maestranze artistiche differenti, che fecero del matrimonio di Lucrezia d’Este un’importante occasione d’incontro tra culture diverse dello spettacolo rinascimentale. </w:t>
      </w:r>
    </w:p>
    <w:p w14:paraId="590302E1"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T</w:t>
      </w:r>
      <w:r w:rsidRPr="00096909">
        <w:rPr>
          <w:rFonts w:ascii="Times New Roman" w:hAnsi="Times New Roman" w:cs="Times New Roman"/>
          <w:sz w:val="24"/>
          <w:szCs w:val="24"/>
        </w:rPr>
        <w:t xml:space="preserve">utte </w:t>
      </w:r>
      <w:r>
        <w:rPr>
          <w:rFonts w:ascii="Times New Roman" w:hAnsi="Times New Roman" w:cs="Times New Roman"/>
          <w:sz w:val="24"/>
          <w:szCs w:val="24"/>
        </w:rPr>
        <w:t>l</w:t>
      </w:r>
      <w:r w:rsidRPr="00096909">
        <w:rPr>
          <w:rFonts w:ascii="Times New Roman" w:hAnsi="Times New Roman" w:cs="Times New Roman"/>
          <w:sz w:val="24"/>
          <w:szCs w:val="24"/>
        </w:rPr>
        <w:t>e cronache concord</w:t>
      </w:r>
      <w:r>
        <w:rPr>
          <w:rFonts w:ascii="Times New Roman" w:hAnsi="Times New Roman" w:cs="Times New Roman"/>
          <w:sz w:val="24"/>
          <w:szCs w:val="24"/>
        </w:rPr>
        <w:t>ano</w:t>
      </w:r>
      <w:r w:rsidRPr="00096909">
        <w:rPr>
          <w:rFonts w:ascii="Times New Roman" w:hAnsi="Times New Roman" w:cs="Times New Roman"/>
          <w:sz w:val="24"/>
          <w:szCs w:val="24"/>
        </w:rPr>
        <w:t xml:space="preserve"> nell’attribuire la progettazione delle porte delle sette virtù, attraversate dalla sposa nel suo ingresso, al bolognese </w:t>
      </w:r>
      <w:bookmarkStart w:id="364" w:name="_Hlk535924744"/>
      <w:r w:rsidRPr="00096909">
        <w:rPr>
          <w:rFonts w:ascii="Times New Roman" w:hAnsi="Times New Roman" w:cs="Times New Roman"/>
          <w:sz w:val="24"/>
          <w:szCs w:val="24"/>
        </w:rPr>
        <w:t>Ercole Albergati, detto Zafarano</w:t>
      </w:r>
      <w:bookmarkEnd w:id="364"/>
      <w:r w:rsidRPr="00096909">
        <w:rPr>
          <w:rFonts w:ascii="Times New Roman" w:hAnsi="Times New Roman" w:cs="Times New Roman"/>
          <w:sz w:val="24"/>
          <w:szCs w:val="24"/>
        </w:rPr>
        <w:t>, stimato attore e apparatore di meccanismi teatrali, che almeno dal gennaio 1482 fu al servizio dei Gonzaga.</w:t>
      </w:r>
      <w:r w:rsidRPr="00096909">
        <w:rPr>
          <w:rStyle w:val="Rimandonotaapidipagina"/>
          <w:rFonts w:ascii="Times New Roman" w:hAnsi="Times New Roman" w:cs="Times New Roman"/>
          <w:sz w:val="24"/>
          <w:szCs w:val="24"/>
        </w:rPr>
        <w:footnoteReference w:id="449"/>
      </w:r>
      <w:r w:rsidRPr="00096909">
        <w:rPr>
          <w:rFonts w:ascii="Times New Roman" w:hAnsi="Times New Roman" w:cs="Times New Roman"/>
          <w:sz w:val="24"/>
          <w:szCs w:val="24"/>
        </w:rPr>
        <w:t xml:space="preserve">  Nell’aprile 1484 Ludovico Sforza lo volle a Milano «per adoperarlo nella settimana santa a fare qualche rappresentazione, essendo lui aptissimo».</w:t>
      </w:r>
      <w:r w:rsidRPr="00096909">
        <w:rPr>
          <w:rStyle w:val="Rimandonotaapidipagina"/>
          <w:rFonts w:ascii="Times New Roman" w:hAnsi="Times New Roman" w:cs="Times New Roman"/>
          <w:sz w:val="24"/>
          <w:szCs w:val="24"/>
        </w:rPr>
        <w:footnoteReference w:id="450"/>
      </w:r>
      <w:r w:rsidRPr="00096909">
        <w:rPr>
          <w:rFonts w:ascii="Times New Roman" w:hAnsi="Times New Roman" w:cs="Times New Roman"/>
          <w:sz w:val="24"/>
          <w:szCs w:val="24"/>
        </w:rPr>
        <w:t xml:space="preserve"> Tra i talenti di questo poliedrico artista vi fu probabilmente la capacità di adattare a contesti performativi differenti il repertorio di soluzioni scenotecniche delle quali aveva fatto esperienza durante i suoi spostamenti tra le corti padane. Ne sarebbe prova il suo coinvolgimento come scenografo per due tentativi di allestimento dell’</w:t>
      </w:r>
      <w:r w:rsidRPr="00096909">
        <w:rPr>
          <w:rFonts w:ascii="Times New Roman" w:hAnsi="Times New Roman" w:cs="Times New Roman"/>
          <w:i/>
          <w:sz w:val="24"/>
          <w:szCs w:val="24"/>
        </w:rPr>
        <w:t>Orfeo</w:t>
      </w:r>
      <w:r w:rsidRPr="00096909">
        <w:rPr>
          <w:rFonts w:ascii="Times New Roman" w:hAnsi="Times New Roman" w:cs="Times New Roman"/>
          <w:sz w:val="24"/>
          <w:szCs w:val="24"/>
        </w:rPr>
        <w:t xml:space="preserve"> di Angelo Poliziano commissionati dalla corte di Mantova, sfumati per la mancanza di recitanti abili: nel 1490 a Palazzo Marmirolo e nel 1491 a Gonzaga per la visita di Ercole d’Este; o ancora il suo intervento nella progettazione dei carri per il carnevale mantovano del 1495.</w:t>
      </w:r>
      <w:r w:rsidRPr="00096909">
        <w:rPr>
          <w:rStyle w:val="Rimandonotaapidipagina"/>
          <w:rFonts w:ascii="Times New Roman" w:hAnsi="Times New Roman" w:cs="Times New Roman"/>
          <w:sz w:val="24"/>
          <w:szCs w:val="24"/>
        </w:rPr>
        <w:footnoteReference w:id="451"/>
      </w:r>
      <w:r w:rsidRPr="00096909">
        <w:rPr>
          <w:rFonts w:ascii="Times New Roman" w:hAnsi="Times New Roman" w:cs="Times New Roman"/>
          <w:sz w:val="24"/>
          <w:szCs w:val="24"/>
        </w:rPr>
        <w:t xml:space="preserve"> </w:t>
      </w:r>
    </w:p>
    <w:p w14:paraId="6392535E"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Sempre di origine bolognese fu l’orafo che decorò l’armatura e le vesti sfoggiate da Annibale nella giostra: </w:t>
      </w:r>
      <w:bookmarkStart w:id="367" w:name="_Hlk535924833"/>
      <w:r w:rsidRPr="00096909">
        <w:rPr>
          <w:rFonts w:ascii="Times New Roman" w:hAnsi="Times New Roman" w:cs="Times New Roman"/>
          <w:sz w:val="24"/>
          <w:szCs w:val="24"/>
        </w:rPr>
        <w:t>Francesco Raibolini, detto il Francia</w:t>
      </w:r>
      <w:bookmarkEnd w:id="367"/>
      <w:r w:rsidRPr="00096909">
        <w:rPr>
          <w:rFonts w:ascii="Times New Roman" w:hAnsi="Times New Roman" w:cs="Times New Roman"/>
          <w:sz w:val="24"/>
          <w:szCs w:val="24"/>
        </w:rPr>
        <w:t>.</w:t>
      </w:r>
    </w:p>
    <w:p w14:paraId="7F9530FC" w14:textId="77777777" w:rsidR="00BD3461" w:rsidRPr="00096909" w:rsidRDefault="00BD3461" w:rsidP="00BD3461">
      <w:pPr>
        <w:tabs>
          <w:tab w:val="center" w:pos="4819"/>
        </w:tabs>
        <w:spacing w:after="0" w:line="360" w:lineRule="auto"/>
        <w:ind w:right="-1"/>
        <w:jc w:val="both"/>
        <w:rPr>
          <w:rFonts w:ascii="Times New Roman" w:hAnsi="Times New Roman" w:cs="Times New Roman"/>
          <w:sz w:val="20"/>
          <w:szCs w:val="20"/>
        </w:rPr>
      </w:pPr>
    </w:p>
    <w:p w14:paraId="19852CB5" w14:textId="77777777" w:rsidR="00BD3461" w:rsidRPr="00096909" w:rsidRDefault="00BD3461" w:rsidP="00BD3461">
      <w:pPr>
        <w:tabs>
          <w:tab w:val="center" w:pos="4819"/>
        </w:tabs>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Cossì dunque cum atentione il populo et le clarissime donne existendo, comparse dentro del stecato, al suono de tube, il Bentivoglio principe vesto de brochato d’oro a trochi, et avea fassiato il collo et la gula de lorica d’oro fino et de argento, lavorato egregiamente per l’umano Franza Raibulino, ingegnosissimo aurefice felsineo.</w:t>
      </w:r>
      <w:r w:rsidRPr="00096909">
        <w:rPr>
          <w:rStyle w:val="Rimandonotaapidipagina"/>
          <w:rFonts w:ascii="Times New Roman" w:hAnsi="Times New Roman" w:cs="Times New Roman"/>
          <w:sz w:val="20"/>
          <w:szCs w:val="20"/>
        </w:rPr>
        <w:footnoteReference w:id="452"/>
      </w:r>
    </w:p>
    <w:p w14:paraId="2510EAA8" w14:textId="77777777" w:rsidR="00BD3461" w:rsidRPr="00096909" w:rsidRDefault="00BD3461" w:rsidP="00BD3461">
      <w:pPr>
        <w:spacing w:after="0" w:line="360" w:lineRule="auto"/>
        <w:ind w:right="-1"/>
        <w:jc w:val="both"/>
        <w:rPr>
          <w:rFonts w:ascii="Times New Roman" w:hAnsi="Times New Roman" w:cs="Times New Roman"/>
          <w:sz w:val="24"/>
          <w:szCs w:val="24"/>
        </w:rPr>
      </w:pPr>
    </w:p>
    <w:p w14:paraId="1506ECC6"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Scarse le opere d’oreficeria, le armi e le armature da parata ascrivibili con sicurezza al catalogo del Francia, al quale si assegnano però – per rimanere nell’ambito delle opere di certa committenza bentivolesca che possano costituire un referente iconografico del lusso evocato dai cronisti dello sposalizio – una </w:t>
      </w:r>
      <w:r w:rsidRPr="00096909">
        <w:rPr>
          <w:rFonts w:ascii="Times New Roman" w:hAnsi="Times New Roman" w:cs="Times New Roman"/>
        </w:rPr>
        <w:t xml:space="preserve">Pace </w:t>
      </w:r>
      <w:r w:rsidRPr="00096909">
        <w:rPr>
          <w:rFonts w:ascii="Times New Roman" w:hAnsi="Times New Roman" w:cs="Times New Roman"/>
          <w:sz w:val="24"/>
          <w:szCs w:val="24"/>
        </w:rPr>
        <w:t>in argento, bronzo dorato, smalti e niello compiuta per le nozze di Ginevra Sforza e di Giovanni II del 1464 (fig. 45) e un targone da piede sul soggetto di san Giorgio, presumibilmente eseguito nel 1488 dopo la sventata congiura dei Malvezzi (fig. 46).</w:t>
      </w:r>
      <w:r w:rsidRPr="00096909">
        <w:rPr>
          <w:rStyle w:val="Rimandonotaapidipagina"/>
          <w:rFonts w:ascii="Times New Roman" w:hAnsi="Times New Roman" w:cs="Times New Roman"/>
          <w:sz w:val="24"/>
          <w:szCs w:val="24"/>
        </w:rPr>
        <w:footnoteReference w:id="453"/>
      </w:r>
      <w:r w:rsidRPr="00096909">
        <w:rPr>
          <w:rFonts w:ascii="Times New Roman" w:hAnsi="Times New Roman" w:cs="Times New Roman"/>
          <w:sz w:val="24"/>
          <w:szCs w:val="24"/>
        </w:rPr>
        <w:t xml:space="preserve"> </w:t>
      </w:r>
    </w:p>
    <w:p w14:paraId="45B6352E"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documentazione pervenutaci sul Raibolini, immatricolato dal 1482 nei registri della locale Arte degli Orefici, attesta che egli ricevette nel 1485 due pagamenti anche da Ercole I d’Este, il primo il 27 gennaio per una catena fatta a cuori e il secondo il 4 marzo per una catena «facta a tronchi ligati insieme che pesa onze 58».</w:t>
      </w:r>
      <w:r w:rsidRPr="00096909">
        <w:rPr>
          <w:rStyle w:val="Rimandonotaapidipagina"/>
          <w:rFonts w:ascii="Times New Roman" w:hAnsi="Times New Roman" w:cs="Times New Roman"/>
          <w:sz w:val="24"/>
          <w:szCs w:val="24"/>
        </w:rPr>
        <w:footnoteReference w:id="454"/>
      </w:r>
      <w:r w:rsidRPr="00096909">
        <w:rPr>
          <w:rFonts w:ascii="Times New Roman" w:hAnsi="Times New Roman" w:cs="Times New Roman"/>
          <w:sz w:val="24"/>
          <w:szCs w:val="24"/>
        </w:rPr>
        <w:t xml:space="preserve"> L’artista lavorò dunque per entrambe le corti emiliane e nel 1487 venne retribuito per l’esecuzione di piatti e di stoviglie d’argento gemmate destinate alla credenza delle nozze Bentivoglio-d’Este e per il decoro dei lampadari a foglie e fiori della sala del convito.</w:t>
      </w:r>
      <w:r w:rsidRPr="00096909">
        <w:rPr>
          <w:rStyle w:val="Rimandonotaapidipagina"/>
          <w:rFonts w:ascii="Times New Roman" w:hAnsi="Times New Roman" w:cs="Times New Roman"/>
          <w:sz w:val="24"/>
          <w:szCs w:val="24"/>
        </w:rPr>
        <w:footnoteReference w:id="455"/>
      </w:r>
      <w:r w:rsidRPr="00096909">
        <w:rPr>
          <w:rFonts w:ascii="Times New Roman" w:hAnsi="Times New Roman" w:cs="Times New Roman"/>
          <w:sz w:val="24"/>
          <w:szCs w:val="24"/>
        </w:rPr>
        <w:t xml:space="preserve"> L’ottava conclusiva del poemetto di Salimbeni segnala come l’ideazione del meccanismo d’accensione di quest’ingegno si dovesse al fiorentino Francesco Cecca, artefice anche della girandola di fuochi artificiali accesa a conclusione della giostra:</w:t>
      </w:r>
    </w:p>
    <w:p w14:paraId="7A2309F6" w14:textId="77777777" w:rsidR="00BD3461" w:rsidRPr="00096909" w:rsidRDefault="00BD3461" w:rsidP="00BD3461">
      <w:pPr>
        <w:spacing w:after="0" w:line="360" w:lineRule="auto"/>
        <w:ind w:firstLine="397"/>
        <w:jc w:val="both"/>
        <w:rPr>
          <w:rFonts w:ascii="Times New Roman" w:hAnsi="Times New Roman" w:cs="Times New Roman"/>
          <w:sz w:val="24"/>
          <w:szCs w:val="24"/>
        </w:rPr>
      </w:pPr>
    </w:p>
    <w:p w14:paraId="2D4223EB"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E perché a tor l’altrui fama si pecca,</w:t>
      </w:r>
    </w:p>
    <w:p w14:paraId="5D68CA75"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ché spesso col tacere doglier si sole,</w:t>
      </w:r>
    </w:p>
    <w:p w14:paraId="182BCD69"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benché la verità mai non si secca,</w:t>
      </w:r>
    </w:p>
    <w:p w14:paraId="637405FE"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io non posso tenir qui le parole:</w:t>
      </w:r>
    </w:p>
    <w:p w14:paraId="7516BABC"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questa girandola bella fe la Cecca,</w:t>
      </w:r>
    </w:p>
    <w:p w14:paraId="0406B9DC"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spirito fiorentino, le son fole</w:t>
      </w:r>
    </w:p>
    <w:p w14:paraId="1114CE45"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lastRenderedPageBreak/>
        <w:t>chi non adopra di simile ingegni</w:t>
      </w:r>
    </w:p>
    <w:p w14:paraId="6639DA05"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per far hornate feste e giochi degni.</w:t>
      </w:r>
    </w:p>
    <w:p w14:paraId="546DF16B"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p>
    <w:p w14:paraId="18D37C87" w14:textId="77777777" w:rsidR="00BD3461" w:rsidRPr="00096909" w:rsidRDefault="00BD3461" w:rsidP="00BD3461">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Doncha costui ha il gigante formato</w:t>
      </w:r>
    </w:p>
    <w:p w14:paraId="045CF4AE" w14:textId="77777777" w:rsidR="00BD3461" w:rsidRPr="00096909" w:rsidRDefault="00BD3461" w:rsidP="00BD3461">
      <w:pPr>
        <w:spacing w:after="0" w:line="360" w:lineRule="auto"/>
        <w:ind w:left="2268" w:right="-1"/>
        <w:jc w:val="both"/>
        <w:rPr>
          <w:rFonts w:ascii="Times New Roman" w:hAnsi="Times New Roman" w:cs="Times New Roman"/>
          <w:sz w:val="24"/>
          <w:szCs w:val="24"/>
        </w:rPr>
      </w:pPr>
      <w:r w:rsidRPr="00096909">
        <w:rPr>
          <w:rFonts w:ascii="Times New Roman" w:hAnsi="Times New Roman" w:cs="Times New Roman"/>
          <w:sz w:val="20"/>
          <w:szCs w:val="20"/>
        </w:rPr>
        <w:t>E quei duo candelieri che sono in sala […].</w:t>
      </w:r>
      <w:r w:rsidRPr="00096909">
        <w:rPr>
          <w:rStyle w:val="Rimandonotaapidipagina"/>
          <w:rFonts w:ascii="Times New Roman" w:hAnsi="Times New Roman" w:cs="Times New Roman"/>
          <w:sz w:val="20"/>
          <w:szCs w:val="20"/>
        </w:rPr>
        <w:footnoteReference w:id="456"/>
      </w:r>
      <w:r w:rsidRPr="00096909">
        <w:rPr>
          <w:rFonts w:ascii="Times New Roman" w:hAnsi="Times New Roman" w:cs="Times New Roman"/>
          <w:sz w:val="24"/>
          <w:szCs w:val="24"/>
        </w:rPr>
        <w:t xml:space="preserve"> </w:t>
      </w:r>
    </w:p>
    <w:p w14:paraId="7D235C12" w14:textId="77777777" w:rsidR="00BD3461" w:rsidRPr="00096909" w:rsidRDefault="00BD3461" w:rsidP="00BD3461">
      <w:pPr>
        <w:spacing w:after="0" w:line="360" w:lineRule="auto"/>
        <w:ind w:left="2268" w:right="-1"/>
        <w:jc w:val="both"/>
        <w:rPr>
          <w:rFonts w:ascii="Times New Roman" w:hAnsi="Times New Roman" w:cs="Times New Roman"/>
          <w:sz w:val="24"/>
          <w:szCs w:val="24"/>
        </w:rPr>
      </w:pPr>
    </w:p>
    <w:p w14:paraId="50902CD4"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Nella festa in esame, fu dunque l’apporto del Cecca il prestito più interessante tratto dalla cultura performativa fiorentina e meglio segnalato dalle fonti. Nell’ambito degli studi sullo spettacolo rinascimentale Francesco d’Angelo è noto come l’artista che, secondo la testimonianza delle </w:t>
      </w:r>
      <w:r w:rsidRPr="00096909">
        <w:rPr>
          <w:rFonts w:ascii="Times New Roman" w:hAnsi="Times New Roman" w:cs="Times New Roman"/>
          <w:i/>
          <w:sz w:val="24"/>
          <w:szCs w:val="24"/>
        </w:rPr>
        <w:t>Vite</w:t>
      </w:r>
      <w:r w:rsidRPr="00096909">
        <w:rPr>
          <w:rFonts w:ascii="Times New Roman" w:hAnsi="Times New Roman" w:cs="Times New Roman"/>
          <w:sz w:val="24"/>
          <w:szCs w:val="24"/>
        </w:rPr>
        <w:t xml:space="preserve"> di </w:t>
      </w:r>
      <w:bookmarkStart w:id="370" w:name="_Hlk535924950"/>
      <w:r w:rsidRPr="00096909">
        <w:rPr>
          <w:rFonts w:ascii="Times New Roman" w:hAnsi="Times New Roman" w:cs="Times New Roman"/>
          <w:sz w:val="24"/>
          <w:szCs w:val="24"/>
        </w:rPr>
        <w:t>Giorgio Vasari</w:t>
      </w:r>
      <w:bookmarkEnd w:id="370"/>
      <w:r w:rsidRPr="00096909">
        <w:rPr>
          <w:rFonts w:ascii="Times New Roman" w:hAnsi="Times New Roman" w:cs="Times New Roman"/>
          <w:sz w:val="24"/>
          <w:szCs w:val="24"/>
        </w:rPr>
        <w:t>, perfezionò gli ingegni ascensionali ideati da Filippo Brunelleschi per le rappresentazioni del mistero dell’</w:t>
      </w:r>
      <w:r w:rsidRPr="00096909">
        <w:rPr>
          <w:rFonts w:ascii="Times New Roman" w:hAnsi="Times New Roman" w:cs="Times New Roman"/>
          <w:i/>
          <w:sz w:val="24"/>
          <w:szCs w:val="24"/>
        </w:rPr>
        <w:t>Ascensione</w:t>
      </w:r>
      <w:r w:rsidRPr="00096909">
        <w:rPr>
          <w:rFonts w:ascii="Times New Roman" w:hAnsi="Times New Roman" w:cs="Times New Roman"/>
          <w:sz w:val="24"/>
          <w:szCs w:val="24"/>
        </w:rPr>
        <w:t xml:space="preserve"> nella chiesa di Santa Maria del Carmine e dell’</w:t>
      </w:r>
      <w:r w:rsidRPr="00096909">
        <w:rPr>
          <w:rFonts w:ascii="Times New Roman" w:hAnsi="Times New Roman" w:cs="Times New Roman"/>
          <w:i/>
          <w:sz w:val="24"/>
          <w:szCs w:val="24"/>
        </w:rPr>
        <w:t>Annunciazione</w:t>
      </w:r>
      <w:r w:rsidRPr="00096909">
        <w:rPr>
          <w:rFonts w:ascii="Times New Roman" w:hAnsi="Times New Roman" w:cs="Times New Roman"/>
          <w:sz w:val="24"/>
          <w:szCs w:val="24"/>
        </w:rPr>
        <w:t xml:space="preserve"> in quella di San Felice in Piazza, allestite rispettivamente dalle confraternite dell’Agnesa e dell’Orciuolo.</w:t>
      </w:r>
      <w:r w:rsidRPr="00096909">
        <w:rPr>
          <w:rStyle w:val="Rimandonotaapidipagina"/>
          <w:rFonts w:ascii="Times New Roman" w:hAnsi="Times New Roman" w:cs="Times New Roman"/>
          <w:sz w:val="24"/>
          <w:szCs w:val="24"/>
        </w:rPr>
        <w:footnoteReference w:id="457"/>
      </w:r>
      <w:r w:rsidRPr="00096909">
        <w:rPr>
          <w:rFonts w:ascii="Times New Roman" w:hAnsi="Times New Roman" w:cs="Times New Roman"/>
          <w:sz w:val="24"/>
          <w:szCs w:val="24"/>
        </w:rPr>
        <w:t xml:space="preserve"> </w:t>
      </w:r>
    </w:p>
    <w:p w14:paraId="46149875"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Per quanto non sia possibile stabilire, per mancanza di documentazione, quale apporto il Cecca abbia fornito al perfezionamento della macchineria fiorentina necessaria a queste rappresentazioni, è pur certo che egli padroneggiasse, tanto secondo Vasari quanto secondo le cronache dello sposalizio Bentivoglio, le abilità necessarie a produrre effetti illuminotecnici sorprendenti, conosciute probabilmente grazie alla pratica degli allestimenti delle feste d’Oltrarno e delle processioni patronali di san Giovanni, rinomate all’epoca in tutta Italia. </w:t>
      </w:r>
      <w:r>
        <w:rPr>
          <w:rFonts w:ascii="Times New Roman" w:hAnsi="Times New Roman" w:cs="Times New Roman"/>
          <w:sz w:val="24"/>
          <w:szCs w:val="24"/>
        </w:rPr>
        <w:t>C</w:t>
      </w:r>
      <w:r w:rsidRPr="00096909">
        <w:rPr>
          <w:rFonts w:ascii="Times New Roman" w:hAnsi="Times New Roman" w:cs="Times New Roman"/>
          <w:sz w:val="24"/>
          <w:szCs w:val="24"/>
        </w:rPr>
        <w:t>redo, infatti,</w:t>
      </w:r>
      <w:r>
        <w:rPr>
          <w:rFonts w:ascii="Times New Roman" w:hAnsi="Times New Roman" w:cs="Times New Roman"/>
          <w:sz w:val="24"/>
          <w:szCs w:val="24"/>
        </w:rPr>
        <w:t xml:space="preserve"> che</w:t>
      </w:r>
      <w:r w:rsidRPr="00096909">
        <w:rPr>
          <w:rFonts w:ascii="Times New Roman" w:hAnsi="Times New Roman" w:cs="Times New Roman"/>
          <w:sz w:val="24"/>
          <w:szCs w:val="24"/>
        </w:rPr>
        <w:t xml:space="preserve"> </w:t>
      </w:r>
      <w:r>
        <w:rPr>
          <w:rFonts w:ascii="Times New Roman" w:hAnsi="Times New Roman" w:cs="Times New Roman"/>
          <w:sz w:val="24"/>
          <w:szCs w:val="24"/>
        </w:rPr>
        <w:t>l</w:t>
      </w:r>
      <w:r w:rsidRPr="00096909">
        <w:rPr>
          <w:rFonts w:ascii="Times New Roman" w:hAnsi="Times New Roman" w:cs="Times New Roman"/>
          <w:sz w:val="24"/>
          <w:szCs w:val="24"/>
        </w:rPr>
        <w:t xml:space="preserve">a specificazione da parte di Salimbeni, d’Arienti e di Beroaldo dell’origine fiorentina dell’apparatore volesse richiamare alla memoria una particolare variante regionale della cultura spettacolare rinascimentale, patrimonio comune di un pubblico di lettori-spettatori, della quale il Cecca si era fatto esportatore. </w:t>
      </w:r>
    </w:p>
    <w:p w14:paraId="1F29995F"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 fornire occasionalmente i suoi servigi alle feste bolognesi del 1487 fu inoltre il menzionato maestro di ballo Lorenzo Lavagnolo, prestato dal marchese Francesco Gonzaga ma conteso, nel corso della sua carriera, dalle corti di Milano, dove fu famigliare di Bona di Savoia negli anni 1479-1480, di Ferrara, dove disegnò coreografie per feste di Isabella e Beatrice d’Este, e di Urbino, dove soggiornò nel 1488, per insegnare balli alla duchessa</w:t>
      </w:r>
      <w:r>
        <w:rPr>
          <w:rFonts w:ascii="Times New Roman" w:hAnsi="Times New Roman" w:cs="Times New Roman"/>
          <w:sz w:val="24"/>
          <w:szCs w:val="24"/>
        </w:rPr>
        <w:t xml:space="preserve"> Elisabetta Gonzaga</w:t>
      </w:r>
      <w:r w:rsidRPr="00096909">
        <w:rPr>
          <w:rFonts w:ascii="Times New Roman" w:hAnsi="Times New Roman" w:cs="Times New Roman"/>
          <w:sz w:val="24"/>
          <w:szCs w:val="24"/>
        </w:rPr>
        <w:t xml:space="preserve">. Allo sposalizio del </w:t>
      </w:r>
      <w:r w:rsidRPr="00096909">
        <w:rPr>
          <w:rFonts w:ascii="Times New Roman" w:hAnsi="Times New Roman" w:cs="Times New Roman"/>
          <w:sz w:val="24"/>
          <w:szCs w:val="24"/>
        </w:rPr>
        <w:lastRenderedPageBreak/>
        <w:t>Bentivoglio egli si esibì in apertura della favola allegorica del 29 gennaio insieme all’abile bambina di sei anni che destò l’ammirazione del pubblico presente:</w:t>
      </w:r>
      <w:r w:rsidRPr="00096909">
        <w:rPr>
          <w:rStyle w:val="Rimandonotaapidipagina"/>
          <w:rFonts w:ascii="Times New Roman" w:hAnsi="Times New Roman" w:cs="Times New Roman"/>
          <w:sz w:val="24"/>
          <w:szCs w:val="24"/>
        </w:rPr>
        <w:footnoteReference w:id="458"/>
      </w:r>
      <w:r w:rsidRPr="00096909">
        <w:rPr>
          <w:rFonts w:ascii="Times New Roman" w:hAnsi="Times New Roman" w:cs="Times New Roman"/>
          <w:sz w:val="24"/>
          <w:szCs w:val="24"/>
        </w:rPr>
        <w:t xml:space="preserve"> </w:t>
      </w:r>
    </w:p>
    <w:p w14:paraId="19ED9553" w14:textId="77777777" w:rsidR="00BD3461" w:rsidRPr="00096909" w:rsidRDefault="00BD3461" w:rsidP="00BD3461">
      <w:pPr>
        <w:spacing w:after="0" w:line="360" w:lineRule="auto"/>
        <w:ind w:right="-1"/>
        <w:jc w:val="both"/>
        <w:rPr>
          <w:rFonts w:ascii="Times New Roman" w:hAnsi="Times New Roman" w:cs="Times New Roman"/>
          <w:sz w:val="20"/>
          <w:szCs w:val="20"/>
        </w:rPr>
      </w:pPr>
    </w:p>
    <w:p w14:paraId="4A865363" w14:textId="77777777" w:rsidR="00BD3461" w:rsidRPr="00096909" w:rsidRDefault="00BD3461" w:rsidP="00BD3461">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Receputi che hebbe la sponsa li chari presenti et doni, subito incominciò sonare uno tamburino et zufoli, che era dolce armonia sentire, al quale suono una florentina fanzuleta de anni sei cum uno homo incominciò danzare cum tanta legiadria, et dextreza, et acti, et salti col suono misurati che è cosa incredibile a chi non l’havesse veduta. Tuti li molti Astanti cum grande atentione se volseno a lei come a cosa miracolosa, dicendo come può essere che in sì piccola etate sia tanta virtute, che io anchora me ne recordo stupisco.</w:t>
      </w:r>
      <w:r w:rsidRPr="00096909">
        <w:rPr>
          <w:rStyle w:val="Rimandonotaapidipagina"/>
          <w:rFonts w:ascii="Times New Roman" w:hAnsi="Times New Roman" w:cs="Times New Roman"/>
          <w:sz w:val="20"/>
          <w:szCs w:val="20"/>
        </w:rPr>
        <w:footnoteReference w:id="459"/>
      </w:r>
      <w:r w:rsidRPr="00096909">
        <w:rPr>
          <w:rFonts w:ascii="Times New Roman" w:hAnsi="Times New Roman" w:cs="Times New Roman"/>
          <w:sz w:val="20"/>
          <w:szCs w:val="20"/>
        </w:rPr>
        <w:t xml:space="preserve"> </w:t>
      </w:r>
    </w:p>
    <w:p w14:paraId="1E39ECAF" w14:textId="77777777" w:rsidR="00BD3461" w:rsidRPr="00096909" w:rsidRDefault="00BD3461" w:rsidP="00BD3461">
      <w:pPr>
        <w:spacing w:after="0" w:line="360" w:lineRule="auto"/>
        <w:ind w:right="-1"/>
        <w:jc w:val="both"/>
        <w:rPr>
          <w:rFonts w:ascii="Times New Roman" w:hAnsi="Times New Roman" w:cs="Times New Roman"/>
          <w:sz w:val="24"/>
          <w:szCs w:val="24"/>
        </w:rPr>
      </w:pPr>
      <w:r w:rsidRPr="00096909">
        <w:rPr>
          <w:rFonts w:ascii="Times New Roman" w:hAnsi="Times New Roman" w:cs="Times New Roman"/>
          <w:sz w:val="24"/>
          <w:szCs w:val="24"/>
        </w:rPr>
        <w:t xml:space="preserve"> </w:t>
      </w:r>
    </w:p>
    <w:p w14:paraId="2F39C8BF"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L’esibizione di questa giovane artista risulta in tutto simile a quella descritta quattro anni più tardi da Tristano Calco in occasione delle feste milanesi per le nozze di Ludovico il Moro e Beatrice d’Este del gennaio 1491. Essa permette di tracciare, concordemente a quanto nota Alessandro Pontremoli, un ulteriore ritorno di Lavagnolo e della bambina da lui educata all’arte coreutica alla corte di Milano: </w:t>
      </w:r>
    </w:p>
    <w:p w14:paraId="56D712B0" w14:textId="77777777" w:rsidR="00BD3461" w:rsidRPr="00096909" w:rsidRDefault="00BD3461" w:rsidP="00BD3461">
      <w:pPr>
        <w:spacing w:after="0" w:line="360" w:lineRule="auto"/>
        <w:ind w:right="-1"/>
        <w:jc w:val="both"/>
        <w:rPr>
          <w:rFonts w:ascii="Times New Roman" w:hAnsi="Times New Roman" w:cs="Times New Roman"/>
          <w:sz w:val="24"/>
          <w:szCs w:val="24"/>
        </w:rPr>
      </w:pPr>
    </w:p>
    <w:p w14:paraId="13F4D8D6" w14:textId="77777777" w:rsidR="00BD3461" w:rsidRPr="00096909" w:rsidRDefault="00BD3461" w:rsidP="00BD3461">
      <w:pPr>
        <w:spacing w:after="0" w:line="360" w:lineRule="auto"/>
        <w:ind w:left="567" w:right="567" w:firstLine="397"/>
        <w:jc w:val="both"/>
        <w:rPr>
          <w:rFonts w:ascii="Times New Roman" w:hAnsi="Times New Roman" w:cs="Times New Roman"/>
          <w:sz w:val="24"/>
          <w:szCs w:val="24"/>
        </w:rPr>
      </w:pPr>
      <w:r w:rsidRPr="00096909">
        <w:rPr>
          <w:rFonts w:ascii="Times New Roman" w:hAnsi="Times New Roman" w:cs="Times New Roman"/>
          <w:i/>
          <w:sz w:val="20"/>
          <w:szCs w:val="20"/>
        </w:rPr>
        <w:t>Productis mox a personatis in horam choreis, subiit Tusca Puella magistro comitata, quae, saltu flexuque corporis multifariam rotata, omnes humanae agilitatis venustatisque numeros non modo referre decenter, sed supergredi etiam admirantibus visa est</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460"/>
      </w:r>
      <w:r w:rsidRPr="00096909">
        <w:rPr>
          <w:rFonts w:ascii="Times New Roman" w:hAnsi="Times New Roman" w:cs="Times New Roman"/>
          <w:sz w:val="24"/>
          <w:szCs w:val="24"/>
        </w:rPr>
        <w:t xml:space="preserve"> </w:t>
      </w:r>
    </w:p>
    <w:p w14:paraId="332F36A0" w14:textId="77777777" w:rsidR="00BD3461" w:rsidRPr="00096909" w:rsidRDefault="00BD3461" w:rsidP="00BD3461">
      <w:pPr>
        <w:spacing w:after="0" w:line="360" w:lineRule="auto"/>
        <w:ind w:right="-1"/>
        <w:jc w:val="both"/>
        <w:rPr>
          <w:rFonts w:ascii="Times New Roman" w:hAnsi="Times New Roman" w:cs="Times New Roman"/>
          <w:sz w:val="20"/>
          <w:szCs w:val="20"/>
        </w:rPr>
      </w:pPr>
    </w:p>
    <w:p w14:paraId="354F6A66" w14:textId="77777777" w:rsidR="00BD3461" w:rsidRPr="00096909"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Nuovamente le abilità della giovane e del suo magistro sono apprezzate dal pubblico cortigiano, così come viene notata ancora l’origine toscana della ballerina. La riproposizione di questa performance, oltre a confermare l’importanza della danza all’interno della festa nuziale quattrocentesca, mi pare testimoniare come i festeggiamenti dinastici offrissero l’occasione per uno scambio tra culture spettacolari già, a questa altezza cronologica, riconoscibili in ragione della loro declinazione regionale.</w:t>
      </w:r>
      <w:r w:rsidRPr="00096909">
        <w:rPr>
          <w:rStyle w:val="Rimandonotaapidipagina"/>
          <w:rFonts w:ascii="Times New Roman" w:hAnsi="Times New Roman" w:cs="Times New Roman"/>
          <w:sz w:val="24"/>
          <w:szCs w:val="24"/>
        </w:rPr>
        <w:footnoteReference w:id="461"/>
      </w:r>
      <w:r w:rsidRPr="00096909">
        <w:rPr>
          <w:rFonts w:ascii="Times New Roman" w:hAnsi="Times New Roman" w:cs="Times New Roman"/>
          <w:sz w:val="24"/>
          <w:szCs w:val="24"/>
        </w:rPr>
        <w:t xml:space="preserve"> </w:t>
      </w:r>
    </w:p>
    <w:p w14:paraId="42B18F77" w14:textId="77777777" w:rsidR="00BD3461" w:rsidRDefault="00BD3461" w:rsidP="00BD3461">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Le nozze del capitano di ventura Annibale dispiegarono dunque, grazie ad una rete di amicizie, di parentele e d’alleanze politiche, un campionario raffinatissimo di culture performative e di apparati effimeri perfettamente comparabili a quello dei principati contemporanei, mentre gli opuscoli a stampa dedicati al fasto di tali eventi cercarono di amplificare la fama e la credibilità del dominio dei Bentivoglio su Bologna. Un dominio destinato ad essere messo in discussione l’anno successivo, 1488, dalla congiura dei rivali Malvezzi, e a infrangersi definitivamente</w:t>
      </w:r>
      <w:r>
        <w:rPr>
          <w:rFonts w:ascii="Times New Roman" w:hAnsi="Times New Roman" w:cs="Times New Roman"/>
          <w:sz w:val="24"/>
          <w:szCs w:val="24"/>
        </w:rPr>
        <w:t xml:space="preserve"> con la riconquista della città da parte </w:t>
      </w:r>
      <w:r w:rsidRPr="00096909">
        <w:rPr>
          <w:rFonts w:ascii="Times New Roman" w:hAnsi="Times New Roman" w:cs="Times New Roman"/>
          <w:sz w:val="24"/>
          <w:szCs w:val="24"/>
        </w:rPr>
        <w:t>di Giulio II nel novembre 1506.</w:t>
      </w:r>
    </w:p>
    <w:p w14:paraId="30D99BDA" w14:textId="77777777" w:rsidR="000A28D9" w:rsidRDefault="000A28D9" w:rsidP="00BD3461">
      <w:pPr>
        <w:spacing w:after="0" w:line="360" w:lineRule="auto"/>
        <w:ind w:firstLine="397"/>
        <w:jc w:val="both"/>
        <w:rPr>
          <w:rFonts w:ascii="Times New Roman" w:hAnsi="Times New Roman" w:cs="Times New Roman"/>
          <w:sz w:val="24"/>
          <w:szCs w:val="24"/>
        </w:rPr>
      </w:pPr>
    </w:p>
    <w:p w14:paraId="273CC8F2" w14:textId="77777777" w:rsidR="000A28D9" w:rsidRDefault="000A28D9" w:rsidP="00BD3461">
      <w:pPr>
        <w:spacing w:after="0" w:line="360" w:lineRule="auto"/>
        <w:ind w:firstLine="397"/>
        <w:jc w:val="both"/>
        <w:rPr>
          <w:rFonts w:ascii="Times New Roman" w:hAnsi="Times New Roman" w:cs="Times New Roman"/>
          <w:sz w:val="24"/>
          <w:szCs w:val="24"/>
        </w:rPr>
      </w:pPr>
    </w:p>
    <w:p w14:paraId="61F5C214" w14:textId="77777777" w:rsidR="000A28D9" w:rsidRPr="00096909" w:rsidRDefault="000A28D9" w:rsidP="000A28D9">
      <w:pPr>
        <w:spacing w:after="0" w:line="360" w:lineRule="auto"/>
        <w:ind w:right="-1"/>
        <w:jc w:val="both"/>
        <w:rPr>
          <w:rFonts w:ascii="Times New Roman" w:hAnsi="Times New Roman" w:cs="Times New Roman"/>
          <w:i/>
          <w:sz w:val="24"/>
          <w:szCs w:val="24"/>
        </w:rPr>
      </w:pPr>
      <w:r w:rsidRPr="004278D5">
        <w:rPr>
          <w:rFonts w:ascii="Times New Roman" w:hAnsi="Times New Roman" w:cs="Times New Roman"/>
          <w:sz w:val="24"/>
          <w:szCs w:val="24"/>
        </w:rPr>
        <w:t>5.</w:t>
      </w:r>
      <w:r w:rsidRPr="00096909">
        <w:rPr>
          <w:rFonts w:ascii="Times New Roman" w:hAnsi="Times New Roman" w:cs="Times New Roman"/>
          <w:i/>
          <w:sz w:val="24"/>
          <w:szCs w:val="24"/>
        </w:rPr>
        <w:t xml:space="preserve"> Un incunabolo per lo sposalizio di Gian Galeazzo Sforza e Isabella d’Aragona (1489).</w:t>
      </w:r>
    </w:p>
    <w:p w14:paraId="2C237520" w14:textId="77777777" w:rsidR="000A28D9" w:rsidRPr="00096909" w:rsidRDefault="000A28D9" w:rsidP="000A28D9">
      <w:pPr>
        <w:spacing w:after="0" w:line="360" w:lineRule="auto"/>
        <w:ind w:right="-1"/>
        <w:jc w:val="both"/>
        <w:rPr>
          <w:rFonts w:ascii="Times New Roman" w:hAnsi="Times New Roman" w:cs="Times New Roman"/>
          <w:i/>
          <w:sz w:val="24"/>
          <w:szCs w:val="24"/>
        </w:rPr>
      </w:pPr>
    </w:p>
    <w:p w14:paraId="675109C4" w14:textId="77777777" w:rsidR="000A28D9" w:rsidRPr="00096909" w:rsidRDefault="000A28D9" w:rsidP="000A28D9">
      <w:pPr>
        <w:pStyle w:val="Nessunaspaziatura"/>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Le vicende redazionali dei libretti per lo sposalizio Bentivoglio-</w:t>
      </w:r>
      <w:r w:rsidR="007171F4">
        <w:rPr>
          <w:rFonts w:ascii="Times New Roman" w:hAnsi="Times New Roman" w:cs="Times New Roman"/>
          <w:sz w:val="24"/>
          <w:szCs w:val="24"/>
        </w:rPr>
        <w:t>d</w:t>
      </w:r>
      <w:r w:rsidRPr="00096909">
        <w:rPr>
          <w:rFonts w:ascii="Times New Roman" w:hAnsi="Times New Roman" w:cs="Times New Roman"/>
          <w:sz w:val="24"/>
          <w:szCs w:val="24"/>
        </w:rPr>
        <w:t xml:space="preserve">’Este del 1487 e quelle delle precedenti stampe per i matrimoni svoltisi nel 1475 e nel 1484 illustrano come la festa dinastica costituisse, piuttosto che una ragione alla committenza principesca di un testo commemorativo e alla sua impressione, un’occasione data a cortigiani e letterati d’offrire un dono gradito e di discreta utilità propagandistica. Dovette essere in questa prospettiva che nell’aprile del 1489 il letterato Stefano Dolcino, il nobile </w:t>
      </w:r>
      <w:r w:rsidR="00150217">
        <w:rPr>
          <w:rFonts w:ascii="Times New Roman" w:hAnsi="Times New Roman" w:cs="Times New Roman"/>
          <w:sz w:val="24"/>
          <w:szCs w:val="24"/>
        </w:rPr>
        <w:t xml:space="preserve">Giovanni </w:t>
      </w:r>
      <w:r w:rsidRPr="00096909">
        <w:rPr>
          <w:rFonts w:ascii="Times New Roman" w:hAnsi="Times New Roman" w:cs="Times New Roman"/>
          <w:sz w:val="24"/>
          <w:szCs w:val="24"/>
        </w:rPr>
        <w:t xml:space="preserve">Antonio Corvini da Arezzo e </w:t>
      </w:r>
      <w:r>
        <w:rPr>
          <w:rFonts w:ascii="Times New Roman" w:hAnsi="Times New Roman" w:cs="Times New Roman"/>
          <w:sz w:val="24"/>
          <w:szCs w:val="24"/>
        </w:rPr>
        <w:t xml:space="preserve">il tipografo </w:t>
      </w:r>
      <w:r w:rsidRPr="00096909">
        <w:rPr>
          <w:rFonts w:ascii="Times New Roman" w:hAnsi="Times New Roman" w:cs="Times New Roman"/>
          <w:sz w:val="24"/>
          <w:szCs w:val="24"/>
        </w:rPr>
        <w:t xml:space="preserve">Antonio Zarotto procedettero alla pubblicazione delle </w:t>
      </w:r>
      <w:r w:rsidRPr="00096909">
        <w:rPr>
          <w:rFonts w:ascii="Times New Roman" w:hAnsi="Times New Roman" w:cs="Times New Roman"/>
          <w:i/>
          <w:sz w:val="24"/>
          <w:szCs w:val="24"/>
        </w:rPr>
        <w:t>Nuptiae illustrissimi Ducis Mediolani</w:t>
      </w:r>
      <w:r w:rsidRPr="00096909">
        <w:rPr>
          <w:rFonts w:ascii="Times New Roman" w:hAnsi="Times New Roman" w:cs="Times New Roman"/>
          <w:sz w:val="24"/>
          <w:szCs w:val="24"/>
        </w:rPr>
        <w:t>.</w:t>
      </w:r>
    </w:p>
    <w:p w14:paraId="2AF08670" w14:textId="77777777" w:rsidR="000A28D9" w:rsidRPr="00096909" w:rsidRDefault="000A28D9" w:rsidP="000A28D9">
      <w:pPr>
        <w:spacing w:after="0" w:line="360" w:lineRule="auto"/>
        <w:ind w:firstLine="397"/>
        <w:jc w:val="both"/>
        <w:rPr>
          <w:rFonts w:ascii="Times New Roman" w:hAnsi="Times New Roman"/>
          <w:sz w:val="24"/>
          <w:szCs w:val="24"/>
        </w:rPr>
      </w:pPr>
      <w:r w:rsidRPr="00096909">
        <w:rPr>
          <w:rFonts w:ascii="Times New Roman" w:hAnsi="Times New Roman"/>
          <w:sz w:val="24"/>
          <w:szCs w:val="24"/>
        </w:rPr>
        <w:t xml:space="preserve">L’incunabolo, in quarto, di quattordici carte di piccole dimensioni, reca al </w:t>
      </w:r>
      <w:r w:rsidRPr="00096909">
        <w:rPr>
          <w:rFonts w:ascii="Times New Roman" w:hAnsi="Times New Roman"/>
          <w:i/>
          <w:sz w:val="24"/>
          <w:szCs w:val="24"/>
        </w:rPr>
        <w:t>colophon</w:t>
      </w:r>
      <w:r w:rsidRPr="00096909">
        <w:rPr>
          <w:rFonts w:ascii="Times New Roman" w:hAnsi="Times New Roman"/>
          <w:sz w:val="24"/>
          <w:szCs w:val="24"/>
        </w:rPr>
        <w:t xml:space="preserve"> il nome dello stampatore e la data 13 aprile 1489, successiva di soli due mesi allo svolgimento delle cerimonie milanesi del 2 febbraio di quell’anno.</w:t>
      </w:r>
      <w:r w:rsidRPr="00096909">
        <w:rPr>
          <w:rStyle w:val="Rimandonotaapidipagina"/>
          <w:rFonts w:ascii="Times New Roman" w:hAnsi="Times New Roman"/>
        </w:rPr>
        <w:footnoteReference w:id="462"/>
      </w:r>
      <w:r w:rsidRPr="00096909">
        <w:rPr>
          <w:rFonts w:ascii="Times New Roman" w:hAnsi="Times New Roman"/>
          <w:sz w:val="24"/>
          <w:szCs w:val="24"/>
        </w:rPr>
        <w:t xml:space="preserve"> Apre il libretto la lettera di dedica dell’autore al suo maestro, il cremonese Niccolò Lugari, stimato precettore, oratore latino e revisore delle edizioni dei testi di Petrarca e Filelfo per i tipi</w:t>
      </w:r>
      <w:r>
        <w:rPr>
          <w:rFonts w:ascii="Times New Roman" w:hAnsi="Times New Roman"/>
          <w:sz w:val="24"/>
          <w:szCs w:val="24"/>
        </w:rPr>
        <w:t xml:space="preserve"> di</w:t>
      </w:r>
      <w:r w:rsidRPr="00096909">
        <w:rPr>
          <w:rFonts w:ascii="Times New Roman" w:hAnsi="Times New Roman"/>
          <w:sz w:val="24"/>
          <w:szCs w:val="24"/>
        </w:rPr>
        <w:t xml:space="preserve"> Bernardino Misinta e</w:t>
      </w:r>
      <w:r>
        <w:rPr>
          <w:rFonts w:ascii="Times New Roman" w:hAnsi="Times New Roman"/>
          <w:sz w:val="24"/>
          <w:szCs w:val="24"/>
        </w:rPr>
        <w:t xml:space="preserve"> di</w:t>
      </w:r>
      <w:r w:rsidRPr="00096909">
        <w:rPr>
          <w:rFonts w:ascii="Times New Roman" w:hAnsi="Times New Roman"/>
          <w:sz w:val="24"/>
          <w:szCs w:val="24"/>
        </w:rPr>
        <w:t xml:space="preserve"> Cesare da Parma;</w:t>
      </w:r>
      <w:r w:rsidRPr="00096909">
        <w:rPr>
          <w:rStyle w:val="Rimandonotaapidipagina"/>
          <w:rFonts w:ascii="Times New Roman" w:hAnsi="Times New Roman"/>
        </w:rPr>
        <w:footnoteReference w:id="463"/>
      </w:r>
      <w:r w:rsidRPr="00096909">
        <w:rPr>
          <w:rFonts w:ascii="Times New Roman" w:hAnsi="Times New Roman"/>
          <w:sz w:val="24"/>
          <w:szCs w:val="24"/>
        </w:rPr>
        <w:t xml:space="preserve"> mentre lo chiude l’enfatica epistola del gentiluomo Giovanni Antonio Corvini, finanziatore dell’impressione, che non specifica ragioni per promuovere la pubblicazione diverse dal diletto provato nella lettura dell’erudita descrizione. </w:t>
      </w:r>
    </w:p>
    <w:p w14:paraId="68622F2E" w14:textId="77777777" w:rsidR="000A28D9" w:rsidRPr="00096909" w:rsidRDefault="000A28D9" w:rsidP="000A28D9">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lastRenderedPageBreak/>
        <w:t>Dell’autore della relazione, fecondo editore di testi classici nel panorama editoriale milanese tra Quattro e Cinquecento, ci sono giunte notizie biografiche nelle lettere prefatorie ai volumi di sua curatela e nei componimenti dedicatigli da diversi poeti e letterati contemporanei.</w:t>
      </w:r>
      <w:r w:rsidRPr="00096909">
        <w:rPr>
          <w:rStyle w:val="Rimandonotaapidipagina"/>
          <w:rFonts w:ascii="Times New Roman" w:hAnsi="Times New Roman"/>
        </w:rPr>
        <w:footnoteReference w:id="464"/>
      </w:r>
      <w:r w:rsidRPr="00096909">
        <w:rPr>
          <w:rFonts w:ascii="Times New Roman" w:hAnsi="Times New Roman"/>
          <w:sz w:val="24"/>
          <w:szCs w:val="24"/>
        </w:rPr>
        <w:t xml:space="preserve"> Nato nel 1462 a Sambuceto, attuale frazione di Compiano</w:t>
      </w:r>
      <w:r>
        <w:rPr>
          <w:rFonts w:ascii="Times New Roman" w:hAnsi="Times New Roman"/>
          <w:sz w:val="24"/>
          <w:szCs w:val="24"/>
        </w:rPr>
        <w:t xml:space="preserve"> (provincia di Parma)</w:t>
      </w:r>
      <w:r w:rsidRPr="00096909">
        <w:rPr>
          <w:rFonts w:ascii="Times New Roman" w:hAnsi="Times New Roman"/>
          <w:sz w:val="24"/>
          <w:szCs w:val="24"/>
        </w:rPr>
        <w:t>, fu allievo a Cremona di Lugari e successivamente, a Milano, di Giorgio Merula, nella cui ammirazione maturò la conoscenza delle lingue classiche e il vigore filologico di cui danno prova gli scritti e le edizioni dei classici pubblicati con Zarotto.</w:t>
      </w:r>
      <w:r w:rsidRPr="00096909">
        <w:rPr>
          <w:rStyle w:val="Rimandonotaapidipagina"/>
          <w:rFonts w:ascii="Times New Roman" w:hAnsi="Times New Roman"/>
        </w:rPr>
        <w:footnoteReference w:id="465"/>
      </w:r>
      <w:r w:rsidRPr="00096909">
        <w:rPr>
          <w:rFonts w:ascii="Times New Roman" w:hAnsi="Times New Roman"/>
          <w:sz w:val="24"/>
          <w:szCs w:val="24"/>
        </w:rPr>
        <w:t xml:space="preserve"> Chierico dal 1475, nel 1486 ottenne l’ambita assegnazione al capitolo di Santa Maria della Scala, chiesa di tradizionale protezione ducale, della quale compilò scrupolosamente il libro degli anniversari e dei necrologi fino al 1492.</w:t>
      </w:r>
      <w:r w:rsidRPr="00096909">
        <w:rPr>
          <w:rStyle w:val="Rimandonotaapidipagina"/>
          <w:rFonts w:ascii="Times New Roman" w:hAnsi="Times New Roman"/>
        </w:rPr>
        <w:footnoteReference w:id="466"/>
      </w:r>
      <w:r w:rsidRPr="00096909">
        <w:rPr>
          <w:rFonts w:ascii="Times New Roman" w:hAnsi="Times New Roman"/>
          <w:sz w:val="24"/>
          <w:szCs w:val="24"/>
        </w:rPr>
        <w:t xml:space="preserve"> </w:t>
      </w:r>
    </w:p>
    <w:p w14:paraId="19B8F644"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sz w:val="24"/>
          <w:szCs w:val="24"/>
        </w:rPr>
        <w:t xml:space="preserve">Alla morte del retore piacentino Gabriele Paveri Fontana, avvenuta il 5 agosto 1490, il Dolcino sperò di subentrargli nell’incarico di docente d’eloquenza presso le </w:t>
      </w:r>
      <w:r w:rsidRPr="00096909">
        <w:rPr>
          <w:rFonts w:ascii="Times New Roman" w:hAnsi="Times New Roman" w:cs="Times New Roman"/>
          <w:sz w:val="24"/>
          <w:szCs w:val="24"/>
        </w:rPr>
        <w:t>Scuole Palatine patrocinate da Ludovico il Moro.</w:t>
      </w:r>
      <w:r w:rsidRPr="00096909">
        <w:rPr>
          <w:rStyle w:val="Rimandonotaapidipagina"/>
          <w:rFonts w:ascii="Times New Roman" w:hAnsi="Times New Roman" w:cs="Times New Roman"/>
        </w:rPr>
        <w:footnoteReference w:id="467"/>
      </w:r>
      <w:r w:rsidRPr="00096909">
        <w:rPr>
          <w:rFonts w:ascii="Times New Roman" w:hAnsi="Times New Roman" w:cs="Times New Roman"/>
          <w:sz w:val="24"/>
          <w:szCs w:val="24"/>
        </w:rPr>
        <w:t xml:space="preserve"> Sebbene gli fosse preferito il novarese Giulio Emilio Ferrario, va notato come l’erudito si servì in tale occasione di una pubblicazione per attirare su di sé la benevolenza di personalità influenti: l’edizione dell’</w:t>
      </w:r>
      <w:r w:rsidRPr="00096909">
        <w:rPr>
          <w:rFonts w:ascii="Times New Roman" w:hAnsi="Times New Roman" w:cs="Times New Roman"/>
          <w:i/>
          <w:sz w:val="24"/>
          <w:szCs w:val="24"/>
        </w:rPr>
        <w:t>Astronomicon</w:t>
      </w:r>
      <w:r w:rsidRPr="00096909">
        <w:rPr>
          <w:rFonts w:ascii="Times New Roman" w:hAnsi="Times New Roman" w:cs="Times New Roman"/>
          <w:sz w:val="24"/>
          <w:szCs w:val="24"/>
        </w:rPr>
        <w:t xml:space="preserve"> di Manilio</w:t>
      </w:r>
      <w:r>
        <w:rPr>
          <w:rFonts w:ascii="Times New Roman" w:hAnsi="Times New Roman" w:cs="Times New Roman"/>
          <w:sz w:val="24"/>
          <w:szCs w:val="24"/>
        </w:rPr>
        <w:t>,</w:t>
      </w:r>
      <w:r w:rsidRPr="00096909">
        <w:rPr>
          <w:rFonts w:ascii="Times New Roman" w:hAnsi="Times New Roman" w:cs="Times New Roman"/>
          <w:sz w:val="24"/>
          <w:szCs w:val="24"/>
        </w:rPr>
        <w:t xml:space="preserve"> uscita dai torchi di Antonio Zarotto il 9 novembre 1489 e dedicata al marchese Orlando Pallavicino, senatore milanese. Come osserva Ugo Rozzo, il volume fu probabilmente pensato per un pubblico scolastico, ma il tema astrologico del poema poteva certo incontrare anche il favore della corte, presso la quale l’interpretazione dei fenomeni celesti godeva di alta considerazione.</w:t>
      </w:r>
      <w:r w:rsidRPr="00096909">
        <w:rPr>
          <w:rStyle w:val="Rimandonotaapidipagina"/>
          <w:rFonts w:ascii="Times New Roman" w:hAnsi="Times New Roman" w:cs="Times New Roman"/>
        </w:rPr>
        <w:footnoteReference w:id="468"/>
      </w:r>
      <w:r w:rsidRPr="00096909">
        <w:rPr>
          <w:rFonts w:ascii="Times New Roman" w:hAnsi="Times New Roman" w:cs="Times New Roman"/>
          <w:sz w:val="24"/>
          <w:szCs w:val="24"/>
        </w:rPr>
        <w:t xml:space="preserve"> In ogni caso, è da segnalare una certa </w:t>
      </w:r>
      <w:r w:rsidRPr="00096909">
        <w:rPr>
          <w:rFonts w:ascii="Times New Roman" w:hAnsi="Times New Roman" w:cs="Times New Roman"/>
          <w:sz w:val="24"/>
          <w:szCs w:val="24"/>
        </w:rPr>
        <w:lastRenderedPageBreak/>
        <w:t xml:space="preserve">propensione di Dolcino a concepire la pubblicazione di testi che potessero trovare interesse presso un pubblico altolocato come strumento per favorire la propria carriera cortigiana. </w:t>
      </w:r>
    </w:p>
    <w:p w14:paraId="67CC6086" w14:textId="77777777" w:rsidR="000A28D9" w:rsidRPr="00096909" w:rsidRDefault="000A28D9" w:rsidP="000A28D9">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Inoltre, sembra rilevante notare come Paveri Fontana, la cui carriera accademica si svolse in parallelo a un brillante </w:t>
      </w:r>
      <w:r w:rsidRPr="00096909">
        <w:rPr>
          <w:rFonts w:ascii="Times New Roman" w:hAnsi="Times New Roman"/>
          <w:i/>
          <w:sz w:val="24"/>
          <w:szCs w:val="24"/>
        </w:rPr>
        <w:t>cursus honorum</w:t>
      </w:r>
      <w:r w:rsidRPr="00096909">
        <w:rPr>
          <w:rFonts w:ascii="Times New Roman" w:hAnsi="Times New Roman"/>
          <w:sz w:val="24"/>
          <w:szCs w:val="24"/>
        </w:rPr>
        <w:t xml:space="preserve"> di intellettuale sforzesco, avesse dimostrato un’ottima abilità di cronista descrivendo i magnifici festeggiamenti del 1455 per lo sposalizio di Tristano Sforza e Beatrice d’Este in un’epistola latina ad Antonio Guidoboni, oratore milanese a Venezia.</w:t>
      </w:r>
      <w:r w:rsidRPr="00096909">
        <w:rPr>
          <w:rStyle w:val="Rimandonotaapidipagina"/>
          <w:rFonts w:ascii="Times New Roman" w:hAnsi="Times New Roman"/>
          <w:sz w:val="24"/>
          <w:szCs w:val="24"/>
        </w:rPr>
        <w:footnoteReference w:id="469"/>
      </w:r>
      <w:r w:rsidRPr="00096909">
        <w:rPr>
          <w:rFonts w:ascii="Times New Roman" w:hAnsi="Times New Roman"/>
          <w:sz w:val="24"/>
          <w:szCs w:val="24"/>
        </w:rPr>
        <w:t xml:space="preserve"> Dolcino sperò pertanto di subentrargli nella docenza di eloquenza dimostrando le medesime capacità scrittorie, oltre che una certa confidenza col mondo dell’editoria, al quale Fontana si era affacciato pionieristicamente </w:t>
      </w:r>
      <w:r>
        <w:rPr>
          <w:rFonts w:ascii="Times New Roman" w:hAnsi="Times New Roman"/>
          <w:sz w:val="24"/>
          <w:szCs w:val="24"/>
        </w:rPr>
        <w:t>stipula</w:t>
      </w:r>
      <w:r w:rsidRPr="00096909">
        <w:rPr>
          <w:rFonts w:ascii="Times New Roman" w:hAnsi="Times New Roman"/>
          <w:sz w:val="24"/>
          <w:szCs w:val="24"/>
        </w:rPr>
        <w:t xml:space="preserve">ndo una delle prime società editoriali milanesi nel maggio 1472 con Zarotto, Cola Montano, Gabriele Orsoni e con i fratelli Pietro Antonio e Niccolò Castiglioni.     </w:t>
      </w:r>
    </w:p>
    <w:p w14:paraId="269FDC02" w14:textId="77777777" w:rsidR="000A28D9" w:rsidRPr="00096909" w:rsidRDefault="000A28D9" w:rsidP="000A28D9">
      <w:pPr>
        <w:pStyle w:val="Nessunaspaziatura"/>
        <w:spacing w:line="360" w:lineRule="auto"/>
        <w:ind w:firstLine="397"/>
        <w:jc w:val="both"/>
        <w:rPr>
          <w:rFonts w:ascii="Times New Roman" w:hAnsi="Times New Roman"/>
          <w:sz w:val="24"/>
          <w:szCs w:val="24"/>
        </w:rPr>
      </w:pPr>
      <w:r w:rsidRPr="00096909">
        <w:rPr>
          <w:rFonts w:ascii="Times New Roman" w:hAnsi="Times New Roman" w:cs="Times New Roman"/>
          <w:sz w:val="24"/>
          <w:szCs w:val="24"/>
        </w:rPr>
        <w:t>Un’aspirazione di ascesa sociale credo animasse anche Giovanni Antonio Corvini</w:t>
      </w:r>
      <w:r>
        <w:rPr>
          <w:rFonts w:ascii="Times New Roman" w:hAnsi="Times New Roman" w:cs="Times New Roman"/>
          <w:sz w:val="24"/>
          <w:szCs w:val="24"/>
        </w:rPr>
        <w:t>,</w:t>
      </w:r>
      <w:r w:rsidRPr="00096909">
        <w:rPr>
          <w:rFonts w:ascii="Times New Roman" w:hAnsi="Times New Roman" w:cs="Times New Roman"/>
          <w:sz w:val="24"/>
          <w:szCs w:val="24"/>
        </w:rPr>
        <w:t xml:space="preserve"> sostenitore delle spese di stampa delle </w:t>
      </w:r>
      <w:r w:rsidRPr="00096909">
        <w:rPr>
          <w:rFonts w:ascii="Times New Roman" w:hAnsi="Times New Roman" w:cs="Times New Roman"/>
          <w:i/>
          <w:sz w:val="24"/>
          <w:szCs w:val="24"/>
        </w:rPr>
        <w:t>Nuptiae</w:t>
      </w:r>
      <w:r w:rsidRPr="00096909">
        <w:rPr>
          <w:rFonts w:ascii="Times New Roman" w:hAnsi="Times New Roman" w:cs="Times New Roman"/>
          <w:sz w:val="24"/>
          <w:szCs w:val="24"/>
        </w:rPr>
        <w:t xml:space="preserve">. </w:t>
      </w:r>
      <w:r w:rsidRPr="00096909">
        <w:rPr>
          <w:rFonts w:ascii="Times New Roman" w:hAnsi="Times New Roman"/>
          <w:sz w:val="24"/>
          <w:szCs w:val="24"/>
        </w:rPr>
        <w:t>Decurione di Milano dal 1447 al 1448 e priore del Monte di Pietà dalla sua istituzione nel 1497, Corvini aveva ereditato dal padre, Angelo, il titolo di conte palatino</w:t>
      </w:r>
      <w:r>
        <w:rPr>
          <w:rFonts w:ascii="Times New Roman" w:hAnsi="Times New Roman"/>
          <w:sz w:val="24"/>
          <w:szCs w:val="24"/>
        </w:rPr>
        <w:t>,</w:t>
      </w:r>
      <w:r w:rsidRPr="00096909">
        <w:rPr>
          <w:rFonts w:ascii="Times New Roman" w:hAnsi="Times New Roman"/>
          <w:sz w:val="24"/>
          <w:szCs w:val="24"/>
        </w:rPr>
        <w:t xml:space="preserve"> conferito a suo nonno Giovanni dall’imperatore Sigismondo di Lussemburgo quale benemerenza per le missioni svolte in veste di segretario di Filippo Maria Visconti alla corte imperiale.</w:t>
      </w:r>
      <w:r w:rsidRPr="00096909">
        <w:rPr>
          <w:rStyle w:val="Rimandonotaapidipagina"/>
          <w:rFonts w:ascii="Times New Roman" w:hAnsi="Times New Roman"/>
        </w:rPr>
        <w:footnoteReference w:id="470"/>
      </w:r>
      <w:r w:rsidRPr="00096909">
        <w:rPr>
          <w:rFonts w:ascii="Times New Roman" w:hAnsi="Times New Roman"/>
          <w:sz w:val="24"/>
          <w:szCs w:val="24"/>
        </w:rPr>
        <w:t xml:space="preserve"> La famiglia Corvini aveva goduto quindi in precedenza di una certa notorietà, e la nomina di Giovanni Antonio a priore della pia istituzione milanese, protetta dal Moro e amministrata da dodici presidenti di estrazione aristocratica, mi pare confermare un inserimento, pur non di primo piano, negli ambienti della corte.</w:t>
      </w:r>
      <w:r w:rsidRPr="00096909">
        <w:rPr>
          <w:rStyle w:val="Rimandonotaapidipagina"/>
          <w:rFonts w:ascii="Times New Roman" w:hAnsi="Times New Roman"/>
        </w:rPr>
        <w:footnoteReference w:id="471"/>
      </w:r>
      <w:r w:rsidRPr="00096909">
        <w:rPr>
          <w:rFonts w:ascii="Times New Roman" w:hAnsi="Times New Roman"/>
          <w:sz w:val="24"/>
          <w:szCs w:val="24"/>
        </w:rPr>
        <w:t xml:space="preserve"> Non essendo note altre opere delle quali </w:t>
      </w:r>
      <w:r w:rsidRPr="00096909">
        <w:rPr>
          <w:rFonts w:ascii="Times New Roman" w:hAnsi="Times New Roman"/>
          <w:sz w:val="24"/>
          <w:szCs w:val="24"/>
        </w:rPr>
        <w:lastRenderedPageBreak/>
        <w:t>Corvini si fece editore, oltre alla relazione nuziale del 1489,</w:t>
      </w:r>
      <w:r w:rsidRPr="00096909">
        <w:rPr>
          <w:rStyle w:val="Rimandonotaapidipagina"/>
          <w:rFonts w:ascii="Times New Roman" w:hAnsi="Times New Roman"/>
        </w:rPr>
        <w:footnoteReference w:id="472"/>
      </w:r>
      <w:r w:rsidRPr="00096909">
        <w:rPr>
          <w:rFonts w:ascii="Times New Roman" w:hAnsi="Times New Roman"/>
          <w:sz w:val="24"/>
          <w:szCs w:val="24"/>
        </w:rPr>
        <w:t xml:space="preserve"> </w:t>
      </w:r>
      <w:r>
        <w:rPr>
          <w:rFonts w:ascii="Times New Roman" w:hAnsi="Times New Roman"/>
          <w:sz w:val="24"/>
          <w:szCs w:val="24"/>
        </w:rPr>
        <w:t>si può</w:t>
      </w:r>
      <w:r w:rsidRPr="00096909">
        <w:rPr>
          <w:rFonts w:ascii="Times New Roman" w:hAnsi="Times New Roman"/>
          <w:sz w:val="24"/>
          <w:szCs w:val="24"/>
        </w:rPr>
        <w:t xml:space="preserve"> supporre che egli si fosse accostato solo in modo episodico al mondo delle pubblicazioni, mentre il soggetto del libretto depone a favore di un fine adulatorio dell’operazione.</w:t>
      </w:r>
    </w:p>
    <w:p w14:paraId="5DC7FEB5" w14:textId="77777777" w:rsidR="000A28D9" w:rsidRPr="00096909" w:rsidRDefault="000A28D9" w:rsidP="000A28D9">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Quanto al tipografo coinvolto, Antonio Zarotto da Parma, è significativo il fatto che, sempre per le nozze Sforza-Aragona, gli fosse stata richiesta la stampa di un altro opuscolo: l’</w:t>
      </w:r>
      <w:r w:rsidRPr="00096909">
        <w:rPr>
          <w:rFonts w:ascii="Times New Roman" w:hAnsi="Times New Roman" w:cs="Times New Roman"/>
          <w:i/>
          <w:sz w:val="24"/>
          <w:szCs w:val="24"/>
        </w:rPr>
        <w:t>Ordine de le imbandisone se hanno a dare a cena</w:t>
      </w:r>
      <w:r w:rsidRPr="00096909">
        <w:rPr>
          <w:rFonts w:ascii="Times New Roman" w:hAnsi="Times New Roman" w:cs="Times New Roman"/>
          <w:sz w:val="24"/>
          <w:szCs w:val="24"/>
        </w:rPr>
        <w:t>, che riporta i versi recitati durante il banchetto offerto a Tortona da Bergonzio Botta agli sposi in occasione del loro primo incontro, il 25 gennaio 1489.</w:t>
      </w:r>
      <w:r w:rsidRPr="00096909">
        <w:rPr>
          <w:rFonts w:ascii="Times New Roman" w:hAnsi="Times New Roman"/>
          <w:sz w:val="24"/>
          <w:szCs w:val="24"/>
        </w:rPr>
        <w:t xml:space="preserve"> La plaquette </w:t>
      </w:r>
      <w:r w:rsidRPr="00096909">
        <w:rPr>
          <w:rFonts w:ascii="Times New Roman" w:hAnsi="Times New Roman"/>
          <w:i/>
          <w:sz w:val="24"/>
          <w:szCs w:val="24"/>
        </w:rPr>
        <w:t>sine notis</w:t>
      </w:r>
      <w:r w:rsidRPr="00096909">
        <w:rPr>
          <w:rFonts w:ascii="Times New Roman" w:hAnsi="Times New Roman"/>
          <w:sz w:val="24"/>
          <w:szCs w:val="24"/>
        </w:rPr>
        <w:t xml:space="preserve">, fino a poco tempo fa conservata in un solo esemplare presso la Biblioteca Internazionale di Gastronomia di Sorengo (B.IN.G), è stata studiata da Rozzo, che ne assegna la paternità a Zarotto sulla base dell’impiego del carattere 78R, usato dall’artigiano in volumi impressi dal 1485 in poi. La stessa polizza compare nelle </w:t>
      </w:r>
      <w:r w:rsidRPr="00096909">
        <w:rPr>
          <w:rFonts w:ascii="Times New Roman" w:hAnsi="Times New Roman"/>
          <w:i/>
          <w:sz w:val="24"/>
          <w:szCs w:val="24"/>
        </w:rPr>
        <w:t>Nuptiae</w:t>
      </w:r>
      <w:r w:rsidRPr="00096909">
        <w:rPr>
          <w:rFonts w:ascii="Times New Roman" w:hAnsi="Times New Roman"/>
          <w:sz w:val="24"/>
          <w:szCs w:val="24"/>
        </w:rPr>
        <w:t xml:space="preserve"> di Dolcino</w:t>
      </w:r>
      <w:r>
        <w:rPr>
          <w:rFonts w:ascii="Times New Roman" w:hAnsi="Times New Roman"/>
          <w:sz w:val="24"/>
          <w:szCs w:val="24"/>
        </w:rPr>
        <w:t>,</w:t>
      </w:r>
      <w:r w:rsidRPr="00096909">
        <w:rPr>
          <w:rFonts w:ascii="Times New Roman" w:hAnsi="Times New Roman"/>
          <w:sz w:val="24"/>
          <w:szCs w:val="24"/>
        </w:rPr>
        <w:t xml:space="preserve"> </w:t>
      </w:r>
      <w:r>
        <w:rPr>
          <w:rFonts w:ascii="Times New Roman" w:hAnsi="Times New Roman"/>
          <w:sz w:val="24"/>
          <w:szCs w:val="24"/>
        </w:rPr>
        <w:t>p</w:t>
      </w:r>
      <w:r w:rsidRPr="00096909">
        <w:rPr>
          <w:rFonts w:ascii="Times New Roman" w:hAnsi="Times New Roman"/>
          <w:sz w:val="24"/>
          <w:szCs w:val="24"/>
        </w:rPr>
        <w:t>er</w:t>
      </w:r>
      <w:r>
        <w:rPr>
          <w:rFonts w:ascii="Times New Roman" w:hAnsi="Times New Roman"/>
          <w:sz w:val="24"/>
          <w:szCs w:val="24"/>
        </w:rPr>
        <w:t xml:space="preserve"> le quali</w:t>
      </w:r>
      <w:r w:rsidRPr="00096909">
        <w:rPr>
          <w:rFonts w:ascii="Times New Roman" w:hAnsi="Times New Roman"/>
          <w:sz w:val="24"/>
          <w:szCs w:val="24"/>
        </w:rPr>
        <w:t xml:space="preserve"> il tipografo dispose di più tempo per eseguire la stampa che</w:t>
      </w:r>
      <w:r>
        <w:rPr>
          <w:rFonts w:ascii="Times New Roman" w:hAnsi="Times New Roman"/>
          <w:sz w:val="24"/>
          <w:szCs w:val="24"/>
        </w:rPr>
        <w:t xml:space="preserve"> </w:t>
      </w:r>
      <w:r w:rsidRPr="00096909">
        <w:rPr>
          <w:rFonts w:ascii="Times New Roman" w:hAnsi="Times New Roman" w:cs="Times New Roman"/>
          <w:sz w:val="24"/>
          <w:szCs w:val="24"/>
        </w:rPr>
        <w:t>–</w:t>
      </w:r>
      <w:r w:rsidRPr="00096909">
        <w:rPr>
          <w:rFonts w:ascii="Times New Roman" w:hAnsi="Times New Roman"/>
          <w:sz w:val="24"/>
          <w:szCs w:val="24"/>
        </w:rPr>
        <w:t xml:space="preserve"> a differenza dell’</w:t>
      </w:r>
      <w:r w:rsidRPr="00096909">
        <w:rPr>
          <w:rFonts w:ascii="Times New Roman" w:hAnsi="Times New Roman"/>
          <w:i/>
          <w:sz w:val="24"/>
          <w:szCs w:val="24"/>
        </w:rPr>
        <w:t>Ordine</w:t>
      </w:r>
      <w:r>
        <w:rPr>
          <w:rFonts w:ascii="Times New Roman" w:hAnsi="Times New Roman"/>
          <w:sz w:val="24"/>
          <w:szCs w:val="24"/>
        </w:rPr>
        <w:t>,</w:t>
      </w:r>
      <w:r w:rsidRPr="00096909">
        <w:rPr>
          <w:rFonts w:ascii="Times New Roman" w:hAnsi="Times New Roman"/>
          <w:sz w:val="24"/>
          <w:szCs w:val="24"/>
        </w:rPr>
        <w:t xml:space="preserve"> impresso nei giorni immediatamente precedenti il banchetto in modo da poterne accogliere eventuali modifiche di programma </w:t>
      </w:r>
      <w:r w:rsidRPr="00096909">
        <w:rPr>
          <w:rFonts w:ascii="Times New Roman" w:hAnsi="Times New Roman" w:cs="Times New Roman"/>
          <w:sz w:val="24"/>
          <w:szCs w:val="24"/>
        </w:rPr>
        <w:t>–</w:t>
      </w:r>
      <w:r w:rsidRPr="00096909">
        <w:rPr>
          <w:rFonts w:ascii="Times New Roman" w:hAnsi="Times New Roman"/>
          <w:sz w:val="24"/>
          <w:szCs w:val="24"/>
        </w:rPr>
        <w:t xml:space="preserve"> presenta lettere guida, segnatura delle carte e un colophon completo.</w:t>
      </w:r>
      <w:r w:rsidRPr="00096909">
        <w:rPr>
          <w:rStyle w:val="Rimandonotaapidipagina"/>
          <w:rFonts w:ascii="Times New Roman" w:hAnsi="Times New Roman"/>
        </w:rPr>
        <w:footnoteReference w:id="473"/>
      </w:r>
      <w:r w:rsidRPr="00096909">
        <w:rPr>
          <w:rFonts w:ascii="Times New Roman" w:hAnsi="Times New Roman"/>
          <w:sz w:val="24"/>
          <w:szCs w:val="24"/>
        </w:rPr>
        <w:t xml:space="preserve"> </w:t>
      </w:r>
    </w:p>
    <w:p w14:paraId="5C83589E"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Nel panorama della produzione incunabola italiana, le stampe per il matrimonio di Gian Galeazzo Sforza e Isabella d’Aragona, sebbene graficamente molto semplici e lontane dalla standardizzazione editoriale che il libretto per nozze conseguì nel secolo XVI, si distinsero per praticità, progettualità e chiarezza d’intenti, imponendosi come primo caso di uso dell’editoria al servizio dello spettacolo nel contesto della festa nuziale. La tipografia Zarotto produsse, infatti, per gli Sforza – primi tra i signori italiani a comprendere le potenzialità propagandistiche di questo genere di stampe – gli opuscoli necessari tanto ad una più gradevole partecipazione al banchetto-spettacolo di Tortona, quanto alla diffusione di un ricordo del lusso delle cerimonie per l’ingresso a Milano della nuova duchessa, momento culminante di un matrimonio strategico per le alleanze italiane dei duchi e oggetto di laboriose trattative diplomatiche.</w:t>
      </w:r>
    </w:p>
    <w:p w14:paraId="35EB90B2"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sz w:val="24"/>
          <w:szCs w:val="24"/>
        </w:rPr>
        <w:lastRenderedPageBreak/>
        <w:t>Isabella d’Aragona, figlia di Alfonso, duca di Calabria ed erede di Ferrante d’Aragona e di Ippolita</w:t>
      </w:r>
      <w:r w:rsidR="004E63D3">
        <w:rPr>
          <w:rFonts w:ascii="Times New Roman" w:hAnsi="Times New Roman"/>
          <w:sz w:val="24"/>
          <w:szCs w:val="24"/>
        </w:rPr>
        <w:t xml:space="preserve"> </w:t>
      </w:r>
      <w:r w:rsidRPr="00096909">
        <w:rPr>
          <w:rFonts w:ascii="Times New Roman" w:hAnsi="Times New Roman"/>
          <w:sz w:val="24"/>
          <w:szCs w:val="24"/>
        </w:rPr>
        <w:t>Sforza</w:t>
      </w:r>
      <w:r w:rsidR="004E63D3">
        <w:rPr>
          <w:rFonts w:ascii="Times New Roman" w:hAnsi="Times New Roman"/>
          <w:sz w:val="24"/>
          <w:szCs w:val="24"/>
        </w:rPr>
        <w:t>,</w:t>
      </w:r>
      <w:r w:rsidRPr="00096909">
        <w:rPr>
          <w:rFonts w:ascii="Times New Roman" w:hAnsi="Times New Roman"/>
          <w:sz w:val="24"/>
          <w:szCs w:val="24"/>
        </w:rPr>
        <w:t xml:space="preserve"> sorella di Ludovico il Moro, era stata promessa al futuro duca di Milano, Gian Galeazzo, nel 1472 per volere di Galeazzo Maria Sforza, desideroso di rinsaldare i rapporti tra il ducato di Milano e la casa regnante di Napoli.</w:t>
      </w:r>
      <w:r w:rsidRPr="00096909">
        <w:rPr>
          <w:rStyle w:val="Rimandonotaapidipagina"/>
          <w:rFonts w:ascii="Times New Roman" w:hAnsi="Times New Roman"/>
        </w:rPr>
        <w:footnoteReference w:id="474"/>
      </w:r>
      <w:r w:rsidRPr="00096909">
        <w:rPr>
          <w:rFonts w:ascii="Times New Roman" w:hAnsi="Times New Roman"/>
          <w:sz w:val="24"/>
          <w:szCs w:val="24"/>
        </w:rPr>
        <w:t xml:space="preserve"> L’assassinio del padre dello sposo, nel dicembre del 1476, non sospese il contratto di matrimonio, che anzi venne rinnovato nell’aprile </w:t>
      </w:r>
      <w:smartTag w:uri="urn:schemas-microsoft-com:office:smarttags" w:element="metricconverter">
        <w:smartTagPr>
          <w:attr w:name="ProductID" w:val="1480 a"/>
        </w:smartTagPr>
        <w:r w:rsidRPr="00096909">
          <w:rPr>
            <w:rFonts w:ascii="Times New Roman" w:hAnsi="Times New Roman"/>
            <w:sz w:val="24"/>
            <w:szCs w:val="24"/>
          </w:rPr>
          <w:t>1480 a</w:t>
        </w:r>
      </w:smartTag>
      <w:r w:rsidRPr="00096909">
        <w:rPr>
          <w:rFonts w:ascii="Times New Roman" w:hAnsi="Times New Roman"/>
          <w:sz w:val="24"/>
          <w:szCs w:val="24"/>
        </w:rPr>
        <w:t xml:space="preserve"> Napoli, e in giugno, a Milano, alla presenza di Bona di Savoia, vedova di Galeazzo Maria e reggente del ducato per conto del figlio minorenne, e di Ludovico il Moro, nominato duca di Bari da re Ferrante l’anno precedente. </w:t>
      </w:r>
    </w:p>
    <w:p w14:paraId="291ADAB3" w14:textId="77777777" w:rsidR="000A28D9" w:rsidRPr="00096909" w:rsidRDefault="000A28D9" w:rsidP="000A28D9">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Dopo aver consolidato la propria egemonia, incalzato dalle richieste della corte aragonese timorosa delle sue eccesive mire di potere, il Moro si decise a dare attuazione alla promessa </w:t>
      </w:r>
      <w:r>
        <w:rPr>
          <w:rFonts w:ascii="Times New Roman" w:hAnsi="Times New Roman"/>
          <w:sz w:val="24"/>
          <w:szCs w:val="24"/>
        </w:rPr>
        <w:t xml:space="preserve">matrimoniale </w:t>
      </w:r>
      <w:r w:rsidRPr="00096909">
        <w:rPr>
          <w:rFonts w:ascii="Times New Roman" w:hAnsi="Times New Roman"/>
          <w:sz w:val="24"/>
          <w:szCs w:val="24"/>
        </w:rPr>
        <w:t>e, risolta la spinosa questione del pagamento della dote d’Isabella,</w:t>
      </w:r>
      <w:r w:rsidRPr="00096909">
        <w:rPr>
          <w:rStyle w:val="Rimandonotaapidipagina"/>
          <w:rFonts w:ascii="Times New Roman" w:hAnsi="Times New Roman"/>
        </w:rPr>
        <w:footnoteReference w:id="475"/>
      </w:r>
      <w:r w:rsidRPr="00096909">
        <w:rPr>
          <w:rFonts w:ascii="Times New Roman" w:hAnsi="Times New Roman"/>
          <w:sz w:val="24"/>
          <w:szCs w:val="24"/>
        </w:rPr>
        <w:t xml:space="preserve"> il 9 agosto 1488 inviò a Napoli un suo delegato, Agostino Calco, per concludere le trattative e prendere accordi sui particolari del cerimoniale. La morte improvvisa della madre della sposa ritardò però i festeggiamenti e il lutto ne moderò lo sfarzo. Tuttavia, il 24 novembre il fratello del duca, Hermes Sforza, partì da Pavia alla volta di Napoli con un seguito di oltre quattrocento uomini, tra cui diversi alti dignitari di corte,</w:t>
      </w:r>
      <w:r w:rsidRPr="00096909">
        <w:rPr>
          <w:rStyle w:val="Rimandonotaapidipagina"/>
          <w:rFonts w:ascii="Times New Roman" w:hAnsi="Times New Roman"/>
        </w:rPr>
        <w:footnoteReference w:id="476"/>
      </w:r>
      <w:r w:rsidRPr="00096909">
        <w:rPr>
          <w:rFonts w:ascii="Times New Roman" w:hAnsi="Times New Roman"/>
          <w:sz w:val="24"/>
          <w:szCs w:val="24"/>
        </w:rPr>
        <w:t xml:space="preserve"> e dopo un viaggio per mare terminato l’11 dicembre, accolto solennemente in città, prese parte alla cerimonia nuziale, sposando Isabella per procura il 21 del mese.</w:t>
      </w:r>
    </w:p>
    <w:p w14:paraId="0644DD4C" w14:textId="77777777" w:rsidR="000A28D9" w:rsidRPr="00096909" w:rsidRDefault="000A28D9" w:rsidP="000A28D9">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Il 30 dicembre, iniziò la lunga navigazione della sposa verso Genova, conclusa con lo sbarco</w:t>
      </w:r>
      <w:r>
        <w:rPr>
          <w:rFonts w:ascii="Times New Roman" w:hAnsi="Times New Roman"/>
          <w:sz w:val="24"/>
          <w:szCs w:val="24"/>
        </w:rPr>
        <w:t>,</w:t>
      </w:r>
      <w:r w:rsidRPr="00096909">
        <w:rPr>
          <w:rFonts w:ascii="Times New Roman" w:hAnsi="Times New Roman"/>
          <w:sz w:val="24"/>
          <w:szCs w:val="24"/>
        </w:rPr>
        <w:t xml:space="preserve"> il 17 gennaio 1489</w:t>
      </w:r>
      <w:r>
        <w:rPr>
          <w:rFonts w:ascii="Times New Roman" w:hAnsi="Times New Roman"/>
          <w:sz w:val="24"/>
          <w:szCs w:val="24"/>
        </w:rPr>
        <w:t>,</w:t>
      </w:r>
      <w:r w:rsidRPr="00096909">
        <w:rPr>
          <w:rFonts w:ascii="Times New Roman" w:hAnsi="Times New Roman"/>
          <w:sz w:val="24"/>
          <w:szCs w:val="24"/>
        </w:rPr>
        <w:t xml:space="preserve"> </w:t>
      </w:r>
      <w:r>
        <w:rPr>
          <w:rFonts w:ascii="Times New Roman" w:hAnsi="Times New Roman"/>
          <w:sz w:val="24"/>
          <w:szCs w:val="24"/>
        </w:rPr>
        <w:t>dopo</w:t>
      </w:r>
      <w:r w:rsidRPr="00096909">
        <w:rPr>
          <w:rFonts w:ascii="Times New Roman" w:hAnsi="Times New Roman"/>
          <w:sz w:val="24"/>
          <w:szCs w:val="24"/>
        </w:rPr>
        <w:t xml:space="preserve"> un trasferimento reso difficile dall’inclemenza del tempo, che prolungò le soste previste presso Gaeta, Civitavecchia, Porto Ercole, Piombino e Livorno.</w:t>
      </w:r>
      <w:r w:rsidRPr="00096909">
        <w:rPr>
          <w:rStyle w:val="Rimandonotaapidipagina"/>
          <w:rFonts w:ascii="Times New Roman" w:hAnsi="Times New Roman"/>
        </w:rPr>
        <w:footnoteReference w:id="477"/>
      </w:r>
      <w:r w:rsidRPr="00096909">
        <w:rPr>
          <w:rFonts w:ascii="Times New Roman" w:hAnsi="Times New Roman"/>
          <w:sz w:val="24"/>
          <w:szCs w:val="24"/>
        </w:rPr>
        <w:t xml:space="preserve"> Fermatasi </w:t>
      </w:r>
      <w:r w:rsidRPr="00096909">
        <w:rPr>
          <w:rFonts w:ascii="Times New Roman" w:hAnsi="Times New Roman"/>
          <w:sz w:val="24"/>
          <w:szCs w:val="24"/>
        </w:rPr>
        <w:lastRenderedPageBreak/>
        <w:t>alcuni giorni per riposarsi dalle fatiche del viaggio, il 25 gennaio Isabella giunse a Tortona</w:t>
      </w:r>
      <w:r>
        <w:rPr>
          <w:rFonts w:ascii="Times New Roman" w:hAnsi="Times New Roman"/>
          <w:sz w:val="24"/>
          <w:szCs w:val="24"/>
        </w:rPr>
        <w:t xml:space="preserve">, dove </w:t>
      </w:r>
      <w:r w:rsidRPr="00096909">
        <w:rPr>
          <w:rFonts w:ascii="Times New Roman" w:hAnsi="Times New Roman"/>
          <w:sz w:val="24"/>
          <w:szCs w:val="24"/>
        </w:rPr>
        <w:t>incontrò finalmente lo sposo, arrivato in città due giorni prima in compagnia dello zio Ludovico, e partecipò al ricordato bacchetto imbandito dal nobile Bergonzio Botta, probabilmente presso il palazzo vescovile della città.</w:t>
      </w:r>
      <w:r w:rsidRPr="00096909">
        <w:rPr>
          <w:rStyle w:val="Rimandonotaapidipagina"/>
          <w:rFonts w:ascii="Times New Roman" w:hAnsi="Times New Roman"/>
        </w:rPr>
        <w:footnoteReference w:id="478"/>
      </w:r>
    </w:p>
    <w:p w14:paraId="1AEA5F0A" w14:textId="77777777" w:rsidR="000A28D9" w:rsidRPr="00096909" w:rsidRDefault="000A28D9" w:rsidP="000A28D9">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Successivamente la coppia ducale si trasferì a Vigevano, dove la sua presenza è attestata il 28 gennaio. Da qui il viaggio della sposa e dei suoi accompagnatori riprese per le vie d’acqua su sei ornatissimi bucintori, che il primo febbraio solcarono finalmente il corso dei Navigli milanesi. Alla darsena di Porta Ticinese il duca Gian Galeazzo con il seguito dei suoi dignitari e il popolo tutto accolse Isabella e con lei sfilò solennemente per le vie accompagnandola al castello di Porta Giovia.  </w:t>
      </w:r>
    </w:p>
    <w:p w14:paraId="2C4CBF7A" w14:textId="77777777" w:rsidR="000A28D9" w:rsidRPr="00096909" w:rsidRDefault="000A28D9" w:rsidP="000A28D9">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Il giorno seguente la città assistette allo spettacolo grandioso delle nozze ducali e alla cerimonia nella cattedrale riferiti da Stefano Dolcino, </w:t>
      </w:r>
      <w:r>
        <w:rPr>
          <w:rFonts w:ascii="Times New Roman" w:hAnsi="Times New Roman" w:cs="Times New Roman"/>
          <w:sz w:val="24"/>
          <w:szCs w:val="24"/>
        </w:rPr>
        <w:t>di</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cui </w:t>
      </w:r>
      <w:r w:rsidRPr="00096909">
        <w:rPr>
          <w:rFonts w:ascii="Times New Roman" w:hAnsi="Times New Roman" w:cs="Times New Roman"/>
          <w:sz w:val="24"/>
          <w:szCs w:val="24"/>
        </w:rPr>
        <w:t xml:space="preserve">impiegheremo </w:t>
      </w:r>
      <w:r>
        <w:rPr>
          <w:rFonts w:ascii="Times New Roman" w:hAnsi="Times New Roman" w:cs="Times New Roman"/>
          <w:sz w:val="24"/>
          <w:szCs w:val="24"/>
        </w:rPr>
        <w:t xml:space="preserve">il </w:t>
      </w:r>
      <w:r w:rsidRPr="00096909">
        <w:rPr>
          <w:rFonts w:ascii="Times New Roman" w:hAnsi="Times New Roman" w:cs="Times New Roman"/>
          <w:sz w:val="24"/>
          <w:szCs w:val="24"/>
        </w:rPr>
        <w:t xml:space="preserve">resoconto come guida per seguire la sequenza degli eventi. </w:t>
      </w:r>
      <w:r w:rsidRPr="00096909">
        <w:rPr>
          <w:rFonts w:ascii="Times New Roman" w:hAnsi="Times New Roman"/>
          <w:sz w:val="24"/>
          <w:szCs w:val="24"/>
        </w:rPr>
        <w:t xml:space="preserve">Su di essi, come accennato, disponiamo anche di altre fonti letterarie: la relazione in prosa latina di Tristano Calco, intitolata </w:t>
      </w:r>
      <w:r w:rsidRPr="00096909">
        <w:rPr>
          <w:rFonts w:ascii="Times New Roman" w:hAnsi="Times New Roman" w:cs="Times New Roman"/>
          <w:i/>
          <w:sz w:val="24"/>
          <w:szCs w:val="24"/>
        </w:rPr>
        <w:t xml:space="preserve">Nuptiae mediolanensium Ducum </w:t>
      </w:r>
      <w:r w:rsidRPr="00096909">
        <w:rPr>
          <w:rFonts w:ascii="Times New Roman" w:hAnsi="Times New Roman" w:cs="Times New Roman"/>
          <w:sz w:val="24"/>
          <w:szCs w:val="24"/>
        </w:rPr>
        <w:t>e</w:t>
      </w:r>
      <w:r w:rsidRPr="00096909">
        <w:rPr>
          <w:rFonts w:ascii="Times New Roman" w:hAnsi="Times New Roman"/>
          <w:sz w:val="24"/>
          <w:szCs w:val="24"/>
        </w:rPr>
        <w:t xml:space="preserve"> preceduta da un dettagliato resoconto sul trasferimento della sposa da Napoli a Milano (mancante nell’opuscolo di Dolcino)</w:t>
      </w:r>
      <w:r w:rsidRPr="00096909">
        <w:rPr>
          <w:rStyle w:val="Rimandonotaapidipagina"/>
          <w:rFonts w:ascii="Times New Roman" w:hAnsi="Times New Roman"/>
        </w:rPr>
        <w:t xml:space="preserve"> </w:t>
      </w:r>
      <w:r w:rsidRPr="00096909">
        <w:rPr>
          <w:rFonts w:ascii="Times New Roman" w:hAnsi="Times New Roman"/>
        </w:rPr>
        <w:t>;</w:t>
      </w:r>
      <w:r w:rsidRPr="00096909">
        <w:rPr>
          <w:rStyle w:val="Rimandonotaapidipagina"/>
          <w:rFonts w:ascii="Times New Roman" w:hAnsi="Times New Roman"/>
        </w:rPr>
        <w:footnoteReference w:id="479"/>
      </w:r>
      <w:r w:rsidRPr="00096909">
        <w:rPr>
          <w:rFonts w:ascii="Times New Roman" w:hAnsi="Times New Roman"/>
          <w:sz w:val="24"/>
          <w:szCs w:val="24"/>
        </w:rPr>
        <w:t xml:space="preserve"> </w:t>
      </w:r>
      <w:r w:rsidRPr="00096909">
        <w:rPr>
          <w:rFonts w:ascii="Times New Roman" w:hAnsi="Times New Roman" w:cs="Times New Roman"/>
          <w:sz w:val="24"/>
          <w:szCs w:val="24"/>
        </w:rPr>
        <w:t xml:space="preserve">un’anonima </w:t>
      </w:r>
      <w:r w:rsidRPr="00096909">
        <w:rPr>
          <w:rFonts w:ascii="Times New Roman" w:hAnsi="Times New Roman" w:cs="Times New Roman"/>
          <w:i/>
          <w:sz w:val="24"/>
          <w:szCs w:val="24"/>
        </w:rPr>
        <w:t>Descriptione de l’ordine et feste celebrate in le noze delo illustrissimo Zoanne Galeaz Duca de Milano</w:t>
      </w:r>
      <w:r w:rsidRPr="00096909">
        <w:rPr>
          <w:rFonts w:ascii="Times New Roman" w:hAnsi="Times New Roman" w:cs="Times New Roman"/>
          <w:sz w:val="24"/>
          <w:szCs w:val="24"/>
        </w:rPr>
        <w:t>, conservata manoscritta presso la Biblioteca Nazionale di Francia;</w:t>
      </w:r>
      <w:r w:rsidRPr="00096909">
        <w:rPr>
          <w:rStyle w:val="Rimandonotaapidipagina"/>
          <w:rFonts w:ascii="Times New Roman" w:hAnsi="Times New Roman" w:cs="Times New Roman"/>
          <w:sz w:val="24"/>
          <w:szCs w:val="24"/>
        </w:rPr>
        <w:footnoteReference w:id="480"/>
      </w:r>
      <w:r w:rsidRPr="00096909">
        <w:rPr>
          <w:rFonts w:ascii="Times New Roman" w:hAnsi="Times New Roman" w:cs="Times New Roman"/>
          <w:sz w:val="24"/>
          <w:szCs w:val="24"/>
        </w:rPr>
        <w:t xml:space="preserve"> </w:t>
      </w:r>
      <w:r w:rsidRPr="00A33D7C">
        <w:rPr>
          <w:rFonts w:ascii="Times New Roman" w:hAnsi="Times New Roman" w:cs="Times New Roman"/>
          <w:sz w:val="24"/>
          <w:szCs w:val="24"/>
        </w:rPr>
        <w:t>l’</w:t>
      </w:r>
      <w:r w:rsidRPr="00096909">
        <w:rPr>
          <w:rFonts w:ascii="Times New Roman" w:hAnsi="Times New Roman" w:cs="Times New Roman"/>
          <w:i/>
          <w:sz w:val="24"/>
          <w:szCs w:val="24"/>
        </w:rPr>
        <w:t xml:space="preserve">Epithalamium </w:t>
      </w:r>
      <w:bookmarkStart w:id="380" w:name="_Hlk516750831"/>
      <w:r w:rsidRPr="00096909">
        <w:rPr>
          <w:rFonts w:ascii="Times New Roman" w:hAnsi="Times New Roman" w:cs="Times New Roman"/>
          <w:i/>
          <w:sz w:val="24"/>
          <w:szCs w:val="24"/>
        </w:rPr>
        <w:t>De Johanne Galeazio sexto Mediolanensium duce et Elisabella uxore</w:t>
      </w:r>
      <w:bookmarkEnd w:id="380"/>
      <w:r w:rsidRPr="00096909">
        <w:rPr>
          <w:rFonts w:ascii="Times New Roman" w:hAnsi="Times New Roman" w:cs="Times New Roman"/>
          <w:sz w:val="24"/>
          <w:szCs w:val="24"/>
        </w:rPr>
        <w:t xml:space="preserve"> in distici latini del poeta bustocco Gian Alberto Bossi, trasmesso da un unico testimone manoscritto.</w:t>
      </w:r>
      <w:r w:rsidRPr="00096909">
        <w:rPr>
          <w:rStyle w:val="Rimandonotaapidipagina"/>
          <w:rFonts w:ascii="Times New Roman" w:hAnsi="Times New Roman" w:cs="Times New Roman"/>
          <w:sz w:val="24"/>
          <w:szCs w:val="24"/>
        </w:rPr>
        <w:footnoteReference w:id="481"/>
      </w:r>
    </w:p>
    <w:p w14:paraId="175A71AE"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Al momento della composizione delle </w:t>
      </w:r>
      <w:r w:rsidRPr="00096909">
        <w:rPr>
          <w:rFonts w:ascii="Times New Roman" w:hAnsi="Times New Roman" w:cs="Times New Roman"/>
          <w:i/>
          <w:sz w:val="24"/>
          <w:szCs w:val="24"/>
        </w:rPr>
        <w:t>Nuptiae mediolanensium Ducum</w:t>
      </w:r>
      <w:r w:rsidRPr="00096909">
        <w:rPr>
          <w:rFonts w:ascii="Times New Roman" w:hAnsi="Times New Roman" w:cs="Times New Roman"/>
          <w:sz w:val="24"/>
          <w:szCs w:val="24"/>
        </w:rPr>
        <w:t xml:space="preserve"> Tristano Calco, storiografo e bibliotecario del castello di Pavia, era, come visto nel capitolo I, perfettamente inserito nell’</w:t>
      </w:r>
      <w:r w:rsidRPr="00096909">
        <w:rPr>
          <w:rFonts w:ascii="Times New Roman" w:hAnsi="Times New Roman" w:cs="Times New Roman"/>
          <w:i/>
          <w:sz w:val="24"/>
          <w:szCs w:val="24"/>
        </w:rPr>
        <w:t>entourage</w:t>
      </w:r>
      <w:r w:rsidRPr="00096909">
        <w:rPr>
          <w:rFonts w:ascii="Times New Roman" w:hAnsi="Times New Roman" w:cs="Times New Roman"/>
          <w:sz w:val="24"/>
          <w:szCs w:val="24"/>
        </w:rPr>
        <w:t xml:space="preserve"> cortigiano</w:t>
      </w:r>
      <w:r>
        <w:rPr>
          <w:rFonts w:ascii="Times New Roman" w:hAnsi="Times New Roman" w:cs="Times New Roman"/>
          <w:sz w:val="24"/>
          <w:szCs w:val="24"/>
        </w:rPr>
        <w:t>:</w:t>
      </w:r>
      <w:r w:rsidRPr="00096909">
        <w:rPr>
          <w:rFonts w:ascii="Times New Roman" w:hAnsi="Times New Roman" w:cs="Times New Roman"/>
          <w:sz w:val="24"/>
          <w:szCs w:val="24"/>
        </w:rPr>
        <w:t xml:space="preserve"> data la sua vicinanza al primo segretario Bartolomeo Calco, è lecito supporre che proprio costui gli avesse sollecitato la relazione ufficiale delle nozze di Gian Galeazzo Sforza, possibilmente nelle stesse belle forme scelte da Beroaldo per confezionare l’opuscolo per i Bentivoglio del quale era stato dedicatario. Il successo dell’impresa letteraria avrebbe assicurato all’autore le committenze dei resoconti dei successivi sposalizi di Ludovico Sforza, nel 1491, e di Bianca Maria Sforza, nel 1493, e la riconoscenza della stessa famiglia Calco, che nell’occasione delle cerimonie del 1489 aveva visto Bartolomeo ricevere dal duca il titolo di cavaliere al termine della messa sponsale, </w:t>
      </w:r>
      <w:r>
        <w:rPr>
          <w:rFonts w:ascii="Times New Roman" w:hAnsi="Times New Roman" w:cs="Times New Roman"/>
          <w:sz w:val="24"/>
          <w:szCs w:val="24"/>
        </w:rPr>
        <w:t>mentre</w:t>
      </w:r>
      <w:r w:rsidRPr="00096909">
        <w:rPr>
          <w:rFonts w:ascii="Times New Roman" w:hAnsi="Times New Roman" w:cs="Times New Roman"/>
          <w:sz w:val="24"/>
          <w:szCs w:val="24"/>
        </w:rPr>
        <w:t xml:space="preserve"> Agostino, suo figlio, </w:t>
      </w:r>
      <w:r>
        <w:rPr>
          <w:rFonts w:ascii="Times New Roman" w:hAnsi="Times New Roman" w:cs="Times New Roman"/>
          <w:sz w:val="24"/>
          <w:szCs w:val="24"/>
        </w:rPr>
        <w:t xml:space="preserve">era stato </w:t>
      </w:r>
      <w:r w:rsidRPr="00096909">
        <w:rPr>
          <w:rFonts w:ascii="Times New Roman" w:hAnsi="Times New Roman" w:cs="Times New Roman"/>
          <w:sz w:val="24"/>
          <w:szCs w:val="24"/>
        </w:rPr>
        <w:t>eletto nella delegazione inviata a Napoli ad incontrare la sposa per poi accompagnarla a Milano.</w:t>
      </w:r>
      <w:r w:rsidRPr="00096909">
        <w:rPr>
          <w:rStyle w:val="Rimandonotaapidipagina"/>
          <w:rFonts w:ascii="Times New Roman" w:hAnsi="Times New Roman" w:cs="Times New Roman"/>
        </w:rPr>
        <w:footnoteReference w:id="482"/>
      </w:r>
    </w:p>
    <w:p w14:paraId="03C7E932"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Tristano, a ragione della sua provenienza cortigiana, è dunque il relatore della festa meglio informato sull’organizzazione e sulle finalità del cerimoniale. Il suo scritto si apre con una lettera di dedica a Ludovico, eccellente conservatore del ducato e tutore degli interessi di Gian Galeazzo, che può ora vantare tra i suoi meriti l’accordo delle nozze del nipote con una giovane di casa Aragona. Nell’epistola l’offerta della descrizione si presenta come un atto di umile riconoscenza, in forma privata. Cantare la magnificenza dell’evento spetterà a letterati più esperti, che potranno forse adoperare il racconto del Calco come traccia. </w:t>
      </w:r>
    </w:p>
    <w:p w14:paraId="2749D37F"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 l’umiltà di Calco sembra voler celare l’ufficialità del resoconto, la </w:t>
      </w:r>
      <w:r w:rsidRPr="00096909">
        <w:rPr>
          <w:rFonts w:ascii="Times New Roman" w:hAnsi="Times New Roman" w:cs="Times New Roman"/>
          <w:i/>
          <w:sz w:val="24"/>
          <w:szCs w:val="24"/>
        </w:rPr>
        <w:t>captatio benevolentiae</w:t>
      </w:r>
      <w:r w:rsidRPr="00096909">
        <w:rPr>
          <w:rFonts w:ascii="Times New Roman" w:hAnsi="Times New Roman" w:cs="Times New Roman"/>
          <w:sz w:val="24"/>
          <w:szCs w:val="24"/>
        </w:rPr>
        <w:t xml:space="preserve"> della prefatoria di Stefano Dolcino rivela invece molti dei propositi e delle ricercatezze stilistiche che contraddistinguono il libretto. Conscio della difficoltà di riferire dell’eccellenza delle nozze, lo scrittore chiede a Lugari di accettare di buon grado il ricorso frequente a un lessico peregrino, tecnico e difficile, ma adatto a descrivere le meraviglie della festa [I, 1].</w:t>
      </w:r>
      <w:r w:rsidRPr="00096909">
        <w:rPr>
          <w:rStyle w:val="Rimandonotaapidipagina"/>
          <w:rFonts w:ascii="Times New Roman" w:hAnsi="Times New Roman" w:cs="Times New Roman"/>
          <w:sz w:val="24"/>
          <w:szCs w:val="24"/>
        </w:rPr>
        <w:footnoteReference w:id="483"/>
      </w:r>
      <w:r w:rsidRPr="00096909">
        <w:rPr>
          <w:rFonts w:ascii="Times New Roman" w:hAnsi="Times New Roman" w:cs="Times New Roman"/>
          <w:sz w:val="24"/>
          <w:szCs w:val="24"/>
        </w:rPr>
        <w:t xml:space="preserve"> Del resto, tecnicismi assai complicati si trovano anche nelle opere di Plinio, Varrone, Giuseppe Flavio, Aristea e Vitruvio. Eccezione fatta per la rassegna di esempi degli antichi, la supplica è identica a quella rivolta da Beroaldo a Bartolomeo Calco </w:t>
      </w:r>
      <w:r w:rsidRPr="00096909">
        <w:rPr>
          <w:rFonts w:ascii="Times New Roman" w:hAnsi="Times New Roman" w:cs="Times New Roman"/>
          <w:i/>
          <w:sz w:val="24"/>
          <w:szCs w:val="24"/>
        </w:rPr>
        <w:t>in limina</w:t>
      </w:r>
      <w:r w:rsidRPr="00096909">
        <w:rPr>
          <w:rFonts w:ascii="Times New Roman" w:hAnsi="Times New Roman" w:cs="Times New Roman"/>
          <w:sz w:val="24"/>
          <w:szCs w:val="24"/>
        </w:rPr>
        <w:t xml:space="preserve"> alle </w:t>
      </w:r>
      <w:r w:rsidRPr="00096909">
        <w:rPr>
          <w:rFonts w:ascii="Times New Roman" w:hAnsi="Times New Roman" w:cs="Times New Roman"/>
          <w:i/>
          <w:sz w:val="24"/>
          <w:szCs w:val="24"/>
        </w:rPr>
        <w:t>Nuptiae Bentivolorum</w:t>
      </w:r>
      <w:r w:rsidRPr="00096909">
        <w:rPr>
          <w:rFonts w:ascii="Times New Roman" w:hAnsi="Times New Roman" w:cs="Times New Roman"/>
          <w:sz w:val="24"/>
          <w:szCs w:val="24"/>
        </w:rPr>
        <w:t xml:space="preserve">, e sono gli stessi anche i toni con cui i due umanisti incalzano i loro </w:t>
      </w:r>
      <w:r w:rsidRPr="00096909">
        <w:rPr>
          <w:rFonts w:ascii="Times New Roman" w:hAnsi="Times New Roman" w:cs="Times New Roman"/>
          <w:i/>
          <w:sz w:val="24"/>
          <w:szCs w:val="24"/>
        </w:rPr>
        <w:t>detractores,</w:t>
      </w:r>
      <w:r w:rsidRPr="00096909">
        <w:rPr>
          <w:rFonts w:ascii="Times New Roman" w:hAnsi="Times New Roman" w:cs="Times New Roman"/>
          <w:sz w:val="24"/>
          <w:szCs w:val="24"/>
        </w:rPr>
        <w:t xml:space="preserve"> paragonandoli a talpe cieche, incapaci di apprezzare le novità, pronti a disprezzare le prose ingegnose e le possibilità di </w:t>
      </w:r>
      <w:r w:rsidRPr="00096909">
        <w:rPr>
          <w:rFonts w:ascii="Times New Roman" w:hAnsi="Times New Roman" w:cs="Times New Roman"/>
          <w:sz w:val="24"/>
          <w:szCs w:val="24"/>
        </w:rPr>
        <w:lastRenderedPageBreak/>
        <w:t>ampliamento della rosa dei vocaboli latini [I, 3].</w:t>
      </w:r>
      <w:r w:rsidRPr="00096909">
        <w:rPr>
          <w:rStyle w:val="Rimandonotaapidipagina"/>
          <w:rFonts w:ascii="Times New Roman" w:hAnsi="Times New Roman" w:cs="Times New Roman"/>
        </w:rPr>
        <w:footnoteReference w:id="484"/>
      </w:r>
      <w:r w:rsidRPr="00096909">
        <w:rPr>
          <w:rFonts w:ascii="Times New Roman" w:hAnsi="Times New Roman" w:cs="Times New Roman"/>
          <w:sz w:val="24"/>
          <w:szCs w:val="24"/>
        </w:rPr>
        <w:t xml:space="preserve"> Emerge nelle due epistole introduttive, e velatamente anche nell’</w:t>
      </w:r>
      <w:r w:rsidRPr="00096909">
        <w:rPr>
          <w:rFonts w:ascii="Times New Roman" w:hAnsi="Times New Roman" w:cs="Times New Roman"/>
          <w:i/>
          <w:sz w:val="24"/>
          <w:szCs w:val="24"/>
        </w:rPr>
        <w:t>excusatio</w:t>
      </w:r>
      <w:r w:rsidRPr="00096909">
        <w:rPr>
          <w:rFonts w:ascii="Times New Roman" w:hAnsi="Times New Roman" w:cs="Times New Roman"/>
          <w:sz w:val="24"/>
          <w:szCs w:val="24"/>
        </w:rPr>
        <w:t xml:space="preserve"> di Calco, il tentativo di porre l’accento sulla difficoltà della materia da trattare e sulla complessità linguistica dell’impresa, dalla quale gli autori, in barba ai loro rivali, usciranno vincitori, senza smettere i panni di raffinati intellettuali per vestire quelli del cortigiano.</w:t>
      </w:r>
      <w:r w:rsidRPr="00096909">
        <w:rPr>
          <w:rStyle w:val="Rimandonotaapidipagina"/>
          <w:rFonts w:ascii="Times New Roman" w:hAnsi="Times New Roman" w:cs="Times New Roman"/>
        </w:rPr>
        <w:footnoteReference w:id="485"/>
      </w:r>
      <w:r w:rsidRPr="00096909">
        <w:rPr>
          <w:rFonts w:ascii="Times New Roman" w:hAnsi="Times New Roman" w:cs="Times New Roman"/>
          <w:sz w:val="24"/>
          <w:szCs w:val="24"/>
        </w:rPr>
        <w:t xml:space="preserve"> </w:t>
      </w:r>
    </w:p>
    <w:p w14:paraId="564368AE"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Proprio la volontà di sottrarsi a un canto a piena voce delle lodi delle famiglie degli sposi, come già si è visto per le cronache dello sposalizio bolognese, risulta tra i problemi più consistenti della stesura degli opuscoli. Se Beroaldo aveva candidamente asserito che la grandezza dei Bentivoglio: «</w:t>
      </w:r>
      <w:r w:rsidRPr="00096909">
        <w:rPr>
          <w:rFonts w:ascii="Times New Roman" w:hAnsi="Times New Roman" w:cs="Times New Roman"/>
          <w:i/>
          <w:sz w:val="24"/>
          <w:szCs w:val="24"/>
        </w:rPr>
        <w:t>adeo notum est ut res probatione non egeat</w:t>
      </w:r>
      <w:r w:rsidRPr="00096909">
        <w:rPr>
          <w:rFonts w:ascii="Times New Roman" w:hAnsi="Times New Roman" w:cs="Times New Roman"/>
          <w:sz w:val="24"/>
          <w:szCs w:val="24"/>
        </w:rPr>
        <w:t xml:space="preserve">», e se il Calco, con un avvio </w:t>
      </w:r>
      <w:r w:rsidRPr="00096909">
        <w:rPr>
          <w:rFonts w:ascii="Times New Roman" w:hAnsi="Times New Roman" w:cs="Times New Roman"/>
          <w:i/>
          <w:sz w:val="24"/>
          <w:szCs w:val="24"/>
        </w:rPr>
        <w:t>in medias res</w:t>
      </w:r>
      <w:r w:rsidRPr="00096909">
        <w:rPr>
          <w:rFonts w:ascii="Times New Roman" w:hAnsi="Times New Roman" w:cs="Times New Roman"/>
          <w:sz w:val="24"/>
          <w:szCs w:val="24"/>
        </w:rPr>
        <w:t xml:space="preserve"> dalle trattative finali con la corte di Napoli per il contratto matrimoniale, era riuscito a evitare smaccati omaggi agli Sforza, Dolcino, dal canto suo, procede a un sintetico ricordo della genealogia delle due famiglie che si avvicendarono nella reggenza del ducato, dai tempi di Matteo I Visconti a quelli dello sposalizio [II]; e sebbene rinvii per trattazioni puntuali delle imprese viscontee alle opere della recente storiografia umanistica (Flavio Biondo, Pier Candido Decembrio e Giorgio Merula) si sofferma sui ritratti dei signori che più segnarono la storia di Milano, specie sotto il profilo urbanistico: i fratelli Bernabò e Galeazzo II, </w:t>
      </w:r>
      <w:r>
        <w:rPr>
          <w:rFonts w:ascii="Times New Roman" w:hAnsi="Times New Roman" w:cs="Times New Roman"/>
          <w:sz w:val="24"/>
          <w:szCs w:val="24"/>
        </w:rPr>
        <w:t xml:space="preserve">che </w:t>
      </w:r>
      <w:r w:rsidRPr="00096909">
        <w:rPr>
          <w:rFonts w:ascii="Times New Roman" w:hAnsi="Times New Roman" w:cs="Times New Roman"/>
          <w:sz w:val="24"/>
          <w:szCs w:val="24"/>
        </w:rPr>
        <w:t>negli anni Cinquanta del Trecento</w:t>
      </w:r>
      <w:r>
        <w:rPr>
          <w:rFonts w:ascii="Times New Roman" w:hAnsi="Times New Roman" w:cs="Times New Roman"/>
          <w:sz w:val="24"/>
          <w:szCs w:val="24"/>
        </w:rPr>
        <w:t xml:space="preserve"> avevano avviato cantieri</w:t>
      </w:r>
      <w:r w:rsidRPr="00096909">
        <w:rPr>
          <w:rFonts w:ascii="Times New Roman" w:hAnsi="Times New Roman" w:cs="Times New Roman"/>
          <w:sz w:val="24"/>
          <w:szCs w:val="24"/>
        </w:rPr>
        <w:t xml:space="preserve"> nell’area di Porta Romana e di Porta Giovia [II, 4],</w:t>
      </w:r>
      <w:r w:rsidRPr="00096909">
        <w:rPr>
          <w:rStyle w:val="Rimandonotaapidipagina"/>
          <w:rFonts w:ascii="Times New Roman" w:hAnsi="Times New Roman" w:cs="Times New Roman"/>
        </w:rPr>
        <w:footnoteReference w:id="486"/>
      </w:r>
      <w:r w:rsidRPr="00096909">
        <w:rPr>
          <w:rFonts w:ascii="Times New Roman" w:hAnsi="Times New Roman" w:cs="Times New Roman"/>
          <w:sz w:val="24"/>
          <w:szCs w:val="24"/>
        </w:rPr>
        <w:t xml:space="preserve"> e Gian Galeazzo, primo duca di Milano, iniziatore della Fabbrica del Duomo nel 1386 [II, 5].</w:t>
      </w:r>
      <w:r w:rsidRPr="00096909">
        <w:rPr>
          <w:rStyle w:val="Rimandonotaapidipagina"/>
          <w:rFonts w:ascii="Times New Roman" w:hAnsi="Times New Roman" w:cs="Times New Roman"/>
        </w:rPr>
        <w:footnoteReference w:id="487"/>
      </w:r>
      <w:r w:rsidRPr="00096909">
        <w:rPr>
          <w:rFonts w:ascii="Times New Roman" w:hAnsi="Times New Roman" w:cs="Times New Roman"/>
          <w:sz w:val="24"/>
          <w:szCs w:val="24"/>
        </w:rPr>
        <w:t xml:space="preserve"> </w:t>
      </w:r>
    </w:p>
    <w:p w14:paraId="7313C83B" w14:textId="77777777" w:rsidR="000A28D9" w:rsidRPr="00096909" w:rsidRDefault="000A28D9" w:rsidP="000A28D9">
      <w:pPr>
        <w:pStyle w:val="Nessunaspaziatura"/>
        <w:spacing w:line="360" w:lineRule="auto"/>
        <w:ind w:firstLine="397"/>
        <w:jc w:val="both"/>
        <w:rPr>
          <w:rFonts w:ascii="Times New Roman" w:hAnsi="Times New Roman"/>
          <w:sz w:val="24"/>
          <w:szCs w:val="24"/>
        </w:rPr>
      </w:pPr>
      <w:r w:rsidRPr="00096909">
        <w:rPr>
          <w:rFonts w:ascii="Times New Roman" w:hAnsi="Times New Roman" w:cs="Times New Roman"/>
          <w:sz w:val="24"/>
          <w:szCs w:val="24"/>
        </w:rPr>
        <w:lastRenderedPageBreak/>
        <w:t>Anche Francesco Sforza, primo della sua casata a giungere alla dignità ducale, è ampiamente lodato per la scelta di dotare la città dell’Ospedale Maggiore e di riprendere i lavori per il castello di Porta Giovia, nonostante l’ostilità dei nobili e del popolo che nel triennio della Repubblica Ambrosiana avevano decretato la demolizione dell’edificio, giudicandolo segno insostenibile dell’autorità signorile [II, 7]. Dei figli avuti dalle nozze con Bianca Maria Visconti tre meritano una menzione speciale, Filippo che scelse di ritirarsi a vita priva</w:t>
      </w:r>
      <w:r>
        <w:rPr>
          <w:rFonts w:ascii="Times New Roman" w:hAnsi="Times New Roman" w:cs="Times New Roman"/>
          <w:sz w:val="24"/>
          <w:szCs w:val="24"/>
        </w:rPr>
        <w:t>ta</w:t>
      </w:r>
      <w:r w:rsidRPr="00096909">
        <w:rPr>
          <w:rFonts w:ascii="Times New Roman" w:hAnsi="Times New Roman" w:cs="Times New Roman"/>
          <w:sz w:val="24"/>
          <w:szCs w:val="24"/>
        </w:rPr>
        <w:t xml:space="preserve"> sottraendosi alle lotte di potere; Ascanio, cardinale, gloria della curia romana; Ludovico, pacificatore d’Italia, difensore di Milano e tutore degli interessi del duca Gian Galeazzo [II, 8]. A quest’ultimo spetta l’onore, come già a Gian Galeazzo Visconti, di essere chiamato “Figlio di Galeazzo” e di prendere in moglie una figlia di re di nome Isabella, nel lieto ritorno di passate glorie annuncianti un radioso avvenire.</w:t>
      </w:r>
      <w:r w:rsidRPr="00096909">
        <w:rPr>
          <w:rStyle w:val="Rimandonotaapidipagina"/>
          <w:rFonts w:ascii="Times New Roman" w:hAnsi="Times New Roman" w:cs="Times New Roman"/>
        </w:rPr>
        <w:footnoteReference w:id="488"/>
      </w:r>
      <w:r w:rsidRPr="00096909">
        <w:rPr>
          <w:rFonts w:ascii="Times New Roman" w:hAnsi="Times New Roman" w:cs="Times New Roman"/>
          <w:sz w:val="24"/>
          <w:szCs w:val="24"/>
        </w:rPr>
        <w:t xml:space="preserve"> </w:t>
      </w:r>
    </w:p>
    <w:p w14:paraId="58F56449"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Conclusa la premessa genealogica, Dolcino può iniziare la descrizione dei preparativi per l’ingresso della sposa e degli apparati effimeri milanesi. L’autore dimostra un’eccezionale perizia nel presentare sia le decorazioni provvisorie sia il cantiere del Duomo, all’epoca in costruzione, dove ebbe luogo la messa sponsale. Questo segmento testuale ha un corrispondente nello scritto nuziale di Beroaldo nella citazione degli adeguamenti urbanistici voluti dal Bentivoglio in vista delle nozze del figlio nell’area antistante il proprio palazzo – dove demolendo alcune case si procurò la capiente piazza per ospitare la festa – e nei luoghi interessati dal passaggio del corteo della sposa: piazza Maggiore e le vie Orefici, Calzoleri, Clavature, Galliera.</w:t>
      </w:r>
      <w:r w:rsidRPr="00096909">
        <w:rPr>
          <w:rStyle w:val="Rimandonotaapidipagina"/>
          <w:rFonts w:ascii="Times New Roman" w:hAnsi="Times New Roman" w:cs="Times New Roman"/>
        </w:rPr>
        <w:footnoteReference w:id="489"/>
      </w:r>
      <w:r w:rsidRPr="00096909">
        <w:rPr>
          <w:rFonts w:ascii="Times New Roman" w:hAnsi="Times New Roman" w:cs="Times New Roman"/>
          <w:sz w:val="24"/>
          <w:szCs w:val="24"/>
        </w:rPr>
        <w:t xml:space="preserve"> L’importanza dei lavori di ammodernamento di Bologna, città ancora fortemente medievale, lascia intuire come Giovanni II concepisse la festa come un autentico “progetto urbano”, legando la propria immagine di buon reggitore del feudo pontificio anche al successo delle imprese architettoniche.</w:t>
      </w:r>
      <w:r w:rsidRPr="00096909">
        <w:rPr>
          <w:rStyle w:val="Rimandonotaapidipagina"/>
          <w:rFonts w:ascii="Times New Roman" w:hAnsi="Times New Roman" w:cs="Times New Roman"/>
        </w:rPr>
        <w:footnoteReference w:id="490"/>
      </w:r>
      <w:r w:rsidRPr="00096909">
        <w:rPr>
          <w:rFonts w:ascii="Times New Roman" w:hAnsi="Times New Roman" w:cs="Times New Roman"/>
          <w:sz w:val="24"/>
          <w:szCs w:val="24"/>
        </w:rPr>
        <w:t xml:space="preserve"> Si spiega così l’ampio spazio concesso nei resoconti dello sposalizio Bentivoglio-d’Este alla descrizione degli edifici, cui fanno riscontro nelle prose di Calco e di Dolcino i rilievi sul castello, sull’Ospedale maggiore e sulla cattedrale milanese. Se alle prime due realizzazioni Dolcino dedica </w:t>
      </w:r>
      <w:r w:rsidRPr="00096909">
        <w:rPr>
          <w:rFonts w:ascii="Times New Roman" w:hAnsi="Times New Roman" w:cs="Times New Roman"/>
          <w:sz w:val="24"/>
          <w:szCs w:val="24"/>
        </w:rPr>
        <w:lastRenderedPageBreak/>
        <w:t xml:space="preserve">poche righe, indugiando sulle decorazioni del castello piuttosto che sulla sua architettura, l’aspetto monumentale del Duomo è invece oggetto di una difficile e minuziosa descrizione, volta a esaltare il patronato dei duchi sulla fioritura urbanistica rinascimentale di Milano. </w:t>
      </w:r>
    </w:p>
    <w:p w14:paraId="5915313D"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Le difficoltà di questa sezione del testo si devono alle caratteristiche proprie della scrittura umanistica dedicata allo studio di edifici antichi e moderni: gli scrittori di questo genere di opere non sono architetti e spesso possiedono una conoscenza limitata delle questioni di progettazione e statica; l’uso del latino richiede adeguamenti per riferire di tecniche e costruzioni moderne; gli autori mirano alla creazione di un brano letterario, e non di un semplice rendiconto.</w:t>
      </w:r>
      <w:r w:rsidRPr="00096909">
        <w:rPr>
          <w:rStyle w:val="Rimandonotaapidipagina"/>
          <w:rFonts w:ascii="Times New Roman" w:hAnsi="Times New Roman" w:cs="Times New Roman"/>
        </w:rPr>
        <w:footnoteReference w:id="491"/>
      </w:r>
      <w:r w:rsidRPr="00096909">
        <w:rPr>
          <w:rFonts w:ascii="Times New Roman" w:hAnsi="Times New Roman" w:cs="Times New Roman"/>
          <w:sz w:val="24"/>
          <w:szCs w:val="24"/>
        </w:rPr>
        <w:t xml:space="preserve"> </w:t>
      </w:r>
    </w:p>
    <w:p w14:paraId="1D0EE082"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Conscio dei propri limiti, Dolcino procede tuttavia alla trattazione degli aspetti più rilevanti della costruzione della cattedrale, iniziando col precisare la data di inizio dei lavori, che egli assegna all’11 maggio 1387 [III, 1].</w:t>
      </w:r>
      <w:r w:rsidRPr="00096909">
        <w:rPr>
          <w:rStyle w:val="Rimandonotaapidipagina"/>
          <w:rFonts w:ascii="Times New Roman" w:hAnsi="Times New Roman" w:cs="Times New Roman"/>
        </w:rPr>
        <w:footnoteReference w:id="492"/>
      </w:r>
      <w:r w:rsidRPr="00096909">
        <w:rPr>
          <w:rFonts w:ascii="Times New Roman" w:hAnsi="Times New Roman" w:cs="Times New Roman"/>
          <w:sz w:val="24"/>
          <w:szCs w:val="24"/>
        </w:rPr>
        <w:t xml:space="preserve"> </w:t>
      </w:r>
    </w:p>
    <w:p w14:paraId="5EC78B8E"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Segue l’indicazione del luogo scelto per il cantiere, posto nella regione di Porta Orientale, dove un tempo sorgeva il tempio di san Biagio, edificio oggi dimenticato ma rintracciabile nell’elenco delle costruzioni eliminate per sgombrare l’area destinata alla Fabbrica, unificando</w:t>
      </w:r>
      <w:r>
        <w:rPr>
          <w:rFonts w:ascii="Times New Roman" w:hAnsi="Times New Roman" w:cs="Times New Roman"/>
          <w:sz w:val="24"/>
          <w:szCs w:val="24"/>
        </w:rPr>
        <w:t xml:space="preserve"> in questo modo</w:t>
      </w:r>
      <w:r w:rsidRPr="00096909">
        <w:rPr>
          <w:rFonts w:ascii="Times New Roman" w:hAnsi="Times New Roman" w:cs="Times New Roman"/>
          <w:sz w:val="24"/>
          <w:szCs w:val="24"/>
        </w:rPr>
        <w:t xml:space="preserve"> attorno a un solo centro di culto un quartiere caratterizzato dalla presenza di più chiese: oltre a San Biagio, poi San Biagio e Gabriele (con relativa canonica), San Pietro, Sant’Agnese, Sant’Anna, San Michele </w:t>
      </w:r>
      <w:r w:rsidRPr="00096909">
        <w:rPr>
          <w:rFonts w:ascii="Times New Roman" w:hAnsi="Times New Roman" w:cs="Times New Roman"/>
          <w:i/>
          <w:sz w:val="24"/>
          <w:szCs w:val="24"/>
        </w:rPr>
        <w:t>sub domo</w:t>
      </w:r>
      <w:r w:rsidRPr="00096909">
        <w:rPr>
          <w:rFonts w:ascii="Times New Roman" w:hAnsi="Times New Roman" w:cs="Times New Roman"/>
          <w:sz w:val="24"/>
          <w:szCs w:val="24"/>
        </w:rPr>
        <w:t>, Santi Quattro coronati, San Zerbario, San Raffaele, Santa Redegonda.</w:t>
      </w:r>
      <w:r w:rsidRPr="00096909">
        <w:rPr>
          <w:rStyle w:val="Rimandonotaapidipagina"/>
          <w:rFonts w:ascii="Times New Roman" w:hAnsi="Times New Roman" w:cs="Times New Roman"/>
        </w:rPr>
        <w:footnoteReference w:id="493"/>
      </w:r>
      <w:r w:rsidRPr="00096909">
        <w:rPr>
          <w:rFonts w:ascii="Times New Roman" w:hAnsi="Times New Roman" w:cs="Times New Roman"/>
          <w:sz w:val="24"/>
          <w:szCs w:val="24"/>
        </w:rPr>
        <w:t xml:space="preserve"> </w:t>
      </w:r>
      <w:r>
        <w:rPr>
          <w:rFonts w:ascii="Times New Roman" w:hAnsi="Times New Roman" w:cs="Times New Roman"/>
          <w:sz w:val="24"/>
          <w:szCs w:val="24"/>
        </w:rPr>
        <w:t>In coerenza con i</w:t>
      </w:r>
      <w:r w:rsidRPr="00096909">
        <w:rPr>
          <w:rFonts w:ascii="Times New Roman" w:hAnsi="Times New Roman" w:cs="Times New Roman"/>
          <w:sz w:val="24"/>
          <w:szCs w:val="24"/>
        </w:rPr>
        <w:t>l piano urbanistico di ammodernamento del centro cittadino promosso da Gian Galeazzo Visconti nel 1387</w:t>
      </w:r>
      <w:r>
        <w:rPr>
          <w:rFonts w:ascii="Times New Roman" w:hAnsi="Times New Roman" w:cs="Times New Roman"/>
          <w:sz w:val="24"/>
          <w:szCs w:val="24"/>
        </w:rPr>
        <w:t>,</w:t>
      </w:r>
      <w:r w:rsidRPr="00096909">
        <w:rPr>
          <w:rFonts w:ascii="Times New Roman" w:hAnsi="Times New Roman" w:cs="Times New Roman"/>
          <w:sz w:val="24"/>
          <w:szCs w:val="24"/>
        </w:rPr>
        <w:t xml:space="preserve"> venne rimosso anche l’antico battistero a pianta ottagonale di San Giovanni </w:t>
      </w:r>
      <w:r w:rsidRPr="00096909">
        <w:rPr>
          <w:rFonts w:ascii="Times New Roman" w:hAnsi="Times New Roman" w:cs="Times New Roman"/>
          <w:i/>
          <w:sz w:val="24"/>
          <w:szCs w:val="24"/>
        </w:rPr>
        <w:t>ad fontes</w:t>
      </w:r>
      <w:r w:rsidRPr="00096909">
        <w:rPr>
          <w:rFonts w:ascii="Times New Roman" w:hAnsi="Times New Roman" w:cs="Times New Roman"/>
          <w:sz w:val="24"/>
          <w:szCs w:val="24"/>
        </w:rPr>
        <w:t>, voluto da sant’Ambrogio; mentre nell’area del Duomo fu inglobata la Basilica di Santa Maria Maggiore che</w:t>
      </w:r>
      <w:r>
        <w:rPr>
          <w:rFonts w:ascii="Times New Roman" w:hAnsi="Times New Roman" w:cs="Times New Roman"/>
          <w:sz w:val="24"/>
          <w:szCs w:val="24"/>
        </w:rPr>
        <w:t>,</w:t>
      </w:r>
      <w:r w:rsidRPr="00096909">
        <w:rPr>
          <w:rFonts w:ascii="Times New Roman" w:hAnsi="Times New Roman" w:cs="Times New Roman"/>
          <w:sz w:val="24"/>
          <w:szCs w:val="24"/>
        </w:rPr>
        <w:t xml:space="preserve"> insieme a Santa Tecla, permetteva nel medioevo l’alternanza tra una cattedrale invernale, di dimensioni minori, ed una estiva, più </w:t>
      </w:r>
      <w:r w:rsidRPr="00096909">
        <w:rPr>
          <w:rFonts w:ascii="Times New Roman" w:hAnsi="Times New Roman" w:cs="Times New Roman"/>
          <w:sz w:val="24"/>
          <w:szCs w:val="24"/>
        </w:rPr>
        <w:lastRenderedPageBreak/>
        <w:t>ampia.</w:t>
      </w:r>
      <w:r w:rsidRPr="00096909">
        <w:rPr>
          <w:rStyle w:val="Rimandonotaapidipagina"/>
          <w:rFonts w:ascii="Times New Roman" w:hAnsi="Times New Roman" w:cs="Times New Roman"/>
        </w:rPr>
        <w:footnoteReference w:id="494"/>
      </w:r>
      <w:r w:rsidRPr="00096909">
        <w:rPr>
          <w:rFonts w:ascii="Times New Roman" w:hAnsi="Times New Roman" w:cs="Times New Roman"/>
          <w:sz w:val="24"/>
          <w:szCs w:val="24"/>
        </w:rPr>
        <w:t xml:space="preserve"> Il tempio, risalente al 340-355 d.C. e dedicato alla prima martire cristiana, fu smantellato successivamente, tra il 1461 e 1462.</w:t>
      </w:r>
      <w:r w:rsidRPr="00096909">
        <w:rPr>
          <w:rStyle w:val="Rimandonotaapidipagina"/>
          <w:rFonts w:ascii="Times New Roman" w:hAnsi="Times New Roman" w:cs="Times New Roman"/>
        </w:rPr>
        <w:footnoteReference w:id="495"/>
      </w:r>
      <w:r w:rsidRPr="00096909">
        <w:rPr>
          <w:rFonts w:ascii="Times New Roman" w:hAnsi="Times New Roman" w:cs="Times New Roman"/>
          <w:sz w:val="24"/>
          <w:szCs w:val="24"/>
        </w:rPr>
        <w:t xml:space="preserve"> </w:t>
      </w:r>
    </w:p>
    <w:p w14:paraId="2841A67F"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Data notizia del trasporto degli arredi sacri e delle reliquie da santa Tecla al nuovo Duomo,</w:t>
      </w:r>
      <w:r w:rsidRPr="00096909">
        <w:rPr>
          <w:rStyle w:val="Rimandonotaapidipagina"/>
          <w:rFonts w:ascii="Times New Roman" w:hAnsi="Times New Roman" w:cs="Times New Roman"/>
        </w:rPr>
        <w:t xml:space="preserve"> </w:t>
      </w:r>
      <w:r w:rsidRPr="00096909">
        <w:rPr>
          <w:rStyle w:val="Rimandonotaapidipagina"/>
          <w:rFonts w:ascii="Times New Roman" w:hAnsi="Times New Roman" w:cs="Times New Roman"/>
        </w:rPr>
        <w:footnoteReference w:id="496"/>
      </w:r>
      <w:r w:rsidRPr="00096909">
        <w:rPr>
          <w:rFonts w:ascii="Times New Roman" w:hAnsi="Times New Roman" w:cs="Times New Roman"/>
          <w:sz w:val="24"/>
          <w:szCs w:val="24"/>
        </w:rPr>
        <w:t xml:space="preserve"> Dolcino procede alla presentazione dell’immenso edificio così come appariva all’altezza cronologica del 1489 e della sua pianta a croce latina [III, 2]. Sebbene l’opera fosse ancora in corso di realizzazione, l’autore asser</w:t>
      </w:r>
      <w:r>
        <w:rPr>
          <w:rFonts w:ascii="Times New Roman" w:hAnsi="Times New Roman" w:cs="Times New Roman"/>
          <w:sz w:val="24"/>
          <w:szCs w:val="24"/>
        </w:rPr>
        <w:t>ì</w:t>
      </w:r>
      <w:r w:rsidRPr="00096909">
        <w:rPr>
          <w:rFonts w:ascii="Times New Roman" w:hAnsi="Times New Roman" w:cs="Times New Roman"/>
          <w:sz w:val="24"/>
          <w:szCs w:val="24"/>
        </w:rPr>
        <w:t xml:space="preserve"> che la larghezza aveva raggiunto i 96 cubiti. </w:t>
      </w:r>
      <w:r>
        <w:rPr>
          <w:rFonts w:ascii="Times New Roman" w:hAnsi="Times New Roman" w:cs="Times New Roman"/>
          <w:sz w:val="24"/>
          <w:szCs w:val="24"/>
        </w:rPr>
        <w:t>A occidente, l</w:t>
      </w:r>
      <w:r w:rsidRPr="00096909">
        <w:rPr>
          <w:rFonts w:ascii="Times New Roman" w:hAnsi="Times New Roman" w:cs="Times New Roman"/>
          <w:sz w:val="24"/>
          <w:szCs w:val="24"/>
        </w:rPr>
        <w:t>a lunghezza era limitata dal fronte di Santa Maria Maggiore, che assurgeva al ruolo di facciata provvisoria; ma</w:t>
      </w:r>
      <w:r>
        <w:rPr>
          <w:rFonts w:ascii="Times New Roman" w:hAnsi="Times New Roman" w:cs="Times New Roman"/>
          <w:sz w:val="24"/>
          <w:szCs w:val="24"/>
        </w:rPr>
        <w:t xml:space="preserve"> una volta</w:t>
      </w:r>
      <w:r w:rsidRPr="00096909">
        <w:rPr>
          <w:rFonts w:ascii="Times New Roman" w:hAnsi="Times New Roman" w:cs="Times New Roman"/>
          <w:sz w:val="24"/>
          <w:szCs w:val="24"/>
        </w:rPr>
        <w:t xml:space="preserve"> terminati i prolungamenti dei lati, sarebbe stata pari a 240 cubiti.</w:t>
      </w:r>
      <w:r w:rsidRPr="00096909">
        <w:rPr>
          <w:rStyle w:val="Rimandonotaapidipagina"/>
          <w:rFonts w:ascii="Times New Roman" w:hAnsi="Times New Roman" w:cs="Times New Roman"/>
        </w:rPr>
        <w:footnoteReference w:id="497"/>
      </w:r>
      <w:r w:rsidRPr="00096909">
        <w:rPr>
          <w:rFonts w:ascii="Times New Roman" w:hAnsi="Times New Roman" w:cs="Times New Roman"/>
          <w:sz w:val="24"/>
          <w:szCs w:val="24"/>
        </w:rPr>
        <w:t xml:space="preserve"> Le </w:t>
      </w:r>
      <w:r w:rsidRPr="00096909">
        <w:rPr>
          <w:rFonts w:ascii="Times New Roman" w:hAnsi="Times New Roman" w:cs="Times New Roman"/>
          <w:i/>
          <w:sz w:val="24"/>
          <w:szCs w:val="24"/>
        </w:rPr>
        <w:t>Nuptiae illustrissimi ducis Mediolani</w:t>
      </w:r>
      <w:r w:rsidRPr="00096909">
        <w:rPr>
          <w:rFonts w:ascii="Times New Roman" w:hAnsi="Times New Roman" w:cs="Times New Roman"/>
          <w:sz w:val="24"/>
          <w:szCs w:val="24"/>
        </w:rPr>
        <w:t xml:space="preserve"> non specificano chi abbia diretto i lavori, questione ampiamente dibattuta dagli storici dell’arte e dell’architettura che hanno ravvisato nel susseguirsi delle fasi di realizzazione della cattedrale l’apporto di culture figurative e progettuali differenti.</w:t>
      </w:r>
      <w:r w:rsidRPr="00096909">
        <w:rPr>
          <w:rStyle w:val="Rimandonotaapidipagina"/>
          <w:rFonts w:ascii="Times New Roman" w:hAnsi="Times New Roman" w:cs="Times New Roman"/>
        </w:rPr>
        <w:footnoteReference w:id="498"/>
      </w:r>
      <w:r w:rsidRPr="00096909">
        <w:rPr>
          <w:rFonts w:ascii="Times New Roman" w:hAnsi="Times New Roman" w:cs="Times New Roman"/>
          <w:sz w:val="24"/>
          <w:szCs w:val="24"/>
        </w:rPr>
        <w:t xml:space="preserve"> </w:t>
      </w:r>
    </w:p>
    <w:p w14:paraId="799D1CCA"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Terminate le osservazioni sulla pianta, lo scritto di Dolcino procede all’analisi del complesso problema dell’alzato, che il loro autore dice perfettamente </w:t>
      </w:r>
      <w:r>
        <w:rPr>
          <w:rFonts w:ascii="Times New Roman" w:hAnsi="Times New Roman" w:cs="Times New Roman"/>
          <w:sz w:val="24"/>
          <w:szCs w:val="24"/>
        </w:rPr>
        <w:t>in</w:t>
      </w:r>
      <w:r w:rsidRPr="00096909">
        <w:rPr>
          <w:rFonts w:ascii="Times New Roman" w:hAnsi="Times New Roman" w:cs="Times New Roman"/>
          <w:sz w:val="24"/>
          <w:szCs w:val="24"/>
        </w:rPr>
        <w:t xml:space="preserve">scrivibile in un tetragono [III, 3]. L’altezza è regolata però secondo uno schema a triangolo equilatero, la cui base corrisponde alla larghezza complessiva del Duomo. Ripartendo tale base in moduli minori è possibile tracciare altri due triangoli, i cui vertici superiori sono intersecati da una linea settrice, detta </w:t>
      </w:r>
      <w:r>
        <w:rPr>
          <w:rFonts w:ascii="Times New Roman" w:hAnsi="Times New Roman" w:cs="Times New Roman"/>
          <w:sz w:val="24"/>
          <w:szCs w:val="24"/>
        </w:rPr>
        <w:t>“</w:t>
      </w:r>
      <w:r w:rsidRPr="00096909">
        <w:rPr>
          <w:rFonts w:ascii="Times New Roman" w:hAnsi="Times New Roman" w:cs="Times New Roman"/>
          <w:sz w:val="24"/>
          <w:szCs w:val="24"/>
        </w:rPr>
        <w:t>anima</w:t>
      </w:r>
      <w:r>
        <w:rPr>
          <w:rFonts w:ascii="Times New Roman" w:hAnsi="Times New Roman" w:cs="Times New Roman"/>
          <w:sz w:val="24"/>
          <w:szCs w:val="24"/>
        </w:rPr>
        <w:t>”</w:t>
      </w:r>
      <w:r w:rsidRPr="00096909">
        <w:rPr>
          <w:rFonts w:ascii="Times New Roman" w:hAnsi="Times New Roman" w:cs="Times New Roman"/>
          <w:sz w:val="24"/>
          <w:szCs w:val="24"/>
        </w:rPr>
        <w:t xml:space="preserve"> dall’autore. Ai tre vertici ottenuti corrispondono le altezze alle quali devono giungere le navate, il tiburio e la lanterna. Questo schema esplica il disegno </w:t>
      </w:r>
      <w:r w:rsidRPr="00096909">
        <w:rPr>
          <w:rFonts w:ascii="Times New Roman" w:hAnsi="Times New Roman" w:cs="Times New Roman"/>
          <w:i/>
          <w:sz w:val="24"/>
          <w:szCs w:val="24"/>
        </w:rPr>
        <w:t>ad triangulum</w:t>
      </w:r>
      <w:r w:rsidRPr="00096909">
        <w:rPr>
          <w:rFonts w:ascii="Times New Roman" w:hAnsi="Times New Roman" w:cs="Times New Roman"/>
          <w:sz w:val="24"/>
          <w:szCs w:val="24"/>
        </w:rPr>
        <w:t xml:space="preserve"> elaborato dal matematico piacentino Gabriele Stornaloco nel 1391 (fig. 4</w:t>
      </w:r>
      <w:r>
        <w:rPr>
          <w:rFonts w:ascii="Times New Roman" w:hAnsi="Times New Roman" w:cs="Times New Roman"/>
          <w:sz w:val="24"/>
          <w:szCs w:val="24"/>
        </w:rPr>
        <w:t>7</w:t>
      </w:r>
      <w:r w:rsidRPr="00096909">
        <w:rPr>
          <w:rFonts w:ascii="Times New Roman" w:hAnsi="Times New Roman" w:cs="Times New Roman"/>
          <w:sz w:val="24"/>
          <w:szCs w:val="24"/>
        </w:rPr>
        <w:t xml:space="preserve">), adottato effettivamente dalla Fabbrica con lievi modifiche </w:t>
      </w:r>
      <w:r w:rsidRPr="00096909">
        <w:rPr>
          <w:rFonts w:ascii="Times New Roman" w:hAnsi="Times New Roman" w:cs="Times New Roman"/>
          <w:sz w:val="24"/>
          <w:szCs w:val="24"/>
        </w:rPr>
        <w:lastRenderedPageBreak/>
        <w:t xml:space="preserve">nonostante le critiche avanzate nel 1392 dal maestro costruttore tedesco </w:t>
      </w:r>
      <w:bookmarkStart w:id="389" w:name="_Hlk535946982"/>
      <w:r w:rsidRPr="00096909">
        <w:rPr>
          <w:rFonts w:ascii="Times New Roman" w:hAnsi="Times New Roman" w:cs="Times New Roman"/>
          <w:sz w:val="24"/>
          <w:szCs w:val="24"/>
        </w:rPr>
        <w:t xml:space="preserve">Heinrich Parler </w:t>
      </w:r>
      <w:bookmarkEnd w:id="389"/>
      <w:r w:rsidRPr="00096909">
        <w:rPr>
          <w:rFonts w:ascii="Times New Roman" w:hAnsi="Times New Roman" w:cs="Times New Roman"/>
          <w:sz w:val="24"/>
          <w:szCs w:val="24"/>
        </w:rPr>
        <w:t xml:space="preserve">e più tardi dal francese </w:t>
      </w:r>
      <w:bookmarkStart w:id="390" w:name="_Hlk535947022"/>
      <w:r w:rsidRPr="00096909">
        <w:rPr>
          <w:rFonts w:ascii="Times New Roman" w:hAnsi="Times New Roman" w:cs="Times New Roman"/>
          <w:sz w:val="24"/>
          <w:szCs w:val="24"/>
        </w:rPr>
        <w:t>Jean Mignot</w:t>
      </w:r>
      <w:bookmarkEnd w:id="390"/>
      <w:r w:rsidRPr="00096909">
        <w:rPr>
          <w:rFonts w:ascii="Times New Roman" w:hAnsi="Times New Roman" w:cs="Times New Roman"/>
          <w:sz w:val="24"/>
          <w:szCs w:val="24"/>
        </w:rPr>
        <w:t>.</w:t>
      </w:r>
      <w:r w:rsidRPr="00096909">
        <w:rPr>
          <w:rStyle w:val="Rimandonotaapidipagina"/>
          <w:rFonts w:ascii="Times New Roman" w:hAnsi="Times New Roman" w:cs="Times New Roman"/>
        </w:rPr>
        <w:footnoteReference w:id="499"/>
      </w:r>
      <w:r w:rsidRPr="00096909">
        <w:rPr>
          <w:rFonts w:ascii="Times New Roman" w:hAnsi="Times New Roman" w:cs="Times New Roman"/>
          <w:sz w:val="24"/>
          <w:szCs w:val="24"/>
        </w:rPr>
        <w:t xml:space="preserve">  </w:t>
      </w:r>
    </w:p>
    <w:p w14:paraId="1B667C9A"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Si riservano poi brevi cenni all’annosa questione dell’erezione del tiburio [III, 4], che nell’età sforzesca fu il problema più spinoso per l’avanzamento dei lavori, rallentati dopo la morte di Gian Galeazzo (1402) e negli anni difficili del ducato di Filippo Maria Visconti. Francesco Sforza, invece, forte della discreta stabilità del suo governo, diede consistente stimolo alla prosecuzione del cantiere e nel 1452 vi impose gli architetti </w:t>
      </w:r>
      <w:bookmarkStart w:id="391" w:name="_Hlk535947066"/>
      <w:r w:rsidRPr="00096909">
        <w:rPr>
          <w:rFonts w:ascii="Times New Roman" w:hAnsi="Times New Roman" w:cs="Times New Roman"/>
          <w:sz w:val="24"/>
          <w:szCs w:val="24"/>
        </w:rPr>
        <w:t xml:space="preserve">Francesco Filarete </w:t>
      </w:r>
      <w:bookmarkEnd w:id="391"/>
      <w:r w:rsidRPr="00096909">
        <w:rPr>
          <w:rFonts w:ascii="Times New Roman" w:hAnsi="Times New Roman" w:cs="Times New Roman"/>
          <w:sz w:val="24"/>
          <w:szCs w:val="24"/>
        </w:rPr>
        <w:t xml:space="preserve">e </w:t>
      </w:r>
      <w:bookmarkStart w:id="392" w:name="_Hlk535947107"/>
      <w:r w:rsidRPr="00096909">
        <w:rPr>
          <w:rFonts w:ascii="Times New Roman" w:hAnsi="Times New Roman" w:cs="Times New Roman"/>
          <w:sz w:val="24"/>
          <w:szCs w:val="24"/>
        </w:rPr>
        <w:t>Giovanni Solari</w:t>
      </w:r>
      <w:bookmarkEnd w:id="392"/>
      <w:r w:rsidRPr="00096909">
        <w:rPr>
          <w:rFonts w:ascii="Times New Roman" w:hAnsi="Times New Roman" w:cs="Times New Roman"/>
          <w:sz w:val="24"/>
          <w:szCs w:val="24"/>
        </w:rPr>
        <w:t>. Tale influenza del duca si doveva anche al fatto che la Fabbrica gli ave</w:t>
      </w:r>
      <w:r>
        <w:rPr>
          <w:rFonts w:ascii="Times New Roman" w:hAnsi="Times New Roman" w:cs="Times New Roman"/>
          <w:sz w:val="24"/>
          <w:szCs w:val="24"/>
        </w:rPr>
        <w:t>va</w:t>
      </w:r>
      <w:r w:rsidRPr="00096909">
        <w:rPr>
          <w:rFonts w:ascii="Times New Roman" w:hAnsi="Times New Roman" w:cs="Times New Roman"/>
          <w:sz w:val="24"/>
          <w:szCs w:val="24"/>
        </w:rPr>
        <w:t xml:space="preserve"> richiesto, ed ottenuto, la cessione di una parte della corte dell’Arengo, che ostacolava il proseguimento della costruzione del fronte del Duomo. La donazione fu ufficializzata il 24 febbraio 1477 da Bona di Savoia e Gian Galeazzo Sforza, in un clima di sempre maggiore partecipazione degli Sforza alle decisioni per il completamento del tiburio, che vide coinvolti tra gli altri Guiniforte e Cristoforo Solari, </w:t>
      </w:r>
      <w:bookmarkStart w:id="393" w:name="_Hlk535947244"/>
      <w:r w:rsidRPr="00096909">
        <w:rPr>
          <w:rFonts w:ascii="Times New Roman" w:hAnsi="Times New Roman" w:cs="Times New Roman"/>
          <w:sz w:val="24"/>
          <w:szCs w:val="24"/>
        </w:rPr>
        <w:t>Giovanni Antonio Amodeo</w:t>
      </w:r>
      <w:bookmarkEnd w:id="393"/>
      <w:r w:rsidRPr="00096909">
        <w:rPr>
          <w:rFonts w:ascii="Times New Roman" w:hAnsi="Times New Roman" w:cs="Times New Roman"/>
          <w:sz w:val="24"/>
          <w:szCs w:val="24"/>
        </w:rPr>
        <w:t>, Gian Giacomo Dolcebono, Leonardo e Bramante; tutti artisti legati a vario titolo alla corte.</w:t>
      </w:r>
      <w:r w:rsidRPr="00096909">
        <w:rPr>
          <w:rStyle w:val="Rimandonotaapidipagina"/>
          <w:rFonts w:ascii="Times New Roman" w:hAnsi="Times New Roman" w:cs="Times New Roman"/>
        </w:rPr>
        <w:footnoteReference w:id="500"/>
      </w:r>
      <w:r w:rsidRPr="00096909">
        <w:rPr>
          <w:rFonts w:ascii="Times New Roman" w:hAnsi="Times New Roman" w:cs="Times New Roman"/>
          <w:sz w:val="24"/>
          <w:szCs w:val="24"/>
        </w:rPr>
        <w:t xml:space="preserve"> </w:t>
      </w:r>
    </w:p>
    <w:p w14:paraId="45C6E64E"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Il meglio della propria erudizione Dolcino lo sfodera però descrivendo le meraviglie realizzate da intagliatori e scultori: le poderose colonne e le statue di varia fattura tratte dal marmo di Candaglia trasportato lungo il corso dei Navigli [III, 4-5].</w:t>
      </w:r>
      <w:r w:rsidRPr="00096909">
        <w:rPr>
          <w:rStyle w:val="Rimandonotaapidipagina"/>
          <w:rFonts w:ascii="Times New Roman" w:hAnsi="Times New Roman" w:cs="Times New Roman"/>
        </w:rPr>
        <w:footnoteReference w:id="501"/>
      </w:r>
      <w:r w:rsidRPr="00096909">
        <w:rPr>
          <w:rFonts w:ascii="Times New Roman" w:hAnsi="Times New Roman" w:cs="Times New Roman"/>
          <w:sz w:val="24"/>
          <w:szCs w:val="24"/>
        </w:rPr>
        <w:t xml:space="preserve"> Qui la terminologia tecnica si fa ancor più ricercata e, in un ben organizzato confronto tra la grandezza dell’arte classica e le abilità dei contemporanei, Dolcino si serve con finezza di esempi e vocaboli attinti dagli autori latini che scrissero di architettura – Plinio e Vitruvio soprattutto –</w:t>
      </w:r>
      <w:r w:rsidRPr="00096909">
        <w:rPr>
          <w:rStyle w:val="Rimandonotaapidipagina"/>
          <w:rFonts w:ascii="Times New Roman" w:hAnsi="Times New Roman" w:cs="Times New Roman"/>
        </w:rPr>
        <w:footnoteReference w:id="502"/>
      </w:r>
      <w:r w:rsidRPr="00096909">
        <w:rPr>
          <w:rFonts w:ascii="Times New Roman" w:hAnsi="Times New Roman" w:cs="Times New Roman"/>
          <w:sz w:val="24"/>
          <w:szCs w:val="24"/>
        </w:rPr>
        <w:t xml:space="preserve"> per celebrare lo spettacolo della costruzione. Nella sua prosa tutto si riveste della gloria dell’antico che si rinnova, compreso il capitolo della cattedrale, mutato in un collegio di venerandi flamini [III, 6-7]. </w:t>
      </w:r>
    </w:p>
    <w:p w14:paraId="7A7E0750"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Con uno spiccato senso per le analogie storiche l’</w:t>
      </w:r>
      <w:r>
        <w:rPr>
          <w:rFonts w:ascii="Times New Roman" w:hAnsi="Times New Roman" w:cs="Times New Roman"/>
          <w:sz w:val="24"/>
          <w:szCs w:val="24"/>
        </w:rPr>
        <w:t>autore</w:t>
      </w:r>
      <w:r w:rsidRPr="00096909">
        <w:rPr>
          <w:rFonts w:ascii="Times New Roman" w:hAnsi="Times New Roman" w:cs="Times New Roman"/>
          <w:sz w:val="24"/>
          <w:szCs w:val="24"/>
        </w:rPr>
        <w:t xml:space="preserve"> not</w:t>
      </w:r>
      <w:r>
        <w:rPr>
          <w:rFonts w:ascii="Times New Roman" w:hAnsi="Times New Roman" w:cs="Times New Roman"/>
          <w:sz w:val="24"/>
          <w:szCs w:val="24"/>
        </w:rPr>
        <w:t>a</w:t>
      </w:r>
      <w:r w:rsidRPr="00096909">
        <w:rPr>
          <w:rFonts w:ascii="Times New Roman" w:hAnsi="Times New Roman" w:cs="Times New Roman"/>
          <w:sz w:val="24"/>
          <w:szCs w:val="24"/>
        </w:rPr>
        <w:t xml:space="preserve"> infine come l’impresa del Duomo, avviata sotto l’egida di Gian Galeazzo Visconti, sarebbe terminata con il sostegno di un </w:t>
      </w:r>
      <w:r w:rsidRPr="00096909">
        <w:rPr>
          <w:rFonts w:ascii="Times New Roman" w:hAnsi="Times New Roman" w:cs="Times New Roman"/>
          <w:sz w:val="24"/>
          <w:szCs w:val="24"/>
        </w:rPr>
        <w:lastRenderedPageBreak/>
        <w:t xml:space="preserve">altro Gian Galeazzo, lo Sforza, e si congeda così dall’imponente edificio per passare in rassegna le architetture effimere allestite per l’ingresso della sposa: archi e addobbi che orientarono lo sguardo dei festeggianti sulla Milano che fece da sfondo alle cerimonie, celando quel che ancora era in costruzione o sgraziato. </w:t>
      </w:r>
    </w:p>
    <w:p w14:paraId="4FEB851E"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Le </w:t>
      </w:r>
      <w:r w:rsidRPr="00096909">
        <w:rPr>
          <w:rFonts w:ascii="Times New Roman" w:hAnsi="Times New Roman" w:cs="Times New Roman"/>
          <w:i/>
          <w:sz w:val="24"/>
          <w:szCs w:val="24"/>
        </w:rPr>
        <w:t>Nuptiae illustrissimi ducis Mediolani</w:t>
      </w:r>
      <w:r w:rsidRPr="00096909">
        <w:rPr>
          <w:rFonts w:ascii="Times New Roman" w:hAnsi="Times New Roman" w:cs="Times New Roman"/>
          <w:sz w:val="24"/>
          <w:szCs w:val="24"/>
        </w:rPr>
        <w:t>, del resto – esaltando la cattedrale quale metafora del potere ducale sul tessuto urbano e del culto mariano favorito dai duchi, che mirava a sostituirsi a quello tributato a sant’Ambrogio – erano state piuttosto selettiv</w:t>
      </w:r>
      <w:r>
        <w:rPr>
          <w:rFonts w:ascii="Times New Roman" w:hAnsi="Times New Roman" w:cs="Times New Roman"/>
          <w:sz w:val="24"/>
          <w:szCs w:val="24"/>
        </w:rPr>
        <w:t>e</w:t>
      </w:r>
      <w:r w:rsidRPr="00096909">
        <w:rPr>
          <w:rFonts w:ascii="Times New Roman" w:hAnsi="Times New Roman" w:cs="Times New Roman"/>
          <w:sz w:val="24"/>
          <w:szCs w:val="24"/>
        </w:rPr>
        <w:t xml:space="preserve"> rispetto alle architetture da menzionare.</w:t>
      </w:r>
      <w:r w:rsidRPr="00096909">
        <w:rPr>
          <w:rStyle w:val="Rimandonotaapidipagina"/>
          <w:rFonts w:ascii="Times New Roman" w:hAnsi="Times New Roman" w:cs="Times New Roman"/>
        </w:rPr>
        <w:footnoteReference w:id="503"/>
      </w:r>
      <w:r w:rsidRPr="00096909">
        <w:rPr>
          <w:rFonts w:ascii="Times New Roman" w:hAnsi="Times New Roman" w:cs="Times New Roman"/>
          <w:sz w:val="24"/>
          <w:szCs w:val="24"/>
        </w:rPr>
        <w:t xml:space="preserve"> Non vi si legge alcun cenno, ad esempio, alla seconda santa Tecla, della quale il vecchio Capitolo aveva ottenuto la riedificazione nel 1482 in un’area laterale della piazza. Caratterizzata da un’insolita pianta circolare, la nuova basilica sfuggiva ai progetti urbanistici degli Sforza e sottraeva lustro alla loro sovranità, ponendosi in maniera antitetica rispetto all’esaltazione dei duchi per mezzo della loro fiorente città proposta nell’incunabolo.</w:t>
      </w:r>
      <w:r w:rsidRPr="00096909">
        <w:rPr>
          <w:rStyle w:val="Rimandonotaapidipagina"/>
          <w:rFonts w:ascii="Times New Roman" w:hAnsi="Times New Roman" w:cs="Times New Roman"/>
        </w:rPr>
        <w:footnoteReference w:id="504"/>
      </w:r>
      <w:r w:rsidRPr="00096909">
        <w:rPr>
          <w:rFonts w:ascii="Times New Roman" w:hAnsi="Times New Roman" w:cs="Times New Roman"/>
          <w:sz w:val="24"/>
          <w:szCs w:val="24"/>
        </w:rPr>
        <w:t xml:space="preserve">   </w:t>
      </w:r>
      <w:r w:rsidRPr="00096909">
        <w:rPr>
          <w:rFonts w:ascii="Times New Roman" w:hAnsi="Times New Roman" w:cs="Times New Roman"/>
          <w:b/>
          <w:sz w:val="24"/>
          <w:szCs w:val="24"/>
        </w:rPr>
        <w:t xml:space="preserve"> </w:t>
      </w:r>
    </w:p>
    <w:p w14:paraId="195EAFE2"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Oltre che per le osservazioni riservate al cantiere del Duomo, le </w:t>
      </w:r>
      <w:r w:rsidRPr="00096909">
        <w:rPr>
          <w:rFonts w:ascii="Times New Roman" w:hAnsi="Times New Roman" w:cs="Times New Roman"/>
          <w:i/>
          <w:sz w:val="24"/>
          <w:szCs w:val="24"/>
        </w:rPr>
        <w:t>Nuptiae ducis Mediolani</w:t>
      </w:r>
      <w:r w:rsidRPr="00096909">
        <w:rPr>
          <w:rFonts w:ascii="Times New Roman" w:hAnsi="Times New Roman" w:cs="Times New Roman"/>
          <w:sz w:val="24"/>
          <w:szCs w:val="24"/>
        </w:rPr>
        <w:t xml:space="preserve"> hanno da tempo attirato l’attenzione di alcuni studiosi di storia dell’architettura per la descrizione degli apparati effimeri disposti per il matrimonio. Richard Schofield, in particolare, ha fornito una puntuale ricostruzione del loro aspetto e della loro funzione, grazie alla lettura comparata delle relazioni di Calco, di Dolcino e dell’anonima </w:t>
      </w:r>
      <w:r w:rsidRPr="00096909">
        <w:rPr>
          <w:rFonts w:ascii="Times New Roman" w:hAnsi="Times New Roman" w:cs="Times New Roman"/>
          <w:i/>
          <w:sz w:val="24"/>
          <w:szCs w:val="24"/>
        </w:rPr>
        <w:t xml:space="preserve">Descriptione </w:t>
      </w:r>
      <w:r w:rsidRPr="00096909">
        <w:rPr>
          <w:rFonts w:ascii="Times New Roman" w:hAnsi="Times New Roman" w:cs="Times New Roman"/>
          <w:sz w:val="24"/>
          <w:szCs w:val="24"/>
        </w:rPr>
        <w:t>conservata alla Bibliothèque Nationale de France.</w:t>
      </w:r>
      <w:r w:rsidRPr="00096909">
        <w:rPr>
          <w:rStyle w:val="Rimandonotaapidipagina"/>
          <w:rFonts w:ascii="Times New Roman" w:hAnsi="Times New Roman" w:cs="Times New Roman"/>
        </w:rPr>
        <w:footnoteReference w:id="505"/>
      </w:r>
      <w:r w:rsidRPr="00096909">
        <w:rPr>
          <w:rFonts w:ascii="Times New Roman" w:hAnsi="Times New Roman" w:cs="Times New Roman"/>
          <w:sz w:val="24"/>
          <w:szCs w:val="24"/>
        </w:rPr>
        <w:t xml:space="preserve"> </w:t>
      </w:r>
    </w:p>
    <w:p w14:paraId="608E3EBA"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Nell’ordine in cui le present</w:t>
      </w:r>
      <w:r>
        <w:rPr>
          <w:rFonts w:ascii="Times New Roman" w:hAnsi="Times New Roman" w:cs="Times New Roman"/>
          <w:sz w:val="24"/>
          <w:szCs w:val="24"/>
        </w:rPr>
        <w:t>ò</w:t>
      </w:r>
      <w:r w:rsidRPr="00096909">
        <w:rPr>
          <w:rFonts w:ascii="Times New Roman" w:hAnsi="Times New Roman" w:cs="Times New Roman"/>
          <w:sz w:val="24"/>
          <w:szCs w:val="24"/>
        </w:rPr>
        <w:t xml:space="preserve"> Dolcino, le strutture che adornarono la piazza del Duomo furono: un tempietto ligneo a base ottagonale, detto t</w:t>
      </w:r>
      <w:r>
        <w:rPr>
          <w:rFonts w:ascii="Times New Roman" w:hAnsi="Times New Roman" w:cs="Times New Roman"/>
          <w:sz w:val="24"/>
          <w:szCs w:val="24"/>
        </w:rPr>
        <w:t>ibu</w:t>
      </w:r>
      <w:r w:rsidRPr="00096909">
        <w:rPr>
          <w:rFonts w:ascii="Times New Roman" w:hAnsi="Times New Roman" w:cs="Times New Roman"/>
          <w:sz w:val="24"/>
          <w:szCs w:val="24"/>
        </w:rPr>
        <w:t xml:space="preserve">rio [IV]; un arco trionfale d’accesso alla piazza [V]; una successione di arcate di edera e mirto che collegava quest’ultimi, creando un ameno camminamento [VI]. Il confronto tra questi apparati e le coeve decorazioni per ingressi di spose rivela diverse analogie, ma anche una declinazione milanese delle forme della festa di cui cercherò di dare conto. </w:t>
      </w:r>
    </w:p>
    <w:p w14:paraId="4C09464D"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In primo luogo, l’arco trionfale in legno presentava tre fornici ed era coronato da vessilli imperiali. Sulla superficie erano presenti pannelli dipinti con le imprese gloriose di Francesco I Sforza: la campagna militare, al servizio di Giovanna II di Napoli, a sostegno dell’insurrezione dell’Aquila contro Braccio da Montone nel 1424; la battaglia vinta per i milanesi a Caravaggio contro le armate di Venezia il 15 settembre 1448; la presa di Piacenza alla testa dell’esercito della Repubblica ambrosiana nel novembre 1447; lo sposalizio con Bianca Maria Visconti a Cremona il 24 ottobre 1441.</w:t>
      </w:r>
      <w:r w:rsidRPr="00096909">
        <w:rPr>
          <w:rStyle w:val="Rimandonotaapidipagina"/>
          <w:rFonts w:ascii="Times New Roman" w:hAnsi="Times New Roman" w:cs="Times New Roman"/>
        </w:rPr>
        <w:footnoteReference w:id="506"/>
      </w:r>
    </w:p>
    <w:p w14:paraId="1ADAE4EC" w14:textId="77777777" w:rsidR="000A28D9" w:rsidRPr="00096909" w:rsidRDefault="000A28D9" w:rsidP="000A28D9">
      <w:pPr>
        <w:pStyle w:val="Nessunaspaziatura"/>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Schofield nota come in osservanza ai criteri espressi da Alberti nel </w:t>
      </w:r>
      <w:r w:rsidRPr="00096909">
        <w:rPr>
          <w:rFonts w:ascii="Times New Roman" w:hAnsi="Times New Roman" w:cs="Times New Roman"/>
          <w:i/>
          <w:sz w:val="24"/>
          <w:szCs w:val="24"/>
        </w:rPr>
        <w:t>De re aedificatoria</w:t>
      </w:r>
      <w:r w:rsidRPr="00096909">
        <w:rPr>
          <w:rFonts w:ascii="Times New Roman" w:hAnsi="Times New Roman" w:cs="Times New Roman"/>
          <w:sz w:val="24"/>
          <w:szCs w:val="24"/>
        </w:rPr>
        <w:t xml:space="preserve"> </w:t>
      </w:r>
      <w:r>
        <w:rPr>
          <w:rFonts w:ascii="Times New Roman" w:hAnsi="Times New Roman" w:cs="Times New Roman"/>
          <w:sz w:val="24"/>
          <w:szCs w:val="24"/>
        </w:rPr>
        <w:t>(</w:t>
      </w:r>
      <w:r w:rsidRPr="00096909">
        <w:rPr>
          <w:rFonts w:ascii="Times New Roman" w:hAnsi="Times New Roman" w:cs="Times New Roman"/>
          <w:sz w:val="24"/>
          <w:szCs w:val="24"/>
        </w:rPr>
        <w:t>VIII, 6</w:t>
      </w:r>
      <w:r>
        <w:rPr>
          <w:rFonts w:ascii="Times New Roman" w:hAnsi="Times New Roman" w:cs="Times New Roman"/>
          <w:sz w:val="24"/>
          <w:szCs w:val="24"/>
        </w:rPr>
        <w:t>)</w:t>
      </w:r>
      <w:r w:rsidRPr="00096909">
        <w:rPr>
          <w:rFonts w:ascii="Times New Roman" w:hAnsi="Times New Roman" w:cs="Times New Roman"/>
          <w:sz w:val="24"/>
          <w:szCs w:val="24"/>
        </w:rPr>
        <w:t xml:space="preserve"> l’arco avesse tre varchi, sorgesse su una delle vie principali della città e desse accesso ad una piazza.</w:t>
      </w:r>
      <w:r w:rsidRPr="00096909">
        <w:rPr>
          <w:rStyle w:val="Rimandonotaapidipagina"/>
          <w:rFonts w:ascii="Times New Roman" w:hAnsi="Times New Roman" w:cs="Times New Roman"/>
        </w:rPr>
        <w:footnoteReference w:id="507"/>
      </w:r>
      <w:r w:rsidRPr="00096909">
        <w:rPr>
          <w:rFonts w:ascii="Times New Roman" w:hAnsi="Times New Roman" w:cs="Times New Roman"/>
          <w:sz w:val="24"/>
          <w:szCs w:val="24"/>
        </w:rPr>
        <w:t xml:space="preserve"> La sua progettazione </w:t>
      </w:r>
      <w:r>
        <w:rPr>
          <w:rFonts w:ascii="Times New Roman" w:hAnsi="Times New Roman" w:cs="Times New Roman"/>
          <w:sz w:val="24"/>
          <w:szCs w:val="24"/>
        </w:rPr>
        <w:t>si poneva quindi in</w:t>
      </w:r>
      <w:r w:rsidRPr="00096909">
        <w:rPr>
          <w:rFonts w:ascii="Times New Roman" w:hAnsi="Times New Roman" w:cs="Times New Roman"/>
          <w:sz w:val="24"/>
          <w:szCs w:val="24"/>
        </w:rPr>
        <w:t xml:space="preserve"> continuità </w:t>
      </w:r>
      <w:r>
        <w:rPr>
          <w:rFonts w:ascii="Times New Roman" w:hAnsi="Times New Roman" w:cs="Times New Roman"/>
          <w:sz w:val="24"/>
          <w:szCs w:val="24"/>
        </w:rPr>
        <w:t>con le</w:t>
      </w:r>
      <w:r w:rsidRPr="00096909">
        <w:rPr>
          <w:rFonts w:ascii="Times New Roman" w:hAnsi="Times New Roman" w:cs="Times New Roman"/>
          <w:sz w:val="24"/>
          <w:szCs w:val="24"/>
        </w:rPr>
        <w:t xml:space="preserve"> forme dell’antico che l’umanesimo italiano andava recuperando attraverso lo studio dell’archeologia e la filologia, ma che l’occasione della festa rielaborava secondo le necessità comunicative del principe.</w:t>
      </w:r>
      <w:r w:rsidRPr="00096909">
        <w:rPr>
          <w:rStyle w:val="Rimandonotaapidipagina"/>
          <w:rFonts w:ascii="Times New Roman" w:hAnsi="Times New Roman" w:cs="Times New Roman"/>
        </w:rPr>
        <w:footnoteReference w:id="508"/>
      </w:r>
      <w:r w:rsidRPr="00096909">
        <w:rPr>
          <w:rFonts w:ascii="Times New Roman" w:hAnsi="Times New Roman" w:cs="Times New Roman"/>
          <w:sz w:val="24"/>
          <w:szCs w:val="24"/>
        </w:rPr>
        <w:t xml:space="preserve"> Sulle pareti dell’arco si ammiravano pertanto le vittorie del primo duca Sforza, deceduto nel 1466, alle quali i suoi discendenti dovevano tanto il prestigio del loro casato quanto la legittimità della loro dominazione in successione ai Visconti. </w:t>
      </w:r>
    </w:p>
    <w:p w14:paraId="5A8CE941"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Dovette certo destare l’interesse degli spettatori della sfilata di Isabella d’Aragona la presenza, dinnanzi alla porta del Duomo, del t</w:t>
      </w:r>
      <w:r>
        <w:rPr>
          <w:rFonts w:ascii="Times New Roman" w:hAnsi="Times New Roman" w:cs="Times New Roman"/>
          <w:sz w:val="24"/>
          <w:szCs w:val="24"/>
        </w:rPr>
        <w:t>ibu</w:t>
      </w:r>
      <w:r w:rsidRPr="00096909">
        <w:rPr>
          <w:rFonts w:ascii="Times New Roman" w:hAnsi="Times New Roman" w:cs="Times New Roman"/>
          <w:sz w:val="24"/>
          <w:szCs w:val="24"/>
        </w:rPr>
        <w:t>rio ligneo montato per ospitare le accoglienze tributate alla sposa «dal clericato del Domo quale gli fece basare una croce».</w:t>
      </w:r>
      <w:r w:rsidRPr="00096909">
        <w:rPr>
          <w:rStyle w:val="Rimandonotaapidipagina"/>
          <w:rFonts w:ascii="Times New Roman" w:hAnsi="Times New Roman" w:cs="Times New Roman"/>
          <w:sz w:val="24"/>
          <w:szCs w:val="24"/>
        </w:rPr>
        <w:footnoteReference w:id="509"/>
      </w:r>
      <w:r w:rsidRPr="00096909">
        <w:rPr>
          <w:rFonts w:ascii="Times New Roman" w:hAnsi="Times New Roman" w:cs="Times New Roman"/>
          <w:sz w:val="24"/>
          <w:szCs w:val="24"/>
        </w:rPr>
        <w:t xml:space="preserve"> Solo l’Anonimo specifica questo uso della struttura, insieme a quello, riportato da Calco e Dolcino, di luogo d’incontro tra la nuova duchessa e il fiore delle nobildonne milanesi e lombarde. </w:t>
      </w:r>
    </w:p>
    <w:p w14:paraId="6ADD534E"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Nella sezione dell’incunabolo titolata </w:t>
      </w:r>
      <w:r w:rsidRPr="00096909">
        <w:rPr>
          <w:rFonts w:ascii="Times New Roman" w:hAnsi="Times New Roman" w:cs="Times New Roman"/>
          <w:i/>
          <w:sz w:val="24"/>
          <w:szCs w:val="24"/>
        </w:rPr>
        <w:t>De aedificio ante templum rotundo</w:t>
      </w:r>
      <w:r w:rsidRPr="00096909">
        <w:rPr>
          <w:rFonts w:ascii="Times New Roman" w:hAnsi="Times New Roman" w:cs="Times New Roman"/>
          <w:sz w:val="24"/>
          <w:szCs w:val="24"/>
        </w:rPr>
        <w:t xml:space="preserve"> se ne fornisce una precisa descrizione che, concordemente alle altre fonti, attesta come il t</w:t>
      </w:r>
      <w:r>
        <w:rPr>
          <w:rFonts w:ascii="Times New Roman" w:hAnsi="Times New Roman" w:cs="Times New Roman"/>
          <w:sz w:val="24"/>
          <w:szCs w:val="24"/>
        </w:rPr>
        <w:t>ibu</w:t>
      </w:r>
      <w:r w:rsidRPr="00096909">
        <w:rPr>
          <w:rFonts w:ascii="Times New Roman" w:hAnsi="Times New Roman" w:cs="Times New Roman"/>
          <w:sz w:val="24"/>
          <w:szCs w:val="24"/>
        </w:rPr>
        <w:t xml:space="preserve">rio fosse in legno, avesse pianta centrale, presentasse un tetto a falde composto da cannelli in piombo e da un rivestimento </w:t>
      </w:r>
      <w:r w:rsidRPr="00096909">
        <w:rPr>
          <w:rFonts w:ascii="Times New Roman" w:hAnsi="Times New Roman" w:cs="Times New Roman"/>
          <w:sz w:val="24"/>
          <w:szCs w:val="24"/>
        </w:rPr>
        <w:lastRenderedPageBreak/>
        <w:t xml:space="preserve">in ginepro. L’autore paragona questo edificio al </w:t>
      </w:r>
      <w:r w:rsidRPr="00096909">
        <w:rPr>
          <w:rFonts w:ascii="Times New Roman" w:hAnsi="Times New Roman" w:cs="Times New Roman"/>
          <w:i/>
          <w:sz w:val="24"/>
          <w:szCs w:val="24"/>
        </w:rPr>
        <w:t>delubrum divi Laurentii</w:t>
      </w:r>
      <w:r w:rsidRPr="00096909">
        <w:rPr>
          <w:rFonts w:ascii="Times New Roman" w:hAnsi="Times New Roman" w:cs="Times New Roman"/>
          <w:sz w:val="24"/>
          <w:szCs w:val="24"/>
        </w:rPr>
        <w:t xml:space="preserve">, ovvero alla cappella di sant’Aquilino in san Lorenzo – con cui avrebbe </w:t>
      </w:r>
      <w:r>
        <w:rPr>
          <w:rFonts w:ascii="Times New Roman" w:hAnsi="Times New Roman" w:cs="Times New Roman"/>
          <w:sz w:val="24"/>
          <w:szCs w:val="24"/>
        </w:rPr>
        <w:t xml:space="preserve">avuto </w:t>
      </w:r>
      <w:r w:rsidRPr="00096909">
        <w:rPr>
          <w:rFonts w:ascii="Times New Roman" w:hAnsi="Times New Roman" w:cs="Times New Roman"/>
          <w:sz w:val="24"/>
          <w:szCs w:val="24"/>
        </w:rPr>
        <w:t>in comune anche la cupola emisferica a forma d’ombrello con nervature a tubi fittili in terracotta – e al battistero di Cremona. I due edifici religiosi hanno pianta ottagonale e si suppone quindi l’avesse anche il t</w:t>
      </w:r>
      <w:r>
        <w:rPr>
          <w:rFonts w:ascii="Times New Roman" w:hAnsi="Times New Roman" w:cs="Times New Roman"/>
          <w:sz w:val="24"/>
          <w:szCs w:val="24"/>
        </w:rPr>
        <w:t>ibu</w:t>
      </w:r>
      <w:r w:rsidRPr="00096909">
        <w:rPr>
          <w:rFonts w:ascii="Times New Roman" w:hAnsi="Times New Roman" w:cs="Times New Roman"/>
          <w:sz w:val="24"/>
          <w:szCs w:val="24"/>
        </w:rPr>
        <w:t xml:space="preserve">rio, come indicherebbe del resto la presenza di un colonnato </w:t>
      </w:r>
      <w:r w:rsidR="009C2ECB">
        <w:rPr>
          <w:rFonts w:ascii="Times New Roman" w:hAnsi="Times New Roman" w:cs="Times New Roman"/>
          <w:sz w:val="24"/>
          <w:szCs w:val="24"/>
        </w:rPr>
        <w:t>a</w:t>
      </w:r>
      <w:r w:rsidRPr="00096909">
        <w:rPr>
          <w:rFonts w:ascii="Times New Roman" w:hAnsi="Times New Roman" w:cs="Times New Roman"/>
          <w:sz w:val="24"/>
          <w:szCs w:val="24"/>
        </w:rPr>
        <w:t xml:space="preserve"> otto colonne specificata dalle relazioni. Dolcino e Calco affermano che in ciascuna di esse, aventi base triangolare, trovavano posto quattro nicchie recanti le </w:t>
      </w:r>
      <w:r w:rsidRPr="00096909">
        <w:rPr>
          <w:rFonts w:ascii="Times New Roman" w:hAnsi="Times New Roman" w:cs="Times New Roman"/>
          <w:i/>
          <w:sz w:val="24"/>
          <w:szCs w:val="24"/>
        </w:rPr>
        <w:t>emula veritatis signa</w:t>
      </w:r>
      <w:r w:rsidRPr="00096909">
        <w:rPr>
          <w:rFonts w:ascii="Times New Roman" w:hAnsi="Times New Roman" w:cs="Times New Roman"/>
          <w:sz w:val="24"/>
          <w:szCs w:val="24"/>
        </w:rPr>
        <w:t xml:space="preserve"> delle donne virtuose dell’antichità. Schofield osserva c</w:t>
      </w:r>
      <w:r>
        <w:rPr>
          <w:rFonts w:ascii="Times New Roman" w:hAnsi="Times New Roman" w:cs="Times New Roman"/>
          <w:sz w:val="24"/>
          <w:szCs w:val="24"/>
        </w:rPr>
        <w:t>ome</w:t>
      </w:r>
      <w:r w:rsidRPr="00096909">
        <w:rPr>
          <w:rFonts w:ascii="Times New Roman" w:hAnsi="Times New Roman" w:cs="Times New Roman"/>
          <w:sz w:val="24"/>
          <w:szCs w:val="24"/>
        </w:rPr>
        <w:t xml:space="preserve">, data la tridimensionalità delle nicchie, queste </w:t>
      </w:r>
      <w:r w:rsidRPr="00096909">
        <w:rPr>
          <w:rFonts w:ascii="Times New Roman" w:hAnsi="Times New Roman" w:cs="Times New Roman"/>
          <w:i/>
          <w:sz w:val="24"/>
          <w:szCs w:val="24"/>
        </w:rPr>
        <w:t>imagines</w:t>
      </w:r>
      <w:r w:rsidRPr="00096909">
        <w:rPr>
          <w:rFonts w:ascii="Times New Roman" w:hAnsi="Times New Roman" w:cs="Times New Roman"/>
          <w:sz w:val="24"/>
          <w:szCs w:val="24"/>
        </w:rPr>
        <w:t xml:space="preserve"> dovessero essere delle statue in legno o cartapesta, fatto assai probabile tanto per la continuità nella scelta dei materiali per la costruzione del t</w:t>
      </w:r>
      <w:r>
        <w:rPr>
          <w:rFonts w:ascii="Times New Roman" w:hAnsi="Times New Roman" w:cs="Times New Roman"/>
          <w:sz w:val="24"/>
          <w:szCs w:val="24"/>
        </w:rPr>
        <w:t>ibu</w:t>
      </w:r>
      <w:r w:rsidRPr="00096909">
        <w:rPr>
          <w:rFonts w:ascii="Times New Roman" w:hAnsi="Times New Roman" w:cs="Times New Roman"/>
          <w:sz w:val="24"/>
          <w:szCs w:val="24"/>
        </w:rPr>
        <w:t xml:space="preserve">rio, quanto per la rinomata abilità raggiunta da intagliatori attivi in quegli anni alla corte sforzesca, come Giacomo e </w:t>
      </w:r>
      <w:bookmarkStart w:id="402" w:name="_Hlk535947809"/>
      <w:r w:rsidRPr="00096909">
        <w:rPr>
          <w:rFonts w:ascii="Times New Roman" w:hAnsi="Times New Roman" w:cs="Times New Roman"/>
          <w:sz w:val="24"/>
          <w:szCs w:val="24"/>
        </w:rPr>
        <w:t xml:space="preserve">Giovan Angelo del Maino </w:t>
      </w:r>
      <w:bookmarkEnd w:id="402"/>
      <w:r w:rsidRPr="00096909">
        <w:rPr>
          <w:rFonts w:ascii="Times New Roman" w:hAnsi="Times New Roman" w:cs="Times New Roman"/>
          <w:sz w:val="24"/>
          <w:szCs w:val="24"/>
        </w:rPr>
        <w:t>o Giovanni Pietro de Donati.</w:t>
      </w:r>
      <w:r w:rsidRPr="00096909">
        <w:rPr>
          <w:rStyle w:val="Rimandonotaapidipagina"/>
          <w:rFonts w:ascii="Times New Roman" w:hAnsi="Times New Roman" w:cs="Times New Roman"/>
        </w:rPr>
        <w:footnoteReference w:id="510"/>
      </w:r>
      <w:r w:rsidRPr="00096909">
        <w:rPr>
          <w:rFonts w:ascii="Times New Roman" w:hAnsi="Times New Roman" w:cs="Times New Roman"/>
          <w:sz w:val="24"/>
          <w:szCs w:val="24"/>
        </w:rPr>
        <w:t xml:space="preserve"> </w:t>
      </w:r>
    </w:p>
    <w:p w14:paraId="47D1B85E"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Le colonne triangolari reggevano degli archi su cui poggiava una doppia galleria. Nei pennoni di tali archi, fanciulli in veste d’angeli facevano girare delle </w:t>
      </w:r>
      <w:r w:rsidRPr="00096909">
        <w:rPr>
          <w:rFonts w:ascii="Times New Roman" w:hAnsi="Times New Roman" w:cs="Times New Roman"/>
          <w:i/>
          <w:sz w:val="24"/>
          <w:szCs w:val="24"/>
        </w:rPr>
        <w:t>rotae</w:t>
      </w:r>
      <w:r w:rsidRPr="00096909">
        <w:rPr>
          <w:rFonts w:ascii="Times New Roman" w:hAnsi="Times New Roman" w:cs="Times New Roman"/>
          <w:sz w:val="24"/>
          <w:szCs w:val="24"/>
        </w:rPr>
        <w:t xml:space="preserve"> dorate, probabili allusioni alla ruota della fortuna. Al di sopra della doppia galleria poggiava invece una cupola, sormontata da una lanterna, che all’esterno era coperta da un tetto a cuspide ripartito in otto segmenti.   </w:t>
      </w:r>
    </w:p>
    <w:p w14:paraId="539AD0AE"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È stato opportunamente osservato come la realizzazione di addobbi effimeri offrisse il destro agli architetti per la verifica della fattibilità di soluzioni architettoniche innovative, quale sarebbe </w:t>
      </w:r>
      <w:r>
        <w:rPr>
          <w:rFonts w:ascii="Times New Roman" w:hAnsi="Times New Roman" w:cs="Times New Roman"/>
          <w:sz w:val="24"/>
          <w:szCs w:val="24"/>
        </w:rPr>
        <w:t xml:space="preserve">stata </w:t>
      </w:r>
      <w:r w:rsidRPr="00096909">
        <w:rPr>
          <w:rFonts w:ascii="Times New Roman" w:hAnsi="Times New Roman" w:cs="Times New Roman"/>
          <w:sz w:val="24"/>
          <w:szCs w:val="24"/>
        </w:rPr>
        <w:t>nel tiburio la presenza della doppia galleria. Schofield, proprio valutando il proposito sperimentale di Bramante, che di lì a breve propose gallerie analoghe per la fabbrica romana di San Pietro, ha avanzato il nome del maestro urbinate quale artefice dell’apparato.</w:t>
      </w:r>
      <w:r w:rsidRPr="00096909">
        <w:rPr>
          <w:rStyle w:val="Rimandonotaapidipagina"/>
          <w:rFonts w:ascii="Times New Roman" w:hAnsi="Times New Roman" w:cs="Times New Roman"/>
        </w:rPr>
        <w:footnoteReference w:id="511"/>
      </w:r>
      <w:r w:rsidRPr="00096909">
        <w:rPr>
          <w:rFonts w:ascii="Times New Roman" w:hAnsi="Times New Roman" w:cs="Times New Roman"/>
          <w:sz w:val="24"/>
          <w:szCs w:val="24"/>
        </w:rPr>
        <w:t xml:space="preserve"> Del resto, nel periodo delle nozze, l’artista è a Milano, ospite del aristocratico e poeta </w:t>
      </w:r>
      <w:bookmarkStart w:id="404" w:name="_Hlk535947883"/>
      <w:r w:rsidRPr="00096909">
        <w:rPr>
          <w:rFonts w:ascii="Times New Roman" w:hAnsi="Times New Roman" w:cs="Times New Roman"/>
          <w:sz w:val="24"/>
          <w:szCs w:val="24"/>
        </w:rPr>
        <w:t>Gaspar</w:t>
      </w:r>
      <w:r w:rsidR="00982E7E">
        <w:rPr>
          <w:rFonts w:ascii="Times New Roman" w:hAnsi="Times New Roman" w:cs="Times New Roman"/>
          <w:sz w:val="24"/>
          <w:szCs w:val="24"/>
        </w:rPr>
        <w:t>o</w:t>
      </w:r>
      <w:r w:rsidRPr="00096909">
        <w:rPr>
          <w:rFonts w:ascii="Times New Roman" w:hAnsi="Times New Roman" w:cs="Times New Roman"/>
          <w:sz w:val="24"/>
          <w:szCs w:val="24"/>
        </w:rPr>
        <w:t xml:space="preserve"> Ambrogio Visconti</w:t>
      </w:r>
      <w:bookmarkEnd w:id="404"/>
      <w:r w:rsidRPr="00096909">
        <w:rPr>
          <w:rFonts w:ascii="Times New Roman" w:hAnsi="Times New Roman" w:cs="Times New Roman"/>
          <w:sz w:val="24"/>
          <w:szCs w:val="24"/>
        </w:rPr>
        <w:t>,</w:t>
      </w:r>
      <w:r w:rsidRPr="00096909">
        <w:rPr>
          <w:rStyle w:val="Rimandonotaapidipagina"/>
          <w:rFonts w:ascii="Times New Roman" w:hAnsi="Times New Roman" w:cs="Times New Roman"/>
        </w:rPr>
        <w:footnoteReference w:id="512"/>
      </w:r>
      <w:r w:rsidRPr="00096909">
        <w:rPr>
          <w:rFonts w:ascii="Times New Roman" w:hAnsi="Times New Roman" w:cs="Times New Roman"/>
          <w:sz w:val="24"/>
          <w:szCs w:val="24"/>
        </w:rPr>
        <w:t xml:space="preserve"> e dimostra nei suoi disegni un interesse archeologico marcato per la chiesa di san </w:t>
      </w:r>
      <w:r w:rsidRPr="00096909">
        <w:rPr>
          <w:rFonts w:ascii="Times New Roman" w:hAnsi="Times New Roman" w:cs="Times New Roman"/>
          <w:sz w:val="24"/>
          <w:szCs w:val="24"/>
        </w:rPr>
        <w:lastRenderedPageBreak/>
        <w:t>Lorenzo, alla stessa maniera di altri artisti d’ambito sforzesco.</w:t>
      </w:r>
      <w:r w:rsidRPr="00096909">
        <w:rPr>
          <w:rStyle w:val="Rimandonotaapidipagina"/>
          <w:rFonts w:ascii="Times New Roman" w:hAnsi="Times New Roman" w:cs="Times New Roman"/>
        </w:rPr>
        <w:footnoteReference w:id="513"/>
      </w:r>
      <w:r w:rsidRPr="00096909">
        <w:rPr>
          <w:rFonts w:ascii="Times New Roman" w:hAnsi="Times New Roman" w:cs="Times New Roman"/>
          <w:sz w:val="24"/>
          <w:szCs w:val="24"/>
        </w:rPr>
        <w:t xml:space="preserve"> Tale attribuzione resta però incerta, non essendo suffragata dalla documentazione</w:t>
      </w:r>
      <w:r>
        <w:rPr>
          <w:rFonts w:ascii="Times New Roman" w:hAnsi="Times New Roman" w:cs="Times New Roman"/>
          <w:sz w:val="24"/>
          <w:szCs w:val="24"/>
        </w:rPr>
        <w:t>, e</w:t>
      </w:r>
      <w:r w:rsidRPr="00096909">
        <w:rPr>
          <w:rFonts w:ascii="Times New Roman" w:hAnsi="Times New Roman" w:cs="Times New Roman"/>
          <w:sz w:val="24"/>
          <w:szCs w:val="24"/>
        </w:rPr>
        <w:t xml:space="preserve"> </w:t>
      </w:r>
      <w:r>
        <w:rPr>
          <w:rFonts w:ascii="Times New Roman" w:hAnsi="Times New Roman" w:cs="Times New Roman"/>
          <w:sz w:val="24"/>
          <w:szCs w:val="24"/>
        </w:rPr>
        <w:t>s</w:t>
      </w:r>
      <w:r w:rsidRPr="00096909">
        <w:rPr>
          <w:rFonts w:ascii="Times New Roman" w:hAnsi="Times New Roman" w:cs="Times New Roman"/>
          <w:sz w:val="24"/>
          <w:szCs w:val="24"/>
        </w:rPr>
        <w:t>i deve inoltre considerare come solo a partire dal 1492 i rapporti tra l’architetto e il Moro, vero orchestratore delle feste, sarebbero divenuti frequenti.</w:t>
      </w:r>
    </w:p>
    <w:p w14:paraId="75447794"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Nel tentativo di spiegare il significato della struttura Schofield formula alcune ipotesi che associano l’edificio da un lato alla tradizione cristiana delle cappelle mariane – cui l’avvicinerebbero la pianta ottagonale, l’uso come luogo di incontro con il Capitolo metropolitano, la similarità con la chiesa di san Lorenzo – e dall’altro ai templi pagani di Giunone e Diana, in conformità a un gusto archeologico esaltante la castità della sposa.</w:t>
      </w:r>
      <w:r w:rsidRPr="00096909">
        <w:rPr>
          <w:rStyle w:val="Rimandonotaapidipagina"/>
          <w:rFonts w:ascii="Times New Roman" w:hAnsi="Times New Roman" w:cs="Times New Roman"/>
        </w:rPr>
        <w:footnoteReference w:id="514"/>
      </w:r>
      <w:r w:rsidRPr="00096909">
        <w:rPr>
          <w:rFonts w:ascii="Times New Roman" w:hAnsi="Times New Roman" w:cs="Times New Roman"/>
          <w:sz w:val="24"/>
          <w:szCs w:val="24"/>
        </w:rPr>
        <w:t xml:space="preserve"> A me pare plausibile che il t</w:t>
      </w:r>
      <w:r>
        <w:rPr>
          <w:rFonts w:ascii="Times New Roman" w:hAnsi="Times New Roman" w:cs="Times New Roman"/>
          <w:sz w:val="24"/>
          <w:szCs w:val="24"/>
        </w:rPr>
        <w:t>ibu</w:t>
      </w:r>
      <w:r w:rsidRPr="00096909">
        <w:rPr>
          <w:rFonts w:ascii="Times New Roman" w:hAnsi="Times New Roman" w:cs="Times New Roman"/>
          <w:sz w:val="24"/>
          <w:szCs w:val="24"/>
        </w:rPr>
        <w:t xml:space="preserve">rio volesse assommare entrambe queste valenze, in una addizione omnicomprensiva di elementi classici e romanzi cara al trionfo rinascimentale. </w:t>
      </w:r>
    </w:p>
    <w:p w14:paraId="5EAC56D5"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Tre aspetti dell’apparato mi sembrano però meritare maggiori attenzioni. </w:t>
      </w:r>
    </w:p>
    <w:p w14:paraId="148C2324"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In primo luogo, il fatto che le forme del t</w:t>
      </w:r>
      <w:r>
        <w:rPr>
          <w:rFonts w:ascii="Times New Roman" w:hAnsi="Times New Roman" w:cs="Times New Roman"/>
          <w:sz w:val="24"/>
          <w:szCs w:val="24"/>
        </w:rPr>
        <w:t>ibu</w:t>
      </w:r>
      <w:r w:rsidRPr="00096909">
        <w:rPr>
          <w:rFonts w:ascii="Times New Roman" w:hAnsi="Times New Roman" w:cs="Times New Roman"/>
          <w:sz w:val="24"/>
          <w:szCs w:val="24"/>
        </w:rPr>
        <w:t>rio fossero ispirate all’architettura di San Lorenzo, basilica riconosciuta dagli umanisti milanesi come uno tra gli edifici antichi meglio conservati della città. Il richiamo visuale alla basilica doveva forse rievocare alla memoria degli intellettuali e dell’aristocrazia locali anche il fatto che essa sorgesse anticamente innanzi alla reggia dell’imperatore Massimiano e presumibilmente svolgesse la funzione di cappella imperiale.</w:t>
      </w:r>
      <w:r w:rsidRPr="00096909">
        <w:rPr>
          <w:rStyle w:val="Rimandonotaapidipagina"/>
          <w:rFonts w:ascii="Times New Roman" w:hAnsi="Times New Roman" w:cs="Times New Roman"/>
        </w:rPr>
        <w:footnoteReference w:id="515"/>
      </w:r>
      <w:r w:rsidRPr="00096909">
        <w:rPr>
          <w:rFonts w:ascii="Times New Roman" w:hAnsi="Times New Roman" w:cs="Times New Roman"/>
          <w:sz w:val="24"/>
          <w:szCs w:val="24"/>
        </w:rPr>
        <w:t xml:space="preserve"> Allo stesso modo, il tiburio posticcio era stato innalzato nei pressi della corte dell’Arengo, dove i duchi avevano risieduto fino al 1466 per poi trasferirsi al castello di Porta Giovia. La pianta ottagonale del tempietto ligneo era altresì associabile a quella del tiburio </w:t>
      </w:r>
      <w:r>
        <w:rPr>
          <w:rFonts w:ascii="Times New Roman" w:hAnsi="Times New Roman" w:cs="Times New Roman"/>
          <w:sz w:val="24"/>
          <w:szCs w:val="24"/>
        </w:rPr>
        <w:t>(</w:t>
      </w:r>
      <w:r w:rsidRPr="00096909">
        <w:rPr>
          <w:rFonts w:ascii="Times New Roman" w:hAnsi="Times New Roman" w:cs="Times New Roman"/>
          <w:sz w:val="24"/>
          <w:szCs w:val="24"/>
        </w:rPr>
        <w:t>allora in costruzione</w:t>
      </w:r>
      <w:r>
        <w:rPr>
          <w:rFonts w:ascii="Times New Roman" w:hAnsi="Times New Roman" w:cs="Times New Roman"/>
          <w:sz w:val="24"/>
          <w:szCs w:val="24"/>
        </w:rPr>
        <w:t>)</w:t>
      </w:r>
      <w:r w:rsidRPr="00096909">
        <w:rPr>
          <w:rFonts w:ascii="Times New Roman" w:hAnsi="Times New Roman" w:cs="Times New Roman"/>
          <w:sz w:val="24"/>
          <w:szCs w:val="24"/>
        </w:rPr>
        <w:t xml:space="preserve"> del Duomo, sul quale, come detto, si concentravano le pressioni ducali </w:t>
      </w:r>
      <w:r>
        <w:rPr>
          <w:rFonts w:ascii="Times New Roman" w:hAnsi="Times New Roman" w:cs="Times New Roman"/>
          <w:sz w:val="24"/>
          <w:szCs w:val="24"/>
        </w:rPr>
        <w:t>per</w:t>
      </w:r>
      <w:r w:rsidRPr="00096909">
        <w:rPr>
          <w:rFonts w:ascii="Times New Roman" w:hAnsi="Times New Roman" w:cs="Times New Roman"/>
          <w:sz w:val="24"/>
          <w:szCs w:val="24"/>
        </w:rPr>
        <w:t xml:space="preserve"> monopolizza</w:t>
      </w:r>
      <w:r>
        <w:rPr>
          <w:rFonts w:ascii="Times New Roman" w:hAnsi="Times New Roman" w:cs="Times New Roman"/>
          <w:sz w:val="24"/>
          <w:szCs w:val="24"/>
        </w:rPr>
        <w:t>re</w:t>
      </w:r>
      <w:r w:rsidRPr="00096909">
        <w:rPr>
          <w:rFonts w:ascii="Times New Roman" w:hAnsi="Times New Roman" w:cs="Times New Roman"/>
          <w:sz w:val="24"/>
          <w:szCs w:val="24"/>
        </w:rPr>
        <w:t xml:space="preserve"> le scelte della Fabbrica nella gestione del cantiere. Si creava pertanto una sorta di continuità ideale che associava la Milano capitale dell’Impero alla Milano capitale del ducato, fiorente sotto il governo sforzesco. </w:t>
      </w:r>
    </w:p>
    <w:p w14:paraId="5F2CD5EC"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In secondo luogo, presso l’insolita costruzione Isabella incontrava le nobildonne milanesi provenienti dalla corte e ammirava i simulacri delle eroine virtuose dell’antichità. Queste </w:t>
      </w:r>
      <w:r w:rsidRPr="00096909">
        <w:rPr>
          <w:rFonts w:ascii="Times New Roman" w:hAnsi="Times New Roman" w:cs="Times New Roman"/>
          <w:i/>
          <w:sz w:val="24"/>
          <w:szCs w:val="24"/>
        </w:rPr>
        <w:t>imagines</w:t>
      </w:r>
      <w:r w:rsidRPr="00096909">
        <w:rPr>
          <w:rFonts w:ascii="Times New Roman" w:hAnsi="Times New Roman" w:cs="Times New Roman"/>
          <w:sz w:val="24"/>
          <w:szCs w:val="24"/>
        </w:rPr>
        <w:t xml:space="preserve"> potrebbero riferirsi tanto all’eccellenza della sposa quanto a quella delle sue nobili compagne. Non è noto chi abbia commissionato la realizzazione del tempietto; ma non mi sembra inverosimile pensare che esso fosse stato offerto proprio da qualcuna delle famiglie aristocratiche locali, che con tale dono avesse inteso prendersi uno speciale spazio all’interno della festa, rimarcando il proprio ruolo nell’</w:t>
      </w:r>
      <w:r w:rsidRPr="00096909">
        <w:rPr>
          <w:rFonts w:ascii="Times New Roman" w:hAnsi="Times New Roman" w:cs="Times New Roman"/>
          <w:i/>
          <w:sz w:val="24"/>
          <w:szCs w:val="24"/>
        </w:rPr>
        <w:t xml:space="preserve">entourage </w:t>
      </w:r>
      <w:r w:rsidRPr="00096909">
        <w:rPr>
          <w:rFonts w:ascii="Times New Roman" w:hAnsi="Times New Roman" w:cs="Times New Roman"/>
          <w:sz w:val="24"/>
          <w:szCs w:val="24"/>
        </w:rPr>
        <w:t>ducale e lodando in maniera meno subalterna la casa regnante. In quest’ottica, l’offerta dell’apparato avrebbe forse i precedenti nell’uso consolidato, da parte dei nobili presenti a Milano, di sovvenzionare i carri delle recite presentate durante le oblazioni annuali delle porte cittadine alla Fabbrica del Duomo.</w:t>
      </w:r>
      <w:r w:rsidRPr="00096909">
        <w:rPr>
          <w:rStyle w:val="Rimandonotaapidipagina"/>
          <w:rFonts w:ascii="Times New Roman" w:hAnsi="Times New Roman" w:cs="Times New Roman"/>
        </w:rPr>
        <w:footnoteReference w:id="516"/>
      </w:r>
      <w:r w:rsidRPr="00096909">
        <w:rPr>
          <w:rFonts w:ascii="Times New Roman" w:hAnsi="Times New Roman" w:cs="Times New Roman"/>
        </w:rPr>
        <w:t xml:space="preserve"> </w:t>
      </w:r>
      <w:r w:rsidRPr="00096909">
        <w:rPr>
          <w:rFonts w:ascii="Times New Roman" w:hAnsi="Times New Roman" w:cs="Times New Roman"/>
          <w:sz w:val="24"/>
          <w:szCs w:val="24"/>
        </w:rPr>
        <w:t>Una simile committenza favorirebbe anche l’ipotesi d’attribuzione a Bramante, avvalorata dalla rete di relazioni intessuta dall’artista con le potenti famiglie locali nel corso del suo primo decennio milanese.</w:t>
      </w:r>
      <w:r w:rsidRPr="00096909">
        <w:rPr>
          <w:rStyle w:val="Rimandonotaapidipagina"/>
          <w:rFonts w:ascii="Times New Roman" w:hAnsi="Times New Roman" w:cs="Times New Roman"/>
        </w:rPr>
        <w:footnoteReference w:id="517"/>
      </w:r>
      <w:r w:rsidRPr="00096909">
        <w:rPr>
          <w:rFonts w:ascii="Times New Roman" w:hAnsi="Times New Roman" w:cs="Times New Roman"/>
          <w:sz w:val="24"/>
          <w:szCs w:val="24"/>
        </w:rPr>
        <w:t xml:space="preserve"> </w:t>
      </w:r>
    </w:p>
    <w:p w14:paraId="5617A144" w14:textId="77777777" w:rsidR="000A28D9" w:rsidRPr="00096909" w:rsidRDefault="000A28D9" w:rsidP="000A28D9">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Infine, vorrei osservare come Dolcino, nell’introdurre l’edificio al lettore, specifi</w:t>
      </w:r>
      <w:r>
        <w:rPr>
          <w:rFonts w:ascii="Times New Roman" w:hAnsi="Times New Roman" w:cs="Times New Roman"/>
          <w:sz w:val="24"/>
          <w:szCs w:val="24"/>
        </w:rPr>
        <w:t>casse</w:t>
      </w:r>
      <w:r w:rsidRPr="00096909">
        <w:rPr>
          <w:rFonts w:ascii="Times New Roman" w:hAnsi="Times New Roman" w:cs="Times New Roman"/>
          <w:sz w:val="24"/>
          <w:szCs w:val="24"/>
        </w:rPr>
        <w:t xml:space="preserve"> che esso era collocato in </w:t>
      </w:r>
      <w:r w:rsidRPr="00096909">
        <w:rPr>
          <w:rFonts w:ascii="Times New Roman" w:hAnsi="Times New Roman" w:cs="Times New Roman"/>
          <w:i/>
          <w:sz w:val="24"/>
          <w:szCs w:val="24"/>
        </w:rPr>
        <w:t>amphitheatrali orbe</w:t>
      </w:r>
      <w:r w:rsidRPr="00096909">
        <w:rPr>
          <w:rFonts w:ascii="Times New Roman" w:hAnsi="Times New Roman" w:cs="Times New Roman"/>
          <w:sz w:val="24"/>
          <w:szCs w:val="24"/>
        </w:rPr>
        <w:t xml:space="preserve">, fatto assolutamente normale dal momento che sappiamo che il tiburio, avendo pianta centrale, come un anfiteatro, doveva delineare attorno a sé uno spiazzo circolare. La notazione diviene però più rilevante se si legge cosa scrisse Gian Alberto Bossi a proposito dell’apparato provvisorio. Dopo aver tentato di descriverlo faticosamente </w:t>
      </w:r>
      <w:r w:rsidR="00BD7B40">
        <w:rPr>
          <w:rFonts w:ascii="Times New Roman" w:hAnsi="Times New Roman" w:cs="Times New Roman"/>
          <w:sz w:val="24"/>
          <w:szCs w:val="24"/>
        </w:rPr>
        <w:t>il poeta</w:t>
      </w:r>
      <w:r w:rsidRPr="00096909">
        <w:rPr>
          <w:rFonts w:ascii="Times New Roman" w:hAnsi="Times New Roman" w:cs="Times New Roman"/>
          <w:sz w:val="24"/>
          <w:szCs w:val="24"/>
        </w:rPr>
        <w:t xml:space="preserve"> se ne conged</w:t>
      </w:r>
      <w:r>
        <w:rPr>
          <w:rFonts w:ascii="Times New Roman" w:hAnsi="Times New Roman" w:cs="Times New Roman"/>
          <w:sz w:val="24"/>
          <w:szCs w:val="24"/>
        </w:rPr>
        <w:t>ò</w:t>
      </w:r>
      <w:r w:rsidRPr="00096909">
        <w:rPr>
          <w:rFonts w:ascii="Times New Roman" w:hAnsi="Times New Roman" w:cs="Times New Roman"/>
          <w:sz w:val="24"/>
          <w:szCs w:val="24"/>
        </w:rPr>
        <w:t xml:space="preserve"> dichiarando in questo distico la singolarità della costruzione: </w:t>
      </w:r>
    </w:p>
    <w:p w14:paraId="63928212" w14:textId="77777777" w:rsidR="000A28D9" w:rsidRPr="00096909" w:rsidRDefault="000A28D9" w:rsidP="000A28D9">
      <w:pPr>
        <w:spacing w:after="0" w:line="360" w:lineRule="auto"/>
        <w:ind w:left="2268"/>
        <w:jc w:val="both"/>
        <w:rPr>
          <w:rFonts w:ascii="Times New Roman" w:hAnsi="Times New Roman" w:cs="Times New Roman"/>
          <w:i/>
          <w:sz w:val="20"/>
          <w:szCs w:val="20"/>
        </w:rPr>
      </w:pPr>
    </w:p>
    <w:p w14:paraId="0694DA9D" w14:textId="77777777" w:rsidR="000A28D9" w:rsidRPr="00096909" w:rsidRDefault="000A28D9" w:rsidP="000A28D9">
      <w:pPr>
        <w:spacing w:after="0" w:line="360" w:lineRule="auto"/>
        <w:ind w:left="2268"/>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Inclyta propterea taceatur machina quaevis;</w:t>
      </w:r>
    </w:p>
    <w:p w14:paraId="179365FF" w14:textId="77777777" w:rsidR="000A28D9" w:rsidRPr="00096909" w:rsidRDefault="000A28D9" w:rsidP="000A28D9">
      <w:pPr>
        <w:spacing w:after="0" w:line="360" w:lineRule="auto"/>
        <w:ind w:left="2268"/>
        <w:jc w:val="both"/>
        <w:rPr>
          <w:rFonts w:ascii="Times New Roman" w:hAnsi="Times New Roman" w:cs="Times New Roman"/>
          <w:i/>
          <w:sz w:val="20"/>
          <w:szCs w:val="20"/>
        </w:rPr>
      </w:pPr>
      <w:r w:rsidRPr="00096909">
        <w:rPr>
          <w:rFonts w:ascii="Times New Roman" w:hAnsi="Times New Roman" w:cs="Times New Roman"/>
          <w:i/>
          <w:sz w:val="20"/>
          <w:szCs w:val="20"/>
        </w:rPr>
        <w:t>Curio iam sileat bina theatra sua.</w:t>
      </w:r>
      <w:r w:rsidRPr="00096909">
        <w:rPr>
          <w:rStyle w:val="Rimandonotaapidipagina"/>
          <w:rFonts w:ascii="Times New Roman" w:hAnsi="Times New Roman" w:cs="Times New Roman"/>
        </w:rPr>
        <w:footnoteReference w:id="518"/>
      </w:r>
    </w:p>
    <w:p w14:paraId="0CBC9A84" w14:textId="77777777" w:rsidR="000A28D9" w:rsidRPr="00096909" w:rsidRDefault="000A28D9" w:rsidP="000A28D9">
      <w:pPr>
        <w:spacing w:line="360" w:lineRule="auto"/>
        <w:jc w:val="both"/>
        <w:rPr>
          <w:rFonts w:ascii="Times New Roman" w:hAnsi="Times New Roman" w:cs="Times New Roman"/>
          <w:sz w:val="24"/>
          <w:szCs w:val="24"/>
        </w:rPr>
      </w:pPr>
    </w:p>
    <w:p w14:paraId="3A807A3E"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Secondo il poeta, tutte le </w:t>
      </w:r>
      <w:r w:rsidRPr="00096909">
        <w:rPr>
          <w:rFonts w:ascii="Times New Roman" w:hAnsi="Times New Roman" w:cs="Times New Roman"/>
          <w:i/>
          <w:sz w:val="24"/>
          <w:szCs w:val="24"/>
        </w:rPr>
        <w:t xml:space="preserve">machinae </w:t>
      </w:r>
      <w:r w:rsidRPr="00096909">
        <w:rPr>
          <w:rFonts w:ascii="Times New Roman" w:hAnsi="Times New Roman" w:cs="Times New Roman"/>
          <w:sz w:val="24"/>
          <w:szCs w:val="24"/>
        </w:rPr>
        <w:t>del mondo antico</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termine con il quale le fonti letterarie latine indicano le strutture mobili disposte per l’allestimento di spettacoli</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 d</w:t>
      </w:r>
      <w:r>
        <w:rPr>
          <w:rFonts w:ascii="Times New Roman" w:hAnsi="Times New Roman" w:cs="Times New Roman"/>
          <w:sz w:val="24"/>
          <w:szCs w:val="24"/>
        </w:rPr>
        <w:t>o</w:t>
      </w:r>
      <w:r w:rsidRPr="00096909">
        <w:rPr>
          <w:rFonts w:ascii="Times New Roman" w:hAnsi="Times New Roman" w:cs="Times New Roman"/>
          <w:sz w:val="24"/>
          <w:szCs w:val="24"/>
        </w:rPr>
        <w:t>v</w:t>
      </w:r>
      <w:r>
        <w:rPr>
          <w:rFonts w:ascii="Times New Roman" w:hAnsi="Times New Roman" w:cs="Times New Roman"/>
          <w:sz w:val="24"/>
          <w:szCs w:val="24"/>
        </w:rPr>
        <w:t>eva</w:t>
      </w:r>
      <w:r w:rsidRPr="00096909">
        <w:rPr>
          <w:rFonts w:ascii="Times New Roman" w:hAnsi="Times New Roman" w:cs="Times New Roman"/>
          <w:sz w:val="24"/>
          <w:szCs w:val="24"/>
        </w:rPr>
        <w:t>no cedere all</w:t>
      </w:r>
      <w:r w:rsidR="002D3A26">
        <w:rPr>
          <w:rFonts w:ascii="Times New Roman" w:hAnsi="Times New Roman" w:cs="Times New Roman"/>
          <w:sz w:val="24"/>
          <w:szCs w:val="24"/>
        </w:rPr>
        <w:t>’eccellenza</w:t>
      </w:r>
      <w:r w:rsidRPr="00096909">
        <w:rPr>
          <w:rFonts w:ascii="Times New Roman" w:hAnsi="Times New Roman" w:cs="Times New Roman"/>
          <w:sz w:val="24"/>
          <w:szCs w:val="24"/>
        </w:rPr>
        <w:t xml:space="preserve"> del tiburio, compresi i due teatri di </w:t>
      </w:r>
      <w:bookmarkStart w:id="412" w:name="_Hlk535948314"/>
      <w:r w:rsidRPr="00096909">
        <w:rPr>
          <w:rFonts w:ascii="Times New Roman" w:hAnsi="Times New Roman" w:cs="Times New Roman"/>
          <w:sz w:val="24"/>
          <w:szCs w:val="24"/>
        </w:rPr>
        <w:t xml:space="preserve">Gaio Scribonio Curione </w:t>
      </w:r>
      <w:bookmarkEnd w:id="412"/>
      <w:r w:rsidRPr="00096909">
        <w:rPr>
          <w:rFonts w:ascii="Times New Roman" w:hAnsi="Times New Roman" w:cs="Times New Roman"/>
          <w:sz w:val="24"/>
          <w:szCs w:val="24"/>
        </w:rPr>
        <w:t xml:space="preserve">descritti nella </w:t>
      </w:r>
      <w:r w:rsidRPr="00096909">
        <w:rPr>
          <w:rFonts w:ascii="Times New Roman" w:hAnsi="Times New Roman" w:cs="Times New Roman"/>
          <w:i/>
          <w:sz w:val="24"/>
          <w:szCs w:val="24"/>
        </w:rPr>
        <w:t>Naturalis Historia</w:t>
      </w:r>
      <w:r w:rsidRPr="00096909">
        <w:rPr>
          <w:rFonts w:ascii="Times New Roman" w:hAnsi="Times New Roman" w:cs="Times New Roman"/>
          <w:sz w:val="24"/>
          <w:szCs w:val="24"/>
        </w:rPr>
        <w:t xml:space="preserve">. Plinio il Vecchio dedicò loro i paragrafi 116-120 del libro XXXVI del suo trattato, dove riferì come Curione, nell’anno del suo edilato </w:t>
      </w:r>
      <w:r>
        <w:rPr>
          <w:rFonts w:ascii="Times New Roman" w:hAnsi="Times New Roman" w:cs="Times New Roman"/>
          <w:sz w:val="24"/>
          <w:szCs w:val="24"/>
        </w:rPr>
        <w:t>(</w:t>
      </w:r>
      <w:r w:rsidRPr="00096909">
        <w:rPr>
          <w:rFonts w:ascii="Times New Roman" w:hAnsi="Times New Roman" w:cs="Times New Roman"/>
          <w:sz w:val="24"/>
          <w:szCs w:val="24"/>
        </w:rPr>
        <w:t>53 a.C.</w:t>
      </w:r>
      <w:r>
        <w:rPr>
          <w:rFonts w:ascii="Times New Roman" w:hAnsi="Times New Roman" w:cs="Times New Roman"/>
          <w:sz w:val="24"/>
          <w:szCs w:val="24"/>
        </w:rPr>
        <w:t>)</w:t>
      </w:r>
      <w:r w:rsidRPr="00096909">
        <w:rPr>
          <w:rFonts w:ascii="Times New Roman" w:hAnsi="Times New Roman" w:cs="Times New Roman"/>
          <w:sz w:val="24"/>
          <w:szCs w:val="24"/>
        </w:rPr>
        <w:t xml:space="preserve"> avesse fatto costruire a Roma una </w:t>
      </w:r>
      <w:r w:rsidRPr="00096909">
        <w:rPr>
          <w:rFonts w:ascii="Times New Roman" w:hAnsi="Times New Roman" w:cs="Times New Roman"/>
          <w:i/>
          <w:sz w:val="24"/>
          <w:szCs w:val="24"/>
        </w:rPr>
        <w:t>machina</w:t>
      </w:r>
      <w:r w:rsidRPr="00096909">
        <w:rPr>
          <w:rFonts w:ascii="Times New Roman" w:hAnsi="Times New Roman" w:cs="Times New Roman"/>
          <w:sz w:val="24"/>
          <w:szCs w:val="24"/>
        </w:rPr>
        <w:t xml:space="preserve"> ingegnosa e costosa per offrire giochi e spettacoli, composta da due contrapposti teatri in legno che, per mezzo di argani, potevano ruotare su loro stessi per chiudersi ed unirsi formando un’arena in cui assistere ai combattimenti tra gladiatori.</w:t>
      </w:r>
      <w:r w:rsidRPr="00096909">
        <w:rPr>
          <w:rStyle w:val="Rimandonotaapidipagina"/>
          <w:rFonts w:ascii="Times New Roman" w:hAnsi="Times New Roman" w:cs="Times New Roman"/>
          <w:sz w:val="24"/>
          <w:szCs w:val="24"/>
        </w:rPr>
        <w:footnoteReference w:id="519"/>
      </w:r>
      <w:r w:rsidRPr="00096909">
        <w:rPr>
          <w:rFonts w:ascii="Times New Roman" w:hAnsi="Times New Roman" w:cs="Times New Roman"/>
          <w:sz w:val="24"/>
          <w:szCs w:val="24"/>
        </w:rPr>
        <w:t xml:space="preserve"> </w:t>
      </w:r>
    </w:p>
    <w:p w14:paraId="6DDE7084"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È stata avanzata l’ipotesi che l’apparatore dell’ingegnoso </w:t>
      </w:r>
      <w:r>
        <w:rPr>
          <w:rFonts w:ascii="Times New Roman" w:hAnsi="Times New Roman" w:cs="Times New Roman"/>
          <w:sz w:val="24"/>
          <w:szCs w:val="24"/>
        </w:rPr>
        <w:t xml:space="preserve">tiburio </w:t>
      </w:r>
      <w:r w:rsidRPr="00096909">
        <w:rPr>
          <w:rFonts w:ascii="Times New Roman" w:hAnsi="Times New Roman" w:cs="Times New Roman"/>
          <w:sz w:val="24"/>
          <w:szCs w:val="24"/>
        </w:rPr>
        <w:t>nuziale potesse avere avuto in mente l’aspetto dei teatri provvisori descritti da Plinio, o quanto meno che ne avessero notizia i letterati interpellati nel corso dei preparativi per l’ingresso di Isabella.</w:t>
      </w:r>
      <w:r w:rsidRPr="00096909">
        <w:rPr>
          <w:rStyle w:val="Rimandonotaapidipagina"/>
          <w:rFonts w:ascii="Times New Roman" w:hAnsi="Times New Roman" w:cs="Times New Roman"/>
          <w:sz w:val="24"/>
          <w:szCs w:val="24"/>
        </w:rPr>
        <w:footnoteReference w:id="520"/>
      </w:r>
      <w:r w:rsidRPr="00096909">
        <w:rPr>
          <w:rFonts w:ascii="Times New Roman" w:hAnsi="Times New Roman" w:cs="Times New Roman"/>
          <w:sz w:val="24"/>
          <w:szCs w:val="24"/>
        </w:rPr>
        <w:t xml:space="preserve"> Tale ipotesi, presa con cautela, permetterebbe di collocare l’addobbo effimero entro una tradizione di riscoperta delle forme dei primi edifici teatrali romani, provvisori proprio come gli apparati dei trionfi rinascimentali, e chiarirebbe la ragione della presenza delle ruote poste nei pennoni degli archi del tiburio, le quali alluderebbero ai meccanismi che avevano consentito ai teatri di Curione di muoversi. Quello che appare evidente è invece la presenza di una memoria della cultura teatrale </w:t>
      </w:r>
      <w:r>
        <w:rPr>
          <w:rFonts w:ascii="Times New Roman" w:hAnsi="Times New Roman" w:cs="Times New Roman"/>
          <w:sz w:val="24"/>
          <w:szCs w:val="24"/>
        </w:rPr>
        <w:t xml:space="preserve">di Roma antica </w:t>
      </w:r>
      <w:r w:rsidRPr="00096909">
        <w:rPr>
          <w:rFonts w:ascii="Times New Roman" w:hAnsi="Times New Roman" w:cs="Times New Roman"/>
          <w:sz w:val="24"/>
          <w:szCs w:val="24"/>
        </w:rPr>
        <w:t>nell’occhio dello spettatore umanista e dei cronisti degli sposalizi principeschi, la quale, come vedremo nelle pagine seguenti, riaffiorava alla vista degli spettacoli contemporanei.</w:t>
      </w:r>
    </w:p>
    <w:p w14:paraId="098F698C"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Il terzo ornamento effimero predisposto davanti alla cattedrale era invece una verdeggiante successione di archi di edera e mirto che scandiva il percorso della sposa lungo il piazzale.</w:t>
      </w:r>
      <w:r w:rsidRPr="00096909">
        <w:rPr>
          <w:rStyle w:val="Rimandonotaapidipagina"/>
          <w:rFonts w:ascii="Times New Roman" w:hAnsi="Times New Roman" w:cs="Times New Roman"/>
        </w:rPr>
        <w:footnoteReference w:id="521"/>
      </w:r>
      <w:r w:rsidRPr="00096909">
        <w:rPr>
          <w:rFonts w:ascii="Times New Roman" w:hAnsi="Times New Roman" w:cs="Times New Roman"/>
          <w:sz w:val="24"/>
          <w:szCs w:val="24"/>
        </w:rPr>
        <w:t xml:space="preserve"> Si trattava di un genere di decorazione urbana molto comune nelle feste nuziali del Quattrocento – si ricorderà l’abilità degli apparatori delle nozze di Lucrezia d’Este e Annibale Bentivoglio nel far </w:t>
      </w:r>
      <w:r w:rsidRPr="00096909">
        <w:rPr>
          <w:rFonts w:ascii="Times New Roman" w:hAnsi="Times New Roman" w:cs="Times New Roman"/>
          <w:sz w:val="24"/>
          <w:szCs w:val="24"/>
        </w:rPr>
        <w:lastRenderedPageBreak/>
        <w:t>fiorire un lussureggiante giardino nel pieno dell’inverno –</w:t>
      </w:r>
      <w:r w:rsidR="002D3A26">
        <w:rPr>
          <w:rFonts w:ascii="Times New Roman" w:hAnsi="Times New Roman" w:cs="Times New Roman"/>
          <w:sz w:val="24"/>
          <w:szCs w:val="24"/>
        </w:rPr>
        <w:t xml:space="preserve"> </w:t>
      </w:r>
      <w:r w:rsidRPr="00096909">
        <w:rPr>
          <w:rFonts w:ascii="Times New Roman" w:hAnsi="Times New Roman" w:cs="Times New Roman"/>
          <w:sz w:val="24"/>
          <w:szCs w:val="24"/>
        </w:rPr>
        <w:t>che ha tuttavia destato l’attenzione degli storici dell’arte a ragione di un possibile intervento di Leonardo da Vinci nella progettazione. Il Codice B, conservato presso l’Istitut de France, conterrebbe infatti disegni di strutture per addobbi floreali riconducibili allo sposalizio milanese del 1489.</w:t>
      </w:r>
      <w:r w:rsidRPr="00096909">
        <w:rPr>
          <w:rStyle w:val="Rimandonotaapidipagina"/>
          <w:rFonts w:ascii="Times New Roman" w:hAnsi="Times New Roman" w:cs="Times New Roman"/>
        </w:rPr>
        <w:footnoteReference w:id="522"/>
      </w:r>
      <w:r w:rsidRPr="00096909">
        <w:rPr>
          <w:rFonts w:ascii="Times New Roman" w:hAnsi="Times New Roman" w:cs="Times New Roman"/>
          <w:sz w:val="24"/>
          <w:szCs w:val="24"/>
        </w:rPr>
        <w:t xml:space="preserve"> Al foglio 28v, in particolare, è presente il progetto d’una impalcatura provvisoria accompagnata dalla didascalia a fine pagina di mano di Leonardo «Modo come si fa l’armadure per fare ornamenti in forma di edifizi». Sul medesimo foglio compaiono inoltre tre indicazioni per il rivestimento delle strutture con festoni vegetali: «A cquesta colona si lega d’intorno 4 pertiche, d’intorno a le quali s’inchioda vinchi grossi uno dito, e poi si fa da piè, e vassi in alto legando mazoli di cime in basso, cioè sottosopra»; «Sia da l’uno all’altro cierchio uno ½ braccio, el ginepro si debe vigiere co’ le cime in giù cominciando disotto»; «Modo come si debe mettere le pertiche per legare i mazoli de ginepri sopra esse pertiche, le quali sono conflitte sopra l’armadura della volta. E lega essi mazoli con salci, e le superflue cime tosa colle forbici e lavorale coi salci»</w:t>
      </w:r>
      <w:r w:rsidRPr="00096909">
        <w:rPr>
          <w:rFonts w:ascii="Times New Roman" w:hAnsi="Times New Roman" w:cs="Times New Roman"/>
        </w:rPr>
        <w:t>.</w:t>
      </w:r>
    </w:p>
    <w:p w14:paraId="5DD0E16C"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datazione del disegno risulta </w:t>
      </w:r>
      <w:r>
        <w:rPr>
          <w:rFonts w:ascii="Times New Roman" w:hAnsi="Times New Roman" w:cs="Times New Roman"/>
          <w:sz w:val="24"/>
          <w:szCs w:val="24"/>
        </w:rPr>
        <w:t xml:space="preserve">di </w:t>
      </w:r>
      <w:r w:rsidRPr="00096909">
        <w:rPr>
          <w:rFonts w:ascii="Times New Roman" w:hAnsi="Times New Roman" w:cs="Times New Roman"/>
          <w:sz w:val="24"/>
          <w:szCs w:val="24"/>
        </w:rPr>
        <w:t xml:space="preserve">poco successiva allo svolgimento delle nozze e la raccomandazione nell’uso del ginepro coincide bene con quanto riferiscono le fonti sulle piante impiegate negli addobbi (edera, mirto, ginepro). Tuttavia, come per il tiburio, nessuna delle cronache ha tramandato il nome dell’apparatore degli ornamenti. E sebbene un’attribuzione leonardesca del colonnato risulterebbe facile, facendo conto sull’intervento documentato dell’artista per l’ingegno della </w:t>
      </w:r>
      <w:r w:rsidRPr="00096909">
        <w:rPr>
          <w:rFonts w:ascii="Times New Roman" w:hAnsi="Times New Roman" w:cs="Times New Roman"/>
          <w:i/>
          <w:sz w:val="24"/>
          <w:szCs w:val="24"/>
        </w:rPr>
        <w:t>Festa del Paradiso</w:t>
      </w:r>
      <w:r w:rsidRPr="00096909">
        <w:rPr>
          <w:rFonts w:ascii="Times New Roman" w:hAnsi="Times New Roman" w:cs="Times New Roman"/>
          <w:sz w:val="24"/>
          <w:szCs w:val="24"/>
        </w:rPr>
        <w:t xml:space="preserve"> presentata il 13 gennaio 1490 a conclusione dei festeggiamenti nuziali, l’ipotesi rimane molto probabile ma non accertata. La documentazione del Codice B, invece, testimonia pienamente l’interesse del Vinci per le ornamentazioni effimere che faranno la sua fortuna di organizzatore di feste per il Moro.</w:t>
      </w:r>
    </w:p>
    <w:p w14:paraId="3164C39A"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Nel concludere la descrizione del</w:t>
      </w:r>
      <w:r>
        <w:rPr>
          <w:rFonts w:ascii="Times New Roman" w:hAnsi="Times New Roman" w:cs="Times New Roman"/>
          <w:sz w:val="24"/>
          <w:szCs w:val="24"/>
        </w:rPr>
        <w:t>l’ap</w:t>
      </w:r>
      <w:r w:rsidRPr="00096909">
        <w:rPr>
          <w:rFonts w:ascii="Times New Roman" w:hAnsi="Times New Roman" w:cs="Times New Roman"/>
          <w:sz w:val="24"/>
          <w:szCs w:val="24"/>
        </w:rPr>
        <w:t>parato della piazza, Dolcino specifica inoltre che per l’occasione furono rimosse le botteghe e i banchi da mercato degli artigiani e degli ambulanti che erano soliti vendere la loro merce sull’area precedentemente occupata dalla chiesa di Santa Tecla, nello spazio tra il Coperto del Figini e la contrada dei Pellizzari e</w:t>
      </w:r>
      <w:r>
        <w:rPr>
          <w:rFonts w:ascii="Times New Roman" w:hAnsi="Times New Roman" w:cs="Times New Roman"/>
          <w:sz w:val="24"/>
          <w:szCs w:val="24"/>
        </w:rPr>
        <w:t>,</w:t>
      </w:r>
      <w:r w:rsidRPr="00096909">
        <w:rPr>
          <w:rFonts w:ascii="Times New Roman" w:hAnsi="Times New Roman" w:cs="Times New Roman"/>
          <w:sz w:val="24"/>
          <w:szCs w:val="24"/>
        </w:rPr>
        <w:t xml:space="preserve"> in prossimità dell’Arengo, in costruzioni in legno di piccole dimensioni concesse in affitto dai deputati della Fabbrica del Duomo.</w:t>
      </w:r>
      <w:r w:rsidRPr="00096909">
        <w:rPr>
          <w:rStyle w:val="Rimandonotaapidipagina"/>
          <w:rFonts w:ascii="Times New Roman" w:hAnsi="Times New Roman" w:cs="Times New Roman"/>
        </w:rPr>
        <w:footnoteReference w:id="523"/>
      </w:r>
      <w:r w:rsidRPr="00096909">
        <w:rPr>
          <w:rFonts w:ascii="Times New Roman" w:hAnsi="Times New Roman" w:cs="Times New Roman"/>
          <w:sz w:val="24"/>
          <w:szCs w:val="24"/>
        </w:rPr>
        <w:t xml:space="preserve"> Era mancata, infatti, l’attuazione di un progetto unitario per il riordino dell’area che, in </w:t>
      </w:r>
      <w:r w:rsidRPr="00096909">
        <w:rPr>
          <w:rFonts w:ascii="Times New Roman" w:hAnsi="Times New Roman" w:cs="Times New Roman"/>
          <w:sz w:val="24"/>
          <w:szCs w:val="24"/>
        </w:rPr>
        <w:lastRenderedPageBreak/>
        <w:t>verità, versava in uno stato alquanto disordinato. In vista delle sue nozze il principe appariva dunque come ordinatore della città e, sostenuto dal concorso dei sudditi, ridisegnava lo spazio cittadino garantendo ordine e sicurezza.</w:t>
      </w:r>
      <w:r w:rsidRPr="00096909">
        <w:rPr>
          <w:rStyle w:val="Rimandonotaapidipagina"/>
          <w:rFonts w:ascii="Times New Roman" w:hAnsi="Times New Roman" w:cs="Times New Roman"/>
        </w:rPr>
        <w:footnoteReference w:id="524"/>
      </w:r>
      <w:r w:rsidRPr="00096909">
        <w:rPr>
          <w:rFonts w:ascii="Times New Roman" w:hAnsi="Times New Roman" w:cs="Times New Roman"/>
          <w:sz w:val="24"/>
          <w:szCs w:val="24"/>
        </w:rPr>
        <w:t xml:space="preserve"> Nella cronaca del suo sposalizio </w:t>
      </w:r>
      <w:r>
        <w:rPr>
          <w:rFonts w:ascii="Times New Roman" w:hAnsi="Times New Roman" w:cs="Times New Roman"/>
          <w:sz w:val="24"/>
          <w:szCs w:val="24"/>
        </w:rPr>
        <w:t xml:space="preserve">la città di </w:t>
      </w:r>
      <w:r w:rsidRPr="00096909">
        <w:rPr>
          <w:rFonts w:ascii="Times New Roman" w:hAnsi="Times New Roman" w:cs="Times New Roman"/>
          <w:sz w:val="24"/>
          <w:szCs w:val="24"/>
        </w:rPr>
        <w:t xml:space="preserve">Milano, fiorente di cantieri, fronteggiava la Bologna dei Bentivoglio nella ricerca di un ideale di bellezza sotto l’egida del proprio Signore.     </w:t>
      </w:r>
    </w:p>
    <w:p w14:paraId="01B0BCD9"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Le </w:t>
      </w:r>
      <w:r w:rsidRPr="00096909">
        <w:rPr>
          <w:rFonts w:ascii="Times New Roman" w:hAnsi="Times New Roman" w:cs="Times New Roman"/>
          <w:i/>
          <w:sz w:val="24"/>
          <w:szCs w:val="24"/>
        </w:rPr>
        <w:t>Nuptiae ducis Mediolani</w:t>
      </w:r>
      <w:r w:rsidRPr="00096909">
        <w:rPr>
          <w:rFonts w:ascii="Times New Roman" w:hAnsi="Times New Roman" w:cs="Times New Roman"/>
          <w:sz w:val="24"/>
          <w:szCs w:val="24"/>
        </w:rPr>
        <w:t xml:space="preserve"> presentano poi una sezione dedicata agli apparati effimeri del castello di Porta Giovia, da cui si sarebbe mosso il maestoso corteo nuziale</w:t>
      </w:r>
      <w:r>
        <w:rPr>
          <w:rFonts w:ascii="Times New Roman" w:hAnsi="Times New Roman" w:cs="Times New Roman"/>
          <w:sz w:val="24"/>
          <w:szCs w:val="24"/>
        </w:rPr>
        <w:t>, nella quale</w:t>
      </w:r>
      <w:r w:rsidRPr="00096909">
        <w:rPr>
          <w:rFonts w:ascii="Times New Roman" w:hAnsi="Times New Roman" w:cs="Times New Roman"/>
          <w:sz w:val="24"/>
          <w:szCs w:val="24"/>
        </w:rPr>
        <w:t xml:space="preserve"> si afferma che le cure maggiori furono poste nell’allestimento della </w:t>
      </w:r>
      <w:r w:rsidRPr="00096909">
        <w:rPr>
          <w:rFonts w:ascii="Times New Roman" w:hAnsi="Times New Roman" w:cs="Times New Roman"/>
          <w:i/>
          <w:sz w:val="24"/>
          <w:szCs w:val="24"/>
        </w:rPr>
        <w:t>penitior aula Palatium</w:t>
      </w:r>
      <w:r>
        <w:rPr>
          <w:rFonts w:ascii="Times New Roman" w:hAnsi="Times New Roman" w:cs="Times New Roman"/>
          <w:i/>
          <w:sz w:val="24"/>
          <w:szCs w:val="24"/>
        </w:rPr>
        <w:t xml:space="preserve"> </w:t>
      </w:r>
      <w:r w:rsidRPr="00096909">
        <w:rPr>
          <w:rFonts w:ascii="Times New Roman" w:hAnsi="Times New Roman" w:cs="Times New Roman"/>
          <w:sz w:val="24"/>
          <w:szCs w:val="24"/>
        </w:rPr>
        <w:t xml:space="preserve">[VII]. Jessica Gritti osserva, giustamente, che il termine </w:t>
      </w:r>
      <w:r w:rsidRPr="00096909">
        <w:rPr>
          <w:rFonts w:ascii="Times New Roman" w:hAnsi="Times New Roman" w:cs="Times New Roman"/>
          <w:i/>
          <w:sz w:val="24"/>
          <w:szCs w:val="24"/>
        </w:rPr>
        <w:t>Palatium</w:t>
      </w:r>
      <w:r w:rsidRPr="00096909">
        <w:rPr>
          <w:rFonts w:ascii="Times New Roman" w:hAnsi="Times New Roman" w:cs="Times New Roman"/>
          <w:sz w:val="24"/>
          <w:szCs w:val="24"/>
        </w:rPr>
        <w:t xml:space="preserve"> non può che indicare la corte ducale, ovvero la parte residenziale del castello, composta da tre corpi di fabbrica affacciati su un cortile centrale di forma rettangolare.</w:t>
      </w:r>
      <w:r w:rsidRPr="00096909">
        <w:rPr>
          <w:rStyle w:val="Rimandonotaapidipagina"/>
          <w:rFonts w:ascii="Times New Roman" w:hAnsi="Times New Roman" w:cs="Times New Roman"/>
        </w:rPr>
        <w:footnoteReference w:id="525"/>
      </w:r>
      <w:r w:rsidRPr="00096909">
        <w:rPr>
          <w:rFonts w:ascii="Times New Roman" w:hAnsi="Times New Roman" w:cs="Times New Roman"/>
          <w:sz w:val="24"/>
          <w:szCs w:val="24"/>
        </w:rPr>
        <w:t xml:space="preserve"> A nord-est, il lato breve di questo rettangolo presentava un elegante portico retto da cinque colonne e due semicolonne in serizzo, detto Portico dell’Elefante. Quello prospiciente, a sud-est, aveva invece un affaccio verso la cosiddetta Rocchetta, vero corpo castellano della dimora con funzione difensiva.</w:t>
      </w:r>
      <w:r w:rsidRPr="00096909">
        <w:rPr>
          <w:rStyle w:val="Rimandonotaapidipagina"/>
          <w:rFonts w:ascii="Times New Roman" w:hAnsi="Times New Roman" w:cs="Times New Roman"/>
        </w:rPr>
        <w:footnoteReference w:id="526"/>
      </w:r>
      <w:r w:rsidRPr="00096909">
        <w:rPr>
          <w:rFonts w:ascii="Times New Roman" w:hAnsi="Times New Roman" w:cs="Times New Roman"/>
          <w:sz w:val="24"/>
          <w:szCs w:val="24"/>
        </w:rPr>
        <w:t xml:space="preserve"> Con Galeazzo Maria Sforza la corte ducale venne adibita a residenza</w:t>
      </w:r>
      <w:r>
        <w:rPr>
          <w:rFonts w:ascii="Times New Roman" w:hAnsi="Times New Roman" w:cs="Times New Roman"/>
          <w:sz w:val="24"/>
          <w:szCs w:val="24"/>
        </w:rPr>
        <w:t>, e</w:t>
      </w:r>
      <w:r w:rsidRPr="00096909">
        <w:rPr>
          <w:rFonts w:ascii="Times New Roman" w:hAnsi="Times New Roman" w:cs="Times New Roman"/>
          <w:sz w:val="24"/>
          <w:szCs w:val="24"/>
        </w:rPr>
        <w:t xml:space="preserve"> </w:t>
      </w:r>
      <w:r>
        <w:rPr>
          <w:rFonts w:ascii="Times New Roman" w:hAnsi="Times New Roman" w:cs="Times New Roman"/>
          <w:sz w:val="24"/>
          <w:szCs w:val="24"/>
        </w:rPr>
        <w:t>i</w:t>
      </w:r>
      <w:r w:rsidRPr="00096909">
        <w:rPr>
          <w:rFonts w:ascii="Times New Roman" w:hAnsi="Times New Roman" w:cs="Times New Roman"/>
          <w:sz w:val="24"/>
          <w:szCs w:val="24"/>
        </w:rPr>
        <w:t>l duca stesso vi pose i suoi appartamenti al piano terreno,</w:t>
      </w:r>
      <w:r>
        <w:rPr>
          <w:rFonts w:ascii="Times New Roman" w:hAnsi="Times New Roman" w:cs="Times New Roman"/>
          <w:sz w:val="24"/>
          <w:szCs w:val="24"/>
        </w:rPr>
        <w:t xml:space="preserve"> per i quali</w:t>
      </w:r>
      <w:r w:rsidRPr="00096909">
        <w:rPr>
          <w:rFonts w:ascii="Times New Roman" w:hAnsi="Times New Roman" w:cs="Times New Roman"/>
          <w:sz w:val="24"/>
          <w:szCs w:val="24"/>
        </w:rPr>
        <w:t xml:space="preserve"> richiese un impegnativo programma decorativo caratterizzato da stemmi e motivi araldici viscontei e sforzeschi.</w:t>
      </w:r>
      <w:r w:rsidRPr="00096909">
        <w:rPr>
          <w:rStyle w:val="Rimandonotaapidipagina"/>
          <w:rFonts w:ascii="Times New Roman" w:hAnsi="Times New Roman" w:cs="Times New Roman"/>
        </w:rPr>
        <w:footnoteReference w:id="527"/>
      </w:r>
      <w:r w:rsidRPr="00096909">
        <w:rPr>
          <w:rFonts w:ascii="Times New Roman" w:hAnsi="Times New Roman" w:cs="Times New Roman"/>
          <w:sz w:val="24"/>
          <w:szCs w:val="24"/>
        </w:rPr>
        <w:t xml:space="preserve"> </w:t>
      </w:r>
    </w:p>
    <w:p w14:paraId="74497266"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Per lo sposalizio ducale il lato aperto della corte venne chiuso da un portico provvisorio composto, specifica Calco, da sette arcate rett</w:t>
      </w:r>
      <w:r>
        <w:rPr>
          <w:rFonts w:ascii="Times New Roman" w:hAnsi="Times New Roman" w:cs="Times New Roman"/>
          <w:sz w:val="24"/>
          <w:szCs w:val="24"/>
        </w:rPr>
        <w:t>e</w:t>
      </w:r>
      <w:r w:rsidRPr="00096909">
        <w:rPr>
          <w:rFonts w:ascii="Times New Roman" w:hAnsi="Times New Roman" w:cs="Times New Roman"/>
          <w:sz w:val="24"/>
          <w:szCs w:val="24"/>
        </w:rPr>
        <w:t xml:space="preserve"> da colonne di ginepro. Al centro delle pareti del cortile, tra le due cornici di terracotta che ne attraversa</w:t>
      </w:r>
      <w:r>
        <w:rPr>
          <w:rFonts w:ascii="Times New Roman" w:hAnsi="Times New Roman" w:cs="Times New Roman"/>
          <w:sz w:val="24"/>
          <w:szCs w:val="24"/>
        </w:rPr>
        <w:t>va</w:t>
      </w:r>
      <w:r w:rsidRPr="00096909">
        <w:rPr>
          <w:rFonts w:ascii="Times New Roman" w:hAnsi="Times New Roman" w:cs="Times New Roman"/>
          <w:sz w:val="24"/>
          <w:szCs w:val="24"/>
        </w:rPr>
        <w:t xml:space="preserve">no il perimetro, era affissa una fascia di tessuto azzurra contornata da ghirlande di ginepro, corone di edera e festoni d’alloro con appesi </w:t>
      </w:r>
      <w:r w:rsidRPr="00096909">
        <w:rPr>
          <w:rFonts w:ascii="Times New Roman" w:hAnsi="Times New Roman" w:cs="Times New Roman"/>
          <w:sz w:val="24"/>
          <w:szCs w:val="24"/>
        </w:rPr>
        <w:lastRenderedPageBreak/>
        <w:t>gli stemmi del ducato e delle città assoggettate, sulla quale erano visibili i giochi di centauri e di divinità dei boschi.</w:t>
      </w:r>
    </w:p>
    <w:p w14:paraId="40B69B48"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L’occhio di Dolcino rima</w:t>
      </w:r>
      <w:r>
        <w:rPr>
          <w:rFonts w:ascii="Times New Roman" w:hAnsi="Times New Roman" w:cs="Times New Roman"/>
          <w:sz w:val="24"/>
          <w:szCs w:val="24"/>
        </w:rPr>
        <w:t>s</w:t>
      </w:r>
      <w:r w:rsidRPr="00096909">
        <w:rPr>
          <w:rFonts w:ascii="Times New Roman" w:hAnsi="Times New Roman" w:cs="Times New Roman"/>
          <w:sz w:val="24"/>
          <w:szCs w:val="24"/>
        </w:rPr>
        <w:t>e poi abbagliato dallo splendore della stanza nuziale, che il principe gli conce</w:t>
      </w:r>
      <w:r>
        <w:rPr>
          <w:rFonts w:ascii="Times New Roman" w:hAnsi="Times New Roman" w:cs="Times New Roman"/>
          <w:sz w:val="24"/>
          <w:szCs w:val="24"/>
        </w:rPr>
        <w:t>ss</w:t>
      </w:r>
      <w:r w:rsidRPr="00096909">
        <w:rPr>
          <w:rFonts w:ascii="Times New Roman" w:hAnsi="Times New Roman" w:cs="Times New Roman"/>
          <w:sz w:val="24"/>
          <w:szCs w:val="24"/>
        </w:rPr>
        <w:t xml:space="preserve">e generosamente di visitare [VIII]. Apprendiamo così che dal soffitto a lacunari della camera pendeva un ampio velo dorato facente ombra all’alcova. Sulla sua superfice, intessuto di perle, si ammirava un imponente leone accucciato, con il ventre avvolto da fiamme e il capo protetto da un elmo recante un cartiglio. Tra le zampe anteriori la belva reggeva un ramo infuocato con appese anfore colme d’acqua, mentre dagli angoli del velo si levavano contro lui dei raggi, ancora in perle, disposti come fruste pronte a colpirlo. </w:t>
      </w:r>
    </w:p>
    <w:p w14:paraId="386FFD09"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trapunta del talamo mostrava anch’essa, al centro, un leone come il precedente, ma questa volta accompagnato agli angoli da altri quattro leoni più piccoli. Nel cartiglio del suo elmo era ben leggibile il motto «</w:t>
      </w:r>
      <w:r w:rsidRPr="00096909">
        <w:rPr>
          <w:rFonts w:ascii="Times New Roman" w:hAnsi="Times New Roman" w:cs="Times New Roman"/>
          <w:i/>
          <w:sz w:val="24"/>
          <w:szCs w:val="24"/>
        </w:rPr>
        <w:t>Ich hof</w:t>
      </w:r>
      <w:r w:rsidRPr="00096909">
        <w:rPr>
          <w:rFonts w:ascii="Times New Roman" w:hAnsi="Times New Roman" w:cs="Times New Roman"/>
          <w:sz w:val="24"/>
          <w:szCs w:val="24"/>
        </w:rPr>
        <w:t>»: «Io spero».</w:t>
      </w:r>
    </w:p>
    <w:p w14:paraId="3B4B20FB"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spesa per un letto tanto ricco sarà stata certamente ingente ma probabilmente funzionale a sorprendere la sposa e a gareggiare con il gusto per i gioielli diffuso presso la corte di suo padre Alfonso d’Aragona, che, come ricorda il Pontano nel </w:t>
      </w:r>
      <w:r w:rsidRPr="00096909">
        <w:rPr>
          <w:rFonts w:ascii="Times New Roman" w:hAnsi="Times New Roman" w:cs="Times New Roman"/>
          <w:i/>
          <w:sz w:val="24"/>
          <w:szCs w:val="24"/>
        </w:rPr>
        <w:t>De splendore,</w:t>
      </w:r>
      <w:r w:rsidRPr="00096909">
        <w:rPr>
          <w:rFonts w:ascii="Times New Roman" w:hAnsi="Times New Roman" w:cs="Times New Roman"/>
          <w:sz w:val="24"/>
          <w:szCs w:val="24"/>
        </w:rPr>
        <w:t xml:space="preserve"> si era conquistato la fama di collezionista esigente di gemme di grande valore.</w:t>
      </w:r>
      <w:r w:rsidRPr="00096909">
        <w:rPr>
          <w:rStyle w:val="Rimandonotaapidipagina"/>
          <w:rFonts w:ascii="Times New Roman" w:hAnsi="Times New Roman" w:cs="Times New Roman"/>
        </w:rPr>
        <w:footnoteReference w:id="528"/>
      </w:r>
      <w:r w:rsidRPr="00096909">
        <w:rPr>
          <w:rFonts w:ascii="Times New Roman" w:hAnsi="Times New Roman" w:cs="Times New Roman"/>
          <w:sz w:val="24"/>
          <w:szCs w:val="24"/>
        </w:rPr>
        <w:t xml:space="preserve"> All’opposto, sul genitore dello sposo circolava la voce che avesse ostentato monili con pietre preziose false, venendo meno al canone delle virtù elaborato alla corte napoletana</w:t>
      </w:r>
      <w:r>
        <w:rPr>
          <w:rFonts w:ascii="Times New Roman" w:hAnsi="Times New Roman" w:cs="Times New Roman"/>
          <w:sz w:val="24"/>
          <w:szCs w:val="24"/>
        </w:rPr>
        <w:t>:</w:t>
      </w:r>
      <w:r w:rsidRPr="00096909">
        <w:rPr>
          <w:rStyle w:val="Rimandonotaapidipagina"/>
          <w:rFonts w:ascii="Times New Roman" w:hAnsi="Times New Roman" w:cs="Times New Roman"/>
        </w:rPr>
        <w:footnoteReference w:id="529"/>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una </w:t>
      </w:r>
      <w:r w:rsidRPr="00096909">
        <w:rPr>
          <w:rFonts w:ascii="Times New Roman" w:hAnsi="Times New Roman" w:cs="Times New Roman"/>
          <w:sz w:val="24"/>
          <w:szCs w:val="24"/>
        </w:rPr>
        <w:t>diceria che le feste per il matrimonio con la casa d’Aragona offrivano la possibilità di fugare. Si spiega forse così la scelta del soggetto del leone galeato, facile allusione al nome del principe (</w:t>
      </w:r>
      <w:r w:rsidRPr="007F4642">
        <w:rPr>
          <w:rFonts w:ascii="Times New Roman" w:hAnsi="Times New Roman" w:cs="Times New Roman"/>
          <w:i/>
          <w:sz w:val="24"/>
          <w:szCs w:val="24"/>
        </w:rPr>
        <w:t>galeatus</w:t>
      </w:r>
      <w:r w:rsidRPr="00096909">
        <w:rPr>
          <w:rFonts w:ascii="Times New Roman" w:hAnsi="Times New Roman" w:cs="Times New Roman"/>
          <w:sz w:val="24"/>
          <w:szCs w:val="24"/>
        </w:rPr>
        <w:t xml:space="preserve">-Galeazzo), recante il ramo con le secchie, impresa spesso adottata da Galeazzo Maria Sforza e che, a sua volta, fondeva </w:t>
      </w:r>
      <w:r>
        <w:rPr>
          <w:rFonts w:ascii="Times New Roman" w:hAnsi="Times New Roman" w:cs="Times New Roman"/>
          <w:sz w:val="24"/>
          <w:szCs w:val="24"/>
        </w:rPr>
        <w:t xml:space="preserve">diversi </w:t>
      </w:r>
      <w:r w:rsidRPr="00096909">
        <w:rPr>
          <w:rFonts w:ascii="Times New Roman" w:hAnsi="Times New Roman" w:cs="Times New Roman"/>
          <w:sz w:val="24"/>
          <w:szCs w:val="24"/>
        </w:rPr>
        <w:t>elementi dell’araldica scelta da Galeazzo II Visconti (fig. 4</w:t>
      </w:r>
      <w:r>
        <w:rPr>
          <w:rFonts w:ascii="Times New Roman" w:hAnsi="Times New Roman" w:cs="Times New Roman"/>
          <w:sz w:val="24"/>
          <w:szCs w:val="24"/>
        </w:rPr>
        <w:t>8</w:t>
      </w:r>
      <w:r w:rsidRPr="00096909">
        <w:rPr>
          <w:rFonts w:ascii="Times New Roman" w:hAnsi="Times New Roman" w:cs="Times New Roman"/>
          <w:sz w:val="24"/>
          <w:szCs w:val="24"/>
        </w:rPr>
        <w:t>).</w:t>
      </w:r>
      <w:r w:rsidRPr="00096909">
        <w:rPr>
          <w:rStyle w:val="Rimandonotaapidipagina"/>
          <w:rFonts w:ascii="Times New Roman" w:hAnsi="Times New Roman" w:cs="Times New Roman"/>
        </w:rPr>
        <w:footnoteReference w:id="530"/>
      </w:r>
      <w:r w:rsidRPr="00096909">
        <w:rPr>
          <w:rFonts w:ascii="Times New Roman" w:hAnsi="Times New Roman" w:cs="Times New Roman"/>
          <w:sz w:val="24"/>
          <w:szCs w:val="24"/>
        </w:rPr>
        <w:t xml:space="preserve"> Il prezioso corredo nuziale, ribadita la ricchezza dei tesori </w:t>
      </w:r>
      <w:r w:rsidRPr="00096909">
        <w:rPr>
          <w:rFonts w:ascii="Times New Roman" w:hAnsi="Times New Roman" w:cs="Times New Roman"/>
          <w:sz w:val="24"/>
          <w:szCs w:val="24"/>
        </w:rPr>
        <w:lastRenderedPageBreak/>
        <w:t>della famiglia Sforza, risultava inoltre in perfetta sintonia con la decorazione degli appartamenti intrapresa negli anni Settanta del Quattrocento, ispirata alla ricercatezza gotica delle corti di Francia e di Borgogna e al loro immaginario regale, con cui Galeazzo Maria ambiva a rivaleggiare.</w:t>
      </w:r>
      <w:r w:rsidRPr="00096909">
        <w:rPr>
          <w:rStyle w:val="Rimandonotaapidipagina"/>
          <w:rFonts w:ascii="Times New Roman" w:hAnsi="Times New Roman" w:cs="Times New Roman"/>
        </w:rPr>
        <w:footnoteReference w:id="531"/>
      </w:r>
      <w:r w:rsidRPr="00096909">
        <w:rPr>
          <w:rFonts w:ascii="Times New Roman" w:hAnsi="Times New Roman" w:cs="Times New Roman"/>
          <w:sz w:val="24"/>
          <w:szCs w:val="24"/>
        </w:rPr>
        <w:t xml:space="preserve">  </w:t>
      </w:r>
    </w:p>
    <w:p w14:paraId="4C3D0770"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Procedendo nella lettura della cronaca il lettore visita con Dolcino le vie che fremono nei preparativi per il passaggio del corteo [IX]. Qui domina la bellezza delle stoffe e dei tessuti: dal castello fino al Duomo il percorso viario è sormontato da un lungo velo di lana «alla divisa sforzesca»;</w:t>
      </w:r>
      <w:r w:rsidRPr="00096909">
        <w:rPr>
          <w:rStyle w:val="Rimandonotaapidipagina"/>
          <w:rFonts w:ascii="Times New Roman" w:hAnsi="Times New Roman" w:cs="Times New Roman"/>
          <w:sz w:val="24"/>
          <w:szCs w:val="24"/>
        </w:rPr>
        <w:footnoteReference w:id="532"/>
      </w:r>
      <w:r w:rsidRPr="00096909">
        <w:rPr>
          <w:rFonts w:ascii="Times New Roman" w:hAnsi="Times New Roman" w:cs="Times New Roman"/>
          <w:sz w:val="24"/>
          <w:szCs w:val="24"/>
        </w:rPr>
        <w:t xml:space="preserve"> mentre le facciate delle case sono state ricoperte dai residenti con tendaggi e ornamenti floreali in bosso, edera, mirto, olivo. </w:t>
      </w:r>
    </w:p>
    <w:p w14:paraId="5C532DC0"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consuetudine di distinguere con panni sospesi dall’alto le strade interessate dal passaggio delle spose è piuttosto comune nelle cerimonie matrimoniali dell’Italia del Quattrocento. Se di velami di lana riferiscono le cronache bolognesi per le nozze dei Bentivoglio, di una simile pratica non mancano anche testimonianze iconografiche, come si può ammirare nella veduta fiorentina idealizzata che fa da sfondo alla bassadanza del fronte di cassone attribuito a Giovanni di Ser Giovanni, noto come Cassone Adimari e conservato presso la Galleria dell’Accademia di Firenze (fig. </w:t>
      </w:r>
      <w:r>
        <w:rPr>
          <w:rFonts w:ascii="Times New Roman" w:hAnsi="Times New Roman" w:cs="Times New Roman"/>
          <w:sz w:val="24"/>
          <w:szCs w:val="24"/>
        </w:rPr>
        <w:t>49</w:t>
      </w:r>
      <w:r w:rsidRPr="00096909">
        <w:rPr>
          <w:rFonts w:ascii="Times New Roman" w:hAnsi="Times New Roman" w:cs="Times New Roman"/>
          <w:sz w:val="24"/>
          <w:szCs w:val="24"/>
        </w:rPr>
        <w:t>).</w:t>
      </w:r>
      <w:r w:rsidRPr="00096909">
        <w:rPr>
          <w:rStyle w:val="Rimandonotaapidipagina"/>
          <w:rFonts w:ascii="Times New Roman" w:hAnsi="Times New Roman" w:cs="Times New Roman"/>
        </w:rPr>
        <w:footnoteReference w:id="533"/>
      </w:r>
      <w:r w:rsidRPr="00096909">
        <w:rPr>
          <w:rFonts w:ascii="Times New Roman" w:hAnsi="Times New Roman" w:cs="Times New Roman"/>
          <w:sz w:val="24"/>
          <w:szCs w:val="24"/>
        </w:rPr>
        <w:t xml:space="preserve"> </w:t>
      </w:r>
    </w:p>
    <w:p w14:paraId="7E0F0553"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Probabilmente però le stoffe d’apparato esposte per il matrimonio di Isabella d’Aragona furono di una ricercatezza superiore all’ordinario. Si registra infatti, a partire dalle nozze di Gian Galeazzo, e successivamente con lo sposalizio del Moro, una ripresa della committenza milanese di stoffe, arazzi e abiti pregiati, manufatti di cui il mercato locale aveva subito una brusca riduzione dopo l’assassinio di Galeazzo Maria Sforza e dopo lo scoppio dell’epidemia di peste che dal 1485 aveva allontanato dalla città molti commercianti di tessuti.</w:t>
      </w:r>
      <w:r w:rsidRPr="00096909">
        <w:rPr>
          <w:rStyle w:val="Rimandonotaapidipagina"/>
          <w:rFonts w:ascii="Times New Roman" w:hAnsi="Times New Roman" w:cs="Times New Roman"/>
        </w:rPr>
        <w:footnoteReference w:id="534"/>
      </w:r>
      <w:r w:rsidRPr="00096909">
        <w:rPr>
          <w:rFonts w:ascii="Times New Roman" w:hAnsi="Times New Roman" w:cs="Times New Roman"/>
          <w:sz w:val="24"/>
          <w:szCs w:val="24"/>
        </w:rPr>
        <w:t xml:space="preserve"> </w:t>
      </w:r>
    </w:p>
    <w:p w14:paraId="214C348B"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Oltre a questi ricchi velami quattro meraviglie attendevano la sposa nel suo percorso trionfale [IX, 2]: </w:t>
      </w:r>
      <w:r w:rsidRPr="00096909">
        <w:rPr>
          <w:rFonts w:ascii="Times New Roman" w:hAnsi="Times New Roman" w:cs="Times New Roman"/>
          <w:i/>
          <w:sz w:val="24"/>
          <w:szCs w:val="24"/>
        </w:rPr>
        <w:t>Scansoriae machinae, et formae Lychnorum Polymixorum pensiles, Paegamata cantantibus pueris, et varia animalium specie</w:t>
      </w:r>
      <w:r w:rsidRPr="00096909">
        <w:rPr>
          <w:rFonts w:ascii="Times New Roman" w:hAnsi="Times New Roman" w:cs="Times New Roman"/>
          <w:sz w:val="24"/>
          <w:szCs w:val="24"/>
        </w:rPr>
        <w:t xml:space="preserve">. Delle </w:t>
      </w:r>
      <w:r w:rsidRPr="00096909">
        <w:rPr>
          <w:rFonts w:ascii="Times New Roman" w:hAnsi="Times New Roman" w:cs="Times New Roman"/>
          <w:i/>
          <w:sz w:val="24"/>
          <w:szCs w:val="24"/>
        </w:rPr>
        <w:t xml:space="preserve">formae Lychnorum Polymixorum pensiles </w:t>
      </w:r>
      <w:r w:rsidRPr="00096909">
        <w:rPr>
          <w:rFonts w:ascii="Times New Roman" w:hAnsi="Times New Roman" w:cs="Times New Roman"/>
          <w:sz w:val="24"/>
          <w:szCs w:val="24"/>
        </w:rPr>
        <w:t xml:space="preserve">è possibile farsi un’idea grazie alla lettura dei passi di Marziale e Plinio da me </w:t>
      </w:r>
      <w:r>
        <w:rPr>
          <w:rFonts w:ascii="Times New Roman" w:hAnsi="Times New Roman" w:cs="Times New Roman"/>
          <w:sz w:val="24"/>
          <w:szCs w:val="24"/>
        </w:rPr>
        <w:t>cita</w:t>
      </w:r>
      <w:r w:rsidRPr="00096909">
        <w:rPr>
          <w:rFonts w:ascii="Times New Roman" w:hAnsi="Times New Roman" w:cs="Times New Roman"/>
          <w:sz w:val="24"/>
          <w:szCs w:val="24"/>
        </w:rPr>
        <w:t xml:space="preserve">ti nelle note all’edizione del testo. Credo che l’umanista volesse indicare, con tali termini, delle lampade, genericamente di foggia antica, sospese lungo la via e caratterizzate dalla presenza di più braccia, ma anche che egli volesse servirsi in questa sede dello stesso sostantivo ricercato </w:t>
      </w:r>
      <w:r>
        <w:rPr>
          <w:rFonts w:ascii="Times New Roman" w:hAnsi="Times New Roman" w:cs="Times New Roman"/>
          <w:sz w:val="24"/>
          <w:szCs w:val="24"/>
        </w:rPr>
        <w:t>(</w:t>
      </w:r>
      <w:r w:rsidRPr="00096909">
        <w:rPr>
          <w:rFonts w:ascii="Times New Roman" w:hAnsi="Times New Roman" w:cs="Times New Roman"/>
          <w:i/>
          <w:sz w:val="24"/>
          <w:szCs w:val="24"/>
        </w:rPr>
        <w:t>polymyxos</w:t>
      </w:r>
      <w:r>
        <w:rPr>
          <w:rFonts w:ascii="Times New Roman" w:hAnsi="Times New Roman" w:cs="Times New Roman"/>
          <w:sz w:val="24"/>
          <w:szCs w:val="24"/>
        </w:rPr>
        <w:t>)</w:t>
      </w:r>
      <w:r w:rsidRPr="00096909">
        <w:rPr>
          <w:rFonts w:ascii="Times New Roman" w:hAnsi="Times New Roman" w:cs="Times New Roman"/>
          <w:sz w:val="24"/>
          <w:szCs w:val="24"/>
        </w:rPr>
        <w:t xml:space="preserve"> con il quale Beroaldo aveva indicato la luminaria del Cecca abbellita dagli argenti del Francia, dimostrando la medesima bravura descrittiva e una pari erudizione.</w:t>
      </w:r>
      <w:r w:rsidRPr="00096909">
        <w:rPr>
          <w:rStyle w:val="Rimandonotaapidipagina"/>
          <w:rFonts w:ascii="Times New Roman" w:hAnsi="Times New Roman" w:cs="Times New Roman"/>
          <w:sz w:val="24"/>
          <w:szCs w:val="24"/>
        </w:rPr>
        <w:footnoteReference w:id="535"/>
      </w:r>
      <w:r w:rsidRPr="00096909">
        <w:rPr>
          <w:rFonts w:ascii="Times New Roman" w:hAnsi="Times New Roman" w:cs="Times New Roman"/>
          <w:sz w:val="24"/>
          <w:szCs w:val="24"/>
        </w:rPr>
        <w:t xml:space="preserve"> </w:t>
      </w:r>
    </w:p>
    <w:p w14:paraId="038887D9"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Per quanto riguarda le </w:t>
      </w:r>
      <w:r w:rsidRPr="00096909">
        <w:rPr>
          <w:rFonts w:ascii="Times New Roman" w:hAnsi="Times New Roman" w:cs="Times New Roman"/>
          <w:i/>
          <w:sz w:val="24"/>
          <w:szCs w:val="24"/>
        </w:rPr>
        <w:t>scansoriae machinae</w:t>
      </w:r>
      <w:r w:rsidRPr="00096909">
        <w:rPr>
          <w:rFonts w:ascii="Times New Roman" w:hAnsi="Times New Roman" w:cs="Times New Roman"/>
          <w:sz w:val="24"/>
          <w:szCs w:val="24"/>
        </w:rPr>
        <w:t xml:space="preserve"> e i </w:t>
      </w:r>
      <w:r w:rsidRPr="00096909">
        <w:rPr>
          <w:rFonts w:ascii="Times New Roman" w:hAnsi="Times New Roman" w:cs="Times New Roman"/>
          <w:i/>
          <w:sz w:val="24"/>
          <w:szCs w:val="24"/>
        </w:rPr>
        <w:t>pegmata cantantibus pueris</w:t>
      </w:r>
      <w:r w:rsidRPr="00096909">
        <w:rPr>
          <w:rFonts w:ascii="Times New Roman" w:hAnsi="Times New Roman" w:cs="Times New Roman"/>
          <w:sz w:val="24"/>
          <w:szCs w:val="24"/>
        </w:rPr>
        <w:t xml:space="preserve"> sono invece la relazione di Tristano Calco e la </w:t>
      </w:r>
      <w:r w:rsidRPr="00096909">
        <w:rPr>
          <w:rFonts w:ascii="Times New Roman" w:hAnsi="Times New Roman" w:cs="Times New Roman"/>
          <w:i/>
          <w:sz w:val="24"/>
          <w:szCs w:val="24"/>
        </w:rPr>
        <w:t>Descriptione</w:t>
      </w:r>
      <w:r w:rsidRPr="00096909">
        <w:rPr>
          <w:rFonts w:ascii="Times New Roman" w:hAnsi="Times New Roman" w:cs="Times New Roman"/>
          <w:sz w:val="24"/>
          <w:szCs w:val="24"/>
        </w:rPr>
        <w:t xml:space="preserve"> parigina a chiarire meglio forme e funzioni degli apparati: </w:t>
      </w:r>
    </w:p>
    <w:p w14:paraId="27D05105" w14:textId="77777777" w:rsidR="000A28D9" w:rsidRPr="00096909" w:rsidRDefault="000A28D9" w:rsidP="000A28D9">
      <w:pPr>
        <w:spacing w:after="0" w:line="360" w:lineRule="auto"/>
        <w:jc w:val="both"/>
        <w:rPr>
          <w:rFonts w:ascii="Times New Roman" w:hAnsi="Times New Roman" w:cs="Times New Roman"/>
          <w:sz w:val="24"/>
          <w:szCs w:val="24"/>
        </w:rPr>
      </w:pPr>
    </w:p>
    <w:p w14:paraId="7DC107B3" w14:textId="77777777" w:rsidR="000A28D9" w:rsidRPr="00096909" w:rsidRDefault="000A28D9" w:rsidP="000A28D9">
      <w:pPr>
        <w:spacing w:after="0" w:line="360" w:lineRule="auto"/>
        <w:ind w:left="567" w:right="567" w:firstLine="397"/>
        <w:jc w:val="both"/>
        <w:rPr>
          <w:rFonts w:ascii="Times New Roman" w:hAnsi="Times New Roman" w:cs="Times New Roman"/>
          <w:i/>
          <w:sz w:val="20"/>
          <w:szCs w:val="20"/>
        </w:rPr>
      </w:pPr>
      <w:r w:rsidRPr="00096909">
        <w:rPr>
          <w:rFonts w:ascii="Times New Roman" w:hAnsi="Times New Roman" w:cs="Times New Roman"/>
          <w:i/>
          <w:sz w:val="20"/>
          <w:szCs w:val="20"/>
        </w:rPr>
        <w:t xml:space="preserve">Iam ventuum erat ad medium Auratiorum Argentariorumque vicum, cum repente apparuit in aere Cupidinis forma puer, egregio libramento suspensus. Pila erat grandis inaurata. Circum eam quadrifariam locatum copiae cornu, et inaurati griphes. </w:t>
      </w:r>
      <w:r w:rsidRPr="00096909">
        <w:rPr>
          <w:rFonts w:ascii="Times New Roman" w:hAnsi="Times New Roman" w:cs="Times New Roman"/>
          <w:i/>
          <w:sz w:val="20"/>
          <w:szCs w:val="20"/>
          <w:lang w:val="en-US"/>
        </w:rPr>
        <w:t xml:space="preserve">Hinc teres columna surgit, cui puer alatus furtim alligatus superstare pedibus pilae videbatur. Supra eius caput Leo auro fulvus, galea, igne, et aquiminariis vasis ornatus eminebat. </w:t>
      </w:r>
      <w:r w:rsidRPr="00096909">
        <w:rPr>
          <w:rFonts w:ascii="Times New Roman" w:hAnsi="Times New Roman" w:cs="Times New Roman"/>
          <w:i/>
          <w:sz w:val="20"/>
          <w:szCs w:val="20"/>
        </w:rPr>
        <w:t>Hic, dicente carmina puero, paulum firmati sunt incedentium ordines.</w:t>
      </w:r>
      <w:r w:rsidRPr="00096909">
        <w:rPr>
          <w:rStyle w:val="Rimandonotaapidipagina"/>
          <w:rFonts w:ascii="Times New Roman" w:hAnsi="Times New Roman" w:cs="Times New Roman"/>
        </w:rPr>
        <w:footnoteReference w:id="536"/>
      </w:r>
    </w:p>
    <w:p w14:paraId="71516AE4" w14:textId="77777777" w:rsidR="000A28D9" w:rsidRPr="00096909" w:rsidRDefault="000A28D9" w:rsidP="000A28D9">
      <w:pPr>
        <w:spacing w:after="0" w:line="360" w:lineRule="auto"/>
        <w:ind w:left="567" w:right="567" w:firstLine="397"/>
        <w:jc w:val="both"/>
        <w:rPr>
          <w:rFonts w:ascii="Times New Roman" w:hAnsi="Times New Roman" w:cs="Times New Roman"/>
          <w:i/>
          <w:sz w:val="20"/>
          <w:szCs w:val="20"/>
        </w:rPr>
      </w:pPr>
    </w:p>
    <w:p w14:paraId="5B7E993F" w14:textId="77777777" w:rsidR="000A28D9" w:rsidRPr="00096909" w:rsidRDefault="000A28D9" w:rsidP="000A28D9">
      <w:pPr>
        <w:spacing w:after="0" w:line="360" w:lineRule="auto"/>
        <w:ind w:left="567" w:right="567" w:firstLine="397"/>
        <w:jc w:val="both"/>
        <w:rPr>
          <w:rFonts w:ascii="Times New Roman" w:hAnsi="Times New Roman" w:cs="Times New Roman"/>
          <w:sz w:val="24"/>
          <w:szCs w:val="24"/>
        </w:rPr>
      </w:pPr>
      <w:r w:rsidRPr="00096909">
        <w:rPr>
          <w:rFonts w:ascii="Times New Roman" w:hAnsi="Times New Roman" w:cs="Times New Roman"/>
          <w:sz w:val="20"/>
          <w:szCs w:val="20"/>
        </w:rPr>
        <w:t>Ma tra le altre feste in mezo de la contrata di orefici fu fabricato uno balono indorato che pendeva in mezo de la via con 4 corni da copia de sotto inargentati et da sopra 4 griffoni d’oro e in mezo una colona inargentata in cima da la quale era uno liono indorato con le segia pendente. Ad essa colonna fu poi alligato uno puto in forma del deo de amore, quale in trantu sponte cantoe tri versi molto ad proposito.</w:t>
      </w:r>
      <w:r w:rsidRPr="00096909">
        <w:rPr>
          <w:rStyle w:val="Rimandonotaapidipagina"/>
          <w:rFonts w:ascii="Times New Roman" w:hAnsi="Times New Roman" w:cs="Times New Roman"/>
        </w:rPr>
        <w:footnoteReference w:id="537"/>
      </w:r>
    </w:p>
    <w:p w14:paraId="22C9FFCC" w14:textId="77777777" w:rsidR="000A28D9" w:rsidRPr="00096909" w:rsidRDefault="000A28D9" w:rsidP="000A28D9">
      <w:pPr>
        <w:spacing w:after="0" w:line="360" w:lineRule="auto"/>
        <w:ind w:left="567" w:right="566"/>
        <w:jc w:val="both"/>
        <w:rPr>
          <w:rFonts w:ascii="Times New Roman" w:hAnsi="Times New Roman" w:cs="Times New Roman"/>
          <w:i/>
          <w:sz w:val="24"/>
          <w:szCs w:val="24"/>
        </w:rPr>
      </w:pPr>
      <w:r w:rsidRPr="00096909">
        <w:rPr>
          <w:rFonts w:ascii="Times New Roman" w:hAnsi="Times New Roman" w:cs="Times New Roman"/>
          <w:i/>
          <w:sz w:val="24"/>
          <w:szCs w:val="24"/>
        </w:rPr>
        <w:t xml:space="preserve">   </w:t>
      </w:r>
    </w:p>
    <w:p w14:paraId="3A66FCE4"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All’altezza della contrada degli orefici e degli argentieri (attuale Via degli Orefici)</w:t>
      </w:r>
      <w:r w:rsidRPr="00096909">
        <w:rPr>
          <w:rFonts w:ascii="Times New Roman" w:hAnsi="Times New Roman" w:cs="Times New Roman"/>
          <w:i/>
          <w:sz w:val="24"/>
          <w:szCs w:val="24"/>
        </w:rPr>
        <w:t xml:space="preserve"> </w:t>
      </w:r>
      <w:r w:rsidRPr="00096909">
        <w:rPr>
          <w:rFonts w:ascii="Times New Roman" w:hAnsi="Times New Roman" w:cs="Times New Roman"/>
          <w:sz w:val="24"/>
          <w:szCs w:val="24"/>
        </w:rPr>
        <w:t xml:space="preserve">era quindi presente una macchina attivata da un marchingegno di risalita: una grande sfera dorata poggiante su un basamento con grifoni e cornucopie. Da questo si levava un’alta colonna sormontata dal leone galeato con il ramo e le anfore d’acqua, che ormai sappiamo essere l’emblema caro a Galeazzo Maria Sforza. Al passaggio della sposa, un congegno permetteva di calare dal vertice della colonna un fanciullo in veste di cupido che, posandosi sulla sommità della sfera, recitava </w:t>
      </w:r>
      <w:r w:rsidRPr="00096909">
        <w:rPr>
          <w:rFonts w:ascii="Times New Roman" w:hAnsi="Times New Roman" w:cs="Times New Roman"/>
          <w:sz w:val="24"/>
          <w:szCs w:val="24"/>
        </w:rPr>
        <w:lastRenderedPageBreak/>
        <w:t xml:space="preserve">alcuni versi beneaugurali, mentre altri figuranti, nei panni di Acheloo e delle ninfe, lanciavano dalle cornocupie lamine d’oro e d’argento. </w:t>
      </w:r>
    </w:p>
    <w:p w14:paraId="1C00911F"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Questo apparato, quanto alla struttura, richiamava alcuni dei </w:t>
      </w:r>
      <w:r w:rsidRPr="00096909">
        <w:rPr>
          <w:rFonts w:ascii="Times New Roman" w:hAnsi="Times New Roman" w:cs="Times New Roman"/>
          <w:i/>
          <w:sz w:val="24"/>
          <w:szCs w:val="24"/>
        </w:rPr>
        <w:t>Triumphi</w:t>
      </w:r>
      <w:r w:rsidRPr="00096909">
        <w:rPr>
          <w:rFonts w:ascii="Times New Roman" w:hAnsi="Times New Roman" w:cs="Times New Roman"/>
          <w:sz w:val="24"/>
          <w:szCs w:val="24"/>
        </w:rPr>
        <w:t xml:space="preserve"> offerti dalla nazione fiorentina nel corso delle più importanti celebrazioni dinastiche aragonesi. Il globo su cui si posa</w:t>
      </w:r>
      <w:r>
        <w:rPr>
          <w:rFonts w:ascii="Times New Roman" w:hAnsi="Times New Roman" w:cs="Times New Roman"/>
          <w:sz w:val="24"/>
          <w:szCs w:val="24"/>
        </w:rPr>
        <w:t>va</w:t>
      </w:r>
      <w:r w:rsidRPr="00096909">
        <w:rPr>
          <w:rFonts w:ascii="Times New Roman" w:hAnsi="Times New Roman" w:cs="Times New Roman"/>
          <w:sz w:val="24"/>
          <w:szCs w:val="24"/>
        </w:rPr>
        <w:t xml:space="preserve"> Cupido, in particolare, ricorda</w:t>
      </w:r>
      <w:r>
        <w:rPr>
          <w:rFonts w:ascii="Times New Roman" w:hAnsi="Times New Roman" w:cs="Times New Roman"/>
          <w:sz w:val="24"/>
          <w:szCs w:val="24"/>
        </w:rPr>
        <w:t>va</w:t>
      </w:r>
      <w:r w:rsidRPr="00096909">
        <w:rPr>
          <w:rFonts w:ascii="Times New Roman" w:hAnsi="Times New Roman" w:cs="Times New Roman"/>
          <w:sz w:val="24"/>
          <w:szCs w:val="24"/>
        </w:rPr>
        <w:t xml:space="preserve"> il carro con sfera dorata su cui, durante il Trionfo di Alfonso il Magnanimo del 26 febbraio 1443, stava in equilibrio la Fortuna recante una corona d’oro, rimanendo apparentemente sospesa a mezz’aria. Nel corso del medesimo ingresso, su un altro carro era posto un globo in continuo moto sul quale Giulio Cesare recitava un sonetto al sovrano per invitarlo a seguire la via delle Virtù.</w:t>
      </w:r>
      <w:r w:rsidRPr="00096909">
        <w:rPr>
          <w:rStyle w:val="Rimandonotaapidipagina"/>
          <w:rFonts w:ascii="Times New Roman" w:hAnsi="Times New Roman" w:cs="Times New Roman"/>
        </w:rPr>
        <w:footnoteReference w:id="538"/>
      </w:r>
      <w:r w:rsidRPr="00096909">
        <w:rPr>
          <w:rFonts w:ascii="Times New Roman" w:hAnsi="Times New Roman" w:cs="Times New Roman"/>
          <w:sz w:val="24"/>
          <w:szCs w:val="24"/>
        </w:rPr>
        <w:t xml:space="preserve"> </w:t>
      </w:r>
    </w:p>
    <w:p w14:paraId="5CCC0104"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fatto, dunque, che le maestranze fiorentine si fossero fatte onore presso la corte di Napoli, dalla quale proveniva la sposa Isabella, e che, come noto, le loro abilità scenotecniche fossero richieste nelle maggiori feste cortigiane italiane potrebbe suggerire di attribuire loro l’ingegno collocato nella contrada degli orefici, che penso possa considerarsi come una versione aggiornata dei carri con piedistalli sferici visti per l’ingresso alfonsino. Quanto al significato dell’apparato, esso ci sarebbe più chiaro se conoscessimo, come per il carro di Cesare offerto al Magnanimo, i versi recitati da Cupido durante il suo volo. La presenza delle ninfe e di Archeloo lascia però suppore che l’intera struttura alludesse al rifiorire dell’età dell’oro grazie alla discesa di Amore, scortato dal noto leone galeato di guardia al sommo della colonna. Era il buon governo degli Sforza, con le sapienti unioni coniugali, a garantire il benessere elargito al popolo.  </w:t>
      </w:r>
    </w:p>
    <w:p w14:paraId="194FDD7B"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 completamento della decorazione viaria</w:t>
      </w:r>
      <w:r>
        <w:rPr>
          <w:rFonts w:ascii="Times New Roman" w:hAnsi="Times New Roman" w:cs="Times New Roman"/>
          <w:sz w:val="24"/>
          <w:szCs w:val="24"/>
        </w:rPr>
        <w:t>,</w:t>
      </w:r>
      <w:r w:rsidRPr="00096909">
        <w:rPr>
          <w:rFonts w:ascii="Times New Roman" w:hAnsi="Times New Roman" w:cs="Times New Roman"/>
          <w:sz w:val="24"/>
          <w:szCs w:val="24"/>
        </w:rPr>
        <w:t xml:space="preserve"> il canonico di Santa Maria della Scala segnal</w:t>
      </w:r>
      <w:r>
        <w:rPr>
          <w:rFonts w:ascii="Times New Roman" w:hAnsi="Times New Roman" w:cs="Times New Roman"/>
          <w:sz w:val="24"/>
          <w:szCs w:val="24"/>
        </w:rPr>
        <w:t>ò</w:t>
      </w:r>
      <w:r w:rsidRPr="00096909">
        <w:rPr>
          <w:rFonts w:ascii="Times New Roman" w:hAnsi="Times New Roman" w:cs="Times New Roman"/>
          <w:sz w:val="24"/>
          <w:szCs w:val="24"/>
        </w:rPr>
        <w:t xml:space="preserve"> l’accensione di alcuni bracieri per l’offerta degli incensi, necessari per allontanare i cattivi odori dovuti alla folla numerosa, il cui afflusso </w:t>
      </w:r>
      <w:r>
        <w:rPr>
          <w:rFonts w:ascii="Times New Roman" w:hAnsi="Times New Roman" w:cs="Times New Roman"/>
          <w:sz w:val="24"/>
          <w:szCs w:val="24"/>
        </w:rPr>
        <w:t>era</w:t>
      </w:r>
      <w:r w:rsidRPr="00096909">
        <w:rPr>
          <w:rFonts w:ascii="Times New Roman" w:hAnsi="Times New Roman" w:cs="Times New Roman"/>
          <w:sz w:val="24"/>
          <w:szCs w:val="24"/>
        </w:rPr>
        <w:t xml:space="preserve"> regolato da un servizio d’ordine eccezionale. A Bologna, il problema del concorso del popolo aveva attirato anche le attenzioni di Beroaldo, che approfittò dell’istituzione di una guardia apposita da parte di Giovanni Bentivoglio per sfoggiare un forbito vocabolario militare </w:t>
      </w:r>
      <w:r>
        <w:rPr>
          <w:rFonts w:ascii="Times New Roman" w:hAnsi="Times New Roman" w:cs="Times New Roman"/>
          <w:sz w:val="24"/>
          <w:szCs w:val="24"/>
        </w:rPr>
        <w:t>nel</w:t>
      </w:r>
      <w:r w:rsidRPr="00096909">
        <w:rPr>
          <w:rFonts w:ascii="Times New Roman" w:hAnsi="Times New Roman" w:cs="Times New Roman"/>
          <w:sz w:val="24"/>
          <w:szCs w:val="24"/>
        </w:rPr>
        <w:t xml:space="preserve"> darne notizi</w:t>
      </w:r>
      <w:r>
        <w:rPr>
          <w:rFonts w:ascii="Times New Roman" w:hAnsi="Times New Roman" w:cs="Times New Roman"/>
          <w:sz w:val="24"/>
          <w:szCs w:val="24"/>
        </w:rPr>
        <w:t>a</w:t>
      </w:r>
      <w:r w:rsidRPr="00096909">
        <w:rPr>
          <w:rFonts w:ascii="Times New Roman" w:hAnsi="Times New Roman" w:cs="Times New Roman"/>
          <w:sz w:val="24"/>
          <w:szCs w:val="24"/>
        </w:rPr>
        <w:t>.</w:t>
      </w:r>
      <w:r w:rsidRPr="00096909">
        <w:rPr>
          <w:rStyle w:val="Rimandonotaapidipagina"/>
          <w:rFonts w:ascii="Times New Roman" w:hAnsi="Times New Roman" w:cs="Times New Roman"/>
        </w:rPr>
        <w:footnoteReference w:id="539"/>
      </w:r>
      <w:r w:rsidRPr="00096909">
        <w:rPr>
          <w:rFonts w:ascii="Times New Roman" w:hAnsi="Times New Roman" w:cs="Times New Roman"/>
          <w:sz w:val="24"/>
          <w:szCs w:val="24"/>
        </w:rPr>
        <w:t xml:space="preserve"> </w:t>
      </w:r>
    </w:p>
    <w:p w14:paraId="27F08829"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Per le nozze di Isabella d’Aragona pare però che la sorveglianza degli spettatori fosse affidata a figuranti rivestiti di abiti insoliti e </w:t>
      </w:r>
      <w:r>
        <w:rPr>
          <w:rFonts w:ascii="Times New Roman" w:hAnsi="Times New Roman" w:cs="Times New Roman"/>
          <w:sz w:val="24"/>
          <w:szCs w:val="24"/>
        </w:rPr>
        <w:t xml:space="preserve">muniti </w:t>
      </w:r>
      <w:r w:rsidRPr="00096909">
        <w:rPr>
          <w:rFonts w:ascii="Times New Roman" w:hAnsi="Times New Roman" w:cs="Times New Roman"/>
          <w:sz w:val="24"/>
          <w:szCs w:val="24"/>
        </w:rPr>
        <w:t>di maschere [IX, 3]: alcuni parevano vecchie folli ubriache, altri giganti, altri ancora uomini provvisti di denti smisurati e digrignanti</w:t>
      </w:r>
      <w:r>
        <w:rPr>
          <w:rFonts w:ascii="Times New Roman" w:hAnsi="Times New Roman" w:cs="Times New Roman"/>
          <w:sz w:val="24"/>
          <w:szCs w:val="24"/>
        </w:rPr>
        <w:t xml:space="preserve">, </w:t>
      </w:r>
      <w:r w:rsidRPr="00096909">
        <w:rPr>
          <w:rFonts w:ascii="Times New Roman" w:hAnsi="Times New Roman" w:cs="Times New Roman"/>
          <w:sz w:val="24"/>
          <w:szCs w:val="24"/>
        </w:rPr>
        <w:t>in tutto simili</w:t>
      </w:r>
      <w:r>
        <w:rPr>
          <w:rFonts w:ascii="Times New Roman" w:hAnsi="Times New Roman" w:cs="Times New Roman"/>
          <w:sz w:val="24"/>
          <w:szCs w:val="24"/>
        </w:rPr>
        <w:t xml:space="preserve">, </w:t>
      </w:r>
      <w:r>
        <w:rPr>
          <w:rFonts w:ascii="Times New Roman" w:hAnsi="Times New Roman" w:cs="Times New Roman"/>
          <w:sz w:val="24"/>
          <w:szCs w:val="24"/>
        </w:rPr>
        <w:lastRenderedPageBreak/>
        <w:t>secondo Dolcino,</w:t>
      </w:r>
      <w:r w:rsidRPr="00096909">
        <w:rPr>
          <w:rFonts w:ascii="Times New Roman" w:hAnsi="Times New Roman" w:cs="Times New Roman"/>
          <w:sz w:val="24"/>
          <w:szCs w:val="24"/>
        </w:rPr>
        <w:t xml:space="preserve"> alle petreie, alle circerie e ai manduchi che intrattenevano con i loro lazzi gli spettatori dei giochi circ</w:t>
      </w:r>
      <w:r>
        <w:rPr>
          <w:rFonts w:ascii="Times New Roman" w:hAnsi="Times New Roman" w:cs="Times New Roman"/>
          <w:sz w:val="24"/>
          <w:szCs w:val="24"/>
        </w:rPr>
        <w:t>ensi</w:t>
      </w:r>
      <w:r w:rsidRPr="00096909">
        <w:rPr>
          <w:rFonts w:ascii="Times New Roman" w:hAnsi="Times New Roman" w:cs="Times New Roman"/>
          <w:sz w:val="24"/>
          <w:szCs w:val="24"/>
        </w:rPr>
        <w:t xml:space="preserve"> di Roma antica. </w:t>
      </w:r>
    </w:p>
    <w:p w14:paraId="51A44384"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descrizione di queste maschere era stata fornita dall’umanista forlivese Flavio Biondo nel libro X della </w:t>
      </w:r>
      <w:r w:rsidRPr="00096909">
        <w:rPr>
          <w:rFonts w:ascii="Times New Roman" w:hAnsi="Times New Roman" w:cs="Times New Roman"/>
          <w:i/>
          <w:sz w:val="24"/>
          <w:szCs w:val="24"/>
        </w:rPr>
        <w:t>Roma Triumphans</w:t>
      </w:r>
      <w:r w:rsidRPr="00096909">
        <w:rPr>
          <w:rFonts w:ascii="Times New Roman" w:hAnsi="Times New Roman" w:cs="Times New Roman"/>
          <w:sz w:val="24"/>
          <w:szCs w:val="24"/>
        </w:rPr>
        <w:t xml:space="preserve">, composta tra il 1457 e il 1459 e dedicata a Pio II Piccolomini. L’opera, in dieci libri, è un’esposizione enciclopedica delle conoscenze relative all’antichità romana che, servendosi di citazioni letterarie e di riscontri archeologici ed epigrafici quanto più puntuali, gettava le basi della moderna antiquaria. </w:t>
      </w:r>
    </w:p>
    <w:p w14:paraId="25BF08C1"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Nella decima sezione del trattato Biondo discuteva il tema del trionfo, proponendo </w:t>
      </w:r>
      <w:r w:rsidR="00E96922">
        <w:rPr>
          <w:rFonts w:ascii="Times New Roman" w:hAnsi="Times New Roman" w:cs="Times New Roman"/>
          <w:sz w:val="24"/>
          <w:szCs w:val="24"/>
        </w:rPr>
        <w:t xml:space="preserve">diversi </w:t>
      </w:r>
      <w:r w:rsidRPr="00096909">
        <w:rPr>
          <w:rFonts w:ascii="Times New Roman" w:hAnsi="Times New Roman" w:cs="Times New Roman"/>
          <w:sz w:val="24"/>
          <w:szCs w:val="24"/>
        </w:rPr>
        <w:t>parallelismi tra gli usi antichi e i moderni</w:t>
      </w:r>
      <w:r>
        <w:rPr>
          <w:rFonts w:ascii="Times New Roman" w:hAnsi="Times New Roman" w:cs="Times New Roman"/>
          <w:sz w:val="24"/>
          <w:szCs w:val="24"/>
        </w:rPr>
        <w:t>,</w:t>
      </w:r>
      <w:r w:rsidRPr="00096909">
        <w:rPr>
          <w:rFonts w:ascii="Times New Roman" w:hAnsi="Times New Roman" w:cs="Times New Roman"/>
          <w:sz w:val="24"/>
          <w:szCs w:val="24"/>
        </w:rPr>
        <w:t xml:space="preserve"> volti a illustrare tradizioni e continuità nell’organizzazione dei festeggiamenti. In tale prospettiva i </w:t>
      </w:r>
      <w:r w:rsidRPr="00096909">
        <w:rPr>
          <w:rFonts w:ascii="Times New Roman" w:hAnsi="Times New Roman" w:cs="Times New Roman"/>
          <w:i/>
          <w:sz w:val="24"/>
          <w:szCs w:val="24"/>
        </w:rPr>
        <w:t>pegmata</w:t>
      </w:r>
      <w:r w:rsidRPr="00096909">
        <w:rPr>
          <w:rFonts w:ascii="Times New Roman" w:hAnsi="Times New Roman" w:cs="Times New Roman"/>
          <w:sz w:val="24"/>
          <w:szCs w:val="24"/>
        </w:rPr>
        <w:t xml:space="preserve">, descritti nel </w:t>
      </w:r>
      <w:r w:rsidRPr="00096909">
        <w:rPr>
          <w:rFonts w:ascii="Times New Roman" w:hAnsi="Times New Roman" w:cs="Times New Roman"/>
          <w:i/>
          <w:sz w:val="24"/>
          <w:szCs w:val="24"/>
        </w:rPr>
        <w:t>De Bello iudaico</w:t>
      </w:r>
      <w:r w:rsidRPr="00096909">
        <w:rPr>
          <w:rFonts w:ascii="Times New Roman" w:hAnsi="Times New Roman" w:cs="Times New Roman"/>
          <w:sz w:val="24"/>
          <w:szCs w:val="24"/>
        </w:rPr>
        <w:t xml:space="preserve"> di Giuseppe Flavio, potevano essere confrontati con disinvoltura con gli edifici fiorentini per la processione di San Giovanni e assumevano l’aspetto di alti alberi artificiali poggianti su piattaforme quadrate e provvisti di rami con fronde dorate e argentate tra le quali, in nidi di cuoio, dei bambini cantavano inni per salutare il vincitore.</w:t>
      </w:r>
      <w:r w:rsidRPr="00096909">
        <w:rPr>
          <w:rStyle w:val="Rimandonotaapidipagina"/>
          <w:rFonts w:ascii="Times New Roman" w:hAnsi="Times New Roman" w:cs="Times New Roman"/>
        </w:rPr>
        <w:footnoteReference w:id="540"/>
      </w:r>
      <w:r w:rsidRPr="00096909">
        <w:rPr>
          <w:rFonts w:ascii="Times New Roman" w:hAnsi="Times New Roman" w:cs="Times New Roman"/>
          <w:sz w:val="24"/>
          <w:szCs w:val="24"/>
        </w:rPr>
        <w:t xml:space="preserve"> In uno dei passi in cui Biondo ricorda</w:t>
      </w:r>
      <w:r>
        <w:rPr>
          <w:rFonts w:ascii="Times New Roman" w:hAnsi="Times New Roman" w:cs="Times New Roman"/>
          <w:sz w:val="24"/>
          <w:szCs w:val="24"/>
        </w:rPr>
        <w:t>va</w:t>
      </w:r>
      <w:r w:rsidRPr="00096909">
        <w:rPr>
          <w:rFonts w:ascii="Times New Roman" w:hAnsi="Times New Roman" w:cs="Times New Roman"/>
          <w:sz w:val="24"/>
          <w:szCs w:val="24"/>
        </w:rPr>
        <w:t xml:space="preserve"> questi carri sfilare nel trionfo romano (X, 215) egli presenta</w:t>
      </w:r>
      <w:r>
        <w:rPr>
          <w:rFonts w:ascii="Times New Roman" w:hAnsi="Times New Roman" w:cs="Times New Roman"/>
          <w:sz w:val="24"/>
          <w:szCs w:val="24"/>
        </w:rPr>
        <w:t>va</w:t>
      </w:r>
      <w:r w:rsidRPr="00096909">
        <w:rPr>
          <w:rFonts w:ascii="Times New Roman" w:hAnsi="Times New Roman" w:cs="Times New Roman"/>
          <w:sz w:val="24"/>
          <w:szCs w:val="24"/>
        </w:rPr>
        <w:t xml:space="preserve"> anche le maschere antiche citate da Dolcino</w:t>
      </w:r>
      <w:r>
        <w:rPr>
          <w:rFonts w:ascii="Times New Roman" w:hAnsi="Times New Roman" w:cs="Times New Roman"/>
          <w:sz w:val="24"/>
          <w:szCs w:val="24"/>
        </w:rPr>
        <w:t xml:space="preserve">. È </w:t>
      </w:r>
      <w:r w:rsidRPr="00096909">
        <w:rPr>
          <w:rFonts w:ascii="Times New Roman" w:hAnsi="Times New Roman" w:cs="Times New Roman"/>
          <w:sz w:val="24"/>
          <w:szCs w:val="24"/>
        </w:rPr>
        <w:t xml:space="preserve">dunque probabile </w:t>
      </w:r>
      <w:r>
        <w:rPr>
          <w:rFonts w:ascii="Times New Roman" w:hAnsi="Times New Roman" w:cs="Times New Roman"/>
          <w:sz w:val="24"/>
          <w:szCs w:val="24"/>
        </w:rPr>
        <w:t>che quest’ultimo</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abbia </w:t>
      </w:r>
      <w:r w:rsidRPr="00096909">
        <w:rPr>
          <w:rFonts w:ascii="Times New Roman" w:hAnsi="Times New Roman" w:cs="Times New Roman"/>
          <w:sz w:val="24"/>
          <w:szCs w:val="24"/>
        </w:rPr>
        <w:t xml:space="preserve">usato la </w:t>
      </w:r>
      <w:r w:rsidRPr="00096909">
        <w:rPr>
          <w:rFonts w:ascii="Times New Roman" w:hAnsi="Times New Roman" w:cs="Times New Roman"/>
          <w:i/>
          <w:sz w:val="24"/>
          <w:szCs w:val="24"/>
        </w:rPr>
        <w:t>Roma Triumphans</w:t>
      </w:r>
      <w:r w:rsidRPr="00096909">
        <w:rPr>
          <w:rFonts w:ascii="Times New Roman" w:hAnsi="Times New Roman" w:cs="Times New Roman"/>
          <w:sz w:val="24"/>
          <w:szCs w:val="24"/>
        </w:rPr>
        <w:t xml:space="preserve"> come modello per l’illustrazione degli allestimenti milanesi.</w:t>
      </w:r>
      <w:r w:rsidRPr="00096909">
        <w:rPr>
          <w:rStyle w:val="Rimandonotaapidipagina"/>
          <w:rFonts w:ascii="Times New Roman" w:hAnsi="Times New Roman" w:cs="Times New Roman"/>
        </w:rPr>
        <w:footnoteReference w:id="541"/>
      </w:r>
      <w:r w:rsidRPr="00096909">
        <w:rPr>
          <w:rFonts w:ascii="Times New Roman" w:hAnsi="Times New Roman" w:cs="Times New Roman"/>
          <w:sz w:val="24"/>
          <w:szCs w:val="24"/>
        </w:rPr>
        <w:t xml:space="preserve"> </w:t>
      </w:r>
    </w:p>
    <w:p w14:paraId="2CBF99DF"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Del resto, già nella genealogia di casa Visconti il cronista aveva rinviato il lettore alle </w:t>
      </w:r>
      <w:r w:rsidRPr="00096909">
        <w:rPr>
          <w:rFonts w:ascii="Times New Roman" w:hAnsi="Times New Roman" w:cs="Times New Roman"/>
          <w:i/>
          <w:sz w:val="24"/>
          <w:szCs w:val="24"/>
        </w:rPr>
        <w:t>Decadi</w:t>
      </w:r>
      <w:r w:rsidRPr="00096909">
        <w:rPr>
          <w:rFonts w:ascii="Times New Roman" w:hAnsi="Times New Roman" w:cs="Times New Roman"/>
          <w:sz w:val="24"/>
          <w:szCs w:val="24"/>
        </w:rPr>
        <w:t xml:space="preserve"> di Biondo, dichiarando la propria stima per l’autore, ed è noto come, negli ultimi decenni del Quattrocento, copie della </w:t>
      </w:r>
      <w:r w:rsidRPr="00096909">
        <w:rPr>
          <w:rFonts w:ascii="Times New Roman" w:hAnsi="Times New Roman" w:cs="Times New Roman"/>
          <w:i/>
          <w:sz w:val="24"/>
          <w:szCs w:val="24"/>
        </w:rPr>
        <w:t>Roma Triumphans</w:t>
      </w:r>
      <w:r w:rsidRPr="00096909">
        <w:rPr>
          <w:rFonts w:ascii="Times New Roman" w:hAnsi="Times New Roman" w:cs="Times New Roman"/>
          <w:sz w:val="24"/>
          <w:szCs w:val="24"/>
        </w:rPr>
        <w:t xml:space="preserve"> fossero state richieste all’erudito forlivese da diverse corti italiane ed europee, attestandone l’immediato successo.</w:t>
      </w:r>
      <w:r w:rsidRPr="00096909">
        <w:rPr>
          <w:rStyle w:val="Rimandonotaapidipagina"/>
          <w:rFonts w:ascii="Times New Roman" w:hAnsi="Times New Roman" w:cs="Times New Roman"/>
        </w:rPr>
        <w:footnoteReference w:id="542"/>
      </w:r>
      <w:r w:rsidRPr="00096909">
        <w:rPr>
          <w:rFonts w:ascii="Times New Roman" w:hAnsi="Times New Roman" w:cs="Times New Roman"/>
          <w:sz w:val="24"/>
          <w:szCs w:val="24"/>
        </w:rPr>
        <w:t xml:space="preserve"> </w:t>
      </w:r>
    </w:p>
    <w:p w14:paraId="4D7EDDF9"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Non deve poi sorprendere il fatto che Dolcino si servisse delle informazioni di Biondo senza indicare la fonte. La vocazione enciclopedica del trattato, con il suo complesso sistema di citazione da autori latini, faceva sì che diversi cultori di antichità reimpiegassero le notizie in esso contenute senza dichiararlo esplicitamente. Così fece</w:t>
      </w:r>
      <w:r w:rsidR="00032861">
        <w:rPr>
          <w:rFonts w:ascii="Times New Roman" w:hAnsi="Times New Roman" w:cs="Times New Roman"/>
          <w:sz w:val="24"/>
          <w:szCs w:val="24"/>
        </w:rPr>
        <w:t>,</w:t>
      </w:r>
      <w:r w:rsidRPr="00096909">
        <w:rPr>
          <w:rFonts w:ascii="Times New Roman" w:hAnsi="Times New Roman" w:cs="Times New Roman"/>
          <w:sz w:val="24"/>
          <w:szCs w:val="24"/>
        </w:rPr>
        <w:t xml:space="preserve"> ad esempio</w:t>
      </w:r>
      <w:r w:rsidR="00032861">
        <w:rPr>
          <w:rFonts w:ascii="Times New Roman" w:hAnsi="Times New Roman" w:cs="Times New Roman"/>
          <w:sz w:val="24"/>
          <w:szCs w:val="24"/>
        </w:rPr>
        <w:t>,</w:t>
      </w:r>
      <w:r w:rsidRPr="00096909">
        <w:rPr>
          <w:rFonts w:ascii="Times New Roman" w:hAnsi="Times New Roman" w:cs="Times New Roman"/>
          <w:sz w:val="24"/>
          <w:szCs w:val="24"/>
        </w:rPr>
        <w:t xml:space="preserve"> il Poliziano in più luoghi del suo commento alle </w:t>
      </w:r>
      <w:r w:rsidRPr="00096909">
        <w:rPr>
          <w:rFonts w:ascii="Times New Roman" w:hAnsi="Times New Roman" w:cs="Times New Roman"/>
          <w:i/>
          <w:sz w:val="24"/>
          <w:szCs w:val="24"/>
        </w:rPr>
        <w:t>Silvae</w:t>
      </w:r>
      <w:r w:rsidRPr="00096909">
        <w:rPr>
          <w:rFonts w:ascii="Times New Roman" w:hAnsi="Times New Roman" w:cs="Times New Roman"/>
          <w:sz w:val="24"/>
          <w:szCs w:val="24"/>
        </w:rPr>
        <w:t xml:space="preserve"> di Stazio, dove solo sporadicamente è dichiarato il ricorso a Flavio Biondo.</w:t>
      </w:r>
      <w:r w:rsidRPr="00096909">
        <w:rPr>
          <w:rStyle w:val="Rimandonotaapidipagina"/>
          <w:rFonts w:ascii="Times New Roman" w:hAnsi="Times New Roman" w:cs="Times New Roman"/>
        </w:rPr>
        <w:footnoteReference w:id="543"/>
      </w:r>
      <w:r w:rsidRPr="00096909">
        <w:rPr>
          <w:rFonts w:ascii="Times New Roman" w:hAnsi="Times New Roman" w:cs="Times New Roman"/>
          <w:sz w:val="24"/>
          <w:szCs w:val="24"/>
        </w:rPr>
        <w:t xml:space="preserve"> Nelle </w:t>
      </w:r>
      <w:r w:rsidRPr="00096909">
        <w:rPr>
          <w:rFonts w:ascii="Times New Roman" w:hAnsi="Times New Roman" w:cs="Times New Roman"/>
          <w:i/>
          <w:sz w:val="24"/>
          <w:szCs w:val="24"/>
        </w:rPr>
        <w:t>Nuptiae illustrissimi ducis Mediolani</w:t>
      </w:r>
      <w:r w:rsidRPr="00096909">
        <w:rPr>
          <w:rFonts w:ascii="Times New Roman" w:hAnsi="Times New Roman" w:cs="Times New Roman"/>
          <w:sz w:val="24"/>
          <w:szCs w:val="24"/>
        </w:rPr>
        <w:t xml:space="preserve"> affiora dunque una memoria del libro X della </w:t>
      </w:r>
      <w:r w:rsidRPr="00096909">
        <w:rPr>
          <w:rFonts w:ascii="Times New Roman" w:hAnsi="Times New Roman" w:cs="Times New Roman"/>
          <w:i/>
          <w:sz w:val="24"/>
          <w:szCs w:val="24"/>
        </w:rPr>
        <w:t>Roma Triumphans</w:t>
      </w:r>
      <w:r w:rsidRPr="00096909">
        <w:rPr>
          <w:rFonts w:ascii="Times New Roman" w:hAnsi="Times New Roman" w:cs="Times New Roman"/>
          <w:sz w:val="24"/>
          <w:szCs w:val="24"/>
        </w:rPr>
        <w:t xml:space="preserve"> tanto nella descrizione dei figuranti del corteo nuziale deputati al servizio d’ordine, quanto nel generico riferimento agli apparati con il termine </w:t>
      </w:r>
      <w:r w:rsidRPr="00096909">
        <w:rPr>
          <w:rFonts w:ascii="Times New Roman" w:hAnsi="Times New Roman" w:cs="Times New Roman"/>
          <w:i/>
          <w:sz w:val="24"/>
          <w:szCs w:val="24"/>
        </w:rPr>
        <w:t>pegmata</w:t>
      </w:r>
      <w:r w:rsidRPr="00096909">
        <w:rPr>
          <w:rFonts w:ascii="Times New Roman" w:hAnsi="Times New Roman" w:cs="Times New Roman"/>
          <w:sz w:val="24"/>
          <w:szCs w:val="24"/>
        </w:rPr>
        <w:t>, che in entrambe le opere riemergeva dall’antichità per accostarsi – in maniera</w:t>
      </w:r>
      <w:r w:rsidR="00032861">
        <w:rPr>
          <w:rFonts w:ascii="Times New Roman" w:hAnsi="Times New Roman" w:cs="Times New Roman"/>
          <w:sz w:val="24"/>
          <w:szCs w:val="24"/>
        </w:rPr>
        <w:t>,</w:t>
      </w:r>
      <w:r w:rsidRPr="00096909">
        <w:rPr>
          <w:rFonts w:ascii="Times New Roman" w:hAnsi="Times New Roman" w:cs="Times New Roman"/>
          <w:sz w:val="24"/>
          <w:szCs w:val="24"/>
        </w:rPr>
        <w:t xml:space="preserve"> in vero</w:t>
      </w:r>
      <w:r w:rsidR="00032861">
        <w:rPr>
          <w:rFonts w:ascii="Times New Roman" w:hAnsi="Times New Roman" w:cs="Times New Roman"/>
          <w:sz w:val="24"/>
          <w:szCs w:val="24"/>
        </w:rPr>
        <w:t>,</w:t>
      </w:r>
      <w:r w:rsidRPr="00096909">
        <w:rPr>
          <w:rFonts w:ascii="Times New Roman" w:hAnsi="Times New Roman" w:cs="Times New Roman"/>
          <w:sz w:val="24"/>
          <w:szCs w:val="24"/>
        </w:rPr>
        <w:t xml:space="preserve"> generica e poco indicativa – agli ingegni di matrice fiorentina muniti di dispositivi ascensionali.</w:t>
      </w:r>
      <w:r w:rsidRPr="00096909">
        <w:rPr>
          <w:rStyle w:val="Rimandonotaapidipagina"/>
          <w:rFonts w:ascii="Times New Roman" w:hAnsi="Times New Roman" w:cs="Times New Roman"/>
        </w:rPr>
        <w:footnoteReference w:id="544"/>
      </w:r>
      <w:r w:rsidRPr="00096909">
        <w:rPr>
          <w:rFonts w:ascii="Times New Roman" w:hAnsi="Times New Roman" w:cs="Times New Roman"/>
          <w:sz w:val="24"/>
          <w:szCs w:val="24"/>
        </w:rPr>
        <w:t xml:space="preserve">   </w:t>
      </w:r>
    </w:p>
    <w:p w14:paraId="17166AC2"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Nelle ultime sezioni della relazione appare dunque con evidenza quale fosse l’intento dell’opera di Stefano Dolcino: la proiezione in un immaginario classico del contingente trionfo di Isabella d’Aragona. Nelle sue pagine la Milano festeggiante degli Sforza doveva apparire come una novella Roma dai fasti imperiali, raggiungendo l’immagine gloriosa della città che gli apparatori della festa ebbero per modello nell’organizzare le celebrazioni.</w:t>
      </w:r>
      <w:r w:rsidRPr="00096909">
        <w:rPr>
          <w:rStyle w:val="Rimandonotaapidipagina"/>
          <w:rFonts w:ascii="Times New Roman" w:hAnsi="Times New Roman" w:cs="Times New Roman"/>
        </w:rPr>
        <w:footnoteReference w:id="545"/>
      </w:r>
      <w:r w:rsidRPr="00096909">
        <w:rPr>
          <w:rFonts w:ascii="Times New Roman" w:hAnsi="Times New Roman" w:cs="Times New Roman"/>
          <w:sz w:val="24"/>
          <w:szCs w:val="24"/>
        </w:rPr>
        <w:t xml:space="preserve"> Così, nel presentare il corteo nuziale come un trionfo classico, l’autore dispo</w:t>
      </w:r>
      <w:r>
        <w:rPr>
          <w:rFonts w:ascii="Times New Roman" w:hAnsi="Times New Roman" w:cs="Times New Roman"/>
          <w:sz w:val="24"/>
          <w:szCs w:val="24"/>
        </w:rPr>
        <w:t>s</w:t>
      </w:r>
      <w:r w:rsidRPr="00096909">
        <w:rPr>
          <w:rFonts w:ascii="Times New Roman" w:hAnsi="Times New Roman" w:cs="Times New Roman"/>
          <w:sz w:val="24"/>
          <w:szCs w:val="24"/>
        </w:rPr>
        <w:t>e in perfette schiere gli ordini militari e i collegi sacerdotali, che all’avvio del corteo intona</w:t>
      </w:r>
      <w:r>
        <w:rPr>
          <w:rFonts w:ascii="Times New Roman" w:hAnsi="Times New Roman" w:cs="Times New Roman"/>
          <w:sz w:val="24"/>
          <w:szCs w:val="24"/>
        </w:rPr>
        <w:t>ro</w:t>
      </w:r>
      <w:r w:rsidRPr="00096909">
        <w:rPr>
          <w:rFonts w:ascii="Times New Roman" w:hAnsi="Times New Roman" w:cs="Times New Roman"/>
          <w:sz w:val="24"/>
          <w:szCs w:val="24"/>
        </w:rPr>
        <w:t xml:space="preserve">no il </w:t>
      </w:r>
      <w:r w:rsidRPr="00096909">
        <w:rPr>
          <w:rFonts w:ascii="Times New Roman" w:hAnsi="Times New Roman" w:cs="Times New Roman"/>
          <w:i/>
          <w:sz w:val="24"/>
          <w:szCs w:val="24"/>
        </w:rPr>
        <w:t>Te Deum</w:t>
      </w:r>
      <w:r w:rsidRPr="00096909">
        <w:rPr>
          <w:rFonts w:ascii="Times New Roman" w:hAnsi="Times New Roman" w:cs="Times New Roman"/>
          <w:sz w:val="24"/>
          <w:szCs w:val="24"/>
        </w:rPr>
        <w:t xml:space="preserve"> [X]. Per gli sposi </w:t>
      </w:r>
      <w:r>
        <w:rPr>
          <w:rFonts w:ascii="Times New Roman" w:hAnsi="Times New Roman" w:cs="Times New Roman"/>
          <w:sz w:val="24"/>
          <w:szCs w:val="24"/>
        </w:rPr>
        <w:t>era</w:t>
      </w:r>
      <w:r w:rsidRPr="00096909">
        <w:rPr>
          <w:rFonts w:ascii="Times New Roman" w:hAnsi="Times New Roman" w:cs="Times New Roman"/>
          <w:sz w:val="24"/>
          <w:szCs w:val="24"/>
        </w:rPr>
        <w:t xml:space="preserve"> stato intanto preparato un baldacchino in damaschino bianco, che per primi ressero i dottori in medicina, riconoscibili dall’abito della loro arte. Calco precis</w:t>
      </w:r>
      <w:r>
        <w:rPr>
          <w:rFonts w:ascii="Times New Roman" w:hAnsi="Times New Roman" w:cs="Times New Roman"/>
          <w:sz w:val="24"/>
          <w:szCs w:val="24"/>
        </w:rPr>
        <w:t>ò</w:t>
      </w:r>
      <w:r w:rsidRPr="00096909">
        <w:rPr>
          <w:rFonts w:ascii="Times New Roman" w:hAnsi="Times New Roman" w:cs="Times New Roman"/>
          <w:sz w:val="24"/>
          <w:szCs w:val="24"/>
        </w:rPr>
        <w:t xml:space="preserve"> che il loro abbigliamento si componeva di una toga purpurea con corta mantella d’ermellino sulle spalle e copricapo con bordatura in pelliccia. Similmente erano vestiti in porpora e oro i giuristi, che portarono il baldacchino fino alla cattedrale.</w:t>
      </w:r>
      <w:r w:rsidRPr="00096909">
        <w:rPr>
          <w:rStyle w:val="Rimandonotaapidipagina"/>
          <w:rFonts w:ascii="Times New Roman" w:hAnsi="Times New Roman" w:cs="Times New Roman"/>
        </w:rPr>
        <w:footnoteReference w:id="546"/>
      </w:r>
      <w:r w:rsidRPr="00096909">
        <w:rPr>
          <w:rFonts w:ascii="Times New Roman" w:hAnsi="Times New Roman" w:cs="Times New Roman"/>
          <w:sz w:val="24"/>
          <w:szCs w:val="24"/>
        </w:rPr>
        <w:t xml:space="preserve"> Sotto di esso, a cavallo, si posero Isabella e Gian Galeazzo, </w:t>
      </w:r>
      <w:r w:rsidRPr="00096909">
        <w:rPr>
          <w:rFonts w:ascii="Times New Roman" w:hAnsi="Times New Roman" w:cs="Times New Roman"/>
          <w:i/>
          <w:sz w:val="24"/>
          <w:szCs w:val="24"/>
        </w:rPr>
        <w:t xml:space="preserve">in aurea clamide </w:t>
      </w:r>
      <w:r w:rsidRPr="00096909">
        <w:rPr>
          <w:rFonts w:ascii="Times New Roman" w:hAnsi="Times New Roman" w:cs="Times New Roman"/>
          <w:i/>
          <w:sz w:val="24"/>
          <w:szCs w:val="24"/>
        </w:rPr>
        <w:lastRenderedPageBreak/>
        <w:t>margaritarum fulgenti textu bacata</w:t>
      </w:r>
      <w:r w:rsidRPr="00096909">
        <w:rPr>
          <w:rFonts w:ascii="Times New Roman" w:hAnsi="Times New Roman" w:cs="Times New Roman"/>
          <w:sz w:val="24"/>
          <w:szCs w:val="24"/>
        </w:rPr>
        <w:t xml:space="preserve">, scortati da Ludovico il Moro [XI]. Sull’avanzare del baldacchino per le vie, la </w:t>
      </w:r>
      <w:r w:rsidRPr="00096909">
        <w:rPr>
          <w:rFonts w:ascii="Times New Roman" w:hAnsi="Times New Roman" w:cs="Times New Roman"/>
          <w:i/>
          <w:sz w:val="24"/>
          <w:szCs w:val="24"/>
        </w:rPr>
        <w:t>Descriptione</w:t>
      </w:r>
      <w:r w:rsidRPr="00096909">
        <w:rPr>
          <w:rFonts w:ascii="Times New Roman" w:hAnsi="Times New Roman" w:cs="Times New Roman"/>
          <w:sz w:val="24"/>
          <w:szCs w:val="24"/>
        </w:rPr>
        <w:t xml:space="preserve"> volgare offre però un altro particolare interessante: </w:t>
      </w:r>
    </w:p>
    <w:p w14:paraId="520A4B06" w14:textId="77777777" w:rsidR="000A28D9" w:rsidRPr="00096909" w:rsidRDefault="000A28D9" w:rsidP="000A28D9">
      <w:pPr>
        <w:spacing w:after="0" w:line="360" w:lineRule="auto"/>
        <w:jc w:val="both"/>
        <w:rPr>
          <w:rFonts w:ascii="Times New Roman" w:hAnsi="Times New Roman" w:cs="Times New Roman"/>
          <w:sz w:val="20"/>
          <w:szCs w:val="20"/>
        </w:rPr>
      </w:pPr>
    </w:p>
    <w:p w14:paraId="6FED0802" w14:textId="77777777" w:rsidR="000A28D9" w:rsidRPr="00096909" w:rsidRDefault="000A28D9" w:rsidP="000A28D9">
      <w:pPr>
        <w:spacing w:after="0" w:line="360" w:lineRule="auto"/>
        <w:ind w:left="567" w:right="567" w:firstLine="397"/>
        <w:jc w:val="both"/>
        <w:rPr>
          <w:rFonts w:ascii="Times New Roman" w:hAnsi="Times New Roman" w:cs="Times New Roman"/>
        </w:rPr>
      </w:pPr>
      <w:r w:rsidRPr="00096909">
        <w:rPr>
          <w:rFonts w:ascii="Times New Roman" w:hAnsi="Times New Roman" w:cs="Times New Roman"/>
          <w:sz w:val="20"/>
          <w:szCs w:val="20"/>
        </w:rPr>
        <w:t>Seguiva poy lo illustrissimo signore con la duchessa sotto uno balduchino de drapo d’oro fodrato d’armelini; et doppo erano le donne predicte. Fu levato a la porta del revellino dal castello da li medici, quali havevano li capuzi et berete fodrate de vayro. Doppoy, in sey volte, da octo gentilhomini de ciascuna porta de la cità. L’ultima portata fu da li doctori, ornati de medesmo habito che erano li medici da la corte del Arengo fin al Domo.</w:t>
      </w:r>
      <w:r w:rsidRPr="00096909">
        <w:rPr>
          <w:rStyle w:val="Rimandonotaapidipagina"/>
          <w:rFonts w:ascii="Times New Roman" w:hAnsi="Times New Roman" w:cs="Times New Roman"/>
        </w:rPr>
        <w:footnoteReference w:id="547"/>
      </w:r>
      <w:r w:rsidRPr="00096909">
        <w:rPr>
          <w:rFonts w:ascii="Times New Roman" w:hAnsi="Times New Roman" w:cs="Times New Roman"/>
        </w:rPr>
        <w:t xml:space="preserve"> </w:t>
      </w:r>
    </w:p>
    <w:p w14:paraId="735924F7" w14:textId="77777777" w:rsidR="000A28D9" w:rsidRPr="00096909" w:rsidRDefault="000A28D9" w:rsidP="000A28D9">
      <w:pPr>
        <w:spacing w:after="0" w:line="360" w:lineRule="auto"/>
        <w:jc w:val="both"/>
        <w:rPr>
          <w:rFonts w:ascii="Times New Roman" w:hAnsi="Times New Roman" w:cs="Times New Roman"/>
        </w:rPr>
      </w:pPr>
    </w:p>
    <w:p w14:paraId="3DEC1BD4" w14:textId="77777777" w:rsidR="000A28D9" w:rsidRPr="00096909" w:rsidRDefault="000A28D9" w:rsidP="000A28D9">
      <w:pPr>
        <w:spacing w:after="0" w:line="360" w:lineRule="auto"/>
        <w:jc w:val="both"/>
        <w:rPr>
          <w:rFonts w:ascii="Times New Roman" w:hAnsi="Times New Roman" w:cs="Times New Roman"/>
        </w:rPr>
      </w:pPr>
    </w:p>
    <w:p w14:paraId="25F476D9"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Prima della levata del baldacchino da parte dei giuristi, fu dunque previsto che nel corteo si alternassero sei mute di otto portatori, membri delle famiglie nobili, in rappresentanza dell’intera comunità milanese raccolta nelle sei porte cittadine, nello stesso modo in cui per le annuali offerte tributate alla Fabbrica del Duomo il popolo di Milano sfilava secondo la propria ripartizione territoriale.</w:t>
      </w:r>
      <w:r w:rsidRPr="00096909">
        <w:rPr>
          <w:rStyle w:val="Rimandonotaapidipagina"/>
          <w:rFonts w:ascii="Times New Roman" w:hAnsi="Times New Roman" w:cs="Times New Roman"/>
          <w:sz w:val="24"/>
          <w:szCs w:val="24"/>
        </w:rPr>
        <w:footnoteReference w:id="548"/>
      </w:r>
      <w:r w:rsidRPr="00096909">
        <w:rPr>
          <w:rFonts w:ascii="Times New Roman" w:hAnsi="Times New Roman" w:cs="Times New Roman"/>
          <w:sz w:val="24"/>
          <w:szCs w:val="24"/>
        </w:rPr>
        <w:t xml:space="preserve"> Il gesto rappresentò dunque la gioiosa e concorde accoglienza della nuova duchessa da parte dei milanesi, della quale il patriziato si faceva garante e tutore scortandola personalmente fino alla cattedrale</w:t>
      </w:r>
      <w:r>
        <w:rPr>
          <w:rFonts w:ascii="Times New Roman" w:hAnsi="Times New Roman" w:cs="Times New Roman"/>
          <w:sz w:val="24"/>
          <w:szCs w:val="24"/>
        </w:rPr>
        <w:t>. È</w:t>
      </w:r>
      <w:r w:rsidRPr="00096909">
        <w:rPr>
          <w:rFonts w:ascii="Times New Roman" w:hAnsi="Times New Roman" w:cs="Times New Roman"/>
          <w:sz w:val="24"/>
          <w:szCs w:val="24"/>
        </w:rPr>
        <w:t xml:space="preserve"> rimarchevole il fatto che </w:t>
      </w:r>
      <w:r>
        <w:rPr>
          <w:rFonts w:ascii="Times New Roman" w:hAnsi="Times New Roman" w:cs="Times New Roman"/>
          <w:sz w:val="24"/>
          <w:szCs w:val="24"/>
        </w:rPr>
        <w:t>ciò</w:t>
      </w:r>
      <w:r w:rsidRPr="00096909">
        <w:rPr>
          <w:rFonts w:ascii="Times New Roman" w:hAnsi="Times New Roman" w:cs="Times New Roman"/>
          <w:sz w:val="24"/>
          <w:szCs w:val="24"/>
        </w:rPr>
        <w:t xml:space="preserve"> non sia menzionato né da Calco né da Dolcino. Le loro cronache, conformemente alle aspettative ducali, omettono infatti questo dettaglio, che potrebbe mostrare i principi come bisognosi dell’approvazione da parte del patriziato del loro governo.      </w:t>
      </w:r>
    </w:p>
    <w:p w14:paraId="2E802CB6" w14:textId="77777777" w:rsidR="000A28D9" w:rsidRPr="00096909" w:rsidRDefault="000A28D9" w:rsidP="000A28D9">
      <w:pPr>
        <w:spacing w:after="0" w:line="360" w:lineRule="auto"/>
        <w:ind w:firstLine="397"/>
        <w:jc w:val="both"/>
        <w:rPr>
          <w:rFonts w:ascii="Times New Roman" w:hAnsi="Times New Roman" w:cs="Times New Roman"/>
          <w:sz w:val="20"/>
          <w:szCs w:val="20"/>
        </w:rPr>
      </w:pPr>
      <w:r w:rsidRPr="00096909">
        <w:rPr>
          <w:rFonts w:ascii="Times New Roman" w:hAnsi="Times New Roman" w:cs="Times New Roman"/>
          <w:sz w:val="24"/>
          <w:szCs w:val="24"/>
        </w:rPr>
        <w:t xml:space="preserve">La lettera di un non bene identificato Servitor </w:t>
      </w:r>
      <w:r w:rsidRPr="00096909">
        <w:rPr>
          <w:rFonts w:ascii="Times New Roman" w:hAnsi="Times New Roman" w:cs="Times New Roman"/>
          <w:i/>
          <w:sz w:val="24"/>
          <w:szCs w:val="24"/>
        </w:rPr>
        <w:t>Stephanus</w:t>
      </w:r>
      <w:r w:rsidRPr="00096909">
        <w:rPr>
          <w:rFonts w:ascii="Times New Roman" w:hAnsi="Times New Roman" w:cs="Times New Roman"/>
          <w:sz w:val="24"/>
          <w:szCs w:val="24"/>
        </w:rPr>
        <w:t xml:space="preserve"> indirizzata l’11 febbraio 1489 a Lorenzo de’ Medici, consente poi di farsi un’idea dell’ampiezza e della composizione del corteo nuziale: 500 cavalli, 36 regole di frati, 60 cavalieri «tutti vestiti di broccato a oro con le collane», 50 donne, 28 «vestite di broccato a oro e con perle e gioie assai», 62 trombetti e 12 pifferi; oltre a 200 stradiotti e balestrieri a cavallo deputati alla sorveglianza.</w:t>
      </w:r>
      <w:r w:rsidRPr="00096909">
        <w:rPr>
          <w:rStyle w:val="Rimandonotaapidipagina"/>
          <w:rFonts w:ascii="Times New Roman" w:hAnsi="Times New Roman" w:cs="Times New Roman"/>
        </w:rPr>
        <w:footnoteReference w:id="549"/>
      </w:r>
    </w:p>
    <w:p w14:paraId="06401FB5"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Spiccarono per eleganza e portamento il marchese di Zibello, Gian Francesco Pallavicino, e il conte di Angera e Arona, Giovanni Borromeo, impegnati come palafrenieri della sposa.</w:t>
      </w:r>
      <w:r w:rsidRPr="00096909">
        <w:rPr>
          <w:rStyle w:val="Rimandonotaapidipagina"/>
          <w:rFonts w:ascii="Times New Roman" w:hAnsi="Times New Roman" w:cs="Times New Roman"/>
        </w:rPr>
        <w:footnoteReference w:id="550"/>
      </w:r>
      <w:r w:rsidRPr="00096909">
        <w:rPr>
          <w:rFonts w:ascii="Times New Roman" w:hAnsi="Times New Roman" w:cs="Times New Roman"/>
          <w:sz w:val="24"/>
          <w:szCs w:val="24"/>
        </w:rPr>
        <w:t xml:space="preserve"> </w:t>
      </w:r>
    </w:p>
    <w:p w14:paraId="650D1135"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Giunti sulla piazza del Duomo, Isabella e il duca smontarono da cavallo, e dopo aver ricevuto l’omaggio delle nobildonne lombarde radunate presso il tiburio, entrarono nella cattedrale [XI, 2-3]. </w:t>
      </w:r>
    </w:p>
    <w:p w14:paraId="415A0FC5"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resoconto di </w:t>
      </w:r>
      <w:r w:rsidRPr="00096909">
        <w:rPr>
          <w:rFonts w:ascii="Times New Roman" w:hAnsi="Times New Roman" w:cs="Times New Roman"/>
          <w:sz w:val="24"/>
          <w:szCs w:val="24"/>
        </w:rPr>
        <w:t xml:space="preserve">Dolcino afferma che, nel luogo ove un tempo sorgeva l’altare di Santa Maria Maggiore, era stato montato un altare provvisorio collocato su un palco per la cerimonia, in corrispondenza dei quattro piloni di sostegno del tiburio [XII, 1]. Tale palco era composto di più piattaforme e gradoni e sul retro presentava una scala per l’accesso dei sacerdoti. In corrispondenza con i piloni posteriori era stato disposto un apparato, definito </w:t>
      </w:r>
      <w:r w:rsidRPr="00096909">
        <w:rPr>
          <w:rFonts w:ascii="Times New Roman" w:hAnsi="Times New Roman" w:cs="Times New Roman"/>
          <w:i/>
          <w:sz w:val="24"/>
          <w:szCs w:val="24"/>
        </w:rPr>
        <w:t>abacus</w:t>
      </w:r>
      <w:r w:rsidRPr="00096909">
        <w:rPr>
          <w:rFonts w:ascii="Times New Roman" w:hAnsi="Times New Roman" w:cs="Times New Roman"/>
          <w:sz w:val="24"/>
          <w:szCs w:val="24"/>
        </w:rPr>
        <w:t xml:space="preserve"> da Calco, composto di sette gradoni che progressivamente si riducevano al vertice, sui cui ripiani erano esposti i più preziosi oggetti del tesoro personale di Ludovico il Moro: vasi, coppe, piatti, candelabri cesellati in oro e argento, anfore in cristallo di rocca e sessanta grandi reliquiari di santi [XII, 2]. </w:t>
      </w:r>
    </w:p>
    <w:p w14:paraId="371BD986"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passione per l’oreficeria di Ludovico è assai documentata, e il fatto che nel 1485 egli richiedesse ad Ercole I d’Este l’invio di disegni per vasi da credenza, ad esempio, indica quanto volesse tenere aggiornata la propria raccolta secondo le mode più attuali.</w:t>
      </w:r>
      <w:r w:rsidRPr="00096909">
        <w:rPr>
          <w:rStyle w:val="Rimandonotaapidipagina"/>
          <w:rFonts w:ascii="Times New Roman" w:hAnsi="Times New Roman" w:cs="Times New Roman"/>
        </w:rPr>
        <w:footnoteReference w:id="551"/>
      </w:r>
      <w:r w:rsidRPr="00096909">
        <w:rPr>
          <w:rFonts w:ascii="Times New Roman" w:hAnsi="Times New Roman" w:cs="Times New Roman"/>
          <w:sz w:val="24"/>
          <w:szCs w:val="24"/>
        </w:rPr>
        <w:t xml:space="preserve"> </w:t>
      </w:r>
    </w:p>
    <w:p w14:paraId="4274C52B"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mostra pubblica di oggetti proveniente dal tesoro ducale durante cerimonie dinastiche era usuale alla corte sforzesca. Per l’investitura ducale di Ludovico del 26 maggio 1495, ad esempio, fu allestito sul sagrato del Duomo un ampio padiglione per ospitare la messa pontificale. Di questa cerimonia abbiamo un’importante testimonianza iconografica nell’</w:t>
      </w:r>
      <w:r w:rsidR="00937EAC">
        <w:rPr>
          <w:rFonts w:ascii="Times New Roman" w:hAnsi="Times New Roman" w:cs="Times New Roman"/>
          <w:sz w:val="24"/>
          <w:szCs w:val="24"/>
        </w:rPr>
        <w:t>a</w:t>
      </w:r>
      <w:r w:rsidRPr="00096909">
        <w:rPr>
          <w:rFonts w:ascii="Times New Roman" w:hAnsi="Times New Roman" w:cs="Times New Roman"/>
          <w:sz w:val="24"/>
          <w:szCs w:val="24"/>
        </w:rPr>
        <w:t>ntiporta del Messale Arcimboldi, commissionato dall’arcivescovo Guido Antonio in memoria dell’evento (fig. 5</w:t>
      </w:r>
      <w:r>
        <w:rPr>
          <w:rFonts w:ascii="Times New Roman" w:hAnsi="Times New Roman" w:cs="Times New Roman"/>
          <w:sz w:val="24"/>
          <w:szCs w:val="24"/>
        </w:rPr>
        <w:t>0</w:t>
      </w:r>
      <w:r w:rsidRPr="00096909">
        <w:rPr>
          <w:rFonts w:ascii="Times New Roman" w:hAnsi="Times New Roman" w:cs="Times New Roman"/>
          <w:sz w:val="24"/>
          <w:szCs w:val="24"/>
        </w:rPr>
        <w:t>).</w:t>
      </w:r>
      <w:r w:rsidRPr="00096909">
        <w:rPr>
          <w:rStyle w:val="Rimandonotaapidipagina"/>
          <w:rFonts w:ascii="Times New Roman" w:hAnsi="Times New Roman" w:cs="Times New Roman"/>
        </w:rPr>
        <w:footnoteReference w:id="552"/>
      </w:r>
      <w:r w:rsidRPr="00096909">
        <w:rPr>
          <w:rFonts w:ascii="Times New Roman" w:hAnsi="Times New Roman" w:cs="Times New Roman"/>
          <w:sz w:val="24"/>
          <w:szCs w:val="24"/>
        </w:rPr>
        <w:t xml:space="preserve"> Il miniatore che ha realizzato l’opera – identificato come Maestro del Messale Arcimboldi, ovvero con un artista probabilmente operante nell’ambito della bottega dei </w:t>
      </w:r>
      <w:r w:rsidR="00937EAC">
        <w:rPr>
          <w:rFonts w:ascii="Times New Roman" w:hAnsi="Times New Roman" w:cs="Times New Roman"/>
          <w:sz w:val="24"/>
          <w:szCs w:val="24"/>
        </w:rPr>
        <w:t>d</w:t>
      </w:r>
      <w:r w:rsidRPr="00096909">
        <w:rPr>
          <w:rFonts w:ascii="Times New Roman" w:hAnsi="Times New Roman" w:cs="Times New Roman"/>
          <w:sz w:val="24"/>
          <w:szCs w:val="24"/>
        </w:rPr>
        <w:t xml:space="preserve">e Predis – colloca sulla parete di fondo di un apparato ligneo rivestito di damaschi porpora e oro un’alta credenza a più ripiani con piatti, anfore e vasi, in tutto simile a quella descritta da Dolcino. Davanti a essa l’arcivescovo, perfettamente al centro della scena, è intento all’officiatura del rito, accompagnato dalle musiche </w:t>
      </w:r>
      <w:r w:rsidRPr="00096909">
        <w:rPr>
          <w:rFonts w:ascii="Times New Roman" w:hAnsi="Times New Roman" w:cs="Times New Roman"/>
          <w:sz w:val="24"/>
          <w:szCs w:val="24"/>
        </w:rPr>
        <w:lastRenderedPageBreak/>
        <w:t xml:space="preserve">dei cantori alle sue spalle. Nella tribuna di sinistra il Moro ascolta la lettura della bolla imperiale d’investitura da parte dei legati </w:t>
      </w:r>
      <w:bookmarkStart w:id="433" w:name="_Hlk535955949"/>
      <w:r w:rsidRPr="00096909">
        <w:rPr>
          <w:rFonts w:ascii="Times New Roman" w:hAnsi="Times New Roman" w:cs="Times New Roman"/>
          <w:sz w:val="24"/>
          <w:szCs w:val="24"/>
        </w:rPr>
        <w:t>Melchior von Meckau</w:t>
      </w:r>
      <w:bookmarkEnd w:id="433"/>
      <w:r w:rsidRPr="00096909">
        <w:rPr>
          <w:rFonts w:ascii="Times New Roman" w:hAnsi="Times New Roman" w:cs="Times New Roman"/>
          <w:sz w:val="24"/>
          <w:szCs w:val="24"/>
        </w:rPr>
        <w:t xml:space="preserve">, vescovo di Bressanone, e </w:t>
      </w:r>
      <w:bookmarkStart w:id="434" w:name="_Hlk535955990"/>
      <w:r w:rsidRPr="00096909">
        <w:rPr>
          <w:rFonts w:ascii="Times New Roman" w:hAnsi="Times New Roman" w:cs="Times New Roman"/>
          <w:sz w:val="24"/>
          <w:szCs w:val="24"/>
        </w:rPr>
        <w:t>Corrado Strucina</w:t>
      </w:r>
      <w:bookmarkEnd w:id="434"/>
      <w:r w:rsidRPr="00096909">
        <w:rPr>
          <w:rFonts w:ascii="Times New Roman" w:hAnsi="Times New Roman" w:cs="Times New Roman"/>
          <w:sz w:val="24"/>
          <w:szCs w:val="24"/>
        </w:rPr>
        <w:t>, identificabili grazie alla documentazione disponibile sull’evento. Di fronte a lui Galeazzo Sanseverino regge il vessillo con gli stemmi inquartati dell’aquila imperiale e del biscione visconteo-sforzesco, mentre a sinistra Galeazzo, conte di Melzo, regge la spada della giustizia. In basso, tra le dame di corte, spicca la moglie del duca, Beatrice d’Este. L’intento documentale della fonte iconografica, nonostante la marcata caratterizzazione fisiognomica del solo Ludovico, è quindi assai elevato, ed è possibile guardare all’apparato in essa miniato per farsi un’idea della bellezza dell’</w:t>
      </w:r>
      <w:r w:rsidRPr="00096909">
        <w:rPr>
          <w:rFonts w:ascii="Times New Roman" w:hAnsi="Times New Roman" w:cs="Times New Roman"/>
          <w:i/>
          <w:sz w:val="24"/>
          <w:szCs w:val="24"/>
        </w:rPr>
        <w:t>abacus</w:t>
      </w:r>
      <w:r w:rsidRPr="00096909">
        <w:rPr>
          <w:rFonts w:ascii="Times New Roman" w:hAnsi="Times New Roman" w:cs="Times New Roman"/>
          <w:sz w:val="24"/>
          <w:szCs w:val="24"/>
        </w:rPr>
        <w:t xml:space="preserve"> descritto da Dolcino. </w:t>
      </w:r>
    </w:p>
    <w:p w14:paraId="14BCD425" w14:textId="77777777" w:rsidR="000A28D9" w:rsidRPr="00096909" w:rsidRDefault="000A28D9" w:rsidP="000A28D9">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 la presenza di lussuose credenze colme di vasellami preziosi era piuttosto usuale nelle sale dei bacchetti quattrocenteschi, quel che sorprende è qui l’esposizione durante la Messa sponsale e di investitura ducale dei tesori di Ludovico, visibili così a un numero ben più ampio di spettatori e decisiva per la diffusione di una immagine pubblica della magnificenza ducale.  </w:t>
      </w:r>
    </w:p>
    <w:p w14:paraId="2B235AE5" w14:textId="77777777" w:rsidR="000A28D9" w:rsidRPr="00096909" w:rsidRDefault="000A28D9" w:rsidP="000A28D9">
      <w:pPr>
        <w:spacing w:after="0" w:line="360" w:lineRule="auto"/>
        <w:ind w:firstLine="397"/>
        <w:jc w:val="both"/>
        <w:rPr>
          <w:rFonts w:ascii="Times New Roman" w:hAnsi="Times New Roman"/>
          <w:sz w:val="24"/>
          <w:szCs w:val="24"/>
          <w:shd w:val="clear" w:color="auto" w:fill="FFFFFF"/>
        </w:rPr>
      </w:pPr>
      <w:r w:rsidRPr="00096909">
        <w:rPr>
          <w:rFonts w:ascii="Times New Roman" w:hAnsi="Times New Roman" w:cs="Times New Roman"/>
          <w:sz w:val="24"/>
          <w:szCs w:val="24"/>
        </w:rPr>
        <w:t xml:space="preserve">Dolcino informa inoltre il lettore della cerimonia sponsale, officiata da Fabrizio Marliani, vescovo di Piacenza, e accompagnata dalle musiche di </w:t>
      </w:r>
      <w:r w:rsidRPr="00096909">
        <w:rPr>
          <w:rFonts w:ascii="Times New Roman" w:hAnsi="Times New Roman" w:cs="Times New Roman"/>
          <w:i/>
          <w:sz w:val="24"/>
          <w:szCs w:val="24"/>
        </w:rPr>
        <w:t>gallici cantores</w:t>
      </w:r>
      <w:r w:rsidRPr="00096909">
        <w:rPr>
          <w:rFonts w:ascii="Times New Roman" w:hAnsi="Times New Roman" w:cs="Times New Roman"/>
          <w:sz w:val="24"/>
          <w:szCs w:val="24"/>
        </w:rPr>
        <w:t xml:space="preserve"> sostenuti </w:t>
      </w:r>
      <w:r w:rsidRPr="00096909">
        <w:rPr>
          <w:rFonts w:ascii="Times New Roman" w:hAnsi="Times New Roman" w:cs="Times New Roman"/>
          <w:i/>
          <w:sz w:val="24"/>
          <w:szCs w:val="24"/>
        </w:rPr>
        <w:t>alternatim</w:t>
      </w:r>
      <w:r w:rsidRPr="00096909">
        <w:rPr>
          <w:rFonts w:ascii="Times New Roman" w:hAnsi="Times New Roman" w:cs="Times New Roman"/>
          <w:sz w:val="24"/>
          <w:szCs w:val="24"/>
        </w:rPr>
        <w:t xml:space="preserve"> nel canto da un concerto di organo e trombe. A tenere l’omelia, scrupolosamente riportata da Calco nella relazione ufficiale, fu invece il vescovo di </w:t>
      </w:r>
      <w:r w:rsidRPr="00096909">
        <w:rPr>
          <w:rFonts w:ascii="Times New Roman" w:hAnsi="Times New Roman"/>
          <w:sz w:val="24"/>
          <w:szCs w:val="24"/>
          <w:shd w:val="clear" w:color="auto" w:fill="FFFFFF"/>
        </w:rPr>
        <w:t>Maillezais, F</w:t>
      </w:r>
      <w:r w:rsidR="005D7165">
        <w:rPr>
          <w:rFonts w:ascii="Times New Roman" w:hAnsi="Times New Roman"/>
          <w:sz w:val="24"/>
          <w:szCs w:val="24"/>
          <w:shd w:val="clear" w:color="auto" w:fill="FFFFFF"/>
        </w:rPr>
        <w:t>ederico</w:t>
      </w:r>
      <w:r w:rsidRPr="00096909">
        <w:rPr>
          <w:rFonts w:ascii="Times New Roman" w:hAnsi="Times New Roman"/>
          <w:sz w:val="24"/>
          <w:szCs w:val="24"/>
          <w:shd w:val="clear" w:color="auto" w:fill="FFFFFF"/>
        </w:rPr>
        <w:t xml:space="preserve"> Sanseverino [XIII].</w:t>
      </w:r>
      <w:r w:rsidRPr="00096909">
        <w:rPr>
          <w:rStyle w:val="Rimandonotaapidipagina"/>
          <w:rFonts w:ascii="Times New Roman" w:hAnsi="Times New Roman"/>
          <w:shd w:val="clear" w:color="auto" w:fill="FFFFFF"/>
        </w:rPr>
        <w:footnoteReference w:id="553"/>
      </w:r>
      <w:r w:rsidRPr="00096909">
        <w:rPr>
          <w:rFonts w:ascii="Times New Roman" w:hAnsi="Times New Roman"/>
          <w:sz w:val="24"/>
          <w:szCs w:val="24"/>
          <w:shd w:val="clear" w:color="auto" w:fill="FFFFFF"/>
        </w:rPr>
        <w:t xml:space="preserve"> </w:t>
      </w:r>
    </w:p>
    <w:p w14:paraId="0662D9AA" w14:textId="77777777" w:rsidR="000A28D9" w:rsidRPr="00096909" w:rsidRDefault="000A28D9" w:rsidP="000A28D9">
      <w:pPr>
        <w:spacing w:after="0" w:line="360" w:lineRule="auto"/>
        <w:ind w:firstLine="397"/>
        <w:jc w:val="both"/>
        <w:rPr>
          <w:rFonts w:ascii="Times New Roman" w:hAnsi="Times New Roman"/>
          <w:sz w:val="24"/>
          <w:szCs w:val="24"/>
          <w:shd w:val="clear" w:color="auto" w:fill="FFFFFF"/>
        </w:rPr>
      </w:pPr>
      <w:r w:rsidRPr="00096909">
        <w:rPr>
          <w:rFonts w:ascii="Times New Roman" w:hAnsi="Times New Roman"/>
          <w:sz w:val="24"/>
          <w:szCs w:val="24"/>
          <w:shd w:val="clear" w:color="auto" w:fill="FFFFFF"/>
        </w:rPr>
        <w:t xml:space="preserve">Compiuto il rito, lo sposo concesse il titolo di cavaliere aurato al primo segretario Bartolomeo Calco e all’ambasciatore della Repubblica di Firenze </w:t>
      </w:r>
      <w:bookmarkStart w:id="435" w:name="_Hlk535956070"/>
      <w:r w:rsidRPr="00096909">
        <w:rPr>
          <w:rFonts w:ascii="Times New Roman" w:hAnsi="Times New Roman"/>
          <w:sz w:val="24"/>
          <w:szCs w:val="24"/>
          <w:shd w:val="clear" w:color="auto" w:fill="FFFFFF"/>
        </w:rPr>
        <w:t xml:space="preserve">Piero di Boccaccino Alamanni </w:t>
      </w:r>
      <w:bookmarkEnd w:id="435"/>
      <w:r w:rsidRPr="00096909">
        <w:rPr>
          <w:rFonts w:ascii="Times New Roman" w:hAnsi="Times New Roman"/>
          <w:sz w:val="24"/>
          <w:szCs w:val="24"/>
          <w:shd w:val="clear" w:color="auto" w:fill="FFFFFF"/>
        </w:rPr>
        <w:t xml:space="preserve">[XIV]. La scelta di elevare i due dignitari nell’ordine equestre si doveva da un lato al proposito di affermare lo stretto legame tra il duca e il suo </w:t>
      </w:r>
      <w:r w:rsidRPr="00096909">
        <w:rPr>
          <w:rFonts w:ascii="Times New Roman" w:hAnsi="Times New Roman"/>
          <w:i/>
          <w:sz w:val="24"/>
          <w:szCs w:val="24"/>
          <w:shd w:val="clear" w:color="auto" w:fill="FFFFFF"/>
        </w:rPr>
        <w:t>entourage</w:t>
      </w:r>
      <w:r w:rsidRPr="00096909">
        <w:rPr>
          <w:rFonts w:ascii="Times New Roman" w:hAnsi="Times New Roman"/>
          <w:sz w:val="24"/>
          <w:szCs w:val="24"/>
          <w:shd w:val="clear" w:color="auto" w:fill="FFFFFF"/>
        </w:rPr>
        <w:t xml:space="preserve"> governativo, e dall’altro all’intento di ribadire le alleanze con Firenze e con i Medici, con cui i rapporti, dopo gli screzi successivi alla riconquista di Sarzana e al timore di un espansionismo fiorentino in Lunigiana (1487-1488), si erano ricomposti.</w:t>
      </w:r>
      <w:r w:rsidRPr="00096909">
        <w:rPr>
          <w:rStyle w:val="Rimandonotaapidipagina"/>
          <w:rFonts w:ascii="Times New Roman" w:hAnsi="Times New Roman"/>
          <w:shd w:val="clear" w:color="auto" w:fill="FFFFFF"/>
        </w:rPr>
        <w:footnoteReference w:id="554"/>
      </w:r>
      <w:r w:rsidRPr="00096909">
        <w:rPr>
          <w:rFonts w:ascii="Times New Roman" w:hAnsi="Times New Roman"/>
          <w:sz w:val="24"/>
          <w:szCs w:val="24"/>
          <w:shd w:val="clear" w:color="auto" w:fill="FFFFFF"/>
        </w:rPr>
        <w:t xml:space="preserve"> Allo sposalizio sforzesco Lorenzo il Magnifico ebbe cura d’inviare suo figlio Piero, </w:t>
      </w:r>
      <w:r w:rsidRPr="00096909">
        <w:rPr>
          <w:rFonts w:ascii="Times New Roman" w:hAnsi="Times New Roman"/>
          <w:sz w:val="24"/>
          <w:szCs w:val="24"/>
          <w:shd w:val="clear" w:color="auto" w:fill="FFFFFF"/>
        </w:rPr>
        <w:lastRenderedPageBreak/>
        <w:t xml:space="preserve">come apprendiamo dalla </w:t>
      </w:r>
      <w:r w:rsidRPr="00096909">
        <w:rPr>
          <w:rFonts w:ascii="Times New Roman" w:hAnsi="Times New Roman" w:cs="Times New Roman"/>
          <w:i/>
          <w:sz w:val="24"/>
          <w:szCs w:val="24"/>
        </w:rPr>
        <w:t xml:space="preserve">Descriptione </w:t>
      </w:r>
      <w:r w:rsidRPr="00096909">
        <w:rPr>
          <w:rFonts w:ascii="Times New Roman" w:hAnsi="Times New Roman" w:cs="Times New Roman"/>
          <w:sz w:val="24"/>
          <w:szCs w:val="24"/>
        </w:rPr>
        <w:t>dell’anonimo manoscritto parigino e dalla lettera di servitor Stephanus, la quale dà notizie anche sull’apprezzamento degli ospiti di riguardo del ricercato abbigliamento del Medici.</w:t>
      </w:r>
      <w:r w:rsidRPr="00096909">
        <w:rPr>
          <w:rStyle w:val="Rimandonotaapidipagina"/>
          <w:rFonts w:ascii="Times New Roman" w:hAnsi="Times New Roman"/>
          <w:shd w:val="clear" w:color="auto" w:fill="FFFFFF"/>
        </w:rPr>
        <w:footnoteReference w:id="555"/>
      </w:r>
      <w:r w:rsidRPr="00096909">
        <w:rPr>
          <w:rFonts w:ascii="Times New Roman" w:hAnsi="Times New Roman" w:cs="Times New Roman"/>
          <w:sz w:val="24"/>
          <w:szCs w:val="24"/>
        </w:rPr>
        <w:t xml:space="preserve"> </w:t>
      </w:r>
    </w:p>
    <w:p w14:paraId="1944F367" w14:textId="77777777" w:rsidR="000A28D9" w:rsidRPr="00096909" w:rsidRDefault="000A28D9" w:rsidP="000A28D9">
      <w:pPr>
        <w:spacing w:after="0" w:line="360" w:lineRule="auto"/>
        <w:ind w:firstLine="397"/>
        <w:jc w:val="both"/>
        <w:rPr>
          <w:rFonts w:ascii="Times New Roman" w:hAnsi="Times New Roman"/>
          <w:sz w:val="24"/>
          <w:szCs w:val="24"/>
          <w:shd w:val="clear" w:color="auto" w:fill="FFFFFF"/>
        </w:rPr>
      </w:pPr>
      <w:r w:rsidRPr="00096909">
        <w:rPr>
          <w:rFonts w:ascii="Times New Roman" w:hAnsi="Times New Roman"/>
          <w:sz w:val="24"/>
          <w:szCs w:val="24"/>
          <w:shd w:val="clear" w:color="auto" w:fill="FFFFFF"/>
        </w:rPr>
        <w:t>Il fatto che nella stessa cerimonia anche Bartolomeo Calco fosse insignito del titolo di cavaliere depone poi a favore delle finalità cortigiane dell’incunabolo dello Zarotto</w:t>
      </w:r>
      <w:r w:rsidR="005F37C4">
        <w:rPr>
          <w:rFonts w:ascii="Times New Roman" w:hAnsi="Times New Roman"/>
          <w:sz w:val="24"/>
          <w:szCs w:val="24"/>
          <w:shd w:val="clear" w:color="auto" w:fill="FFFFFF"/>
        </w:rPr>
        <w:t>, il quale</w:t>
      </w:r>
      <w:r w:rsidRPr="00096909">
        <w:rPr>
          <w:rFonts w:ascii="Times New Roman" w:hAnsi="Times New Roman"/>
          <w:sz w:val="24"/>
          <w:szCs w:val="24"/>
          <w:shd w:val="clear" w:color="auto" w:fill="FFFFFF"/>
        </w:rPr>
        <w:t xml:space="preserve"> sarà circolato</w:t>
      </w:r>
      <w:r w:rsidR="005F37C4">
        <w:rPr>
          <w:rFonts w:ascii="Times New Roman" w:hAnsi="Times New Roman"/>
          <w:sz w:val="24"/>
          <w:szCs w:val="24"/>
          <w:shd w:val="clear" w:color="auto" w:fill="FFFFFF"/>
        </w:rPr>
        <w:t xml:space="preserve"> presumibilmente</w:t>
      </w:r>
      <w:r w:rsidRPr="00096909">
        <w:rPr>
          <w:rFonts w:ascii="Times New Roman" w:hAnsi="Times New Roman"/>
          <w:sz w:val="24"/>
          <w:szCs w:val="24"/>
          <w:shd w:val="clear" w:color="auto" w:fill="FFFFFF"/>
        </w:rPr>
        <w:t xml:space="preserve"> tra le mani di un pubblico di lettori aristocratici, che insieme alle notizie sulle feste milanesi avranno gradito gli aggiornamenti sulle carriere degli illustri dignitari.  </w:t>
      </w:r>
    </w:p>
    <w:p w14:paraId="053A6314" w14:textId="77777777" w:rsidR="000A28D9" w:rsidRPr="00096909" w:rsidRDefault="000A28D9" w:rsidP="000A28D9">
      <w:pPr>
        <w:spacing w:after="0" w:line="360" w:lineRule="auto"/>
        <w:ind w:firstLine="397"/>
        <w:jc w:val="both"/>
        <w:rPr>
          <w:rFonts w:ascii="Times New Roman" w:hAnsi="Times New Roman"/>
          <w:sz w:val="24"/>
          <w:szCs w:val="24"/>
          <w:shd w:val="clear" w:color="auto" w:fill="FFFFFF"/>
        </w:rPr>
      </w:pPr>
      <w:r w:rsidRPr="00096909">
        <w:rPr>
          <w:rFonts w:ascii="Times New Roman" w:hAnsi="Times New Roman"/>
          <w:sz w:val="24"/>
          <w:szCs w:val="24"/>
          <w:shd w:val="clear" w:color="auto" w:fill="FFFFFF"/>
        </w:rPr>
        <w:t>Con il ritorno del corteo degli invitati al castello si chiude il resoconto di Stefano Dolcino, che commenta ammirato l’immensa affluenza di popolo al passaggio degli sposi. Nelle sue parole Milano è tornata ai fasti di quando erano state celebrate in città le nozze dell’imperatore Onorio con Maria, figlia di Stilicone, nel 398 d. C., a ragione del concorso eccezionale di nobili, ambasciatori e popolani spettatori [XVI].</w:t>
      </w:r>
      <w:r w:rsidRPr="00096909">
        <w:rPr>
          <w:rStyle w:val="Rimandonotaapidipagina"/>
          <w:rFonts w:ascii="Times New Roman" w:hAnsi="Times New Roman"/>
          <w:shd w:val="clear" w:color="auto" w:fill="FFFFFF"/>
        </w:rPr>
        <w:footnoteReference w:id="556"/>
      </w:r>
      <w:r w:rsidRPr="00096909">
        <w:rPr>
          <w:rFonts w:ascii="Times New Roman" w:hAnsi="Times New Roman"/>
          <w:sz w:val="24"/>
          <w:szCs w:val="24"/>
          <w:shd w:val="clear" w:color="auto" w:fill="FFFFFF"/>
        </w:rPr>
        <w:t xml:space="preserve"> </w:t>
      </w:r>
    </w:p>
    <w:p w14:paraId="2BF7B3A2" w14:textId="77777777" w:rsidR="000A28D9" w:rsidRDefault="000A28D9" w:rsidP="000A28D9">
      <w:pPr>
        <w:spacing w:after="0" w:line="360" w:lineRule="auto"/>
        <w:ind w:firstLine="397"/>
        <w:jc w:val="both"/>
        <w:rPr>
          <w:rFonts w:ascii="Times New Roman" w:hAnsi="Times New Roman" w:cs="Times New Roman"/>
          <w:sz w:val="24"/>
          <w:szCs w:val="24"/>
          <w:lang w:eastAsia="it-IT"/>
        </w:rPr>
      </w:pPr>
      <w:r w:rsidRPr="00096909">
        <w:rPr>
          <w:rFonts w:ascii="Times New Roman" w:hAnsi="Times New Roman"/>
          <w:sz w:val="24"/>
          <w:szCs w:val="24"/>
          <w:shd w:val="clear" w:color="auto" w:fill="FFFFFF"/>
        </w:rPr>
        <w:t xml:space="preserve">Lo spettacolo delle nozze sforzesche </w:t>
      </w:r>
      <w:r>
        <w:rPr>
          <w:rFonts w:ascii="Times New Roman" w:hAnsi="Times New Roman"/>
          <w:sz w:val="24"/>
          <w:szCs w:val="24"/>
          <w:shd w:val="clear" w:color="auto" w:fill="FFFFFF"/>
        </w:rPr>
        <w:t>aveva</w:t>
      </w:r>
      <w:r w:rsidRPr="00096909">
        <w:rPr>
          <w:rFonts w:ascii="Times New Roman" w:hAnsi="Times New Roman"/>
          <w:sz w:val="24"/>
          <w:szCs w:val="24"/>
          <w:shd w:val="clear" w:color="auto" w:fill="FFFFFF"/>
        </w:rPr>
        <w:t xml:space="preserve"> compiuto dunque il prodigio di un ritorno all’antichità, sospeso tra sogno e realtà, tra rappresentazione magnifica del potere ducale e diplomatico dialogo tra il principe, la casa reale di Napoli e l’aristocrazia cittadina. In questo gioco di dosate alchimie si inserì lo scritto del letterato Dolcino, che di ogni cosa restituisce un’immagine antichizzata e solenne. Il suo testo non </w:t>
      </w:r>
      <w:r>
        <w:rPr>
          <w:rFonts w:ascii="Times New Roman" w:hAnsi="Times New Roman"/>
          <w:sz w:val="24"/>
          <w:szCs w:val="24"/>
          <w:shd w:val="clear" w:color="auto" w:fill="FFFFFF"/>
        </w:rPr>
        <w:t>era</w:t>
      </w:r>
      <w:r w:rsidRPr="00096909">
        <w:rPr>
          <w:rFonts w:ascii="Times New Roman" w:hAnsi="Times New Roman"/>
          <w:sz w:val="24"/>
          <w:szCs w:val="24"/>
          <w:shd w:val="clear" w:color="auto" w:fill="FFFFFF"/>
        </w:rPr>
        <w:t xml:space="preserve"> un semplice omaggio cortigiano ma un prodotto di erudizione umanistica dalla orgogliosa intonazione milanese, in cui le lodi della città e del suo glorioso passato si trasforma</w:t>
      </w:r>
      <w:r>
        <w:rPr>
          <w:rFonts w:ascii="Times New Roman" w:hAnsi="Times New Roman"/>
          <w:sz w:val="24"/>
          <w:szCs w:val="24"/>
          <w:shd w:val="clear" w:color="auto" w:fill="FFFFFF"/>
        </w:rPr>
        <w:t>va</w:t>
      </w:r>
      <w:r w:rsidRPr="00096909">
        <w:rPr>
          <w:rFonts w:ascii="Times New Roman" w:hAnsi="Times New Roman"/>
          <w:sz w:val="24"/>
          <w:szCs w:val="24"/>
          <w:shd w:val="clear" w:color="auto" w:fill="FFFFFF"/>
        </w:rPr>
        <w:t xml:space="preserve">no in quelle del suo signore </w:t>
      </w:r>
      <w:r w:rsidRPr="00096909">
        <w:rPr>
          <w:rFonts w:ascii="Times New Roman" w:hAnsi="Times New Roman"/>
          <w:i/>
          <w:sz w:val="24"/>
          <w:szCs w:val="24"/>
          <w:shd w:val="clear" w:color="auto" w:fill="FFFFFF"/>
        </w:rPr>
        <w:t>de facto</w:t>
      </w:r>
      <w:r w:rsidRPr="00096909">
        <w:rPr>
          <w:rFonts w:ascii="Times New Roman" w:hAnsi="Times New Roman"/>
          <w:sz w:val="24"/>
          <w:szCs w:val="24"/>
          <w:shd w:val="clear" w:color="auto" w:fill="FFFFFF"/>
        </w:rPr>
        <w:t>. Il momento irripetibile e mirabile della festa fu dunque affidato alle carte di un libretto che, come attesta la citata lettera conclusiva dell’editore Corvini [XIX, 2], venne impresso in mille copie, offerte probabilmente in omaggio a dignitari e ambasciatori o a personalità aristocratiche in contatto con la famiglia Corvini, quindi già partecipi delle lussuose cerimonie, che avrebbero potuto trasmettere ad altre corti le notizie contenute nel libretto. Il ben confezionato racconto avrebbe elevato la Milano di Ludovico il Moro al</w:t>
      </w:r>
      <w:r>
        <w:rPr>
          <w:rFonts w:ascii="Times New Roman" w:hAnsi="Times New Roman"/>
          <w:sz w:val="24"/>
          <w:szCs w:val="24"/>
          <w:shd w:val="clear" w:color="auto" w:fill="FFFFFF"/>
        </w:rPr>
        <w:t xml:space="preserve">l’altezza </w:t>
      </w:r>
      <w:r w:rsidRPr="00096909">
        <w:rPr>
          <w:rFonts w:ascii="Times New Roman" w:hAnsi="Times New Roman"/>
          <w:sz w:val="24"/>
          <w:szCs w:val="24"/>
          <w:shd w:val="clear" w:color="auto" w:fill="FFFFFF"/>
        </w:rPr>
        <w:t xml:space="preserve">dei maggiori principati dell’epoca, complici l’elegante prosa dell’autore, il gusto cortigiano dei festeggiamenti, la ricchezza di apparati, abiti, decorazioni. Una </w:t>
      </w:r>
      <w:r w:rsidRPr="00096909">
        <w:rPr>
          <w:rFonts w:ascii="Times New Roman" w:hAnsi="Times New Roman"/>
          <w:sz w:val="24"/>
          <w:szCs w:val="24"/>
          <w:shd w:val="clear" w:color="auto" w:fill="FFFFFF"/>
        </w:rPr>
        <w:lastRenderedPageBreak/>
        <w:t>sofisticata propaganda, che si serviva della nuova arte tipografica per raggiungere un pubblico più vasto di quello incantato con la bellezza delle feste e degli spettacoli.</w:t>
      </w:r>
      <w:r w:rsidRPr="00096909">
        <w:rPr>
          <w:rFonts w:ascii="Times New Roman" w:hAnsi="Times New Roman" w:cs="Times New Roman"/>
          <w:sz w:val="24"/>
          <w:szCs w:val="24"/>
          <w:lang w:eastAsia="it-IT"/>
        </w:rPr>
        <w:t xml:space="preserve"> </w:t>
      </w:r>
    </w:p>
    <w:p w14:paraId="58B31EA0" w14:textId="77777777" w:rsidR="00D22C4C" w:rsidRDefault="00D22C4C" w:rsidP="000A28D9">
      <w:pPr>
        <w:spacing w:after="0" w:line="360" w:lineRule="auto"/>
        <w:ind w:firstLine="397"/>
        <w:jc w:val="both"/>
        <w:rPr>
          <w:rFonts w:ascii="Times New Roman" w:hAnsi="Times New Roman" w:cs="Times New Roman"/>
          <w:sz w:val="24"/>
          <w:szCs w:val="24"/>
          <w:lang w:eastAsia="it-IT"/>
        </w:rPr>
      </w:pPr>
    </w:p>
    <w:p w14:paraId="6AAAB29E" w14:textId="77777777" w:rsidR="00D22C4C" w:rsidRDefault="00D22C4C" w:rsidP="000A28D9">
      <w:pPr>
        <w:spacing w:after="0" w:line="360" w:lineRule="auto"/>
        <w:ind w:firstLine="397"/>
        <w:jc w:val="both"/>
        <w:rPr>
          <w:rFonts w:ascii="Times New Roman" w:hAnsi="Times New Roman" w:cs="Times New Roman"/>
          <w:sz w:val="24"/>
          <w:szCs w:val="24"/>
          <w:lang w:eastAsia="it-IT"/>
        </w:rPr>
      </w:pPr>
    </w:p>
    <w:p w14:paraId="31935714" w14:textId="77777777" w:rsidR="00D22C4C" w:rsidRPr="00096909" w:rsidRDefault="00D22C4C" w:rsidP="00D22C4C">
      <w:pPr>
        <w:spacing w:after="0" w:line="360" w:lineRule="auto"/>
        <w:jc w:val="both"/>
        <w:rPr>
          <w:rFonts w:ascii="Times New Roman" w:hAnsi="Times New Roman" w:cs="Times New Roman"/>
          <w:i/>
          <w:sz w:val="24"/>
          <w:szCs w:val="24"/>
          <w:lang w:eastAsia="it-IT"/>
        </w:rPr>
      </w:pPr>
      <w:r w:rsidRPr="006A4367">
        <w:rPr>
          <w:rFonts w:ascii="Times New Roman" w:hAnsi="Times New Roman" w:cs="Times New Roman"/>
          <w:sz w:val="24"/>
          <w:szCs w:val="24"/>
          <w:lang w:eastAsia="it-IT"/>
        </w:rPr>
        <w:t>6.</w:t>
      </w:r>
      <w:r w:rsidRPr="00096909">
        <w:rPr>
          <w:rFonts w:ascii="Times New Roman" w:hAnsi="Times New Roman" w:cs="Times New Roman"/>
          <w:i/>
          <w:sz w:val="24"/>
          <w:szCs w:val="24"/>
          <w:lang w:eastAsia="it-IT"/>
        </w:rPr>
        <w:t xml:space="preserve"> Lo sposalizio di Massimiliano I d’Asburgo e Bianca Maria Sforza (1493).</w:t>
      </w:r>
    </w:p>
    <w:p w14:paraId="7C806185" w14:textId="77777777" w:rsidR="00D22C4C" w:rsidRPr="00096909" w:rsidRDefault="00D22C4C" w:rsidP="00D22C4C">
      <w:pPr>
        <w:spacing w:after="0" w:line="360" w:lineRule="auto"/>
        <w:ind w:right="-1"/>
        <w:jc w:val="both"/>
        <w:rPr>
          <w:rFonts w:ascii="Times New Roman" w:hAnsi="Times New Roman" w:cs="Times New Roman"/>
          <w:sz w:val="24"/>
          <w:szCs w:val="24"/>
        </w:rPr>
      </w:pPr>
    </w:p>
    <w:p w14:paraId="642A218D" w14:textId="77777777" w:rsidR="00D22C4C" w:rsidRPr="00096909" w:rsidRDefault="00D22C4C" w:rsidP="00D22C4C">
      <w:pPr>
        <w:pStyle w:val="Nessunaspaziatura"/>
        <w:spacing w:line="360" w:lineRule="auto"/>
        <w:jc w:val="both"/>
        <w:rPr>
          <w:rFonts w:ascii="Times New Roman" w:hAnsi="Times New Roman"/>
          <w:sz w:val="24"/>
          <w:szCs w:val="24"/>
        </w:rPr>
      </w:pPr>
      <w:r w:rsidRPr="00096909">
        <w:rPr>
          <w:rFonts w:ascii="Times New Roman" w:hAnsi="Times New Roman"/>
          <w:sz w:val="24"/>
          <w:szCs w:val="24"/>
        </w:rPr>
        <w:t xml:space="preserve">Per il matrimonio del re dei romani Massimiliano d’Asburgo con Bianca Maria Sforza, celebrato per procura a Milano il 30 novembre 1493, furono editi due testi che chiudono la serie di pubblicazioni con descrizioni di festeggiamenti nuziali apparse in Italia nel secolo XV: </w:t>
      </w:r>
      <w:r w:rsidRPr="00096909">
        <w:rPr>
          <w:rFonts w:ascii="Times New Roman" w:hAnsi="Times New Roman" w:cs="Times New Roman"/>
          <w:sz w:val="24"/>
          <w:szCs w:val="24"/>
        </w:rPr>
        <w:t xml:space="preserve">la </w:t>
      </w:r>
      <w:r w:rsidRPr="00096909">
        <w:rPr>
          <w:rFonts w:ascii="Times New Roman" w:hAnsi="Times New Roman" w:cs="Times New Roman"/>
          <w:i/>
          <w:sz w:val="24"/>
          <w:szCs w:val="24"/>
        </w:rPr>
        <w:t>Coronazione e sposalizio</w:t>
      </w:r>
      <w:r w:rsidRPr="00096909">
        <w:rPr>
          <w:rFonts w:ascii="Times New Roman" w:hAnsi="Times New Roman" w:cs="Times New Roman"/>
          <w:sz w:val="24"/>
          <w:szCs w:val="24"/>
        </w:rPr>
        <w:t xml:space="preserve"> di Baldassarre Taccone e l’</w:t>
      </w:r>
      <w:r w:rsidRPr="00096909">
        <w:rPr>
          <w:rFonts w:ascii="Times New Roman" w:hAnsi="Times New Roman" w:cs="Times New Roman"/>
          <w:i/>
          <w:sz w:val="24"/>
          <w:szCs w:val="24"/>
        </w:rPr>
        <w:t>Epithalamium</w:t>
      </w:r>
      <w:r w:rsidRPr="00096909">
        <w:rPr>
          <w:rFonts w:ascii="Times New Roman" w:hAnsi="Times New Roman" w:cs="Times New Roman"/>
          <w:sz w:val="24"/>
          <w:szCs w:val="24"/>
        </w:rPr>
        <w:t xml:space="preserve"> di Pietro Lazzaroni, stampati rispettivamente da Leonhard Pachel e da Antonio Zarotto.</w:t>
      </w:r>
      <w:r w:rsidRPr="00096909">
        <w:rPr>
          <w:rStyle w:val="Rimandonotaapidipagina"/>
          <w:rFonts w:ascii="Times New Roman" w:hAnsi="Times New Roman" w:cs="Times New Roman"/>
          <w:sz w:val="24"/>
          <w:szCs w:val="24"/>
        </w:rPr>
        <w:footnoteReference w:id="557"/>
      </w:r>
      <w:r w:rsidRPr="00096909">
        <w:rPr>
          <w:rFonts w:ascii="Times New Roman" w:hAnsi="Times New Roman" w:cs="Times New Roman"/>
          <w:sz w:val="24"/>
          <w:szCs w:val="24"/>
        </w:rPr>
        <w:t xml:space="preserve"> A questi libretti si può accostare, per pertinenza con l’evento, la stampa dell’orazione recitata da Giasone del Maino a Innsbruck il 16 marzo 1494 alla presenza dello sposo, impressa l’anno seguente da Leonhard Pachel e riedita, pochi mesi dopo, da Filippo Mantegazza.</w:t>
      </w:r>
      <w:r w:rsidRPr="00096909">
        <w:rPr>
          <w:rStyle w:val="Rimandonotaapidipagina"/>
          <w:rFonts w:ascii="Times New Roman" w:hAnsi="Times New Roman" w:cs="Times New Roman"/>
          <w:sz w:val="24"/>
          <w:szCs w:val="24"/>
        </w:rPr>
        <w:footnoteReference w:id="558"/>
      </w:r>
      <w:r w:rsidRPr="00096909">
        <w:rPr>
          <w:rFonts w:ascii="Times New Roman" w:hAnsi="Times New Roman" w:cs="Times New Roman"/>
          <w:sz w:val="24"/>
          <w:szCs w:val="24"/>
        </w:rPr>
        <w:t xml:space="preserve"> </w:t>
      </w:r>
      <w:r w:rsidRPr="00096909">
        <w:rPr>
          <w:rFonts w:ascii="Times New Roman" w:hAnsi="Times New Roman"/>
          <w:sz w:val="24"/>
          <w:szCs w:val="24"/>
        </w:rPr>
        <w:t xml:space="preserve"> </w:t>
      </w:r>
    </w:p>
    <w:p w14:paraId="3F561057"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cs="Times New Roman"/>
          <w:sz w:val="24"/>
          <w:szCs w:val="24"/>
        </w:rPr>
        <w:t>Questi quattro incunaboli uscirono dai torchi di tre stampatori milanesi, confermando come la capitale del ducato sforzesco avesse assunto un atteggiamento sensibilmente diverso, rispetto a quello delle altre corti italiane del Quattrocento, nel dare notizia più frequentemente, in relazioni ufficiali e per mezzo della stampa, delle feste organizzate per gli eventi dinastici della famiglia regnante.</w:t>
      </w:r>
    </w:p>
    <w:p w14:paraId="63BDA595"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Le trattative per lo sposalizio, iniziate nell’aprile del 1493, si erano svolte principalmente per interessamento del Moro, il quale cerc</w:t>
      </w:r>
      <w:r>
        <w:rPr>
          <w:rFonts w:ascii="Times New Roman" w:hAnsi="Times New Roman"/>
          <w:sz w:val="24"/>
          <w:szCs w:val="24"/>
        </w:rPr>
        <w:t>ò</w:t>
      </w:r>
      <w:r w:rsidRPr="00096909">
        <w:rPr>
          <w:rFonts w:ascii="Times New Roman" w:hAnsi="Times New Roman"/>
          <w:sz w:val="24"/>
          <w:szCs w:val="24"/>
        </w:rPr>
        <w:t xml:space="preserve"> di ottenere con questa unione una garanzia della legittimità del proprio potere su Milano grazie all’investitura ducale, che gli venne promessa dallo sposo tra le clausole del contratto nuziale, patteggiato dall’ambasciatore e procuratore sforzesco Erasmo Brasca a Gmunden il 24 giugno 1493.</w:t>
      </w:r>
    </w:p>
    <w:p w14:paraId="7D862602"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Per Massimiliano d’Asburgo, </w:t>
      </w:r>
      <w:r>
        <w:rPr>
          <w:rFonts w:ascii="Times New Roman" w:hAnsi="Times New Roman"/>
          <w:sz w:val="24"/>
          <w:szCs w:val="24"/>
        </w:rPr>
        <w:t xml:space="preserve">invece, </w:t>
      </w:r>
      <w:r w:rsidRPr="00096909">
        <w:rPr>
          <w:rFonts w:ascii="Times New Roman" w:hAnsi="Times New Roman"/>
          <w:sz w:val="24"/>
          <w:szCs w:val="24"/>
        </w:rPr>
        <w:t>questo terzo matrimonio fu fondamentale per risanare le finanze del regno,</w:t>
      </w:r>
      <w:r w:rsidRPr="00096909">
        <w:rPr>
          <w:rStyle w:val="Rimandonotaapidipagina"/>
          <w:rFonts w:ascii="Times New Roman" w:hAnsi="Times New Roman"/>
          <w:sz w:val="24"/>
          <w:szCs w:val="24"/>
        </w:rPr>
        <w:footnoteReference w:id="559"/>
      </w:r>
      <w:r w:rsidRPr="00096909">
        <w:rPr>
          <w:rFonts w:ascii="Times New Roman" w:hAnsi="Times New Roman"/>
          <w:sz w:val="24"/>
          <w:szCs w:val="24"/>
        </w:rPr>
        <w:t xml:space="preserve"> provate da una faticosa guerra con la Francia di Carlo VIII, conclusasi con la </w:t>
      </w:r>
      <w:r w:rsidRPr="00096909">
        <w:rPr>
          <w:rFonts w:ascii="Times New Roman" w:hAnsi="Times New Roman"/>
          <w:sz w:val="24"/>
          <w:szCs w:val="24"/>
        </w:rPr>
        <w:lastRenderedPageBreak/>
        <w:t>firma del tratto di pace di Senlis, il 25 maggio 1493, e dalle costose campagne militari contro i Turchi.</w:t>
      </w:r>
      <w:r w:rsidRPr="00096909">
        <w:rPr>
          <w:rStyle w:val="Rimandonotaapidipagina"/>
          <w:rFonts w:ascii="Times New Roman" w:hAnsi="Times New Roman"/>
          <w:sz w:val="24"/>
          <w:szCs w:val="24"/>
        </w:rPr>
        <w:footnoteReference w:id="560"/>
      </w:r>
      <w:r w:rsidRPr="00096909">
        <w:rPr>
          <w:rFonts w:ascii="Times New Roman" w:hAnsi="Times New Roman"/>
          <w:sz w:val="24"/>
          <w:szCs w:val="24"/>
        </w:rPr>
        <w:t xml:space="preserve"> Sposando la nipote di Ludovico Sforza egli si assicurava un’importante alleanza militare e una considerevole dote, fissata alla cifra sorprendente di 400.000 ducati, dei quali 300.000 avrebbero composto l’effettiva dote della principessa e altri 100.000 sarebbero serviti per pagare la tassa di registro per ottenere il titolo ducale, come rivela lo scambio delle missive intercorso tra la cancelleria imperiale e quella sforzesca.</w:t>
      </w:r>
      <w:r w:rsidRPr="00096909">
        <w:rPr>
          <w:rStyle w:val="Rimandonotaapidipagina"/>
          <w:rFonts w:ascii="Times New Roman" w:hAnsi="Times New Roman"/>
          <w:sz w:val="24"/>
          <w:szCs w:val="24"/>
        </w:rPr>
        <w:footnoteReference w:id="561"/>
      </w:r>
    </w:p>
    <w:p w14:paraId="1E6D159D"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Bianca Maria, infine, dopo aver visto sfumare nel 1490 il suo fidanzamento con Giovanni Hunyadi, figlio naturale di Mattia Corvino, a causa della mancata successione di questo al trono d’Ungheria, e dopo aver ricevuto le offerte di altri patti matrimoniali da Giacomo IV Stuart e da Vladislao II di Boemia, veniva destinata ad ascendere alla dignità della corona imperiale.</w:t>
      </w:r>
      <w:r w:rsidRPr="00096909">
        <w:rPr>
          <w:rStyle w:val="Rimandonotaapidipagina"/>
          <w:rFonts w:ascii="Times New Roman" w:hAnsi="Times New Roman"/>
          <w:sz w:val="24"/>
          <w:szCs w:val="24"/>
        </w:rPr>
        <w:footnoteReference w:id="562"/>
      </w:r>
    </w:p>
    <w:p w14:paraId="59E2D750" w14:textId="77777777" w:rsidR="00D22C4C"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Considerando queste ragioni diplomatiche, è chiaro come lo Sforza a</w:t>
      </w:r>
      <w:r>
        <w:rPr>
          <w:rFonts w:ascii="Times New Roman" w:hAnsi="Times New Roman"/>
          <w:sz w:val="24"/>
          <w:szCs w:val="24"/>
        </w:rPr>
        <w:t>vesse</w:t>
      </w:r>
      <w:r w:rsidRPr="00096909">
        <w:rPr>
          <w:rFonts w:ascii="Times New Roman" w:hAnsi="Times New Roman"/>
          <w:sz w:val="24"/>
          <w:szCs w:val="24"/>
        </w:rPr>
        <w:t xml:space="preserve"> dovuto prestare particolare attenzione </w:t>
      </w:r>
      <w:r w:rsidR="0020243F">
        <w:rPr>
          <w:rFonts w:ascii="Times New Roman" w:hAnsi="Times New Roman"/>
          <w:sz w:val="24"/>
          <w:szCs w:val="24"/>
        </w:rPr>
        <w:t xml:space="preserve">affinchè </w:t>
      </w:r>
      <w:r w:rsidRPr="00096909">
        <w:rPr>
          <w:rFonts w:ascii="Times New Roman" w:hAnsi="Times New Roman"/>
          <w:sz w:val="24"/>
          <w:szCs w:val="24"/>
        </w:rPr>
        <w:t>il matrimonio fosse celebrato con una pompa adeguata alla sua importanza e quanto potesse gradi</w:t>
      </w:r>
      <w:r>
        <w:rPr>
          <w:rFonts w:ascii="Times New Roman" w:hAnsi="Times New Roman"/>
          <w:sz w:val="24"/>
          <w:szCs w:val="24"/>
        </w:rPr>
        <w:t>re</w:t>
      </w:r>
      <w:r w:rsidRPr="00096909">
        <w:rPr>
          <w:rFonts w:ascii="Times New Roman" w:hAnsi="Times New Roman"/>
          <w:sz w:val="24"/>
          <w:szCs w:val="24"/>
        </w:rPr>
        <w:t xml:space="preserve"> le edizioni delle descrizioni delle feste milanesi. </w:t>
      </w:r>
    </w:p>
    <w:p w14:paraId="6E6B0980"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La propaganda celebrativa che quattro anni prima aveva magnificato l’unione del fragile duca Gian Galeazzo con una giovane della casa reale di Napoli, questa volta, variate le alleanze politiche e abbandonato il sostegno sforzesco alla corona aragonese, amplificava lo splendore conseguito dalla nipote del Moro, il quale sarebbe stato ricompensato con l’investitura ducale per la sua abilità nell’orchestrare le nozze imperiali. </w:t>
      </w:r>
    </w:p>
    <w:p w14:paraId="1B5873DB"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Del lieto evento fornì una relazione in versi altisonanti il poeta alessandrino Baldassare Taccone, discendente di una famiglia di recente nobiltà sforzesca e dal 1492 cancelliere ducale.</w:t>
      </w:r>
      <w:r w:rsidRPr="00096909">
        <w:rPr>
          <w:rStyle w:val="Rimandonotaapidipagina"/>
          <w:rFonts w:ascii="Times New Roman" w:hAnsi="Times New Roman"/>
          <w:sz w:val="24"/>
          <w:szCs w:val="24"/>
        </w:rPr>
        <w:footnoteReference w:id="563"/>
      </w:r>
      <w:r w:rsidRPr="00096909">
        <w:rPr>
          <w:rFonts w:ascii="Times New Roman" w:hAnsi="Times New Roman"/>
          <w:sz w:val="24"/>
          <w:szCs w:val="24"/>
        </w:rPr>
        <w:t xml:space="preserve"> </w:t>
      </w:r>
      <w:r w:rsidRPr="00096909">
        <w:rPr>
          <w:rFonts w:ascii="Times New Roman" w:hAnsi="Times New Roman"/>
          <w:sz w:val="24"/>
          <w:szCs w:val="24"/>
        </w:rPr>
        <w:lastRenderedPageBreak/>
        <w:t>Nel novero dei letterati d</w:t>
      </w:r>
      <w:r>
        <w:rPr>
          <w:rFonts w:ascii="Times New Roman" w:hAnsi="Times New Roman"/>
          <w:sz w:val="24"/>
          <w:szCs w:val="24"/>
        </w:rPr>
        <w:t>ella</w:t>
      </w:r>
      <w:r w:rsidRPr="00096909">
        <w:rPr>
          <w:rFonts w:ascii="Times New Roman" w:hAnsi="Times New Roman"/>
          <w:sz w:val="24"/>
          <w:szCs w:val="24"/>
        </w:rPr>
        <w:t xml:space="preserve"> corte</w:t>
      </w:r>
      <w:r>
        <w:rPr>
          <w:rFonts w:ascii="Times New Roman" w:hAnsi="Times New Roman"/>
          <w:sz w:val="24"/>
          <w:szCs w:val="24"/>
        </w:rPr>
        <w:t xml:space="preserve"> milanese</w:t>
      </w:r>
      <w:r w:rsidRPr="00096909">
        <w:rPr>
          <w:rFonts w:ascii="Times New Roman" w:hAnsi="Times New Roman"/>
          <w:sz w:val="24"/>
          <w:szCs w:val="24"/>
        </w:rPr>
        <w:t xml:space="preserve"> egli si distinse per la composizione di due favole mitologiche teatrali: la </w:t>
      </w:r>
      <w:r w:rsidRPr="00096909">
        <w:rPr>
          <w:rFonts w:ascii="Times New Roman" w:hAnsi="Times New Roman"/>
          <w:i/>
          <w:sz w:val="24"/>
          <w:szCs w:val="24"/>
        </w:rPr>
        <w:t>Danae</w:t>
      </w:r>
      <w:r w:rsidRPr="00096909">
        <w:rPr>
          <w:rFonts w:ascii="Times New Roman" w:hAnsi="Times New Roman"/>
          <w:sz w:val="24"/>
          <w:szCs w:val="24"/>
        </w:rPr>
        <w:t>, rappresentata il 31 gennaio 1496 in casa del conte di Caiazzo, Galeazzo Sanseverino – con un probabile contributo di Leonardo da Vinci per l’apparato scenico –</w:t>
      </w:r>
      <w:r w:rsidRPr="00096909">
        <w:rPr>
          <w:rStyle w:val="Rimandonotaapidipagina"/>
          <w:rFonts w:ascii="Times New Roman" w:hAnsi="Times New Roman"/>
          <w:sz w:val="24"/>
          <w:szCs w:val="24"/>
        </w:rPr>
        <w:footnoteReference w:id="564"/>
      </w:r>
      <w:r w:rsidRPr="00096909">
        <w:rPr>
          <w:rFonts w:ascii="Times New Roman" w:hAnsi="Times New Roman"/>
          <w:sz w:val="24"/>
          <w:szCs w:val="24"/>
        </w:rPr>
        <w:t xml:space="preserve"> e l’</w:t>
      </w:r>
      <w:r w:rsidRPr="00096909">
        <w:rPr>
          <w:rFonts w:ascii="Times New Roman" w:hAnsi="Times New Roman"/>
          <w:i/>
          <w:sz w:val="24"/>
          <w:szCs w:val="24"/>
        </w:rPr>
        <w:t>Atteone</w:t>
      </w:r>
      <w:r w:rsidRPr="00096909">
        <w:rPr>
          <w:rFonts w:ascii="Times New Roman" w:hAnsi="Times New Roman"/>
          <w:sz w:val="24"/>
          <w:szCs w:val="24"/>
        </w:rPr>
        <w:t xml:space="preserve">, recitata al temine di una delle annuali oblazioni di Porta Orientale alla Fabbrica del Duomo su un carro caratterizzato dalla presenza di una fontana </w:t>
      </w:r>
      <w:r>
        <w:rPr>
          <w:rFonts w:ascii="Times New Roman" w:hAnsi="Times New Roman"/>
          <w:sz w:val="24"/>
          <w:szCs w:val="24"/>
        </w:rPr>
        <w:t xml:space="preserve">che </w:t>
      </w:r>
      <w:r w:rsidRPr="00096909">
        <w:rPr>
          <w:rFonts w:ascii="Times New Roman" w:hAnsi="Times New Roman"/>
          <w:sz w:val="24"/>
          <w:szCs w:val="24"/>
        </w:rPr>
        <w:t>rappresenta</w:t>
      </w:r>
      <w:r>
        <w:rPr>
          <w:rFonts w:ascii="Times New Roman" w:hAnsi="Times New Roman"/>
          <w:sz w:val="24"/>
          <w:szCs w:val="24"/>
        </w:rPr>
        <w:t>va</w:t>
      </w:r>
      <w:r w:rsidRPr="00096909">
        <w:rPr>
          <w:rFonts w:ascii="Times New Roman" w:hAnsi="Times New Roman"/>
          <w:sz w:val="24"/>
          <w:szCs w:val="24"/>
        </w:rPr>
        <w:t xml:space="preserve"> il bagno di Diana, alludendo al contempo al nome del finanziatore dell’apparato: il senatore Francesco Fontana.</w:t>
      </w:r>
      <w:r w:rsidRPr="00096909">
        <w:rPr>
          <w:rStyle w:val="Rimandonotaapidipagina"/>
          <w:rFonts w:ascii="Times New Roman" w:hAnsi="Times New Roman"/>
          <w:sz w:val="24"/>
          <w:szCs w:val="24"/>
        </w:rPr>
        <w:footnoteReference w:id="565"/>
      </w:r>
      <w:r w:rsidRPr="00096909">
        <w:rPr>
          <w:rFonts w:ascii="Times New Roman" w:hAnsi="Times New Roman"/>
          <w:sz w:val="24"/>
          <w:szCs w:val="24"/>
        </w:rPr>
        <w:t xml:space="preserve"> </w:t>
      </w:r>
    </w:p>
    <w:p w14:paraId="2B6151E1"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Le ottave roboanti della</w:t>
      </w:r>
      <w:r>
        <w:rPr>
          <w:rFonts w:ascii="Times New Roman" w:hAnsi="Times New Roman"/>
          <w:sz w:val="24"/>
          <w:szCs w:val="24"/>
        </w:rPr>
        <w:t xml:space="preserve"> sua</w:t>
      </w:r>
      <w:r w:rsidRPr="00096909">
        <w:rPr>
          <w:rFonts w:ascii="Times New Roman" w:hAnsi="Times New Roman"/>
          <w:sz w:val="24"/>
          <w:szCs w:val="24"/>
        </w:rPr>
        <w:t xml:space="preserve"> </w:t>
      </w:r>
      <w:r w:rsidRPr="00096909">
        <w:rPr>
          <w:rFonts w:ascii="Times New Roman" w:hAnsi="Times New Roman"/>
          <w:i/>
          <w:sz w:val="24"/>
          <w:szCs w:val="24"/>
        </w:rPr>
        <w:t>Coronatione</w:t>
      </w:r>
      <w:r w:rsidRPr="00096909">
        <w:rPr>
          <w:rFonts w:ascii="Times New Roman" w:hAnsi="Times New Roman"/>
          <w:sz w:val="24"/>
          <w:szCs w:val="24"/>
        </w:rPr>
        <w:t xml:space="preserve">, in verità di scarso valore artistico e segnate da una facile retorica encomiastica, non mancarono di destare le critiche e l’ironia dei letterati di corte, le quali a loro volta ispirarono a Lancino Curzio una scherzosa </w:t>
      </w:r>
      <w:r w:rsidRPr="00096909">
        <w:rPr>
          <w:rFonts w:ascii="Times New Roman" w:hAnsi="Times New Roman"/>
          <w:i/>
          <w:sz w:val="24"/>
          <w:szCs w:val="24"/>
        </w:rPr>
        <w:t>Corona</w:t>
      </w:r>
      <w:r w:rsidRPr="00096909">
        <w:rPr>
          <w:rFonts w:ascii="Times New Roman" w:hAnsi="Times New Roman"/>
          <w:sz w:val="24"/>
          <w:szCs w:val="24"/>
        </w:rPr>
        <w:t xml:space="preserve"> di otto sonetti in diversi dialetti lombardi offerta a Gasparo Visconti.</w:t>
      </w:r>
      <w:r w:rsidRPr="00096909">
        <w:rPr>
          <w:rStyle w:val="Rimandonotaapidipagina"/>
          <w:rFonts w:ascii="Times New Roman" w:hAnsi="Times New Roman"/>
          <w:sz w:val="24"/>
          <w:szCs w:val="24"/>
        </w:rPr>
        <w:footnoteReference w:id="566"/>
      </w:r>
    </w:p>
    <w:p w14:paraId="4F8EFCDA" w14:textId="77777777" w:rsidR="00D22C4C" w:rsidRPr="00096909" w:rsidRDefault="00D22C4C" w:rsidP="00D22C4C">
      <w:pPr>
        <w:pStyle w:val="Nessunaspaziatura"/>
        <w:tabs>
          <w:tab w:val="left" w:pos="5670"/>
        </w:tabs>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Il sesto di questi sonetti, un dialogo tra due interlocutori che si fanno beffe del Taccone aggiornandosi sulle nuove prodezze del goffo poeta, riporta una notizia interessante sull’operazione editoriale che interessò il poemetto di cui trattiamo: </w:t>
      </w:r>
    </w:p>
    <w:p w14:paraId="3B87286A" w14:textId="77777777" w:rsidR="00D22C4C" w:rsidRPr="00096909" w:rsidRDefault="00D22C4C" w:rsidP="00D22C4C">
      <w:pPr>
        <w:pStyle w:val="Nessunaspaziatura"/>
        <w:tabs>
          <w:tab w:val="left" w:pos="5670"/>
        </w:tabs>
        <w:spacing w:line="360" w:lineRule="auto"/>
        <w:jc w:val="both"/>
        <w:rPr>
          <w:rFonts w:ascii="Times New Roman" w:hAnsi="Times New Roman"/>
          <w:sz w:val="24"/>
          <w:szCs w:val="24"/>
        </w:rPr>
      </w:pPr>
    </w:p>
    <w:p w14:paraId="4B262F97" w14:textId="77777777" w:rsidR="00D22C4C" w:rsidRPr="00096909" w:rsidRDefault="00D22C4C" w:rsidP="00D22C4C">
      <w:pPr>
        <w:pStyle w:val="Nessunaspaziatura"/>
        <w:tabs>
          <w:tab w:val="left" w:pos="5670"/>
        </w:tabs>
        <w:spacing w:line="360" w:lineRule="auto"/>
        <w:ind w:left="2268"/>
        <w:jc w:val="both"/>
        <w:rPr>
          <w:rFonts w:ascii="Times New Roman" w:hAnsi="Times New Roman"/>
          <w:sz w:val="20"/>
          <w:szCs w:val="20"/>
        </w:rPr>
      </w:pPr>
      <w:r w:rsidRPr="00096909">
        <w:rPr>
          <w:rFonts w:ascii="Times New Roman" w:hAnsi="Times New Roman"/>
          <w:sz w:val="20"/>
          <w:szCs w:val="20"/>
        </w:rPr>
        <w:t>‹‹Sivo or Tacon?›› ‹‹Ch’à’l fag quel Taconascio?››</w:t>
      </w:r>
    </w:p>
    <w:p w14:paraId="12FC9FD5" w14:textId="77777777" w:rsidR="00D22C4C" w:rsidRPr="00096909" w:rsidRDefault="00D22C4C" w:rsidP="00D22C4C">
      <w:pPr>
        <w:pStyle w:val="Nessunaspaziatura"/>
        <w:tabs>
          <w:tab w:val="left" w:pos="5670"/>
        </w:tabs>
        <w:spacing w:line="360" w:lineRule="auto"/>
        <w:ind w:left="2268"/>
        <w:jc w:val="both"/>
        <w:rPr>
          <w:rFonts w:ascii="Times New Roman" w:hAnsi="Times New Roman"/>
          <w:sz w:val="20"/>
          <w:szCs w:val="20"/>
        </w:rPr>
      </w:pPr>
      <w:r w:rsidRPr="00096909">
        <w:rPr>
          <w:rFonts w:ascii="Times New Roman" w:hAnsi="Times New Roman"/>
          <w:sz w:val="20"/>
          <w:szCs w:val="20"/>
        </w:rPr>
        <w:t>‹‹A l’è andag in Franscia per stantie Parise.</w:t>
      </w:r>
    </w:p>
    <w:p w14:paraId="008C580B" w14:textId="77777777" w:rsidR="00D22C4C" w:rsidRPr="00096909" w:rsidRDefault="00D22C4C" w:rsidP="00D22C4C">
      <w:pPr>
        <w:pStyle w:val="Nessunaspaziatura"/>
        <w:tabs>
          <w:tab w:val="left" w:pos="5670"/>
        </w:tabs>
        <w:spacing w:line="360" w:lineRule="auto"/>
        <w:ind w:left="2268"/>
        <w:jc w:val="both"/>
        <w:rPr>
          <w:rFonts w:ascii="Times New Roman" w:hAnsi="Times New Roman"/>
          <w:sz w:val="20"/>
          <w:szCs w:val="20"/>
        </w:rPr>
      </w:pPr>
      <w:r w:rsidRPr="00096909">
        <w:rPr>
          <w:rFonts w:ascii="Times New Roman" w:hAnsi="Times New Roman"/>
          <w:sz w:val="20"/>
          <w:szCs w:val="20"/>
        </w:rPr>
        <w:t>Pu l’à scrig cose de la imperadrise</w:t>
      </w:r>
    </w:p>
    <w:p w14:paraId="231A512D" w14:textId="77777777" w:rsidR="00D22C4C" w:rsidRPr="00096909" w:rsidRDefault="00D22C4C" w:rsidP="00D22C4C">
      <w:pPr>
        <w:pStyle w:val="Nessunaspaziatura"/>
        <w:tabs>
          <w:tab w:val="left" w:pos="5670"/>
        </w:tabs>
        <w:spacing w:line="360" w:lineRule="auto"/>
        <w:ind w:left="2268"/>
        <w:jc w:val="both"/>
        <w:rPr>
          <w:rFonts w:ascii="Times New Roman" w:hAnsi="Times New Roman"/>
          <w:sz w:val="20"/>
          <w:szCs w:val="20"/>
        </w:rPr>
      </w:pPr>
      <w:r>
        <w:rPr>
          <w:rFonts w:ascii="Times New Roman" w:hAnsi="Times New Roman"/>
          <w:sz w:val="20"/>
          <w:szCs w:val="20"/>
        </w:rPr>
        <w:t>c</w:t>
      </w:r>
      <w:r w:rsidRPr="00096909">
        <w:rPr>
          <w:rFonts w:ascii="Times New Roman" w:hAnsi="Times New Roman"/>
          <w:sz w:val="20"/>
          <w:szCs w:val="20"/>
        </w:rPr>
        <w:t>he de bruggiant faré somìa ol librascio.</w:t>
      </w:r>
    </w:p>
    <w:p w14:paraId="43A8E126" w14:textId="77777777" w:rsidR="00D22C4C" w:rsidRPr="00096909" w:rsidRDefault="00D22C4C" w:rsidP="00D22C4C">
      <w:pPr>
        <w:pStyle w:val="Nessunaspaziatura"/>
        <w:tabs>
          <w:tab w:val="left" w:pos="5670"/>
        </w:tabs>
        <w:spacing w:line="360" w:lineRule="auto"/>
        <w:ind w:left="2268"/>
        <w:jc w:val="both"/>
        <w:rPr>
          <w:rFonts w:ascii="Times New Roman" w:hAnsi="Times New Roman"/>
          <w:sz w:val="20"/>
          <w:szCs w:val="20"/>
        </w:rPr>
      </w:pPr>
      <w:r w:rsidRPr="00096909">
        <w:rPr>
          <w:rFonts w:ascii="Times New Roman" w:hAnsi="Times New Roman"/>
          <w:sz w:val="20"/>
          <w:szCs w:val="20"/>
        </w:rPr>
        <w:t>Cont ona foia penchia che scià &gt; insì &lt; ben scianscià</w:t>
      </w:r>
    </w:p>
    <w:p w14:paraId="40D23DD1" w14:textId="77777777" w:rsidR="00D22C4C" w:rsidRPr="00096909" w:rsidRDefault="00D22C4C" w:rsidP="00D22C4C">
      <w:pPr>
        <w:pStyle w:val="Nessunaspaziatura"/>
        <w:tabs>
          <w:tab w:val="left" w:pos="5670"/>
        </w:tabs>
        <w:spacing w:line="360" w:lineRule="auto"/>
        <w:ind w:left="2268"/>
        <w:jc w:val="both"/>
        <w:rPr>
          <w:rFonts w:ascii="Times New Roman" w:hAnsi="Times New Roman"/>
          <w:sz w:val="20"/>
          <w:szCs w:val="20"/>
        </w:rPr>
      </w:pPr>
      <w:r>
        <w:rPr>
          <w:rFonts w:ascii="Times New Roman" w:hAnsi="Times New Roman"/>
          <w:sz w:val="20"/>
          <w:szCs w:val="20"/>
        </w:rPr>
        <w:lastRenderedPageBreak/>
        <w:t>a</w:t>
      </w:r>
      <w:r w:rsidRPr="00096909">
        <w:rPr>
          <w:rFonts w:ascii="Times New Roman" w:hAnsi="Times New Roman"/>
          <w:sz w:val="20"/>
          <w:szCs w:val="20"/>
        </w:rPr>
        <w:t>l n’à dag un al signò scrig in lettera formata››.</w:t>
      </w:r>
      <w:r w:rsidRPr="00096909">
        <w:rPr>
          <w:rStyle w:val="Rimandonotaapidipagina"/>
          <w:rFonts w:ascii="Times New Roman" w:hAnsi="Times New Roman"/>
        </w:rPr>
        <w:footnoteReference w:id="567"/>
      </w:r>
    </w:p>
    <w:p w14:paraId="5C9A5656" w14:textId="77777777" w:rsidR="00D22C4C" w:rsidRPr="00096909" w:rsidRDefault="00D22C4C" w:rsidP="00D22C4C">
      <w:pPr>
        <w:pStyle w:val="Nessunaspaziatura"/>
        <w:tabs>
          <w:tab w:val="left" w:pos="5670"/>
        </w:tabs>
        <w:spacing w:line="360" w:lineRule="auto"/>
        <w:jc w:val="both"/>
        <w:rPr>
          <w:rFonts w:ascii="Times New Roman" w:hAnsi="Times New Roman"/>
          <w:sz w:val="24"/>
          <w:szCs w:val="24"/>
        </w:rPr>
      </w:pPr>
    </w:p>
    <w:p w14:paraId="27EF1229" w14:textId="77777777" w:rsidR="00D22C4C" w:rsidRPr="00096909" w:rsidRDefault="00D22C4C" w:rsidP="00D22C4C">
      <w:pPr>
        <w:pStyle w:val="Nessunaspaziatura"/>
        <w:tabs>
          <w:tab w:val="left" w:pos="5670"/>
        </w:tabs>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Il testo dialettale informa bene </w:t>
      </w:r>
      <w:r>
        <w:rPr>
          <w:rFonts w:ascii="Times New Roman" w:hAnsi="Times New Roman"/>
          <w:sz w:val="24"/>
          <w:szCs w:val="24"/>
        </w:rPr>
        <w:t>del</w:t>
      </w:r>
      <w:r w:rsidRPr="00096909">
        <w:rPr>
          <w:rFonts w:ascii="Times New Roman" w:hAnsi="Times New Roman"/>
          <w:sz w:val="24"/>
          <w:szCs w:val="24"/>
        </w:rPr>
        <w:t xml:space="preserve">l’offerta di Taccone al suo Signò di un libretto </w:t>
      </w:r>
      <w:r w:rsidRPr="00096909">
        <w:rPr>
          <w:rFonts w:ascii="Times New Roman" w:hAnsi="Times New Roman" w:cs="Times New Roman"/>
          <w:sz w:val="24"/>
          <w:szCs w:val="24"/>
        </w:rPr>
        <w:t>«</w:t>
      </w:r>
      <w:r w:rsidRPr="00096909">
        <w:rPr>
          <w:rFonts w:ascii="Times New Roman" w:hAnsi="Times New Roman"/>
          <w:sz w:val="24"/>
          <w:szCs w:val="24"/>
        </w:rPr>
        <w:t>in lettera formata</w:t>
      </w:r>
      <w:r w:rsidRPr="00096909">
        <w:rPr>
          <w:rFonts w:ascii="Times New Roman" w:hAnsi="Times New Roman" w:cs="Times New Roman"/>
          <w:sz w:val="24"/>
          <w:szCs w:val="24"/>
        </w:rPr>
        <w:t>»</w:t>
      </w:r>
      <w:r w:rsidRPr="00096909">
        <w:rPr>
          <w:rFonts w:ascii="Times New Roman" w:hAnsi="Times New Roman"/>
          <w:sz w:val="24"/>
          <w:szCs w:val="24"/>
        </w:rPr>
        <w:t>, cioè, inequivocabilmente, sulla presentazione di una stampa effettuata a proprie spese, e ricorda le cure del poeta affinché l’esemplare d’omaggio venisse rilegato con l’apposizione di un foglio ben dipinto e ornato, così che la bellezza del volume distraesse il lettore dal</w:t>
      </w:r>
      <w:r>
        <w:rPr>
          <w:rFonts w:ascii="Times New Roman" w:hAnsi="Times New Roman"/>
          <w:sz w:val="24"/>
          <w:szCs w:val="24"/>
        </w:rPr>
        <w:t xml:space="preserve"> modesto </w:t>
      </w:r>
      <w:r w:rsidRPr="00096909">
        <w:rPr>
          <w:rFonts w:ascii="Times New Roman" w:hAnsi="Times New Roman"/>
          <w:sz w:val="24"/>
          <w:szCs w:val="24"/>
        </w:rPr>
        <w:t xml:space="preserve">valore dei versi. </w:t>
      </w:r>
    </w:p>
    <w:p w14:paraId="19987E79" w14:textId="77777777" w:rsidR="00D22C4C" w:rsidRPr="00096909" w:rsidRDefault="00D22C4C" w:rsidP="00D22C4C">
      <w:pPr>
        <w:pStyle w:val="Nessunaspaziatura"/>
        <w:tabs>
          <w:tab w:val="left" w:pos="5670"/>
        </w:tabs>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Per compiere l’impressione Taccone si rivolse al tipografo bavarese </w:t>
      </w:r>
      <w:r w:rsidRPr="00096909">
        <w:rPr>
          <w:rFonts w:ascii="Times New Roman" w:hAnsi="Times New Roman" w:cs="Times New Roman"/>
          <w:sz w:val="24"/>
          <w:szCs w:val="24"/>
        </w:rPr>
        <w:t>Leonhard Pachel, presente dal 1476</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a Milano, dove con il collega Ulrich Scinzenzeler aveva avviato una tipografia, </w:t>
      </w:r>
      <w:r>
        <w:rPr>
          <w:rFonts w:ascii="Times New Roman" w:hAnsi="Times New Roman" w:cs="Times New Roman"/>
          <w:sz w:val="24"/>
          <w:szCs w:val="24"/>
        </w:rPr>
        <w:t xml:space="preserve">la quale </w:t>
      </w:r>
      <w:r w:rsidRPr="00096909">
        <w:rPr>
          <w:rFonts w:ascii="Times New Roman" w:hAnsi="Times New Roman" w:cs="Times New Roman"/>
          <w:sz w:val="24"/>
          <w:szCs w:val="24"/>
        </w:rPr>
        <w:t>il 30 novembre 1477 congedava un primo volume contenente le opere di Virgilio.</w:t>
      </w:r>
      <w:r w:rsidRPr="00096909">
        <w:rPr>
          <w:rStyle w:val="Rimandonotaapidipagina"/>
          <w:rFonts w:ascii="Times New Roman" w:hAnsi="Times New Roman" w:cs="Times New Roman"/>
          <w:sz w:val="24"/>
          <w:szCs w:val="24"/>
        </w:rPr>
        <w:footnoteReference w:id="568"/>
      </w:r>
      <w:r w:rsidRPr="00096909">
        <w:rPr>
          <w:rFonts w:ascii="Times New Roman" w:hAnsi="Times New Roman" w:cs="Times New Roman"/>
          <w:sz w:val="24"/>
          <w:szCs w:val="24"/>
        </w:rPr>
        <w:t xml:space="preserve"> L’attività dei due tedeschi proseguì congiunta per tredici anni.</w:t>
      </w:r>
      <w:r w:rsidRPr="00096909">
        <w:rPr>
          <w:rStyle w:val="Rimandonotaapidipagina"/>
          <w:rFonts w:ascii="Times New Roman" w:hAnsi="Times New Roman" w:cs="Times New Roman"/>
          <w:sz w:val="24"/>
          <w:szCs w:val="24"/>
        </w:rPr>
        <w:footnoteReference w:id="569"/>
      </w:r>
      <w:r w:rsidRPr="00096909">
        <w:rPr>
          <w:rFonts w:ascii="Times New Roman" w:hAnsi="Times New Roman" w:cs="Times New Roman"/>
          <w:sz w:val="24"/>
          <w:szCs w:val="24"/>
        </w:rPr>
        <w:t xml:space="preserve"> Entrambi operarono poi autonomamente: Pachel dal 1488 fino al 1511; Scinzenzeler dal 1484 al 1500, anno in cui cedette l’attività al figlio Giovan</w:t>
      </w:r>
      <w:r w:rsidR="00C1621B">
        <w:rPr>
          <w:rFonts w:ascii="Times New Roman" w:hAnsi="Times New Roman" w:cs="Times New Roman"/>
          <w:sz w:val="24"/>
          <w:szCs w:val="24"/>
        </w:rPr>
        <w:t xml:space="preserve"> </w:t>
      </w:r>
      <w:r w:rsidRPr="00096909">
        <w:rPr>
          <w:rFonts w:ascii="Times New Roman" w:hAnsi="Times New Roman" w:cs="Times New Roman"/>
          <w:sz w:val="24"/>
          <w:szCs w:val="24"/>
        </w:rPr>
        <w:t>Angelo.</w:t>
      </w:r>
      <w:r w:rsidRPr="00096909">
        <w:rPr>
          <w:rStyle w:val="Rimandonotaapidipagina"/>
          <w:rFonts w:ascii="Times New Roman" w:hAnsi="Times New Roman" w:cs="Times New Roman"/>
          <w:sz w:val="24"/>
          <w:szCs w:val="24"/>
        </w:rPr>
        <w:footnoteReference w:id="570"/>
      </w:r>
    </w:p>
    <w:p w14:paraId="0A3897B1" w14:textId="77777777" w:rsidR="00D22C4C" w:rsidRPr="00096909" w:rsidRDefault="00D22C4C" w:rsidP="00D22C4C">
      <w:pPr>
        <w:pStyle w:val="Nessunaspaziatura"/>
        <w:tabs>
          <w:tab w:val="left" w:pos="5670"/>
        </w:tabs>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Sullo sfondo dell’editoria milanese, i due artigiani attirarono l’attenzione per la quantità delle edizioni prodotte – 135 della società iniziale; 191 sottoscritte dal solo Scinzenzeler; 114 ad opera di Pachel –</w:t>
      </w:r>
      <w:r w:rsidRPr="00096909">
        <w:rPr>
          <w:rFonts w:ascii="Times New Roman" w:hAnsi="Times New Roman"/>
          <w:sz w:val="24"/>
          <w:szCs w:val="24"/>
        </w:rPr>
        <w:t xml:space="preserve"> e per </w:t>
      </w:r>
      <w:r w:rsidRPr="00096909">
        <w:rPr>
          <w:rFonts w:ascii="Times New Roman" w:hAnsi="Times New Roman" w:cs="Times New Roman"/>
          <w:sz w:val="24"/>
          <w:szCs w:val="24"/>
        </w:rPr>
        <w:t>la raffinata veste grafica dei loro libri.</w:t>
      </w:r>
      <w:r w:rsidRPr="00096909">
        <w:rPr>
          <w:rStyle w:val="Rimandonotaapidipagina"/>
          <w:rFonts w:ascii="Times New Roman" w:hAnsi="Times New Roman" w:cs="Times New Roman"/>
          <w:sz w:val="24"/>
          <w:szCs w:val="24"/>
        </w:rPr>
        <w:footnoteReference w:id="571"/>
      </w:r>
      <w:r w:rsidRPr="00096909">
        <w:rPr>
          <w:rFonts w:ascii="Times New Roman" w:hAnsi="Times New Roman" w:cs="Times New Roman"/>
          <w:sz w:val="24"/>
          <w:szCs w:val="24"/>
        </w:rPr>
        <w:t xml:space="preserve"> La loro officina fu pertanto punto di riferimento per diversi intellettuali rinomati, come Pietro Giustino Filelfo, che </w:t>
      </w:r>
      <w:r>
        <w:rPr>
          <w:rFonts w:ascii="Times New Roman" w:hAnsi="Times New Roman" w:cs="Times New Roman"/>
          <w:sz w:val="24"/>
          <w:szCs w:val="24"/>
        </w:rPr>
        <w:t>presso di essa pubblicò</w:t>
      </w:r>
      <w:r w:rsidRPr="00096909">
        <w:rPr>
          <w:rFonts w:ascii="Times New Roman" w:hAnsi="Times New Roman" w:cs="Times New Roman"/>
          <w:sz w:val="24"/>
          <w:szCs w:val="24"/>
        </w:rPr>
        <w:t xml:space="preserve"> le opere di suo zio Francesco, protette dal 15 marzo 1483 da un privilegio esclusivo di stampa concesso dal duca.</w:t>
      </w:r>
      <w:r w:rsidRPr="00096909">
        <w:rPr>
          <w:rStyle w:val="Rimandonotaapidipagina"/>
          <w:rFonts w:ascii="Times New Roman" w:hAnsi="Times New Roman" w:cs="Times New Roman"/>
          <w:sz w:val="24"/>
          <w:szCs w:val="24"/>
        </w:rPr>
        <w:footnoteReference w:id="572"/>
      </w:r>
      <w:r w:rsidRPr="00096909">
        <w:rPr>
          <w:rFonts w:ascii="Times New Roman" w:hAnsi="Times New Roman" w:cs="Times New Roman"/>
          <w:sz w:val="24"/>
          <w:szCs w:val="24"/>
        </w:rPr>
        <w:t xml:space="preserve"> </w:t>
      </w:r>
    </w:p>
    <w:p w14:paraId="38200977"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Il libretto che trasmette la descrizione di Taccone è un piccolo incunabolo in quarto, composto da tre fascicoli di sei carte. Al verso della prima è riportato il titolo dell’opera con la dedica e la designazione dell’autore: </w:t>
      </w:r>
      <w:r w:rsidRPr="00096909">
        <w:rPr>
          <w:rFonts w:ascii="Times New Roman" w:hAnsi="Times New Roman"/>
          <w:i/>
          <w:sz w:val="24"/>
          <w:szCs w:val="24"/>
        </w:rPr>
        <w:t>Coronatione e sponsalitio</w:t>
      </w:r>
      <w:r w:rsidRPr="00096909">
        <w:rPr>
          <w:rFonts w:ascii="Times New Roman" w:hAnsi="Times New Roman"/>
          <w:sz w:val="24"/>
          <w:szCs w:val="24"/>
        </w:rPr>
        <w:t xml:space="preserve"> </w:t>
      </w:r>
      <w:r w:rsidRPr="00096909">
        <w:rPr>
          <w:rFonts w:ascii="Times New Roman" w:hAnsi="Times New Roman"/>
          <w:i/>
          <w:sz w:val="24"/>
          <w:szCs w:val="24"/>
        </w:rPr>
        <w:t xml:space="preserve">de la serenissima Regina .M. Bianca. MA. SF. </w:t>
      </w:r>
      <w:r w:rsidRPr="00096909">
        <w:rPr>
          <w:rFonts w:ascii="Times New Roman" w:hAnsi="Times New Roman"/>
          <w:i/>
          <w:sz w:val="24"/>
          <w:szCs w:val="24"/>
        </w:rPr>
        <w:lastRenderedPageBreak/>
        <w:t>Augusta al Illustrissimo S. Lodovico. SF. Visconte Duca de Barri per Baldassarre Taccone Alexandrino cancelleri composta</w:t>
      </w:r>
      <w:r w:rsidRPr="00096909">
        <w:rPr>
          <w:rFonts w:ascii="Times New Roman" w:hAnsi="Times New Roman"/>
          <w:sz w:val="24"/>
          <w:szCs w:val="24"/>
        </w:rPr>
        <w:t>.</w:t>
      </w:r>
    </w:p>
    <w:p w14:paraId="4017DB7E"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Il </w:t>
      </w:r>
      <w:r w:rsidRPr="00096909">
        <w:rPr>
          <w:rFonts w:ascii="Times New Roman" w:hAnsi="Times New Roman"/>
          <w:i/>
          <w:sz w:val="24"/>
          <w:szCs w:val="24"/>
        </w:rPr>
        <w:t>colophon</w:t>
      </w:r>
      <w:r w:rsidRPr="00096909">
        <w:rPr>
          <w:rFonts w:ascii="Times New Roman" w:hAnsi="Times New Roman"/>
          <w:sz w:val="24"/>
          <w:szCs w:val="24"/>
        </w:rPr>
        <w:t xml:space="preserve"> attesta che esso fu impresso entro l’anno 1493</w:t>
      </w:r>
      <w:r w:rsidR="00BA4F74">
        <w:rPr>
          <w:rFonts w:ascii="Times New Roman" w:hAnsi="Times New Roman"/>
          <w:sz w:val="24"/>
          <w:szCs w:val="24"/>
        </w:rPr>
        <w:t>,</w:t>
      </w:r>
      <w:r w:rsidRPr="00096909">
        <w:rPr>
          <w:rFonts w:ascii="Times New Roman" w:hAnsi="Times New Roman"/>
          <w:sz w:val="24"/>
          <w:szCs w:val="24"/>
        </w:rPr>
        <w:t xml:space="preserve"> </w:t>
      </w:r>
      <w:r w:rsidR="00BA4F74">
        <w:rPr>
          <w:rFonts w:ascii="Times New Roman" w:hAnsi="Times New Roman"/>
          <w:sz w:val="24"/>
          <w:szCs w:val="24"/>
        </w:rPr>
        <w:t>p</w:t>
      </w:r>
      <w:r w:rsidRPr="00096909">
        <w:rPr>
          <w:rFonts w:ascii="Times New Roman" w:hAnsi="Times New Roman"/>
          <w:sz w:val="24"/>
          <w:szCs w:val="24"/>
        </w:rPr>
        <w:t xml:space="preserve">ertanto l’edizione fu predisposta in un tempo </w:t>
      </w:r>
      <w:r>
        <w:rPr>
          <w:rFonts w:ascii="Times New Roman" w:hAnsi="Times New Roman"/>
          <w:sz w:val="24"/>
          <w:szCs w:val="24"/>
        </w:rPr>
        <w:t xml:space="preserve">alquanto </w:t>
      </w:r>
      <w:r w:rsidRPr="00096909">
        <w:rPr>
          <w:rFonts w:ascii="Times New Roman" w:hAnsi="Times New Roman"/>
          <w:sz w:val="24"/>
          <w:szCs w:val="24"/>
        </w:rPr>
        <w:t>breve, poiché le nozze erano state celebrate il 30 novembre di quell’anno. Al recto dell’ultima carta, Taccone inserì un testo utile a inquadrare il delicato clima politico in cui si svolsero gli eventi presentati: un sonetto in lode di Ludovico il Moro riguardante la stipula della Lega di San Marco, conclusa nell’aprile 1493 tra il ducato di Milano, la Repubblica di Venezia e papa Alessandro VI Borgia per la tutela della pace d’Italia.</w:t>
      </w:r>
      <w:r w:rsidRPr="00096909">
        <w:rPr>
          <w:rStyle w:val="Rimandonotaapidipagina"/>
          <w:rFonts w:ascii="Times New Roman" w:hAnsi="Times New Roman"/>
          <w:sz w:val="24"/>
          <w:szCs w:val="24"/>
        </w:rPr>
        <w:footnoteReference w:id="573"/>
      </w:r>
      <w:r w:rsidRPr="00096909">
        <w:rPr>
          <w:rFonts w:ascii="Times New Roman" w:hAnsi="Times New Roman"/>
          <w:sz w:val="24"/>
          <w:szCs w:val="24"/>
        </w:rPr>
        <w:t>Al duca di Bari</w:t>
      </w:r>
      <w:r w:rsidR="00BA4F74">
        <w:rPr>
          <w:rFonts w:ascii="Times New Roman" w:hAnsi="Times New Roman"/>
          <w:sz w:val="24"/>
          <w:szCs w:val="24"/>
        </w:rPr>
        <w:t>,</w:t>
      </w:r>
      <w:r w:rsidRPr="00096909">
        <w:rPr>
          <w:rFonts w:ascii="Times New Roman" w:hAnsi="Times New Roman"/>
          <w:sz w:val="24"/>
          <w:szCs w:val="24"/>
        </w:rPr>
        <w:t xml:space="preserve"> </w:t>
      </w:r>
      <w:r w:rsidR="00BA4F74" w:rsidRPr="00096909">
        <w:rPr>
          <w:rFonts w:ascii="Times New Roman" w:hAnsi="Times New Roman"/>
          <w:sz w:val="24"/>
          <w:szCs w:val="24"/>
        </w:rPr>
        <w:t>‹‹degno d’ogni triumpho e verde alloro››</w:t>
      </w:r>
      <w:r w:rsidR="00BA4F74">
        <w:rPr>
          <w:rFonts w:ascii="Times New Roman" w:hAnsi="Times New Roman"/>
          <w:sz w:val="24"/>
          <w:szCs w:val="24"/>
        </w:rPr>
        <w:t xml:space="preserve">, </w:t>
      </w:r>
      <w:r w:rsidRPr="00096909">
        <w:rPr>
          <w:rFonts w:ascii="Times New Roman" w:hAnsi="Times New Roman"/>
          <w:sz w:val="24"/>
          <w:szCs w:val="24"/>
        </w:rPr>
        <w:t>il poeta si era rivolto del resto anche in apertura del poemetto, invocando</w:t>
      </w:r>
      <w:r w:rsidR="00186C2B">
        <w:rPr>
          <w:rFonts w:ascii="Times New Roman" w:hAnsi="Times New Roman"/>
          <w:sz w:val="24"/>
          <w:szCs w:val="24"/>
        </w:rPr>
        <w:t>lo qual</w:t>
      </w:r>
      <w:r w:rsidRPr="00096909">
        <w:rPr>
          <w:rFonts w:ascii="Times New Roman" w:hAnsi="Times New Roman"/>
          <w:sz w:val="24"/>
          <w:szCs w:val="24"/>
        </w:rPr>
        <w:t>e nume tutelare dell’impresa letteraria</w:t>
      </w:r>
      <w:r w:rsidR="00BA4F74">
        <w:rPr>
          <w:rFonts w:ascii="Times New Roman" w:hAnsi="Times New Roman"/>
          <w:sz w:val="24"/>
          <w:szCs w:val="24"/>
        </w:rPr>
        <w:t>.</w:t>
      </w:r>
    </w:p>
    <w:p w14:paraId="6E4C52A1"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Il secondo libretto dedicato ai festeggiamenti per il matrimonio imperiale uscì invece il primo ottobre 1494 dai torchi di Antonio Zarotto. L</w:t>
      </w:r>
      <w:r>
        <w:rPr>
          <w:rFonts w:ascii="Times New Roman" w:hAnsi="Times New Roman"/>
          <w:sz w:val="24"/>
          <w:szCs w:val="24"/>
        </w:rPr>
        <w:t>e nozze</w:t>
      </w:r>
      <w:r w:rsidRPr="00096909">
        <w:rPr>
          <w:rFonts w:ascii="Times New Roman" w:hAnsi="Times New Roman"/>
          <w:sz w:val="24"/>
          <w:szCs w:val="24"/>
        </w:rPr>
        <w:t>, dopo il trasferimento della sposa in Austria, era</w:t>
      </w:r>
      <w:r>
        <w:rPr>
          <w:rFonts w:ascii="Times New Roman" w:hAnsi="Times New Roman"/>
          <w:sz w:val="24"/>
          <w:szCs w:val="24"/>
        </w:rPr>
        <w:t>no</w:t>
      </w:r>
      <w:r w:rsidRPr="00096909">
        <w:rPr>
          <w:rFonts w:ascii="Times New Roman" w:hAnsi="Times New Roman"/>
          <w:sz w:val="24"/>
          <w:szCs w:val="24"/>
        </w:rPr>
        <w:t xml:space="preserve"> stat</w:t>
      </w:r>
      <w:r>
        <w:rPr>
          <w:rFonts w:ascii="Times New Roman" w:hAnsi="Times New Roman"/>
          <w:sz w:val="24"/>
          <w:szCs w:val="24"/>
        </w:rPr>
        <w:t>e</w:t>
      </w:r>
      <w:r w:rsidRPr="00096909">
        <w:rPr>
          <w:rFonts w:ascii="Times New Roman" w:hAnsi="Times New Roman"/>
          <w:sz w:val="24"/>
          <w:szCs w:val="24"/>
        </w:rPr>
        <w:t xml:space="preserve"> celebrat</w:t>
      </w:r>
      <w:r>
        <w:rPr>
          <w:rFonts w:ascii="Times New Roman" w:hAnsi="Times New Roman"/>
          <w:sz w:val="24"/>
          <w:szCs w:val="24"/>
        </w:rPr>
        <w:t>e</w:t>
      </w:r>
      <w:r w:rsidRPr="00096909">
        <w:rPr>
          <w:rFonts w:ascii="Times New Roman" w:hAnsi="Times New Roman"/>
          <w:sz w:val="24"/>
          <w:szCs w:val="24"/>
        </w:rPr>
        <w:t xml:space="preserve"> nuovamente alla presenza dell’augusto sposo, il 16 marzo 1494</w:t>
      </w:r>
      <w:r w:rsidR="00186C2B">
        <w:rPr>
          <w:rFonts w:ascii="Times New Roman" w:hAnsi="Times New Roman"/>
          <w:sz w:val="24"/>
          <w:szCs w:val="24"/>
        </w:rPr>
        <w:t>, e</w:t>
      </w:r>
      <w:r>
        <w:rPr>
          <w:rFonts w:ascii="Times New Roman" w:hAnsi="Times New Roman"/>
          <w:sz w:val="24"/>
          <w:szCs w:val="24"/>
        </w:rPr>
        <w:t xml:space="preserve"> </w:t>
      </w:r>
      <w:r w:rsidR="00186C2B">
        <w:rPr>
          <w:rFonts w:ascii="Times New Roman" w:hAnsi="Times New Roman"/>
          <w:sz w:val="24"/>
          <w:szCs w:val="24"/>
        </w:rPr>
        <w:t>s</w:t>
      </w:r>
      <w:r w:rsidRPr="00096909">
        <w:rPr>
          <w:rFonts w:ascii="Times New Roman" w:hAnsi="Times New Roman"/>
          <w:sz w:val="24"/>
          <w:szCs w:val="24"/>
        </w:rPr>
        <w:t>i rendeva</w:t>
      </w:r>
      <w:r>
        <w:rPr>
          <w:rFonts w:ascii="Times New Roman" w:hAnsi="Times New Roman"/>
          <w:sz w:val="24"/>
          <w:szCs w:val="24"/>
        </w:rPr>
        <w:t xml:space="preserve"> quindi</w:t>
      </w:r>
      <w:r w:rsidRPr="00096909">
        <w:rPr>
          <w:rFonts w:ascii="Times New Roman" w:hAnsi="Times New Roman"/>
          <w:sz w:val="24"/>
          <w:szCs w:val="24"/>
        </w:rPr>
        <w:t xml:space="preserve"> opportuno rievocare il fasto delle recenti cerimonie milanesi e la gloria conseguita dalla nipote del Moro.</w:t>
      </w:r>
      <w:r w:rsidRPr="00096909">
        <w:rPr>
          <w:rStyle w:val="Rimandonotaapidipagina"/>
          <w:rFonts w:ascii="Times New Roman" w:hAnsi="Times New Roman"/>
          <w:sz w:val="24"/>
          <w:szCs w:val="24"/>
        </w:rPr>
        <w:footnoteReference w:id="574"/>
      </w:r>
      <w:r w:rsidRPr="00096909">
        <w:rPr>
          <w:rFonts w:ascii="Times New Roman" w:hAnsi="Times New Roman"/>
          <w:sz w:val="24"/>
          <w:szCs w:val="24"/>
        </w:rPr>
        <w:t xml:space="preserve"> Pertanto, in un incunabolo in quarto, di otto carte, dalla veste grafica semplice ma arricchita da titoli sul lato sinistro del testo per scandirne la partizione in sezioni, </w:t>
      </w:r>
      <w:r>
        <w:rPr>
          <w:rFonts w:ascii="Times New Roman" w:hAnsi="Times New Roman"/>
          <w:sz w:val="24"/>
          <w:szCs w:val="24"/>
        </w:rPr>
        <w:t xml:space="preserve">fu </w:t>
      </w:r>
      <w:r w:rsidRPr="00096909">
        <w:rPr>
          <w:rFonts w:ascii="Times New Roman" w:hAnsi="Times New Roman"/>
          <w:sz w:val="24"/>
          <w:szCs w:val="24"/>
        </w:rPr>
        <w:t>prontamente pubblicato l’</w:t>
      </w:r>
      <w:r w:rsidRPr="00096909">
        <w:rPr>
          <w:rFonts w:ascii="Times New Roman" w:hAnsi="Times New Roman"/>
          <w:i/>
          <w:sz w:val="24"/>
          <w:szCs w:val="24"/>
        </w:rPr>
        <w:t>Epithalamium</w:t>
      </w:r>
      <w:r w:rsidRPr="00096909">
        <w:rPr>
          <w:rFonts w:ascii="Times New Roman" w:hAnsi="Times New Roman"/>
          <w:sz w:val="24"/>
          <w:szCs w:val="24"/>
        </w:rPr>
        <w:t xml:space="preserve"> in esametri di Pietro Lazzaroni, lettore di arte oratoria presso l’Università di Pavia, qualifica che egli stesso dichiar</w:t>
      </w:r>
      <w:r>
        <w:rPr>
          <w:rFonts w:ascii="Times New Roman" w:hAnsi="Times New Roman"/>
          <w:sz w:val="24"/>
          <w:szCs w:val="24"/>
        </w:rPr>
        <w:t>ò</w:t>
      </w:r>
      <w:r w:rsidRPr="00096909">
        <w:rPr>
          <w:rFonts w:ascii="Times New Roman" w:hAnsi="Times New Roman"/>
          <w:sz w:val="24"/>
          <w:szCs w:val="24"/>
        </w:rPr>
        <w:t xml:space="preserve"> nella dedica del componimento all’Imperatore.</w:t>
      </w:r>
      <w:r w:rsidRPr="00096909">
        <w:rPr>
          <w:rStyle w:val="Rimandonotaapidipagina"/>
          <w:rFonts w:ascii="Times New Roman" w:hAnsi="Times New Roman"/>
          <w:sz w:val="24"/>
          <w:szCs w:val="24"/>
        </w:rPr>
        <w:footnoteReference w:id="575"/>
      </w:r>
      <w:r w:rsidRPr="00096909">
        <w:rPr>
          <w:rFonts w:ascii="Times New Roman" w:hAnsi="Times New Roman"/>
          <w:sz w:val="24"/>
          <w:szCs w:val="24"/>
        </w:rPr>
        <w:t xml:space="preserve"> </w:t>
      </w:r>
    </w:p>
    <w:p w14:paraId="010ACCE0"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Dal 1480 il nome dell’autore compare effettivamente nei </w:t>
      </w:r>
      <w:r w:rsidRPr="00096909">
        <w:rPr>
          <w:rFonts w:ascii="Times New Roman" w:hAnsi="Times New Roman"/>
          <w:i/>
          <w:sz w:val="24"/>
          <w:szCs w:val="24"/>
        </w:rPr>
        <w:t>Rotuli</w:t>
      </w:r>
      <w:r w:rsidRPr="00096909">
        <w:rPr>
          <w:rFonts w:ascii="Times New Roman" w:hAnsi="Times New Roman"/>
          <w:sz w:val="24"/>
          <w:szCs w:val="24"/>
        </w:rPr>
        <w:t xml:space="preserve"> dello Studio pavese. Scarse e dubbie però le notizie sulla sua biografia, sulla sua origine – bresciana o forse valtellinese – e sulla sua scomparsa, probabilmente successiva di poco all’anno accademico 1495-1496, ultimo per il quale sia attestata la sua attività d’insegnamento.</w:t>
      </w:r>
      <w:r w:rsidRPr="00096909">
        <w:rPr>
          <w:rStyle w:val="Rimandonotaapidipagina"/>
          <w:rFonts w:ascii="Times New Roman" w:hAnsi="Times New Roman"/>
          <w:sz w:val="24"/>
          <w:szCs w:val="24"/>
        </w:rPr>
        <w:footnoteReference w:id="576"/>
      </w:r>
      <w:r w:rsidRPr="00096909">
        <w:rPr>
          <w:rFonts w:ascii="Times New Roman" w:hAnsi="Times New Roman"/>
          <w:sz w:val="24"/>
          <w:szCs w:val="24"/>
        </w:rPr>
        <w:t xml:space="preserve"> </w:t>
      </w:r>
    </w:p>
    <w:p w14:paraId="16624D86"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Quello che invece emerge dal confronto tra le sue opere, come confermano i recenti studi di Bernhard Schirg, è l’abilità del letterato </w:t>
      </w:r>
      <w:r>
        <w:rPr>
          <w:rFonts w:ascii="Times New Roman" w:hAnsi="Times New Roman"/>
          <w:sz w:val="24"/>
          <w:szCs w:val="24"/>
        </w:rPr>
        <w:t xml:space="preserve">nel </w:t>
      </w:r>
      <w:r w:rsidRPr="00096909">
        <w:rPr>
          <w:rFonts w:ascii="Times New Roman" w:hAnsi="Times New Roman"/>
          <w:sz w:val="24"/>
          <w:szCs w:val="24"/>
        </w:rPr>
        <w:t xml:space="preserve">fronteggiare le necessità propagandistiche di Ludovico </w:t>
      </w:r>
      <w:r w:rsidRPr="00096909">
        <w:rPr>
          <w:rFonts w:ascii="Times New Roman" w:hAnsi="Times New Roman"/>
          <w:sz w:val="24"/>
          <w:szCs w:val="24"/>
        </w:rPr>
        <w:lastRenderedPageBreak/>
        <w:t xml:space="preserve">il Moro e di rielaborare i propri versi in base all’encomio da presentare a dignitari della corte milanese o a potenti principi italiani ed europei. Un esempio di questo talento è offerto dalla circolazione del testo del </w:t>
      </w:r>
      <w:r w:rsidRPr="00096909">
        <w:rPr>
          <w:rFonts w:ascii="Times New Roman" w:hAnsi="Times New Roman"/>
          <w:i/>
          <w:sz w:val="24"/>
          <w:szCs w:val="24"/>
        </w:rPr>
        <w:t>Carmen de quattuor virtutibus</w:t>
      </w:r>
      <w:r w:rsidRPr="00096909">
        <w:rPr>
          <w:rFonts w:ascii="Times New Roman" w:hAnsi="Times New Roman"/>
          <w:sz w:val="24"/>
          <w:szCs w:val="24"/>
        </w:rPr>
        <w:t>, dove, Lazzaroni, descritto l’ideale del buon governo espresso dall’esercizio della Prudenza, della Fede, della Giustizia e della Liberalità, fatte le opportune modifiche, si ciment</w:t>
      </w:r>
      <w:r>
        <w:rPr>
          <w:rFonts w:ascii="Times New Roman" w:hAnsi="Times New Roman"/>
          <w:sz w:val="24"/>
          <w:szCs w:val="24"/>
        </w:rPr>
        <w:t>ò</w:t>
      </w:r>
      <w:r w:rsidRPr="00096909">
        <w:rPr>
          <w:rFonts w:ascii="Times New Roman" w:hAnsi="Times New Roman"/>
          <w:sz w:val="24"/>
          <w:szCs w:val="24"/>
        </w:rPr>
        <w:t xml:space="preserve"> in elogi dei civici consigli di Bergamo, di Bologna e di Crema, così come di Alfonso duca di Calabria, di Carlo I di Savoia, di Galeazzo Maria Sforza, dei quali sper</w:t>
      </w:r>
      <w:r>
        <w:rPr>
          <w:rFonts w:ascii="Times New Roman" w:hAnsi="Times New Roman"/>
          <w:sz w:val="24"/>
          <w:szCs w:val="24"/>
        </w:rPr>
        <w:t>ò</w:t>
      </w:r>
      <w:r w:rsidRPr="00096909">
        <w:rPr>
          <w:rFonts w:ascii="Times New Roman" w:hAnsi="Times New Roman"/>
          <w:sz w:val="24"/>
          <w:szCs w:val="24"/>
        </w:rPr>
        <w:t xml:space="preserve"> </w:t>
      </w:r>
      <w:r>
        <w:rPr>
          <w:rFonts w:ascii="Times New Roman" w:hAnsi="Times New Roman"/>
          <w:sz w:val="24"/>
          <w:szCs w:val="24"/>
        </w:rPr>
        <w:t>nel</w:t>
      </w:r>
      <w:r w:rsidRPr="00096909">
        <w:rPr>
          <w:rFonts w:ascii="Times New Roman" w:hAnsi="Times New Roman"/>
          <w:sz w:val="24"/>
          <w:szCs w:val="24"/>
        </w:rPr>
        <w:t>l’appoggio e ai quali invi</w:t>
      </w:r>
      <w:r>
        <w:rPr>
          <w:rFonts w:ascii="Times New Roman" w:hAnsi="Times New Roman"/>
          <w:sz w:val="24"/>
          <w:szCs w:val="24"/>
        </w:rPr>
        <w:t>ò</w:t>
      </w:r>
      <w:r w:rsidRPr="00096909">
        <w:rPr>
          <w:rFonts w:ascii="Times New Roman" w:hAnsi="Times New Roman"/>
          <w:sz w:val="24"/>
          <w:szCs w:val="24"/>
        </w:rPr>
        <w:t>, in tempi differenti, pregevoli manoscritti di dedica.</w:t>
      </w:r>
      <w:r w:rsidRPr="00096909">
        <w:rPr>
          <w:rStyle w:val="Rimandonotaapidipagina"/>
          <w:rFonts w:ascii="Times New Roman" w:hAnsi="Times New Roman"/>
          <w:sz w:val="24"/>
          <w:szCs w:val="24"/>
        </w:rPr>
        <w:footnoteReference w:id="577"/>
      </w:r>
      <w:r w:rsidRPr="00096909">
        <w:rPr>
          <w:rFonts w:ascii="Times New Roman" w:hAnsi="Times New Roman"/>
          <w:sz w:val="24"/>
          <w:szCs w:val="24"/>
        </w:rPr>
        <w:t xml:space="preserve"> </w:t>
      </w:r>
    </w:p>
    <w:p w14:paraId="5444BE3C"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Similmente, il poeta riservò nelle pagine introduttive del suo </w:t>
      </w:r>
      <w:r w:rsidRPr="00096909">
        <w:rPr>
          <w:rFonts w:ascii="Times New Roman" w:hAnsi="Times New Roman"/>
          <w:i/>
          <w:sz w:val="24"/>
          <w:szCs w:val="24"/>
        </w:rPr>
        <w:t>Epithalamium</w:t>
      </w:r>
      <w:r w:rsidRPr="00096909">
        <w:rPr>
          <w:rFonts w:ascii="Times New Roman" w:hAnsi="Times New Roman"/>
          <w:sz w:val="24"/>
          <w:szCs w:val="24"/>
        </w:rPr>
        <w:t xml:space="preserve"> a Bianca Maria Sforza la stessa corona di dodici virtù che aveva offerto in un elegante manoscritto a Caterina Cornaro per il suo sposalizio veneziano del 31 luglio 1468 con Giacomo II di Lusignano, re di Cipro, intitolato </w:t>
      </w:r>
      <w:r w:rsidRPr="00096909">
        <w:rPr>
          <w:rFonts w:ascii="Times New Roman" w:hAnsi="Times New Roman" w:cs="Times New Roman"/>
          <w:i/>
          <w:sz w:val="24"/>
          <w:szCs w:val="24"/>
        </w:rPr>
        <w:t>De duodecim virtutibus quibus coronatur consumata regina</w:t>
      </w:r>
      <w:r w:rsidRPr="00096909">
        <w:rPr>
          <w:rFonts w:ascii="Times New Roman" w:hAnsi="Times New Roman"/>
          <w:sz w:val="24"/>
          <w:szCs w:val="24"/>
        </w:rPr>
        <w:t>.</w:t>
      </w:r>
      <w:r w:rsidRPr="00096909">
        <w:rPr>
          <w:rStyle w:val="Rimandonotaapidipagina"/>
          <w:rFonts w:ascii="Times New Roman" w:hAnsi="Times New Roman"/>
          <w:sz w:val="24"/>
          <w:szCs w:val="24"/>
        </w:rPr>
        <w:footnoteReference w:id="578"/>
      </w:r>
      <w:r w:rsidRPr="00096909">
        <w:rPr>
          <w:rFonts w:ascii="Times New Roman" w:hAnsi="Times New Roman"/>
          <w:sz w:val="24"/>
          <w:szCs w:val="24"/>
        </w:rPr>
        <w:t xml:space="preserve"> Alle carte a2v </w:t>
      </w:r>
      <w:r w:rsidRPr="00096909">
        <w:rPr>
          <w:rFonts w:ascii="Times New Roman" w:hAnsi="Times New Roman" w:cs="Times New Roman"/>
          <w:sz w:val="24"/>
          <w:szCs w:val="24"/>
        </w:rPr>
        <w:t>–</w:t>
      </w:r>
      <w:r w:rsidRPr="00096909">
        <w:rPr>
          <w:rFonts w:ascii="Times New Roman" w:hAnsi="Times New Roman"/>
          <w:sz w:val="24"/>
          <w:szCs w:val="24"/>
        </w:rPr>
        <w:t xml:space="preserve"> a4v dell’incunabolo che esaminiamo, dopo una rievocazione molto breve delle glorie di casa Sforza, ovvero dei trionfi di Francesco, di Galeazzo Maria, di Ludovico e del cardinale Ascanio, Bianca Maria appare ornata da </w:t>
      </w:r>
      <w:r w:rsidRPr="00096909">
        <w:rPr>
          <w:rFonts w:ascii="Times New Roman" w:hAnsi="Times New Roman"/>
          <w:i/>
          <w:sz w:val="24"/>
          <w:szCs w:val="24"/>
        </w:rPr>
        <w:t>Prudentia, Iustitia, Fortitudo, Temperantia, Fides, Spes, Charitas, Liberalitas, Misericordia, Veritas, Gravitas</w:t>
      </w:r>
      <w:r w:rsidRPr="00096909">
        <w:rPr>
          <w:rFonts w:ascii="Times New Roman" w:hAnsi="Times New Roman"/>
          <w:sz w:val="24"/>
          <w:szCs w:val="24"/>
        </w:rPr>
        <w:t xml:space="preserve"> e </w:t>
      </w:r>
      <w:r w:rsidRPr="00096909">
        <w:rPr>
          <w:rFonts w:ascii="Times New Roman" w:hAnsi="Times New Roman"/>
          <w:i/>
          <w:sz w:val="24"/>
          <w:szCs w:val="24"/>
        </w:rPr>
        <w:t xml:space="preserve">Pudicitia, </w:t>
      </w:r>
      <w:r w:rsidRPr="00096909">
        <w:rPr>
          <w:rFonts w:ascii="Times New Roman" w:hAnsi="Times New Roman"/>
          <w:sz w:val="24"/>
          <w:szCs w:val="24"/>
        </w:rPr>
        <w:t xml:space="preserve">degna sposa del re dei romani. </w:t>
      </w:r>
    </w:p>
    <w:p w14:paraId="6C42DDBF"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Già da queste osservazioni sulla struttura dell’</w:t>
      </w:r>
      <w:r w:rsidRPr="00096909">
        <w:rPr>
          <w:rFonts w:ascii="Times New Roman" w:hAnsi="Times New Roman"/>
          <w:i/>
          <w:sz w:val="24"/>
          <w:szCs w:val="24"/>
        </w:rPr>
        <w:t>Epithalamium</w:t>
      </w:r>
      <w:r w:rsidRPr="00096909">
        <w:rPr>
          <w:rFonts w:ascii="Times New Roman" w:hAnsi="Times New Roman"/>
          <w:sz w:val="24"/>
          <w:szCs w:val="24"/>
        </w:rPr>
        <w:t xml:space="preserve"> </w:t>
      </w:r>
      <w:r w:rsidRPr="00096909">
        <w:rPr>
          <w:rFonts w:ascii="Times New Roman" w:hAnsi="Times New Roman" w:cs="Times New Roman"/>
          <w:sz w:val="24"/>
          <w:szCs w:val="24"/>
        </w:rPr>
        <w:t>–</w:t>
      </w:r>
      <w:r>
        <w:rPr>
          <w:rFonts w:ascii="Times New Roman" w:hAnsi="Times New Roman"/>
          <w:sz w:val="24"/>
          <w:szCs w:val="24"/>
        </w:rPr>
        <w:t xml:space="preserve">il quale </w:t>
      </w:r>
      <w:r w:rsidRPr="00096909">
        <w:rPr>
          <w:rFonts w:ascii="Times New Roman" w:hAnsi="Times New Roman"/>
          <w:sz w:val="24"/>
          <w:szCs w:val="24"/>
        </w:rPr>
        <w:t xml:space="preserve">alle carte a7r </w:t>
      </w:r>
      <w:r w:rsidRPr="00096909">
        <w:rPr>
          <w:rFonts w:ascii="Times New Roman" w:hAnsi="Times New Roman" w:cs="Times New Roman"/>
          <w:sz w:val="24"/>
          <w:szCs w:val="24"/>
        </w:rPr>
        <w:t>–</w:t>
      </w:r>
      <w:r w:rsidRPr="00096909">
        <w:rPr>
          <w:rFonts w:ascii="Times New Roman" w:hAnsi="Times New Roman"/>
          <w:sz w:val="24"/>
          <w:szCs w:val="24"/>
        </w:rPr>
        <w:t xml:space="preserve"> a8v </w:t>
      </w:r>
      <w:r>
        <w:rPr>
          <w:rFonts w:ascii="Times New Roman" w:hAnsi="Times New Roman"/>
          <w:sz w:val="24"/>
          <w:szCs w:val="24"/>
        </w:rPr>
        <w:t xml:space="preserve">riporta anche </w:t>
      </w:r>
      <w:r w:rsidRPr="00096909">
        <w:rPr>
          <w:rFonts w:ascii="Times New Roman" w:hAnsi="Times New Roman"/>
          <w:sz w:val="24"/>
          <w:szCs w:val="24"/>
        </w:rPr>
        <w:t>le orazioni di congedo della principessa dalla corte milanese e</w:t>
      </w:r>
      <w:r>
        <w:rPr>
          <w:rFonts w:ascii="Times New Roman" w:hAnsi="Times New Roman"/>
          <w:sz w:val="24"/>
          <w:szCs w:val="24"/>
        </w:rPr>
        <w:t xml:space="preserve"> </w:t>
      </w:r>
      <w:r w:rsidRPr="00096909">
        <w:rPr>
          <w:rFonts w:ascii="Times New Roman" w:hAnsi="Times New Roman"/>
          <w:sz w:val="24"/>
          <w:szCs w:val="24"/>
        </w:rPr>
        <w:t xml:space="preserve">quelle di saluto di Gian Galeazzo e Ludovico Sforza </w:t>
      </w:r>
      <w:r w:rsidRPr="00096909">
        <w:rPr>
          <w:rFonts w:ascii="Times New Roman" w:hAnsi="Times New Roman" w:cs="Times New Roman"/>
          <w:sz w:val="24"/>
          <w:szCs w:val="24"/>
        </w:rPr>
        <w:t>–</w:t>
      </w:r>
      <w:r w:rsidRPr="00096909">
        <w:rPr>
          <w:rFonts w:ascii="Times New Roman" w:hAnsi="Times New Roman"/>
          <w:sz w:val="24"/>
          <w:szCs w:val="24"/>
        </w:rPr>
        <w:t xml:space="preserve">  e sul facile riuso di materiali poetici da parte di Lazzaroni si comprende come sia difficile servirsi dei cenni sul </w:t>
      </w:r>
      <w:r w:rsidRPr="00096909">
        <w:rPr>
          <w:rFonts w:ascii="Times New Roman" w:hAnsi="Times New Roman"/>
          <w:i/>
          <w:sz w:val="24"/>
          <w:szCs w:val="24"/>
        </w:rPr>
        <w:t>triumpho qui celebratus est in festo Sancti Andreae in quo coronata est sponsa</w:t>
      </w:r>
      <w:r w:rsidRPr="00096909">
        <w:rPr>
          <w:rFonts w:ascii="Times New Roman" w:hAnsi="Times New Roman"/>
          <w:sz w:val="24"/>
          <w:szCs w:val="24"/>
        </w:rPr>
        <w:t xml:space="preserve"> alle carte a6r – a7r per farsi un’idea esaustiva dello spettacolo al quale assistette Milano in quel giorno di festa. </w:t>
      </w:r>
    </w:p>
    <w:p w14:paraId="5C41D7BB"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Per ricostruire la successione degli eventi e descriverne gli apparati decorativi ci serviremo dunque, oltre che delle ottave di Taccone, della prosa puntuale delle </w:t>
      </w:r>
      <w:r w:rsidRPr="00096909">
        <w:rPr>
          <w:rFonts w:ascii="Times New Roman" w:hAnsi="Times New Roman"/>
          <w:i/>
          <w:sz w:val="24"/>
          <w:szCs w:val="24"/>
        </w:rPr>
        <w:t>Nuptiae Augustae</w:t>
      </w:r>
      <w:r w:rsidRPr="00096909">
        <w:rPr>
          <w:rFonts w:ascii="Times New Roman" w:hAnsi="Times New Roman"/>
          <w:sz w:val="24"/>
          <w:szCs w:val="24"/>
        </w:rPr>
        <w:t xml:space="preserve"> di Tristano Calco,</w:t>
      </w:r>
      <w:r w:rsidRPr="00096909">
        <w:rPr>
          <w:rStyle w:val="Rimandonotaapidipagina"/>
          <w:rFonts w:ascii="Times New Roman" w:hAnsi="Times New Roman"/>
          <w:sz w:val="24"/>
          <w:szCs w:val="24"/>
        </w:rPr>
        <w:footnoteReference w:id="579"/>
      </w:r>
      <w:r w:rsidRPr="00096909">
        <w:rPr>
          <w:rFonts w:ascii="Times New Roman" w:hAnsi="Times New Roman"/>
          <w:sz w:val="24"/>
          <w:szCs w:val="24"/>
        </w:rPr>
        <w:t xml:space="preserve"> dedicate a Erasmo Brasca, e della lettera che il 28 dicembre 1493 Beatrice d’Este inviò da Vigevano a sua sorella Isabella a Mantova con diversi dettagli sul matrimonio.</w:t>
      </w:r>
      <w:r w:rsidRPr="00096909">
        <w:rPr>
          <w:rStyle w:val="Rimandonotaapidipagina"/>
          <w:rFonts w:ascii="Times New Roman" w:hAnsi="Times New Roman"/>
          <w:sz w:val="24"/>
          <w:szCs w:val="24"/>
        </w:rPr>
        <w:footnoteReference w:id="580"/>
      </w:r>
    </w:p>
    <w:p w14:paraId="64FDF7C6"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Le cronache poetiche di Taccone e Lazzoroni, come già visto nel libretto di Dolcino, si aprono con un’introduzione storic</w:t>
      </w:r>
      <w:r>
        <w:rPr>
          <w:rFonts w:ascii="Times New Roman" w:hAnsi="Times New Roman"/>
          <w:sz w:val="24"/>
          <w:szCs w:val="24"/>
        </w:rPr>
        <w:t>a</w:t>
      </w:r>
      <w:r w:rsidRPr="00096909">
        <w:rPr>
          <w:rFonts w:ascii="Times New Roman" w:hAnsi="Times New Roman"/>
          <w:sz w:val="24"/>
          <w:szCs w:val="24"/>
        </w:rPr>
        <w:t xml:space="preserve">, volta a sottolineare l’alta dignità conseguita dalla </w:t>
      </w:r>
      <w:r w:rsidRPr="00096909">
        <w:rPr>
          <w:rFonts w:ascii="Times New Roman" w:hAnsi="Times New Roman"/>
          <w:i/>
          <w:sz w:val="24"/>
          <w:szCs w:val="24"/>
        </w:rPr>
        <w:t>Gens sfortiaca</w:t>
      </w:r>
      <w:r w:rsidRPr="00096909">
        <w:rPr>
          <w:rFonts w:ascii="Times New Roman" w:hAnsi="Times New Roman"/>
          <w:sz w:val="24"/>
          <w:szCs w:val="24"/>
        </w:rPr>
        <w:t xml:space="preserve">, erede diretta della gloria del ducato visconteo. Taccone, in particolare [ott. 8-46], mette in risalto </w:t>
      </w:r>
      <w:r w:rsidRPr="00096909">
        <w:rPr>
          <w:rFonts w:ascii="Times New Roman" w:hAnsi="Times New Roman"/>
          <w:sz w:val="24"/>
          <w:szCs w:val="24"/>
        </w:rPr>
        <w:lastRenderedPageBreak/>
        <w:t>il valore dimostrato da Matteo I Visconti nella lotta contro la casata rivale dei Della Torre, da Ottone Visconti nelle imprese leggendarie della prima crociata, e da Francesco Sforza nelle sue più recenti campagne militari.</w:t>
      </w:r>
      <w:r w:rsidRPr="00096909">
        <w:rPr>
          <w:rStyle w:val="Rimandonotaapidipagina"/>
          <w:rFonts w:ascii="Times New Roman" w:hAnsi="Times New Roman"/>
          <w:sz w:val="24"/>
          <w:szCs w:val="24"/>
        </w:rPr>
        <w:footnoteReference w:id="581"/>
      </w:r>
      <w:r w:rsidRPr="00096909">
        <w:rPr>
          <w:rFonts w:ascii="Times New Roman" w:hAnsi="Times New Roman"/>
          <w:sz w:val="24"/>
          <w:szCs w:val="24"/>
        </w:rPr>
        <w:t xml:space="preserve"> Le celebrazioni d</w:t>
      </w:r>
      <w:r>
        <w:rPr>
          <w:rFonts w:ascii="Times New Roman" w:hAnsi="Times New Roman"/>
          <w:sz w:val="24"/>
          <w:szCs w:val="24"/>
        </w:rPr>
        <w:t>elle</w:t>
      </w:r>
      <w:r w:rsidRPr="00096909">
        <w:rPr>
          <w:rFonts w:ascii="Times New Roman" w:hAnsi="Times New Roman"/>
          <w:sz w:val="24"/>
          <w:szCs w:val="24"/>
        </w:rPr>
        <w:t xml:space="preserve"> antiche glorie ducali, oltre </w:t>
      </w:r>
      <w:r>
        <w:rPr>
          <w:rFonts w:ascii="Times New Roman" w:hAnsi="Times New Roman"/>
          <w:sz w:val="24"/>
          <w:szCs w:val="24"/>
        </w:rPr>
        <w:t>a</w:t>
      </w:r>
      <w:r w:rsidRPr="00096909">
        <w:rPr>
          <w:rFonts w:ascii="Times New Roman" w:hAnsi="Times New Roman"/>
          <w:sz w:val="24"/>
          <w:szCs w:val="24"/>
        </w:rPr>
        <w:t xml:space="preserve">ll’encomio </w:t>
      </w:r>
      <w:r>
        <w:rPr>
          <w:rFonts w:ascii="Times New Roman" w:hAnsi="Times New Roman"/>
          <w:sz w:val="24"/>
          <w:szCs w:val="24"/>
        </w:rPr>
        <w:t xml:space="preserve">riferito </w:t>
      </w:r>
      <w:r w:rsidRPr="00096909">
        <w:rPr>
          <w:rFonts w:ascii="Times New Roman" w:hAnsi="Times New Roman"/>
          <w:sz w:val="24"/>
          <w:szCs w:val="24"/>
        </w:rPr>
        <w:t>alla grandezza di Milano e alla capacità dei milanesi di dimostrarsi temibili in battaglia, vanno lette in rapporto alla possibilità di una prossimo sostegno degli Sforza alle guerre di Massimiliano contro i turchi</w:t>
      </w:r>
      <w:r>
        <w:rPr>
          <w:rFonts w:ascii="Times New Roman" w:hAnsi="Times New Roman"/>
          <w:sz w:val="24"/>
          <w:szCs w:val="24"/>
        </w:rPr>
        <w:t xml:space="preserve"> cui si è accennato</w:t>
      </w:r>
      <w:r w:rsidRPr="00096909">
        <w:rPr>
          <w:rFonts w:ascii="Times New Roman" w:hAnsi="Times New Roman"/>
          <w:sz w:val="24"/>
          <w:szCs w:val="24"/>
        </w:rPr>
        <w:t xml:space="preserve">. </w:t>
      </w:r>
    </w:p>
    <w:p w14:paraId="7E1754C5"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Alle ottave 47-49 il poeta ricorda poi l’ambasceria del cancelliere Brasca alla corte asburgica per offrire la mano di Bianca. Siglati i patti, il 7 novembre 1493 una delegazione imperiale guidata da Gaspare Melchior, vescovo di Bressanone, e dal tesoriere Jean Bontemps giunse a Milano in rappresentanza dello sposo, il quale, </w:t>
      </w:r>
      <w:r>
        <w:rPr>
          <w:rFonts w:ascii="Times New Roman" w:hAnsi="Times New Roman"/>
          <w:sz w:val="24"/>
          <w:szCs w:val="24"/>
        </w:rPr>
        <w:t xml:space="preserve">dopo </w:t>
      </w:r>
      <w:r w:rsidRPr="00096909">
        <w:rPr>
          <w:rFonts w:ascii="Times New Roman" w:hAnsi="Times New Roman"/>
          <w:sz w:val="24"/>
          <w:szCs w:val="24"/>
        </w:rPr>
        <w:t>la recente scomparsa di suo padre, Federico III, il 19 agosto precedente, regnava formalmente sui domini dell’impero.</w:t>
      </w:r>
      <w:r w:rsidRPr="00096909">
        <w:rPr>
          <w:rStyle w:val="Rimandonotaapidipagina"/>
          <w:rFonts w:ascii="Times New Roman" w:hAnsi="Times New Roman"/>
          <w:sz w:val="24"/>
          <w:szCs w:val="24"/>
        </w:rPr>
        <w:footnoteReference w:id="582"/>
      </w:r>
      <w:r w:rsidRPr="00096909">
        <w:rPr>
          <w:rFonts w:ascii="Times New Roman" w:hAnsi="Times New Roman"/>
          <w:sz w:val="24"/>
          <w:szCs w:val="24"/>
        </w:rPr>
        <w:t xml:space="preserve"> </w:t>
      </w:r>
    </w:p>
    <w:p w14:paraId="601C14B5" w14:textId="77777777" w:rsidR="00D22C4C" w:rsidRPr="00096909" w:rsidRDefault="00D22C4C" w:rsidP="00D22C4C">
      <w:pPr>
        <w:pStyle w:val="Nessunaspaziatura"/>
        <w:spacing w:line="360" w:lineRule="auto"/>
        <w:ind w:firstLine="397"/>
        <w:jc w:val="both"/>
        <w:rPr>
          <w:rFonts w:ascii="Times New Roman" w:hAnsi="Times New Roman"/>
          <w:sz w:val="24"/>
          <w:szCs w:val="24"/>
        </w:rPr>
      </w:pPr>
      <w:r w:rsidRPr="00096909">
        <w:rPr>
          <w:rFonts w:ascii="Times New Roman" w:hAnsi="Times New Roman"/>
          <w:sz w:val="24"/>
          <w:szCs w:val="24"/>
        </w:rPr>
        <w:t xml:space="preserve">Come specifica Tristano Calco, i legati tedeschi furono ricevuti a Porta Orientale dai fratelli della sposa e da Ludovico Sforza: </w:t>
      </w:r>
    </w:p>
    <w:p w14:paraId="3053496F" w14:textId="77777777" w:rsidR="00D22C4C" w:rsidRPr="00096909" w:rsidRDefault="00D22C4C" w:rsidP="00D22C4C">
      <w:pPr>
        <w:pStyle w:val="Nessunaspaziatura"/>
        <w:spacing w:line="360" w:lineRule="auto"/>
        <w:ind w:left="567" w:right="566"/>
        <w:jc w:val="both"/>
        <w:rPr>
          <w:rFonts w:ascii="Times New Roman" w:hAnsi="Times New Roman"/>
          <w:i/>
          <w:sz w:val="20"/>
          <w:szCs w:val="20"/>
        </w:rPr>
      </w:pPr>
    </w:p>
    <w:p w14:paraId="0634ED76" w14:textId="77777777" w:rsidR="00D22C4C" w:rsidRPr="00096909" w:rsidRDefault="00D22C4C" w:rsidP="00D22C4C">
      <w:pPr>
        <w:pStyle w:val="Nessunaspaziatura"/>
        <w:spacing w:line="360" w:lineRule="auto"/>
        <w:ind w:left="567" w:right="567" w:firstLine="397"/>
        <w:jc w:val="both"/>
        <w:rPr>
          <w:rFonts w:ascii="Times New Roman" w:hAnsi="Times New Roman"/>
          <w:i/>
          <w:sz w:val="20"/>
          <w:szCs w:val="20"/>
        </w:rPr>
      </w:pPr>
      <w:r w:rsidRPr="00096909">
        <w:rPr>
          <w:rFonts w:ascii="Times New Roman" w:hAnsi="Times New Roman"/>
          <w:i/>
          <w:sz w:val="20"/>
          <w:szCs w:val="20"/>
        </w:rPr>
        <w:t xml:space="preserve">Tum principes ipsi oblati, Joannes Galeacius Dux et Hermes, Blancae fratres, ac ipse rerum arbiter Ludovicus patruus, qui longo Magistratuum Civiumque ordine, ac subditarum civitatum nobilitate prosequente exierant Orientali regione ad ultimum suburbanum, ubi surgens opus amplissimo campo circumdato in octigentas cameras, pestilentium usui designatas, iam pro spectaculo habebatur. </w:t>
      </w:r>
    </w:p>
    <w:p w14:paraId="37867BF1" w14:textId="77777777" w:rsidR="00D22C4C" w:rsidRPr="00096909" w:rsidRDefault="00D22C4C" w:rsidP="00D22C4C">
      <w:pPr>
        <w:pStyle w:val="Nessunaspaziatura"/>
        <w:spacing w:line="360" w:lineRule="auto"/>
        <w:ind w:left="567" w:right="567" w:firstLine="397"/>
        <w:jc w:val="both"/>
        <w:rPr>
          <w:rFonts w:ascii="Times New Roman" w:hAnsi="Times New Roman"/>
          <w:i/>
          <w:sz w:val="20"/>
          <w:szCs w:val="20"/>
        </w:rPr>
      </w:pPr>
      <w:r w:rsidRPr="00096909">
        <w:rPr>
          <w:rFonts w:ascii="Times New Roman" w:hAnsi="Times New Roman"/>
          <w:i/>
          <w:sz w:val="20"/>
          <w:szCs w:val="20"/>
        </w:rPr>
        <w:t>Hic exceptis Germanis, honestiorique latere locatis, Urbem omnes introeunt pulla veste tecti, luctus causa, qui utrinque recens contigerat, illic Federico Maximiliani patre, hinc Leonora Ludovici socru defunctis</w:t>
      </w:r>
      <w:r w:rsidRPr="00096909">
        <w:rPr>
          <w:rFonts w:ascii="Times New Roman" w:hAnsi="Times New Roman"/>
          <w:sz w:val="20"/>
          <w:szCs w:val="20"/>
        </w:rPr>
        <w:t>.</w:t>
      </w:r>
      <w:r w:rsidRPr="00096909">
        <w:rPr>
          <w:rStyle w:val="Rimandonotaapidipagina"/>
          <w:rFonts w:ascii="Times New Roman" w:hAnsi="Times New Roman"/>
        </w:rPr>
        <w:footnoteReference w:id="583"/>
      </w:r>
      <w:r w:rsidRPr="00096909">
        <w:rPr>
          <w:rFonts w:ascii="Times New Roman" w:hAnsi="Times New Roman"/>
          <w:i/>
          <w:sz w:val="20"/>
          <w:szCs w:val="20"/>
        </w:rPr>
        <w:t xml:space="preserve">    </w:t>
      </w:r>
    </w:p>
    <w:p w14:paraId="3D4DAF9B" w14:textId="77777777" w:rsidR="00D22C4C" w:rsidRPr="00096909" w:rsidRDefault="00D22C4C" w:rsidP="00D22C4C">
      <w:pPr>
        <w:spacing w:after="0" w:line="360" w:lineRule="auto"/>
        <w:ind w:right="-1"/>
        <w:jc w:val="both"/>
        <w:rPr>
          <w:rFonts w:ascii="Times New Roman" w:hAnsi="Times New Roman" w:cs="Times New Roman"/>
          <w:sz w:val="24"/>
          <w:szCs w:val="24"/>
        </w:rPr>
      </w:pPr>
    </w:p>
    <w:p w14:paraId="6856AC17"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Su questa accoglienza, che permise agli ambasciatori di ammirare l’edificio del Lazzaretto in costruzione,</w:t>
      </w:r>
      <w:r w:rsidRPr="00096909">
        <w:rPr>
          <w:rStyle w:val="Rimandonotaapidipagina"/>
          <w:rFonts w:ascii="Times New Roman" w:hAnsi="Times New Roman" w:cs="Times New Roman"/>
          <w:sz w:val="24"/>
          <w:szCs w:val="24"/>
        </w:rPr>
        <w:footnoteReference w:id="584"/>
      </w:r>
      <w:r w:rsidRPr="00096909">
        <w:rPr>
          <w:rFonts w:ascii="Times New Roman" w:hAnsi="Times New Roman" w:cs="Times New Roman"/>
          <w:sz w:val="24"/>
          <w:szCs w:val="24"/>
        </w:rPr>
        <w:t xml:space="preserve"> dominò dunque il nero del lutto, dovuto alla morte del padre dello sposo e della suocera del Moro, Eleonora d’Aragona, deceduta l’11 ottobre 1493. </w:t>
      </w:r>
    </w:p>
    <w:p w14:paraId="6014E5F0"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Dopo aver ricordato la visita degli ospiti alle bellezze della città – in un percorso da Porta Orientale alla piazza del Duomo, per poi procedere lungo la contrada degli Orefici fino al Castello di Porta Giovia –, Calco inform</w:t>
      </w:r>
      <w:r w:rsidR="001A6E4E">
        <w:rPr>
          <w:rFonts w:ascii="Times New Roman" w:hAnsi="Times New Roman" w:cs="Times New Roman"/>
          <w:sz w:val="24"/>
          <w:szCs w:val="24"/>
        </w:rPr>
        <w:t>ò</w:t>
      </w:r>
      <w:r w:rsidRPr="00096909">
        <w:rPr>
          <w:rFonts w:ascii="Times New Roman" w:hAnsi="Times New Roman" w:cs="Times New Roman"/>
          <w:sz w:val="24"/>
          <w:szCs w:val="24"/>
        </w:rPr>
        <w:t xml:space="preserve"> il lettore dell’arrivo, il 18 novembre, di un’altra delegazione mandata dal granduca di Russia Ivan III il Grande – con il quale i duchi Sforza avevano intessuto relazioni diplomatiche fin dai tempi di Francesco I –,</w:t>
      </w:r>
      <w:r w:rsidRPr="00096909">
        <w:rPr>
          <w:rStyle w:val="Rimandonotaapidipagina"/>
          <w:rFonts w:ascii="Times New Roman" w:hAnsi="Times New Roman" w:cs="Times New Roman"/>
          <w:sz w:val="24"/>
          <w:szCs w:val="24"/>
        </w:rPr>
        <w:footnoteReference w:id="585"/>
      </w:r>
      <w:r w:rsidRPr="00096909">
        <w:rPr>
          <w:rFonts w:ascii="Times New Roman" w:hAnsi="Times New Roman" w:cs="Times New Roman"/>
          <w:sz w:val="24"/>
          <w:szCs w:val="24"/>
        </w:rPr>
        <w:t xml:space="preserve"> che offrì alla famiglia ducale pellicce, gioielli, un arco con faretra, una scimitarra e un’autentica rarità: un «</w:t>
      </w:r>
      <w:r w:rsidRPr="00096909">
        <w:rPr>
          <w:rFonts w:ascii="Times New Roman" w:hAnsi="Times New Roman" w:cs="Times New Roman"/>
          <w:i/>
          <w:sz w:val="24"/>
          <w:szCs w:val="24"/>
        </w:rPr>
        <w:t>detractum monstro dentem, magnitudine brachium viri longe superantem</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586"/>
      </w:r>
      <w:r w:rsidRPr="00096909">
        <w:rPr>
          <w:rFonts w:ascii="Times New Roman" w:hAnsi="Times New Roman" w:cs="Times New Roman"/>
          <w:sz w:val="24"/>
          <w:szCs w:val="24"/>
        </w:rPr>
        <w:t xml:space="preserve"> La presenza degli inviati russi Manuel Doxa e Daniel Maymorero – sottolineata soltanto da Calco e da un cenno della missiva di Beatrice d’Este – e di </w:t>
      </w:r>
      <w:r w:rsidRPr="00096909">
        <w:rPr>
          <w:rStyle w:val="Enfasigrassetto"/>
          <w:rFonts w:ascii="Times New Roman" w:hAnsi="Times New Roman" w:cs="Times New Roman"/>
          <w:b w:val="0"/>
          <w:sz w:val="24"/>
          <w:szCs w:val="24"/>
        </w:rPr>
        <w:t>Guillaume Briconnet</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587"/>
      </w:r>
      <w:r w:rsidRPr="00096909">
        <w:rPr>
          <w:rFonts w:ascii="Times New Roman" w:hAnsi="Times New Roman" w:cs="Times New Roman"/>
          <w:sz w:val="24"/>
          <w:szCs w:val="24"/>
        </w:rPr>
        <w:t xml:space="preserve"> vescovo di Lodève e fido ministro di Carlo VIII, in rappresentanza della corona di Francia, rimarcò la rilevanza internazionale dello sposalizio, messa in risalto anche dagli apparati montati nella cattedrale e lungo le vie cittadine, sulle quali campeggiò l’aquila imperiale. Così ne scrisse Taccone mostrando Milano intenta ai preparativi del trionfo:</w:t>
      </w:r>
    </w:p>
    <w:p w14:paraId="1CC6247F" w14:textId="77777777" w:rsidR="00D22C4C" w:rsidRPr="00096909" w:rsidRDefault="00D22C4C" w:rsidP="00D22C4C">
      <w:pPr>
        <w:spacing w:after="0" w:line="360" w:lineRule="auto"/>
        <w:ind w:firstLine="397"/>
        <w:jc w:val="both"/>
        <w:rPr>
          <w:rFonts w:ascii="Times New Roman" w:hAnsi="Times New Roman" w:cs="Times New Roman"/>
          <w:sz w:val="20"/>
          <w:szCs w:val="20"/>
        </w:rPr>
      </w:pPr>
    </w:p>
    <w:p w14:paraId="7872DCB9"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Al improviso ognun fa qualche loggia,</w:t>
      </w:r>
    </w:p>
    <w:p w14:paraId="698A9513"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con belli ornati havuti d’oriente</w:t>
      </w:r>
    </w:p>
    <w:p w14:paraId="0485DB17"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fa per le porte questa e quella foggia,</w:t>
      </w:r>
    </w:p>
    <w:p w14:paraId="1E32A506"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belle picture come el sol lucente.</w:t>
      </w:r>
    </w:p>
    <w:p w14:paraId="17F19C57"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Non se teme di neve o nube o pioggia:</w:t>
      </w:r>
    </w:p>
    <w:p w14:paraId="2B07822F"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ciascun che vuole honor se fa spendente.</w:t>
      </w:r>
    </w:p>
    <w:p w14:paraId="5A1A10FA"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Bella era poi veder el maggior templo,</w:t>
      </w:r>
    </w:p>
    <w:p w14:paraId="350A20BC"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che dà agli altri signor perpetuo exemplo.</w:t>
      </w:r>
    </w:p>
    <w:p w14:paraId="6096A4EF"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p>
    <w:p w14:paraId="0E426076"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Al altar grande uno alto tribunale, </w:t>
      </w:r>
    </w:p>
    <w:p w14:paraId="237B371B"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lastRenderedPageBreak/>
        <w:t>el qual se stette a fabricare un mese,</w:t>
      </w:r>
    </w:p>
    <w:p w14:paraId="48FDCF0A"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che mai per alcun tempo serà frale </w:t>
      </w:r>
    </w:p>
    <w:p w14:paraId="4BFC905E"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né pagarebbe una cità le spese. </w:t>
      </w:r>
    </w:p>
    <w:p w14:paraId="333B48E8"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Un preccio grande e smisurato vale</w:t>
      </w:r>
    </w:p>
    <w:p w14:paraId="0468AF32"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l’ornamento che in Domo se distese:</w:t>
      </w:r>
    </w:p>
    <w:p w14:paraId="3F15CC82"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tanti celoni e tal tapezzaria</w:t>
      </w:r>
    </w:p>
    <w:p w14:paraId="42536BAC"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non han barbari, Fiandra e la Turchia.</w:t>
      </w:r>
    </w:p>
    <w:p w14:paraId="15567429"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p>
    <w:p w14:paraId="30B31818"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Di grado in grado sopra al altar era </w:t>
      </w:r>
    </w:p>
    <w:p w14:paraId="61B02A55"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un bel lavoro e inextimabil, quasi </w:t>
      </w:r>
    </w:p>
    <w:p w14:paraId="3E54E202"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che non ha el mondo simile argientera.</w:t>
      </w:r>
    </w:p>
    <w:p w14:paraId="596F4C7A"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E son ben forse circa a cento vasi, </w:t>
      </w:r>
    </w:p>
    <w:p w14:paraId="1DD5D7CA"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torze distincte poi di bianca cera;</w:t>
      </w:r>
    </w:p>
    <w:p w14:paraId="2FC41057"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e quelli tutto el dì vi son rimasi. </w:t>
      </w:r>
    </w:p>
    <w:p w14:paraId="0FB396AD"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Quei candelleri e vasi al modo antico</w:t>
      </w:r>
    </w:p>
    <w:p w14:paraId="77A81FBE"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fe’ fabricare el signor Lodovico.</w:t>
      </w:r>
    </w:p>
    <w:p w14:paraId="07D6C55F"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p>
    <w:p w14:paraId="555E7F0A"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L’insegne di signori antichi insubri</w:t>
      </w:r>
    </w:p>
    <w:p w14:paraId="253C7EF2"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eran d’intorno ai travi del tiburo</w:t>
      </w:r>
    </w:p>
    <w:p w14:paraId="1CDEDB5D"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e mille aquile giunte con colubri </w:t>
      </w:r>
    </w:p>
    <w:p w14:paraId="2C924345"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l’uno a celeste e l’altra in color scuro;</w:t>
      </w:r>
    </w:p>
    <w:p w14:paraId="022B88A9"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leoni in foco fiammeggianti e rubri</w:t>
      </w:r>
    </w:p>
    <w:p w14:paraId="5B265FA9"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d’oro e d’argiento fin lucente e puro.</w:t>
      </w:r>
    </w:p>
    <w:p w14:paraId="6A30ACF0"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Tutti gli altri lavori eran depinti </w:t>
      </w:r>
    </w:p>
    <w:p w14:paraId="68675C29"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e de foglie e di fronde i marmi avinti.</w:t>
      </w:r>
      <w:r w:rsidRPr="00096909">
        <w:rPr>
          <w:rStyle w:val="Rimandonotaapidipagina"/>
          <w:rFonts w:ascii="Times New Roman" w:hAnsi="Times New Roman" w:cs="Times New Roman"/>
        </w:rPr>
        <w:footnoteReference w:id="588"/>
      </w:r>
    </w:p>
    <w:p w14:paraId="60477D17" w14:textId="77777777" w:rsidR="00D22C4C" w:rsidRPr="00096909" w:rsidRDefault="00D22C4C" w:rsidP="00D22C4C">
      <w:pPr>
        <w:spacing w:after="0" w:line="360" w:lineRule="auto"/>
        <w:ind w:left="2268" w:right="-1"/>
        <w:jc w:val="both"/>
        <w:rPr>
          <w:rFonts w:ascii="Times New Roman" w:hAnsi="Times New Roman" w:cs="Times New Roman"/>
          <w:sz w:val="24"/>
          <w:szCs w:val="24"/>
        </w:rPr>
      </w:pPr>
    </w:p>
    <w:p w14:paraId="3196C049"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Ritroviamo dunque, come per il precedente matrimonio di Isabella d’Aragona, l’erezione nel coro del Duomo dei palchi per la sposa, per gli ambasciatori e per gli alti dignitari di corte. Nuovamente fu esposto il prezioso tesoro di Ludovico, mentre, come precisa</w:t>
      </w:r>
      <w:r>
        <w:rPr>
          <w:rFonts w:ascii="Times New Roman" w:hAnsi="Times New Roman" w:cs="Times New Roman"/>
          <w:sz w:val="24"/>
          <w:szCs w:val="24"/>
        </w:rPr>
        <w:t>to da</w:t>
      </w:r>
      <w:r w:rsidRPr="00096909">
        <w:rPr>
          <w:rFonts w:ascii="Times New Roman" w:hAnsi="Times New Roman" w:cs="Times New Roman"/>
          <w:sz w:val="24"/>
          <w:szCs w:val="24"/>
        </w:rPr>
        <w:t xml:space="preserve"> Calco, negli intercolumni delle navate furono appesi arazzi fiamminghi e arabi di pregevole fattura con finiture in oro e argento.</w:t>
      </w:r>
      <w:r w:rsidRPr="00096909">
        <w:rPr>
          <w:rStyle w:val="Rimandonotaapidipagina"/>
          <w:rFonts w:ascii="Times New Roman" w:hAnsi="Times New Roman" w:cs="Times New Roman"/>
          <w:sz w:val="24"/>
          <w:szCs w:val="24"/>
        </w:rPr>
        <w:footnoteReference w:id="589"/>
      </w:r>
      <w:r w:rsidRPr="00096909">
        <w:rPr>
          <w:rFonts w:ascii="Times New Roman" w:hAnsi="Times New Roman" w:cs="Times New Roman"/>
          <w:sz w:val="24"/>
          <w:szCs w:val="24"/>
        </w:rPr>
        <w:t xml:space="preserve"> Dalle impalcature del tiburio, ancora edificando, pendevano stendardi con le insegne dell’aquila imperiale e della vipera visconteo-sforzesca. </w:t>
      </w:r>
    </w:p>
    <w:p w14:paraId="7F5B7DB1"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Dava accesso al coro un maestoso arco trionfale sul quale campeggiava, sul fronte anteriore, l’immagine di Francesco Sforza a cavallo. Su quello posteriore, </w:t>
      </w:r>
      <w:r>
        <w:rPr>
          <w:rFonts w:ascii="Times New Roman" w:hAnsi="Times New Roman" w:cs="Times New Roman"/>
          <w:sz w:val="24"/>
          <w:szCs w:val="24"/>
        </w:rPr>
        <w:t xml:space="preserve">nuovamente, </w:t>
      </w:r>
      <w:r w:rsidRPr="00096909">
        <w:rPr>
          <w:rFonts w:ascii="Times New Roman" w:hAnsi="Times New Roman" w:cs="Times New Roman"/>
          <w:sz w:val="24"/>
          <w:szCs w:val="24"/>
        </w:rPr>
        <w:t xml:space="preserve">l’aquila imperiale: </w:t>
      </w:r>
    </w:p>
    <w:p w14:paraId="73F1F2F2" w14:textId="77777777" w:rsidR="00D22C4C" w:rsidRPr="00096909" w:rsidRDefault="00D22C4C" w:rsidP="00D22C4C">
      <w:pPr>
        <w:spacing w:after="0" w:line="360" w:lineRule="auto"/>
        <w:ind w:right="-1"/>
        <w:jc w:val="both"/>
        <w:rPr>
          <w:rFonts w:ascii="Times New Roman" w:hAnsi="Times New Roman" w:cs="Times New Roman"/>
          <w:sz w:val="24"/>
          <w:szCs w:val="24"/>
        </w:rPr>
      </w:pPr>
    </w:p>
    <w:p w14:paraId="240233AA"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Carmine decrevi de multis pauca referre.</w:t>
      </w:r>
    </w:p>
    <w:p w14:paraId="0384BD14"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lastRenderedPageBreak/>
        <w:t>Stabat ovans capiti decorando grande tribunal</w:t>
      </w:r>
    </w:p>
    <w:p w14:paraId="16566436"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Reginae et procerum sectans vestigia rara.</w:t>
      </w:r>
    </w:p>
    <w:p w14:paraId="0B4F2B16"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Fronte sedet prima, quem totus noverat orbis,</w:t>
      </w:r>
    </w:p>
    <w:p w14:paraId="773498B2"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Sfortia Franciscus, ligurum dominator et altae</w:t>
      </w:r>
    </w:p>
    <w:p w14:paraId="37D2DD39"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 xml:space="preserve">Insubriae, portatus equo, quo straverat hostis. </w:t>
      </w:r>
    </w:p>
    <w:p w14:paraId="2F7DB796"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Insuper est insigne novum, quod Roma fatetur</w:t>
      </w:r>
    </w:p>
    <w:p w14:paraId="04F8D435" w14:textId="77777777" w:rsidR="00D22C4C" w:rsidRPr="00096909" w:rsidRDefault="00D22C4C" w:rsidP="00D22C4C">
      <w:pPr>
        <w:spacing w:after="0" w:line="360" w:lineRule="auto"/>
        <w:ind w:left="2268" w:right="-1"/>
        <w:jc w:val="both"/>
        <w:rPr>
          <w:rFonts w:ascii="Times New Roman" w:hAnsi="Times New Roman" w:cs="Times New Roman"/>
          <w:i/>
          <w:sz w:val="20"/>
          <w:szCs w:val="20"/>
          <w:lang w:val="en-US"/>
        </w:rPr>
      </w:pPr>
      <w:r w:rsidRPr="00096909">
        <w:rPr>
          <w:rFonts w:ascii="Times New Roman" w:hAnsi="Times New Roman" w:cs="Times New Roman"/>
          <w:i/>
          <w:sz w:val="20"/>
          <w:szCs w:val="20"/>
          <w:lang w:val="en-US"/>
        </w:rPr>
        <w:t>Regem stare suum nigras in corpore plumas</w:t>
      </w:r>
    </w:p>
    <w:p w14:paraId="58F19925"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Gestantis aquilas complexum laude decora.</w:t>
      </w:r>
      <w:r w:rsidRPr="00096909">
        <w:rPr>
          <w:rStyle w:val="Rimandonotaapidipagina"/>
          <w:rFonts w:ascii="Times New Roman" w:hAnsi="Times New Roman" w:cs="Times New Roman"/>
        </w:rPr>
        <w:footnoteReference w:id="590"/>
      </w:r>
    </w:p>
    <w:p w14:paraId="478CFA81" w14:textId="77777777" w:rsidR="00D22C4C" w:rsidRPr="00096909" w:rsidRDefault="00D22C4C" w:rsidP="00D22C4C">
      <w:pPr>
        <w:spacing w:after="0" w:line="360" w:lineRule="auto"/>
        <w:ind w:right="-1"/>
        <w:jc w:val="both"/>
        <w:rPr>
          <w:rFonts w:ascii="Times New Roman" w:hAnsi="Times New Roman" w:cs="Times New Roman"/>
          <w:sz w:val="24"/>
          <w:szCs w:val="24"/>
        </w:rPr>
      </w:pPr>
    </w:p>
    <w:p w14:paraId="06730D72"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Tutte le fonti sono concordi nel descrivere lo sforzo degli abitanti di Milano nell’ornare di fronde di alloro, mirto e edera le porte e le finestre delle abitazioni affacciate sulle vie interessate dal passaggio del corteo diretto al Duomo, ma solamente la missiva d</w:t>
      </w:r>
      <w:r w:rsidR="00D06D0D">
        <w:rPr>
          <w:rFonts w:ascii="Times New Roman" w:hAnsi="Times New Roman" w:cs="Times New Roman"/>
          <w:sz w:val="24"/>
          <w:szCs w:val="24"/>
        </w:rPr>
        <w:t>i</w:t>
      </w:r>
      <w:r w:rsidRPr="00096909">
        <w:rPr>
          <w:rFonts w:ascii="Times New Roman" w:hAnsi="Times New Roman" w:cs="Times New Roman"/>
          <w:sz w:val="24"/>
          <w:szCs w:val="24"/>
        </w:rPr>
        <w:t xml:space="preserve"> Beatrice d’Este ricorda anche che: </w:t>
      </w:r>
    </w:p>
    <w:p w14:paraId="06D77515" w14:textId="77777777" w:rsidR="00D22C4C" w:rsidRPr="00096909" w:rsidRDefault="00D22C4C" w:rsidP="00D22C4C">
      <w:pPr>
        <w:spacing w:after="0" w:line="360" w:lineRule="auto"/>
        <w:ind w:right="-1"/>
        <w:jc w:val="both"/>
        <w:rPr>
          <w:rFonts w:ascii="Times New Roman" w:hAnsi="Times New Roman" w:cs="Times New Roman"/>
          <w:sz w:val="24"/>
          <w:szCs w:val="24"/>
        </w:rPr>
      </w:pPr>
    </w:p>
    <w:p w14:paraId="12B34F9E" w14:textId="77777777" w:rsidR="00D22C4C" w:rsidRPr="00096909" w:rsidRDefault="00D22C4C" w:rsidP="00D22C4C">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La strata che incomentia al revelino del castello era facta de columne circumsepte de hedera fin al fondo de la piaza, et cum feste antique facte de fronde tra 1’una columna et 1'altra et li tondi soi et cum le arme imperiale.</w:t>
      </w:r>
      <w:r w:rsidRPr="00096909">
        <w:rPr>
          <w:rStyle w:val="Rimandonotaapidipagina"/>
          <w:rFonts w:ascii="Times New Roman" w:hAnsi="Times New Roman" w:cs="Times New Roman"/>
        </w:rPr>
        <w:footnoteReference w:id="591"/>
      </w:r>
    </w:p>
    <w:p w14:paraId="04022197" w14:textId="77777777" w:rsidR="00D22C4C" w:rsidRPr="00096909" w:rsidRDefault="00D22C4C" w:rsidP="00D22C4C">
      <w:pPr>
        <w:spacing w:after="0" w:line="360" w:lineRule="auto"/>
        <w:ind w:left="567" w:right="566"/>
        <w:jc w:val="both"/>
        <w:rPr>
          <w:rFonts w:ascii="Times New Roman" w:hAnsi="Times New Roman" w:cs="Times New Roman"/>
          <w:sz w:val="20"/>
          <w:szCs w:val="20"/>
        </w:rPr>
      </w:pPr>
    </w:p>
    <w:p w14:paraId="60CF5261"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Siamo dunque in presenza, sul piazzale del castello di Porta Giovia, di un pergolato di edera con festoni di fronde alle quali furono appese le insegne imperiali, simile a quello che nelle nozze di Isabella d’Aragona collegava l’arco trionfale e il tiburio sulla piazza del Duomo. Ma se entrambe le principesse impiegarono lo stesso percorso per raggiungere la cattedrale, i loro cortei furono molto differenti. </w:t>
      </w:r>
    </w:p>
    <w:p w14:paraId="0C9839BE"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mattina del giorno di sant’Andrea del 1493, all’ora sedicesima (10.00)</w:t>
      </w:r>
      <w:r w:rsidRPr="00096909">
        <w:rPr>
          <w:rStyle w:val="Rimandonotaapidipagina"/>
          <w:rFonts w:ascii="Times New Roman" w:hAnsi="Times New Roman" w:cs="Times New Roman"/>
          <w:sz w:val="24"/>
          <w:szCs w:val="24"/>
        </w:rPr>
        <w:footnoteReference w:id="592"/>
      </w:r>
      <w:r w:rsidRPr="00096909">
        <w:rPr>
          <w:rFonts w:ascii="Times New Roman" w:hAnsi="Times New Roman" w:cs="Times New Roman"/>
          <w:sz w:val="24"/>
          <w:szCs w:val="24"/>
        </w:rPr>
        <w:t xml:space="preserve"> a uscire per primi dal castello furono gli ambasciatori tedeschi </w:t>
      </w:r>
      <w:r>
        <w:rPr>
          <w:rFonts w:ascii="Times New Roman" w:hAnsi="Times New Roman" w:cs="Times New Roman"/>
          <w:sz w:val="24"/>
          <w:szCs w:val="24"/>
        </w:rPr>
        <w:t xml:space="preserve">e </w:t>
      </w:r>
      <w:r w:rsidRPr="00096909">
        <w:rPr>
          <w:rFonts w:ascii="Times New Roman" w:hAnsi="Times New Roman" w:cs="Times New Roman"/>
          <w:sz w:val="24"/>
          <w:szCs w:val="24"/>
        </w:rPr>
        <w:t>i loro paggi, i quali, scortati dal marchese Hermes Sforza, raggiunsero il Duomo e presero posto negli scranni del coro loro destinati.</w:t>
      </w:r>
    </w:p>
    <w:p w14:paraId="46EBF415" w14:textId="77777777" w:rsidR="00D22C4C" w:rsidRPr="00096909" w:rsidRDefault="00D22C4C" w:rsidP="00D22C4C">
      <w:pPr>
        <w:spacing w:after="0"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Un’ora più tardi Bianca Maria venne fatta salire su un cocchio dorato con cui giunse alla cerimonia nel seguente ordine: </w:t>
      </w:r>
    </w:p>
    <w:p w14:paraId="64FF9D19" w14:textId="77777777" w:rsidR="00D22C4C" w:rsidRPr="00096909" w:rsidRDefault="00D22C4C" w:rsidP="00D22C4C">
      <w:pPr>
        <w:spacing w:after="0" w:line="360" w:lineRule="auto"/>
        <w:ind w:right="566"/>
        <w:jc w:val="both"/>
        <w:rPr>
          <w:rFonts w:ascii="Times New Roman" w:hAnsi="Times New Roman" w:cs="Times New Roman"/>
          <w:sz w:val="20"/>
          <w:szCs w:val="20"/>
        </w:rPr>
      </w:pPr>
    </w:p>
    <w:p w14:paraId="3D3AAF42" w14:textId="77777777" w:rsidR="00D22C4C" w:rsidRPr="00096909" w:rsidRDefault="00D22C4C" w:rsidP="00D22C4C">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lastRenderedPageBreak/>
        <w:t>A le hore decesepte, sive 17, se fece montare la Ser. ma Regina, sopra el carro triumphale, che me donò quando fo a Ferrara la felicissima memoria de la q. madama nostra matre, et se tirava per quatro corseri bianchi. Haveva la Segnora Regina una veste de raso cremesino, recamata richissimamente a razi d’oro, cum lo burbo pieno de zoye, et la coda longissima, et le maniche facte a guarnazono in modo che parevano doe ale, che era uno bello videre. Haveva in testa uno ornamento de belissimi diamanti et perle et per ornare questo acto furono dati messer Galeazzo Palavicino a portare la coda, lo conte Conrado de Landò, lo conte Manfredo Tondello a portar ciascuno di loro una manica per uno. Precedevano tutti li camereri di questa corte, cortesani, li offitiali, li zentilhomini, li feudatarij et deinde li conscillieri. Sedeva la Ser. ma Regina in mezo del carro, la Ill. ma Duchessa Isabella da uno canto a mano dritta. […].</w:t>
      </w:r>
      <w:r w:rsidRPr="00096909">
        <w:rPr>
          <w:rStyle w:val="Rimandonotaapidipagina"/>
          <w:rFonts w:ascii="Times New Roman" w:hAnsi="Times New Roman" w:cs="Times New Roman"/>
        </w:rPr>
        <w:footnoteReference w:id="593"/>
      </w:r>
      <w:r w:rsidRPr="00096909">
        <w:rPr>
          <w:rFonts w:ascii="Times New Roman" w:hAnsi="Times New Roman" w:cs="Times New Roman"/>
          <w:sz w:val="20"/>
          <w:szCs w:val="20"/>
        </w:rPr>
        <w:t xml:space="preserve"> </w:t>
      </w:r>
    </w:p>
    <w:p w14:paraId="0F625564" w14:textId="77777777" w:rsidR="00D22C4C" w:rsidRPr="00096909" w:rsidRDefault="00D22C4C" w:rsidP="00D22C4C">
      <w:pPr>
        <w:spacing w:after="0" w:line="360" w:lineRule="auto"/>
        <w:ind w:left="567" w:right="566"/>
        <w:jc w:val="both"/>
        <w:rPr>
          <w:rFonts w:ascii="Times New Roman" w:hAnsi="Times New Roman" w:cs="Times New Roman"/>
          <w:sz w:val="20"/>
          <w:szCs w:val="20"/>
        </w:rPr>
      </w:pPr>
    </w:p>
    <w:p w14:paraId="4A728BB5"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Beatrice d’Este specific</w:t>
      </w:r>
      <w:r>
        <w:rPr>
          <w:rFonts w:ascii="Times New Roman" w:hAnsi="Times New Roman" w:cs="Times New Roman"/>
          <w:sz w:val="24"/>
          <w:szCs w:val="24"/>
        </w:rPr>
        <w:t>ò</w:t>
      </w:r>
      <w:r w:rsidRPr="00096909">
        <w:rPr>
          <w:rFonts w:ascii="Times New Roman" w:hAnsi="Times New Roman" w:cs="Times New Roman"/>
          <w:sz w:val="24"/>
          <w:szCs w:val="24"/>
        </w:rPr>
        <w:t xml:space="preserve"> che immediatamente dopo il carro seguivano gli oratori mandati dal re di Francia e dai vari principati italiani, insieme con il duca Gian Galeazzo e con Ludovico il Moro. Dietro di loro, altre dodici carrette trasportavano «le prime damiselle de Milano». </w:t>
      </w:r>
    </w:p>
    <w:p w14:paraId="2766894E"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Lazzaroni, riguardo al corteo, precis</w:t>
      </w:r>
      <w:r>
        <w:rPr>
          <w:rFonts w:ascii="Times New Roman" w:hAnsi="Times New Roman" w:cs="Times New Roman"/>
          <w:sz w:val="24"/>
          <w:szCs w:val="24"/>
        </w:rPr>
        <w:t>ò</w:t>
      </w:r>
      <w:r w:rsidRPr="00096909">
        <w:rPr>
          <w:rFonts w:ascii="Times New Roman" w:hAnsi="Times New Roman" w:cs="Times New Roman"/>
          <w:sz w:val="24"/>
          <w:szCs w:val="24"/>
        </w:rPr>
        <w:t xml:space="preserve"> invece che il carro fu scortato anche da un corteggio di sedici giovani e altrettante fanciulle: </w:t>
      </w:r>
    </w:p>
    <w:p w14:paraId="23AE340E"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p>
    <w:p w14:paraId="6D0FB1D5"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 xml:space="preserve">Ante rotas numero viridanti veste recincti </w:t>
      </w:r>
    </w:p>
    <w:p w14:paraId="0E2633CA"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Bis iuvenes octo, quos tu venisse putares</w:t>
      </w:r>
    </w:p>
    <w:p w14:paraId="6A9D8626"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 xml:space="preserve">De caelo nitidos, sit tantus fulgor in illis, </w:t>
      </w:r>
    </w:p>
    <w:p w14:paraId="383061BB" w14:textId="77777777" w:rsidR="00D22C4C" w:rsidRPr="00096909" w:rsidRDefault="00D22C4C" w:rsidP="00D22C4C">
      <w:pPr>
        <w:spacing w:after="0" w:line="360" w:lineRule="auto"/>
        <w:ind w:left="2268" w:right="-1"/>
        <w:jc w:val="both"/>
        <w:rPr>
          <w:rFonts w:ascii="Times New Roman" w:hAnsi="Times New Roman" w:cs="Times New Roman"/>
          <w:i/>
          <w:sz w:val="20"/>
          <w:szCs w:val="20"/>
        </w:rPr>
      </w:pPr>
      <w:r w:rsidRPr="00096909">
        <w:rPr>
          <w:rFonts w:ascii="Times New Roman" w:hAnsi="Times New Roman" w:cs="Times New Roman"/>
          <w:i/>
          <w:sz w:val="20"/>
          <w:szCs w:val="20"/>
        </w:rPr>
        <w:t>ancillae totidem viridi sub veste decentes</w:t>
      </w:r>
    </w:p>
    <w:p w14:paraId="33221B6D"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i/>
          <w:sz w:val="20"/>
          <w:szCs w:val="20"/>
        </w:rPr>
        <w:t>aequantes numeros iuvenum vestigia servant</w:t>
      </w:r>
      <w:r w:rsidRPr="00096909">
        <w:rPr>
          <w:rFonts w:ascii="Times New Roman" w:hAnsi="Times New Roman" w:cs="Times New Roman"/>
          <w:sz w:val="20"/>
          <w:szCs w:val="20"/>
        </w:rPr>
        <w:t>.</w:t>
      </w:r>
      <w:r w:rsidRPr="00096909">
        <w:rPr>
          <w:rStyle w:val="Rimandonotaapidipagina"/>
          <w:rFonts w:ascii="Times New Roman" w:hAnsi="Times New Roman" w:cs="Times New Roman"/>
        </w:rPr>
        <w:footnoteReference w:id="594"/>
      </w:r>
      <w:r w:rsidRPr="00096909">
        <w:rPr>
          <w:rFonts w:ascii="Times New Roman" w:hAnsi="Times New Roman" w:cs="Times New Roman"/>
          <w:sz w:val="20"/>
          <w:szCs w:val="20"/>
        </w:rPr>
        <w:t xml:space="preserve"> </w:t>
      </w:r>
    </w:p>
    <w:p w14:paraId="3E82EBEE"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p>
    <w:p w14:paraId="3FA1E04E"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Sul sagrato del Duomo la sposa trovò ad attenderla alcune gentildonne milanesi, come già visto per lo sposalizio d’Isabella d’Aragona, ma questa volta guidate da Beatrice d’Este, moglie di Tristano Sforza. </w:t>
      </w:r>
    </w:p>
    <w:p w14:paraId="4026D7D1"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L’officiatura della messa, che il solo Taccone specific</w:t>
      </w:r>
      <w:r>
        <w:rPr>
          <w:rFonts w:ascii="Times New Roman" w:hAnsi="Times New Roman" w:cs="Times New Roman"/>
          <w:sz w:val="24"/>
          <w:szCs w:val="24"/>
        </w:rPr>
        <w:t>ò</w:t>
      </w:r>
      <w:r w:rsidRPr="00096909">
        <w:rPr>
          <w:rFonts w:ascii="Times New Roman" w:hAnsi="Times New Roman" w:cs="Times New Roman"/>
          <w:sz w:val="24"/>
          <w:szCs w:val="24"/>
        </w:rPr>
        <w:t xml:space="preserve"> </w:t>
      </w:r>
      <w:r>
        <w:rPr>
          <w:rFonts w:ascii="Times New Roman" w:hAnsi="Times New Roman" w:cs="Times New Roman"/>
          <w:sz w:val="24"/>
          <w:szCs w:val="24"/>
        </w:rPr>
        <w:t>essere stata</w:t>
      </w:r>
      <w:r w:rsidRPr="00096909">
        <w:rPr>
          <w:rFonts w:ascii="Times New Roman" w:hAnsi="Times New Roman" w:cs="Times New Roman"/>
          <w:sz w:val="24"/>
          <w:szCs w:val="24"/>
        </w:rPr>
        <w:t xml:space="preserve"> quella «del Spirito Santo»,</w:t>
      </w:r>
      <w:r w:rsidRPr="00096909">
        <w:rPr>
          <w:rStyle w:val="Rimandonotaapidipagina"/>
          <w:rFonts w:ascii="Times New Roman" w:hAnsi="Times New Roman" w:cs="Times New Roman"/>
          <w:sz w:val="24"/>
          <w:szCs w:val="24"/>
        </w:rPr>
        <w:footnoteReference w:id="595"/>
      </w:r>
      <w:r w:rsidRPr="00096909">
        <w:rPr>
          <w:rFonts w:ascii="Times New Roman" w:hAnsi="Times New Roman" w:cs="Times New Roman"/>
          <w:sz w:val="24"/>
          <w:szCs w:val="24"/>
        </w:rPr>
        <w:t xml:space="preserve"> spettò nuovamente all’arcivescovo di Milano, Guido Antonio Arcimboldi, assistito dai vescovi di Piacenza e Como, Fabrizio Marliani e Antonio Trivulzio, che porsero la pace da baciare l’uno agli ambasciatori imperiali, l’altro ai restanti invitati disposti sui palchi del coro. </w:t>
      </w:r>
    </w:p>
    <w:p w14:paraId="2D3251B5"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 termine del rito, Bianca Maria, </w:t>
      </w:r>
      <w:r>
        <w:rPr>
          <w:rFonts w:ascii="Times New Roman" w:hAnsi="Times New Roman" w:cs="Times New Roman"/>
          <w:sz w:val="24"/>
          <w:szCs w:val="24"/>
        </w:rPr>
        <w:t>insieme</w:t>
      </w:r>
      <w:r w:rsidRPr="00096909">
        <w:rPr>
          <w:rFonts w:ascii="Times New Roman" w:hAnsi="Times New Roman" w:cs="Times New Roman"/>
          <w:sz w:val="24"/>
          <w:szCs w:val="24"/>
        </w:rPr>
        <w:t xml:space="preserve"> a Gian Galeazzo e da Ludovico Sforza, si presentò all’Arcimboldi che pronunciò la benedizione sponsale mentre il vescovo di Bressanone le poneva l’anello al dito dando compimento alla procura. </w:t>
      </w:r>
      <w:r>
        <w:rPr>
          <w:rFonts w:ascii="Times New Roman" w:hAnsi="Times New Roman" w:cs="Times New Roman"/>
          <w:sz w:val="24"/>
          <w:szCs w:val="24"/>
        </w:rPr>
        <w:t>Fu</w:t>
      </w:r>
      <w:r w:rsidRPr="00096909">
        <w:rPr>
          <w:rFonts w:ascii="Times New Roman" w:hAnsi="Times New Roman" w:cs="Times New Roman"/>
          <w:sz w:val="24"/>
          <w:szCs w:val="24"/>
        </w:rPr>
        <w:t xml:space="preserve"> sciolta allora l’acconciatura della principessa </w:t>
      </w:r>
      <w:r w:rsidRPr="00096909">
        <w:rPr>
          <w:rFonts w:ascii="Times New Roman" w:hAnsi="Times New Roman" w:cs="Times New Roman"/>
          <w:sz w:val="24"/>
          <w:szCs w:val="24"/>
        </w:rPr>
        <w:lastRenderedPageBreak/>
        <w:t>e le furono tolte le perle dai capelli, perché sul suo capo fosse posta, sempre dal vescovo di Bressanone, la corona imperiale.</w:t>
      </w:r>
      <w:r w:rsidRPr="00096909">
        <w:rPr>
          <w:rStyle w:val="Rimandonotaapidipagina"/>
          <w:rFonts w:ascii="Times New Roman" w:hAnsi="Times New Roman" w:cs="Times New Roman"/>
          <w:sz w:val="24"/>
          <w:szCs w:val="24"/>
        </w:rPr>
        <w:footnoteReference w:id="596"/>
      </w:r>
      <w:r w:rsidRPr="00096909">
        <w:rPr>
          <w:rFonts w:ascii="Times New Roman" w:hAnsi="Times New Roman" w:cs="Times New Roman"/>
          <w:sz w:val="24"/>
          <w:szCs w:val="24"/>
        </w:rPr>
        <w:t xml:space="preserve"> </w:t>
      </w:r>
    </w:p>
    <w:p w14:paraId="7E754BFD"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Conclusa la funzione, l’imperatrice novella montò su un cavallo preparato per lei che la attendeva sul sagrato de</w:t>
      </w:r>
      <w:r>
        <w:rPr>
          <w:rFonts w:ascii="Times New Roman" w:hAnsi="Times New Roman" w:cs="Times New Roman"/>
          <w:sz w:val="24"/>
          <w:szCs w:val="24"/>
        </w:rPr>
        <w:t>lla cattedrale</w:t>
      </w:r>
      <w:r w:rsidRPr="00096909">
        <w:rPr>
          <w:rFonts w:ascii="Times New Roman" w:hAnsi="Times New Roman" w:cs="Times New Roman"/>
          <w:sz w:val="24"/>
          <w:szCs w:val="24"/>
        </w:rPr>
        <w:t>, dove i collegi dei giuristi e dei medici erano pronti a scortarla sotto un baldacchino bianco bordato d’ermellino. A farle da palafrenieri furono eletti Francesco Pallavicino e Francesco Bernardo Visconti. Alla sua sinistra Bianca era accompagnata dal vescovo di Bressanone ed era seguita da Isabella d’Aragona e da Beatrice d’Este, anch’esse a cavallo. Alle loro spalle si trovavano tutte le nobildonne invitate e i dignitari della corte, anch’essi a cavallo, che tra squilli di trombe e al suono festoso delle campane riaccompagnarono la sposa al castello.</w:t>
      </w:r>
      <w:r w:rsidRPr="00096909">
        <w:rPr>
          <w:rStyle w:val="Rimandonotaapidipagina"/>
          <w:rFonts w:ascii="Times New Roman" w:hAnsi="Times New Roman" w:cs="Times New Roman"/>
          <w:sz w:val="24"/>
          <w:szCs w:val="24"/>
        </w:rPr>
        <w:footnoteReference w:id="597"/>
      </w:r>
      <w:r w:rsidRPr="00096909">
        <w:rPr>
          <w:rFonts w:ascii="Times New Roman" w:hAnsi="Times New Roman" w:cs="Times New Roman"/>
          <w:sz w:val="24"/>
          <w:szCs w:val="24"/>
        </w:rPr>
        <w:t xml:space="preserve"> </w:t>
      </w:r>
    </w:p>
    <w:p w14:paraId="74F134CC" w14:textId="77777777" w:rsidR="00D22C4C" w:rsidRPr="00096909" w:rsidRDefault="00D22C4C" w:rsidP="00D22C4C">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w:t>
      </w:r>
      <w:r>
        <w:rPr>
          <w:rFonts w:ascii="Times New Roman" w:hAnsi="Times New Roman" w:cs="Times New Roman"/>
          <w:sz w:val="24"/>
          <w:szCs w:val="24"/>
        </w:rPr>
        <w:t>3</w:t>
      </w:r>
      <w:r w:rsidRPr="00096909">
        <w:rPr>
          <w:rFonts w:ascii="Times New Roman" w:hAnsi="Times New Roman" w:cs="Times New Roman"/>
          <w:sz w:val="24"/>
          <w:szCs w:val="24"/>
        </w:rPr>
        <w:t xml:space="preserve"> dicembre successivo la sposa partì alla volta di Insbruck dove avrebbe incontrato Massimiliano I. Lazzaroni conclu</w:t>
      </w:r>
      <w:r>
        <w:rPr>
          <w:rFonts w:ascii="Times New Roman" w:hAnsi="Times New Roman" w:cs="Times New Roman"/>
          <w:sz w:val="24"/>
          <w:szCs w:val="24"/>
        </w:rPr>
        <w:t>s</w:t>
      </w:r>
      <w:r w:rsidRPr="00096909">
        <w:rPr>
          <w:rFonts w:ascii="Times New Roman" w:hAnsi="Times New Roman" w:cs="Times New Roman"/>
          <w:sz w:val="24"/>
          <w:szCs w:val="24"/>
        </w:rPr>
        <w:t>e</w:t>
      </w:r>
      <w:r>
        <w:rPr>
          <w:rFonts w:ascii="Times New Roman" w:hAnsi="Times New Roman" w:cs="Times New Roman"/>
          <w:sz w:val="24"/>
          <w:szCs w:val="24"/>
        </w:rPr>
        <w:t xml:space="preserve"> dunque</w:t>
      </w:r>
      <w:r w:rsidRPr="00096909">
        <w:rPr>
          <w:rFonts w:ascii="Times New Roman" w:hAnsi="Times New Roman" w:cs="Times New Roman"/>
          <w:sz w:val="24"/>
          <w:szCs w:val="24"/>
        </w:rPr>
        <w:t xml:space="preserve"> il suo poemetto con l’immagine della corte che commossa assiste</w:t>
      </w:r>
      <w:r>
        <w:rPr>
          <w:rFonts w:ascii="Times New Roman" w:hAnsi="Times New Roman" w:cs="Times New Roman"/>
          <w:sz w:val="24"/>
          <w:szCs w:val="24"/>
        </w:rPr>
        <w:t>tte</w:t>
      </w:r>
      <w:r w:rsidRPr="00096909">
        <w:rPr>
          <w:rFonts w:ascii="Times New Roman" w:hAnsi="Times New Roman" w:cs="Times New Roman"/>
          <w:sz w:val="24"/>
          <w:szCs w:val="24"/>
        </w:rPr>
        <w:t xml:space="preserve"> al saluto di Bianca alla città di Milano, mentre</w:t>
      </w:r>
      <w:r>
        <w:rPr>
          <w:rFonts w:ascii="Times New Roman" w:hAnsi="Times New Roman" w:cs="Times New Roman"/>
          <w:sz w:val="24"/>
          <w:szCs w:val="24"/>
        </w:rPr>
        <w:t xml:space="preserve"> la narrazione di</w:t>
      </w:r>
      <w:r w:rsidRPr="00096909">
        <w:rPr>
          <w:rFonts w:ascii="Times New Roman" w:hAnsi="Times New Roman" w:cs="Times New Roman"/>
          <w:sz w:val="24"/>
          <w:szCs w:val="24"/>
        </w:rPr>
        <w:t xml:space="preserve"> </w:t>
      </w:r>
      <w:r>
        <w:rPr>
          <w:rFonts w:ascii="Times New Roman" w:hAnsi="Times New Roman" w:cs="Times New Roman"/>
          <w:sz w:val="24"/>
          <w:szCs w:val="24"/>
        </w:rPr>
        <w:t>Calco</w:t>
      </w:r>
      <w:r w:rsidRPr="00096909">
        <w:rPr>
          <w:rFonts w:ascii="Times New Roman" w:hAnsi="Times New Roman" w:cs="Times New Roman"/>
          <w:sz w:val="24"/>
          <w:szCs w:val="24"/>
        </w:rPr>
        <w:t xml:space="preserve"> la accompagn</w:t>
      </w:r>
      <w:r>
        <w:rPr>
          <w:rFonts w:ascii="Times New Roman" w:hAnsi="Times New Roman" w:cs="Times New Roman"/>
          <w:sz w:val="24"/>
          <w:szCs w:val="24"/>
        </w:rPr>
        <w:t>ò</w:t>
      </w:r>
      <w:r w:rsidRPr="00096909">
        <w:rPr>
          <w:rFonts w:ascii="Times New Roman" w:hAnsi="Times New Roman" w:cs="Times New Roman"/>
          <w:sz w:val="24"/>
          <w:szCs w:val="24"/>
        </w:rPr>
        <w:t xml:space="preserve"> fino alle sponde del lago di Como, da dove poi ella procede</w:t>
      </w:r>
      <w:r>
        <w:rPr>
          <w:rFonts w:ascii="Times New Roman" w:hAnsi="Times New Roman" w:cs="Times New Roman"/>
          <w:sz w:val="24"/>
          <w:szCs w:val="24"/>
        </w:rPr>
        <w:t>tte</w:t>
      </w:r>
      <w:r w:rsidRPr="00096909">
        <w:rPr>
          <w:rFonts w:ascii="Times New Roman" w:hAnsi="Times New Roman" w:cs="Times New Roman"/>
          <w:sz w:val="24"/>
          <w:szCs w:val="24"/>
        </w:rPr>
        <w:t xml:space="preserve"> alla volta di Coira.</w:t>
      </w:r>
      <w:r w:rsidRPr="00096909">
        <w:rPr>
          <w:rStyle w:val="Rimandonotaapidipagina"/>
          <w:rFonts w:ascii="Times New Roman" w:hAnsi="Times New Roman" w:cs="Times New Roman"/>
          <w:sz w:val="24"/>
          <w:szCs w:val="24"/>
        </w:rPr>
        <w:footnoteReference w:id="598"/>
      </w:r>
      <w:r w:rsidRPr="00096909">
        <w:rPr>
          <w:rFonts w:ascii="Times New Roman" w:hAnsi="Times New Roman" w:cs="Times New Roman"/>
          <w:sz w:val="24"/>
          <w:szCs w:val="24"/>
        </w:rPr>
        <w:t xml:space="preserve"> Taccone</w:t>
      </w:r>
      <w:r>
        <w:rPr>
          <w:rFonts w:ascii="Times New Roman" w:hAnsi="Times New Roman" w:cs="Times New Roman"/>
          <w:sz w:val="24"/>
          <w:szCs w:val="24"/>
        </w:rPr>
        <w:t>, infine,</w:t>
      </w:r>
      <w:r w:rsidRPr="00096909">
        <w:rPr>
          <w:rFonts w:ascii="Times New Roman" w:hAnsi="Times New Roman" w:cs="Times New Roman"/>
          <w:sz w:val="24"/>
          <w:szCs w:val="24"/>
        </w:rPr>
        <w:t xml:space="preserve"> specific</w:t>
      </w:r>
      <w:r>
        <w:rPr>
          <w:rFonts w:ascii="Times New Roman" w:hAnsi="Times New Roman" w:cs="Times New Roman"/>
          <w:sz w:val="24"/>
          <w:szCs w:val="24"/>
        </w:rPr>
        <w:t>ò</w:t>
      </w:r>
      <w:r w:rsidRPr="00096909">
        <w:rPr>
          <w:rFonts w:ascii="Times New Roman" w:hAnsi="Times New Roman" w:cs="Times New Roman"/>
          <w:sz w:val="24"/>
          <w:szCs w:val="24"/>
        </w:rPr>
        <w:t xml:space="preserve"> anche </w:t>
      </w:r>
      <w:r>
        <w:rPr>
          <w:rFonts w:ascii="Times New Roman" w:hAnsi="Times New Roman" w:cs="Times New Roman"/>
          <w:sz w:val="24"/>
          <w:szCs w:val="24"/>
        </w:rPr>
        <w:t>come</w:t>
      </w:r>
      <w:r w:rsidRPr="00096909">
        <w:rPr>
          <w:rFonts w:ascii="Times New Roman" w:hAnsi="Times New Roman" w:cs="Times New Roman"/>
          <w:sz w:val="24"/>
          <w:szCs w:val="24"/>
        </w:rPr>
        <w:t xml:space="preserve"> il lutto per le recenti scomparse dei membri delle famiglie degli sposi </w:t>
      </w:r>
      <w:r>
        <w:rPr>
          <w:rFonts w:ascii="Times New Roman" w:hAnsi="Times New Roman" w:cs="Times New Roman"/>
          <w:sz w:val="24"/>
          <w:szCs w:val="24"/>
        </w:rPr>
        <w:t>avesse moderato</w:t>
      </w:r>
      <w:r w:rsidRPr="00096909">
        <w:rPr>
          <w:rFonts w:ascii="Times New Roman" w:hAnsi="Times New Roman" w:cs="Times New Roman"/>
          <w:sz w:val="24"/>
          <w:szCs w:val="24"/>
        </w:rPr>
        <w:t xml:space="preserve"> il lusso dei festeggiamenti, che contrariamente sarebbero stati ancora più sfarzosi e confacenti alla tradizione migliore della Milano festeggiante. Nei versi del poeta, sotto il patrocinio di Ludovico Sforza, la città fiori</w:t>
      </w:r>
      <w:r>
        <w:rPr>
          <w:rFonts w:ascii="Times New Roman" w:hAnsi="Times New Roman" w:cs="Times New Roman"/>
          <w:sz w:val="24"/>
          <w:szCs w:val="24"/>
        </w:rPr>
        <w:t>va</w:t>
      </w:r>
      <w:r w:rsidRPr="00096909">
        <w:rPr>
          <w:rFonts w:ascii="Times New Roman" w:hAnsi="Times New Roman" w:cs="Times New Roman"/>
          <w:sz w:val="24"/>
          <w:szCs w:val="24"/>
        </w:rPr>
        <w:t xml:space="preserve"> di cantieri incomparabili per bellezza ed utilità, grazie all’operosità dei suoi cittadini:</w:t>
      </w:r>
    </w:p>
    <w:p w14:paraId="64837B1B" w14:textId="77777777" w:rsidR="00D22C4C" w:rsidRPr="00096909" w:rsidRDefault="00D22C4C" w:rsidP="00D22C4C">
      <w:pPr>
        <w:spacing w:after="0" w:line="360" w:lineRule="auto"/>
        <w:ind w:firstLine="397"/>
        <w:jc w:val="both"/>
        <w:rPr>
          <w:rFonts w:ascii="Times New Roman" w:hAnsi="Times New Roman" w:cs="Times New Roman"/>
          <w:sz w:val="24"/>
          <w:szCs w:val="24"/>
        </w:rPr>
      </w:pPr>
    </w:p>
    <w:p w14:paraId="2316A489"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Chi le bellezze di Melan contempla </w:t>
      </w:r>
    </w:p>
    <w:p w14:paraId="36B2DA8F"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per meraviglia forte se distempla.</w:t>
      </w:r>
    </w:p>
    <w:p w14:paraId="06778209"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p>
    <w:p w14:paraId="31C43DD4"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Vo’ tu vedere al mondo una fortezza?</w:t>
      </w:r>
    </w:p>
    <w:p w14:paraId="5084CE73"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Guarda a Melano el bel Castel di Giove.</w:t>
      </w:r>
    </w:p>
    <w:p w14:paraId="11F0E2DA"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Un templo grande in estrema grandezza?</w:t>
      </w:r>
    </w:p>
    <w:p w14:paraId="613B8D33"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Rimira el Domo e va a cercare altrove </w:t>
      </w:r>
    </w:p>
    <w:p w14:paraId="44A4CCB9"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le pompe, gli ornamenti e gientilezza.</w:t>
      </w:r>
    </w:p>
    <w:p w14:paraId="014E9DF7"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Vedi la turba che per strada piove,</w:t>
      </w:r>
    </w:p>
    <w:p w14:paraId="400ECE85"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t xml:space="preserve">in Melan puoi vedere uno hospitale </w:t>
      </w:r>
    </w:p>
    <w:p w14:paraId="13158A3B" w14:textId="77777777" w:rsidR="00D22C4C" w:rsidRPr="00096909" w:rsidRDefault="00D22C4C" w:rsidP="00D22C4C">
      <w:pPr>
        <w:spacing w:after="0" w:line="360" w:lineRule="auto"/>
        <w:ind w:left="2268" w:right="-1"/>
        <w:jc w:val="both"/>
        <w:rPr>
          <w:rFonts w:ascii="Times New Roman" w:hAnsi="Times New Roman" w:cs="Times New Roman"/>
          <w:sz w:val="20"/>
          <w:szCs w:val="20"/>
        </w:rPr>
      </w:pPr>
      <w:r w:rsidRPr="00096909">
        <w:rPr>
          <w:rFonts w:ascii="Times New Roman" w:hAnsi="Times New Roman" w:cs="Times New Roman"/>
          <w:sz w:val="20"/>
          <w:szCs w:val="20"/>
        </w:rPr>
        <w:lastRenderedPageBreak/>
        <w:t>che quel di Siena la mità non vale.</w:t>
      </w:r>
      <w:r w:rsidRPr="00096909">
        <w:rPr>
          <w:rStyle w:val="Rimandonotaapidipagina"/>
          <w:rFonts w:ascii="Times New Roman" w:hAnsi="Times New Roman" w:cs="Times New Roman"/>
        </w:rPr>
        <w:footnoteReference w:id="599"/>
      </w:r>
      <w:r w:rsidRPr="00096909">
        <w:rPr>
          <w:rFonts w:ascii="Times New Roman" w:hAnsi="Times New Roman" w:cs="Times New Roman"/>
          <w:sz w:val="20"/>
          <w:szCs w:val="20"/>
        </w:rPr>
        <w:t xml:space="preserve"> </w:t>
      </w:r>
    </w:p>
    <w:p w14:paraId="3C64A411" w14:textId="77777777" w:rsidR="00D22C4C" w:rsidRPr="00096909" w:rsidRDefault="00D22C4C" w:rsidP="00D22C4C">
      <w:pPr>
        <w:spacing w:after="0" w:line="360" w:lineRule="auto"/>
        <w:ind w:right="-1"/>
        <w:jc w:val="both"/>
        <w:rPr>
          <w:rFonts w:ascii="Times New Roman" w:hAnsi="Times New Roman" w:cs="Times New Roman"/>
          <w:sz w:val="24"/>
          <w:szCs w:val="24"/>
        </w:rPr>
      </w:pPr>
    </w:p>
    <w:p w14:paraId="7BF70793" w14:textId="77777777" w:rsidR="00D22C4C" w:rsidRDefault="00D22C4C" w:rsidP="00D22C4C">
      <w:pPr>
        <w:pStyle w:val="Nessunaspaziatura"/>
        <w:spacing w:line="360" w:lineRule="auto"/>
        <w:ind w:firstLine="550"/>
        <w:jc w:val="both"/>
        <w:rPr>
          <w:rFonts w:ascii="Times New Roman" w:hAnsi="Times New Roman" w:cs="Times New Roman"/>
          <w:sz w:val="24"/>
          <w:szCs w:val="24"/>
        </w:rPr>
      </w:pPr>
      <w:r w:rsidRPr="00096909">
        <w:rPr>
          <w:rFonts w:ascii="Times New Roman" w:hAnsi="Times New Roman" w:cs="Times New Roman"/>
          <w:sz w:val="24"/>
          <w:szCs w:val="24"/>
        </w:rPr>
        <w:t xml:space="preserve">All’interno della descrizione nuziale di Taccone ritroviamo pertanto, come nell’opuscolo firmato da Stefano Dolcino, l’elogio di Milano e dei grandiosi cantieri attivi per volere degli Sforza: il Castello, il Duomo, l’Ospedale Maggiore. Se a ciò si aggiunge la citata presentazione ai legati tedeschi della fabbrica del Lazzaretto, si comprende </w:t>
      </w:r>
      <w:r w:rsidR="00BC4716">
        <w:rPr>
          <w:rFonts w:ascii="Times New Roman" w:hAnsi="Times New Roman" w:cs="Times New Roman"/>
          <w:sz w:val="24"/>
          <w:szCs w:val="24"/>
        </w:rPr>
        <w:t xml:space="preserve">chiaramente </w:t>
      </w:r>
      <w:r w:rsidRPr="00096909">
        <w:rPr>
          <w:rFonts w:ascii="Times New Roman" w:hAnsi="Times New Roman" w:cs="Times New Roman"/>
          <w:sz w:val="24"/>
          <w:szCs w:val="24"/>
        </w:rPr>
        <w:t xml:space="preserve">come nel programma della festa dinastica sforzesca la mostra dei progetti urbanistici in corso </w:t>
      </w:r>
      <w:r w:rsidR="00BC4716" w:rsidRPr="00096909">
        <w:rPr>
          <w:rFonts w:ascii="Times New Roman" w:hAnsi="Times New Roman" w:cs="Times New Roman"/>
          <w:sz w:val="24"/>
          <w:szCs w:val="24"/>
        </w:rPr>
        <w:t xml:space="preserve">agli invitati </w:t>
      </w:r>
      <w:r w:rsidRPr="00096909">
        <w:rPr>
          <w:rFonts w:ascii="Times New Roman" w:hAnsi="Times New Roman" w:cs="Times New Roman"/>
          <w:sz w:val="24"/>
          <w:szCs w:val="24"/>
        </w:rPr>
        <w:t xml:space="preserve">avesse una notevole importanza. La messa a stampa di questo spettacolo dell’arte e dell’architettura, destinato a circolare tra le mani di un ampio pubblico di lettori, aumentava la fama del giusto governo dei duchi e ne associava in maniera ancora più stretta l’immagine pubblica all’aspetto rinnovato di Milano. </w:t>
      </w:r>
    </w:p>
    <w:p w14:paraId="4EEA85B7" w14:textId="77777777" w:rsidR="00D22C4C" w:rsidRPr="00096909" w:rsidRDefault="00D22C4C" w:rsidP="00D22C4C">
      <w:pPr>
        <w:pStyle w:val="Nessunaspaziatura"/>
        <w:spacing w:line="360" w:lineRule="auto"/>
        <w:ind w:firstLine="550"/>
        <w:jc w:val="both"/>
        <w:rPr>
          <w:rFonts w:ascii="Times New Roman" w:hAnsi="Times New Roman" w:cs="Times New Roman"/>
          <w:sz w:val="24"/>
          <w:szCs w:val="24"/>
        </w:rPr>
      </w:pPr>
      <w:r w:rsidRPr="00096909">
        <w:rPr>
          <w:rFonts w:ascii="Times New Roman" w:hAnsi="Times New Roman" w:cs="Times New Roman"/>
          <w:sz w:val="24"/>
          <w:szCs w:val="24"/>
        </w:rPr>
        <w:t>Non è certo un caso che, in un periodo compreso tra il 1494 e il 1497, il tema dell’ammodernamento della Milano di Ludovico Sforza comparisse ancora tra le pagine del</w:t>
      </w:r>
      <w:r w:rsidRPr="00096909">
        <w:rPr>
          <w:rFonts w:ascii="Times New Roman" w:hAnsi="Times New Roman"/>
          <w:i/>
          <w:sz w:val="24"/>
          <w:szCs w:val="24"/>
        </w:rPr>
        <w:t xml:space="preserve"> De decorata civitate Mediolani</w:t>
      </w:r>
      <w:r w:rsidRPr="00096909">
        <w:rPr>
          <w:rFonts w:ascii="Times New Roman" w:hAnsi="Times New Roman"/>
          <w:sz w:val="24"/>
          <w:szCs w:val="24"/>
        </w:rPr>
        <w:t xml:space="preserve"> di Pietro Lazzaroni, incunabolo </w:t>
      </w:r>
      <w:r w:rsidRPr="00096909">
        <w:rPr>
          <w:rFonts w:ascii="Times New Roman" w:hAnsi="Times New Roman"/>
          <w:i/>
          <w:sz w:val="24"/>
          <w:szCs w:val="24"/>
        </w:rPr>
        <w:t>sine notis</w:t>
      </w:r>
      <w:r w:rsidRPr="00096909">
        <w:rPr>
          <w:rFonts w:ascii="Times New Roman" w:hAnsi="Times New Roman"/>
          <w:sz w:val="24"/>
          <w:szCs w:val="24"/>
        </w:rPr>
        <w:t xml:space="preserve"> riconducibile alla tipografia di Ulrich Scinzenzeler.</w:t>
      </w:r>
      <w:r w:rsidRPr="00096909">
        <w:rPr>
          <w:rStyle w:val="Rimandonotaapidipagina"/>
          <w:rFonts w:ascii="Times New Roman" w:hAnsi="Times New Roman"/>
          <w:sz w:val="24"/>
          <w:szCs w:val="24"/>
        </w:rPr>
        <w:footnoteReference w:id="600"/>
      </w:r>
      <w:r w:rsidRPr="00096909">
        <w:rPr>
          <w:rFonts w:ascii="Times New Roman" w:hAnsi="Times New Roman"/>
          <w:sz w:val="24"/>
          <w:szCs w:val="24"/>
        </w:rPr>
        <w:t xml:space="preserve"> Il BMC ha supposto che la composizione dell’operetta </w:t>
      </w:r>
      <w:r w:rsidRPr="00096909">
        <w:rPr>
          <w:rFonts w:ascii="Times New Roman" w:hAnsi="Times New Roman" w:cs="Times New Roman"/>
          <w:sz w:val="24"/>
          <w:szCs w:val="24"/>
        </w:rPr>
        <w:t>–</w:t>
      </w:r>
      <w:r w:rsidRPr="00096909">
        <w:rPr>
          <w:rFonts w:ascii="Times New Roman" w:hAnsi="Times New Roman"/>
          <w:sz w:val="24"/>
          <w:szCs w:val="24"/>
        </w:rPr>
        <w:t xml:space="preserve"> una prosopopea di 160 esametri nella quale </w:t>
      </w:r>
      <w:r w:rsidRPr="00096909">
        <w:rPr>
          <w:rFonts w:ascii="Times New Roman" w:hAnsi="Times New Roman"/>
          <w:i/>
          <w:sz w:val="24"/>
          <w:szCs w:val="24"/>
        </w:rPr>
        <w:t>Introducitur Mediolanum loquens quod olim fuit ut mulier annosa, nunc vero floret ut formosa puella</w:t>
      </w:r>
      <w:r w:rsidRPr="00096909">
        <w:rPr>
          <w:rFonts w:ascii="Times New Roman" w:hAnsi="Times New Roman"/>
          <w:sz w:val="24"/>
          <w:szCs w:val="24"/>
        </w:rPr>
        <w:t xml:space="preserve"> </w:t>
      </w:r>
      <w:r w:rsidRPr="00096909">
        <w:rPr>
          <w:rFonts w:ascii="Times New Roman" w:hAnsi="Times New Roman" w:cs="Times New Roman"/>
          <w:sz w:val="24"/>
          <w:szCs w:val="24"/>
        </w:rPr>
        <w:t>–</w:t>
      </w:r>
      <w:r w:rsidRPr="00096909">
        <w:rPr>
          <w:rFonts w:ascii="Times New Roman" w:hAnsi="Times New Roman"/>
          <w:sz w:val="24"/>
          <w:szCs w:val="24"/>
        </w:rPr>
        <w:t xml:space="preserve"> sia stata determinata dall’occasione dei festeggiamenti per la nomina ducale del Moro, quindi quasi in concomitanza con le nozze di Bianca Maria. Ne era autore uno dei cantori del matrimonio augusteo, che tornava a magnificare con la sua eloquenza il proprio mecenate, beneficiario di una propaganda celebrativa in cui festa, urbanistica e stampa si univano per esaltare la fortunata ascesa del principe.  </w:t>
      </w:r>
    </w:p>
    <w:p w14:paraId="1618AC4D" w14:textId="77777777" w:rsidR="00D22C4C" w:rsidRPr="00096909" w:rsidRDefault="00D22C4C" w:rsidP="00D22C4C">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Nella lettera di Beatrice d’Este il trionfo di Bianca Maria Sforza termina con il ritorno del corteo nuziale al castello e con la confidenza di uno degli ambasciatori francesi, il quale affermò </w:t>
      </w:r>
      <w:r w:rsidRPr="00096909">
        <w:rPr>
          <w:rFonts w:ascii="Times New Roman" w:hAnsi="Times New Roman" w:cs="Times New Roman"/>
          <w:sz w:val="24"/>
          <w:szCs w:val="24"/>
        </w:rPr>
        <w:lastRenderedPageBreak/>
        <w:t>«per havere veduto coronatione de Papa, et de Re e Regina soi non havere mai visto più bella cosa».</w:t>
      </w:r>
      <w:r w:rsidRPr="00096909">
        <w:rPr>
          <w:rStyle w:val="Rimandonotaapidipagina"/>
          <w:rFonts w:ascii="Times New Roman" w:hAnsi="Times New Roman" w:cs="Times New Roman"/>
          <w:sz w:val="24"/>
          <w:szCs w:val="24"/>
        </w:rPr>
        <w:footnoteReference w:id="601"/>
      </w:r>
      <w:r w:rsidRPr="00096909">
        <w:rPr>
          <w:rFonts w:ascii="Times New Roman" w:hAnsi="Times New Roman" w:cs="Times New Roman"/>
          <w:sz w:val="24"/>
          <w:szCs w:val="24"/>
        </w:rPr>
        <w:t xml:space="preserve">In effetti, furono proprio gli accorgimenti assunti per enfatizzare l’ascesa della sposa al rango imperiale a rendere tanto solenne il trionfo. </w:t>
      </w:r>
    </w:p>
    <w:p w14:paraId="4B96D240" w14:textId="77777777" w:rsidR="00D22C4C" w:rsidRPr="00096909" w:rsidRDefault="00D22C4C" w:rsidP="00D22C4C">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In primo luogo, l’uso del cocchio dorato per raggiungere la cattedrale segnò una vistosa differenza rispetto ai precedenti cortei sforzeschi ai quali i milanesi avevano assistito. Persino Francesco I Sforza, come nota Sergio Bertelli, nel suo ingresso del 4 luglio 1453 aveva rifiutato di percorrere la città su un carro reputandolo un onore principesco, quale effettivamente era, dal momento che nel 1221 papa Onorio III con la bolla aveva concesso tale privilegio esclusivamente a quanti avessero ricevuto l’unzione regale.</w:t>
      </w:r>
      <w:r w:rsidRPr="00DC06E3">
        <w:rPr>
          <w:rStyle w:val="Rimandonotaapidipagina"/>
          <w:rFonts w:ascii="Times New Roman" w:hAnsi="Times New Roman" w:cs="Times New Roman"/>
          <w:sz w:val="24"/>
          <w:szCs w:val="24"/>
        </w:rPr>
        <w:t xml:space="preserve"> </w:t>
      </w:r>
      <w:r w:rsidRPr="00096909">
        <w:rPr>
          <w:rStyle w:val="Rimandonotaapidipagina"/>
          <w:rFonts w:ascii="Times New Roman" w:hAnsi="Times New Roman" w:cs="Times New Roman"/>
          <w:sz w:val="24"/>
          <w:szCs w:val="24"/>
        </w:rPr>
        <w:footnoteReference w:id="602"/>
      </w:r>
    </w:p>
    <w:p w14:paraId="740CB7A4" w14:textId="77777777" w:rsidR="00D22C4C" w:rsidRPr="00096909" w:rsidRDefault="00D22C4C" w:rsidP="00D22C4C">
      <w:pPr>
        <w:pStyle w:val="PreformattatoHTML"/>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lettera di Beatrice d’Este informa poi di come per l’incoronazione fosse stata impiegata una corona «d’oro, cum rubini, diamanti et perle, facta cum li archi de sopra in croce, et cum el mondo sopra cum una crosetta a la imperiale, secondo la norma data per li prefati oratori, como dicono havere instructione del Signore Re suo».</w:t>
      </w:r>
      <w:r w:rsidRPr="00096909">
        <w:rPr>
          <w:rStyle w:val="Rimandonotaapidipagina"/>
          <w:rFonts w:ascii="Times New Roman" w:hAnsi="Times New Roman" w:cs="Times New Roman"/>
          <w:sz w:val="24"/>
          <w:szCs w:val="24"/>
        </w:rPr>
        <w:footnoteReference w:id="603"/>
      </w:r>
      <w:r w:rsidRPr="00096909">
        <w:rPr>
          <w:rFonts w:ascii="Times New Roman" w:hAnsi="Times New Roman" w:cs="Times New Roman"/>
          <w:sz w:val="24"/>
          <w:szCs w:val="24"/>
        </w:rPr>
        <w:t xml:space="preserve"> Ovvero una corona imperiale, portata dalla corte asburgica per la cerimonia in modo da rendere visibile la dignità acquisita dalla sposa. </w:t>
      </w:r>
    </w:p>
    <w:p w14:paraId="26EDF8FA" w14:textId="77777777" w:rsidR="00D22C4C" w:rsidRPr="00096909" w:rsidRDefault="00D22C4C" w:rsidP="00D22C4C">
      <w:pPr>
        <w:pStyle w:val="PreformattatoHTML"/>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All’uscita della cattedrale fu il baldacchino, in uso nell’ingresso di principi e monarchi europei a partire dalla fine del XII secolo, a segnalare alla folla il ritorno di Bianca al castello. Immagine mobile del ciborio imperiale, esso associava il corpo del principe al corpo di Cristo, dal momento che sotto di esso l’ostia consacrata era portata in processione per le vie cittadine nella festa del </w:t>
      </w:r>
      <w:r w:rsidRPr="00096909">
        <w:rPr>
          <w:rFonts w:ascii="Times New Roman" w:hAnsi="Times New Roman" w:cs="Times New Roman"/>
          <w:i/>
          <w:sz w:val="24"/>
          <w:szCs w:val="24"/>
        </w:rPr>
        <w:t>Corpus Domini</w:t>
      </w:r>
      <w:r w:rsidRPr="00096909">
        <w:rPr>
          <w:rFonts w:ascii="Times New Roman" w:hAnsi="Times New Roman" w:cs="Times New Roman"/>
          <w:sz w:val="24"/>
          <w:szCs w:val="24"/>
        </w:rPr>
        <w:t xml:space="preserve">. La solennità, istituita da Urbano IV con la bolla </w:t>
      </w:r>
      <w:r w:rsidRPr="00096909">
        <w:rPr>
          <w:rFonts w:ascii="Times New Roman" w:hAnsi="Times New Roman" w:cs="Times New Roman"/>
          <w:i/>
          <w:sz w:val="24"/>
          <w:szCs w:val="24"/>
        </w:rPr>
        <w:t>Transiturus</w:t>
      </w:r>
      <w:r w:rsidRPr="00096909">
        <w:rPr>
          <w:rFonts w:ascii="Times New Roman" w:hAnsi="Times New Roman" w:cs="Times New Roman"/>
          <w:sz w:val="24"/>
          <w:szCs w:val="24"/>
        </w:rPr>
        <w:t xml:space="preserve"> del 1264, è la sola nel mondo cattolico che preveda l’impiego dell’ornamento, che già nel XIV secolo fu però adottato anche per l’accoglienza di pontefici, vescovi, e sovrani.</w:t>
      </w:r>
      <w:r w:rsidRPr="00096909">
        <w:rPr>
          <w:rStyle w:val="Rimandonotaapidipagina"/>
          <w:rFonts w:ascii="Times New Roman" w:hAnsi="Times New Roman" w:cs="Times New Roman"/>
          <w:sz w:val="24"/>
          <w:szCs w:val="24"/>
        </w:rPr>
        <w:footnoteReference w:id="604"/>
      </w:r>
      <w:r w:rsidRPr="00096909">
        <w:rPr>
          <w:rFonts w:ascii="Times New Roman" w:hAnsi="Times New Roman" w:cs="Times New Roman"/>
          <w:sz w:val="24"/>
          <w:szCs w:val="24"/>
        </w:rPr>
        <w:t xml:space="preserve"> </w:t>
      </w:r>
    </w:p>
    <w:p w14:paraId="127565F7" w14:textId="77777777" w:rsidR="00D22C4C" w:rsidRPr="00096909" w:rsidRDefault="00D22C4C" w:rsidP="00D22C4C">
      <w:pPr>
        <w:pStyle w:val="PreformattatoHTML"/>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w:t>
      </w:r>
      <w:r w:rsidRPr="00096909">
        <w:rPr>
          <w:rFonts w:ascii="Times New Roman" w:hAnsi="Times New Roman" w:cs="Times New Roman"/>
          <w:i/>
          <w:sz w:val="24"/>
          <w:szCs w:val="24"/>
        </w:rPr>
        <w:t>Pontificalis Liber</w:t>
      </w:r>
      <w:r w:rsidRPr="00096909">
        <w:rPr>
          <w:rFonts w:ascii="Times New Roman" w:hAnsi="Times New Roman" w:cs="Times New Roman"/>
          <w:sz w:val="24"/>
          <w:szCs w:val="24"/>
        </w:rPr>
        <w:t xml:space="preserve"> di Agostino Patrizi Piccolomini e Giovanni Burcardo fece chiarezza su quali fossero le occasioni in cui era prescritto l’uso del baldacchino. I due cerimonieri, nell</w:t>
      </w:r>
      <w:r w:rsidRPr="00096909">
        <w:rPr>
          <w:rFonts w:ascii="Times New Roman" w:hAnsi="Times New Roman" w:cs="Times New Roman"/>
          <w:i/>
          <w:sz w:val="24"/>
          <w:szCs w:val="24"/>
        </w:rPr>
        <w:t xml:space="preserve">’Ordo ad recipiendam processionaliter imperatricem vel reginam </w:t>
      </w:r>
      <w:r w:rsidRPr="00096909">
        <w:rPr>
          <w:rFonts w:ascii="Times New Roman" w:hAnsi="Times New Roman" w:cs="Times New Roman"/>
          <w:sz w:val="24"/>
          <w:szCs w:val="24"/>
        </w:rPr>
        <w:t>ne prescrivono l’impiego per accompagnare la regnante dalle porte della città fino alla cattedrale.</w:t>
      </w:r>
      <w:r w:rsidRPr="00096909">
        <w:rPr>
          <w:rStyle w:val="Rimandonotaapidipagina"/>
          <w:rFonts w:ascii="Times New Roman" w:hAnsi="Times New Roman" w:cs="Times New Roman"/>
          <w:sz w:val="24"/>
          <w:szCs w:val="24"/>
        </w:rPr>
        <w:footnoteReference w:id="605"/>
      </w:r>
      <w:r w:rsidRPr="00096909">
        <w:rPr>
          <w:rFonts w:ascii="Times New Roman" w:hAnsi="Times New Roman" w:cs="Times New Roman"/>
          <w:sz w:val="24"/>
          <w:szCs w:val="24"/>
        </w:rPr>
        <w:t xml:space="preserve"> Nel caso delle nozze di Bianca Maria il baldacchino è però usato per il ritorno dal Duomo al castello, presumibilmente per rimarcare come la sposa avesse ricevuto l’unzione crismale e fosse solo allora degna di tanto onore. Tutte le fonti sono inoltre concordi nell’affermare che membri dei collegi dei giuristi e dei medici </w:t>
      </w:r>
      <w:r w:rsidRPr="00096909">
        <w:rPr>
          <w:rFonts w:ascii="Times New Roman" w:hAnsi="Times New Roman" w:cs="Times New Roman"/>
          <w:sz w:val="24"/>
          <w:szCs w:val="24"/>
        </w:rPr>
        <w:lastRenderedPageBreak/>
        <w:t xml:space="preserve">furono preposti al trasposto delle sue aste, evitando in questo caso l’elezione a tale onore di membri delle famiglie nobili locali che avrebbe ridimensionato la grandiosità del corteo. </w:t>
      </w:r>
    </w:p>
    <w:p w14:paraId="3CD571B9" w14:textId="77777777" w:rsidR="00D22C4C" w:rsidRPr="00096909" w:rsidRDefault="00D22C4C" w:rsidP="00D22C4C">
      <w:pPr>
        <w:pStyle w:val="PreformattatoHTML"/>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Per concludere le osservazioni sul matrimonio augusteo del 1493 vorrei citare una lettera che nel dicembre di quell’anno Ludovico Sforza indirizzò a suo suocero, il duca Ercole d’Este. Vi si legge un’informazione interessante riguardo all’organizzazione del prezioso corredo dotale della sposa che fu esposto in alcune sale del castello nelle giornate di festa per consentirne la visione agli invitati:</w:t>
      </w:r>
      <w:r w:rsidRPr="00096909">
        <w:rPr>
          <w:rStyle w:val="Rimandonotaapidipagina"/>
          <w:rFonts w:ascii="Times New Roman" w:hAnsi="Times New Roman" w:cs="Times New Roman"/>
          <w:sz w:val="24"/>
          <w:szCs w:val="24"/>
        </w:rPr>
        <w:footnoteReference w:id="606"/>
      </w:r>
      <w:r w:rsidRPr="00096909">
        <w:rPr>
          <w:rFonts w:ascii="Times New Roman" w:hAnsi="Times New Roman" w:cs="Times New Roman"/>
          <w:sz w:val="24"/>
          <w:szCs w:val="24"/>
        </w:rPr>
        <w:t xml:space="preserve"> </w:t>
      </w:r>
    </w:p>
    <w:p w14:paraId="63789A80" w14:textId="77777777" w:rsidR="00D22C4C" w:rsidRPr="00096909" w:rsidRDefault="00D22C4C" w:rsidP="00D22C4C">
      <w:pPr>
        <w:pStyle w:val="PreformattatoHTML"/>
        <w:spacing w:line="360" w:lineRule="auto"/>
        <w:ind w:left="567" w:right="566" w:hanging="567"/>
        <w:jc w:val="both"/>
        <w:rPr>
          <w:rFonts w:ascii="Times New Roman" w:hAnsi="Times New Roman" w:cs="Times New Roman"/>
        </w:rPr>
      </w:pPr>
    </w:p>
    <w:p w14:paraId="24CC079A" w14:textId="77777777" w:rsidR="00D22C4C" w:rsidRPr="00096909" w:rsidRDefault="00D22C4C" w:rsidP="00D22C4C">
      <w:pPr>
        <w:pStyle w:val="PreformattatoHTML"/>
        <w:spacing w:line="360" w:lineRule="auto"/>
        <w:ind w:left="567" w:right="567" w:firstLine="397"/>
        <w:jc w:val="both"/>
        <w:rPr>
          <w:rFonts w:ascii="Times New Roman" w:hAnsi="Times New Roman" w:cs="Times New Roman"/>
        </w:rPr>
      </w:pPr>
      <w:r w:rsidRPr="00096909">
        <w:rPr>
          <w:rFonts w:ascii="Times New Roman" w:hAnsi="Times New Roman" w:cs="Times New Roman"/>
        </w:rPr>
        <w:t xml:space="preserve">Quando venne qui messer Marcoaldo ambasciatore del Ser.mo Re dei Romani per annuciarne ch’el prefato Re voleva de presenti la Ser.ma Madona Bianca mi nipote, io me trovai de mala voglia per ritrovarme sproveduto de le cose che li vanno […]. Ma la mia Ill.ma consorte statim me confortò dicendo che li bastava l’animo de fornirla de omne cose et honorevolmente, et così se misse alle mani et l’ha fornito talmente ch’el è stato una cosa miraculosa cusì de la quantità de le cose, como de li lavori et ornati, secondo che la vostra Ex.a vederà per lo </w:t>
      </w:r>
      <w:r w:rsidRPr="00096909">
        <w:rPr>
          <w:rFonts w:ascii="Times New Roman" w:hAnsi="Times New Roman" w:cs="Times New Roman"/>
          <w:i/>
        </w:rPr>
        <w:t>quadernetto</w:t>
      </w:r>
      <w:r w:rsidRPr="00096909">
        <w:rPr>
          <w:rFonts w:ascii="Times New Roman" w:hAnsi="Times New Roman" w:cs="Times New Roman"/>
        </w:rPr>
        <w:t xml:space="preserve"> che la mia Ill.ma consorte mandarà alla Ill.ma madona Anna. […]</w:t>
      </w:r>
      <w:r w:rsidRPr="00096909">
        <w:rPr>
          <w:rStyle w:val="Rimandonotaapidipagina"/>
          <w:rFonts w:ascii="Times New Roman" w:hAnsi="Times New Roman" w:cs="Times New Roman"/>
        </w:rPr>
        <w:footnoteReference w:id="607"/>
      </w:r>
      <w:r w:rsidRPr="00096909">
        <w:rPr>
          <w:rFonts w:ascii="Times New Roman" w:hAnsi="Times New Roman" w:cs="Times New Roman"/>
        </w:rPr>
        <w:t xml:space="preserve"> </w:t>
      </w:r>
    </w:p>
    <w:p w14:paraId="424C7663" w14:textId="77777777" w:rsidR="00D22C4C" w:rsidRPr="00096909" w:rsidRDefault="00D22C4C" w:rsidP="00D22C4C">
      <w:pPr>
        <w:pStyle w:val="PreformattatoHTML"/>
        <w:spacing w:line="360" w:lineRule="auto"/>
        <w:ind w:left="567" w:right="566" w:hanging="567"/>
        <w:jc w:val="both"/>
        <w:rPr>
          <w:rFonts w:ascii="Times New Roman" w:hAnsi="Times New Roman" w:cs="Times New Roman"/>
        </w:rPr>
      </w:pPr>
    </w:p>
    <w:p w14:paraId="0A668CD5" w14:textId="77777777" w:rsidR="00D22C4C" w:rsidRPr="00096909" w:rsidRDefault="00D22C4C" w:rsidP="00D22C4C">
      <w:pPr>
        <w:pStyle w:val="PreformattatoHTML"/>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L’evidente soddisfazione del Moro per il ruolo giocato da Beatrice nell’allestimento della dote di gioielli ed abiti che Bianca avrebbe portato alla corte asburgica conferma l’importanza del suo apporto alla gestione dei preparativi, in parte intuibile dall’abbondanza dei dettagli della lettera a Isabella d’Este più volte citata in comparazione alle testimonianze di Lazzaroni e Taccone. Ludovico accenna però anche al fatto che </w:t>
      </w:r>
      <w:r>
        <w:rPr>
          <w:rFonts w:ascii="Times New Roman" w:hAnsi="Times New Roman" w:cs="Times New Roman"/>
          <w:sz w:val="24"/>
          <w:szCs w:val="24"/>
        </w:rPr>
        <w:t>alcune</w:t>
      </w:r>
      <w:r w:rsidRPr="00096909">
        <w:rPr>
          <w:rFonts w:ascii="Times New Roman" w:hAnsi="Times New Roman" w:cs="Times New Roman"/>
          <w:sz w:val="24"/>
          <w:szCs w:val="24"/>
        </w:rPr>
        <w:t xml:space="preserve"> note sulla gestione delle feste erano state raccolte da sua moglie in un quadernetto che ella avrebbe fa</w:t>
      </w:r>
      <w:r>
        <w:rPr>
          <w:rFonts w:ascii="Times New Roman" w:hAnsi="Times New Roman" w:cs="Times New Roman"/>
          <w:sz w:val="24"/>
          <w:szCs w:val="24"/>
        </w:rPr>
        <w:t>tto</w:t>
      </w:r>
      <w:r w:rsidRPr="00096909">
        <w:rPr>
          <w:rFonts w:ascii="Times New Roman" w:hAnsi="Times New Roman" w:cs="Times New Roman"/>
          <w:sz w:val="24"/>
          <w:szCs w:val="24"/>
        </w:rPr>
        <w:t xml:space="preserve"> recapitare ad Anna Sforza a Ferrara, in modo da rendere disponibile un volumetto in cui trovare memoria delle soluzioni adottate per le pompose accoglienze, quanto meno relativamente all’abbigliamento. </w:t>
      </w:r>
      <w:r>
        <w:rPr>
          <w:rFonts w:ascii="Times New Roman" w:hAnsi="Times New Roman" w:cs="Times New Roman"/>
          <w:sz w:val="24"/>
          <w:szCs w:val="24"/>
        </w:rPr>
        <w:t>Forse l</w:t>
      </w:r>
      <w:r w:rsidRPr="00096909">
        <w:rPr>
          <w:rFonts w:ascii="Times New Roman" w:hAnsi="Times New Roman" w:cs="Times New Roman"/>
          <w:sz w:val="24"/>
          <w:szCs w:val="24"/>
        </w:rPr>
        <w:t xml:space="preserve">’opuscolo sarà stato impiegato altre volte alla corte estense in analoghe occasioni festeggianti, per evitare errori nel cerimoniale e </w:t>
      </w:r>
      <w:r>
        <w:rPr>
          <w:rFonts w:ascii="Times New Roman" w:hAnsi="Times New Roman" w:cs="Times New Roman"/>
          <w:sz w:val="24"/>
          <w:szCs w:val="24"/>
        </w:rPr>
        <w:t xml:space="preserve">per </w:t>
      </w:r>
      <w:r w:rsidRPr="00096909">
        <w:rPr>
          <w:rFonts w:ascii="Times New Roman" w:hAnsi="Times New Roman" w:cs="Times New Roman"/>
          <w:sz w:val="24"/>
          <w:szCs w:val="24"/>
        </w:rPr>
        <w:t>sapere come eventualmente variare le tipologie e la foggia degli abiti</w:t>
      </w:r>
      <w:r>
        <w:rPr>
          <w:rFonts w:ascii="Times New Roman" w:hAnsi="Times New Roman" w:cs="Times New Roman"/>
          <w:sz w:val="24"/>
          <w:szCs w:val="24"/>
        </w:rPr>
        <w:t xml:space="preserve"> in base ai caratteri delle feste cortigiane. </w:t>
      </w:r>
      <w:r w:rsidRPr="00096909">
        <w:rPr>
          <w:rFonts w:ascii="Times New Roman" w:hAnsi="Times New Roman" w:cs="Times New Roman"/>
          <w:sz w:val="24"/>
          <w:szCs w:val="24"/>
        </w:rPr>
        <w:t xml:space="preserve">Del promesso </w:t>
      </w:r>
      <w:r w:rsidRPr="00096909">
        <w:rPr>
          <w:rFonts w:ascii="Times New Roman" w:hAnsi="Times New Roman" w:cs="Times New Roman"/>
          <w:i/>
          <w:sz w:val="24"/>
          <w:szCs w:val="24"/>
        </w:rPr>
        <w:t>quadernetto</w:t>
      </w:r>
      <w:r w:rsidRPr="00096909">
        <w:rPr>
          <w:rFonts w:ascii="Times New Roman" w:hAnsi="Times New Roman" w:cs="Times New Roman"/>
          <w:sz w:val="24"/>
          <w:szCs w:val="24"/>
        </w:rPr>
        <w:t xml:space="preserve"> non è rimasta però traccia, così come non ho reperito notizie sull’«opera de tutto quello apparato di Derthona, in la quale descrive minutamente tutti li archi et cose più degne»</w:t>
      </w:r>
      <w:r w:rsidRPr="00096909">
        <w:rPr>
          <w:rStyle w:val="Rimandonotaapidipagina"/>
          <w:rFonts w:ascii="Times New Roman" w:hAnsi="Times New Roman" w:cs="Times New Roman"/>
          <w:sz w:val="24"/>
          <w:szCs w:val="24"/>
        </w:rPr>
        <w:footnoteReference w:id="608"/>
      </w:r>
      <w:r w:rsidRPr="00096909">
        <w:rPr>
          <w:rFonts w:ascii="Times New Roman" w:hAnsi="Times New Roman" w:cs="Times New Roman"/>
          <w:sz w:val="24"/>
          <w:szCs w:val="24"/>
        </w:rPr>
        <w:t xml:space="preserve"> composta dallo sconosciuto messer Antonio Polono, cui accenna l’anonimo estensore della </w:t>
      </w:r>
      <w:r w:rsidRPr="00096909">
        <w:rPr>
          <w:rFonts w:ascii="Times New Roman" w:hAnsi="Times New Roman" w:cs="Times New Roman"/>
          <w:i/>
          <w:sz w:val="24"/>
          <w:szCs w:val="24"/>
        </w:rPr>
        <w:t>Descriptione</w:t>
      </w:r>
      <w:r w:rsidRPr="00096909">
        <w:rPr>
          <w:rFonts w:ascii="Times New Roman" w:hAnsi="Times New Roman" w:cs="Times New Roman"/>
          <w:sz w:val="24"/>
          <w:szCs w:val="24"/>
        </w:rPr>
        <w:t xml:space="preserve"> parigina </w:t>
      </w:r>
      <w:r>
        <w:rPr>
          <w:rFonts w:ascii="Times New Roman" w:hAnsi="Times New Roman" w:cs="Times New Roman"/>
          <w:sz w:val="24"/>
          <w:szCs w:val="24"/>
        </w:rPr>
        <w:t xml:space="preserve">dello sposalizio di Isabella d’Aragona </w:t>
      </w:r>
      <w:r w:rsidRPr="00096909">
        <w:rPr>
          <w:rFonts w:ascii="Times New Roman" w:hAnsi="Times New Roman" w:cs="Times New Roman"/>
          <w:sz w:val="24"/>
          <w:szCs w:val="24"/>
        </w:rPr>
        <w:t xml:space="preserve">scusandosi per aver tralasciato molti particolari della festa. </w:t>
      </w:r>
    </w:p>
    <w:p w14:paraId="1B358B31" w14:textId="77777777" w:rsidR="00D22C4C" w:rsidRPr="00096909" w:rsidRDefault="00D22C4C" w:rsidP="00D22C4C">
      <w:pPr>
        <w:pStyle w:val="PreformattatoHTML"/>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Parimenti, </w:t>
      </w:r>
      <w:r>
        <w:rPr>
          <w:rFonts w:ascii="Times New Roman" w:hAnsi="Times New Roman" w:cs="Times New Roman"/>
          <w:sz w:val="24"/>
          <w:szCs w:val="24"/>
        </w:rPr>
        <w:t xml:space="preserve">promesse di invio </w:t>
      </w:r>
      <w:r w:rsidRPr="00096909">
        <w:rPr>
          <w:rFonts w:ascii="Times New Roman" w:hAnsi="Times New Roman" w:cs="Times New Roman"/>
          <w:sz w:val="24"/>
          <w:szCs w:val="24"/>
        </w:rPr>
        <w:t>di manoscritti con testi recitati durante le feste nuziali si possono trovare in diverse lettere di ambasciatori indirizzate a</w:t>
      </w:r>
      <w:r>
        <w:rPr>
          <w:rFonts w:ascii="Times New Roman" w:hAnsi="Times New Roman" w:cs="Times New Roman"/>
          <w:sz w:val="24"/>
          <w:szCs w:val="24"/>
        </w:rPr>
        <w:t>i loro principi</w:t>
      </w:r>
      <w:r w:rsidRPr="00096909">
        <w:rPr>
          <w:rFonts w:ascii="Times New Roman" w:hAnsi="Times New Roman" w:cs="Times New Roman"/>
          <w:sz w:val="24"/>
          <w:szCs w:val="24"/>
        </w:rPr>
        <w:t>: ad esempio, la ricordata lettera di Be</w:t>
      </w:r>
      <w:r>
        <w:rPr>
          <w:rFonts w:ascii="Times New Roman" w:hAnsi="Times New Roman" w:cs="Times New Roman"/>
          <w:sz w:val="24"/>
          <w:szCs w:val="24"/>
        </w:rPr>
        <w:t>nedetto</w:t>
      </w:r>
      <w:r w:rsidRPr="00096909">
        <w:rPr>
          <w:rFonts w:ascii="Times New Roman" w:hAnsi="Times New Roman" w:cs="Times New Roman"/>
          <w:sz w:val="24"/>
          <w:szCs w:val="24"/>
        </w:rPr>
        <w:t xml:space="preserve"> Capilup</w:t>
      </w:r>
      <w:r w:rsidR="00003BFA">
        <w:rPr>
          <w:rFonts w:ascii="Times New Roman" w:hAnsi="Times New Roman" w:cs="Times New Roman"/>
          <w:sz w:val="24"/>
          <w:szCs w:val="24"/>
        </w:rPr>
        <w:t>i</w:t>
      </w:r>
      <w:r w:rsidRPr="00096909">
        <w:rPr>
          <w:rFonts w:ascii="Times New Roman" w:hAnsi="Times New Roman" w:cs="Times New Roman"/>
          <w:sz w:val="24"/>
          <w:szCs w:val="24"/>
        </w:rPr>
        <w:t xml:space="preserve"> sullo sposalizio urbinate di Maddalena Gonzaga si chiude con la promessa di recare a Mantova un «compendio» della rappresentazione allegorica di Giovanni Santi, richiesto dall’ambasciatore all’autore stesso</w:t>
      </w:r>
      <w:r>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609"/>
      </w:r>
      <w:r>
        <w:rPr>
          <w:rFonts w:ascii="Times New Roman" w:hAnsi="Times New Roman" w:cs="Times New Roman"/>
          <w:sz w:val="24"/>
          <w:szCs w:val="24"/>
        </w:rPr>
        <w:t xml:space="preserve"> e</w:t>
      </w:r>
      <w:r w:rsidRPr="00096909">
        <w:rPr>
          <w:rFonts w:ascii="Times New Roman" w:hAnsi="Times New Roman" w:cs="Times New Roman"/>
          <w:sz w:val="24"/>
          <w:szCs w:val="24"/>
        </w:rPr>
        <w:t xml:space="preserve"> </w:t>
      </w:r>
      <w:r>
        <w:rPr>
          <w:rFonts w:ascii="Times New Roman" w:hAnsi="Times New Roman" w:cs="Times New Roman"/>
          <w:sz w:val="24"/>
          <w:szCs w:val="24"/>
        </w:rPr>
        <w:t>u</w:t>
      </w:r>
      <w:r w:rsidRPr="00096909">
        <w:rPr>
          <w:rFonts w:ascii="Times New Roman" w:hAnsi="Times New Roman" w:cs="Times New Roman"/>
          <w:sz w:val="24"/>
          <w:szCs w:val="24"/>
        </w:rPr>
        <w:t xml:space="preserve">n cenno ad un testo analogo si legge in una missiva di Giacomo Trotti, ambasciatore estense a Milano, con informazioni sulla </w:t>
      </w:r>
      <w:r w:rsidRPr="00096909">
        <w:rPr>
          <w:rFonts w:ascii="Times New Roman" w:hAnsi="Times New Roman" w:cs="Times New Roman"/>
          <w:i/>
          <w:sz w:val="24"/>
          <w:szCs w:val="24"/>
        </w:rPr>
        <w:t>Festa del Paradiso</w:t>
      </w:r>
      <w:r w:rsidRPr="00096909">
        <w:rPr>
          <w:rFonts w:ascii="Times New Roman" w:hAnsi="Times New Roman" w:cs="Times New Roman"/>
          <w:sz w:val="24"/>
          <w:szCs w:val="24"/>
        </w:rPr>
        <w:t xml:space="preserve"> di Bernardo Bellincioni, allestita il 13 gennaio 1490 nella Sala Verde del Castello Sforzesco a conclusione dei festeggiamenti per il matrimonio di Isabella d’Aragona.</w:t>
      </w:r>
      <w:r w:rsidRPr="00096909">
        <w:rPr>
          <w:rStyle w:val="Rimandonotaapidipagina"/>
          <w:rFonts w:ascii="Times New Roman" w:hAnsi="Times New Roman" w:cs="Times New Roman"/>
          <w:sz w:val="24"/>
          <w:szCs w:val="24"/>
        </w:rPr>
        <w:footnoteReference w:id="610"/>
      </w:r>
      <w:r w:rsidRPr="00096909">
        <w:rPr>
          <w:rFonts w:ascii="Times New Roman" w:hAnsi="Times New Roman" w:cs="Times New Roman"/>
          <w:sz w:val="24"/>
          <w:szCs w:val="24"/>
        </w:rPr>
        <w:t xml:space="preserve"> </w:t>
      </w:r>
    </w:p>
    <w:p w14:paraId="70299909" w14:textId="77777777" w:rsidR="00D22C4C" w:rsidRPr="00096909" w:rsidRDefault="00D22C4C" w:rsidP="00D22C4C">
      <w:pPr>
        <w:pStyle w:val="PreformattatoHTML"/>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Lo spettacolo, noto agli storici del teatro per l’attribuzione a Leonardo da Vinci dell’apparato scenico – dichiarata da Francesco Tanzi in una nota anteposta al testo della recita pubblicato nell’edizione delle </w:t>
      </w:r>
      <w:r w:rsidRPr="00096909">
        <w:rPr>
          <w:rFonts w:ascii="Times New Roman" w:hAnsi="Times New Roman" w:cs="Times New Roman"/>
          <w:i/>
          <w:sz w:val="24"/>
          <w:szCs w:val="24"/>
        </w:rPr>
        <w:t>Rime</w:t>
      </w:r>
      <w:r w:rsidRPr="00096909">
        <w:rPr>
          <w:rFonts w:ascii="Times New Roman" w:hAnsi="Times New Roman" w:cs="Times New Roman"/>
          <w:sz w:val="24"/>
          <w:szCs w:val="24"/>
        </w:rPr>
        <w:t xml:space="preserve"> di Bellincioni del 1493 –</w:t>
      </w:r>
      <w:r w:rsidRPr="00096909">
        <w:rPr>
          <w:rStyle w:val="Rimandonotaapidipagina"/>
          <w:rFonts w:ascii="Times New Roman" w:hAnsi="Times New Roman" w:cs="Times New Roman"/>
          <w:sz w:val="24"/>
          <w:szCs w:val="24"/>
        </w:rPr>
        <w:footnoteReference w:id="611"/>
      </w:r>
      <w:r w:rsidRPr="00096909">
        <w:rPr>
          <w:rFonts w:ascii="Times New Roman" w:hAnsi="Times New Roman" w:cs="Times New Roman"/>
          <w:sz w:val="24"/>
          <w:szCs w:val="24"/>
        </w:rPr>
        <w:t xml:space="preserve"> terminava con il saluto di Apollo alla sposa, alla quale il dio</w:t>
      </w:r>
      <w:r>
        <w:rPr>
          <w:rFonts w:ascii="Times New Roman" w:hAnsi="Times New Roman" w:cs="Times New Roman"/>
          <w:sz w:val="24"/>
          <w:szCs w:val="24"/>
        </w:rPr>
        <w:t>, come dichiara l’oratore estense,</w:t>
      </w:r>
      <w:r w:rsidRPr="00096909">
        <w:rPr>
          <w:rFonts w:ascii="Times New Roman" w:hAnsi="Times New Roman" w:cs="Times New Roman"/>
          <w:sz w:val="24"/>
          <w:szCs w:val="24"/>
        </w:rPr>
        <w:t xml:space="preserve"> offriva il corteo delle Grazie e delle Virtù che l’avrebbero riaccompagnata alle sue stanze e un omaggio speciale:</w:t>
      </w:r>
    </w:p>
    <w:p w14:paraId="06E0DDFE" w14:textId="77777777" w:rsidR="00D22C4C" w:rsidRPr="00096909" w:rsidRDefault="00D22C4C" w:rsidP="00D22C4C">
      <w:pPr>
        <w:pStyle w:val="PreformattatoHTML"/>
        <w:spacing w:line="360" w:lineRule="auto"/>
        <w:jc w:val="both"/>
        <w:rPr>
          <w:rFonts w:ascii="Times New Roman" w:hAnsi="Times New Roman" w:cs="Times New Roman"/>
          <w:sz w:val="24"/>
          <w:szCs w:val="24"/>
        </w:rPr>
      </w:pPr>
    </w:p>
    <w:p w14:paraId="7BB10627" w14:textId="77777777" w:rsidR="00D22C4C" w:rsidRPr="00096909" w:rsidRDefault="00D22C4C" w:rsidP="00D22C4C">
      <w:pPr>
        <w:pStyle w:val="PreformattatoHTML"/>
        <w:spacing w:line="360" w:lineRule="auto"/>
        <w:ind w:left="567" w:right="566" w:firstLine="397"/>
        <w:jc w:val="both"/>
        <w:rPr>
          <w:rFonts w:ascii="Times New Roman" w:hAnsi="Times New Roman" w:cs="Times New Roman"/>
        </w:rPr>
      </w:pPr>
      <w:r w:rsidRPr="00096909">
        <w:rPr>
          <w:rFonts w:ascii="Times New Roman" w:hAnsi="Times New Roman" w:cs="Times New Roman"/>
        </w:rPr>
        <w:t xml:space="preserve">Apolo andò a Madonna et con molte parole dolce et suave le apresentò a la sua Excellentia per parte de Giove, et ditte le parole li donò un </w:t>
      </w:r>
      <w:r w:rsidRPr="00096909">
        <w:rPr>
          <w:rFonts w:ascii="Times New Roman" w:hAnsi="Times New Roman" w:cs="Times New Roman"/>
          <w:i/>
        </w:rPr>
        <w:t>libretto</w:t>
      </w:r>
      <w:r w:rsidRPr="00096909">
        <w:rPr>
          <w:rFonts w:ascii="Times New Roman" w:hAnsi="Times New Roman" w:cs="Times New Roman"/>
        </w:rPr>
        <w:t>, nel quale contene tutte le parole che se sono ditte in ditta representatione: nel quale libretto era alchuni soniti facti in laude et gloria de potentati suoi de li horatori, che lì erano presenti, et così de loro proprii, et a tutti ditti horatori ne fu dato uno per zaschuno da la sua Excellentia.</w:t>
      </w:r>
      <w:r w:rsidRPr="00096909">
        <w:rPr>
          <w:rStyle w:val="Rimandonotaapidipagina"/>
          <w:rFonts w:ascii="Times New Roman" w:hAnsi="Times New Roman" w:cs="Times New Roman"/>
        </w:rPr>
        <w:footnoteReference w:id="612"/>
      </w:r>
    </w:p>
    <w:p w14:paraId="5145FECD" w14:textId="77777777" w:rsidR="00D22C4C" w:rsidRPr="00096909" w:rsidRDefault="00D22C4C" w:rsidP="00D22C4C">
      <w:pPr>
        <w:pStyle w:val="PreformattatoHTML"/>
        <w:spacing w:line="360" w:lineRule="auto"/>
        <w:jc w:val="both"/>
        <w:rPr>
          <w:rFonts w:ascii="Times New Roman" w:hAnsi="Times New Roman" w:cs="Times New Roman"/>
          <w:sz w:val="24"/>
          <w:szCs w:val="24"/>
        </w:rPr>
      </w:pPr>
    </w:p>
    <w:p w14:paraId="054CE966" w14:textId="77777777" w:rsidR="00D22C4C" w:rsidRPr="00096909" w:rsidRDefault="00D22C4C" w:rsidP="00D22C4C">
      <w:pPr>
        <w:pStyle w:val="PreformattatoHTML"/>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Anche le note redazionali di Tanzi confermano la presentazione alla duchessa di un </w:t>
      </w:r>
      <w:r w:rsidRPr="00096909">
        <w:rPr>
          <w:rFonts w:ascii="Times New Roman" w:hAnsi="Times New Roman" w:cs="Times New Roman"/>
          <w:i/>
          <w:sz w:val="24"/>
          <w:szCs w:val="24"/>
        </w:rPr>
        <w:t>libretto</w:t>
      </w:r>
      <w:r w:rsidRPr="00096909">
        <w:rPr>
          <w:rFonts w:ascii="Times New Roman" w:hAnsi="Times New Roman" w:cs="Times New Roman"/>
          <w:sz w:val="24"/>
          <w:szCs w:val="24"/>
        </w:rPr>
        <w:t xml:space="preserve"> con il testo poetico, senza però citare la distribuzione di altre copie agli ambasciatori ospiti: </w:t>
      </w:r>
    </w:p>
    <w:p w14:paraId="72A2A93F" w14:textId="77777777" w:rsidR="00D22C4C" w:rsidRPr="00096909" w:rsidRDefault="00D22C4C" w:rsidP="00D22C4C">
      <w:pPr>
        <w:pStyle w:val="PreformattatoHTML"/>
        <w:spacing w:line="360" w:lineRule="auto"/>
        <w:jc w:val="both"/>
        <w:rPr>
          <w:rFonts w:ascii="Times New Roman" w:hAnsi="Times New Roman" w:cs="Times New Roman"/>
          <w:sz w:val="24"/>
          <w:szCs w:val="24"/>
        </w:rPr>
      </w:pPr>
    </w:p>
    <w:p w14:paraId="6543C2C1" w14:textId="77777777" w:rsidR="00D22C4C" w:rsidRPr="00096909" w:rsidRDefault="00D22C4C" w:rsidP="00D22C4C">
      <w:pPr>
        <w:pStyle w:val="Nessunaspaziatura"/>
        <w:spacing w:line="360" w:lineRule="auto"/>
        <w:ind w:left="567"/>
        <w:jc w:val="both"/>
        <w:rPr>
          <w:rFonts w:ascii="Times New Roman" w:hAnsi="Times New Roman" w:cs="Times New Roman"/>
          <w:sz w:val="20"/>
          <w:szCs w:val="20"/>
        </w:rPr>
      </w:pPr>
      <w:r w:rsidRPr="00096909">
        <w:rPr>
          <w:rFonts w:ascii="Times New Roman" w:hAnsi="Times New Roman" w:cs="Times New Roman"/>
          <w:sz w:val="20"/>
          <w:szCs w:val="20"/>
        </w:rPr>
        <w:t xml:space="preserve">Apollo dona a Madonna un </w:t>
      </w:r>
      <w:r w:rsidRPr="00096909">
        <w:rPr>
          <w:rFonts w:ascii="Times New Roman" w:hAnsi="Times New Roman" w:cs="Times New Roman"/>
          <w:i/>
          <w:sz w:val="20"/>
          <w:szCs w:val="20"/>
        </w:rPr>
        <w:t>libretto</w:t>
      </w:r>
      <w:r w:rsidRPr="00096909">
        <w:rPr>
          <w:rFonts w:ascii="Times New Roman" w:hAnsi="Times New Roman" w:cs="Times New Roman"/>
          <w:sz w:val="20"/>
          <w:szCs w:val="20"/>
        </w:rPr>
        <w:t>, ove erano tutti i versi della Festa e dice:</w:t>
      </w:r>
    </w:p>
    <w:p w14:paraId="73936377" w14:textId="77777777" w:rsidR="00D22C4C" w:rsidRPr="00096909" w:rsidRDefault="00D22C4C" w:rsidP="00D22C4C">
      <w:pPr>
        <w:pStyle w:val="Nessunaspaziatura"/>
        <w:spacing w:line="360" w:lineRule="auto"/>
        <w:ind w:left="567"/>
        <w:jc w:val="both"/>
        <w:rPr>
          <w:rFonts w:ascii="Times New Roman" w:hAnsi="Times New Roman" w:cs="Times New Roman"/>
          <w:sz w:val="20"/>
          <w:szCs w:val="20"/>
        </w:rPr>
      </w:pPr>
    </w:p>
    <w:p w14:paraId="785BC802" w14:textId="77777777" w:rsidR="00D22C4C" w:rsidRPr="00096909" w:rsidRDefault="00D22C4C" w:rsidP="00D22C4C">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t>Per ritornar più grato al signor mio,</w:t>
      </w:r>
    </w:p>
    <w:p w14:paraId="7414F7A0" w14:textId="77777777" w:rsidR="00D22C4C" w:rsidRPr="00096909" w:rsidRDefault="00D22C4C" w:rsidP="00D22C4C">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t>Del magno beneficio ricevuto</w:t>
      </w:r>
    </w:p>
    <w:p w14:paraId="636C9B8D" w14:textId="77777777" w:rsidR="00D22C4C" w:rsidRPr="00096909" w:rsidRDefault="00D22C4C" w:rsidP="00D22C4C">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t>D’esser stato delli Dei sol io</w:t>
      </w:r>
    </w:p>
    <w:p w14:paraId="589855C0" w14:textId="77777777" w:rsidR="00D22C4C" w:rsidRPr="00096909" w:rsidRDefault="00D22C4C" w:rsidP="00D22C4C">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lastRenderedPageBreak/>
        <w:t>Ch’el divin don ti porsi e ben dovuto</w:t>
      </w:r>
    </w:p>
    <w:p w14:paraId="671E854F" w14:textId="77777777" w:rsidR="00D22C4C" w:rsidRPr="00096909" w:rsidRDefault="00D22C4C" w:rsidP="00D22C4C">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t>Per satisfare al suo e al mio disio</w:t>
      </w:r>
    </w:p>
    <w:p w14:paraId="18ED0A62" w14:textId="77777777" w:rsidR="00D22C4C" w:rsidRPr="00096909" w:rsidRDefault="00D22C4C" w:rsidP="00D22C4C">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t>Ch’io ti ringrazi, essendo a più tenuto,</w:t>
      </w:r>
    </w:p>
    <w:p w14:paraId="58B40D8B" w14:textId="77777777" w:rsidR="00D22C4C" w:rsidRPr="00096909" w:rsidRDefault="00D22C4C" w:rsidP="00D22C4C">
      <w:pPr>
        <w:pStyle w:val="Nessunaspaziatura"/>
        <w:spacing w:line="360" w:lineRule="auto"/>
        <w:ind w:left="2268"/>
        <w:jc w:val="both"/>
        <w:rPr>
          <w:rFonts w:ascii="Times New Roman" w:hAnsi="Times New Roman" w:cs="Times New Roman"/>
          <w:sz w:val="20"/>
          <w:szCs w:val="20"/>
        </w:rPr>
      </w:pPr>
      <w:r w:rsidRPr="00096909">
        <w:rPr>
          <w:rFonts w:ascii="Times New Roman" w:hAnsi="Times New Roman" w:cs="Times New Roman"/>
          <w:sz w:val="20"/>
          <w:szCs w:val="20"/>
        </w:rPr>
        <w:t>Dono a te sol le mie poche faville,</w:t>
      </w:r>
    </w:p>
    <w:p w14:paraId="0E787354" w14:textId="77777777" w:rsidR="00D22C4C" w:rsidRPr="00096909" w:rsidRDefault="00D22C4C" w:rsidP="00D22C4C">
      <w:pPr>
        <w:pStyle w:val="PreformattatoHTML"/>
        <w:spacing w:line="360" w:lineRule="auto"/>
        <w:ind w:left="2268"/>
        <w:jc w:val="both"/>
        <w:rPr>
          <w:rFonts w:ascii="Times New Roman" w:hAnsi="Times New Roman" w:cs="Times New Roman"/>
        </w:rPr>
      </w:pPr>
      <w:r w:rsidRPr="00096909">
        <w:rPr>
          <w:rFonts w:ascii="Times New Roman" w:hAnsi="Times New Roman" w:cs="Times New Roman"/>
        </w:rPr>
        <w:t>Versi che di te scrisson le Sibille.</w:t>
      </w:r>
      <w:r w:rsidRPr="00096909">
        <w:rPr>
          <w:rStyle w:val="Rimandonotaapidipagina"/>
          <w:rFonts w:ascii="Times New Roman" w:hAnsi="Times New Roman" w:cs="Times New Roman"/>
        </w:rPr>
        <w:footnoteReference w:id="613"/>
      </w:r>
      <w:r w:rsidRPr="00096909">
        <w:rPr>
          <w:rFonts w:ascii="Times New Roman" w:hAnsi="Times New Roman" w:cs="Times New Roman"/>
        </w:rPr>
        <w:t xml:space="preserve"> </w:t>
      </w:r>
    </w:p>
    <w:p w14:paraId="3DED0B39" w14:textId="77777777" w:rsidR="00D22C4C" w:rsidRPr="00096909" w:rsidRDefault="00D22C4C" w:rsidP="00D22C4C">
      <w:pPr>
        <w:pStyle w:val="PreformattatoHTML"/>
        <w:spacing w:line="360" w:lineRule="auto"/>
        <w:ind w:left="2268"/>
        <w:jc w:val="both"/>
        <w:rPr>
          <w:rFonts w:ascii="Times New Roman" w:hAnsi="Times New Roman" w:cs="Times New Roman"/>
        </w:rPr>
      </w:pPr>
    </w:p>
    <w:p w14:paraId="49D45BE7" w14:textId="77777777" w:rsidR="00D22C4C" w:rsidRPr="00096909" w:rsidRDefault="00D22C4C" w:rsidP="00D22C4C">
      <w:pPr>
        <w:pStyle w:val="PreformattatoHTML"/>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necessità di predisporre delle copie di omaggio della </w:t>
      </w:r>
      <w:r w:rsidRPr="00096909">
        <w:rPr>
          <w:rFonts w:ascii="Times New Roman" w:hAnsi="Times New Roman" w:cs="Times New Roman"/>
          <w:i/>
          <w:sz w:val="24"/>
          <w:szCs w:val="24"/>
        </w:rPr>
        <w:t>Festa</w:t>
      </w:r>
      <w:r w:rsidRPr="00096909">
        <w:rPr>
          <w:rFonts w:ascii="Times New Roman" w:hAnsi="Times New Roman" w:cs="Times New Roman"/>
          <w:sz w:val="24"/>
          <w:szCs w:val="24"/>
        </w:rPr>
        <w:t xml:space="preserve"> per un numero non ben precisato di oratori – certo però almeno per i legati del papa, del re di Francia, delle Repubbliche di Venezia e Firenze e del duca di Ferrara, dedicatari dei sonetti riportati nell’edizione delle </w:t>
      </w:r>
      <w:r w:rsidRPr="00096909">
        <w:rPr>
          <w:rFonts w:ascii="Times New Roman" w:hAnsi="Times New Roman" w:cs="Times New Roman"/>
          <w:i/>
          <w:sz w:val="24"/>
          <w:szCs w:val="24"/>
        </w:rPr>
        <w:t>Rime</w:t>
      </w:r>
      <w:r w:rsidRPr="00096909">
        <w:rPr>
          <w:rFonts w:ascii="Times New Roman" w:hAnsi="Times New Roman" w:cs="Times New Roman"/>
          <w:sz w:val="24"/>
          <w:szCs w:val="24"/>
        </w:rPr>
        <w:t xml:space="preserve"> di Bellincioni in coda al testo della </w:t>
      </w:r>
      <w:r w:rsidRPr="00096909">
        <w:rPr>
          <w:rFonts w:ascii="Times New Roman" w:hAnsi="Times New Roman" w:cs="Times New Roman"/>
          <w:i/>
          <w:sz w:val="24"/>
          <w:szCs w:val="24"/>
        </w:rPr>
        <w:t>Festa</w:t>
      </w:r>
      <w:r w:rsidRPr="00096909">
        <w:rPr>
          <w:rFonts w:ascii="Times New Roman" w:hAnsi="Times New Roman" w:cs="Times New Roman"/>
          <w:sz w:val="24"/>
          <w:szCs w:val="24"/>
        </w:rPr>
        <w:t xml:space="preserve"> – e forse anche per altri invitati</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lascia supporre un altro ricorso alla stampa in occasione delle nozze Sforza-Aragona. </w:t>
      </w:r>
      <w:r>
        <w:rPr>
          <w:rFonts w:ascii="Times New Roman" w:hAnsi="Times New Roman" w:cs="Times New Roman"/>
          <w:sz w:val="24"/>
          <w:szCs w:val="24"/>
        </w:rPr>
        <w:t>I</w:t>
      </w:r>
      <w:r w:rsidRPr="00096909">
        <w:rPr>
          <w:rFonts w:ascii="Times New Roman" w:hAnsi="Times New Roman" w:cs="Times New Roman"/>
          <w:sz w:val="24"/>
          <w:szCs w:val="24"/>
        </w:rPr>
        <w:t>nfatti</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s</w:t>
      </w:r>
      <w:r w:rsidRPr="00096909">
        <w:rPr>
          <w:rFonts w:ascii="Times New Roman" w:hAnsi="Times New Roman" w:cs="Times New Roman"/>
          <w:sz w:val="24"/>
          <w:szCs w:val="24"/>
        </w:rPr>
        <w:t>arebbe stato alquanto oneroso farsi carico dell’allestimento di pregevoli manoscritti con i versi della recita, e l’impiego della stampa, – la cui efficacia per favorire la circolazione di testi di recite encomiastiche era già stata sperimentata</w:t>
      </w:r>
      <w:r>
        <w:rPr>
          <w:rFonts w:ascii="Times New Roman" w:hAnsi="Times New Roman" w:cs="Times New Roman"/>
          <w:sz w:val="24"/>
          <w:szCs w:val="24"/>
        </w:rPr>
        <w:t xml:space="preserve"> in contesto sforzesco</w:t>
      </w:r>
      <w:r w:rsidRPr="00096909">
        <w:rPr>
          <w:rFonts w:ascii="Times New Roman" w:hAnsi="Times New Roman" w:cs="Times New Roman"/>
          <w:sz w:val="24"/>
          <w:szCs w:val="24"/>
        </w:rPr>
        <w:t xml:space="preserve">, con l’edizione dei versi di Taccone recitati al banchetto di Tortona – avrebbe facilmente risolto il problema di consegnare a ospiti e ambasciatori un ricordo della meravigliosa rappresentazione leonardesca. </w:t>
      </w:r>
    </w:p>
    <w:p w14:paraId="72D690B8" w14:textId="77777777" w:rsidR="00395702" w:rsidRDefault="00D22C4C" w:rsidP="00D22C4C">
      <w:pPr>
        <w:pStyle w:val="PreformattatoHTML"/>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fatto che anche in questo caso non sia giunto alcun incunabolo della </w:t>
      </w:r>
      <w:r w:rsidRPr="00096909">
        <w:rPr>
          <w:rFonts w:ascii="Times New Roman" w:hAnsi="Times New Roman" w:cs="Times New Roman"/>
          <w:i/>
          <w:sz w:val="24"/>
          <w:szCs w:val="24"/>
        </w:rPr>
        <w:t>Festa del Paradiso</w:t>
      </w:r>
      <w:r w:rsidRPr="00096909">
        <w:rPr>
          <w:rFonts w:ascii="Times New Roman" w:hAnsi="Times New Roman" w:cs="Times New Roman"/>
          <w:sz w:val="24"/>
          <w:szCs w:val="24"/>
        </w:rPr>
        <w:t xml:space="preserve"> circoscrive queste affermazioni all’ambito delle ipotesi attendibili ma non verificabili, </w:t>
      </w:r>
      <w:r>
        <w:rPr>
          <w:rFonts w:ascii="Times New Roman" w:hAnsi="Times New Roman" w:cs="Times New Roman"/>
          <w:sz w:val="24"/>
          <w:szCs w:val="24"/>
        </w:rPr>
        <w:t xml:space="preserve">e </w:t>
      </w:r>
      <w:r w:rsidRPr="00096909">
        <w:rPr>
          <w:rFonts w:ascii="Times New Roman" w:hAnsi="Times New Roman" w:cs="Times New Roman"/>
          <w:sz w:val="24"/>
          <w:szCs w:val="24"/>
        </w:rPr>
        <w:t xml:space="preserve">induce </w:t>
      </w:r>
      <w:r>
        <w:rPr>
          <w:rFonts w:ascii="Times New Roman" w:hAnsi="Times New Roman" w:cs="Times New Roman"/>
          <w:sz w:val="24"/>
          <w:szCs w:val="24"/>
        </w:rPr>
        <w:t xml:space="preserve">però </w:t>
      </w:r>
      <w:r w:rsidRPr="00096909">
        <w:rPr>
          <w:rFonts w:ascii="Times New Roman" w:hAnsi="Times New Roman" w:cs="Times New Roman"/>
          <w:sz w:val="24"/>
          <w:szCs w:val="24"/>
        </w:rPr>
        <w:t xml:space="preserve">a </w:t>
      </w:r>
      <w:r>
        <w:rPr>
          <w:rFonts w:ascii="Times New Roman" w:hAnsi="Times New Roman" w:cs="Times New Roman"/>
          <w:sz w:val="24"/>
          <w:szCs w:val="24"/>
        </w:rPr>
        <w:t>credere</w:t>
      </w:r>
      <w:r w:rsidRPr="00096909">
        <w:rPr>
          <w:rFonts w:ascii="Times New Roman" w:hAnsi="Times New Roman" w:cs="Times New Roman"/>
          <w:sz w:val="24"/>
          <w:szCs w:val="24"/>
        </w:rPr>
        <w:t xml:space="preserve"> che la pratica della stampa della letteratura della e per la festa dinastica, nell’Italia del Quattrocento, potesse essere più frequente di quanto testimoniato dagli esemplari conservati. </w:t>
      </w:r>
    </w:p>
    <w:p w14:paraId="2C7AE0F3" w14:textId="77777777" w:rsidR="00CE0340" w:rsidRDefault="00395702">
      <w:pPr>
        <w:spacing w:line="259" w:lineRule="auto"/>
        <w:rPr>
          <w:rFonts w:ascii="Times New Roman" w:eastAsiaTheme="minorEastAsia" w:hAnsi="Times New Roman" w:cs="Times New Roman"/>
          <w:smallCaps/>
          <w:sz w:val="24"/>
          <w:szCs w:val="24"/>
        </w:rPr>
      </w:pPr>
      <w:r>
        <w:br w:type="page"/>
      </w:r>
      <w:bookmarkStart w:id="466" w:name="_Hlk527032813"/>
      <w:r w:rsidR="00CE0340">
        <w:lastRenderedPageBreak/>
        <w:br w:type="page"/>
      </w:r>
    </w:p>
    <w:p w14:paraId="011498BB" w14:textId="77777777" w:rsidR="00395702" w:rsidRPr="00096909" w:rsidRDefault="00395702" w:rsidP="00395702">
      <w:pPr>
        <w:pStyle w:val="Titolocapitolo"/>
      </w:pPr>
      <w:r w:rsidRPr="00096909">
        <w:lastRenderedPageBreak/>
        <w:t>Capitolo III</w:t>
      </w:r>
    </w:p>
    <w:p w14:paraId="0E33F83B" w14:textId="77777777" w:rsidR="00395702" w:rsidRPr="00096909" w:rsidRDefault="00395702" w:rsidP="00395702">
      <w:pPr>
        <w:pStyle w:val="Titolocapitolo"/>
      </w:pPr>
      <w:r w:rsidRPr="00096909">
        <w:t xml:space="preserve"> </w:t>
      </w:r>
      <w:bookmarkStart w:id="467" w:name="_Hlk535571602"/>
      <w:r w:rsidRPr="00096909">
        <w:t>La festa nuziale</w:t>
      </w:r>
      <w:bookmarkEnd w:id="467"/>
    </w:p>
    <w:p w14:paraId="7AC6AF0C" w14:textId="77777777" w:rsidR="00395702" w:rsidRPr="00096909" w:rsidRDefault="00395702" w:rsidP="00395702">
      <w:pPr>
        <w:jc w:val="both"/>
        <w:rPr>
          <w:rFonts w:ascii="Times New Roman" w:hAnsi="Times New Roman" w:cs="Times New Roman"/>
          <w:sz w:val="24"/>
          <w:szCs w:val="24"/>
        </w:rPr>
      </w:pPr>
    </w:p>
    <w:p w14:paraId="33364CDE" w14:textId="77777777" w:rsidR="00395702" w:rsidRPr="00096909" w:rsidRDefault="00395702" w:rsidP="00395702">
      <w:pPr>
        <w:jc w:val="both"/>
        <w:rPr>
          <w:rFonts w:ascii="Times New Roman" w:hAnsi="Times New Roman" w:cs="Times New Roman"/>
          <w:sz w:val="24"/>
          <w:szCs w:val="24"/>
        </w:rPr>
      </w:pPr>
    </w:p>
    <w:p w14:paraId="452FB94A" w14:textId="77777777" w:rsidR="00395702" w:rsidRPr="00096909" w:rsidRDefault="00395702" w:rsidP="00395702">
      <w:pPr>
        <w:jc w:val="both"/>
        <w:rPr>
          <w:rFonts w:ascii="Times New Roman" w:hAnsi="Times New Roman" w:cs="Times New Roman"/>
          <w:sz w:val="24"/>
          <w:szCs w:val="24"/>
        </w:rPr>
      </w:pPr>
      <w:r w:rsidRPr="00E421B1">
        <w:rPr>
          <w:rFonts w:ascii="Times New Roman" w:hAnsi="Times New Roman" w:cs="Times New Roman"/>
          <w:sz w:val="24"/>
          <w:szCs w:val="24"/>
        </w:rPr>
        <w:t>1.</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Il viaggio della sposa. Per mare e per terra.</w:t>
      </w:r>
    </w:p>
    <w:p w14:paraId="52E42126" w14:textId="77777777" w:rsidR="00395702" w:rsidRPr="00096909" w:rsidRDefault="00395702" w:rsidP="00395702"/>
    <w:p w14:paraId="14D8A3C5" w14:textId="77777777" w:rsidR="00395702" w:rsidRPr="00096909" w:rsidRDefault="00395702" w:rsidP="00395702">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L’analisi della documentazione sugli sposalizi italiani del secondo Quattrocento, affrontata nelle pagine precedenti, ha messo in risalto come un obiettivo di comunicazione politica fosse sotteso sia alla progettazione della festa nuziale sia all’elaborazione letteraria della cronaca del suo svolgimento. Entrambe, infatti, rendevano manifeste la </w:t>
      </w:r>
      <w:r w:rsidRPr="00096909">
        <w:rPr>
          <w:rFonts w:ascii="Times New Roman" w:hAnsi="Times New Roman" w:cs="Times New Roman"/>
          <w:i/>
          <w:sz w:val="24"/>
          <w:szCs w:val="24"/>
        </w:rPr>
        <w:t>magnificentia</w:t>
      </w:r>
      <w:r w:rsidRPr="00096909">
        <w:rPr>
          <w:rFonts w:ascii="Times New Roman" w:hAnsi="Times New Roman" w:cs="Times New Roman"/>
          <w:sz w:val="24"/>
          <w:szCs w:val="24"/>
        </w:rPr>
        <w:t xml:space="preserve"> della famiglia del principe e la solidità delle alleanze locali e internazionali su cui poggiava il suo governo. Alleanze che potevano anche determinare le vicende redazionali e la stampa della descrizione dei festeggiamenti, come visto nel caso del </w:t>
      </w:r>
      <w:r w:rsidRPr="00096909">
        <w:rPr>
          <w:rFonts w:ascii="Times New Roman" w:hAnsi="Times New Roman" w:cs="Times New Roman"/>
          <w:i/>
          <w:sz w:val="24"/>
          <w:szCs w:val="24"/>
        </w:rPr>
        <w:t>Carmen nuptiale</w:t>
      </w:r>
      <w:r w:rsidRPr="00096909">
        <w:rPr>
          <w:rFonts w:ascii="Times New Roman" w:hAnsi="Times New Roman" w:cs="Times New Roman"/>
          <w:sz w:val="24"/>
          <w:szCs w:val="24"/>
        </w:rPr>
        <w:t xml:space="preserve"> di Naldo Naldi.</w:t>
      </w:r>
    </w:p>
    <w:p w14:paraId="560F84CC"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Ciascuno dei momenti della festa aveva una propria autonomia formale, un proprio messaggio, un proprio potenziale di significazione, che compiendosi nell’ampio e unitario programma delle celebrazioni conseguiva </w:t>
      </w:r>
      <w:r>
        <w:rPr>
          <w:rFonts w:ascii="Times New Roman" w:hAnsi="Times New Roman" w:cs="Times New Roman"/>
          <w:sz w:val="24"/>
          <w:szCs w:val="24"/>
        </w:rPr>
        <w:t>la sua perfezione</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614"/>
      </w:r>
      <w:r w:rsidRPr="00096909">
        <w:rPr>
          <w:rFonts w:ascii="Times New Roman" w:hAnsi="Times New Roman" w:cs="Times New Roman"/>
          <w:sz w:val="24"/>
          <w:szCs w:val="24"/>
        </w:rPr>
        <w:t xml:space="preserve"> I grandiosi spettacoli del viaggio della sposa, dell’ingresso in città, della cerimonia nuziale, del banchetto, isolabili solo ipotetica</w:t>
      </w:r>
      <w:r>
        <w:rPr>
          <w:rFonts w:ascii="Times New Roman" w:hAnsi="Times New Roman" w:cs="Times New Roman"/>
          <w:sz w:val="24"/>
          <w:szCs w:val="24"/>
        </w:rPr>
        <w:t>mente</w:t>
      </w:r>
      <w:r w:rsidRPr="00096909">
        <w:rPr>
          <w:rFonts w:ascii="Times New Roman" w:hAnsi="Times New Roman" w:cs="Times New Roman"/>
          <w:sz w:val="24"/>
          <w:szCs w:val="24"/>
        </w:rPr>
        <w:t xml:space="preserve"> dal complesso meccanismo dei festeggiamenti che li ospitava, saranno ora considerati singolarmente, al fine di identificare continuità e variazioni di queste tipologie celebrative in rapporto ai contesti politici e culturali nei quali si svolsero gli sposalizi.  </w:t>
      </w:r>
    </w:p>
    <w:p w14:paraId="2C6663D9"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percorso scelto per accompagnare la sposa in un corteo maestoso alla città della quale sarebbe divenuta principessa era già, di per sé, indizio delle buone relazioni che legavano principati e repubbliche alle famiglie coinvolte nel lieto evento, dal momento che la necessità di offrire ospitalità alla comitiva degli accompagnatori costituiva, per le comunità ospiti, un’ingente spesa e una considerevole responsabilità organizzativa quanto alla gestione degli spostamenti e degli alloggi per gli invitati. </w:t>
      </w:r>
    </w:p>
    <w:p w14:paraId="6F113839"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viaggio, che poteva svolgersi in maniera più o meno sfarzosa, rappresentava dunque un’occasione diplomatica – sulla quale potevano influire variabili talvolta non considerate al momento della stipula del contratto nuziale, come difficoltà metereologiche o improvvise variazioni della scena politica capaci di compromettere la riuscita del matrimonio – e </w:t>
      </w:r>
      <w:r>
        <w:rPr>
          <w:rFonts w:ascii="Times New Roman" w:hAnsi="Times New Roman" w:cs="Times New Roman"/>
          <w:sz w:val="24"/>
          <w:szCs w:val="24"/>
        </w:rPr>
        <w:t xml:space="preserve">una </w:t>
      </w:r>
      <w:r w:rsidRPr="00096909">
        <w:rPr>
          <w:rFonts w:ascii="Times New Roman" w:hAnsi="Times New Roman" w:cs="Times New Roman"/>
          <w:sz w:val="24"/>
          <w:szCs w:val="24"/>
        </w:rPr>
        <w:t xml:space="preserve">possibilità d’incontro tra </w:t>
      </w:r>
      <w:r>
        <w:rPr>
          <w:rFonts w:ascii="Times New Roman" w:hAnsi="Times New Roman" w:cs="Times New Roman"/>
          <w:sz w:val="24"/>
          <w:szCs w:val="24"/>
        </w:rPr>
        <w:t xml:space="preserve">genti di </w:t>
      </w:r>
      <w:r w:rsidRPr="00096909">
        <w:rPr>
          <w:rFonts w:ascii="Times New Roman" w:hAnsi="Times New Roman" w:cs="Times New Roman"/>
          <w:sz w:val="24"/>
          <w:szCs w:val="24"/>
        </w:rPr>
        <w:t xml:space="preserve">culture diverse, delle quali era necessario apprendere </w:t>
      </w:r>
      <w:r w:rsidRPr="00096909">
        <w:rPr>
          <w:rFonts w:ascii="Times New Roman" w:hAnsi="Times New Roman" w:cs="Times New Roman"/>
          <w:sz w:val="24"/>
          <w:szCs w:val="24"/>
        </w:rPr>
        <w:lastRenderedPageBreak/>
        <w:t xml:space="preserve">rapidamente usi e costumi, quand’anche potessero destare la perplessità degli osservatori contemporanei: </w:t>
      </w:r>
    </w:p>
    <w:p w14:paraId="02A6CBFC"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53EC3DF7" w14:textId="77777777" w:rsidR="00395702" w:rsidRPr="00096909" w:rsidRDefault="00395702" w:rsidP="00395702">
      <w:pPr>
        <w:spacing w:after="0" w:line="360" w:lineRule="auto"/>
        <w:ind w:left="567" w:right="851" w:firstLine="397"/>
        <w:jc w:val="both"/>
        <w:rPr>
          <w:rFonts w:ascii="Times New Roman" w:hAnsi="Times New Roman" w:cs="Times New Roman"/>
          <w:sz w:val="20"/>
          <w:szCs w:val="20"/>
        </w:rPr>
      </w:pPr>
      <w:r w:rsidRPr="00096909">
        <w:rPr>
          <w:rFonts w:ascii="Times New Roman" w:hAnsi="Times New Roman" w:cs="Times New Roman"/>
          <w:sz w:val="20"/>
          <w:szCs w:val="20"/>
        </w:rPr>
        <w:t>Nota che adij 7 de setembre 1462 vene a Mantoa ambaxaria de lo ducho de Baviera e se chonfermoe el maridozo tra mes. Fedrigo, fiolo del marchexo de Mantoa et madona Malgarita, sorella de lo ducha de Baviera. Se tu avesse veduto questa anbaxarìa! Tutti parivane chochi e sguatary et cetera. Li Mantoany forte se meraviava de tal zente et de lo so male vivere.</w:t>
      </w:r>
      <w:r w:rsidRPr="00096909">
        <w:rPr>
          <w:rStyle w:val="Rimandonotaapidipagina"/>
          <w:rFonts w:ascii="Times New Roman" w:hAnsi="Times New Roman" w:cs="Times New Roman"/>
        </w:rPr>
        <w:footnoteReference w:id="615"/>
      </w:r>
    </w:p>
    <w:p w14:paraId="29120826"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33CF5500"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Così Andrea da Schivenoglia registr</w:t>
      </w:r>
      <w:r>
        <w:rPr>
          <w:rFonts w:ascii="Times New Roman" w:hAnsi="Times New Roman" w:cs="Times New Roman"/>
          <w:sz w:val="24"/>
          <w:szCs w:val="24"/>
        </w:rPr>
        <w:t>ò</w:t>
      </w:r>
      <w:r w:rsidRPr="00096909">
        <w:rPr>
          <w:rFonts w:ascii="Times New Roman" w:hAnsi="Times New Roman" w:cs="Times New Roman"/>
          <w:sz w:val="24"/>
          <w:szCs w:val="24"/>
        </w:rPr>
        <w:t xml:space="preserve"> nella sua </w:t>
      </w:r>
      <w:r w:rsidRPr="00096909">
        <w:rPr>
          <w:rFonts w:ascii="Times New Roman" w:hAnsi="Times New Roman" w:cs="Times New Roman"/>
          <w:i/>
          <w:sz w:val="24"/>
          <w:szCs w:val="24"/>
        </w:rPr>
        <w:t>Cronaca</w:t>
      </w:r>
      <w:r w:rsidRPr="00096909">
        <w:rPr>
          <w:rFonts w:ascii="Times New Roman" w:hAnsi="Times New Roman" w:cs="Times New Roman"/>
          <w:sz w:val="24"/>
          <w:szCs w:val="24"/>
        </w:rPr>
        <w:t xml:space="preserve"> l’arrivo a Mantova dell’ambasceria inviata dal duca di Baviera Alberto III il Pio per perfezionare l’accordo per le nozze tra sua figlia, Margherita di Wittelsbach, e Federico Gonzaga, primogenito di Ludovico II. L’unione con la casa regnante di Baviera, concordata l’8 settembre 1462, si inseriva nel quadro della politica dinastica intrapresa dai marchesi Gonzaga grazie alle relazioni eccellenti della madre dello sposo, Barbara Hohenzollern di Brandeburgo, con le famiglie dell’aristocrazia tedesca.</w:t>
      </w:r>
      <w:r w:rsidRPr="00096909">
        <w:rPr>
          <w:rStyle w:val="Rimandonotaapidipagina"/>
          <w:rFonts w:ascii="Times New Roman" w:hAnsi="Times New Roman" w:cs="Times New Roman"/>
          <w:sz w:val="24"/>
          <w:szCs w:val="24"/>
        </w:rPr>
        <w:footnoteReference w:id="616"/>
      </w:r>
      <w:r w:rsidRPr="00096909">
        <w:rPr>
          <w:rFonts w:ascii="Times New Roman" w:hAnsi="Times New Roman" w:cs="Times New Roman"/>
          <w:sz w:val="24"/>
          <w:szCs w:val="24"/>
        </w:rPr>
        <w:t xml:space="preserve"> </w:t>
      </w:r>
    </w:p>
    <w:p w14:paraId="33FCA782" w14:textId="56EFE2CC"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12 maggio un corteo, composto da circa 150 persone, guidato da Gian Francesco e Rodolfo Gonzaga, partì da Mantova alla volta di Innsbruck per andare a </w:t>
      </w:r>
      <w:r>
        <w:rPr>
          <w:rFonts w:ascii="Times New Roman" w:hAnsi="Times New Roman" w:cs="Times New Roman"/>
          <w:sz w:val="24"/>
          <w:szCs w:val="24"/>
        </w:rPr>
        <w:t>re</w:t>
      </w:r>
      <w:r w:rsidR="00873C8E">
        <w:rPr>
          <w:rFonts w:ascii="Times New Roman" w:hAnsi="Times New Roman" w:cs="Times New Roman"/>
          <w:sz w:val="24"/>
          <w:szCs w:val="24"/>
        </w:rPr>
        <w:t>n</w:t>
      </w:r>
      <w:r>
        <w:rPr>
          <w:rFonts w:ascii="Times New Roman" w:hAnsi="Times New Roman" w:cs="Times New Roman"/>
          <w:sz w:val="24"/>
          <w:szCs w:val="24"/>
        </w:rPr>
        <w:t xml:space="preserve">dere omaggio </w:t>
      </w:r>
      <w:r w:rsidR="002B240D">
        <w:rPr>
          <w:rFonts w:ascii="Times New Roman" w:hAnsi="Times New Roman" w:cs="Times New Roman"/>
          <w:sz w:val="24"/>
          <w:szCs w:val="24"/>
        </w:rPr>
        <w:t>al</w:t>
      </w:r>
      <w:r w:rsidRPr="00096909">
        <w:rPr>
          <w:rFonts w:ascii="Times New Roman" w:hAnsi="Times New Roman" w:cs="Times New Roman"/>
          <w:sz w:val="24"/>
          <w:szCs w:val="24"/>
        </w:rPr>
        <w:t>la principessa e</w:t>
      </w:r>
      <w:r w:rsidR="002B240D">
        <w:rPr>
          <w:rFonts w:ascii="Times New Roman" w:hAnsi="Times New Roman" w:cs="Times New Roman"/>
          <w:sz w:val="24"/>
          <w:szCs w:val="24"/>
        </w:rPr>
        <w:t xml:space="preserve"> per</w:t>
      </w:r>
      <w:r w:rsidRPr="00096909">
        <w:rPr>
          <w:rFonts w:ascii="Times New Roman" w:hAnsi="Times New Roman" w:cs="Times New Roman"/>
          <w:sz w:val="24"/>
          <w:szCs w:val="24"/>
        </w:rPr>
        <w:t xml:space="preserve"> accompagnarla poi in Italia. Una lettera di Gian Francesco alla marchesa Barbara contiene la precisa successione delle tappe dell’itinerario: 13 maggio Verona, 14 Trento, 15 Egna, 16 Bolzano, 17 Chiusa d’Isarco, 18 Bressanone-Vipiteno, 20 Innsbruck.</w:t>
      </w:r>
      <w:r w:rsidRPr="00096909">
        <w:rPr>
          <w:rStyle w:val="Rimandonotaapidipagina"/>
          <w:rFonts w:ascii="Times New Roman" w:hAnsi="Times New Roman" w:cs="Times New Roman"/>
          <w:sz w:val="24"/>
          <w:szCs w:val="24"/>
        </w:rPr>
        <w:footnoteReference w:id="617"/>
      </w:r>
      <w:r w:rsidRPr="00096909">
        <w:rPr>
          <w:rFonts w:ascii="Times New Roman" w:hAnsi="Times New Roman" w:cs="Times New Roman"/>
          <w:sz w:val="24"/>
          <w:szCs w:val="24"/>
        </w:rPr>
        <w:t xml:space="preserve"> Da qui, nel pomeriggio di martedì 24 maggio la delegazione gonzaghesca si mosse in direzione di Hall in Tirol</w:t>
      </w:r>
      <w:r>
        <w:rPr>
          <w:rFonts w:ascii="Times New Roman" w:hAnsi="Times New Roman" w:cs="Times New Roman"/>
          <w:sz w:val="24"/>
          <w:szCs w:val="24"/>
        </w:rPr>
        <w:t>o</w:t>
      </w:r>
      <w:r w:rsidRPr="00096909">
        <w:rPr>
          <w:rFonts w:ascii="Times New Roman" w:hAnsi="Times New Roman" w:cs="Times New Roman"/>
          <w:sz w:val="24"/>
          <w:szCs w:val="24"/>
        </w:rPr>
        <w:t xml:space="preserve"> per incontrare Margherita e i suoi accompagnatori e farle da scorta fino al castello di Sigismondo d’Asburgo, il quale offrì una generosa accoglienza alla sposa. Fu proprio il passaggio nelle terre del duca del Tirolo a fornire però una difficoltà d’ordine diplomatico. Egli era, infatti, incorso nell’interdetto </w:t>
      </w:r>
      <w:r w:rsidRPr="00096909">
        <w:rPr>
          <w:rFonts w:ascii="Times New Roman" w:hAnsi="Times New Roman" w:cs="Times New Roman"/>
          <w:sz w:val="24"/>
          <w:szCs w:val="24"/>
        </w:rPr>
        <w:lastRenderedPageBreak/>
        <w:t xml:space="preserve">di papa Pio II, </w:t>
      </w:r>
      <w:r>
        <w:rPr>
          <w:rFonts w:ascii="Times New Roman" w:hAnsi="Times New Roman" w:cs="Times New Roman"/>
          <w:sz w:val="24"/>
          <w:szCs w:val="24"/>
        </w:rPr>
        <w:t>provvedimento che</w:t>
      </w:r>
      <w:r w:rsidRPr="00096909">
        <w:rPr>
          <w:rFonts w:ascii="Times New Roman" w:hAnsi="Times New Roman" w:cs="Times New Roman"/>
          <w:sz w:val="24"/>
          <w:szCs w:val="24"/>
        </w:rPr>
        <w:t>, in ragione della partecipazione dei mantovani alla messa in quelle terre</w:t>
      </w:r>
      <w:r>
        <w:rPr>
          <w:rFonts w:ascii="Times New Roman" w:hAnsi="Times New Roman" w:cs="Times New Roman"/>
          <w:sz w:val="24"/>
          <w:szCs w:val="24"/>
        </w:rPr>
        <w:t>,</w:t>
      </w:r>
      <w:r w:rsidRPr="00096909">
        <w:rPr>
          <w:rFonts w:ascii="Times New Roman" w:hAnsi="Times New Roman" w:cs="Times New Roman"/>
          <w:sz w:val="24"/>
          <w:szCs w:val="24"/>
        </w:rPr>
        <w:t xml:space="preserve"> aveva colpito anche </w:t>
      </w:r>
      <w:r>
        <w:rPr>
          <w:rFonts w:ascii="Times New Roman" w:hAnsi="Times New Roman" w:cs="Times New Roman"/>
          <w:sz w:val="24"/>
          <w:szCs w:val="24"/>
        </w:rPr>
        <w:t>costoro</w:t>
      </w:r>
      <w:r w:rsidRPr="00096909">
        <w:rPr>
          <w:rFonts w:ascii="Times New Roman" w:hAnsi="Times New Roman" w:cs="Times New Roman"/>
          <w:sz w:val="24"/>
          <w:szCs w:val="24"/>
        </w:rPr>
        <w:t xml:space="preserve">. </w:t>
      </w:r>
    </w:p>
    <w:p w14:paraId="7EB2FD24"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Tuttavia, si ottenne dal papa la bolla che liberava il corteggio di Margherita dalla scomunica in tempo utile perché </w:t>
      </w:r>
      <w:r>
        <w:rPr>
          <w:rFonts w:ascii="Times New Roman" w:hAnsi="Times New Roman" w:cs="Times New Roman"/>
          <w:sz w:val="24"/>
          <w:szCs w:val="24"/>
        </w:rPr>
        <w:t xml:space="preserve">esso </w:t>
      </w:r>
      <w:r w:rsidRPr="00096909">
        <w:rPr>
          <w:rFonts w:ascii="Times New Roman" w:hAnsi="Times New Roman" w:cs="Times New Roman"/>
          <w:sz w:val="24"/>
          <w:szCs w:val="24"/>
        </w:rPr>
        <w:t>potesse rientrare nella città padana il 6 giugno per celebra</w:t>
      </w:r>
      <w:r w:rsidR="002C1D9C">
        <w:rPr>
          <w:rFonts w:ascii="Times New Roman" w:hAnsi="Times New Roman" w:cs="Times New Roman"/>
          <w:sz w:val="24"/>
          <w:szCs w:val="24"/>
        </w:rPr>
        <w:t>rvi</w:t>
      </w:r>
      <w:r w:rsidRPr="00096909">
        <w:rPr>
          <w:rFonts w:ascii="Times New Roman" w:hAnsi="Times New Roman" w:cs="Times New Roman"/>
          <w:sz w:val="24"/>
          <w:szCs w:val="24"/>
        </w:rPr>
        <w:t xml:space="preserve"> le nozze.</w:t>
      </w:r>
      <w:r w:rsidRPr="00096909">
        <w:rPr>
          <w:rStyle w:val="Rimandonotaapidipagina"/>
          <w:rFonts w:ascii="Times New Roman" w:hAnsi="Times New Roman" w:cs="Times New Roman"/>
          <w:sz w:val="24"/>
          <w:szCs w:val="24"/>
        </w:rPr>
        <w:footnoteReference w:id="618"/>
      </w:r>
      <w:r w:rsidRPr="00096909">
        <w:rPr>
          <w:rFonts w:ascii="Times New Roman" w:hAnsi="Times New Roman" w:cs="Times New Roman"/>
          <w:sz w:val="24"/>
          <w:szCs w:val="24"/>
        </w:rPr>
        <w:t xml:space="preserve"> Il 30 maggio la comitiva aveva intanto lasciato Innsbruck diretta a Bressanone e aveva raggiunto il 31 maggio Chiusa, il primo giugno Bolzano e il 2 giugno Egna. Qui erano state preparate delle zattere che avrebbero permesso di raggiungere Verona in un solo giorno, navigando sull’Adige. Questa soluzione fu però sconsigliata dal marchese Ludovico, che preferì che la delegazione proseguisse il viaggio via terra attraversando la Val d’Adige. Giovanni dalla Strada così descri</w:t>
      </w:r>
      <w:r>
        <w:rPr>
          <w:rFonts w:ascii="Times New Roman" w:hAnsi="Times New Roman" w:cs="Times New Roman"/>
          <w:sz w:val="24"/>
          <w:szCs w:val="24"/>
        </w:rPr>
        <w:t>sse,</w:t>
      </w:r>
      <w:r w:rsidRPr="00096909">
        <w:rPr>
          <w:rFonts w:ascii="Times New Roman" w:hAnsi="Times New Roman" w:cs="Times New Roman"/>
          <w:sz w:val="24"/>
          <w:szCs w:val="24"/>
        </w:rPr>
        <w:t xml:space="preserve"> infine</w:t>
      </w:r>
      <w:r>
        <w:rPr>
          <w:rFonts w:ascii="Times New Roman" w:hAnsi="Times New Roman" w:cs="Times New Roman"/>
          <w:sz w:val="24"/>
          <w:szCs w:val="24"/>
        </w:rPr>
        <w:t>,</w:t>
      </w:r>
      <w:r w:rsidRPr="00096909">
        <w:rPr>
          <w:rFonts w:ascii="Times New Roman" w:hAnsi="Times New Roman" w:cs="Times New Roman"/>
          <w:sz w:val="24"/>
          <w:szCs w:val="24"/>
        </w:rPr>
        <w:t xml:space="preserve"> a Barbara Gonzaga l’ingresso a Verona di domenica 5 giugno 1463: </w:t>
      </w:r>
    </w:p>
    <w:p w14:paraId="33A642E4"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p>
    <w:p w14:paraId="0C610590"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Illustrissima Madonna mia,</w:t>
      </w:r>
    </w:p>
    <w:p w14:paraId="011F2BE6"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p>
    <w:p w14:paraId="23E3CE14"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questa matina ne partissimo dal Borgheto [Borghetto d’Adige], dove però disnassemo, ma fòe molto a bonhora, et venissemo de qua da la Chiusa [di Rivoli Veronese] doe miglia, dove questa illustre sposa dismontòe cum tuta la brigata, et lì se fece colacione. Doppo se vestite de uno vestito de panno d’oro cremesino bello, a la foza de Alemagna, et in capo se mise trece d’oro molto belle cum una girlanda sopra de perle che, nel vero, staseva molto bene. Questi suoi l’hanno facta vestire a quella foza in lo intrare de Verona. Domane dice de vestirla a nostro modo, et l’un et l’altro glie sta bene. Caminassemo da qualche doa miglia, dove ritrovassemo di zovani più de 1000 che ne venìa contra ballando a la biva et facendo festa. Suxo la campagna, da ogni canto era piena et de donne et de homeni. </w:t>
      </w:r>
    </w:p>
    <w:p w14:paraId="75659F98"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Gli è venuto contra più de 4 miglia questo capitaneo cum più de 100 zoveni vestiti tuti de veluto qual, nel vero, fece reverentia assai a la sposa et a tutti li nostri. In el venire che ho facto mi ho incontrato de molti zentilhomeni che glie vanno contra. Tutti questi borgi de fora sono pieni de arbori che glie son sta’ messi a posta per le strate, et cussì de herbe. Tute le zentildonne de Verona sono in vescovato per riceverla. A mi pare certo che glie sia apparichiato da farli un grande honore. […].</w:t>
      </w:r>
      <w:r w:rsidRPr="00096909">
        <w:rPr>
          <w:rStyle w:val="Rimandonotaapidipagina"/>
          <w:rFonts w:ascii="Times New Roman" w:hAnsi="Times New Roman" w:cs="Times New Roman"/>
        </w:rPr>
        <w:footnoteReference w:id="619"/>
      </w:r>
      <w:r w:rsidRPr="00096909">
        <w:rPr>
          <w:rFonts w:ascii="Times New Roman" w:hAnsi="Times New Roman" w:cs="Times New Roman"/>
          <w:sz w:val="20"/>
          <w:szCs w:val="20"/>
        </w:rPr>
        <w:t xml:space="preserve">     </w:t>
      </w:r>
    </w:p>
    <w:p w14:paraId="56A876C0"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p>
    <w:p w14:paraId="17E094F8"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Il lunedì successivo Margherita raggiunse la residenza gonzaghesca di Belgioioso, nell’attuale comune di Curtato</w:t>
      </w:r>
      <w:r>
        <w:rPr>
          <w:rFonts w:ascii="Times New Roman" w:hAnsi="Times New Roman" w:cs="Times New Roman"/>
          <w:sz w:val="24"/>
          <w:szCs w:val="24"/>
        </w:rPr>
        <w:t>n</w:t>
      </w:r>
      <w:r w:rsidRPr="00096909">
        <w:rPr>
          <w:rFonts w:ascii="Times New Roman" w:hAnsi="Times New Roman" w:cs="Times New Roman"/>
          <w:sz w:val="24"/>
          <w:szCs w:val="24"/>
        </w:rPr>
        <w:t xml:space="preserve">e, da dove martedì 7 giugno si diresse a Mantova, entrandovi per la porta Pradella «cum grandissimo honor», come </w:t>
      </w:r>
      <w:r>
        <w:rPr>
          <w:rFonts w:ascii="Times New Roman" w:hAnsi="Times New Roman" w:cs="Times New Roman"/>
          <w:sz w:val="24"/>
          <w:szCs w:val="24"/>
        </w:rPr>
        <w:t xml:space="preserve">annotò </w:t>
      </w:r>
      <w:r w:rsidRPr="00096909">
        <w:rPr>
          <w:rFonts w:ascii="Times New Roman" w:hAnsi="Times New Roman" w:cs="Times New Roman"/>
          <w:sz w:val="24"/>
          <w:szCs w:val="24"/>
        </w:rPr>
        <w:t>Barabara Gonzaga in una missiva al cardinale Francesco.</w:t>
      </w:r>
      <w:r w:rsidRPr="00096909">
        <w:rPr>
          <w:rStyle w:val="Rimandonotaapidipagina"/>
          <w:rFonts w:ascii="Times New Roman" w:hAnsi="Times New Roman" w:cs="Times New Roman"/>
          <w:sz w:val="24"/>
          <w:szCs w:val="24"/>
        </w:rPr>
        <w:footnoteReference w:id="620"/>
      </w:r>
      <w:r w:rsidRPr="00096909">
        <w:rPr>
          <w:rFonts w:ascii="Times New Roman" w:hAnsi="Times New Roman" w:cs="Times New Roman"/>
          <w:sz w:val="24"/>
          <w:szCs w:val="24"/>
        </w:rPr>
        <w:t xml:space="preserve"> Risentita per l’assenza di Bianca Maria Visconti Sforza e di Niccolò III d’Este, la marchesa segnalava la presenza di due oratori veneziani, due fiorentini, due lucchesi, due senesi, oltre a una delegazione di 800 veneziani. In rappresentanza del ducato di Milano vi fu Galeazzo </w:t>
      </w:r>
      <w:r w:rsidRPr="00096909">
        <w:rPr>
          <w:rFonts w:ascii="Times New Roman" w:hAnsi="Times New Roman" w:cs="Times New Roman"/>
          <w:sz w:val="24"/>
          <w:szCs w:val="24"/>
        </w:rPr>
        <w:lastRenderedPageBreak/>
        <w:t xml:space="preserve">Maria Sforza, del quale i campioni </w:t>
      </w:r>
      <w:bookmarkStart w:id="469" w:name="_Hlk535961514"/>
      <w:r w:rsidRPr="00096909">
        <w:rPr>
          <w:rFonts w:ascii="Times New Roman" w:hAnsi="Times New Roman" w:cs="Times New Roman"/>
          <w:sz w:val="24"/>
          <w:szCs w:val="24"/>
        </w:rPr>
        <w:t xml:space="preserve">Giampietro del Bergamino </w:t>
      </w:r>
      <w:bookmarkEnd w:id="469"/>
      <w:r w:rsidRPr="00096909">
        <w:rPr>
          <w:rFonts w:ascii="Times New Roman" w:hAnsi="Times New Roman" w:cs="Times New Roman"/>
          <w:sz w:val="24"/>
          <w:szCs w:val="24"/>
        </w:rPr>
        <w:t>e Giacomo da Parma vinsero la giostra disputata l’8 e 9 giugno in onore delle nozze.</w:t>
      </w:r>
      <w:r w:rsidRPr="00096909">
        <w:rPr>
          <w:rStyle w:val="Rimandonotaapidipagina"/>
          <w:rFonts w:ascii="Times New Roman" w:hAnsi="Times New Roman" w:cs="Times New Roman"/>
          <w:sz w:val="24"/>
          <w:szCs w:val="24"/>
        </w:rPr>
        <w:footnoteReference w:id="621"/>
      </w:r>
      <w:r w:rsidRPr="00096909">
        <w:rPr>
          <w:rFonts w:ascii="Times New Roman" w:hAnsi="Times New Roman" w:cs="Times New Roman"/>
          <w:sz w:val="24"/>
          <w:szCs w:val="24"/>
        </w:rPr>
        <w:t xml:space="preserve"> </w:t>
      </w:r>
    </w:p>
    <w:p w14:paraId="1DBFB32E"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Purtroppo, la documentazione pervenuta sullo sposalizio è priva d</w:t>
      </w:r>
      <w:r>
        <w:rPr>
          <w:rFonts w:ascii="Times New Roman" w:hAnsi="Times New Roman" w:cs="Times New Roman"/>
          <w:sz w:val="24"/>
          <w:szCs w:val="24"/>
        </w:rPr>
        <w:t>’</w:t>
      </w:r>
      <w:r w:rsidRPr="00096909">
        <w:rPr>
          <w:rFonts w:ascii="Times New Roman" w:hAnsi="Times New Roman" w:cs="Times New Roman"/>
          <w:sz w:val="24"/>
          <w:szCs w:val="24"/>
        </w:rPr>
        <w:t>informazioni sulla decorazione delle vie mantovane in quelle giornate e riguardo ai banchetti imbanditi si limita a menzionare la presenza di musici per l’esecuzione delle danze.</w:t>
      </w:r>
      <w:r w:rsidRPr="00096909">
        <w:rPr>
          <w:rStyle w:val="Rimandonotaapidipagina"/>
          <w:rFonts w:ascii="Times New Roman" w:hAnsi="Times New Roman" w:cs="Times New Roman"/>
          <w:sz w:val="24"/>
          <w:szCs w:val="24"/>
        </w:rPr>
        <w:footnoteReference w:id="622"/>
      </w:r>
      <w:r w:rsidRPr="00096909">
        <w:rPr>
          <w:rFonts w:ascii="Times New Roman" w:hAnsi="Times New Roman" w:cs="Times New Roman"/>
          <w:sz w:val="24"/>
          <w:szCs w:val="24"/>
        </w:rPr>
        <w:t xml:space="preserve"> Se poi le lettere dei diplomatici sono concordi nel descrivere il piacevole aspetto di Margherita, solo il pungente Schivenoglia non tralasci</w:t>
      </w:r>
      <w:r>
        <w:rPr>
          <w:rFonts w:ascii="Times New Roman" w:hAnsi="Times New Roman" w:cs="Times New Roman"/>
          <w:sz w:val="24"/>
          <w:szCs w:val="24"/>
        </w:rPr>
        <w:t>ò</w:t>
      </w:r>
      <w:r w:rsidRPr="00096909">
        <w:rPr>
          <w:rFonts w:ascii="Times New Roman" w:hAnsi="Times New Roman" w:cs="Times New Roman"/>
          <w:sz w:val="24"/>
          <w:szCs w:val="24"/>
        </w:rPr>
        <w:t xml:space="preserve"> di annotare come ella fosse «de persona pizola, biancha e graxela de volto et non savia parlare niente taliano et vene con leij asaij todeschij e todesche e vene tute vestite de rosso, zoe de panij grossi et de bruto cholore».</w:t>
      </w:r>
      <w:r w:rsidRPr="00096909">
        <w:rPr>
          <w:rStyle w:val="Rimandonotaapidipagina"/>
          <w:rFonts w:ascii="Times New Roman" w:hAnsi="Times New Roman" w:cs="Times New Roman"/>
          <w:sz w:val="24"/>
          <w:szCs w:val="24"/>
        </w:rPr>
        <w:footnoteReference w:id="623"/>
      </w:r>
      <w:r w:rsidRPr="00096909">
        <w:rPr>
          <w:rFonts w:ascii="Times New Roman" w:hAnsi="Times New Roman" w:cs="Times New Roman"/>
          <w:sz w:val="24"/>
          <w:szCs w:val="24"/>
        </w:rPr>
        <w:t xml:space="preserve"> </w:t>
      </w:r>
    </w:p>
    <w:p w14:paraId="5E49B151"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A</w:t>
      </w:r>
      <w:r w:rsidRPr="00096909">
        <w:rPr>
          <w:rFonts w:ascii="Times New Roman" w:hAnsi="Times New Roman" w:cs="Times New Roman"/>
          <w:sz w:val="24"/>
          <w:szCs w:val="24"/>
        </w:rPr>
        <w:t>ttirato dallo spettacolo dell’ingresso cittadino del corteo,</w:t>
      </w:r>
      <w:r>
        <w:rPr>
          <w:rFonts w:ascii="Times New Roman" w:hAnsi="Times New Roman" w:cs="Times New Roman"/>
          <w:sz w:val="24"/>
          <w:szCs w:val="24"/>
        </w:rPr>
        <w:t xml:space="preserve"> il cronista</w:t>
      </w:r>
      <w:r w:rsidRPr="00096909">
        <w:rPr>
          <w:rFonts w:ascii="Times New Roman" w:hAnsi="Times New Roman" w:cs="Times New Roman"/>
          <w:sz w:val="24"/>
          <w:szCs w:val="24"/>
        </w:rPr>
        <w:t xml:space="preserve"> si concentrò nuovamente sulla differenza dei costumi e delle usanze della delegazione della corte di Baviera, dalla quale provenivano i numerosi musici che avevano destato la sua ammirazione. Quanto alle vicende organizzative del viaggio della delegazione mantovana, che si servì di un itinerario abbastanza usuale lungo la via del Brennero per raggiungere Innsbruck,</w:t>
      </w:r>
      <w:r w:rsidRPr="00096909">
        <w:rPr>
          <w:rStyle w:val="Rimandonotaapidipagina"/>
          <w:rFonts w:ascii="Times New Roman" w:hAnsi="Times New Roman" w:cs="Times New Roman"/>
          <w:sz w:val="24"/>
          <w:szCs w:val="24"/>
        </w:rPr>
        <w:footnoteReference w:id="624"/>
      </w:r>
      <w:r w:rsidRPr="00096909">
        <w:rPr>
          <w:rFonts w:ascii="Times New Roman" w:hAnsi="Times New Roman" w:cs="Times New Roman"/>
          <w:sz w:val="24"/>
          <w:szCs w:val="24"/>
        </w:rPr>
        <w:t xml:space="preserve"> va notato lo sforzo diplomatico richiesto al cardinale Francesco Gonzaga e all’oratore mantovano presso la corte papale, Bartolomeo Bonatti, per ottenere la revoca della scomunica che aveva colpito la comitiva di Margherita. L’interdetto ecclesiastico sull’intera delegazione diplomatica dovette essere un fatto alquanto singolare nell’Italia rinascimentale, ma altre difficoltà potevano attendere le spose che attraversarono la Penisola nell’epoca di cui trattiamo, soprattutto nel caso in cui il loro passaggio avvenisse in anni interessati dal cambiamento di equilibri politici internazionali.   </w:t>
      </w:r>
    </w:p>
    <w:p w14:paraId="4C2466D0"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Ad esempio, i</w:t>
      </w:r>
      <w:r w:rsidRPr="00096909">
        <w:rPr>
          <w:rFonts w:ascii="Times New Roman" w:hAnsi="Times New Roman" w:cs="Times New Roman"/>
          <w:sz w:val="24"/>
          <w:szCs w:val="24"/>
        </w:rPr>
        <w:t>l viaggio con cui Ippolita Sforza, sposa di Alfonso di Calabria, raggiunse Napoli nell’estate del 1465 fu scandito da tappe che avevano l’evidente scopo di rendere manifesti</w:t>
      </w:r>
      <w:r>
        <w:rPr>
          <w:rFonts w:ascii="Times New Roman" w:hAnsi="Times New Roman" w:cs="Times New Roman"/>
          <w:sz w:val="24"/>
          <w:szCs w:val="24"/>
        </w:rPr>
        <w:t>:</w:t>
      </w:r>
      <w:r w:rsidRPr="00096909">
        <w:rPr>
          <w:rFonts w:ascii="Times New Roman" w:hAnsi="Times New Roman" w:cs="Times New Roman"/>
          <w:sz w:val="24"/>
          <w:szCs w:val="24"/>
        </w:rPr>
        <w:t xml:space="preserve"> l’alleanza delle famiglie Sforza e Aragona; il riconoscimento da parte delle città ospiti della legittimità del potere di Francesco I su Milano e di re Ferrante su Napoli – una volta conclusa la guerra degli anni 1459-1464 per la successione ad Alfonso il Magnanimo –;</w:t>
      </w:r>
      <w:r>
        <w:rPr>
          <w:rFonts w:ascii="Times New Roman" w:hAnsi="Times New Roman" w:cs="Times New Roman"/>
          <w:sz w:val="24"/>
          <w:szCs w:val="24"/>
        </w:rPr>
        <w:t xml:space="preserve"> e</w:t>
      </w:r>
      <w:r w:rsidRPr="00096909">
        <w:rPr>
          <w:rFonts w:ascii="Times New Roman" w:hAnsi="Times New Roman" w:cs="Times New Roman"/>
          <w:sz w:val="24"/>
          <w:szCs w:val="24"/>
        </w:rPr>
        <w:t xml:space="preserve"> l’approvazione della politica di pacificazione e mantenimento degli equilibri sanciti dalla Pace di Lodi, che </w:t>
      </w:r>
      <w:r>
        <w:rPr>
          <w:rFonts w:ascii="Times New Roman" w:hAnsi="Times New Roman" w:cs="Times New Roman"/>
          <w:sz w:val="24"/>
          <w:szCs w:val="24"/>
        </w:rPr>
        <w:t>aveva</w:t>
      </w:r>
      <w:r w:rsidRPr="00096909">
        <w:rPr>
          <w:rFonts w:ascii="Times New Roman" w:hAnsi="Times New Roman" w:cs="Times New Roman"/>
          <w:sz w:val="24"/>
          <w:szCs w:val="24"/>
        </w:rPr>
        <w:t xml:space="preserve"> per </w:t>
      </w:r>
      <w:r w:rsidRPr="00096909">
        <w:rPr>
          <w:rFonts w:ascii="Times New Roman" w:hAnsi="Times New Roman" w:cs="Times New Roman"/>
          <w:sz w:val="24"/>
          <w:szCs w:val="24"/>
        </w:rPr>
        <w:lastRenderedPageBreak/>
        <w:t>garante lo stesso duca Sforza.</w:t>
      </w:r>
      <w:r w:rsidRPr="00096909">
        <w:rPr>
          <w:rStyle w:val="Rimandonotaapidipagina"/>
          <w:rFonts w:ascii="Times New Roman" w:hAnsi="Times New Roman" w:cs="Times New Roman"/>
          <w:sz w:val="24"/>
          <w:szCs w:val="24"/>
        </w:rPr>
        <w:footnoteReference w:id="625"/>
      </w:r>
      <w:r w:rsidRPr="00096909">
        <w:rPr>
          <w:rFonts w:ascii="Times New Roman" w:hAnsi="Times New Roman" w:cs="Times New Roman"/>
          <w:sz w:val="24"/>
          <w:szCs w:val="24"/>
        </w:rPr>
        <w:t xml:space="preserve"> In preparazione dell’evento, nel marzo del 1465 fu inviato dalla corte di Milano un </w:t>
      </w:r>
      <w:r w:rsidRPr="00096909">
        <w:rPr>
          <w:rFonts w:ascii="Times New Roman" w:hAnsi="Times New Roman" w:cs="Times New Roman"/>
          <w:i/>
          <w:sz w:val="24"/>
          <w:szCs w:val="24"/>
        </w:rPr>
        <w:t xml:space="preserve">Ricordo fatto al Magnifico don Antonio Cincinello, </w:t>
      </w:r>
      <w:r w:rsidRPr="00096909">
        <w:rPr>
          <w:rFonts w:ascii="Times New Roman" w:hAnsi="Times New Roman" w:cs="Times New Roman"/>
          <w:sz w:val="24"/>
          <w:szCs w:val="24"/>
        </w:rPr>
        <w:t>nel quale si raccomandava all’informatore sforzesco di comunicare per tempo la data scelta dalla delegazione aragonese per partire alla volta del capoluogo lombardo al fine di incontrare Ippolita e accompagnarla alla sua nuova città.</w:t>
      </w:r>
      <w:r w:rsidRPr="00096909">
        <w:rPr>
          <w:rStyle w:val="Rimandonotaapidipagina"/>
          <w:rFonts w:ascii="Times New Roman" w:hAnsi="Times New Roman" w:cs="Times New Roman"/>
          <w:sz w:val="24"/>
          <w:szCs w:val="24"/>
        </w:rPr>
        <w:footnoteReference w:id="626"/>
      </w:r>
      <w:r w:rsidRPr="00096909">
        <w:rPr>
          <w:rFonts w:ascii="Times New Roman" w:hAnsi="Times New Roman" w:cs="Times New Roman"/>
          <w:sz w:val="24"/>
          <w:szCs w:val="24"/>
        </w:rPr>
        <w:t xml:space="preserve"> Si aggiornava inoltre l’ambasciatore di come i fratelli della sposa, Filippo e Sforza Maria, sarebbero giunti a Napoli per lo sposalizio con un seguito di almeno 500 cavalli e si domandavano informazioni su quante persone avrebbero composto il corteggio di Federico d’Aragona, figlio adolescente di re Ferrante, eletto capo della delegazione napoletana.</w:t>
      </w:r>
      <w:r w:rsidRPr="00096909">
        <w:rPr>
          <w:rStyle w:val="Rimandonotaapidipagina"/>
          <w:rFonts w:ascii="Times New Roman" w:hAnsi="Times New Roman" w:cs="Times New Roman"/>
          <w:sz w:val="24"/>
          <w:szCs w:val="24"/>
        </w:rPr>
        <w:footnoteReference w:id="627"/>
      </w:r>
      <w:r w:rsidRPr="00096909">
        <w:rPr>
          <w:rFonts w:ascii="Times New Roman" w:hAnsi="Times New Roman" w:cs="Times New Roman"/>
          <w:sz w:val="24"/>
          <w:szCs w:val="24"/>
        </w:rPr>
        <w:t xml:space="preserve"> Era, infatti, necessario che la delegazione milanese fosse all’altezza di quella aragonese, dal momento che nella medesima occasione Sforza Maria Sforza avrebbe sposato a Napoli Eleonora d’Aragona.</w:t>
      </w:r>
      <w:r w:rsidRPr="00096909">
        <w:rPr>
          <w:rStyle w:val="Rimandonotaapidipagina"/>
          <w:rFonts w:ascii="Times New Roman" w:hAnsi="Times New Roman" w:cs="Times New Roman"/>
          <w:sz w:val="24"/>
          <w:szCs w:val="24"/>
        </w:rPr>
        <w:footnoteReference w:id="628"/>
      </w:r>
    </w:p>
    <w:p w14:paraId="2B89131A"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Anche Ferrante I dovette considerare lo sposalizio evento di </w:t>
      </w:r>
      <w:r>
        <w:rPr>
          <w:rFonts w:ascii="Times New Roman" w:hAnsi="Times New Roman" w:cs="Times New Roman"/>
          <w:sz w:val="24"/>
          <w:szCs w:val="24"/>
        </w:rPr>
        <w:t xml:space="preserve">alta </w:t>
      </w:r>
      <w:r w:rsidRPr="00096909">
        <w:rPr>
          <w:rFonts w:ascii="Times New Roman" w:hAnsi="Times New Roman" w:cs="Times New Roman"/>
          <w:sz w:val="24"/>
          <w:szCs w:val="24"/>
        </w:rPr>
        <w:t>rilevanza diplomatica, al punto da mandare nel novembre del 1464 un’ambasceria a Luigi XI di Francia, a Edoardo IV d’Inghilterra e al duca di Borgogna Filippo il Buono per presentare inviti ufficiali alle nozze. Una missiva di Francesco Sforza al suo ambasciatore residente alla corte francese, Alberico Maletta, informa di come il duca, trovandosi a ricevere l’inviato di Ferrante a Milano, inteso lo scopo del viaggio e reputando troppo arditi gli inviti del re aragonese, avesse deciso di rispedire a Napoli il messaggero.</w:t>
      </w:r>
      <w:r w:rsidRPr="00096909">
        <w:rPr>
          <w:rStyle w:val="Rimandonotaapidipagina"/>
          <w:rFonts w:ascii="Times New Roman" w:hAnsi="Times New Roman" w:cs="Times New Roman"/>
          <w:sz w:val="24"/>
          <w:szCs w:val="24"/>
        </w:rPr>
        <w:footnoteReference w:id="629"/>
      </w:r>
      <w:r w:rsidRPr="00096909">
        <w:rPr>
          <w:rFonts w:ascii="Times New Roman" w:hAnsi="Times New Roman" w:cs="Times New Roman"/>
          <w:sz w:val="24"/>
          <w:szCs w:val="24"/>
        </w:rPr>
        <w:t xml:space="preserve"> Egli temeva, infatti, che la proposta di presenziare all’evento avrebbe infastidito Luigi XI, sia perché da poco si erano concluse le guerre di successione al trono di Napoli che </w:t>
      </w:r>
      <w:r w:rsidRPr="00096909">
        <w:rPr>
          <w:rFonts w:ascii="Times New Roman" w:hAnsi="Times New Roman" w:cs="Times New Roman"/>
          <w:sz w:val="24"/>
          <w:szCs w:val="24"/>
        </w:rPr>
        <w:lastRenderedPageBreak/>
        <w:t>avrebbero potuto decretare il passaggio di quelle terre agli angioini, sia perché gli altri due nobili invitati cui era rivolta l’ambasceria non erano certo, in quegli anni, tra i migliori alleati del re.</w:t>
      </w:r>
      <w:r w:rsidRPr="00096909">
        <w:rPr>
          <w:rStyle w:val="Rimandonotaapidipagina"/>
          <w:rFonts w:ascii="Times New Roman" w:hAnsi="Times New Roman" w:cs="Times New Roman"/>
          <w:sz w:val="24"/>
          <w:szCs w:val="24"/>
        </w:rPr>
        <w:footnoteReference w:id="630"/>
      </w:r>
      <w:r w:rsidRPr="00096909">
        <w:rPr>
          <w:rFonts w:ascii="Times New Roman" w:hAnsi="Times New Roman" w:cs="Times New Roman"/>
          <w:sz w:val="24"/>
          <w:szCs w:val="24"/>
        </w:rPr>
        <w:t xml:space="preserve"> </w:t>
      </w:r>
    </w:p>
    <w:p w14:paraId="44AEA89B"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Celebrate le nozze per procura a Milano, ai primi di giugno il fastoso corteo di Ippolita iniziò la sua marcia. La prima sosta sulla quale è pervenuta documentazione si svolse a Bologna, tra il 17 e il 19 giugno 1465. La città aveva da poco ricevuto una risposta negativa da papa Paolo II al rinnovo dei capitoli del 1447 che ne regolavano il reg</w:t>
      </w:r>
      <w:r>
        <w:rPr>
          <w:rFonts w:ascii="Times New Roman" w:hAnsi="Times New Roman" w:cs="Times New Roman"/>
          <w:sz w:val="24"/>
          <w:szCs w:val="24"/>
        </w:rPr>
        <w:t>g</w:t>
      </w:r>
      <w:r w:rsidRPr="00096909">
        <w:rPr>
          <w:rFonts w:ascii="Times New Roman" w:hAnsi="Times New Roman" w:cs="Times New Roman"/>
          <w:sz w:val="24"/>
          <w:szCs w:val="24"/>
        </w:rPr>
        <w:t>imento. I Bentivoglio, la cui autorità era pertanto messa in dubbio dai rivali Malvezzi e dalle famiglie dell’oligarchia locale, attendevano un deciso intervento in loro favore da parte di Francesco Sforza, che indugiava ancora sul da farsi. A tal proposito, nell’</w:t>
      </w:r>
      <w:r w:rsidRPr="00096909">
        <w:rPr>
          <w:rFonts w:ascii="Times New Roman" w:hAnsi="Times New Roman" w:cs="Times New Roman"/>
          <w:i/>
          <w:sz w:val="24"/>
          <w:szCs w:val="24"/>
        </w:rPr>
        <w:t>Instructione</w:t>
      </w:r>
      <w:r w:rsidRPr="00096909">
        <w:rPr>
          <w:rFonts w:ascii="Times New Roman" w:hAnsi="Times New Roman" w:cs="Times New Roman"/>
          <w:sz w:val="24"/>
          <w:szCs w:val="24"/>
        </w:rPr>
        <w:t xml:space="preserve"> redatta per gli accompagnatori di Ippolita il duca raccomandava di rendere omaggi tanto ai Bentivoglio quanto ai Malvezzi, che parimenti si spartirono l’onore di ospitare i membri della famiglia Sforza durante la sosta: la sposa e le sue dame alloggiarono presso il palazzo di Giovanni II, mentre Filippo e Sforza Maria in casa di Virgilio Malvezzi.</w:t>
      </w:r>
      <w:r w:rsidRPr="00096909">
        <w:rPr>
          <w:rStyle w:val="Rimandonotaapidipagina"/>
          <w:rFonts w:ascii="Times New Roman" w:hAnsi="Times New Roman" w:cs="Times New Roman"/>
          <w:sz w:val="24"/>
          <w:szCs w:val="24"/>
        </w:rPr>
        <w:footnoteReference w:id="631"/>
      </w:r>
      <w:r w:rsidRPr="00096909">
        <w:rPr>
          <w:rFonts w:ascii="Times New Roman" w:hAnsi="Times New Roman" w:cs="Times New Roman"/>
          <w:sz w:val="24"/>
          <w:szCs w:val="24"/>
        </w:rPr>
        <w:t xml:space="preserve"> </w:t>
      </w:r>
    </w:p>
    <w:p w14:paraId="7B872C2E"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w:t>
      </w:r>
      <w:r w:rsidRPr="00096909">
        <w:rPr>
          <w:rFonts w:ascii="Times New Roman" w:hAnsi="Times New Roman" w:cs="Times New Roman"/>
          <w:i/>
          <w:sz w:val="24"/>
          <w:szCs w:val="24"/>
        </w:rPr>
        <w:t>Diario bolognese</w:t>
      </w:r>
      <w:r w:rsidRPr="00096909">
        <w:rPr>
          <w:rFonts w:ascii="Times New Roman" w:hAnsi="Times New Roman" w:cs="Times New Roman"/>
          <w:sz w:val="24"/>
          <w:szCs w:val="24"/>
        </w:rPr>
        <w:t xml:space="preserve"> di Gaspare Nadi registra che in onore del soggiorno della sposa, ricevuta alla porta d</w:t>
      </w:r>
      <w:r>
        <w:rPr>
          <w:rFonts w:ascii="Times New Roman" w:hAnsi="Times New Roman" w:cs="Times New Roman"/>
          <w:sz w:val="24"/>
          <w:szCs w:val="24"/>
        </w:rPr>
        <w:t>i Bologna</w:t>
      </w:r>
      <w:r w:rsidRPr="00096909">
        <w:rPr>
          <w:rFonts w:ascii="Times New Roman" w:hAnsi="Times New Roman" w:cs="Times New Roman"/>
          <w:sz w:val="24"/>
          <w:szCs w:val="24"/>
        </w:rPr>
        <w:t xml:space="preserve"> al suono delle campane, fu corso «un palio per la porta de stra’ san Donà»,</w:t>
      </w:r>
      <w:r w:rsidRPr="00096909">
        <w:rPr>
          <w:rStyle w:val="Rimandonotaapidipagina"/>
          <w:rFonts w:ascii="Times New Roman" w:hAnsi="Times New Roman" w:cs="Times New Roman"/>
          <w:sz w:val="24"/>
          <w:szCs w:val="24"/>
        </w:rPr>
        <w:footnoteReference w:id="632"/>
      </w:r>
      <w:r w:rsidRPr="00096909">
        <w:rPr>
          <w:rFonts w:ascii="Times New Roman" w:hAnsi="Times New Roman" w:cs="Times New Roman"/>
          <w:sz w:val="24"/>
          <w:szCs w:val="24"/>
        </w:rPr>
        <w:t xml:space="preserve"> mentre il domenicano </w:t>
      </w:r>
      <w:bookmarkStart w:id="471" w:name="_Hlk535962375"/>
      <w:r w:rsidRPr="00096909">
        <w:rPr>
          <w:rFonts w:ascii="Times New Roman" w:hAnsi="Times New Roman" w:cs="Times New Roman"/>
          <w:sz w:val="24"/>
          <w:szCs w:val="24"/>
        </w:rPr>
        <w:t xml:space="preserve">Girolamo Albertucci de’ Borselli </w:t>
      </w:r>
      <w:bookmarkEnd w:id="471"/>
      <w:r w:rsidRPr="00096909">
        <w:rPr>
          <w:rFonts w:ascii="Times New Roman" w:hAnsi="Times New Roman" w:cs="Times New Roman"/>
          <w:sz w:val="24"/>
          <w:szCs w:val="24"/>
        </w:rPr>
        <w:t xml:space="preserve">nella sua </w:t>
      </w:r>
      <w:r w:rsidRPr="00096909">
        <w:rPr>
          <w:rFonts w:ascii="Times New Roman" w:hAnsi="Times New Roman" w:cs="Times New Roman"/>
          <w:i/>
          <w:sz w:val="24"/>
          <w:szCs w:val="24"/>
        </w:rPr>
        <w:t>Cronica gestorum civitatis Bononie</w:t>
      </w:r>
      <w:r w:rsidRPr="00096909">
        <w:rPr>
          <w:rFonts w:ascii="Times New Roman" w:hAnsi="Times New Roman" w:cs="Times New Roman"/>
          <w:sz w:val="24"/>
          <w:szCs w:val="24"/>
        </w:rPr>
        <w:t xml:space="preserve"> riportò la notizia di un banchetto cui presenziò la principessa nella residenza di </w:t>
      </w:r>
      <w:bookmarkStart w:id="472" w:name="_Hlk535962560"/>
      <w:r w:rsidRPr="00096909">
        <w:rPr>
          <w:rFonts w:ascii="Times New Roman" w:hAnsi="Times New Roman" w:cs="Times New Roman"/>
          <w:sz w:val="24"/>
          <w:szCs w:val="24"/>
        </w:rPr>
        <w:t>Galeazzo Marescotti</w:t>
      </w:r>
      <w:bookmarkEnd w:id="472"/>
      <w:r w:rsidRPr="00096909">
        <w:rPr>
          <w:rFonts w:ascii="Times New Roman" w:hAnsi="Times New Roman" w:cs="Times New Roman"/>
          <w:sz w:val="24"/>
          <w:szCs w:val="24"/>
        </w:rPr>
        <w:t>, fedele sostenitore del partito bentivolesco. La fazione volle dunque primeggiare nell’offrire migliori accoglienze alla Sforza.</w:t>
      </w:r>
      <w:r w:rsidRPr="00096909">
        <w:rPr>
          <w:rStyle w:val="Rimandonotaapidipagina"/>
          <w:rFonts w:ascii="Times New Roman" w:hAnsi="Times New Roman" w:cs="Times New Roman"/>
          <w:sz w:val="24"/>
          <w:szCs w:val="24"/>
        </w:rPr>
        <w:footnoteReference w:id="633"/>
      </w:r>
    </w:p>
    <w:p w14:paraId="0BB6D3CE"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Successivamente, da sabato 22 a giovedì 27 giugno 1465 Ippolita, Federico d’Aragona e i loro cortigiani furono ospiti della Repubblica di Firenze, che accolse la sposa nel corso delle feste patronali per san Giovanni Battista. Il suo soggiorno </w:t>
      </w:r>
      <w:r>
        <w:rPr>
          <w:rFonts w:ascii="Times New Roman" w:hAnsi="Times New Roman" w:cs="Times New Roman"/>
          <w:sz w:val="24"/>
          <w:szCs w:val="24"/>
        </w:rPr>
        <w:t>fu</w:t>
      </w:r>
      <w:r w:rsidRPr="00096909">
        <w:rPr>
          <w:rFonts w:ascii="Times New Roman" w:hAnsi="Times New Roman" w:cs="Times New Roman"/>
          <w:sz w:val="24"/>
          <w:szCs w:val="24"/>
        </w:rPr>
        <w:t xml:space="preserve"> annotato sinteticamente dall’araldo della Repubblica Francesco Filarete nel </w:t>
      </w:r>
      <w:r w:rsidRPr="00096909">
        <w:rPr>
          <w:rFonts w:ascii="Times New Roman" w:hAnsi="Times New Roman" w:cs="Times New Roman"/>
          <w:i/>
          <w:sz w:val="24"/>
          <w:szCs w:val="24"/>
        </w:rPr>
        <w:t>Liber Cerimonialis</w:t>
      </w:r>
      <w:r w:rsidRPr="00096909">
        <w:rPr>
          <w:rFonts w:ascii="Times New Roman" w:hAnsi="Times New Roman" w:cs="Times New Roman"/>
          <w:sz w:val="24"/>
          <w:szCs w:val="24"/>
        </w:rPr>
        <w:t>, dal quale apprendiamo come la principessa avesse alloggiato presso il palazzo della famiglia Medici.</w:t>
      </w:r>
      <w:r w:rsidRPr="00096909">
        <w:rPr>
          <w:rStyle w:val="Rimandonotaapidipagina"/>
          <w:rFonts w:ascii="Times New Roman" w:hAnsi="Times New Roman" w:cs="Times New Roman"/>
          <w:sz w:val="24"/>
          <w:szCs w:val="24"/>
        </w:rPr>
        <w:footnoteReference w:id="634"/>
      </w:r>
      <w:r w:rsidRPr="00096909">
        <w:rPr>
          <w:rFonts w:ascii="Times New Roman" w:hAnsi="Times New Roman" w:cs="Times New Roman"/>
          <w:sz w:val="24"/>
          <w:szCs w:val="24"/>
        </w:rPr>
        <w:t xml:space="preserve"> </w:t>
      </w:r>
    </w:p>
    <w:p w14:paraId="7FE8394F"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Una lettera parzialmente inedita di Nicodemo Tranchedini al duca di Milano fornisce</w:t>
      </w:r>
      <w:r>
        <w:rPr>
          <w:rFonts w:ascii="Times New Roman" w:hAnsi="Times New Roman" w:cs="Times New Roman"/>
          <w:sz w:val="24"/>
          <w:szCs w:val="24"/>
        </w:rPr>
        <w:t xml:space="preserve"> anche</w:t>
      </w:r>
      <w:r w:rsidRPr="00096909">
        <w:rPr>
          <w:rFonts w:ascii="Times New Roman" w:hAnsi="Times New Roman" w:cs="Times New Roman"/>
          <w:sz w:val="24"/>
          <w:szCs w:val="24"/>
        </w:rPr>
        <w:t xml:space="preserve"> </w:t>
      </w:r>
      <w:r>
        <w:rPr>
          <w:rFonts w:ascii="Times New Roman" w:hAnsi="Times New Roman" w:cs="Times New Roman"/>
          <w:sz w:val="24"/>
          <w:szCs w:val="24"/>
        </w:rPr>
        <w:t>qualche</w:t>
      </w:r>
      <w:r w:rsidRPr="00096909">
        <w:rPr>
          <w:rFonts w:ascii="Times New Roman" w:hAnsi="Times New Roman" w:cs="Times New Roman"/>
          <w:sz w:val="24"/>
          <w:szCs w:val="24"/>
        </w:rPr>
        <w:t xml:space="preserve"> informazion</w:t>
      </w:r>
      <w:r>
        <w:rPr>
          <w:rFonts w:ascii="Times New Roman" w:hAnsi="Times New Roman" w:cs="Times New Roman"/>
          <w:sz w:val="24"/>
          <w:szCs w:val="24"/>
        </w:rPr>
        <w:t>e</w:t>
      </w:r>
      <w:r w:rsidRPr="00096909">
        <w:rPr>
          <w:rFonts w:ascii="Times New Roman" w:hAnsi="Times New Roman" w:cs="Times New Roman"/>
          <w:sz w:val="24"/>
          <w:szCs w:val="24"/>
        </w:rPr>
        <w:t xml:space="preserve"> sugli intrattenimenti organizzati in quei giorni:</w:t>
      </w:r>
      <w:r w:rsidRPr="00096909">
        <w:rPr>
          <w:rStyle w:val="Rimandonotaapidipagina"/>
          <w:rFonts w:ascii="Times New Roman" w:hAnsi="Times New Roman" w:cs="Times New Roman"/>
          <w:sz w:val="24"/>
          <w:szCs w:val="24"/>
        </w:rPr>
        <w:footnoteReference w:id="635"/>
      </w:r>
      <w:r w:rsidRPr="00096909">
        <w:rPr>
          <w:rFonts w:ascii="Times New Roman" w:hAnsi="Times New Roman" w:cs="Times New Roman"/>
          <w:sz w:val="24"/>
          <w:szCs w:val="24"/>
        </w:rPr>
        <w:t xml:space="preserve"> il 23 giugno, dopo aver assistito alla messa nella chiesa della Santissima Annunziata e aver preso parte a un convito, Ippolita volle visitare lo Spedale degli Innocenti. Sulla piazza antistante ella ammirò poi le acrobazie del funambolo maestro Stefano</w:t>
      </w:r>
      <w:r w:rsidRPr="003A2C72">
        <w:rPr>
          <w:rFonts w:ascii="Times New Roman" w:hAnsi="Times New Roman" w:cs="Times New Roman"/>
          <w:sz w:val="24"/>
          <w:szCs w:val="24"/>
        </w:rPr>
        <w:t>; e nel pomeriggio le fu offerto lo spettacolo di una caccia ad alcuni leoni in un luogo non precisato della città</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636"/>
      </w:r>
      <w:r w:rsidRPr="00096909">
        <w:rPr>
          <w:rFonts w:ascii="Times New Roman" w:hAnsi="Times New Roman" w:cs="Times New Roman"/>
          <w:sz w:val="24"/>
          <w:szCs w:val="24"/>
        </w:rPr>
        <w:t xml:space="preserve"> La serata trascorse invece in casa di Antonio de’ Pazzi, dove era alloggiato il principe di Salerno Roberto Sanseverino, e fu allietata dai balli di alcune giovani fiorentine. </w:t>
      </w:r>
    </w:p>
    <w:p w14:paraId="0AEB83BD"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Sempre dalla stessa missiva apprendiamo come il 24 giugno si fossero aperte delle discussioni </w:t>
      </w:r>
      <w:r>
        <w:rPr>
          <w:rFonts w:ascii="Times New Roman" w:hAnsi="Times New Roman" w:cs="Times New Roman"/>
          <w:sz w:val="24"/>
          <w:szCs w:val="24"/>
        </w:rPr>
        <w:t>su</w:t>
      </w:r>
      <w:r w:rsidRPr="00096909">
        <w:rPr>
          <w:rFonts w:ascii="Times New Roman" w:hAnsi="Times New Roman" w:cs="Times New Roman"/>
          <w:sz w:val="24"/>
          <w:szCs w:val="24"/>
        </w:rPr>
        <w:t>lla possibilità che Ippolita presenziasse in quel giorn</w:t>
      </w:r>
      <w:r>
        <w:rPr>
          <w:rFonts w:ascii="Times New Roman" w:hAnsi="Times New Roman" w:cs="Times New Roman"/>
          <w:sz w:val="24"/>
          <w:szCs w:val="24"/>
        </w:rPr>
        <w:t>o</w:t>
      </w:r>
      <w:r w:rsidRPr="00096909">
        <w:rPr>
          <w:rFonts w:ascii="Times New Roman" w:hAnsi="Times New Roman" w:cs="Times New Roman"/>
          <w:sz w:val="24"/>
          <w:szCs w:val="24"/>
        </w:rPr>
        <w:t xml:space="preserve"> alla tradizionale processione di omaggio al santo patrono. La ragione della contesa era dovuta al rifiuto di Federico d’Aragona di assistere allo spettacolo dalla ringhiera di Palazzo Vecchio insieme ai rappresentanti della Signoria e ai figli dello Sforza, desiderando piuttosto ammirare l’offerta «sul palchetto cum la illustrissima Madonna Ippolita». Il diplomatico assicurava tuttavia che, dopo il piacevole pomeriggio in programma in casa di Piero de’ Medici – tra le belle armonie eseguite dalle sue figlie – nella serata, </w:t>
      </w:r>
      <w:r>
        <w:rPr>
          <w:rFonts w:ascii="Times New Roman" w:hAnsi="Times New Roman" w:cs="Times New Roman"/>
          <w:sz w:val="24"/>
          <w:szCs w:val="24"/>
        </w:rPr>
        <w:t>al termine del</w:t>
      </w:r>
      <w:r w:rsidRPr="00096909">
        <w:rPr>
          <w:rFonts w:ascii="Times New Roman" w:hAnsi="Times New Roman" w:cs="Times New Roman"/>
          <w:sz w:val="24"/>
          <w:szCs w:val="24"/>
        </w:rPr>
        <w:t xml:space="preserve">la corsa del Palio e </w:t>
      </w:r>
      <w:r>
        <w:rPr>
          <w:rFonts w:ascii="Times New Roman" w:hAnsi="Times New Roman" w:cs="Times New Roman"/>
          <w:sz w:val="24"/>
          <w:szCs w:val="24"/>
        </w:rPr>
        <w:t>de</w:t>
      </w:r>
      <w:r w:rsidRPr="00096909">
        <w:rPr>
          <w:rFonts w:ascii="Times New Roman" w:hAnsi="Times New Roman" w:cs="Times New Roman"/>
          <w:sz w:val="24"/>
          <w:szCs w:val="24"/>
        </w:rPr>
        <w:t xml:space="preserve">i balli in casa di </w:t>
      </w:r>
      <w:bookmarkStart w:id="474" w:name="_Hlk535962742"/>
      <w:r w:rsidRPr="00096909">
        <w:rPr>
          <w:rFonts w:ascii="Times New Roman" w:hAnsi="Times New Roman" w:cs="Times New Roman"/>
          <w:sz w:val="24"/>
          <w:szCs w:val="24"/>
        </w:rPr>
        <w:t>Giuliano Vespucci</w:t>
      </w:r>
      <w:bookmarkEnd w:id="474"/>
      <w:r w:rsidRPr="00096909">
        <w:rPr>
          <w:rFonts w:ascii="Times New Roman" w:hAnsi="Times New Roman" w:cs="Times New Roman"/>
          <w:sz w:val="24"/>
          <w:szCs w:val="24"/>
        </w:rPr>
        <w:t xml:space="preserve">, sarebbe stata sua cura operare affinché </w:t>
      </w:r>
      <w:r w:rsidR="006A3351">
        <w:rPr>
          <w:rFonts w:ascii="Times New Roman" w:hAnsi="Times New Roman" w:cs="Times New Roman"/>
          <w:sz w:val="24"/>
          <w:szCs w:val="24"/>
        </w:rPr>
        <w:t>l’indomani</w:t>
      </w:r>
      <w:r w:rsidRPr="00096909">
        <w:rPr>
          <w:rFonts w:ascii="Times New Roman" w:hAnsi="Times New Roman" w:cs="Times New Roman"/>
          <w:sz w:val="24"/>
          <w:szCs w:val="24"/>
        </w:rPr>
        <w:t xml:space="preserve"> «al vedere de li miracoli o nuvole, don Federico se degni stare cum la Signoria e vostri figlioli». Quest’ultimo cenno del Tranchedini ai «miracoli o nuvole» si riferiva ad una rappresentazione della </w:t>
      </w:r>
      <w:r w:rsidRPr="00096909">
        <w:rPr>
          <w:rFonts w:ascii="Times New Roman" w:hAnsi="Times New Roman" w:cs="Times New Roman"/>
          <w:i/>
          <w:sz w:val="24"/>
          <w:szCs w:val="24"/>
        </w:rPr>
        <w:t>Ascensione</w:t>
      </w:r>
      <w:r w:rsidRPr="00096909">
        <w:rPr>
          <w:rFonts w:ascii="Times New Roman" w:hAnsi="Times New Roman" w:cs="Times New Roman"/>
          <w:sz w:val="24"/>
          <w:szCs w:val="24"/>
        </w:rPr>
        <w:t>, allestita eccezionalmente dalla compagnia dell’Agnesa nella chiesa del Carmine, la quale, come chiarisce una lettera di Ma</w:t>
      </w:r>
      <w:r>
        <w:rPr>
          <w:rFonts w:ascii="Times New Roman" w:hAnsi="Times New Roman" w:cs="Times New Roman"/>
          <w:sz w:val="24"/>
          <w:szCs w:val="24"/>
        </w:rPr>
        <w:t>rc</w:t>
      </w:r>
      <w:r w:rsidRPr="00096909">
        <w:rPr>
          <w:rFonts w:ascii="Times New Roman" w:hAnsi="Times New Roman" w:cs="Times New Roman"/>
          <w:sz w:val="24"/>
          <w:szCs w:val="24"/>
        </w:rPr>
        <w:t>o Parenti a Filippo e Lorenzo Strozzi, fu lo spettacolo maggiormente apprezzato dagli ospiti milanesi e napoletani, che parvero invece poco attratti, a detta del Pa</w:t>
      </w:r>
      <w:r>
        <w:rPr>
          <w:rFonts w:ascii="Times New Roman" w:hAnsi="Times New Roman" w:cs="Times New Roman"/>
          <w:sz w:val="24"/>
          <w:szCs w:val="24"/>
        </w:rPr>
        <w:t>renti</w:t>
      </w:r>
      <w:r w:rsidRPr="00096909">
        <w:rPr>
          <w:rFonts w:ascii="Times New Roman" w:hAnsi="Times New Roman" w:cs="Times New Roman"/>
          <w:sz w:val="24"/>
          <w:szCs w:val="24"/>
        </w:rPr>
        <w:t>, dal resto degli intrattenimenti predisposti.</w:t>
      </w:r>
      <w:r w:rsidRPr="00096909">
        <w:rPr>
          <w:rStyle w:val="Rimandonotaapidipagina"/>
          <w:rFonts w:ascii="Times New Roman" w:hAnsi="Times New Roman" w:cs="Times New Roman"/>
          <w:sz w:val="24"/>
          <w:szCs w:val="24"/>
        </w:rPr>
        <w:footnoteReference w:id="637"/>
      </w:r>
    </w:p>
    <w:p w14:paraId="08299CD7"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Altri </w:t>
      </w:r>
      <w:r w:rsidR="006A3351">
        <w:rPr>
          <w:rFonts w:ascii="Times New Roman" w:hAnsi="Times New Roman" w:cs="Times New Roman"/>
          <w:sz w:val="24"/>
          <w:szCs w:val="24"/>
        </w:rPr>
        <w:t xml:space="preserve">divertimenti </w:t>
      </w:r>
      <w:r w:rsidRPr="00096909">
        <w:rPr>
          <w:rFonts w:ascii="Times New Roman" w:hAnsi="Times New Roman" w:cs="Times New Roman"/>
          <w:sz w:val="24"/>
          <w:szCs w:val="24"/>
        </w:rPr>
        <w:t xml:space="preserve">attendevano Ippolita a Siena, dove la comitiva giunse il 29 giugno, entrando per Porta Camollia. Filippo e Sforza Maria Sforza furono alloggiati nel palazzo del Vescovado, </w:t>
      </w:r>
      <w:r w:rsidRPr="00096909">
        <w:rPr>
          <w:rFonts w:ascii="Times New Roman" w:hAnsi="Times New Roman" w:cs="Times New Roman"/>
          <w:sz w:val="24"/>
          <w:szCs w:val="24"/>
        </w:rPr>
        <w:lastRenderedPageBreak/>
        <w:t xml:space="preserve">mentre la duchessa di Calabria fu accolta in casa di Tommaso Pecci, dinnanzi alla quale era stato predisposto un palco per gli spettacoli di danza. Un altro palco per altre coreografie era stato preparato ai piedi del Palazzo pubblico, dove fu offerta una ricca colazione. Così ne informa la </w:t>
      </w:r>
      <w:r w:rsidRPr="00096909">
        <w:rPr>
          <w:rFonts w:ascii="Times New Roman" w:hAnsi="Times New Roman" w:cs="Times New Roman"/>
          <w:i/>
          <w:sz w:val="24"/>
          <w:szCs w:val="24"/>
        </w:rPr>
        <w:t>Cronaca senese</w:t>
      </w:r>
      <w:r w:rsidRPr="00096909">
        <w:rPr>
          <w:rFonts w:ascii="Times New Roman" w:hAnsi="Times New Roman" w:cs="Times New Roman"/>
          <w:sz w:val="24"/>
          <w:szCs w:val="24"/>
        </w:rPr>
        <w:t xml:space="preserve"> di Tommaso Fecini: </w:t>
      </w:r>
    </w:p>
    <w:p w14:paraId="3F7299E8"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2A871CCB" w14:textId="77777777" w:rsidR="00395702" w:rsidRPr="00096909" w:rsidRDefault="00395702" w:rsidP="00395702">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Fulli asegniata la stanza ne la casa di Tomasso Pecci e a’ signori in vescovado e altri luoghi. </w:t>
      </w:r>
    </w:p>
    <w:p w14:paraId="1C68647A" w14:textId="77777777" w:rsidR="00395702" w:rsidRPr="00096909" w:rsidRDefault="00395702" w:rsidP="00395702">
      <w:pPr>
        <w:spacing w:after="0" w:line="360" w:lineRule="auto"/>
        <w:ind w:left="567" w:right="567" w:firstLine="397"/>
        <w:jc w:val="both"/>
        <w:rPr>
          <w:rFonts w:ascii="Times New Roman" w:hAnsi="Times New Roman" w:cs="Times New Roman"/>
          <w:sz w:val="20"/>
          <w:szCs w:val="20"/>
        </w:rPr>
      </w:pPr>
      <w:r w:rsidRPr="00096909">
        <w:rPr>
          <w:rFonts w:ascii="Times New Roman" w:hAnsi="Times New Roman" w:cs="Times New Roman"/>
          <w:sz w:val="20"/>
          <w:szCs w:val="20"/>
        </w:rPr>
        <w:t>Féssi uno bello aparato a’ piè il palazo e fuvi 200 giovane sanesi e molti giovani e la signoria di Siena della civiltà e signori forestieri, e li si fe’ bellissimi balli e una bella e onorata collazione.</w:t>
      </w:r>
    </w:p>
    <w:p w14:paraId="6BE34FCB" w14:textId="77777777" w:rsidR="00395702" w:rsidRPr="00096909" w:rsidRDefault="00395702" w:rsidP="00395702">
      <w:pPr>
        <w:spacing w:after="0" w:line="360" w:lineRule="auto"/>
        <w:ind w:left="567" w:right="851" w:firstLine="397"/>
        <w:jc w:val="both"/>
        <w:rPr>
          <w:rFonts w:ascii="Times New Roman" w:hAnsi="Times New Roman" w:cs="Times New Roman"/>
          <w:sz w:val="20"/>
          <w:szCs w:val="20"/>
        </w:rPr>
      </w:pPr>
      <w:r w:rsidRPr="00096909">
        <w:rPr>
          <w:rFonts w:ascii="Times New Roman" w:hAnsi="Times New Roman" w:cs="Times New Roman"/>
          <w:sz w:val="20"/>
          <w:szCs w:val="20"/>
        </w:rPr>
        <w:t>E poi si fe’ uno bello aparato a la casa in istrada, con balli, suoni, canti e collazioni e a tutte infinitissimi confetti e miglior vini.</w:t>
      </w:r>
      <w:r w:rsidRPr="00096909">
        <w:rPr>
          <w:rStyle w:val="Rimandonotaapidipagina"/>
          <w:rFonts w:ascii="Times New Roman" w:hAnsi="Times New Roman" w:cs="Times New Roman"/>
        </w:rPr>
        <w:t xml:space="preserve"> </w:t>
      </w:r>
      <w:r w:rsidRPr="00096909">
        <w:rPr>
          <w:rStyle w:val="Rimandonotaapidipagina"/>
          <w:rFonts w:ascii="Times New Roman" w:hAnsi="Times New Roman" w:cs="Times New Roman"/>
        </w:rPr>
        <w:footnoteReference w:id="638"/>
      </w:r>
      <w:r w:rsidRPr="00096909">
        <w:rPr>
          <w:rFonts w:ascii="Times New Roman" w:hAnsi="Times New Roman" w:cs="Times New Roman"/>
          <w:sz w:val="20"/>
          <w:szCs w:val="20"/>
        </w:rPr>
        <w:t xml:space="preserve">  </w:t>
      </w:r>
    </w:p>
    <w:p w14:paraId="0A7916C9"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626BD032"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Tra le delibere prese dal Comune senese in vista del passaggio delle delegazioni sforzesca e aragonese </w:t>
      </w:r>
      <w:r w:rsidR="004E621C">
        <w:rPr>
          <w:rFonts w:ascii="Times New Roman" w:hAnsi="Times New Roman" w:cs="Times New Roman"/>
          <w:sz w:val="24"/>
          <w:szCs w:val="24"/>
        </w:rPr>
        <w:t>fu registrato</w:t>
      </w:r>
      <w:r w:rsidRPr="00096909">
        <w:rPr>
          <w:rFonts w:ascii="Times New Roman" w:hAnsi="Times New Roman" w:cs="Times New Roman"/>
          <w:sz w:val="24"/>
          <w:szCs w:val="24"/>
        </w:rPr>
        <w:t>, in data 27 giugno, l’acquisto di polveri da sparo per fare fuochi d’artificio in onore della principessa;</w:t>
      </w:r>
      <w:r w:rsidRPr="00096909">
        <w:rPr>
          <w:rStyle w:val="Rimandonotaapidipagina"/>
          <w:rFonts w:ascii="Times New Roman" w:hAnsi="Times New Roman" w:cs="Times New Roman"/>
          <w:sz w:val="24"/>
          <w:szCs w:val="24"/>
        </w:rPr>
        <w:footnoteReference w:id="639"/>
      </w:r>
      <w:r w:rsidRPr="00096909">
        <w:rPr>
          <w:rFonts w:ascii="Times New Roman" w:hAnsi="Times New Roman" w:cs="Times New Roman"/>
          <w:sz w:val="24"/>
          <w:szCs w:val="24"/>
        </w:rPr>
        <w:t xml:space="preserve"> mentre la </w:t>
      </w:r>
      <w:r w:rsidRPr="00096909">
        <w:rPr>
          <w:rFonts w:ascii="Times New Roman" w:hAnsi="Times New Roman" w:cs="Times New Roman"/>
          <w:i/>
          <w:sz w:val="24"/>
          <w:szCs w:val="24"/>
        </w:rPr>
        <w:t>Cronaca</w:t>
      </w:r>
      <w:r w:rsidRPr="00096909">
        <w:rPr>
          <w:rFonts w:ascii="Times New Roman" w:hAnsi="Times New Roman" w:cs="Times New Roman"/>
          <w:sz w:val="24"/>
          <w:szCs w:val="24"/>
        </w:rPr>
        <w:t xml:space="preserve"> di </w:t>
      </w:r>
      <w:bookmarkStart w:id="475" w:name="_Hlk535996056"/>
      <w:r w:rsidRPr="00096909">
        <w:rPr>
          <w:rFonts w:ascii="Times New Roman" w:hAnsi="Times New Roman" w:cs="Times New Roman"/>
          <w:sz w:val="24"/>
          <w:szCs w:val="24"/>
        </w:rPr>
        <w:t xml:space="preserve">Allegretto Allegretti </w:t>
      </w:r>
      <w:bookmarkEnd w:id="475"/>
      <w:r w:rsidRPr="00096909">
        <w:rPr>
          <w:rFonts w:ascii="Times New Roman" w:hAnsi="Times New Roman" w:cs="Times New Roman"/>
          <w:sz w:val="24"/>
          <w:szCs w:val="24"/>
        </w:rPr>
        <w:t>riporta un particolare interessante sullo svolgimento del ballo organizzato davanti al Palazzo pubblico:</w:t>
      </w:r>
    </w:p>
    <w:p w14:paraId="5D1EEA53"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06105C08" w14:textId="77777777" w:rsidR="00395702" w:rsidRPr="00096909" w:rsidRDefault="00395702" w:rsidP="00395702">
      <w:pPr>
        <w:tabs>
          <w:tab w:val="left" w:pos="9072"/>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Fecesi un bellissimo apparato e ballo, a piei el Palazzo de’ Signori, e furono convitate quante giovane da bene e fanciulle aveva Siena, le quali andorono molto bene ornate di veste e gioie, e giovani da danzare, e fecesi una Lupa grande tutta dorata della quale uscì una moresca di dodici persone molto bene e riccamente ornate e una vestita a monaca, e ballavano una canzona che dice: Horamai che fora son / non vogl’essere più monica, / arsa le sia la tonica / chi se la veste più.</w:t>
      </w:r>
      <w:r w:rsidRPr="00096909">
        <w:rPr>
          <w:rStyle w:val="Rimandonotaapidipagina"/>
          <w:rFonts w:ascii="Times New Roman" w:hAnsi="Times New Roman" w:cs="Times New Roman"/>
        </w:rPr>
        <w:footnoteReference w:id="640"/>
      </w:r>
    </w:p>
    <w:p w14:paraId="3CA74545"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p>
    <w:p w14:paraId="781941E7"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L’apparato bellissimo previde dunque la presenza di una struttura provvisoria – ipotizzo in legno –, a forma di lupa, tradizionale simbolo della città di Siena. Da questa uscirono dodici danzatori per eseguire una moresca sul soggetto di una giovane che lascia lo stato monacale per darsi alle gioie terrene</w:t>
      </w:r>
      <w:r w:rsidR="006A3351">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641"/>
      </w:r>
      <w:r w:rsidRPr="00096909">
        <w:rPr>
          <w:rFonts w:ascii="Times New Roman" w:hAnsi="Times New Roman" w:cs="Times New Roman"/>
          <w:sz w:val="24"/>
          <w:szCs w:val="24"/>
        </w:rPr>
        <w:t xml:space="preserve"> </w:t>
      </w:r>
      <w:r w:rsidR="006A3351">
        <w:rPr>
          <w:rFonts w:ascii="Times New Roman" w:hAnsi="Times New Roman" w:cs="Times New Roman"/>
          <w:sz w:val="24"/>
          <w:szCs w:val="24"/>
        </w:rPr>
        <w:t>alla quale</w:t>
      </w:r>
      <w:r w:rsidRPr="00096909">
        <w:rPr>
          <w:rFonts w:ascii="Times New Roman" w:hAnsi="Times New Roman" w:cs="Times New Roman"/>
          <w:sz w:val="24"/>
          <w:szCs w:val="24"/>
        </w:rPr>
        <w:t xml:space="preserve"> seguirono i balli della gioventù senese presente. La danza ebbe pertanto un ruolo eminente nella serie delle accoglienze alla giovane Sforza, e, sebbene i cenni dell’Allegretti siano </w:t>
      </w:r>
      <w:r>
        <w:rPr>
          <w:rFonts w:ascii="Times New Roman" w:hAnsi="Times New Roman" w:cs="Times New Roman"/>
          <w:sz w:val="24"/>
          <w:szCs w:val="24"/>
        </w:rPr>
        <w:t xml:space="preserve">troppo </w:t>
      </w:r>
      <w:r w:rsidRPr="00096909">
        <w:rPr>
          <w:rFonts w:ascii="Times New Roman" w:hAnsi="Times New Roman" w:cs="Times New Roman"/>
          <w:sz w:val="24"/>
          <w:szCs w:val="24"/>
        </w:rPr>
        <w:t>pochi per ricostruire l’esatto svolgimento dello spettacolo, mi pare corretto osservare come la testimonianza sia molto simile a quella più tarda dell’</w:t>
      </w:r>
      <w:r w:rsidRPr="00096909">
        <w:rPr>
          <w:rFonts w:ascii="Times New Roman" w:hAnsi="Times New Roman" w:cs="Times New Roman"/>
          <w:i/>
          <w:sz w:val="24"/>
          <w:szCs w:val="24"/>
        </w:rPr>
        <w:t>Hymeneus Bentivolus</w:t>
      </w:r>
      <w:r w:rsidRPr="00096909">
        <w:rPr>
          <w:rFonts w:ascii="Times New Roman" w:hAnsi="Times New Roman" w:cs="Times New Roman"/>
          <w:sz w:val="24"/>
          <w:szCs w:val="24"/>
        </w:rPr>
        <w:t xml:space="preserve"> di Sabadino degli Arienti [LV] </w:t>
      </w:r>
      <w:r>
        <w:rPr>
          <w:rFonts w:ascii="Times New Roman" w:hAnsi="Times New Roman" w:cs="Times New Roman"/>
          <w:sz w:val="24"/>
          <w:szCs w:val="24"/>
        </w:rPr>
        <w:t>su</w:t>
      </w:r>
      <w:r w:rsidRPr="00096909">
        <w:rPr>
          <w:rFonts w:ascii="Times New Roman" w:hAnsi="Times New Roman" w:cs="Times New Roman"/>
          <w:sz w:val="24"/>
          <w:szCs w:val="24"/>
        </w:rPr>
        <w:t xml:space="preserve">ll’intervento coreutico che chiuse la cena del primo </w:t>
      </w:r>
      <w:r w:rsidRPr="00096909">
        <w:rPr>
          <w:rFonts w:ascii="Times New Roman" w:hAnsi="Times New Roman" w:cs="Times New Roman"/>
          <w:sz w:val="24"/>
          <w:szCs w:val="24"/>
        </w:rPr>
        <w:lastRenderedPageBreak/>
        <w:t xml:space="preserve">febbraio 1487 imbandita per Annibale Bentivoglio e Lucrezia d’Este. Anche in quel caso comparve una struttura in forma di animale (un leone) dal cui ventre uscirono dei danzatori per eseguire la danza di apertura della serie dei successivi balli degli invitati, il che lascia supporre la presenza di un modello </w:t>
      </w:r>
      <w:r>
        <w:rPr>
          <w:rFonts w:ascii="Times New Roman" w:hAnsi="Times New Roman" w:cs="Times New Roman"/>
          <w:sz w:val="24"/>
          <w:szCs w:val="24"/>
        </w:rPr>
        <w:t xml:space="preserve">abbastanza </w:t>
      </w:r>
      <w:r w:rsidRPr="00096909">
        <w:rPr>
          <w:rFonts w:ascii="Times New Roman" w:hAnsi="Times New Roman" w:cs="Times New Roman"/>
          <w:sz w:val="24"/>
          <w:szCs w:val="24"/>
        </w:rPr>
        <w:t>ricorrente di spettacolo che prevedesse l’uso di strutture lignee per l’esecuzione di coreografie pantomimiche nel contesto della festa nuziale.</w:t>
      </w:r>
      <w:r w:rsidRPr="00096909">
        <w:rPr>
          <w:rStyle w:val="Rimandonotaapidipagina"/>
          <w:rFonts w:ascii="Times New Roman" w:hAnsi="Times New Roman" w:cs="Times New Roman"/>
          <w:sz w:val="24"/>
          <w:szCs w:val="24"/>
        </w:rPr>
        <w:footnoteReference w:id="642"/>
      </w:r>
    </w:p>
    <w:p w14:paraId="7C0232F3"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 corso della sosta senese la duchessa di Calabria fu raggiunta dalla notizia dell’improvvisa morte nelle carceri di Castel Nuovo del conte </w:t>
      </w:r>
      <w:bookmarkStart w:id="476" w:name="_Hlk535996187"/>
      <w:r w:rsidRPr="00096909">
        <w:rPr>
          <w:rFonts w:ascii="Times New Roman" w:hAnsi="Times New Roman" w:cs="Times New Roman"/>
          <w:sz w:val="24"/>
          <w:szCs w:val="24"/>
        </w:rPr>
        <w:t>Giacomo Piccinino</w:t>
      </w:r>
      <w:bookmarkEnd w:id="476"/>
      <w:r w:rsidRPr="00096909">
        <w:rPr>
          <w:rFonts w:ascii="Times New Roman" w:hAnsi="Times New Roman" w:cs="Times New Roman"/>
          <w:sz w:val="24"/>
          <w:szCs w:val="24"/>
        </w:rPr>
        <w:t>, che era stato sostenitore della fazione filoangioina nella guerra di successione al trono di Napoli, nonché genero di Francesco Sforza. L’episodio turbò profondamente gli equilibri raggiunti tra le due casate coinvolte nelle nozze</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tanto da far temere </w:t>
      </w:r>
      <w:r w:rsidRPr="00096909">
        <w:rPr>
          <w:rFonts w:ascii="Times New Roman" w:hAnsi="Times New Roman" w:cs="Times New Roman"/>
          <w:sz w:val="24"/>
          <w:szCs w:val="24"/>
        </w:rPr>
        <w:t xml:space="preserve">che queste potessero essere annullate. Tramite uno scambio di missive colme di accuse e richieste di chiarimenti </w:t>
      </w:r>
      <w:r w:rsidR="007B03F7">
        <w:rPr>
          <w:rFonts w:ascii="Times New Roman" w:hAnsi="Times New Roman" w:cs="Times New Roman"/>
          <w:sz w:val="24"/>
          <w:szCs w:val="24"/>
        </w:rPr>
        <w:t>il duca di Milano</w:t>
      </w:r>
      <w:r w:rsidRPr="00096909">
        <w:rPr>
          <w:rFonts w:ascii="Times New Roman" w:hAnsi="Times New Roman" w:cs="Times New Roman"/>
          <w:sz w:val="24"/>
          <w:szCs w:val="24"/>
        </w:rPr>
        <w:t xml:space="preserve"> pervenne</w:t>
      </w:r>
      <w:r w:rsidR="007B03F7">
        <w:rPr>
          <w:rFonts w:ascii="Times New Roman" w:hAnsi="Times New Roman" w:cs="Times New Roman"/>
          <w:sz w:val="24"/>
          <w:szCs w:val="24"/>
        </w:rPr>
        <w:t>, infine,</w:t>
      </w:r>
      <w:r w:rsidRPr="00096909">
        <w:rPr>
          <w:rFonts w:ascii="Times New Roman" w:hAnsi="Times New Roman" w:cs="Times New Roman"/>
          <w:sz w:val="24"/>
          <w:szCs w:val="24"/>
        </w:rPr>
        <w:t xml:space="preserve"> alla decisione di far riprendere la marcia della delegazione, evitando però le tappe previste a Perugia e a Roma per timore della peste. </w:t>
      </w:r>
    </w:p>
    <w:p w14:paraId="7B69942D"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Venerdì 13 settembre 1465 la sposa giunse così ad Aversa, dove fu accolta trionfalmente e onorata con il baldacchino. A</w:t>
      </w:r>
      <w:r w:rsidR="00136DF3">
        <w:rPr>
          <w:rFonts w:ascii="Times New Roman" w:hAnsi="Times New Roman" w:cs="Times New Roman"/>
          <w:sz w:val="24"/>
          <w:szCs w:val="24"/>
        </w:rPr>
        <w:t>d</w:t>
      </w:r>
      <w:r w:rsidRPr="00096909">
        <w:rPr>
          <w:rFonts w:ascii="Times New Roman" w:hAnsi="Times New Roman" w:cs="Times New Roman"/>
          <w:sz w:val="24"/>
          <w:szCs w:val="24"/>
        </w:rPr>
        <w:t xml:space="preserve"> un miglio da Napoli, fuori dalla cittadina, nei pressi dell’Annunziata, le andò incontro re Ferrante, in compagnia del cardinale </w:t>
      </w:r>
      <w:bookmarkStart w:id="477" w:name="_Hlk535996238"/>
      <w:r w:rsidRPr="00096909">
        <w:rPr>
          <w:rFonts w:ascii="Times New Roman" w:hAnsi="Times New Roman" w:cs="Times New Roman"/>
          <w:sz w:val="24"/>
          <w:szCs w:val="24"/>
        </w:rPr>
        <w:t>Bartolomeo Rovella</w:t>
      </w:r>
      <w:bookmarkEnd w:id="477"/>
      <w:r w:rsidRPr="00096909">
        <w:rPr>
          <w:rFonts w:ascii="Times New Roman" w:hAnsi="Times New Roman" w:cs="Times New Roman"/>
          <w:sz w:val="24"/>
          <w:szCs w:val="24"/>
        </w:rPr>
        <w:t>, legato pontificio e arcivescovo di Ravenna, e di Alessandro Sforza, signore di Pesaro, nonché zio d</w:t>
      </w:r>
      <w:r>
        <w:rPr>
          <w:rFonts w:ascii="Times New Roman" w:hAnsi="Times New Roman" w:cs="Times New Roman"/>
          <w:sz w:val="24"/>
          <w:szCs w:val="24"/>
        </w:rPr>
        <w:t xml:space="preserve">i </w:t>
      </w:r>
      <w:r w:rsidRPr="00096909">
        <w:rPr>
          <w:rFonts w:ascii="Times New Roman" w:hAnsi="Times New Roman" w:cs="Times New Roman"/>
          <w:sz w:val="24"/>
          <w:szCs w:val="24"/>
        </w:rPr>
        <w:t>Ippolita.</w:t>
      </w:r>
    </w:p>
    <w:p w14:paraId="1C6684F3"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giorno successivo, </w:t>
      </w:r>
      <w:r>
        <w:rPr>
          <w:rFonts w:ascii="Times New Roman" w:hAnsi="Times New Roman" w:cs="Times New Roman"/>
          <w:sz w:val="24"/>
          <w:szCs w:val="24"/>
        </w:rPr>
        <w:t xml:space="preserve">ella </w:t>
      </w:r>
      <w:r w:rsidRPr="00096909">
        <w:rPr>
          <w:rFonts w:ascii="Times New Roman" w:hAnsi="Times New Roman" w:cs="Times New Roman"/>
          <w:sz w:val="24"/>
          <w:szCs w:val="24"/>
        </w:rPr>
        <w:t>entrò a Napoli per Porta del Carmine. Alla sua destra il cardinale Rovella e alla sua sinistra il re la scortavano a cavallo sotto un baldacchino dorato retto da otto baroni napoletani. La seguivano «trombetti et pifferi, da poy XV cobie de’nostri gentilhomini con li baroni del reame, deinde XII vescovi acobiati, poy araldi, mazieri, poi alcuni principali signori e lo signor Alexandro con li Ambaxadori venetiani, fiorentini et senesi et altri»,</w:t>
      </w:r>
      <w:r w:rsidRPr="00096909">
        <w:rPr>
          <w:rStyle w:val="Rimandonotaapidipagina"/>
          <w:rFonts w:ascii="Times New Roman" w:hAnsi="Times New Roman" w:cs="Times New Roman"/>
          <w:sz w:val="24"/>
          <w:szCs w:val="24"/>
        </w:rPr>
        <w:footnoteReference w:id="643"/>
      </w:r>
      <w:r w:rsidRPr="00096909">
        <w:rPr>
          <w:rFonts w:ascii="Times New Roman" w:hAnsi="Times New Roman" w:cs="Times New Roman"/>
          <w:sz w:val="24"/>
          <w:szCs w:val="24"/>
        </w:rPr>
        <w:t xml:space="preserve"> con i quali attraversò la città, visitandone i seggi, per raggiungere Castel Capuano, dove alla presenza dello sposo avvenne la </w:t>
      </w:r>
      <w:r w:rsidRPr="00096909">
        <w:rPr>
          <w:rFonts w:ascii="Times New Roman" w:hAnsi="Times New Roman" w:cs="Times New Roman"/>
          <w:i/>
          <w:sz w:val="24"/>
          <w:szCs w:val="24"/>
        </w:rPr>
        <w:t>Rogatio</w:t>
      </w:r>
      <w:r w:rsidRPr="00096909">
        <w:rPr>
          <w:rFonts w:ascii="Times New Roman" w:hAnsi="Times New Roman" w:cs="Times New Roman"/>
          <w:sz w:val="24"/>
          <w:szCs w:val="24"/>
        </w:rPr>
        <w:t xml:space="preserve"> dell’</w:t>
      </w:r>
      <w:r w:rsidRPr="00096909">
        <w:rPr>
          <w:rFonts w:ascii="Times New Roman" w:hAnsi="Times New Roman" w:cs="Times New Roman"/>
          <w:i/>
          <w:sz w:val="24"/>
          <w:szCs w:val="24"/>
        </w:rPr>
        <w:t>Instrumentum dotale</w:t>
      </w:r>
      <w:r w:rsidRPr="00096909">
        <w:rPr>
          <w:rFonts w:ascii="Times New Roman" w:hAnsi="Times New Roman" w:cs="Times New Roman"/>
          <w:sz w:val="24"/>
          <w:szCs w:val="24"/>
        </w:rPr>
        <w:t xml:space="preserve">.     </w:t>
      </w:r>
    </w:p>
    <w:p w14:paraId="240728D5"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mattina di domenica 15 settembre il legato pontificio officiò il rito nuziale sul sagrato del Duomo, alla presenza di tutto il popolo, quindi entrò nella cattedrale per cantare la messa nuziale, cui fece seguito la lettura della bolla pontifica di benedizione agli sposi. Al termine della funzione, furono loro donati due </w:t>
      </w:r>
      <w:r w:rsidRPr="00096909">
        <w:rPr>
          <w:rFonts w:ascii="Times New Roman" w:hAnsi="Times New Roman" w:cs="Times New Roman"/>
          <w:i/>
          <w:sz w:val="24"/>
          <w:szCs w:val="24"/>
        </w:rPr>
        <w:t>Agnus Dei</w:t>
      </w:r>
      <w:r w:rsidRPr="00096909">
        <w:rPr>
          <w:rFonts w:ascii="Times New Roman" w:hAnsi="Times New Roman" w:cs="Times New Roman"/>
          <w:sz w:val="24"/>
          <w:szCs w:val="24"/>
        </w:rPr>
        <w:t xml:space="preserve"> inviati da Paolo II. Seguì un fastoso corteo, con cui Ippolita tornò a Castel Capuano, mentre il re Ferrante si diresse a Castel Nuovo, da dove, nel pomeriggio,</w:t>
      </w:r>
      <w:r>
        <w:rPr>
          <w:rFonts w:ascii="Times New Roman" w:hAnsi="Times New Roman" w:cs="Times New Roman"/>
          <w:sz w:val="24"/>
          <w:szCs w:val="24"/>
        </w:rPr>
        <w:t xml:space="preserve"> </w:t>
      </w:r>
      <w:r w:rsidRPr="00096909">
        <w:rPr>
          <w:rFonts w:ascii="Times New Roman" w:hAnsi="Times New Roman" w:cs="Times New Roman"/>
          <w:sz w:val="24"/>
          <w:szCs w:val="24"/>
        </w:rPr>
        <w:lastRenderedPageBreak/>
        <w:t xml:space="preserve">uscì nuovamente per recarsi a prendere la sposa per accompagnarla in un’altra sfilata attraverso i seggi cittadini. A Castel Nuovo ella trascorse la notte delle sue nozze, alla quale seguirono quindici giorni di festeggiamenti, culminati il 29 settembre con la celebrazione di una messa </w:t>
      </w:r>
      <w:r>
        <w:rPr>
          <w:rFonts w:ascii="Times New Roman" w:hAnsi="Times New Roman" w:cs="Times New Roman"/>
          <w:sz w:val="24"/>
          <w:szCs w:val="24"/>
        </w:rPr>
        <w:t xml:space="preserve">in cui </w:t>
      </w:r>
      <w:r w:rsidRPr="00096909">
        <w:rPr>
          <w:rFonts w:ascii="Times New Roman" w:hAnsi="Times New Roman" w:cs="Times New Roman"/>
          <w:sz w:val="24"/>
          <w:szCs w:val="24"/>
        </w:rPr>
        <w:t>Ferrante creò cavalieri dell’ordine dell’ermellino il proprio figlio, Francesco d’Aragona, Filippo e Sforza Maria Sforza.</w:t>
      </w:r>
      <w:r w:rsidRPr="00096909">
        <w:rPr>
          <w:rStyle w:val="Rimandonotaapidipagina"/>
          <w:rFonts w:ascii="Times New Roman" w:hAnsi="Times New Roman" w:cs="Times New Roman"/>
          <w:sz w:val="24"/>
          <w:szCs w:val="24"/>
        </w:rPr>
        <w:footnoteReference w:id="644"/>
      </w:r>
      <w:r w:rsidRPr="00096909">
        <w:rPr>
          <w:rFonts w:ascii="Times New Roman" w:hAnsi="Times New Roman" w:cs="Times New Roman"/>
          <w:sz w:val="24"/>
          <w:szCs w:val="24"/>
        </w:rPr>
        <w:t xml:space="preserve"> Sforza Maria venne inoltre insignito del titolo di Duca di Bari, e al termine della funzione, perché a tutto il popolo fosse nota la sua</w:t>
      </w:r>
      <w:r>
        <w:rPr>
          <w:rFonts w:ascii="Times New Roman" w:hAnsi="Times New Roman" w:cs="Times New Roman"/>
          <w:sz w:val="24"/>
          <w:szCs w:val="24"/>
        </w:rPr>
        <w:t xml:space="preserve"> investitura</w:t>
      </w:r>
      <w:r w:rsidRPr="00096909">
        <w:rPr>
          <w:rFonts w:ascii="Times New Roman" w:hAnsi="Times New Roman" w:cs="Times New Roman"/>
          <w:sz w:val="24"/>
          <w:szCs w:val="24"/>
        </w:rPr>
        <w:t xml:space="preserve">, fu accompagnato in corteo per i seggi cittadini. </w:t>
      </w:r>
    </w:p>
    <w:p w14:paraId="41B642F4"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 pomeriggio del </w:t>
      </w:r>
      <w:r w:rsidR="00136DF3">
        <w:rPr>
          <w:rFonts w:ascii="Times New Roman" w:hAnsi="Times New Roman" w:cs="Times New Roman"/>
          <w:sz w:val="24"/>
          <w:szCs w:val="24"/>
        </w:rPr>
        <w:t>medesimo</w:t>
      </w:r>
      <w:r w:rsidRPr="00096909">
        <w:rPr>
          <w:rFonts w:ascii="Times New Roman" w:hAnsi="Times New Roman" w:cs="Times New Roman"/>
          <w:sz w:val="24"/>
          <w:szCs w:val="24"/>
        </w:rPr>
        <w:t xml:space="preserve"> giorno fu celebrato </w:t>
      </w:r>
      <w:r w:rsidRPr="00096909">
        <w:rPr>
          <w:rFonts w:ascii="Times New Roman" w:hAnsi="Times New Roman" w:cs="Times New Roman"/>
          <w:i/>
          <w:sz w:val="24"/>
          <w:szCs w:val="24"/>
        </w:rPr>
        <w:t>publice</w:t>
      </w:r>
      <w:r w:rsidRPr="00096909">
        <w:rPr>
          <w:rFonts w:ascii="Times New Roman" w:hAnsi="Times New Roman" w:cs="Times New Roman"/>
          <w:sz w:val="24"/>
          <w:szCs w:val="24"/>
        </w:rPr>
        <w:t xml:space="preserve"> il matrimonio tra il nuovo duca di Bari ed Eleonora d’Aragona e venne bandita la giostra disputata nella serata, vinta da Roberto Sanseverino e da </w:t>
      </w:r>
      <w:bookmarkStart w:id="478" w:name="_Hlk535996402"/>
      <w:r w:rsidRPr="00096909">
        <w:rPr>
          <w:rFonts w:ascii="Times New Roman" w:hAnsi="Times New Roman" w:cs="Times New Roman"/>
          <w:sz w:val="24"/>
          <w:szCs w:val="24"/>
        </w:rPr>
        <w:t>Marino Brancaccio</w:t>
      </w:r>
      <w:bookmarkEnd w:id="478"/>
      <w:r w:rsidRPr="00096909">
        <w:rPr>
          <w:rFonts w:ascii="Times New Roman" w:hAnsi="Times New Roman" w:cs="Times New Roman"/>
          <w:sz w:val="24"/>
          <w:szCs w:val="24"/>
        </w:rPr>
        <w:t>. «Post hoc fu portata la collatione, bellissima ma pur sachezata come ieri, che in vero è cosa vergognosa».</w:t>
      </w:r>
      <w:r w:rsidRPr="00096909">
        <w:rPr>
          <w:rStyle w:val="Rimandonotaapidipagina"/>
          <w:rFonts w:ascii="Times New Roman" w:hAnsi="Times New Roman" w:cs="Times New Roman"/>
          <w:sz w:val="24"/>
          <w:szCs w:val="24"/>
        </w:rPr>
        <w:footnoteReference w:id="645"/>
      </w:r>
    </w:p>
    <w:p w14:paraId="083360BD"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 fronte di una discreta abbondanza di notizie sul programma dei festeggiamenti, purtroppo possediamo solo pochi cenni riguardo alla decorazione delle vie di Napoli, che hanno fatto supporre che le spese per l’ornamentazione fossero state limitate dal lutto vigente per la morte d’Isabella di Chiaromonte. Nei </w:t>
      </w:r>
      <w:r w:rsidRPr="00096909">
        <w:rPr>
          <w:rFonts w:ascii="Times New Roman" w:hAnsi="Times New Roman" w:cs="Times New Roman"/>
          <w:i/>
          <w:sz w:val="24"/>
          <w:szCs w:val="24"/>
        </w:rPr>
        <w:t>Notabilia Temporum</w:t>
      </w:r>
      <w:r w:rsidRPr="00096909">
        <w:rPr>
          <w:rFonts w:ascii="Times New Roman" w:hAnsi="Times New Roman" w:cs="Times New Roman"/>
          <w:sz w:val="24"/>
          <w:szCs w:val="24"/>
        </w:rPr>
        <w:t xml:space="preserve"> di Angelo de Tummulillis leggiamo tuttavia una descrizione dell’addobbo delle gradinate e dei palchi lignei montati nella zona delle Corregge, poco distante da Castel Nuovo, per consentire agli ambasciatori e agli invitati di assistere alle giostre ivi disputate. Per i duchi di Calabria fu costruito un palco eminente sormontato da un baldacchino dorato, mentre ai giudici della competizione fu destinato un palchetto, protetto da una palizzata, posto al centro dello spiazzo riservato agli scontri, affinché potessero meglio vigilare sullo svolgimento dei giochi. Sontuosi tendaggi dorati ed arazzi coprivano le pedane e, per rinfrescare gli ospiti, da due alte fontane con i bordi muniti di boccali zampillavano vino greco e vino guarnaccia.</w:t>
      </w:r>
      <w:r w:rsidRPr="00096909">
        <w:rPr>
          <w:rStyle w:val="Rimandonotaapidipagina"/>
          <w:rFonts w:ascii="Times New Roman" w:hAnsi="Times New Roman" w:cs="Times New Roman"/>
          <w:sz w:val="24"/>
          <w:szCs w:val="24"/>
        </w:rPr>
        <w:footnoteReference w:id="646"/>
      </w:r>
      <w:r w:rsidRPr="00096909">
        <w:rPr>
          <w:rFonts w:ascii="Times New Roman" w:hAnsi="Times New Roman" w:cs="Times New Roman"/>
          <w:sz w:val="24"/>
          <w:szCs w:val="24"/>
        </w:rPr>
        <w:t xml:space="preserve">   </w:t>
      </w:r>
    </w:p>
    <w:p w14:paraId="3612DAD3"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L’anno seguente, la morte di Francesco Sforza ritardò il trasferimento concordato di Eleonora d’Aragona a Milano quale sposa di Sforza Maria. I capitoli del suo contratto n</w:t>
      </w:r>
      <w:r>
        <w:rPr>
          <w:rFonts w:ascii="Times New Roman" w:hAnsi="Times New Roman" w:cs="Times New Roman"/>
          <w:sz w:val="24"/>
          <w:szCs w:val="24"/>
        </w:rPr>
        <w:t xml:space="preserve">uziale </w:t>
      </w:r>
      <w:r w:rsidRPr="00096909">
        <w:rPr>
          <w:rFonts w:ascii="Times New Roman" w:hAnsi="Times New Roman" w:cs="Times New Roman"/>
          <w:sz w:val="24"/>
          <w:szCs w:val="24"/>
        </w:rPr>
        <w:t>prevedevano inoltre che, prima della consumazione del matrimonio, lo sposo dovesse essere insignito del dominio di una città lombarda. Nel 1468 il nuovo duca di Milano, Galeazzo Maria Sforza, concesse pertanto al fratello il potere su Tortona, cittadina di modeste dimensioni, reputata non sufficientemente ricca da re Ferrante,</w:t>
      </w:r>
      <w:r>
        <w:rPr>
          <w:rFonts w:ascii="Times New Roman" w:hAnsi="Times New Roman" w:cs="Times New Roman"/>
          <w:sz w:val="24"/>
          <w:szCs w:val="24"/>
        </w:rPr>
        <w:t xml:space="preserve"> </w:t>
      </w:r>
      <w:r w:rsidR="001C2ED8">
        <w:rPr>
          <w:rFonts w:ascii="Times New Roman" w:hAnsi="Times New Roman" w:cs="Times New Roman"/>
          <w:sz w:val="24"/>
          <w:szCs w:val="24"/>
        </w:rPr>
        <w:t xml:space="preserve">il quale </w:t>
      </w:r>
      <w:r w:rsidRPr="00096909">
        <w:rPr>
          <w:rFonts w:ascii="Times New Roman" w:hAnsi="Times New Roman" w:cs="Times New Roman"/>
          <w:sz w:val="24"/>
          <w:szCs w:val="24"/>
        </w:rPr>
        <w:t xml:space="preserve">temendo che il duca, in ragione delle proprie recenti </w:t>
      </w:r>
      <w:r w:rsidRPr="00096909">
        <w:rPr>
          <w:rFonts w:ascii="Times New Roman" w:hAnsi="Times New Roman" w:cs="Times New Roman"/>
          <w:sz w:val="24"/>
          <w:szCs w:val="24"/>
        </w:rPr>
        <w:lastRenderedPageBreak/>
        <w:t xml:space="preserve">nozze con Bona di Savoia, potesse iniziare a sostenere con Luigi XI la fazione filoangioina dei sui oppositori, cominciò a valutare la possibilità dell’annullamento dei patti </w:t>
      </w:r>
      <w:r>
        <w:rPr>
          <w:rFonts w:ascii="Times New Roman" w:hAnsi="Times New Roman" w:cs="Times New Roman"/>
          <w:sz w:val="24"/>
          <w:szCs w:val="24"/>
        </w:rPr>
        <w:t>spons</w:t>
      </w:r>
      <w:r w:rsidRPr="00096909">
        <w:rPr>
          <w:rFonts w:ascii="Times New Roman" w:hAnsi="Times New Roman" w:cs="Times New Roman"/>
          <w:sz w:val="24"/>
          <w:szCs w:val="24"/>
        </w:rPr>
        <w:t>ali e a ricercare altri possibili pretendenti per Eleonora.</w:t>
      </w:r>
    </w:p>
    <w:p w14:paraId="0C6191EB"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Dopo lunghe trattative tra le cancellerie aragonese e sforzesca, il 14 luglio 1472 fu siglato l’atto d’intesa e riconciliazione tra le due parti, che prevedeva lo scioglimento del matrimonio e la promessa di nuove nozze tra l’erede di Galeazzo Maria, Gian Galeazzo, e Isabella d’Aragona. Ferrante si impegnava inoltre a dare Eleonora in moglie a un pretendente che non fosse nemico degli Sforza: il duca di Ferrara Ercole I d’Este.</w:t>
      </w:r>
      <w:r w:rsidRPr="00096909">
        <w:rPr>
          <w:rStyle w:val="Rimandonotaapidipagina"/>
          <w:rFonts w:ascii="Times New Roman" w:hAnsi="Times New Roman" w:cs="Times New Roman"/>
          <w:sz w:val="24"/>
          <w:szCs w:val="24"/>
        </w:rPr>
        <w:footnoteReference w:id="647"/>
      </w:r>
    </w:p>
    <w:p w14:paraId="16279FDE"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16 maggio 1473, Sigismondo d’Este, fratello del duca, cui fu affidata la procura delle nozze, giunse a Napoli </w:t>
      </w:r>
      <w:r>
        <w:rPr>
          <w:rFonts w:ascii="Times New Roman" w:hAnsi="Times New Roman" w:cs="Times New Roman"/>
          <w:sz w:val="24"/>
          <w:szCs w:val="24"/>
        </w:rPr>
        <w:t xml:space="preserve">con </w:t>
      </w:r>
      <w:r w:rsidRPr="00096909">
        <w:rPr>
          <w:rFonts w:ascii="Times New Roman" w:hAnsi="Times New Roman" w:cs="Times New Roman"/>
          <w:sz w:val="24"/>
          <w:szCs w:val="24"/>
        </w:rPr>
        <w:t>un corteo composto da circa quattrocento inviati.</w:t>
      </w:r>
      <w:r w:rsidRPr="00096909">
        <w:rPr>
          <w:rStyle w:val="Rimandonotaapidipagina"/>
          <w:rFonts w:ascii="Times New Roman" w:hAnsi="Times New Roman" w:cs="Times New Roman"/>
          <w:sz w:val="24"/>
          <w:szCs w:val="24"/>
        </w:rPr>
        <w:footnoteReference w:id="648"/>
      </w:r>
      <w:r w:rsidRPr="00096909">
        <w:rPr>
          <w:rFonts w:ascii="Times New Roman" w:hAnsi="Times New Roman" w:cs="Times New Roman"/>
          <w:sz w:val="24"/>
          <w:szCs w:val="24"/>
        </w:rPr>
        <w:t xml:space="preserve"> Ricevuto a due miglia dalla città da «don Federico vestito tuto de biancho cum grandissima multitudine de principi, baroni, signori et gentilhomini et de cavalli cum gran brigata de trombeti, pifari et tamburini»</w:t>
      </w:r>
      <w:r w:rsidRPr="00096909">
        <w:rPr>
          <w:rStyle w:val="Rimandonotaapidipagina"/>
          <w:rFonts w:ascii="Times New Roman" w:hAnsi="Times New Roman" w:cs="Times New Roman"/>
          <w:sz w:val="24"/>
          <w:szCs w:val="24"/>
        </w:rPr>
        <w:footnoteReference w:id="649"/>
      </w:r>
      <w:r w:rsidRPr="00096909">
        <w:rPr>
          <w:rFonts w:ascii="Times New Roman" w:hAnsi="Times New Roman" w:cs="Times New Roman"/>
          <w:sz w:val="24"/>
          <w:szCs w:val="24"/>
        </w:rPr>
        <w:t xml:space="preserve"> fu accolto a Castel Nuovo da Ferrante, da Alberto d’Este e dai più alti dignitari di corte, i quali gli presentarono la sposa. Una cavalcata magnifica sfilò poi verso piazza dell’Incoronata, apparata con due tribunali e un palco d’onore «cum uno Hercule che teniva l’arme del re» destinato a Eleonora, che, qui giunta, aprì la serie delle danze. Ricevuta la benedizione sponsale dal cardinale Rovella, vennero presentati i doni mandati da Ercole d’Este e si assistette alla parata dei tavolieri della giostra prevista per il giorno successivo. Un nuovo corteo di duecento paggi, partendo da Castel Nuovo, presentò infine una ricca colazione di statue di zucchero al suono di trombe, pifferi e tamburi. </w:t>
      </w:r>
    </w:p>
    <w:p w14:paraId="092CC3AB"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Non è pervenuta la descrizione </w:t>
      </w:r>
      <w:r>
        <w:rPr>
          <w:rFonts w:ascii="Times New Roman" w:hAnsi="Times New Roman" w:cs="Times New Roman"/>
          <w:sz w:val="24"/>
          <w:szCs w:val="24"/>
        </w:rPr>
        <w:t>su</w:t>
      </w:r>
      <w:r w:rsidRPr="00096909">
        <w:rPr>
          <w:rFonts w:ascii="Times New Roman" w:hAnsi="Times New Roman" w:cs="Times New Roman"/>
          <w:sz w:val="24"/>
          <w:szCs w:val="24"/>
        </w:rPr>
        <w:t xml:space="preserve">lla giostra e </w:t>
      </w:r>
      <w:r>
        <w:rPr>
          <w:rFonts w:ascii="Times New Roman" w:hAnsi="Times New Roman" w:cs="Times New Roman"/>
          <w:sz w:val="24"/>
          <w:szCs w:val="24"/>
        </w:rPr>
        <w:t>su</w:t>
      </w:r>
      <w:r w:rsidRPr="00096909">
        <w:rPr>
          <w:rFonts w:ascii="Times New Roman" w:hAnsi="Times New Roman" w:cs="Times New Roman"/>
          <w:sz w:val="24"/>
          <w:szCs w:val="24"/>
        </w:rPr>
        <w:t xml:space="preserve">lle feste del giorno seguente, ma da una lettera a Ercole d’Este di </w:t>
      </w:r>
      <w:bookmarkStart w:id="479" w:name="_Hlk535997210"/>
      <w:r w:rsidRPr="00096909">
        <w:rPr>
          <w:rFonts w:ascii="Times New Roman" w:hAnsi="Times New Roman" w:cs="Times New Roman"/>
          <w:sz w:val="24"/>
          <w:szCs w:val="24"/>
        </w:rPr>
        <w:t xml:space="preserve">Niccolò Contrari </w:t>
      </w:r>
      <w:bookmarkEnd w:id="479"/>
      <w:r w:rsidRPr="00096909">
        <w:rPr>
          <w:rFonts w:ascii="Times New Roman" w:hAnsi="Times New Roman" w:cs="Times New Roman"/>
          <w:sz w:val="24"/>
          <w:szCs w:val="24"/>
        </w:rPr>
        <w:t xml:space="preserve">siamo informati dei giochi equestri e del grandioso banchetto </w:t>
      </w:r>
      <w:r w:rsidRPr="00096909">
        <w:rPr>
          <w:rFonts w:ascii="Times New Roman" w:hAnsi="Times New Roman" w:cs="Times New Roman"/>
          <w:sz w:val="24"/>
          <w:szCs w:val="24"/>
        </w:rPr>
        <w:lastRenderedPageBreak/>
        <w:t xml:space="preserve">pubblico del 20 di maggio, composto da trentasei imbandigioni e servito dal gran siniscalco del regno, </w:t>
      </w:r>
      <w:bookmarkStart w:id="480" w:name="_Hlk535997503"/>
      <w:r w:rsidRPr="00096909">
        <w:rPr>
          <w:rFonts w:ascii="Times New Roman" w:hAnsi="Times New Roman" w:cs="Times New Roman"/>
          <w:sz w:val="24"/>
          <w:szCs w:val="24"/>
        </w:rPr>
        <w:t>Matteo da Capua</w:t>
      </w:r>
      <w:bookmarkEnd w:id="480"/>
      <w:r w:rsidRPr="00096909">
        <w:rPr>
          <w:rFonts w:ascii="Times New Roman" w:hAnsi="Times New Roman" w:cs="Times New Roman"/>
          <w:sz w:val="24"/>
          <w:szCs w:val="24"/>
        </w:rPr>
        <w:t>, a cavallo.</w:t>
      </w:r>
      <w:r w:rsidRPr="00096909">
        <w:rPr>
          <w:rStyle w:val="Rimandonotaapidipagina"/>
          <w:rFonts w:ascii="Times New Roman" w:hAnsi="Times New Roman" w:cs="Times New Roman"/>
          <w:sz w:val="24"/>
          <w:szCs w:val="24"/>
        </w:rPr>
        <w:footnoteReference w:id="650"/>
      </w:r>
    </w:p>
    <w:p w14:paraId="155B3D8E"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Dalle cedole della tesoreria aragonese apprendiamo che durante la permanenza napoletana della delegazione estense furono offerti anche dei “mimi”. Il 26 giugno e il 26 agosto 1473 si saldavano</w:t>
      </w:r>
      <w:r>
        <w:rPr>
          <w:rFonts w:ascii="Times New Roman" w:hAnsi="Times New Roman" w:cs="Times New Roman"/>
          <w:sz w:val="24"/>
          <w:szCs w:val="24"/>
        </w:rPr>
        <w:t>,</w:t>
      </w:r>
      <w:r w:rsidRPr="00096909">
        <w:rPr>
          <w:rFonts w:ascii="Times New Roman" w:hAnsi="Times New Roman" w:cs="Times New Roman"/>
          <w:sz w:val="24"/>
          <w:szCs w:val="24"/>
        </w:rPr>
        <w:t xml:space="preserve"> infatti</w:t>
      </w:r>
      <w:r>
        <w:rPr>
          <w:rFonts w:ascii="Times New Roman" w:hAnsi="Times New Roman" w:cs="Times New Roman"/>
          <w:sz w:val="24"/>
          <w:szCs w:val="24"/>
        </w:rPr>
        <w:t>,</w:t>
      </w:r>
      <w:r w:rsidRPr="00096909">
        <w:rPr>
          <w:rFonts w:ascii="Times New Roman" w:hAnsi="Times New Roman" w:cs="Times New Roman"/>
          <w:sz w:val="24"/>
          <w:szCs w:val="24"/>
        </w:rPr>
        <w:t xml:space="preserve"> pagamenti a Giovanni Martino, che aveva fornito della tela nera e 180 sonagli di differente grandezza necessari </w:t>
      </w:r>
      <w:r>
        <w:rPr>
          <w:rFonts w:ascii="Times New Roman" w:hAnsi="Times New Roman" w:cs="Times New Roman"/>
          <w:sz w:val="24"/>
          <w:szCs w:val="24"/>
        </w:rPr>
        <w:t>a</w:t>
      </w:r>
      <w:r w:rsidRPr="00096909">
        <w:rPr>
          <w:rFonts w:ascii="Times New Roman" w:hAnsi="Times New Roman" w:cs="Times New Roman"/>
          <w:sz w:val="24"/>
          <w:szCs w:val="24"/>
        </w:rPr>
        <w:t xml:space="preserve"> realizzarli. Si può supporre che si sia trattato di moresche, nelle quali abitualmente i danzatori eseguivano le coreografie con costumi e calzature muniti di sonagli e caratterizzati da colori contrastanti per marcare la divisione tra gruppi di figuranti contrapposti.</w:t>
      </w:r>
      <w:r w:rsidRPr="00096909">
        <w:rPr>
          <w:rStyle w:val="Rimandonotaapidipagina"/>
          <w:rFonts w:ascii="Times New Roman" w:hAnsi="Times New Roman" w:cs="Times New Roman"/>
          <w:sz w:val="24"/>
          <w:szCs w:val="24"/>
        </w:rPr>
        <w:footnoteReference w:id="651"/>
      </w:r>
      <w:r w:rsidRPr="00096909">
        <w:rPr>
          <w:rFonts w:ascii="Times New Roman" w:hAnsi="Times New Roman" w:cs="Times New Roman"/>
          <w:sz w:val="24"/>
          <w:szCs w:val="24"/>
        </w:rPr>
        <w:t xml:space="preserve">   </w:t>
      </w:r>
    </w:p>
    <w:p w14:paraId="68554088" w14:textId="77777777" w:rsidR="00395702" w:rsidRPr="00096909" w:rsidRDefault="00395702" w:rsidP="00395702">
      <w:pPr>
        <w:spacing w:after="0" w:line="360" w:lineRule="auto"/>
        <w:ind w:right="-1"/>
        <w:jc w:val="both"/>
        <w:rPr>
          <w:rFonts w:ascii="Times New Roman" w:hAnsi="Times New Roman" w:cs="Times New Roman"/>
          <w:sz w:val="24"/>
          <w:szCs w:val="24"/>
        </w:rPr>
      </w:pPr>
      <w:r w:rsidRPr="00096909">
        <w:rPr>
          <w:rFonts w:ascii="Times New Roman" w:hAnsi="Times New Roman" w:cs="Times New Roman"/>
          <w:sz w:val="24"/>
          <w:szCs w:val="24"/>
        </w:rPr>
        <w:t xml:space="preserve"> Il 24 maggio 1473 la sposa lasciò infine Napoli, per giungere il 5 giugno, vigilia di Pentecoste, a Roma, dove fu </w:t>
      </w:r>
      <w:r w:rsidR="00101753">
        <w:rPr>
          <w:rFonts w:ascii="Times New Roman" w:hAnsi="Times New Roman" w:cs="Times New Roman"/>
          <w:sz w:val="24"/>
          <w:szCs w:val="24"/>
        </w:rPr>
        <w:t xml:space="preserve">ricevuta </w:t>
      </w:r>
      <w:r w:rsidRPr="00096909">
        <w:rPr>
          <w:rFonts w:ascii="Times New Roman" w:hAnsi="Times New Roman" w:cs="Times New Roman"/>
          <w:sz w:val="24"/>
          <w:szCs w:val="24"/>
        </w:rPr>
        <w:t xml:space="preserve">magnificamente dal cardinale nipote Pietro Riario, che la ospitò nel suo palazzo di piazza Santi Apostoli. </w:t>
      </w:r>
    </w:p>
    <w:p w14:paraId="29999A58"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Riservandoci di descrivere oltre il banchetto allegorico imbandito </w:t>
      </w:r>
      <w:r>
        <w:rPr>
          <w:rFonts w:ascii="Times New Roman" w:hAnsi="Times New Roman" w:cs="Times New Roman"/>
          <w:sz w:val="24"/>
          <w:szCs w:val="24"/>
        </w:rPr>
        <w:t>per</w:t>
      </w:r>
      <w:r w:rsidRPr="00096909">
        <w:rPr>
          <w:rFonts w:ascii="Times New Roman" w:hAnsi="Times New Roman" w:cs="Times New Roman"/>
          <w:sz w:val="24"/>
          <w:szCs w:val="24"/>
        </w:rPr>
        <w:t xml:space="preserve"> </w:t>
      </w:r>
      <w:r>
        <w:rPr>
          <w:rFonts w:ascii="Times New Roman" w:hAnsi="Times New Roman" w:cs="Times New Roman"/>
          <w:sz w:val="24"/>
          <w:szCs w:val="24"/>
        </w:rPr>
        <w:t>l’</w:t>
      </w:r>
      <w:r w:rsidRPr="00096909">
        <w:rPr>
          <w:rFonts w:ascii="Times New Roman" w:hAnsi="Times New Roman" w:cs="Times New Roman"/>
          <w:sz w:val="24"/>
          <w:szCs w:val="24"/>
        </w:rPr>
        <w:t>occasione dal prelato – per il quale disponiamo di analisi condotte da storici del teatro che ne hanno segnalato l’importanza –</w:t>
      </w:r>
      <w:r w:rsidRPr="00096909">
        <w:rPr>
          <w:rStyle w:val="Rimandonotaapidipagina"/>
          <w:rFonts w:ascii="Times New Roman" w:hAnsi="Times New Roman" w:cs="Times New Roman"/>
          <w:sz w:val="24"/>
          <w:szCs w:val="24"/>
        </w:rPr>
        <w:footnoteReference w:id="652"/>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vorrei qui soffermarmi su un altro momento del programma della visita </w:t>
      </w:r>
      <w:r>
        <w:rPr>
          <w:rFonts w:ascii="Times New Roman" w:hAnsi="Times New Roman" w:cs="Times New Roman"/>
          <w:sz w:val="24"/>
          <w:szCs w:val="24"/>
        </w:rPr>
        <w:t>romana</w:t>
      </w:r>
      <w:r w:rsidRPr="00096909">
        <w:rPr>
          <w:rFonts w:ascii="Times New Roman" w:hAnsi="Times New Roman" w:cs="Times New Roman"/>
          <w:sz w:val="24"/>
          <w:szCs w:val="24"/>
        </w:rPr>
        <w:t xml:space="preserve"> della principessa, ossia il suo incontro con Sisto IV, al termine della messa da lui celebrata in San Pietro domenica 6 giugno. Possediamo una testimonianza iconografica diretta dell’evento: uno degli affreschi della corsia sistina dell’Ospedale di Santo Spirito in Sassia, tra gli eventi memorabili del pontificato del della Rovere, immortala Eleonora mentre bacia la sacra pantofola del papa, attorniata da alcuni membri del suo seguito, tra cui i cardinali Pietro Riario e Giuliano della Rovere. Sisto IV, seduto sul faldistorio poggiante su una pedana, benedice la principessa, coronato della tiara, mentre l’iscrizione alla base dell’affresco ricorda come egli </w:t>
      </w:r>
      <w:r>
        <w:rPr>
          <w:rFonts w:ascii="Times New Roman" w:hAnsi="Times New Roman" w:cs="Times New Roman"/>
          <w:sz w:val="24"/>
          <w:szCs w:val="24"/>
        </w:rPr>
        <w:t>avesse</w:t>
      </w:r>
      <w:r w:rsidRPr="00096909">
        <w:rPr>
          <w:rFonts w:ascii="Times New Roman" w:hAnsi="Times New Roman" w:cs="Times New Roman"/>
          <w:sz w:val="24"/>
          <w:szCs w:val="24"/>
        </w:rPr>
        <w:t xml:space="preserve"> accolto la sposa del duca di Ferrara ricolma</w:t>
      </w:r>
      <w:r>
        <w:rPr>
          <w:rFonts w:ascii="Times New Roman" w:hAnsi="Times New Roman" w:cs="Times New Roman"/>
          <w:sz w:val="24"/>
          <w:szCs w:val="24"/>
        </w:rPr>
        <w:t>ndola</w:t>
      </w:r>
      <w:r w:rsidRPr="00096909">
        <w:rPr>
          <w:rFonts w:ascii="Times New Roman" w:hAnsi="Times New Roman" w:cs="Times New Roman"/>
          <w:sz w:val="24"/>
          <w:szCs w:val="24"/>
        </w:rPr>
        <w:t xml:space="preserve"> di </w:t>
      </w:r>
      <w:r w:rsidRPr="00096909">
        <w:rPr>
          <w:rFonts w:ascii="Times New Roman" w:hAnsi="Times New Roman" w:cs="Times New Roman"/>
          <w:i/>
          <w:sz w:val="24"/>
          <w:szCs w:val="24"/>
        </w:rPr>
        <w:t xml:space="preserve">magnificentissimis donis </w:t>
      </w:r>
      <w:r w:rsidRPr="00096909">
        <w:rPr>
          <w:rFonts w:ascii="Times New Roman" w:hAnsi="Times New Roman" w:cs="Times New Roman"/>
          <w:sz w:val="24"/>
          <w:szCs w:val="24"/>
        </w:rPr>
        <w:t>(fig. 5</w:t>
      </w:r>
      <w:r>
        <w:rPr>
          <w:rFonts w:ascii="Times New Roman" w:hAnsi="Times New Roman" w:cs="Times New Roman"/>
          <w:sz w:val="24"/>
          <w:szCs w:val="24"/>
        </w:rPr>
        <w:t>1</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653"/>
      </w:r>
      <w:r w:rsidRPr="00096909">
        <w:rPr>
          <w:rFonts w:ascii="Times New Roman" w:hAnsi="Times New Roman" w:cs="Times New Roman"/>
          <w:sz w:val="24"/>
          <w:szCs w:val="24"/>
        </w:rPr>
        <w:t xml:space="preserve"> Una lettera di Eleonora spedita il 10 giugno 1473 da Campagnano precisa quali furono le circostanze nelle quali ella omaggiò il pontefice: </w:t>
      </w:r>
    </w:p>
    <w:p w14:paraId="04C2DBE4"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p>
    <w:p w14:paraId="427A7CF7"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lastRenderedPageBreak/>
        <w:t>La domeneca matino per ordene della Santità de N.S. andammo ad San Pietro ad vedere la soa messa et fomo adcompagnate allo andare et tornare dalli predicti reverendissimi cardinali de sancto Sisto et de Sancto Petro in vincula. Fo cum nuy la regina de Bosnia. Audita la messa vasammo lu pede ad Soa Sanctità. Vedone volenteri et fecene bona accollenza demonstrando havere havuto piacere de nostra venuta.</w:t>
      </w:r>
      <w:r w:rsidRPr="00096909">
        <w:rPr>
          <w:rStyle w:val="Rimandonotaapidipagina"/>
          <w:rFonts w:ascii="Times New Roman" w:hAnsi="Times New Roman" w:cs="Times New Roman"/>
        </w:rPr>
        <w:footnoteReference w:id="654"/>
      </w:r>
    </w:p>
    <w:p w14:paraId="7018DFFA"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p>
    <w:p w14:paraId="05556845"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Dalla lettura del documento entriamo così in possesso dei dati necessari a identificare la figura femminile dipinta alle spalle della sposa, che avanza con nobile portamento rivendicando una posizione eminente nella scena. Si tratta della beata Caterina Vukčić, regina esule di Bosnia, la quale dopo la conquista del suo regno da parte delle armate di Maometto II (1463) era fuggita a Roma, trovando ospitalità presso il papa.</w:t>
      </w:r>
      <w:r w:rsidRPr="00096909">
        <w:rPr>
          <w:rStyle w:val="Rimandonotaapidipagina"/>
          <w:rFonts w:ascii="Times New Roman" w:hAnsi="Times New Roman" w:cs="Times New Roman"/>
          <w:sz w:val="24"/>
          <w:szCs w:val="24"/>
        </w:rPr>
        <w:footnoteReference w:id="655"/>
      </w:r>
      <w:r w:rsidRPr="00096909">
        <w:rPr>
          <w:rFonts w:ascii="Times New Roman" w:hAnsi="Times New Roman" w:cs="Times New Roman"/>
          <w:sz w:val="24"/>
          <w:szCs w:val="24"/>
        </w:rPr>
        <w:t xml:space="preserve"> La descrizione di Eleonora consente in questo caso di chiarire l’iconografia dell’affresco che ritrae la cerimonia e di dare un nome ai suoi partecipanti. A Roma era dunque rimasta una testimonianza del passaggio del magnifico corteo della duchessa di Ferrara, che il 13 giugno si mise nuovamente sulla strada per Siena. Qui, come già per la sosta di Ippolita Sforza, fu ancora Tommaso Pecci ad accogliere la sposa in casa sua tra danze e balli per quattro giorni.</w:t>
      </w:r>
      <w:r w:rsidRPr="00096909">
        <w:rPr>
          <w:rStyle w:val="Rimandonotaapidipagina"/>
          <w:rFonts w:ascii="Times New Roman" w:hAnsi="Times New Roman" w:cs="Times New Roman"/>
          <w:sz w:val="24"/>
          <w:szCs w:val="24"/>
        </w:rPr>
        <w:footnoteReference w:id="656"/>
      </w:r>
      <w:r w:rsidRPr="00096909">
        <w:rPr>
          <w:rFonts w:ascii="Times New Roman" w:hAnsi="Times New Roman" w:cs="Times New Roman"/>
          <w:sz w:val="24"/>
          <w:szCs w:val="24"/>
        </w:rPr>
        <w:t xml:space="preserve"> La sera del 21 giugno la comitiva si spostò a San Casciano, così da entrare a Firenze il 22 per assistere alle feste per il santo patrono. Il 23 giugno Eleonora ammirò la processione degli edifizi in piazza della Signoria, mentre il 24, dopo la corsa del palio, Lorenzo e Giuliano de’ Medici servirono in livrea una colazione alla duchessa, che rimase gradevolmente colpita dalla gentile accoglienza riservatale nella residenza di via Larga.</w:t>
      </w:r>
      <w:r w:rsidRPr="00096909">
        <w:rPr>
          <w:rStyle w:val="Rimandonotaapidipagina"/>
          <w:rFonts w:ascii="Times New Roman" w:hAnsi="Times New Roman" w:cs="Times New Roman"/>
          <w:sz w:val="24"/>
          <w:szCs w:val="24"/>
        </w:rPr>
        <w:footnoteReference w:id="657"/>
      </w:r>
    </w:p>
    <w:p w14:paraId="388DC8A7"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Attraversate le terre della Romagna, senza passare per Bologna, il 2 luglio Eleonora giunse ad Argenta, dove trascorse una giornata di riposo e dove la attendeva un bucintoro da parata. Il giorno seguente navigando sulle acque del Po, lungo le cui rive si accalcavano gli abitanti dei villaggi vicini per salutarla, la principessa giunse all’altezza di Ponte San Giorgio, dove incontrò Ercole, con cui fece il suo ingresso </w:t>
      </w:r>
      <w:r>
        <w:rPr>
          <w:rFonts w:ascii="Times New Roman" w:hAnsi="Times New Roman" w:cs="Times New Roman"/>
          <w:sz w:val="24"/>
          <w:szCs w:val="24"/>
        </w:rPr>
        <w:t>nel</w:t>
      </w:r>
      <w:r w:rsidRPr="00096909">
        <w:rPr>
          <w:rFonts w:ascii="Times New Roman" w:hAnsi="Times New Roman" w:cs="Times New Roman"/>
          <w:sz w:val="24"/>
          <w:szCs w:val="24"/>
        </w:rPr>
        <w:t xml:space="preserve">le vie di Ferrara, diretta al palazzo ducale. Incedeva sotto un baldacchino sorretto da membri del collegio dei dottori della città, al suono delle campane e con </w:t>
      </w:r>
      <w:r w:rsidRPr="00096909">
        <w:rPr>
          <w:rFonts w:ascii="Times New Roman" w:hAnsi="Times New Roman" w:cs="Times New Roman"/>
          <w:sz w:val="24"/>
          <w:szCs w:val="24"/>
        </w:rPr>
        <w:lastRenderedPageBreak/>
        <w:t>le armonie dei musici del corteo</w:t>
      </w:r>
      <w:r w:rsidR="00A974B2">
        <w:rPr>
          <w:rFonts w:ascii="Times New Roman" w:hAnsi="Times New Roman" w:cs="Times New Roman"/>
          <w:sz w:val="24"/>
          <w:szCs w:val="24"/>
        </w:rPr>
        <w:t>. A</w:t>
      </w:r>
      <w:r w:rsidRPr="00096909">
        <w:rPr>
          <w:rFonts w:ascii="Times New Roman" w:hAnsi="Times New Roman" w:cs="Times New Roman"/>
          <w:sz w:val="24"/>
          <w:szCs w:val="24"/>
        </w:rPr>
        <w:t>l popolo appariva stupenda e regale nel suo abito di broccato dorato. Poiché figlia di re, ebbe inoltre l’onore di indossare la corona.</w:t>
      </w:r>
      <w:r w:rsidRPr="00096909">
        <w:rPr>
          <w:rStyle w:val="Rimandonotaapidipagina"/>
          <w:rFonts w:ascii="Times New Roman" w:hAnsi="Times New Roman" w:cs="Times New Roman"/>
          <w:sz w:val="24"/>
          <w:szCs w:val="24"/>
        </w:rPr>
        <w:footnoteReference w:id="658"/>
      </w:r>
      <w:r w:rsidRPr="00096909">
        <w:rPr>
          <w:rFonts w:ascii="Times New Roman" w:hAnsi="Times New Roman" w:cs="Times New Roman"/>
          <w:sz w:val="24"/>
          <w:szCs w:val="24"/>
        </w:rPr>
        <w:t xml:space="preserve"> </w:t>
      </w:r>
    </w:p>
    <w:p w14:paraId="3257813D"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Questo trionfale ingresso di Eleonora lasciò un’altra traccia iconografica monumentale nei perduti affreschi della delizia di Belfiore fatti eseguire intorno agli anni Novanta del Quattrocento da Ercole I, in sostituzione di un precedente ciclo dedicato alle imprese di Alberto d’Este. Così li descrisse Sabadino degli Arienti nel libro V del trattato </w:t>
      </w:r>
      <w:r w:rsidRPr="00096909">
        <w:rPr>
          <w:rFonts w:ascii="Times New Roman" w:hAnsi="Times New Roman" w:cs="Times New Roman"/>
          <w:i/>
          <w:sz w:val="24"/>
          <w:szCs w:val="24"/>
        </w:rPr>
        <w:t>De triumphis religionis</w:t>
      </w:r>
      <w:r w:rsidRPr="00096909">
        <w:rPr>
          <w:rFonts w:ascii="Times New Roman" w:hAnsi="Times New Roman" w:cs="Times New Roman"/>
          <w:sz w:val="24"/>
          <w:szCs w:val="24"/>
        </w:rPr>
        <w:t xml:space="preserve">, intitolato </w:t>
      </w:r>
      <w:r w:rsidRPr="00096909">
        <w:rPr>
          <w:rFonts w:ascii="Times New Roman" w:hAnsi="Times New Roman" w:cs="Times New Roman"/>
          <w:i/>
          <w:sz w:val="24"/>
          <w:szCs w:val="24"/>
        </w:rPr>
        <w:t>Del triumpho e dignità della magnificentia, in cui si ricorda le nuptie ducale et la gloria deli edificati templi e deli palaci, zardini e acrescimento dela bella cità de Ferrara</w:t>
      </w:r>
      <w:r w:rsidRPr="00096909">
        <w:rPr>
          <w:rFonts w:ascii="Times New Roman" w:hAnsi="Times New Roman" w:cs="Times New Roman"/>
          <w:sz w:val="24"/>
          <w:szCs w:val="24"/>
        </w:rPr>
        <w:t xml:space="preserve">:    </w:t>
      </w:r>
    </w:p>
    <w:p w14:paraId="6205E171" w14:textId="77777777" w:rsidR="00395702" w:rsidRPr="00096909" w:rsidRDefault="00395702" w:rsidP="00395702">
      <w:pPr>
        <w:spacing w:after="0" w:line="360" w:lineRule="auto"/>
        <w:ind w:right="-1" w:firstLine="397"/>
        <w:jc w:val="both"/>
        <w:rPr>
          <w:rFonts w:ascii="Times New Roman" w:hAnsi="Times New Roman" w:cs="Times New Roman"/>
        </w:rPr>
      </w:pPr>
    </w:p>
    <w:p w14:paraId="16A6958D" w14:textId="77777777" w:rsidR="00395702" w:rsidRPr="00096909" w:rsidRDefault="00395702" w:rsidP="00395702">
      <w:pPr>
        <w:tabs>
          <w:tab w:val="left" w:pos="9072"/>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Poi a mano dextra entrando in questa logia, vidi uno salotto col cielo voltato de ligname, ornato de rose in quadri de righe pincte, et ad uno lato gli è la triumphale e regale venuta ad marito dela serena memoria de Madama Elionora, tua chara et pudicissima moglie. E dall’altro uno bellissimo torniamento d’arme et il danzare che se facea in la grande sala sopra il tribunale per la matrimoniale festa, con la pompa di festanti gioveni e dame de riche vestimente e de geme ornate, che neli visi pareano parlante e negl’occhii pieni de focosi ragi sentilare.</w:t>
      </w:r>
      <w:r w:rsidRPr="00096909">
        <w:rPr>
          <w:rStyle w:val="Rimandonotaapidipagina"/>
          <w:rFonts w:ascii="Times New Roman" w:hAnsi="Times New Roman" w:cs="Times New Roman"/>
          <w:sz w:val="24"/>
          <w:szCs w:val="24"/>
        </w:rPr>
        <w:footnoteReference w:id="659"/>
      </w:r>
      <w:r w:rsidRPr="00096909">
        <w:rPr>
          <w:rFonts w:ascii="Times New Roman" w:hAnsi="Times New Roman" w:cs="Times New Roman"/>
          <w:sz w:val="24"/>
          <w:szCs w:val="24"/>
        </w:rPr>
        <w:t xml:space="preserve"> </w:t>
      </w:r>
      <w:r w:rsidRPr="00096909">
        <w:rPr>
          <w:rFonts w:ascii="Times New Roman" w:hAnsi="Times New Roman" w:cs="Times New Roman"/>
          <w:sz w:val="20"/>
          <w:szCs w:val="20"/>
        </w:rPr>
        <w:t xml:space="preserve">     </w:t>
      </w:r>
    </w:p>
    <w:p w14:paraId="0FC41279"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p>
    <w:p w14:paraId="70057409"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viaggio della sposa, concluso il suo spettacolo itinerante, lasciava così nelle parole dei cronisti e negli affreschi degli artisti della corte di Ercole I un ricordo del proprio sfarzo, </w:t>
      </w:r>
      <w:r>
        <w:rPr>
          <w:rFonts w:ascii="Times New Roman" w:hAnsi="Times New Roman" w:cs="Times New Roman"/>
          <w:sz w:val="24"/>
          <w:szCs w:val="24"/>
        </w:rPr>
        <w:t>che</w:t>
      </w:r>
      <w:r w:rsidRPr="00096909">
        <w:rPr>
          <w:rFonts w:ascii="Times New Roman" w:hAnsi="Times New Roman" w:cs="Times New Roman"/>
          <w:sz w:val="24"/>
          <w:szCs w:val="24"/>
        </w:rPr>
        <w:t xml:space="preserve"> esattamente come i tornei e le danze in onore del lieto evento, rimaneva affrescato sulle pareti di Belfiore. Questa continuità documentale mi sembra sottolineare ancora una volta come il viaggio, al pari degli altri momenti della festa, facesse pienamente parte del complesso meccanismo dei festeggiamenti. </w:t>
      </w:r>
    </w:p>
    <w:p w14:paraId="1C41736F"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L’8 luglio 1475 la politica matrimoniale di Ferrante d’Aragona conseguì un altro importante risultato: l’accordo per le nozze tra sua figlia Beatrice e Mattia Corvino, al quale venne promessa una cospicua dote di 170.000 ducati d’oro, cui si aggiungevano altri 30.000 ducati in gioielli. Per radunare la cifra pattuita il re di Napoli dovette ricorrere all’aumento della tassazione ordinaria dei suoi sudditi e dei suoi baroni, come annotò Angelo de Tummulillis.</w:t>
      </w:r>
      <w:r w:rsidRPr="00096909">
        <w:rPr>
          <w:rStyle w:val="Rimandonotaapidipagina"/>
          <w:rFonts w:ascii="Times New Roman" w:hAnsi="Times New Roman" w:cs="Times New Roman"/>
          <w:sz w:val="24"/>
          <w:szCs w:val="24"/>
        </w:rPr>
        <w:footnoteReference w:id="660"/>
      </w:r>
      <w:r w:rsidRPr="00096909">
        <w:rPr>
          <w:rFonts w:ascii="Times New Roman" w:hAnsi="Times New Roman" w:cs="Times New Roman"/>
          <w:sz w:val="24"/>
          <w:szCs w:val="24"/>
        </w:rPr>
        <w:t xml:space="preserve"> </w:t>
      </w:r>
    </w:p>
    <w:p w14:paraId="15F62E09"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Per parte sua, il sovrano d’Ungheria ebbe cura di organizzare una delegazione formata da 756 membri, alla testa della quale pose il vescovo di Breslau, </w:t>
      </w:r>
      <w:bookmarkStart w:id="481" w:name="_Hlk535998889"/>
      <w:r w:rsidRPr="00096909">
        <w:rPr>
          <w:rFonts w:ascii="Times New Roman" w:hAnsi="Times New Roman" w:cs="Times New Roman"/>
          <w:sz w:val="24"/>
          <w:szCs w:val="24"/>
        </w:rPr>
        <w:t>Rodolfo di Rudesheim</w:t>
      </w:r>
      <w:bookmarkEnd w:id="481"/>
      <w:r w:rsidRPr="00096909">
        <w:rPr>
          <w:rFonts w:ascii="Times New Roman" w:hAnsi="Times New Roman" w:cs="Times New Roman"/>
          <w:sz w:val="24"/>
          <w:szCs w:val="24"/>
        </w:rPr>
        <w:t xml:space="preserve">, e </w:t>
      </w:r>
      <w:bookmarkStart w:id="482" w:name="_Hlk535998944"/>
      <w:r w:rsidRPr="00096909">
        <w:rPr>
          <w:rFonts w:ascii="Times New Roman" w:hAnsi="Times New Roman" w:cs="Times New Roman"/>
          <w:sz w:val="24"/>
          <w:szCs w:val="24"/>
        </w:rPr>
        <w:t>Giovanni Filipecz</w:t>
      </w:r>
      <w:bookmarkEnd w:id="482"/>
      <w:r w:rsidRPr="00096909">
        <w:rPr>
          <w:rFonts w:ascii="Times New Roman" w:hAnsi="Times New Roman" w:cs="Times New Roman"/>
          <w:sz w:val="24"/>
          <w:szCs w:val="24"/>
        </w:rPr>
        <w:t xml:space="preserve">, vescovo di Nagyvàrad. </w:t>
      </w:r>
      <w:r>
        <w:rPr>
          <w:rFonts w:ascii="Times New Roman" w:hAnsi="Times New Roman" w:cs="Times New Roman"/>
          <w:sz w:val="24"/>
          <w:szCs w:val="24"/>
        </w:rPr>
        <w:t xml:space="preserve">In propria rappresentanza </w:t>
      </w:r>
      <w:r w:rsidRPr="00096909">
        <w:rPr>
          <w:rFonts w:ascii="Times New Roman" w:hAnsi="Times New Roman" w:cs="Times New Roman"/>
          <w:sz w:val="24"/>
          <w:szCs w:val="24"/>
        </w:rPr>
        <w:t xml:space="preserve">inviò inoltre il cugino, voivoda di Transilvania, </w:t>
      </w:r>
      <w:bookmarkStart w:id="483" w:name="_Hlk535998997"/>
      <w:r w:rsidRPr="00096909">
        <w:rPr>
          <w:rFonts w:ascii="Times New Roman" w:hAnsi="Times New Roman" w:cs="Times New Roman"/>
          <w:sz w:val="24"/>
          <w:szCs w:val="24"/>
        </w:rPr>
        <w:t>Giovanni Pongrácz</w:t>
      </w:r>
      <w:bookmarkEnd w:id="483"/>
      <w:r w:rsidRPr="00096909">
        <w:rPr>
          <w:rFonts w:ascii="Times New Roman" w:hAnsi="Times New Roman" w:cs="Times New Roman"/>
          <w:sz w:val="24"/>
          <w:szCs w:val="24"/>
        </w:rPr>
        <w:t xml:space="preserve">, cui aveva affidato il compito di sposare Beatrice per procura. </w:t>
      </w:r>
    </w:p>
    <w:p w14:paraId="2050D867"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Partita alla metà di giugno da Buda, l’ambasceria, alla quale si erano aggiunte lungo la via le delegazioni provenienti dalla Moravia, dalla Boemia e dalla Slesia, giunse a Venezia ai primi di agosto del 1476. Il legato sforzesco ivi residente, Leonardo Botta, ne diede pronta comunicazione al duca di Milano in una missiva datata 6 settembre, segnalando lo stupore che il suo passaggio destava per la ricercatezza degli abiti e dei gioielli sfoggiati, oltre che per la presenza di venti prigionieri turchi abbigliati alla moda orientale.</w:t>
      </w:r>
      <w:r w:rsidRPr="00096909">
        <w:rPr>
          <w:rStyle w:val="Rimandonotaapidipagina"/>
          <w:rFonts w:ascii="Times New Roman" w:hAnsi="Times New Roman" w:cs="Times New Roman"/>
          <w:sz w:val="24"/>
          <w:szCs w:val="24"/>
        </w:rPr>
        <w:footnoteReference w:id="661"/>
      </w:r>
      <w:r w:rsidRPr="00096909">
        <w:rPr>
          <w:rFonts w:ascii="Times New Roman" w:hAnsi="Times New Roman" w:cs="Times New Roman"/>
          <w:sz w:val="24"/>
          <w:szCs w:val="24"/>
        </w:rPr>
        <w:t xml:space="preserve">  </w:t>
      </w:r>
    </w:p>
    <w:p w14:paraId="588AA5AF"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L’ingresso degli ungheresi a Napoli è annotato il 7 settembre nei </w:t>
      </w:r>
      <w:r w:rsidRPr="00096909">
        <w:rPr>
          <w:rFonts w:ascii="Times New Roman" w:hAnsi="Times New Roman" w:cs="Times New Roman"/>
          <w:i/>
          <w:sz w:val="24"/>
          <w:szCs w:val="24"/>
        </w:rPr>
        <w:t>Notabilia Temporum</w:t>
      </w:r>
      <w:r w:rsidRPr="00096909">
        <w:rPr>
          <w:rFonts w:ascii="Times New Roman" w:hAnsi="Times New Roman" w:cs="Times New Roman"/>
          <w:sz w:val="24"/>
          <w:szCs w:val="24"/>
        </w:rPr>
        <w:t>, dove si accenna genericamente alle danze e ai conviti che intrattennero la delegazione fino al 15 settembre, giorno delle nozze.</w:t>
      </w:r>
      <w:r w:rsidRPr="00096909">
        <w:rPr>
          <w:rStyle w:val="Rimandonotaapidipagina"/>
          <w:rFonts w:ascii="Times New Roman" w:hAnsi="Times New Roman" w:cs="Times New Roman"/>
          <w:sz w:val="24"/>
          <w:szCs w:val="24"/>
        </w:rPr>
        <w:footnoteReference w:id="662"/>
      </w:r>
      <w:r w:rsidRPr="00096909">
        <w:rPr>
          <w:rFonts w:ascii="Times New Roman" w:hAnsi="Times New Roman" w:cs="Times New Roman"/>
          <w:sz w:val="24"/>
          <w:szCs w:val="24"/>
        </w:rPr>
        <w:t xml:space="preserve"> Le cerimonie sponsali e l’incoronazione di Beatrice, officiate dal cardinale </w:t>
      </w:r>
      <w:bookmarkStart w:id="484" w:name="_Hlk535999084"/>
      <w:r w:rsidRPr="00096909">
        <w:rPr>
          <w:rFonts w:ascii="Times New Roman" w:hAnsi="Times New Roman" w:cs="Times New Roman"/>
          <w:sz w:val="24"/>
          <w:szCs w:val="24"/>
        </w:rPr>
        <w:t>Oliviero Carafa</w:t>
      </w:r>
      <w:bookmarkEnd w:id="484"/>
      <w:r w:rsidRPr="00096909">
        <w:rPr>
          <w:rFonts w:ascii="Times New Roman" w:hAnsi="Times New Roman" w:cs="Times New Roman"/>
          <w:sz w:val="24"/>
          <w:szCs w:val="24"/>
        </w:rPr>
        <w:t xml:space="preserve">, si svolsero su un tribunale appositamente montato nella Piazza dell’Incoronata, confermata quale luogo prediletto della festa dinastica pubblica aragonese, e furono precedute dal corteo di re Ferrante, del quale così informano i </w:t>
      </w:r>
      <w:r w:rsidRPr="00096909">
        <w:rPr>
          <w:rFonts w:ascii="Times New Roman" w:hAnsi="Times New Roman" w:cs="Times New Roman"/>
          <w:i/>
          <w:sz w:val="24"/>
          <w:szCs w:val="24"/>
        </w:rPr>
        <w:t>Diurnali</w:t>
      </w:r>
      <w:r w:rsidRPr="00096909">
        <w:rPr>
          <w:rFonts w:ascii="Times New Roman" w:hAnsi="Times New Roman" w:cs="Times New Roman"/>
          <w:sz w:val="24"/>
          <w:szCs w:val="24"/>
        </w:rPr>
        <w:t xml:space="preserve"> del duca di Monteleone: «Il re uscio dal Castello Novo ad cavallo con l’habito reale et la corona in testa facendo buttare moneta d’argento sino al Catafalco».</w:t>
      </w:r>
      <w:r w:rsidRPr="00096909">
        <w:rPr>
          <w:rStyle w:val="Rimandonotaapidipagina"/>
          <w:rFonts w:ascii="Times New Roman" w:hAnsi="Times New Roman" w:cs="Times New Roman"/>
          <w:sz w:val="24"/>
          <w:szCs w:val="24"/>
        </w:rPr>
        <w:footnoteReference w:id="663"/>
      </w:r>
      <w:r w:rsidRPr="00096909">
        <w:rPr>
          <w:rFonts w:ascii="Times New Roman" w:hAnsi="Times New Roman" w:cs="Times New Roman"/>
          <w:sz w:val="24"/>
          <w:szCs w:val="24"/>
        </w:rPr>
        <w:t xml:space="preserve"> </w:t>
      </w:r>
    </w:p>
    <w:p w14:paraId="5A03023D"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Il 18 settembre ebbe inizio il lungo viaggio di Beatrice d’Aragona, accompagnata alla corte di Buda da suo fratello, Francesco, che lì sarebbe rimasto per completare la sua educazione fino al 1484.</w:t>
      </w:r>
      <w:r w:rsidRPr="00096909">
        <w:rPr>
          <w:rStyle w:val="Rimandonotaapidipagina"/>
          <w:rFonts w:ascii="Times New Roman" w:hAnsi="Times New Roman" w:cs="Times New Roman"/>
          <w:sz w:val="24"/>
          <w:szCs w:val="24"/>
        </w:rPr>
        <w:footnoteReference w:id="664"/>
      </w:r>
      <w:r w:rsidRPr="00096909">
        <w:rPr>
          <w:rFonts w:ascii="Times New Roman" w:hAnsi="Times New Roman" w:cs="Times New Roman"/>
          <w:sz w:val="24"/>
          <w:szCs w:val="24"/>
        </w:rPr>
        <w:t xml:space="preserve"> Il duca di Calabria, Alfonso d’Aragona, aprì il corteo di nobili e cortigiani che sfilò per i seggi di Napoli nel giorno della partenza e che scortò la sposa a Benevento e da lì alle rive dell’Adriatico, dove «alli 2 di ottobre in Manfredonia se imbarcò sopra 4 galere et altri navilij assai et se ne andai in Ungheria».</w:t>
      </w:r>
      <w:r w:rsidRPr="00096909">
        <w:rPr>
          <w:rStyle w:val="Rimandonotaapidipagina"/>
          <w:rFonts w:ascii="Times New Roman" w:hAnsi="Times New Roman" w:cs="Times New Roman"/>
          <w:sz w:val="24"/>
          <w:szCs w:val="24"/>
        </w:rPr>
        <w:footnoteReference w:id="665"/>
      </w:r>
      <w:r w:rsidRPr="00096909">
        <w:rPr>
          <w:rFonts w:ascii="Times New Roman" w:hAnsi="Times New Roman" w:cs="Times New Roman"/>
          <w:sz w:val="24"/>
          <w:szCs w:val="24"/>
        </w:rPr>
        <w:t xml:space="preserve"> </w:t>
      </w:r>
    </w:p>
    <w:p w14:paraId="4079CBEE"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navigazione fu tutt’altro che tranquilla. Le navi, agitate da tempeste e venti contrari, giunsero a Chioggia solo dopo dieci giorni. Seguì un trasferimento a Corbola, dove i duchi di </w:t>
      </w:r>
      <w:r w:rsidRPr="00096909">
        <w:rPr>
          <w:rFonts w:ascii="Times New Roman" w:hAnsi="Times New Roman" w:cs="Times New Roman"/>
          <w:sz w:val="24"/>
          <w:szCs w:val="24"/>
        </w:rPr>
        <w:lastRenderedPageBreak/>
        <w:t>Ferrara avevano preparato gli alloggi per consentire a Beatrice e al suo seguito di fare una sosta. Il 16 ottobre, solcando il corso del Po su barche da parata, la regina d’Ungheria giunse nei pressi di Ferrara, dove fu ricevuta con grandissimi onori a Porta San Biagio da Ercole d’Este e da sua sorella, la duchessa Eleonora. Sotto un baldacchino dorato e indossando la corona ella entrò nella città, dove si trattenne fino al 21 del mese.</w:t>
      </w:r>
      <w:r w:rsidRPr="00096909">
        <w:rPr>
          <w:rStyle w:val="Rimandonotaapidipagina"/>
          <w:rFonts w:ascii="Times New Roman" w:hAnsi="Times New Roman" w:cs="Times New Roman"/>
          <w:sz w:val="24"/>
          <w:szCs w:val="24"/>
        </w:rPr>
        <w:footnoteReference w:id="666"/>
      </w:r>
      <w:r w:rsidRPr="00096909">
        <w:rPr>
          <w:rFonts w:ascii="Times New Roman" w:hAnsi="Times New Roman" w:cs="Times New Roman"/>
          <w:sz w:val="24"/>
          <w:szCs w:val="24"/>
        </w:rPr>
        <w:t xml:space="preserve"> In tale data la comitiva fece tappa a Rovigo, per poi raggiungere nuovamente Chioggia e quindi dirigersi a Malamocco. Qui un’ambasceria di quaranta delegati inviata dalla Repubblica di Venezia fece visita alla sposa, la quale a San Clemente fu ricevuta dal doge </w:t>
      </w:r>
      <w:bookmarkStart w:id="485" w:name="_Hlk535999211"/>
      <w:r w:rsidRPr="00096909">
        <w:rPr>
          <w:rFonts w:ascii="Times New Roman" w:hAnsi="Times New Roman" w:cs="Times New Roman"/>
          <w:sz w:val="24"/>
          <w:szCs w:val="24"/>
        </w:rPr>
        <w:t>Andrea Vendramin</w:t>
      </w:r>
      <w:bookmarkEnd w:id="485"/>
      <w:r w:rsidRPr="00096909">
        <w:rPr>
          <w:rFonts w:ascii="Times New Roman" w:hAnsi="Times New Roman" w:cs="Times New Roman"/>
          <w:sz w:val="24"/>
          <w:szCs w:val="24"/>
        </w:rPr>
        <w:t>, giunto su un bucintoro dorato per accompagnarla in visita alla città di san Marco.</w:t>
      </w:r>
      <w:r w:rsidRPr="00096909">
        <w:rPr>
          <w:rStyle w:val="Rimandonotaapidipagina"/>
          <w:rFonts w:ascii="Times New Roman" w:hAnsi="Times New Roman" w:cs="Times New Roman"/>
          <w:sz w:val="24"/>
          <w:szCs w:val="24"/>
        </w:rPr>
        <w:footnoteReference w:id="667"/>
      </w:r>
      <w:r w:rsidRPr="00096909">
        <w:rPr>
          <w:rFonts w:ascii="Times New Roman" w:hAnsi="Times New Roman" w:cs="Times New Roman"/>
          <w:sz w:val="24"/>
          <w:szCs w:val="24"/>
        </w:rPr>
        <w:t xml:space="preserve"> </w:t>
      </w:r>
    </w:p>
    <w:p w14:paraId="1B914746"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Il 29 ottobre 1476 Beatrice, giungendo a Treviso, congedò i dignitari napoletani che il padre le aveva assegnato come scorta e proseguì il viaggio verso le montagne del Friuli con i cortigiani destinati a rimanere con lei in Ungheria verso le montagne del Friuli. La attendeva un itinerario ancora lungo, tra le nevi e il freddo dell’inverno, che la avrebbe condotta a Buda solo l’8 dicembre.</w:t>
      </w:r>
      <w:r w:rsidRPr="00096909">
        <w:rPr>
          <w:rStyle w:val="Rimandonotaapidipagina"/>
          <w:rFonts w:ascii="Times New Roman" w:hAnsi="Times New Roman" w:cs="Times New Roman"/>
          <w:sz w:val="24"/>
          <w:szCs w:val="24"/>
        </w:rPr>
        <w:footnoteReference w:id="668"/>
      </w:r>
    </w:p>
    <w:p w14:paraId="2F680BCB"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viaggio della sposa di Mattia Corvino si era dunque svolto per terra e per mare, a bordo delle galee della flotta aragonese. Analogamente, come visto nel capitolo precedente, anche Isabella d’Aragona e il suo seguito tra il 30 dicembre 1488 e il 17 gennaio 1489 </w:t>
      </w:r>
      <w:r>
        <w:rPr>
          <w:rFonts w:ascii="Times New Roman" w:hAnsi="Times New Roman" w:cs="Times New Roman"/>
          <w:sz w:val="24"/>
          <w:szCs w:val="24"/>
        </w:rPr>
        <w:t xml:space="preserve">avevano </w:t>
      </w:r>
      <w:r w:rsidRPr="00096909">
        <w:rPr>
          <w:rFonts w:ascii="Times New Roman" w:hAnsi="Times New Roman" w:cs="Times New Roman"/>
          <w:sz w:val="24"/>
          <w:szCs w:val="24"/>
        </w:rPr>
        <w:t>solca</w:t>
      </w:r>
      <w:r>
        <w:rPr>
          <w:rFonts w:ascii="Times New Roman" w:hAnsi="Times New Roman" w:cs="Times New Roman"/>
          <w:sz w:val="24"/>
          <w:szCs w:val="24"/>
        </w:rPr>
        <w:t>t</w:t>
      </w:r>
      <w:r w:rsidRPr="00096909">
        <w:rPr>
          <w:rFonts w:ascii="Times New Roman" w:hAnsi="Times New Roman" w:cs="Times New Roman"/>
          <w:sz w:val="24"/>
          <w:szCs w:val="24"/>
        </w:rPr>
        <w:t>o il mare per raggiungere Genova e da lì proseguire il tragitto verso Milano. La navigazione era stata funestata dai venti invernali, così come due anni più tardi, in un mese di gennaio particolarmente</w:t>
      </w:r>
      <w:r w:rsidRPr="00096909">
        <w:rPr>
          <w:rStyle w:val="Rimandonotaapidipagina"/>
          <w:rFonts w:ascii="Times New Roman" w:hAnsi="Times New Roman" w:cs="Times New Roman"/>
          <w:sz w:val="24"/>
          <w:szCs w:val="24"/>
        </w:rPr>
        <w:t xml:space="preserve"> </w:t>
      </w:r>
      <w:r w:rsidRPr="00096909">
        <w:rPr>
          <w:rFonts w:ascii="Times New Roman" w:hAnsi="Times New Roman" w:cs="Times New Roman"/>
          <w:sz w:val="24"/>
          <w:szCs w:val="24"/>
        </w:rPr>
        <w:t>rigido,</w:t>
      </w:r>
      <w:r w:rsidRPr="00096909">
        <w:rPr>
          <w:rStyle w:val="Rimandonotaapidipagina"/>
          <w:rFonts w:ascii="Times New Roman" w:hAnsi="Times New Roman" w:cs="Times New Roman"/>
          <w:sz w:val="24"/>
          <w:szCs w:val="24"/>
        </w:rPr>
        <w:footnoteReference w:id="669"/>
      </w:r>
      <w:r w:rsidRPr="00096909">
        <w:rPr>
          <w:rFonts w:ascii="Times New Roman" w:hAnsi="Times New Roman" w:cs="Times New Roman"/>
          <w:sz w:val="24"/>
          <w:szCs w:val="24"/>
        </w:rPr>
        <w:t xml:space="preserve"> si compì il trasferimento alla corte sforzesca di Beatrice d’Este, sedicenne figlia del duca di Ferrara, che il 16 gennaio 1491 giunse a Pavia per celebrarvi le proprie nozze con Ludovico il Moro. </w:t>
      </w:r>
    </w:p>
    <w:p w14:paraId="45992989"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Le trattative per lo sposalizio si erano aperte nel giugno del 1480, e miravano a rinsaldare sia i legami tra le case degli Sforza e degli Este – già intensificatisi nel maggio 1477 con la promessa di matrimonio tra Anna Sforza, nipote del Moro, e Alfonso d'Este, erede del ducato di Ferrara,</w:t>
      </w:r>
      <w:r w:rsidR="00230CE1">
        <w:rPr>
          <w:rFonts w:ascii="Times New Roman" w:hAnsi="Times New Roman" w:cs="Times New Roman"/>
          <w:sz w:val="24"/>
          <w:szCs w:val="24"/>
        </w:rPr>
        <w:t xml:space="preserve"> </w:t>
      </w:r>
      <w:r w:rsidRPr="00096909">
        <w:rPr>
          <w:rFonts w:ascii="Times New Roman" w:hAnsi="Times New Roman" w:cs="Times New Roman"/>
          <w:sz w:val="24"/>
          <w:szCs w:val="24"/>
        </w:rPr>
        <w:t xml:space="preserve">– </w:t>
      </w:r>
      <w:r w:rsidRPr="00096909">
        <w:rPr>
          <w:rFonts w:ascii="Times New Roman" w:hAnsi="Times New Roman" w:cs="Times New Roman"/>
          <w:sz w:val="24"/>
          <w:szCs w:val="24"/>
        </w:rPr>
        <w:lastRenderedPageBreak/>
        <w:t>sia quelli tra gli Sforza e gli Aragonesi.</w:t>
      </w:r>
      <w:r w:rsidRPr="00096909">
        <w:rPr>
          <w:rStyle w:val="Rimandonotaapidipagina"/>
          <w:rFonts w:ascii="Times New Roman" w:hAnsi="Times New Roman" w:cs="Times New Roman"/>
          <w:sz w:val="24"/>
          <w:szCs w:val="24"/>
        </w:rPr>
        <w:footnoteReference w:id="670"/>
      </w:r>
      <w:r w:rsidRPr="00096909">
        <w:rPr>
          <w:rFonts w:ascii="Times New Roman" w:hAnsi="Times New Roman" w:cs="Times New Roman"/>
          <w:sz w:val="24"/>
          <w:szCs w:val="24"/>
        </w:rPr>
        <w:t xml:space="preserve"> La sposa era, infatti, figlia di Eleonora d’Aragona, ed era stata educata alla corte di Napoli, così che fu necessario chiedere l’assenso a queste nozze anche a re Ferrante. Fissato l’accordo per la dote di 40.000 ducati, da scontarsi sui 150.000 promessi dai duchi di Milano per il matrimonio di Anna Sforza, e consultato l’astrologo di corte </w:t>
      </w:r>
      <w:bookmarkStart w:id="486" w:name="_Hlk535999452"/>
      <w:r w:rsidRPr="00096909">
        <w:rPr>
          <w:rFonts w:ascii="Times New Roman" w:hAnsi="Times New Roman" w:cs="Times New Roman"/>
          <w:sz w:val="24"/>
          <w:szCs w:val="24"/>
        </w:rPr>
        <w:t>Ambrogio Varese</w:t>
      </w:r>
      <w:bookmarkEnd w:id="486"/>
      <w:r w:rsidRPr="00096909">
        <w:rPr>
          <w:rFonts w:ascii="Times New Roman" w:hAnsi="Times New Roman" w:cs="Times New Roman"/>
          <w:sz w:val="24"/>
          <w:szCs w:val="24"/>
        </w:rPr>
        <w:t>, fu stabilito che lo sposalizio fosse celebrato nel gennaio del 1490, non oltre il termine del 18 del mese.</w:t>
      </w:r>
      <w:r w:rsidRPr="00096909">
        <w:rPr>
          <w:rStyle w:val="Rimandonotaapidipagina"/>
          <w:rFonts w:ascii="Times New Roman" w:hAnsi="Times New Roman" w:cs="Times New Roman"/>
          <w:sz w:val="24"/>
          <w:szCs w:val="24"/>
        </w:rPr>
        <w:footnoteReference w:id="671"/>
      </w:r>
      <w:r w:rsidRPr="00096909">
        <w:rPr>
          <w:rFonts w:ascii="Times New Roman" w:hAnsi="Times New Roman" w:cs="Times New Roman"/>
          <w:sz w:val="24"/>
          <w:szCs w:val="24"/>
        </w:rPr>
        <w:t xml:space="preserve"> </w:t>
      </w:r>
    </w:p>
    <w:p w14:paraId="1FDB4EDA"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29 dicembre 1490, recita il </w:t>
      </w:r>
      <w:r w:rsidRPr="00096909">
        <w:rPr>
          <w:rFonts w:ascii="Times New Roman" w:hAnsi="Times New Roman" w:cs="Times New Roman"/>
          <w:i/>
          <w:sz w:val="24"/>
          <w:szCs w:val="24"/>
        </w:rPr>
        <w:t>Diario ferrarese</w:t>
      </w:r>
      <w:r w:rsidRPr="00096909">
        <w:rPr>
          <w:rFonts w:ascii="Times New Roman" w:hAnsi="Times New Roman" w:cs="Times New Roman"/>
          <w:sz w:val="24"/>
          <w:szCs w:val="24"/>
        </w:rPr>
        <w:t>:</w:t>
      </w:r>
    </w:p>
    <w:p w14:paraId="3B6CD21E"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p>
    <w:p w14:paraId="58C5A954" w14:textId="77777777" w:rsidR="00395702" w:rsidRPr="00096909" w:rsidRDefault="00395702" w:rsidP="00395702">
      <w:pPr>
        <w:tabs>
          <w:tab w:val="left" w:pos="8787"/>
        </w:tabs>
        <w:spacing w:after="0" w:line="360" w:lineRule="auto"/>
        <w:ind w:left="567" w:right="851" w:firstLine="397"/>
        <w:jc w:val="both"/>
        <w:rPr>
          <w:rFonts w:ascii="Times New Roman" w:hAnsi="Times New Roman" w:cs="Times New Roman"/>
          <w:sz w:val="20"/>
          <w:szCs w:val="20"/>
        </w:rPr>
      </w:pPr>
      <w:r w:rsidRPr="00096909">
        <w:rPr>
          <w:rFonts w:ascii="Times New Roman" w:hAnsi="Times New Roman" w:cs="Times New Roman"/>
          <w:sz w:val="20"/>
          <w:szCs w:val="20"/>
        </w:rPr>
        <w:t>La ill.ma duchessa con lo ill.mo Sigismondo, fratello del duca nostro, condusseno in lilza madona Beatrice, fiòla legitima et naturale de li prefati duca et duchessa, fòra de Ferrara, cum gran triumpho de tutta la corte, acompagnata con trombe, con molte zentildone et donzele, suzo diverse lilze fate a posta per le neve grande. Nevò la nocte di Nadale a dì 24 in tanto che l’è agiazato el Po insino al Bondeno; et la conduce per spoxa et moiere del signore Ludovico Vesconte, governatore de Milano.</w:t>
      </w:r>
      <w:r w:rsidRPr="00096909">
        <w:rPr>
          <w:rStyle w:val="Rimandonotaapidipagina"/>
          <w:rFonts w:ascii="Times New Roman" w:hAnsi="Times New Roman" w:cs="Times New Roman"/>
        </w:rPr>
        <w:footnoteReference w:id="672"/>
      </w:r>
    </w:p>
    <w:p w14:paraId="31FDF2F4"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p>
    <w:p w14:paraId="765E42A5"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Nel cuore di un gelido inverno</w:t>
      </w:r>
      <w:r>
        <w:rPr>
          <w:rFonts w:ascii="Times New Roman" w:hAnsi="Times New Roman" w:cs="Times New Roman"/>
          <w:sz w:val="24"/>
          <w:szCs w:val="24"/>
        </w:rPr>
        <w:t xml:space="preserve">, </w:t>
      </w:r>
      <w:r w:rsidRPr="00096909">
        <w:rPr>
          <w:rFonts w:ascii="Times New Roman" w:hAnsi="Times New Roman" w:cs="Times New Roman"/>
          <w:sz w:val="24"/>
          <w:szCs w:val="24"/>
        </w:rPr>
        <w:t>dunque</w:t>
      </w:r>
      <w:r>
        <w:rPr>
          <w:rFonts w:ascii="Times New Roman" w:hAnsi="Times New Roman" w:cs="Times New Roman"/>
          <w:sz w:val="24"/>
          <w:szCs w:val="24"/>
        </w:rPr>
        <w:t>,</w:t>
      </w:r>
      <w:r w:rsidRPr="00096909">
        <w:rPr>
          <w:rFonts w:ascii="Times New Roman" w:hAnsi="Times New Roman" w:cs="Times New Roman"/>
          <w:sz w:val="24"/>
          <w:szCs w:val="24"/>
        </w:rPr>
        <w:t xml:space="preserve"> il corteo di Beatrice, guidato da Sigismondo d’Este e composto da circa cinquecento persone, lasciò Ferrara a bordo di grandi slitte, dette lilze, le quali permisero di raggiungere Brescello, prima tappa prevista, </w:t>
      </w:r>
      <w:r w:rsidR="002C48C8">
        <w:rPr>
          <w:rFonts w:ascii="Times New Roman" w:hAnsi="Times New Roman" w:cs="Times New Roman"/>
          <w:sz w:val="24"/>
          <w:szCs w:val="24"/>
        </w:rPr>
        <w:t xml:space="preserve">in </w:t>
      </w:r>
      <w:r w:rsidRPr="00096909">
        <w:rPr>
          <w:rFonts w:ascii="Times New Roman" w:hAnsi="Times New Roman" w:cs="Times New Roman"/>
          <w:sz w:val="24"/>
          <w:szCs w:val="24"/>
        </w:rPr>
        <w:t xml:space="preserve">cinque giorni, attraversando le pianure innevate. Anche Tristano Calco, cui spettò la descrizione ufficiale delle </w:t>
      </w:r>
      <w:r w:rsidRPr="00096909">
        <w:rPr>
          <w:rFonts w:ascii="Times New Roman" w:hAnsi="Times New Roman" w:cs="Times New Roman"/>
          <w:i/>
          <w:sz w:val="24"/>
          <w:szCs w:val="24"/>
        </w:rPr>
        <w:t>Nuptiae Mediolanensium et Estensium principum</w:t>
      </w:r>
      <w:r w:rsidRPr="00096909">
        <w:rPr>
          <w:rFonts w:ascii="Times New Roman" w:hAnsi="Times New Roman" w:cs="Times New Roman"/>
          <w:sz w:val="24"/>
          <w:szCs w:val="24"/>
        </w:rPr>
        <w:t xml:space="preserve"> lasciò un vivido ricordo della partenza di questi inusuali mezzi di </w:t>
      </w:r>
      <w:r>
        <w:rPr>
          <w:rFonts w:ascii="Times New Roman" w:hAnsi="Times New Roman" w:cs="Times New Roman"/>
          <w:sz w:val="24"/>
          <w:szCs w:val="24"/>
        </w:rPr>
        <w:t xml:space="preserve">locomozione </w:t>
      </w:r>
      <w:r w:rsidRPr="00096909">
        <w:rPr>
          <w:rFonts w:ascii="Times New Roman" w:hAnsi="Times New Roman" w:cs="Times New Roman"/>
          <w:sz w:val="24"/>
          <w:szCs w:val="24"/>
        </w:rPr>
        <w:t>nel suo colto resoconto latino: «</w:t>
      </w:r>
      <w:r w:rsidRPr="00096909">
        <w:rPr>
          <w:rFonts w:ascii="Times New Roman" w:hAnsi="Times New Roman" w:cs="Times New Roman"/>
          <w:i/>
          <w:sz w:val="24"/>
          <w:szCs w:val="24"/>
        </w:rPr>
        <w:t>rurestria repente vehicula fabricant, quae, quia sine rotis terra trahuntur, trahas prisci latini dixere</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673"/>
      </w:r>
      <w:r w:rsidRPr="00096909">
        <w:rPr>
          <w:rFonts w:ascii="Times New Roman" w:hAnsi="Times New Roman" w:cs="Times New Roman"/>
          <w:sz w:val="24"/>
          <w:szCs w:val="24"/>
        </w:rPr>
        <w:t xml:space="preserve"> L’adozione di questa strana soluzione di trasporto dovette dunque incuriosire gli osservatori dell’epoca, offrendo l’insolito spettacolo di una corte itinerante, appositamente bardata per proteggersi dal freddo, a bordo di slitte, ma che certo non rinunciava al proprio «gran triumpho».</w:t>
      </w:r>
    </w:p>
    <w:p w14:paraId="192FA323"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Poco distante, a Viadana, era giunta intanto, per unirsi alla comitiva, la sorella della sposa, Isabella d’Este, marchesa di Mantova, che il 6 gennaio 1491 scriveva a Francesco Gonzaga comunicando l’arrivo di tre bucintori e di diciotto navi per consentire al corteo nuziale di navigare lungo il Po in direzione di Piacenza, dove le imbarcazioni approdarono il 12 gennaio. Le attendeva </w:t>
      </w:r>
      <w:r w:rsidRPr="00096909">
        <w:rPr>
          <w:rFonts w:ascii="Times New Roman" w:hAnsi="Times New Roman" w:cs="Times New Roman"/>
          <w:sz w:val="24"/>
          <w:szCs w:val="24"/>
        </w:rPr>
        <w:lastRenderedPageBreak/>
        <w:t xml:space="preserve">una delegazione sforzesca che accolse le principesse estensi e le alloggiò nelle dimore del conte </w:t>
      </w:r>
      <w:bookmarkStart w:id="487" w:name="_Hlk535999534"/>
      <w:r w:rsidRPr="00096909">
        <w:rPr>
          <w:rFonts w:ascii="Times New Roman" w:hAnsi="Times New Roman" w:cs="Times New Roman"/>
          <w:sz w:val="24"/>
          <w:szCs w:val="24"/>
        </w:rPr>
        <w:t xml:space="preserve">Manfredo Landi </w:t>
      </w:r>
      <w:bookmarkEnd w:id="487"/>
      <w:r w:rsidRPr="00096909">
        <w:rPr>
          <w:rFonts w:ascii="Times New Roman" w:hAnsi="Times New Roman" w:cs="Times New Roman"/>
          <w:sz w:val="24"/>
          <w:szCs w:val="24"/>
        </w:rPr>
        <w:t>e di Antonio Ceresa.</w:t>
      </w:r>
      <w:r w:rsidRPr="00096909">
        <w:rPr>
          <w:rStyle w:val="Rimandonotaapidipagina"/>
          <w:rFonts w:ascii="Times New Roman" w:hAnsi="Times New Roman" w:cs="Times New Roman"/>
          <w:sz w:val="24"/>
          <w:szCs w:val="24"/>
        </w:rPr>
        <w:footnoteReference w:id="674"/>
      </w:r>
      <w:r w:rsidRPr="00096909">
        <w:rPr>
          <w:rFonts w:ascii="Times New Roman" w:hAnsi="Times New Roman" w:cs="Times New Roman"/>
          <w:sz w:val="24"/>
          <w:szCs w:val="24"/>
        </w:rPr>
        <w:t xml:space="preserve"> Dopo una breve sosta, la navigazione di Beatrice riprese e il 16 gennaio la comitiva giunse finalmente a Pavia. Così Isabella d’Este descrisse l’arrivo in città: </w:t>
      </w:r>
    </w:p>
    <w:p w14:paraId="53923E78"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p>
    <w:p w14:paraId="2C7369BF"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Partiti vèneri de Piaceza, secondo l’ordine datto, havemo dormito due nocte in nave, et hogi a le XXIII hore siamo gionte qua. Alcuno non c’è venuto incontro. Lo ill.mo signor Ludovico se appostòe a la ripa del Tessino appresso a la Porta, accompagnato da li Illustrissimi signori marchese Hermes, signor Philippo Sforza, signor Radulpho, li Sansaverineschi, et molti altri castellani. Fermato el Bucintoro, el signor Ludovico gli venne dentro, et tochava la mano a la excellentia de Madama nostra Duchessa et movessimo fòra et montassimo a cavallo la duchessa et io cum dodece donne. Madama venne in caretta cum le altre. La duchessa venne a passo cum Lodovico, et io cum el signor Dominus Alphonso, ni da altro che li suoi stafferi fue aredenata la sposa, et cussì venessimo a desmontare in castello, dove ce ricolse madama Griselda et madama Beatrice Sforza insieme cum la moglie del conte Francesco Sforza et altre zentildone. Adornamenti né alcuna altra dimonstratione aut festa è stata facta.</w:t>
      </w:r>
      <w:r w:rsidRPr="00096909">
        <w:rPr>
          <w:rStyle w:val="Rimandonotaapidipagina"/>
          <w:rFonts w:ascii="Times New Roman" w:hAnsi="Times New Roman" w:cs="Times New Roman"/>
        </w:rPr>
        <w:footnoteReference w:id="675"/>
      </w:r>
    </w:p>
    <w:p w14:paraId="62AC8A4B" w14:textId="77777777" w:rsidR="00395702" w:rsidRPr="00096909" w:rsidRDefault="00395702" w:rsidP="00395702">
      <w:pPr>
        <w:spacing w:after="0" w:line="360" w:lineRule="auto"/>
        <w:ind w:right="566"/>
        <w:jc w:val="both"/>
        <w:rPr>
          <w:rFonts w:ascii="Times New Roman" w:hAnsi="Times New Roman" w:cs="Times New Roman"/>
          <w:sz w:val="20"/>
          <w:szCs w:val="20"/>
        </w:rPr>
      </w:pPr>
    </w:p>
    <w:p w14:paraId="10424B25"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marchesa di Mantova non nascose lo stupore davanti alla modestia delle accoglienze, dovuta alla scelta del Moro di non ostentare</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per</w:t>
      </w:r>
      <w:r w:rsidRPr="00096909">
        <w:rPr>
          <w:rFonts w:ascii="Times New Roman" w:hAnsi="Times New Roman" w:cs="Times New Roman"/>
          <w:sz w:val="24"/>
          <w:szCs w:val="24"/>
        </w:rPr>
        <w:t xml:space="preserve"> il proprio matrimonio</w:t>
      </w:r>
      <w:r>
        <w:rPr>
          <w:rFonts w:ascii="Times New Roman" w:hAnsi="Times New Roman" w:cs="Times New Roman"/>
          <w:sz w:val="24"/>
          <w:szCs w:val="24"/>
        </w:rPr>
        <w:t>,</w:t>
      </w:r>
      <w:r w:rsidRPr="00096909">
        <w:rPr>
          <w:rFonts w:ascii="Times New Roman" w:hAnsi="Times New Roman" w:cs="Times New Roman"/>
          <w:sz w:val="24"/>
          <w:szCs w:val="24"/>
        </w:rPr>
        <w:t xml:space="preserve"> un lusso pari a quello dispiegato nelle nozze del nipote, il vero duca di Milano. Perfino la benedizione nuziale venne impartita </w:t>
      </w:r>
      <w:r w:rsidRPr="00096909">
        <w:rPr>
          <w:rFonts w:ascii="Times New Roman" w:hAnsi="Times New Roman" w:cs="Times New Roman"/>
          <w:i/>
          <w:sz w:val="24"/>
          <w:szCs w:val="24"/>
        </w:rPr>
        <w:t>privatim</w:t>
      </w:r>
      <w:r w:rsidRPr="00096909">
        <w:rPr>
          <w:rFonts w:ascii="Times New Roman" w:hAnsi="Times New Roman" w:cs="Times New Roman"/>
          <w:sz w:val="24"/>
          <w:szCs w:val="24"/>
        </w:rPr>
        <w:t xml:space="preserve">, come scrisse Calco, nella cappella del castello di Pavia. Un ingresso più pomposo fu piuttosto predisposto a Milano, dove Beatrice giunse il 21 gennaio e dove si </w:t>
      </w:r>
      <w:r>
        <w:rPr>
          <w:rFonts w:ascii="Times New Roman" w:hAnsi="Times New Roman" w:cs="Times New Roman"/>
          <w:sz w:val="24"/>
          <w:szCs w:val="24"/>
        </w:rPr>
        <w:t xml:space="preserve">sarebbero svolte </w:t>
      </w:r>
      <w:r w:rsidRPr="00096909">
        <w:rPr>
          <w:rFonts w:ascii="Times New Roman" w:hAnsi="Times New Roman" w:cs="Times New Roman"/>
          <w:sz w:val="24"/>
          <w:szCs w:val="24"/>
        </w:rPr>
        <w:t>le feste per le nozze di suo fratello, Alfonso d’Este, concluse da una magnifica giostra su</w:t>
      </w:r>
      <w:r>
        <w:rPr>
          <w:rFonts w:ascii="Times New Roman" w:hAnsi="Times New Roman" w:cs="Times New Roman"/>
          <w:sz w:val="24"/>
          <w:szCs w:val="24"/>
        </w:rPr>
        <w:t>lla quale</w:t>
      </w:r>
      <w:r w:rsidRPr="00096909">
        <w:rPr>
          <w:rFonts w:ascii="Times New Roman" w:hAnsi="Times New Roman" w:cs="Times New Roman"/>
          <w:sz w:val="24"/>
          <w:szCs w:val="24"/>
        </w:rPr>
        <w:t xml:space="preserve"> torneremo nelle pagine successive.   </w:t>
      </w:r>
    </w:p>
    <w:p w14:paraId="5A49937F"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serie degli itinerari nuziali da prendere in esame per </w:t>
      </w:r>
      <w:r>
        <w:rPr>
          <w:rFonts w:ascii="Times New Roman" w:hAnsi="Times New Roman" w:cs="Times New Roman"/>
          <w:sz w:val="24"/>
          <w:szCs w:val="24"/>
        </w:rPr>
        <w:t xml:space="preserve">illustrare </w:t>
      </w:r>
      <w:r w:rsidRPr="00096909">
        <w:rPr>
          <w:rFonts w:ascii="Times New Roman" w:hAnsi="Times New Roman" w:cs="Times New Roman"/>
          <w:sz w:val="24"/>
          <w:szCs w:val="24"/>
        </w:rPr>
        <w:t xml:space="preserve">la varietà di tipologie spettacolari che le spose avrebbero potuto incontrare durante il loro passaggio tra le città italiane del Quattrocento potrebbe ampliarsi ancora molto. I viaggi qui analizzati sono stati piuttosto selezionati in ragione dell’importanza dei matrimoni per le vicende della politica italiana, della varietà di testimonianze scritte e iconografiche che ne hanno tramandato il ricordo, e della differenza tra le modalità di svolgimento. Quest’ultima, come visto, con il variare del numero di </w:t>
      </w:r>
      <w:r w:rsidRPr="00096909">
        <w:rPr>
          <w:rFonts w:ascii="Times New Roman" w:hAnsi="Times New Roman" w:cs="Times New Roman"/>
          <w:sz w:val="24"/>
          <w:szCs w:val="24"/>
        </w:rPr>
        <w:lastRenderedPageBreak/>
        <w:t>partecipanti e con il lusso degli abbigliamenti e dei gioielli sfoggiati dagli invitati e dai loro paggi ha più volte attirato l</w:t>
      </w:r>
      <w:r>
        <w:rPr>
          <w:rFonts w:ascii="Times New Roman" w:hAnsi="Times New Roman" w:cs="Times New Roman"/>
          <w:sz w:val="24"/>
          <w:szCs w:val="24"/>
        </w:rPr>
        <w:t>’</w:t>
      </w:r>
      <w:r w:rsidRPr="00096909">
        <w:rPr>
          <w:rFonts w:ascii="Times New Roman" w:hAnsi="Times New Roman" w:cs="Times New Roman"/>
          <w:sz w:val="24"/>
          <w:szCs w:val="24"/>
        </w:rPr>
        <w:t>attenzion</w:t>
      </w:r>
      <w:r>
        <w:rPr>
          <w:rFonts w:ascii="Times New Roman" w:hAnsi="Times New Roman" w:cs="Times New Roman"/>
          <w:sz w:val="24"/>
          <w:szCs w:val="24"/>
        </w:rPr>
        <w:t>e</w:t>
      </w:r>
      <w:r w:rsidRPr="00096909">
        <w:rPr>
          <w:rFonts w:ascii="Times New Roman" w:hAnsi="Times New Roman" w:cs="Times New Roman"/>
          <w:sz w:val="24"/>
          <w:szCs w:val="24"/>
        </w:rPr>
        <w:t xml:space="preserve"> dei cronisti. Ciò mi pare provi come il transito del corteo in sé fosse uno spettacolo viaggiante, il cui pubblico era formato tanto dagli abitanti dell</w:t>
      </w:r>
      <w:r>
        <w:rPr>
          <w:rFonts w:ascii="Times New Roman" w:hAnsi="Times New Roman" w:cs="Times New Roman"/>
          <w:sz w:val="24"/>
          <w:szCs w:val="24"/>
        </w:rPr>
        <w:t>e</w:t>
      </w:r>
      <w:r w:rsidRPr="00096909">
        <w:rPr>
          <w:rFonts w:ascii="Times New Roman" w:hAnsi="Times New Roman" w:cs="Times New Roman"/>
          <w:sz w:val="24"/>
          <w:szCs w:val="24"/>
        </w:rPr>
        <w:t xml:space="preserve"> città ospitanti, che assistevano all’arrivo delle delegazioni principesche, quanto dai suoi stessi partecipanti, che si ammiravano reciprocamente attraversando le vie parate a festa, in una dinamica di continuo scambio dei ruoli di spettatore e di spettacolo che toccava il proprio apogeo nell’ingresso cittadino.</w:t>
      </w:r>
      <w:r w:rsidRPr="00096909">
        <w:rPr>
          <w:rStyle w:val="Rimandonotaapidipagina"/>
          <w:rFonts w:ascii="Times New Roman" w:hAnsi="Times New Roman" w:cs="Times New Roman"/>
          <w:sz w:val="24"/>
          <w:szCs w:val="24"/>
        </w:rPr>
        <w:footnoteReference w:id="676"/>
      </w:r>
      <w:r w:rsidRPr="00096909">
        <w:rPr>
          <w:rFonts w:ascii="Times New Roman" w:hAnsi="Times New Roman" w:cs="Times New Roman"/>
          <w:sz w:val="24"/>
          <w:szCs w:val="24"/>
        </w:rPr>
        <w:t xml:space="preserve">  </w:t>
      </w:r>
    </w:p>
    <w:p w14:paraId="53AC4CCC"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140B09E6" w14:textId="77777777" w:rsidR="00395702" w:rsidRPr="00096909" w:rsidRDefault="00395702" w:rsidP="00395702">
      <w:pPr>
        <w:spacing w:after="0" w:line="360" w:lineRule="auto"/>
        <w:jc w:val="both"/>
        <w:rPr>
          <w:rFonts w:ascii="Times New Roman" w:hAnsi="Times New Roman" w:cs="Times New Roman"/>
          <w:sz w:val="24"/>
          <w:szCs w:val="24"/>
        </w:rPr>
      </w:pPr>
    </w:p>
    <w:p w14:paraId="06878397" w14:textId="77777777" w:rsidR="00395702" w:rsidRPr="00096909" w:rsidRDefault="00395702" w:rsidP="00395702">
      <w:pPr>
        <w:jc w:val="both"/>
        <w:rPr>
          <w:rFonts w:ascii="Times New Roman" w:hAnsi="Times New Roman" w:cs="Times New Roman"/>
          <w:i/>
          <w:sz w:val="24"/>
          <w:szCs w:val="24"/>
        </w:rPr>
      </w:pPr>
      <w:r w:rsidRPr="003E2460">
        <w:rPr>
          <w:rFonts w:ascii="Times New Roman" w:hAnsi="Times New Roman" w:cs="Times New Roman"/>
          <w:sz w:val="24"/>
          <w:szCs w:val="24"/>
        </w:rPr>
        <w:t>2.</w:t>
      </w:r>
      <w:r w:rsidRPr="00096909">
        <w:rPr>
          <w:rFonts w:ascii="Times New Roman" w:hAnsi="Times New Roman" w:cs="Times New Roman"/>
          <w:i/>
          <w:sz w:val="24"/>
          <w:szCs w:val="24"/>
        </w:rPr>
        <w:t xml:space="preserve"> L’ingresso in città e il ˋdecor´ delle vie cittadine.</w:t>
      </w:r>
    </w:p>
    <w:p w14:paraId="17CFF2D4" w14:textId="77777777" w:rsidR="00395702" w:rsidRPr="00096909" w:rsidRDefault="00395702" w:rsidP="00395702">
      <w:pPr>
        <w:jc w:val="both"/>
        <w:rPr>
          <w:rFonts w:ascii="Times New Roman" w:hAnsi="Times New Roman" w:cs="Times New Roman"/>
          <w:i/>
          <w:sz w:val="24"/>
          <w:szCs w:val="24"/>
        </w:rPr>
      </w:pPr>
    </w:p>
    <w:p w14:paraId="1FA3609F" w14:textId="77777777" w:rsidR="00395702" w:rsidRPr="00096909" w:rsidRDefault="00395702" w:rsidP="00395702">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Concluso il viaggio nuziale, alla sposa era tributato l’onore dell’ingresso trionfale, occasione per mostrare alla principessa la città apparata magnificamente e per consentire alla popolazione di ammirare la sua nuova sovrana. </w:t>
      </w:r>
    </w:p>
    <w:p w14:paraId="59BE70AD"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Nel tempo ideale della festa, distinto dalla sospensione delle attività lavorative e dell’ordinaria amministrazione civica, era possibile assistere a uno spettacolo alla cui riuscita avevano contribuito tutti i cittadini: realizzando gli addobbi floreali, disponendo tendaggi decorativi lungo le vie selezionate per il corteo e accorrendo infine al suo passaggio.</w:t>
      </w:r>
      <w:r w:rsidRPr="00096909">
        <w:rPr>
          <w:rStyle w:val="Rimandonotaapidipagina"/>
          <w:rFonts w:ascii="Times New Roman" w:hAnsi="Times New Roman" w:cs="Times New Roman"/>
          <w:sz w:val="24"/>
          <w:szCs w:val="24"/>
        </w:rPr>
        <w:footnoteReference w:id="677"/>
      </w:r>
      <w:r w:rsidRPr="00096909">
        <w:rPr>
          <w:rFonts w:ascii="Times New Roman" w:hAnsi="Times New Roman" w:cs="Times New Roman"/>
          <w:sz w:val="24"/>
          <w:szCs w:val="24"/>
        </w:rPr>
        <w:t xml:space="preserve"> La loro partecipazione attiva alla preparazione del</w:t>
      </w:r>
      <w:r w:rsidR="00FB47A6">
        <w:rPr>
          <w:rFonts w:ascii="Times New Roman" w:hAnsi="Times New Roman" w:cs="Times New Roman"/>
          <w:sz w:val="24"/>
          <w:szCs w:val="24"/>
        </w:rPr>
        <w:t xml:space="preserve">l’ingresso </w:t>
      </w:r>
      <w:r w:rsidRPr="00096909">
        <w:rPr>
          <w:rFonts w:ascii="Times New Roman" w:hAnsi="Times New Roman" w:cs="Times New Roman"/>
          <w:sz w:val="24"/>
          <w:szCs w:val="24"/>
        </w:rPr>
        <w:t xml:space="preserve">è riferita, infatti, da diverse delle cronache dei festeggiamenti, come l’anonima </w:t>
      </w:r>
      <w:r w:rsidRPr="00096909">
        <w:rPr>
          <w:rFonts w:ascii="Times New Roman" w:hAnsi="Times New Roman" w:cs="Times New Roman"/>
          <w:i/>
          <w:sz w:val="24"/>
          <w:szCs w:val="24"/>
        </w:rPr>
        <w:t>Descriptione</w:t>
      </w:r>
      <w:r w:rsidRPr="00096909">
        <w:rPr>
          <w:rFonts w:ascii="Times New Roman" w:hAnsi="Times New Roman" w:cs="Times New Roman"/>
          <w:sz w:val="24"/>
          <w:szCs w:val="24"/>
        </w:rPr>
        <w:t xml:space="preserve"> delle nozze Aragona-Sforza del 1489: </w:t>
      </w:r>
    </w:p>
    <w:p w14:paraId="79F59089"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p>
    <w:p w14:paraId="5CB6C2FE"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Essendo stabilito che la domenica, che fu calende de febro, si venesse a Milano a disnare e lo dì seguente se facessero le ceremonie in Domo, forno coperte le vie da la porta de mezo del castello fin al Domo, ch’è uno milliaro di panno alla divisa sforzesca. Le mure coperte de tapaiarie e panni de raza con vari festoni de verdura. Ciascuno aveva apparata la sua porta de coronamenti de zenevro, de lauro ed edera con le insegne ducale e de la sposa e altri ornamenti, non con menore studio che fusse la alegreza prendevano da le felice noze de li signori suoi.</w:t>
      </w:r>
      <w:r w:rsidRPr="00096909">
        <w:rPr>
          <w:rStyle w:val="Rimandonotaapidipagina"/>
          <w:rFonts w:ascii="Times New Roman" w:hAnsi="Times New Roman" w:cs="Times New Roman"/>
        </w:rPr>
        <w:footnoteReference w:id="678"/>
      </w:r>
    </w:p>
    <w:p w14:paraId="6A63616A"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p>
    <w:p w14:paraId="019D02DE"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L’iniziativa degli abitanti di Milano, tutt’altro che autonoma o improvvisata, era regolata da sovraintendenti incaricati di gestire le operazioni di abbellimento della città. I resoconti del XV </w:t>
      </w:r>
      <w:r w:rsidRPr="00096909">
        <w:rPr>
          <w:rFonts w:ascii="Times New Roman" w:hAnsi="Times New Roman" w:cs="Times New Roman"/>
          <w:sz w:val="24"/>
          <w:szCs w:val="24"/>
        </w:rPr>
        <w:lastRenderedPageBreak/>
        <w:t xml:space="preserve">secolo specificano raramente i loro nomi, ed è </w:t>
      </w:r>
      <w:r>
        <w:rPr>
          <w:rFonts w:ascii="Times New Roman" w:hAnsi="Times New Roman" w:cs="Times New Roman"/>
          <w:sz w:val="24"/>
          <w:szCs w:val="24"/>
        </w:rPr>
        <w:t>quindi interessante osservare come invece</w:t>
      </w:r>
      <w:r w:rsidRPr="00096909">
        <w:rPr>
          <w:rFonts w:ascii="Times New Roman" w:hAnsi="Times New Roman" w:cs="Times New Roman"/>
          <w:sz w:val="24"/>
          <w:szCs w:val="24"/>
        </w:rPr>
        <w:t xml:space="preserve"> l’anonimo estensore dichiari come «a ciò le cose passassino bene regulate se deputarno li magnifici messeri Petro da Galarate e messer Petro da Landriano e messer Branda da Castrono, ducali consiglieri, con messer Bartolomeo Calco, ducale primo secretario, ad ordinare e fare eseguire tutto quello fusse espediente al ditto apparechio».</w:t>
      </w:r>
      <w:r w:rsidRPr="00096909">
        <w:rPr>
          <w:rStyle w:val="Rimandonotaapidipagina"/>
          <w:rFonts w:ascii="Times New Roman" w:hAnsi="Times New Roman" w:cs="Times New Roman"/>
          <w:sz w:val="24"/>
          <w:szCs w:val="24"/>
        </w:rPr>
        <w:footnoteReference w:id="679"/>
      </w:r>
    </w:p>
    <w:p w14:paraId="7F83AC93"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w:t>
      </w:r>
      <w:r w:rsidRPr="00096909">
        <w:rPr>
          <w:rFonts w:ascii="Times New Roman" w:hAnsi="Times New Roman" w:cs="Times New Roman"/>
          <w:i/>
          <w:sz w:val="24"/>
          <w:szCs w:val="24"/>
        </w:rPr>
        <w:t>adventus</w:t>
      </w:r>
      <w:r w:rsidRPr="00096909">
        <w:rPr>
          <w:rFonts w:ascii="Times New Roman" w:hAnsi="Times New Roman" w:cs="Times New Roman"/>
          <w:sz w:val="24"/>
          <w:szCs w:val="24"/>
        </w:rPr>
        <w:t xml:space="preserve"> della sposa del principe fu dunque nel Rinascimento una festa capace di coinvolgere globalmente la città, tanto quale sfondo urbano del cerimoniale, quanto come ordinato corpo civico che, nella molteplicità dei suoi ordini – gli intellettuali e funzionari di corte preposti alla sua organizzazione; i collegi dei medici e dei giuristi, o la nobiltà dei seggi napoletani incaricati del trasporto del baldacchino; le nobildonne scelte per fare da seguito alla sposa; i poveri beneficiati con la </w:t>
      </w:r>
      <w:r w:rsidRPr="00096909">
        <w:rPr>
          <w:rFonts w:ascii="Times New Roman" w:hAnsi="Times New Roman" w:cs="Times New Roman"/>
          <w:i/>
          <w:sz w:val="24"/>
          <w:szCs w:val="24"/>
        </w:rPr>
        <w:t>sparsio</w:t>
      </w:r>
      <w:r w:rsidRPr="00096909">
        <w:rPr>
          <w:rFonts w:ascii="Times New Roman" w:hAnsi="Times New Roman" w:cs="Times New Roman"/>
          <w:sz w:val="24"/>
          <w:szCs w:val="24"/>
        </w:rPr>
        <w:t xml:space="preserve"> di monete; i prigionieri rilasciati in segno di gioiosa indulgenza –, seppe farsi interprete del grandioso spettacolo e garante della legittimità del trionfo della principessa. </w:t>
      </w:r>
    </w:p>
    <w:p w14:paraId="798090DD"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Ad autorizzare l’uso del termine trionfo per indicare l’entrata della sposa, oltre alla storiografia che ci ha preceduto, è il lessico stesso delle fonti. Pietro Lazzaroni, ad esempio, definì </w:t>
      </w:r>
      <w:r w:rsidRPr="00096909">
        <w:rPr>
          <w:rFonts w:ascii="Times New Roman" w:hAnsi="Times New Roman" w:cs="Times New Roman"/>
          <w:i/>
          <w:sz w:val="24"/>
          <w:szCs w:val="24"/>
        </w:rPr>
        <w:t>triumphus</w:t>
      </w:r>
      <w:r w:rsidRPr="00096909">
        <w:rPr>
          <w:rFonts w:ascii="Times New Roman" w:hAnsi="Times New Roman" w:cs="Times New Roman"/>
          <w:sz w:val="24"/>
          <w:szCs w:val="24"/>
        </w:rPr>
        <w:t xml:space="preserve"> il corteo di Bianca Maria Sforza, e nell’ottobre del 1466, inviando notizie da Orléans, </w:t>
      </w:r>
      <w:bookmarkStart w:id="488" w:name="_Hlk535999687"/>
      <w:r w:rsidRPr="00096909">
        <w:rPr>
          <w:rFonts w:ascii="Times New Roman" w:hAnsi="Times New Roman" w:cs="Times New Roman"/>
          <w:sz w:val="24"/>
          <w:szCs w:val="24"/>
        </w:rPr>
        <w:t>Emanuele di Jacopo</w:t>
      </w:r>
      <w:bookmarkEnd w:id="488"/>
      <w:r w:rsidRPr="00096909">
        <w:rPr>
          <w:rFonts w:ascii="Times New Roman" w:hAnsi="Times New Roman" w:cs="Times New Roman"/>
          <w:sz w:val="24"/>
          <w:szCs w:val="24"/>
        </w:rPr>
        <w:t xml:space="preserve"> e </w:t>
      </w:r>
      <w:bookmarkStart w:id="489" w:name="_Hlk535999729"/>
      <w:r w:rsidRPr="00096909">
        <w:rPr>
          <w:rFonts w:ascii="Times New Roman" w:hAnsi="Times New Roman" w:cs="Times New Roman"/>
          <w:sz w:val="24"/>
          <w:szCs w:val="24"/>
        </w:rPr>
        <w:t xml:space="preserve">Giovan Pietro Panigarola </w:t>
      </w:r>
      <w:bookmarkEnd w:id="489"/>
      <w:r w:rsidRPr="00096909">
        <w:rPr>
          <w:rFonts w:ascii="Times New Roman" w:hAnsi="Times New Roman" w:cs="Times New Roman"/>
          <w:sz w:val="24"/>
          <w:szCs w:val="24"/>
        </w:rPr>
        <w:t xml:space="preserve">promettevano ragguagli a Galeazzo Maria Sforza sul «grande </w:t>
      </w:r>
      <w:r w:rsidRPr="00096909">
        <w:rPr>
          <w:rFonts w:ascii="Times New Roman" w:hAnsi="Times New Roman" w:cs="Times New Roman"/>
          <w:i/>
          <w:sz w:val="24"/>
          <w:szCs w:val="24"/>
        </w:rPr>
        <w:t>triompho</w:t>
      </w:r>
      <w:r w:rsidRPr="00096909">
        <w:rPr>
          <w:rFonts w:ascii="Times New Roman" w:hAnsi="Times New Roman" w:cs="Times New Roman"/>
          <w:sz w:val="24"/>
          <w:szCs w:val="24"/>
        </w:rPr>
        <w:t xml:space="preserve">» in preparazione per le prossime nozze di </w:t>
      </w:r>
      <w:bookmarkStart w:id="490" w:name="_Hlk535999814"/>
      <w:r w:rsidRPr="00096909">
        <w:rPr>
          <w:rFonts w:ascii="Times New Roman" w:hAnsi="Times New Roman" w:cs="Times New Roman"/>
          <w:sz w:val="24"/>
          <w:szCs w:val="24"/>
        </w:rPr>
        <w:t>Agnese di Savoia</w:t>
      </w:r>
      <w:bookmarkEnd w:id="490"/>
      <w:r w:rsidRPr="00096909">
        <w:rPr>
          <w:rFonts w:ascii="Times New Roman" w:hAnsi="Times New Roman" w:cs="Times New Roman"/>
          <w:sz w:val="24"/>
          <w:szCs w:val="24"/>
        </w:rPr>
        <w:t>, sorella della regina Carlotta di Francia.</w:t>
      </w:r>
      <w:r w:rsidRPr="00096909">
        <w:rPr>
          <w:rStyle w:val="Rimandonotaapidipagina"/>
          <w:rFonts w:ascii="Times New Roman" w:hAnsi="Times New Roman" w:cs="Times New Roman"/>
          <w:sz w:val="24"/>
          <w:szCs w:val="24"/>
        </w:rPr>
        <w:footnoteReference w:id="680"/>
      </w:r>
      <w:r w:rsidRPr="00096909">
        <w:rPr>
          <w:rFonts w:ascii="Times New Roman" w:hAnsi="Times New Roman" w:cs="Times New Roman"/>
          <w:sz w:val="24"/>
          <w:szCs w:val="24"/>
        </w:rPr>
        <w:t xml:space="preserve">  </w:t>
      </w:r>
    </w:p>
    <w:p w14:paraId="544277A1"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Gli studiosi di storia del teatro hanno più volte rimarcato la complessità del fenomeno del trionfo rinascimentale, dovuta anzitutto alla difficoltà di </w:t>
      </w:r>
      <w:r>
        <w:rPr>
          <w:rFonts w:ascii="Times New Roman" w:hAnsi="Times New Roman" w:cs="Times New Roman"/>
          <w:sz w:val="24"/>
          <w:szCs w:val="24"/>
        </w:rPr>
        <w:t xml:space="preserve">coglierne pienamente </w:t>
      </w:r>
      <w:r w:rsidRPr="00096909">
        <w:rPr>
          <w:rFonts w:ascii="Times New Roman" w:hAnsi="Times New Roman" w:cs="Times New Roman"/>
          <w:sz w:val="24"/>
          <w:szCs w:val="24"/>
        </w:rPr>
        <w:t>il carattere originario e</w:t>
      </w:r>
      <w:r>
        <w:rPr>
          <w:rFonts w:ascii="Times New Roman" w:hAnsi="Times New Roman" w:cs="Times New Roman"/>
          <w:sz w:val="24"/>
          <w:szCs w:val="24"/>
        </w:rPr>
        <w:t xml:space="preserve"> di analizzare con precisione</w:t>
      </w:r>
      <w:r w:rsidRPr="00096909">
        <w:rPr>
          <w:rFonts w:ascii="Times New Roman" w:hAnsi="Times New Roman" w:cs="Times New Roman"/>
          <w:sz w:val="24"/>
          <w:szCs w:val="24"/>
        </w:rPr>
        <w:t xml:space="preserve"> le forme in cui si espresse.  Nelle parole degli umanisti che lo descrissero lo spettacolo si presentava come un rituale civico ispirato al glorioso passato di Roma, l’</w:t>
      </w:r>
      <w:r>
        <w:rPr>
          <w:rFonts w:ascii="Times New Roman" w:hAnsi="Times New Roman" w:cs="Times New Roman"/>
          <w:sz w:val="24"/>
          <w:szCs w:val="24"/>
        </w:rPr>
        <w:t>U</w:t>
      </w:r>
      <w:r w:rsidRPr="00096909">
        <w:rPr>
          <w:rFonts w:ascii="Times New Roman" w:hAnsi="Times New Roman" w:cs="Times New Roman"/>
          <w:sz w:val="24"/>
          <w:szCs w:val="24"/>
        </w:rPr>
        <w:t xml:space="preserve">rbe per eccellenza, strutturato sulle «idee forti» maturate dalle moderne scoperte antiquarie riguardanti la cerimonialità classica, </w:t>
      </w:r>
      <w:r w:rsidRPr="00096909">
        <w:rPr>
          <w:rFonts w:ascii="Times New Roman" w:hAnsi="Times New Roman" w:cs="Times New Roman"/>
          <w:i/>
          <w:sz w:val="24"/>
          <w:szCs w:val="24"/>
        </w:rPr>
        <w:t>in primis</w:t>
      </w:r>
      <w:r w:rsidRPr="00096909">
        <w:rPr>
          <w:rFonts w:ascii="Times New Roman" w:hAnsi="Times New Roman" w:cs="Times New Roman"/>
          <w:sz w:val="24"/>
          <w:szCs w:val="24"/>
        </w:rPr>
        <w:t xml:space="preserve"> quelle raccolte nel II e nel X libro della </w:t>
      </w:r>
      <w:r w:rsidRPr="00096909">
        <w:rPr>
          <w:rFonts w:ascii="Times New Roman" w:hAnsi="Times New Roman" w:cs="Times New Roman"/>
          <w:i/>
          <w:sz w:val="24"/>
          <w:szCs w:val="24"/>
        </w:rPr>
        <w:t>Roma Triumphans</w:t>
      </w:r>
      <w:r w:rsidRPr="00096909">
        <w:rPr>
          <w:rFonts w:ascii="Times New Roman" w:hAnsi="Times New Roman" w:cs="Times New Roman"/>
          <w:sz w:val="24"/>
          <w:szCs w:val="24"/>
        </w:rPr>
        <w:t xml:space="preserve"> di Biondo Flavio.</w:t>
      </w:r>
      <w:r w:rsidRPr="00096909">
        <w:rPr>
          <w:rStyle w:val="Rimandonotaapidipagina"/>
          <w:rFonts w:ascii="Times New Roman" w:hAnsi="Times New Roman" w:cs="Times New Roman"/>
          <w:sz w:val="24"/>
          <w:szCs w:val="24"/>
        </w:rPr>
        <w:footnoteReference w:id="681"/>
      </w:r>
      <w:r w:rsidRPr="00096909">
        <w:rPr>
          <w:rFonts w:ascii="Times New Roman" w:hAnsi="Times New Roman" w:cs="Times New Roman"/>
          <w:sz w:val="24"/>
          <w:szCs w:val="24"/>
        </w:rPr>
        <w:t xml:space="preserve"> </w:t>
      </w:r>
    </w:p>
    <w:p w14:paraId="14F43362"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 questo carattere archeologico,</w:t>
      </w:r>
      <w:r>
        <w:rPr>
          <w:rFonts w:ascii="Times New Roman" w:hAnsi="Times New Roman" w:cs="Times New Roman"/>
          <w:sz w:val="24"/>
          <w:szCs w:val="24"/>
        </w:rPr>
        <w:t xml:space="preserve"> </w:t>
      </w:r>
      <w:r w:rsidRPr="00096909">
        <w:rPr>
          <w:rFonts w:ascii="Times New Roman" w:hAnsi="Times New Roman" w:cs="Times New Roman"/>
          <w:sz w:val="24"/>
          <w:szCs w:val="24"/>
        </w:rPr>
        <w:t>noto agli eruditi e ai nobili mecenati dell’epoca, il trionfo quattrocentesco univa però altre immagini strutturanti, «tematicamente coerenti a quella del trionfatore, ma la cui associazione spettacolare al trionfo è una combinazione originale degli incontri tra il trionfatore moderno e i suoi prototipi»,</w:t>
      </w:r>
      <w:r w:rsidRPr="00096909">
        <w:rPr>
          <w:rStyle w:val="Rimandonotaapidipagina"/>
          <w:rFonts w:ascii="Times New Roman" w:hAnsi="Times New Roman" w:cs="Times New Roman"/>
          <w:sz w:val="24"/>
          <w:szCs w:val="24"/>
        </w:rPr>
        <w:footnoteReference w:id="682"/>
      </w:r>
      <w:r w:rsidRPr="00096909">
        <w:rPr>
          <w:rFonts w:ascii="Times New Roman" w:hAnsi="Times New Roman" w:cs="Times New Roman"/>
          <w:sz w:val="24"/>
          <w:szCs w:val="24"/>
        </w:rPr>
        <w:t xml:space="preserve"> ovvero quella evangelica dell’ingresso di </w:t>
      </w:r>
      <w:r w:rsidRPr="00096909">
        <w:rPr>
          <w:rFonts w:ascii="Times New Roman" w:hAnsi="Times New Roman" w:cs="Times New Roman"/>
          <w:sz w:val="24"/>
          <w:szCs w:val="24"/>
        </w:rPr>
        <w:lastRenderedPageBreak/>
        <w:t>Cristo in Gerusalemme</w:t>
      </w:r>
      <w:r w:rsidRPr="00096909">
        <w:rPr>
          <w:rStyle w:val="Rimandonotaapidipagina"/>
          <w:rFonts w:ascii="Times New Roman" w:hAnsi="Times New Roman" w:cs="Times New Roman"/>
          <w:sz w:val="24"/>
          <w:szCs w:val="24"/>
        </w:rPr>
        <w:footnoteReference w:id="683"/>
      </w:r>
      <w:r w:rsidRPr="00096909">
        <w:rPr>
          <w:rFonts w:ascii="Times New Roman" w:hAnsi="Times New Roman" w:cs="Times New Roman"/>
          <w:sz w:val="24"/>
          <w:szCs w:val="24"/>
        </w:rPr>
        <w:t xml:space="preserve"> e quella letteraria dei trecenteschi </w:t>
      </w:r>
      <w:r w:rsidRPr="00096909">
        <w:rPr>
          <w:rFonts w:ascii="Times New Roman" w:hAnsi="Times New Roman" w:cs="Times New Roman"/>
          <w:i/>
          <w:sz w:val="24"/>
          <w:szCs w:val="24"/>
        </w:rPr>
        <w:t>Trionfi</w:t>
      </w:r>
      <w:r w:rsidRPr="00096909">
        <w:rPr>
          <w:rFonts w:ascii="Times New Roman" w:hAnsi="Times New Roman" w:cs="Times New Roman"/>
          <w:sz w:val="24"/>
          <w:szCs w:val="24"/>
        </w:rPr>
        <w:t xml:space="preserve"> del Petrarca, patrimonio comune della memoria dell’osservatore rinascimentale.</w:t>
      </w:r>
      <w:r w:rsidRPr="00096909">
        <w:rPr>
          <w:rStyle w:val="Rimandonotaapidipagina"/>
          <w:rFonts w:ascii="Times New Roman" w:hAnsi="Times New Roman" w:cs="Times New Roman"/>
          <w:sz w:val="24"/>
          <w:szCs w:val="24"/>
        </w:rPr>
        <w:footnoteReference w:id="684"/>
      </w:r>
      <w:r w:rsidRPr="00096909">
        <w:rPr>
          <w:rFonts w:ascii="Times New Roman" w:hAnsi="Times New Roman" w:cs="Times New Roman"/>
          <w:sz w:val="24"/>
          <w:szCs w:val="24"/>
        </w:rPr>
        <w:t xml:space="preserve"> </w:t>
      </w:r>
    </w:p>
    <w:p w14:paraId="7763EC8C"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Per conseguenza, nel predisporre il grandioso spettacolo cittadino gli apparatori non si attennero a un recupero filologico del cerimoniale e della spettacolarità romani, ma donarono piuttosto un significato nuovo e un uso moderno a quanto di essi seppero ricostruire, permettendosi originali rielaborazioni e contaminazioni tra le forme della cultura colta festeggiante e quelle della tradizione romanza dello spettacolo contemporaneo. Rielaborazioni e contaminazioni che nel contesto eclettico e plurale della corte trovarono un naturale ambiente di sviluppo. Si pensi, ad esempio, ai casi di adattamento degli ingegni degli edifizi processionali fiorentini per i carri del trionfo classicheggiante di Alfonso il Magnanimo o per quelli dell’entrata a Milano d’Isabella d’Aragona, dei quali avremo ora modo di considerare altre comparse e modificazioni. </w:t>
      </w:r>
    </w:p>
    <w:p w14:paraId="4F76AEAB"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Anche rispetto alle norme prescritte dall’autorità ecclesiastica, che avrebbero dovuto regolare lo svolgimento della cerimonia, gli organizzatori dei trionfi rinascimentali ebbero un atteggiamento abbastanza disinvolto, adattando alle necessità comunicative dell’ingresso quanto indicato nell</w:t>
      </w:r>
      <w:r w:rsidRPr="00096909">
        <w:rPr>
          <w:rFonts w:ascii="Times New Roman" w:hAnsi="Times New Roman" w:cs="Times New Roman"/>
          <w:i/>
          <w:sz w:val="24"/>
          <w:szCs w:val="24"/>
        </w:rPr>
        <w:t>’Ordo ad recipiendam processionaliter principissam</w:t>
      </w:r>
      <w:r w:rsidRPr="00096909">
        <w:rPr>
          <w:rFonts w:ascii="Times New Roman" w:hAnsi="Times New Roman" w:cs="Times New Roman"/>
          <w:sz w:val="24"/>
          <w:szCs w:val="24"/>
        </w:rPr>
        <w:t xml:space="preserve"> del </w:t>
      </w:r>
      <w:r w:rsidRPr="00096909">
        <w:rPr>
          <w:rFonts w:ascii="Times New Roman" w:hAnsi="Times New Roman" w:cs="Times New Roman"/>
          <w:i/>
          <w:sz w:val="24"/>
          <w:szCs w:val="24"/>
        </w:rPr>
        <w:t>Pontificalis Liber</w:t>
      </w:r>
      <w:r w:rsidRPr="00096909">
        <w:rPr>
          <w:rFonts w:ascii="Times New Roman" w:hAnsi="Times New Roman" w:cs="Times New Roman"/>
          <w:sz w:val="24"/>
          <w:szCs w:val="24"/>
        </w:rPr>
        <w:t xml:space="preserve"> di Agostino Patrizi Piccolomini e Giovanni Burcardo: </w:t>
      </w:r>
    </w:p>
    <w:p w14:paraId="1717C10C"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0555A48E" w14:textId="77777777" w:rsidR="00395702" w:rsidRPr="00096909" w:rsidRDefault="00395702" w:rsidP="00395702">
      <w:pPr>
        <w:tabs>
          <w:tab w:val="left" w:pos="9072"/>
        </w:tabs>
        <w:spacing w:after="0" w:line="360" w:lineRule="auto"/>
        <w:ind w:left="567" w:right="566" w:firstLine="397"/>
        <w:jc w:val="both"/>
        <w:rPr>
          <w:rFonts w:ascii="Times New Roman" w:hAnsi="Times New Roman" w:cs="Times New Roman"/>
          <w:i/>
          <w:sz w:val="20"/>
          <w:szCs w:val="20"/>
        </w:rPr>
      </w:pPr>
      <w:r w:rsidRPr="00096909">
        <w:rPr>
          <w:rFonts w:ascii="Times New Roman" w:hAnsi="Times New Roman" w:cs="Times New Roman"/>
          <w:i/>
          <w:sz w:val="20"/>
          <w:szCs w:val="20"/>
        </w:rPr>
        <w:t xml:space="preserve">Quando imperatrix vel regina ad aliquam urbem aut insigne oppidum venit, Clerus processionaliter obviam dat ei extra portam. Imperatrix vel regina osculetur crucem que per prelatum sibi porrigitur. Deinde sub baldachino ducitur usque ad ecclesiam, ordine consueto. Interim cantatur responsorium: Ista est speciosa inter filias Hierusalem. / Sicut vidisti eam plenam caritate / et diletione in cubilibus et in ortis aromatum. / Ista est quae ascendit de deserto deliciis affluens. </w:t>
      </w:r>
    </w:p>
    <w:p w14:paraId="4196A218" w14:textId="77777777" w:rsidR="00395702" w:rsidRPr="00096909" w:rsidRDefault="00395702" w:rsidP="00395702">
      <w:pPr>
        <w:tabs>
          <w:tab w:val="left" w:pos="9072"/>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i/>
          <w:sz w:val="20"/>
          <w:szCs w:val="20"/>
        </w:rPr>
        <w:t>Deinde cantentur hymni vel alia cantica magis placentia. Cum imperatrix vel regina ecclesiam intrat prelatus, accepto aspersorio, aspergat eam. Deinde alios in genere et procedant usque ad altare maius. Coram quo imperatrix vel reginam genuflectat super faldistorio ibidem sibi parato et</w:t>
      </w:r>
      <w:r>
        <w:rPr>
          <w:rFonts w:ascii="Times New Roman" w:hAnsi="Times New Roman" w:cs="Times New Roman"/>
          <w:i/>
          <w:sz w:val="20"/>
          <w:szCs w:val="20"/>
        </w:rPr>
        <w:t xml:space="preserve"> </w:t>
      </w:r>
      <w:r w:rsidRPr="00096909">
        <w:rPr>
          <w:rFonts w:ascii="Times New Roman" w:hAnsi="Times New Roman" w:cs="Times New Roman"/>
          <w:i/>
          <w:sz w:val="20"/>
          <w:szCs w:val="20"/>
        </w:rPr>
        <w:t xml:space="preserve">oret. Prelatus vero ascendat ante idem altare, ubi stans versus ad orantem, detecto capite, dicat: V. Salvam fac ancillam tuam, Domine. </w:t>
      </w:r>
      <w:r w:rsidRPr="00096909">
        <w:rPr>
          <w:rFonts w:ascii="Times New Roman" w:hAnsi="Times New Roman" w:cs="Times New Roman"/>
          <w:i/>
          <w:sz w:val="20"/>
          <w:szCs w:val="20"/>
          <w:lang w:val="fr-FR"/>
        </w:rPr>
        <w:t xml:space="preserve">R. Deus meus sperantem in te. V. Miserere mei Domine ausilium de sancto. </w:t>
      </w:r>
      <w:r w:rsidRPr="00096909">
        <w:rPr>
          <w:rFonts w:ascii="Times New Roman" w:hAnsi="Times New Roman" w:cs="Times New Roman"/>
          <w:i/>
          <w:sz w:val="20"/>
          <w:szCs w:val="20"/>
        </w:rPr>
        <w:t>R. Et de Syon tuere eam</w:t>
      </w:r>
      <w:r w:rsidRPr="00096909">
        <w:rPr>
          <w:rFonts w:ascii="Times New Roman" w:hAnsi="Times New Roman" w:cs="Times New Roman"/>
          <w:sz w:val="20"/>
          <w:szCs w:val="20"/>
        </w:rPr>
        <w:t>. […].</w:t>
      </w:r>
      <w:r w:rsidRPr="00096909">
        <w:rPr>
          <w:rStyle w:val="Rimandonotaapidipagina"/>
          <w:rFonts w:ascii="Times New Roman" w:hAnsi="Times New Roman" w:cs="Times New Roman"/>
        </w:rPr>
        <w:footnoteReference w:id="685"/>
      </w:r>
    </w:p>
    <w:p w14:paraId="4AD549A3"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p>
    <w:p w14:paraId="7376C0A9"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Sebbene tutte le descrizioni degli sposalizi riferiscano della presenza di musici per eseguire cantici e marce nelle entrate delle principesse, non ho trovato alcuna menzione del canto del </w:t>
      </w:r>
      <w:r w:rsidRPr="00096909">
        <w:rPr>
          <w:rFonts w:ascii="Times New Roman" w:hAnsi="Times New Roman" w:cs="Times New Roman"/>
          <w:sz w:val="24"/>
          <w:szCs w:val="24"/>
        </w:rPr>
        <w:lastRenderedPageBreak/>
        <w:t xml:space="preserve">responsorio </w:t>
      </w:r>
      <w:r w:rsidRPr="00096909">
        <w:rPr>
          <w:rFonts w:ascii="Times New Roman" w:hAnsi="Times New Roman" w:cs="Times New Roman"/>
          <w:i/>
          <w:sz w:val="24"/>
          <w:szCs w:val="24"/>
        </w:rPr>
        <w:t>Ista est speciosa</w:t>
      </w:r>
      <w:r w:rsidRPr="00096909">
        <w:rPr>
          <w:rFonts w:ascii="Times New Roman" w:hAnsi="Times New Roman" w:cs="Times New Roman"/>
          <w:sz w:val="24"/>
          <w:szCs w:val="24"/>
        </w:rPr>
        <w:t xml:space="preserve">, proprio della festa dell’Assunzione di Maria, mentre alcune volte vi si annota l’esecuzione del </w:t>
      </w:r>
      <w:r w:rsidRPr="00096909">
        <w:rPr>
          <w:rFonts w:ascii="Times New Roman" w:hAnsi="Times New Roman" w:cs="Times New Roman"/>
          <w:i/>
          <w:sz w:val="24"/>
          <w:szCs w:val="24"/>
        </w:rPr>
        <w:t>Te Deum</w:t>
      </w:r>
      <w:r w:rsidRPr="00096909">
        <w:rPr>
          <w:rFonts w:ascii="Times New Roman" w:hAnsi="Times New Roman" w:cs="Times New Roman"/>
          <w:sz w:val="24"/>
          <w:szCs w:val="24"/>
        </w:rPr>
        <w:t xml:space="preserve">, forse più immediatamente riconoscibile </w:t>
      </w:r>
      <w:r w:rsidR="00141A3B">
        <w:rPr>
          <w:rFonts w:ascii="Times New Roman" w:hAnsi="Times New Roman" w:cs="Times New Roman"/>
          <w:sz w:val="24"/>
          <w:szCs w:val="24"/>
        </w:rPr>
        <w:t xml:space="preserve">per </w:t>
      </w:r>
      <w:r w:rsidRPr="00096909">
        <w:rPr>
          <w:rFonts w:ascii="Times New Roman" w:hAnsi="Times New Roman" w:cs="Times New Roman"/>
          <w:sz w:val="24"/>
          <w:szCs w:val="24"/>
        </w:rPr>
        <w:t xml:space="preserve">i cronisti. </w:t>
      </w:r>
    </w:p>
    <w:p w14:paraId="2DCA1A6B"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Consueto è all’opposto l’incontro alla porta della città tra il vescovo cittadino, o il legato pontificio, il capitolo metropolitano e la sposa, accompagnata poi sotto il baldacchino fino alla cattedrale, come indicato dal </w:t>
      </w:r>
      <w:r w:rsidRPr="00096909">
        <w:rPr>
          <w:rFonts w:ascii="Times New Roman" w:hAnsi="Times New Roman" w:cs="Times New Roman"/>
          <w:i/>
          <w:sz w:val="24"/>
          <w:szCs w:val="24"/>
        </w:rPr>
        <w:t>Liber Pontificalis</w:t>
      </w:r>
      <w:r w:rsidRPr="00096909">
        <w:rPr>
          <w:rFonts w:ascii="Times New Roman" w:hAnsi="Times New Roman" w:cs="Times New Roman"/>
          <w:sz w:val="24"/>
          <w:szCs w:val="24"/>
        </w:rPr>
        <w:t xml:space="preserve">. </w:t>
      </w:r>
      <w:r>
        <w:rPr>
          <w:rFonts w:ascii="Times New Roman" w:hAnsi="Times New Roman" w:cs="Times New Roman"/>
          <w:sz w:val="24"/>
          <w:szCs w:val="24"/>
        </w:rPr>
        <w:t>L</w:t>
      </w:r>
      <w:r w:rsidRPr="00096909">
        <w:rPr>
          <w:rFonts w:ascii="Times New Roman" w:hAnsi="Times New Roman" w:cs="Times New Roman"/>
          <w:sz w:val="24"/>
          <w:szCs w:val="24"/>
        </w:rPr>
        <w:t xml:space="preserve">a presenza di queste norme liturgiche per lo svolgimento del trionfo mi sembra </w:t>
      </w:r>
      <w:r>
        <w:rPr>
          <w:rFonts w:ascii="Times New Roman" w:hAnsi="Times New Roman" w:cs="Times New Roman"/>
          <w:sz w:val="24"/>
          <w:szCs w:val="24"/>
        </w:rPr>
        <w:t xml:space="preserve">tuttavia </w:t>
      </w:r>
      <w:r w:rsidRPr="00096909">
        <w:rPr>
          <w:rFonts w:ascii="Times New Roman" w:hAnsi="Times New Roman" w:cs="Times New Roman"/>
          <w:sz w:val="24"/>
          <w:szCs w:val="24"/>
        </w:rPr>
        <w:t>indizio di come la cerimonia avesse, esattamente come nel mondo romano, un forte carattere sacrale. Il trionfante, ringraziando la divinità che gli aveva concesso un tale onore, chiedeva il perdono delle proprie colpe e di quelle dei cittadini commesse in guerra, stabilendo con quella un patto nuovo per il governo pacifico della città, mentre il popolo si univa al rituale per mezzo della preghiera e del canto.</w:t>
      </w:r>
      <w:r w:rsidRPr="00096909">
        <w:rPr>
          <w:rStyle w:val="Rimandonotaapidipagina"/>
          <w:rFonts w:ascii="Times New Roman" w:hAnsi="Times New Roman" w:cs="Times New Roman"/>
          <w:sz w:val="24"/>
          <w:szCs w:val="24"/>
        </w:rPr>
        <w:t xml:space="preserve"> </w:t>
      </w:r>
      <w:r w:rsidRPr="00096909">
        <w:rPr>
          <w:rStyle w:val="Rimandonotaapidipagina"/>
          <w:rFonts w:ascii="Times New Roman" w:hAnsi="Times New Roman" w:cs="Times New Roman"/>
          <w:sz w:val="24"/>
          <w:szCs w:val="24"/>
        </w:rPr>
        <w:footnoteReference w:id="686"/>
      </w:r>
      <w:r w:rsidRPr="00096909">
        <w:rPr>
          <w:rFonts w:ascii="Times New Roman" w:hAnsi="Times New Roman" w:cs="Times New Roman"/>
          <w:sz w:val="24"/>
          <w:szCs w:val="24"/>
        </w:rPr>
        <w:t xml:space="preserve"> L’incedere lungo le vie in corteo diveniva così un rito di passaggio, di rifondazione e di purificazione dell’intera città, marcato dall’attraversamento della porta cittadina e degli archi trionfali posticci predisposti, che contribuivano a rappresentare visivamente il movimento da uno stato della condizione umana ad un altro ideale e perfezionato. </w:t>
      </w:r>
    </w:p>
    <w:p w14:paraId="3D643AA3"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Nelle cerimonie di accoglienza delle spose il carattere lustrale del trionfo era spesso sottolineato dalla presenza di fanciulli in vesti bianche o verdi – colori tradizionalmente associati alla purezza e alla giovinezza – che incontravano la principessa all’ingresso della città. Giunta nei pressi di Pesaro, ad esempio, Camilla d’Aragona vide «un gran numero de puti de dicto castello vestiti de bianco cum le ghirlande in testa et cum le palme de olive in segno di pace et de leticia».</w:t>
      </w:r>
      <w:r w:rsidRPr="00096909">
        <w:rPr>
          <w:rStyle w:val="Rimandonotaapidipagina"/>
          <w:rFonts w:ascii="Times New Roman" w:hAnsi="Times New Roman" w:cs="Times New Roman"/>
          <w:sz w:val="24"/>
          <w:szCs w:val="24"/>
        </w:rPr>
        <w:footnoteReference w:id="687"/>
      </w:r>
      <w:r w:rsidRPr="00096909">
        <w:rPr>
          <w:rFonts w:ascii="Times New Roman" w:hAnsi="Times New Roman" w:cs="Times New Roman"/>
          <w:sz w:val="24"/>
          <w:szCs w:val="24"/>
        </w:rPr>
        <w:t xml:space="preserve"> </w:t>
      </w:r>
    </w:p>
    <w:p w14:paraId="492A48CB"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 bambini, novelli «</w:t>
      </w:r>
      <w:r w:rsidRPr="00096909">
        <w:rPr>
          <w:rFonts w:ascii="Times New Roman" w:hAnsi="Times New Roman" w:cs="Times New Roman"/>
          <w:i/>
          <w:sz w:val="24"/>
          <w:szCs w:val="24"/>
        </w:rPr>
        <w:t>Pueri Hebraeorum tollentes ramos olivarum</w:t>
      </w:r>
      <w:r w:rsidRPr="00096909">
        <w:rPr>
          <w:rFonts w:ascii="Times New Roman" w:hAnsi="Times New Roman" w:cs="Times New Roman"/>
          <w:sz w:val="24"/>
          <w:szCs w:val="24"/>
        </w:rPr>
        <w:t>» (Gv. 12, 13) eletti a rappresentare l’originaria innocenza della popolazione in festa – talvolta sostituiti dal fiore della gioventù aristocratica locale –, purificavano la protagonista dell’entrata, svolgendo una funzione apotropaica in favore della giovane destinata a perpetuare la stirpe regnante, partorendo l’erede del principe.</w:t>
      </w:r>
      <w:r w:rsidRPr="00096909">
        <w:rPr>
          <w:rStyle w:val="Rimandonotaapidipagina"/>
          <w:rFonts w:ascii="Times New Roman" w:hAnsi="Times New Roman" w:cs="Times New Roman"/>
          <w:sz w:val="24"/>
          <w:szCs w:val="24"/>
        </w:rPr>
        <w:footnoteReference w:id="688"/>
      </w:r>
      <w:r w:rsidRPr="00096909">
        <w:rPr>
          <w:rFonts w:ascii="Times New Roman" w:hAnsi="Times New Roman" w:cs="Times New Roman"/>
          <w:sz w:val="24"/>
          <w:szCs w:val="24"/>
        </w:rPr>
        <w:t xml:space="preserve"> </w:t>
      </w:r>
    </w:p>
    <w:p w14:paraId="76377BD2"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Dopo il bacio della croce, al suono di trombe, flauti, tamburi e campane, la principessa varcava una delle porte d’accesso alla città dando inizio alla sfilata del maestoso corteo. Lungo le vie si potevano ammirare differenti tipi di decorazioni provvisorie. Abbiamo accennato alla presenza di </w:t>
      </w:r>
      <w:r w:rsidRPr="00096909">
        <w:rPr>
          <w:rFonts w:ascii="Times New Roman" w:hAnsi="Times New Roman" w:cs="Times New Roman"/>
          <w:sz w:val="24"/>
          <w:szCs w:val="24"/>
        </w:rPr>
        <w:lastRenderedPageBreak/>
        <w:t>archi trionfali collocati nei luoghi più importanti del tessuto urbano. Il loro aspetto era alle volte molto differente, ed era possibile che gli artisti coinvolti nella preparazione dell’ingresso non solo progettassero apparati posticci ma anche abbellissero strutture già esistenti, vestigia di un glorioso passato, arricchendole di addobbi. È questo il caso dell</w:t>
      </w:r>
      <w:r w:rsidR="00297792">
        <w:rPr>
          <w:rFonts w:ascii="Times New Roman" w:hAnsi="Times New Roman" w:cs="Times New Roman"/>
          <w:sz w:val="24"/>
          <w:szCs w:val="24"/>
        </w:rPr>
        <w:t>’</w:t>
      </w:r>
      <w:r w:rsidRPr="00096909">
        <w:rPr>
          <w:rFonts w:ascii="Times New Roman" w:hAnsi="Times New Roman" w:cs="Times New Roman"/>
          <w:sz w:val="24"/>
          <w:szCs w:val="24"/>
        </w:rPr>
        <w:t>entrata di Elisabetta da Montefeltro, figlia del duca d’Urbino Federico e di Battista Sforza, che il 24 giugno 1475 giungeva a Rimini per divenire la moglie del signore della città, Roberto Malatesta.</w:t>
      </w:r>
      <w:r w:rsidRPr="00096909">
        <w:rPr>
          <w:rStyle w:val="Rimandonotaapidipagina"/>
          <w:rFonts w:ascii="Times New Roman" w:hAnsi="Times New Roman" w:cs="Times New Roman"/>
          <w:sz w:val="24"/>
          <w:szCs w:val="24"/>
        </w:rPr>
        <w:footnoteReference w:id="689"/>
      </w:r>
      <w:r w:rsidRPr="00096909">
        <w:rPr>
          <w:rFonts w:ascii="Times New Roman" w:hAnsi="Times New Roman" w:cs="Times New Roman"/>
          <w:sz w:val="24"/>
          <w:szCs w:val="24"/>
        </w:rPr>
        <w:t xml:space="preserve"> </w:t>
      </w:r>
    </w:p>
    <w:p w14:paraId="49960C98"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w:t>
      </w:r>
      <w:r w:rsidRPr="00096909">
        <w:rPr>
          <w:rFonts w:ascii="Times New Roman" w:hAnsi="Times New Roman" w:cs="Times New Roman"/>
          <w:i/>
          <w:sz w:val="24"/>
          <w:szCs w:val="24"/>
        </w:rPr>
        <w:t xml:space="preserve">Cronaca </w:t>
      </w:r>
      <w:r w:rsidR="00EE06BD">
        <w:rPr>
          <w:rFonts w:ascii="Times New Roman" w:hAnsi="Times New Roman" w:cs="Times New Roman"/>
          <w:i/>
          <w:sz w:val="24"/>
          <w:szCs w:val="24"/>
        </w:rPr>
        <w:t>u</w:t>
      </w:r>
      <w:r w:rsidRPr="00096909">
        <w:rPr>
          <w:rFonts w:ascii="Times New Roman" w:hAnsi="Times New Roman" w:cs="Times New Roman"/>
          <w:i/>
          <w:sz w:val="24"/>
          <w:szCs w:val="24"/>
        </w:rPr>
        <w:t>niversale</w:t>
      </w:r>
      <w:r w:rsidRPr="00096909">
        <w:rPr>
          <w:rFonts w:ascii="Times New Roman" w:hAnsi="Times New Roman" w:cs="Times New Roman"/>
          <w:sz w:val="24"/>
          <w:szCs w:val="24"/>
        </w:rPr>
        <w:t xml:space="preserve"> di Gaspare Broglio documenta come per onorare la sposa, e soprattutto il suo illustre genitore, presente alle nozze insieme a Ottaviano Ubaldini, sul percorso che l’avrebbe condotta dalle mura al palazzo dei Malatesta</w:t>
      </w:r>
      <w:r>
        <w:rPr>
          <w:rFonts w:ascii="Times New Roman" w:hAnsi="Times New Roman" w:cs="Times New Roman"/>
          <w:sz w:val="24"/>
          <w:szCs w:val="24"/>
        </w:rPr>
        <w:t xml:space="preserve"> </w:t>
      </w:r>
      <w:r w:rsidRPr="00096909">
        <w:rPr>
          <w:rFonts w:ascii="Times New Roman" w:hAnsi="Times New Roman" w:cs="Times New Roman"/>
          <w:sz w:val="24"/>
          <w:szCs w:val="24"/>
        </w:rPr>
        <w:t>fossero stati montati quattro archi provvisori, un castello ligneo per la disputa di un passo d’armi e un apparato sulla facciata della cattedrale di Santa Colomba.</w:t>
      </w:r>
      <w:r w:rsidRPr="00096909">
        <w:rPr>
          <w:rStyle w:val="Rimandonotaapidipagina"/>
          <w:rFonts w:ascii="Times New Roman" w:hAnsi="Times New Roman" w:cs="Times New Roman"/>
          <w:sz w:val="24"/>
          <w:szCs w:val="24"/>
        </w:rPr>
        <w:footnoteReference w:id="690"/>
      </w:r>
      <w:r w:rsidRPr="00096909">
        <w:rPr>
          <w:rFonts w:ascii="Times New Roman" w:hAnsi="Times New Roman" w:cs="Times New Roman"/>
          <w:sz w:val="24"/>
          <w:szCs w:val="24"/>
        </w:rPr>
        <w:t xml:space="preserve"> </w:t>
      </w:r>
    </w:p>
    <w:p w14:paraId="1C6DECE0"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L’entrata in Rimini avvenne però per quella che il cronista chiama Porta san Bartolo, in virtù della chiesa che sorgeva un tempo poco distante da essa. Si trattava dell’arco di Augusto, eretto nel 27 a.C. in lode dell’imperatore.</w:t>
      </w:r>
      <w:r w:rsidRPr="00096909">
        <w:rPr>
          <w:rStyle w:val="Rimandonotaapidipagina"/>
          <w:rFonts w:ascii="Times New Roman" w:hAnsi="Times New Roman" w:cs="Times New Roman"/>
          <w:sz w:val="24"/>
          <w:szCs w:val="24"/>
        </w:rPr>
        <w:footnoteReference w:id="691"/>
      </w:r>
      <w:r w:rsidRPr="00096909">
        <w:rPr>
          <w:rFonts w:ascii="Times New Roman" w:hAnsi="Times New Roman" w:cs="Times New Roman"/>
          <w:sz w:val="24"/>
          <w:szCs w:val="24"/>
        </w:rPr>
        <w:t xml:space="preserve"> Nel giorno del lieto evento sulla sua facciata fu possibile ammirare «homini sperti vestiti in forma delli antichi e bon romani, li quali all’intrata dell’illustrissimo duca d’Urbino e della illustrissima madonna dissero in versi recievendo lo illustrissimo duca e la illustrissima madonna degniamente».</w:t>
      </w:r>
      <w:r w:rsidRPr="00096909">
        <w:rPr>
          <w:rStyle w:val="Rimandonotaapidipagina"/>
          <w:rFonts w:ascii="Times New Roman" w:hAnsi="Times New Roman" w:cs="Times New Roman"/>
          <w:sz w:val="24"/>
          <w:szCs w:val="24"/>
        </w:rPr>
        <w:footnoteReference w:id="692"/>
      </w:r>
    </w:p>
    <w:p w14:paraId="4025160E"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All’ingresso e al termine di Piazza Maggiore, attuale Piazza Tre Martiri, dove era fama che Giulio Cesare avesse tenuto il </w:t>
      </w:r>
      <w:r>
        <w:rPr>
          <w:rFonts w:ascii="Times New Roman" w:hAnsi="Times New Roman" w:cs="Times New Roman"/>
          <w:sz w:val="24"/>
          <w:szCs w:val="24"/>
        </w:rPr>
        <w:t xml:space="preserve">celebre </w:t>
      </w:r>
      <w:r w:rsidRPr="00096909">
        <w:rPr>
          <w:rFonts w:ascii="Times New Roman" w:hAnsi="Times New Roman" w:cs="Times New Roman"/>
          <w:sz w:val="24"/>
          <w:szCs w:val="24"/>
        </w:rPr>
        <w:t>discorso alla XIII legione, si ergevano invece i primi due archi posticci costruiti per l’occasione:</w:t>
      </w:r>
    </w:p>
    <w:p w14:paraId="69CBF844"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51003918" w14:textId="77777777" w:rsidR="00395702" w:rsidRPr="00096909" w:rsidRDefault="00395702" w:rsidP="00395702">
      <w:pPr>
        <w:tabs>
          <w:tab w:val="left" w:pos="9072"/>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In capo de la detta piazza fo edificato un archo triumphale altissimo e dignissimo, con tucte quelle solinnità apartenenti. E sull’archo v’era bellissimo palencato, sul quale v’erano dodici homini vestiti nella forma di quelli famosissimi romani; et in fra mezzo loro era una sedia voita dignissima, coperta di drappo d’oro. </w:t>
      </w:r>
    </w:p>
    <w:p w14:paraId="109B393E" w14:textId="77777777" w:rsidR="00395702" w:rsidRPr="00096909" w:rsidRDefault="00395702" w:rsidP="00395702">
      <w:pPr>
        <w:tabs>
          <w:tab w:val="left" w:pos="9072"/>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Conseguendo per insino a un altro arco triumphale, sopra el quale v’era defitii d’angeli su certi rami, li quali de continovo se volgivano intorno cantando degnie melodie.</w:t>
      </w:r>
      <w:r w:rsidRPr="00096909">
        <w:rPr>
          <w:rStyle w:val="Rimandonotaapidipagina"/>
          <w:rFonts w:ascii="Times New Roman" w:hAnsi="Times New Roman" w:cs="Times New Roman"/>
        </w:rPr>
        <w:footnoteReference w:id="693"/>
      </w:r>
      <w:r w:rsidRPr="00096909">
        <w:rPr>
          <w:rFonts w:ascii="Times New Roman" w:hAnsi="Times New Roman" w:cs="Times New Roman"/>
          <w:sz w:val="20"/>
          <w:szCs w:val="20"/>
        </w:rPr>
        <w:t xml:space="preserve"> </w:t>
      </w:r>
    </w:p>
    <w:p w14:paraId="2DEFCC1A" w14:textId="77777777" w:rsidR="00395702" w:rsidRPr="00096909" w:rsidRDefault="00395702" w:rsidP="00395702">
      <w:pPr>
        <w:spacing w:after="0" w:line="360" w:lineRule="auto"/>
        <w:ind w:left="567" w:right="566" w:firstLine="397"/>
        <w:jc w:val="both"/>
        <w:rPr>
          <w:rFonts w:ascii="Times New Roman" w:hAnsi="Times New Roman" w:cs="Times New Roman"/>
          <w:sz w:val="24"/>
          <w:szCs w:val="24"/>
        </w:rPr>
      </w:pPr>
    </w:p>
    <w:p w14:paraId="6375CD59"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Durante la sfilata trionfale Elisabetta, Roberto Malatesta e il duca Federico sostarono presso i due apparati. Sulla cornice del primo di questi</w:t>
      </w:r>
      <w:r>
        <w:rPr>
          <w:rFonts w:ascii="Times New Roman" w:hAnsi="Times New Roman" w:cs="Times New Roman"/>
          <w:sz w:val="24"/>
          <w:szCs w:val="24"/>
        </w:rPr>
        <w:t>,</w:t>
      </w:r>
      <w:r w:rsidRPr="00096909">
        <w:rPr>
          <w:rFonts w:ascii="Times New Roman" w:hAnsi="Times New Roman" w:cs="Times New Roman"/>
          <w:sz w:val="24"/>
          <w:szCs w:val="24"/>
        </w:rPr>
        <w:t xml:space="preserve"> i figuranti impersonanti i grandi della storia di Roma si alzarono per salutare il Montefeltro e uno di loro, dopo essersi presentato come Giulio Cesare, gli rivolse dei versi di benvenuto, invitandolo a salire sull’arco per sedersi sul seggio dorato a lui riservato. Sul secondo arco Diana e le ninfe cantarono poi gioiose al passaggio della sposa. </w:t>
      </w:r>
    </w:p>
    <w:p w14:paraId="3953A93F"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Per amore di </w:t>
      </w:r>
      <w:r w:rsidRPr="00096909">
        <w:rPr>
          <w:rFonts w:ascii="Times New Roman" w:hAnsi="Times New Roman" w:cs="Times New Roman"/>
          <w:i/>
          <w:sz w:val="24"/>
          <w:szCs w:val="24"/>
        </w:rPr>
        <w:t>brevitas</w:t>
      </w:r>
      <w:r w:rsidRPr="00096909">
        <w:rPr>
          <w:rFonts w:ascii="Times New Roman" w:hAnsi="Times New Roman" w:cs="Times New Roman"/>
          <w:sz w:val="24"/>
          <w:szCs w:val="24"/>
        </w:rPr>
        <w:t xml:space="preserve"> Broglio non dice cosa accadde lungo il percorso che dalla Piazza Maggiore conduceva alla cattedrale, dove erano presenti «dui altri archi triumphali in varii modi hordenati, di gran costo e bellezza»</w:t>
      </w:r>
      <w:r w:rsidRPr="00096909">
        <w:rPr>
          <w:rStyle w:val="Rimandonotaapidipagina"/>
          <w:rFonts w:ascii="Times New Roman" w:hAnsi="Times New Roman" w:cs="Times New Roman"/>
          <w:sz w:val="24"/>
          <w:szCs w:val="24"/>
        </w:rPr>
        <w:footnoteReference w:id="694"/>
      </w:r>
      <w:r w:rsidRPr="00096909">
        <w:rPr>
          <w:rFonts w:ascii="Times New Roman" w:hAnsi="Times New Roman" w:cs="Times New Roman"/>
          <w:sz w:val="24"/>
          <w:szCs w:val="24"/>
        </w:rPr>
        <w:t xml:space="preserve">. È significativo però che egli dichiari </w:t>
      </w:r>
      <w:r>
        <w:rPr>
          <w:rFonts w:ascii="Times New Roman" w:hAnsi="Times New Roman" w:cs="Times New Roman"/>
          <w:sz w:val="24"/>
          <w:szCs w:val="24"/>
        </w:rPr>
        <w:t xml:space="preserve">che: </w:t>
      </w:r>
      <w:r w:rsidRPr="00096909">
        <w:rPr>
          <w:rFonts w:ascii="Times New Roman" w:hAnsi="Times New Roman" w:cs="Times New Roman"/>
          <w:sz w:val="24"/>
          <w:szCs w:val="24"/>
        </w:rPr>
        <w:t xml:space="preserve">«per abreviare, tucti li archi triumphali al passare dell’illustrissimo duca d’Orbino laudaro la fama e la gloria di Sua Signoria». Fu dunque Federico da Montefeltro, con cui il Malatesta stringeva questa alleanza dinastica dopo decenni di rivalità, il vero protagonista dell’ingresso. </w:t>
      </w:r>
    </w:p>
    <w:p w14:paraId="5990AE87"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cronista </w:t>
      </w:r>
      <w:r w:rsidR="00D956E2">
        <w:rPr>
          <w:rFonts w:ascii="Times New Roman" w:hAnsi="Times New Roman" w:cs="Times New Roman"/>
          <w:sz w:val="24"/>
          <w:szCs w:val="24"/>
        </w:rPr>
        <w:t>riferisce</w:t>
      </w:r>
      <w:r w:rsidRPr="00096909">
        <w:rPr>
          <w:rFonts w:ascii="Times New Roman" w:hAnsi="Times New Roman" w:cs="Times New Roman"/>
          <w:sz w:val="24"/>
          <w:szCs w:val="24"/>
        </w:rPr>
        <w:t xml:space="preserve"> poco anche riguardo al castello di legno preparato per il passo d’armi, salvo che esso </w:t>
      </w:r>
      <w:r w:rsidR="00BA5E5F">
        <w:rPr>
          <w:rFonts w:ascii="Times New Roman" w:hAnsi="Times New Roman" w:cs="Times New Roman"/>
          <w:sz w:val="24"/>
          <w:szCs w:val="24"/>
        </w:rPr>
        <w:t>fosse</w:t>
      </w:r>
      <w:r w:rsidRPr="00096909">
        <w:rPr>
          <w:rFonts w:ascii="Times New Roman" w:hAnsi="Times New Roman" w:cs="Times New Roman"/>
          <w:sz w:val="24"/>
          <w:szCs w:val="24"/>
        </w:rPr>
        <w:t xml:space="preserve"> collocato al centro della Piazza Maggiore, la quale a sua volta presentava sui lati le consuete gradinate per gli spettatori dei combattimenti. Qualche attenzione in più egli riserva all’apparato collocato sulla facciata del Duomo:</w:t>
      </w:r>
    </w:p>
    <w:p w14:paraId="1E844650"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p>
    <w:p w14:paraId="538A39A9" w14:textId="77777777" w:rsidR="00395702" w:rsidRPr="00096909" w:rsidRDefault="00395702" w:rsidP="00395702">
      <w:pPr>
        <w:tabs>
          <w:tab w:val="left" w:pos="567"/>
          <w:tab w:val="left" w:pos="9072"/>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In sull’entrata della prima porta del domo v’era dificato una cupola d’un padiglione dalle cortine fuori, in quatro parti il padiglione era disteso, significando i quatro elementi, aiero, terra, acqua e fuocho aceso.</w:t>
      </w:r>
      <w:r w:rsidRPr="00096909">
        <w:rPr>
          <w:rStyle w:val="Rimandonotaapidipagina"/>
          <w:rFonts w:ascii="Times New Roman" w:hAnsi="Times New Roman" w:cs="Times New Roman"/>
        </w:rPr>
        <w:footnoteReference w:id="695"/>
      </w:r>
      <w:r w:rsidRPr="00096909">
        <w:rPr>
          <w:rFonts w:ascii="Times New Roman" w:hAnsi="Times New Roman" w:cs="Times New Roman"/>
          <w:sz w:val="20"/>
          <w:szCs w:val="20"/>
        </w:rPr>
        <w:t xml:space="preserve"> </w:t>
      </w:r>
    </w:p>
    <w:p w14:paraId="78D2F6FC"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p>
    <w:p w14:paraId="505A25A5"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S</w:t>
      </w:r>
      <w:r w:rsidRPr="00096909">
        <w:rPr>
          <w:rFonts w:ascii="Times New Roman" w:hAnsi="Times New Roman" w:cs="Times New Roman"/>
          <w:sz w:val="24"/>
          <w:szCs w:val="24"/>
        </w:rPr>
        <w:t xml:space="preserve">egue un componimento poetico, appena abbozzato, nel quale, citando le meraviglie della natura dipinte sulle cortine del padiglione per rappresentare il potere degli elementi, afferma che sulla sommità della cupola era presente un angelo. Quali effetti producesse questo apparato il 25 giugno 1475 al momento dell’ingresso o dell’uscita degli sposi dal Duomo non è purtroppo </w:t>
      </w:r>
      <w:r w:rsidR="007C5907">
        <w:rPr>
          <w:rFonts w:ascii="Times New Roman" w:hAnsi="Times New Roman" w:cs="Times New Roman"/>
          <w:sz w:val="24"/>
          <w:szCs w:val="24"/>
        </w:rPr>
        <w:t>det</w:t>
      </w:r>
      <w:r w:rsidRPr="00096909">
        <w:rPr>
          <w:rFonts w:ascii="Times New Roman" w:hAnsi="Times New Roman" w:cs="Times New Roman"/>
          <w:sz w:val="24"/>
          <w:szCs w:val="24"/>
        </w:rPr>
        <w:t xml:space="preserve">to. </w:t>
      </w:r>
    </w:p>
    <w:p w14:paraId="2D630DC6"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La </w:t>
      </w:r>
      <w:r w:rsidRPr="00096909">
        <w:rPr>
          <w:rFonts w:ascii="Times New Roman" w:hAnsi="Times New Roman" w:cs="Times New Roman"/>
          <w:i/>
          <w:sz w:val="24"/>
          <w:szCs w:val="24"/>
        </w:rPr>
        <w:t>Cronaca universale</w:t>
      </w:r>
      <w:r w:rsidRPr="00096909">
        <w:rPr>
          <w:rFonts w:ascii="Times New Roman" w:hAnsi="Times New Roman" w:cs="Times New Roman"/>
          <w:sz w:val="24"/>
          <w:szCs w:val="24"/>
        </w:rPr>
        <w:t xml:space="preserve"> riporta, in compenso, la lista delle spese sostenute per lo sposalizio,</w:t>
      </w:r>
      <w:r w:rsidRPr="00096909">
        <w:rPr>
          <w:rStyle w:val="Rimandonotaapidipagina"/>
          <w:rFonts w:ascii="Times New Roman" w:hAnsi="Times New Roman" w:cs="Times New Roman"/>
          <w:sz w:val="24"/>
          <w:szCs w:val="24"/>
        </w:rPr>
        <w:footnoteReference w:id="696"/>
      </w:r>
      <w:r w:rsidRPr="00096909">
        <w:rPr>
          <w:rFonts w:ascii="Times New Roman" w:hAnsi="Times New Roman" w:cs="Times New Roman"/>
          <w:sz w:val="24"/>
          <w:szCs w:val="24"/>
        </w:rPr>
        <w:t xml:space="preserve"> che, messa a confronto con una seconda lista, compilata da un paggio del prefetto di Roma Leonardo della Rovere, invitato </w:t>
      </w:r>
      <w:r>
        <w:rPr>
          <w:rFonts w:ascii="Times New Roman" w:hAnsi="Times New Roman" w:cs="Times New Roman"/>
          <w:sz w:val="24"/>
          <w:szCs w:val="24"/>
        </w:rPr>
        <w:t>de</w:t>
      </w:r>
      <w:r w:rsidRPr="00096909">
        <w:rPr>
          <w:rFonts w:ascii="Times New Roman" w:hAnsi="Times New Roman" w:cs="Times New Roman"/>
          <w:sz w:val="24"/>
          <w:szCs w:val="24"/>
        </w:rPr>
        <w:t>l matrimonio, aiuta a fare luce su</w:t>
      </w:r>
      <w:r>
        <w:rPr>
          <w:rFonts w:ascii="Times New Roman" w:hAnsi="Times New Roman" w:cs="Times New Roman"/>
          <w:sz w:val="24"/>
          <w:szCs w:val="24"/>
        </w:rPr>
        <w:t>l</w:t>
      </w:r>
      <w:r w:rsidRPr="00096909">
        <w:rPr>
          <w:rFonts w:ascii="Times New Roman" w:hAnsi="Times New Roman" w:cs="Times New Roman"/>
          <w:sz w:val="24"/>
          <w:szCs w:val="24"/>
        </w:rPr>
        <w:t>le maestranze coinvolte nella preparazione della festa.</w:t>
      </w:r>
      <w:r w:rsidRPr="00096909">
        <w:rPr>
          <w:rStyle w:val="Rimandonotaapidipagina"/>
          <w:rFonts w:ascii="Times New Roman" w:hAnsi="Times New Roman" w:cs="Times New Roman"/>
          <w:sz w:val="24"/>
          <w:szCs w:val="24"/>
        </w:rPr>
        <w:footnoteReference w:id="697"/>
      </w:r>
      <w:r w:rsidRPr="00096909">
        <w:rPr>
          <w:rFonts w:ascii="Times New Roman" w:hAnsi="Times New Roman" w:cs="Times New Roman"/>
          <w:sz w:val="24"/>
          <w:szCs w:val="24"/>
        </w:rPr>
        <w:t xml:space="preserve"> Sotto la rubrica </w:t>
      </w:r>
      <w:r w:rsidRPr="00096909">
        <w:rPr>
          <w:rFonts w:ascii="Times New Roman" w:hAnsi="Times New Roman" w:cs="Times New Roman"/>
          <w:i/>
          <w:sz w:val="24"/>
          <w:szCs w:val="24"/>
        </w:rPr>
        <w:t xml:space="preserve">Ingenieri, doni facti alli dicti </w:t>
      </w:r>
      <w:r w:rsidRPr="00096909">
        <w:rPr>
          <w:rFonts w:ascii="Times New Roman" w:hAnsi="Times New Roman" w:cs="Times New Roman"/>
          <w:sz w:val="24"/>
          <w:szCs w:val="24"/>
        </w:rPr>
        <w:t xml:space="preserve">troviamo in entrambe i nomi di Iacomo fiorentino (con 4 aiutanti), Simone fiorentino, Domenico fiorentino, don Bartolomeo, Agnolo da Bettino, Francesco e Sperandio da Mercatello, Pietro Beretta, Bartolomeo Bistonca da Urbino (con quattro aiutanti), due maestri di Urbino che lavorarono ai palchi, Giovanni da Ragusa e Domenico da Firenze. </w:t>
      </w:r>
    </w:p>
    <w:p w14:paraId="4C142ECF"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L’apporto dei maestri fiorentini, cui spettarono le retribuzioni maggiori, fu dunque considerevole anche nella preparazione di questo trionfo e il fatto che a loro si dovessero gli archi trionfali posti sulle vie di Rimini è confermato dal seicentesco </w:t>
      </w:r>
      <w:r w:rsidRPr="00096909">
        <w:rPr>
          <w:rFonts w:ascii="Times New Roman" w:hAnsi="Times New Roman" w:cs="Times New Roman"/>
          <w:i/>
          <w:sz w:val="24"/>
          <w:szCs w:val="24"/>
        </w:rPr>
        <w:t>Raccolto istorico della fondatione di Rimino e dell’origine e vite de’ Malatesti</w:t>
      </w:r>
      <w:r w:rsidRPr="00096909">
        <w:rPr>
          <w:rFonts w:ascii="Times New Roman" w:hAnsi="Times New Roman" w:cs="Times New Roman"/>
          <w:sz w:val="24"/>
          <w:szCs w:val="24"/>
        </w:rPr>
        <w:t xml:space="preserve"> di Cesare Clementini, il quale rielaborò e ampliò, su fonti non dichiarate, le notizie del Broglio.</w:t>
      </w:r>
      <w:r w:rsidRPr="00096909">
        <w:rPr>
          <w:rStyle w:val="Rimandonotaapidipagina"/>
          <w:rFonts w:ascii="Times New Roman" w:hAnsi="Times New Roman" w:cs="Times New Roman"/>
          <w:sz w:val="24"/>
          <w:szCs w:val="24"/>
        </w:rPr>
        <w:footnoteReference w:id="698"/>
      </w:r>
      <w:r w:rsidRPr="00096909">
        <w:rPr>
          <w:rFonts w:ascii="Times New Roman" w:hAnsi="Times New Roman" w:cs="Times New Roman"/>
          <w:sz w:val="24"/>
          <w:szCs w:val="24"/>
        </w:rPr>
        <w:t xml:space="preserve"> Sulla base delle informazioni dell’erudito, Elvira Garbero Zorzi notò come effettivamente Vasari avesse indicato i nomi di un Domenico e di un Simone fiorentini tra gli allievi di Brunelleschi, e ipotizzò fossero forse loro gli artisti ingaggiati per le nozze Malatesta.</w:t>
      </w:r>
      <w:r w:rsidRPr="00096909">
        <w:rPr>
          <w:rStyle w:val="Rimandonotaapidipagina"/>
          <w:rFonts w:ascii="Times New Roman" w:hAnsi="Times New Roman" w:cs="Times New Roman"/>
          <w:sz w:val="24"/>
          <w:szCs w:val="24"/>
        </w:rPr>
        <w:footnoteReference w:id="699"/>
      </w:r>
      <w:r w:rsidRPr="00096909">
        <w:rPr>
          <w:rFonts w:ascii="Times New Roman" w:hAnsi="Times New Roman" w:cs="Times New Roman"/>
          <w:sz w:val="24"/>
          <w:szCs w:val="24"/>
        </w:rPr>
        <w:t xml:space="preserve"> Un</w:t>
      </w:r>
      <w:r>
        <w:rPr>
          <w:rFonts w:ascii="Times New Roman" w:hAnsi="Times New Roman" w:cs="Times New Roman"/>
          <w:sz w:val="24"/>
          <w:szCs w:val="24"/>
        </w:rPr>
        <w:t xml:space="preserve"> dato di sotegno a</w:t>
      </w:r>
      <w:r w:rsidRPr="00096909">
        <w:rPr>
          <w:rFonts w:ascii="Times New Roman" w:hAnsi="Times New Roman" w:cs="Times New Roman"/>
          <w:sz w:val="24"/>
          <w:szCs w:val="24"/>
        </w:rPr>
        <w:t xml:space="preserve"> questa identificazione mi sembra ravvisabile nella struttura dell’apparato sospeso sul portone della cattedrale di Rimini, che avrebbe in comune con gli ingegni brunelleschiani delle rappresentazioni delle chiese d’Oltrarno la struttura a cupola con cortine apribili.</w:t>
      </w:r>
      <w:r w:rsidRPr="00096909">
        <w:rPr>
          <w:rStyle w:val="Rimandonotaapidipagina"/>
          <w:rFonts w:ascii="Times New Roman" w:hAnsi="Times New Roman" w:cs="Times New Roman"/>
          <w:sz w:val="24"/>
          <w:szCs w:val="24"/>
        </w:rPr>
        <w:footnoteReference w:id="700"/>
      </w:r>
      <w:r w:rsidRPr="00096909">
        <w:rPr>
          <w:rFonts w:ascii="Times New Roman" w:hAnsi="Times New Roman" w:cs="Times New Roman"/>
          <w:sz w:val="24"/>
          <w:szCs w:val="24"/>
        </w:rPr>
        <w:t xml:space="preserve"> </w:t>
      </w:r>
    </w:p>
    <w:p w14:paraId="3D5498C9"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La mancanza di informazioni sul funzionamento dell’ingegno riminese invita però alla prudenza nel cercare prestiti dalla cultura scenotecnica fiorentina, mentre le liste delle spese certificano ancora come fiorentini fossero diversi dei cantori, dei trombetti e dei piffari che allietarono con le loro musiche il corteo della sposa. Da Firenze venne anche </w:t>
      </w:r>
      <w:r>
        <w:rPr>
          <w:rFonts w:ascii="Times New Roman" w:hAnsi="Times New Roman" w:cs="Times New Roman"/>
          <w:sz w:val="24"/>
          <w:szCs w:val="24"/>
        </w:rPr>
        <w:t>il</w:t>
      </w:r>
      <w:r w:rsidRPr="00096909">
        <w:rPr>
          <w:rFonts w:ascii="Times New Roman" w:hAnsi="Times New Roman" w:cs="Times New Roman"/>
          <w:sz w:val="24"/>
          <w:szCs w:val="24"/>
        </w:rPr>
        <w:t xml:space="preserve"> «Maestro Antonio che disse in proviso»,</w:t>
      </w:r>
      <w:r w:rsidRPr="00096909">
        <w:rPr>
          <w:rStyle w:val="Rimandonotaapidipagina"/>
          <w:rFonts w:ascii="Times New Roman" w:hAnsi="Times New Roman" w:cs="Times New Roman"/>
          <w:sz w:val="24"/>
          <w:szCs w:val="24"/>
        </w:rPr>
        <w:footnoteReference w:id="701"/>
      </w:r>
      <w:r w:rsidRPr="00096909">
        <w:rPr>
          <w:rFonts w:ascii="Times New Roman" w:hAnsi="Times New Roman" w:cs="Times New Roman"/>
          <w:sz w:val="24"/>
          <w:szCs w:val="24"/>
        </w:rPr>
        <w:t xml:space="preserve"> da identificare con Antonio di Guido, poeta improvvisatore appartenente alla cerchia dei letterati di casa Medici ma anche rinomato canterino di piazza.</w:t>
      </w:r>
      <w:r w:rsidRPr="00096909">
        <w:rPr>
          <w:rStyle w:val="Rimandonotaapidipagina"/>
          <w:rFonts w:ascii="Times New Roman" w:hAnsi="Times New Roman" w:cs="Times New Roman"/>
          <w:sz w:val="24"/>
          <w:szCs w:val="24"/>
        </w:rPr>
        <w:footnoteReference w:id="702"/>
      </w:r>
      <w:r w:rsidRPr="00096909">
        <w:rPr>
          <w:rFonts w:ascii="Times New Roman" w:hAnsi="Times New Roman" w:cs="Times New Roman"/>
          <w:sz w:val="24"/>
          <w:szCs w:val="24"/>
        </w:rPr>
        <w:t xml:space="preserve">          </w:t>
      </w:r>
    </w:p>
    <w:p w14:paraId="71762BD6"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L’immaginario antiquario che </w:t>
      </w:r>
      <w:r>
        <w:rPr>
          <w:rFonts w:ascii="Times New Roman" w:hAnsi="Times New Roman" w:cs="Times New Roman"/>
          <w:sz w:val="24"/>
          <w:szCs w:val="24"/>
        </w:rPr>
        <w:t xml:space="preserve">aveva dato </w:t>
      </w:r>
      <w:r w:rsidRPr="00096909">
        <w:rPr>
          <w:rFonts w:ascii="Times New Roman" w:hAnsi="Times New Roman" w:cs="Times New Roman"/>
          <w:sz w:val="24"/>
          <w:szCs w:val="24"/>
        </w:rPr>
        <w:t xml:space="preserve">forma ai quattro archi eretti in onore di Elisabetta da Montefeltro ispirò anche gli apparati costruiti per l’ingresso di Anna Sforza a Ferrara del 12 febbraio 1491. Ugo Caleffini nelle sue </w:t>
      </w:r>
      <w:r w:rsidRPr="00096909">
        <w:rPr>
          <w:rFonts w:ascii="Times New Roman" w:hAnsi="Times New Roman" w:cs="Times New Roman"/>
          <w:i/>
          <w:sz w:val="24"/>
          <w:szCs w:val="24"/>
        </w:rPr>
        <w:t>Croniche</w:t>
      </w:r>
      <w:r w:rsidRPr="00096909">
        <w:rPr>
          <w:rFonts w:ascii="Times New Roman" w:hAnsi="Times New Roman" w:cs="Times New Roman"/>
          <w:sz w:val="24"/>
          <w:szCs w:val="24"/>
        </w:rPr>
        <w:t xml:space="preserve"> dichiar</w:t>
      </w:r>
      <w:r w:rsidR="008105EC">
        <w:rPr>
          <w:rFonts w:ascii="Times New Roman" w:hAnsi="Times New Roman" w:cs="Times New Roman"/>
          <w:sz w:val="24"/>
          <w:szCs w:val="24"/>
        </w:rPr>
        <w:t>ò</w:t>
      </w:r>
      <w:r w:rsidRPr="00096909">
        <w:rPr>
          <w:rFonts w:ascii="Times New Roman" w:hAnsi="Times New Roman" w:cs="Times New Roman"/>
          <w:sz w:val="24"/>
          <w:szCs w:val="24"/>
        </w:rPr>
        <w:t>, infatti, espressamente: «fu scoperto li tribunali e archivolti facti alla romana, more antiqua, in Piazza, da San Francesco, da Schifanoia e suso la Ghiara, che fu bellissima cosa».</w:t>
      </w:r>
      <w:r w:rsidRPr="00096909">
        <w:rPr>
          <w:rStyle w:val="Rimandonotaapidipagina"/>
          <w:rFonts w:ascii="Times New Roman" w:hAnsi="Times New Roman" w:cs="Times New Roman"/>
          <w:sz w:val="24"/>
          <w:szCs w:val="24"/>
        </w:rPr>
        <w:footnoteReference w:id="703"/>
      </w:r>
      <w:r w:rsidRPr="00096909">
        <w:rPr>
          <w:rFonts w:ascii="Times New Roman" w:hAnsi="Times New Roman" w:cs="Times New Roman"/>
          <w:sz w:val="24"/>
          <w:szCs w:val="24"/>
        </w:rPr>
        <w:t xml:space="preserve"> Queste </w:t>
      </w:r>
      <w:r w:rsidRPr="00096909">
        <w:rPr>
          <w:rFonts w:ascii="Times New Roman" w:hAnsi="Times New Roman" w:cs="Times New Roman"/>
          <w:i/>
          <w:sz w:val="24"/>
          <w:szCs w:val="24"/>
        </w:rPr>
        <w:t>Croniche</w:t>
      </w:r>
      <w:r w:rsidRPr="00096909">
        <w:rPr>
          <w:rFonts w:ascii="Times New Roman" w:hAnsi="Times New Roman" w:cs="Times New Roman"/>
          <w:sz w:val="24"/>
          <w:szCs w:val="24"/>
        </w:rPr>
        <w:t xml:space="preserve"> concordano con il </w:t>
      </w:r>
      <w:r w:rsidRPr="00096909">
        <w:rPr>
          <w:rFonts w:ascii="Times New Roman" w:hAnsi="Times New Roman" w:cs="Times New Roman"/>
          <w:i/>
          <w:sz w:val="24"/>
          <w:szCs w:val="24"/>
        </w:rPr>
        <w:t xml:space="preserve">Diario </w:t>
      </w:r>
      <w:r w:rsidRPr="00096909">
        <w:rPr>
          <w:rFonts w:ascii="Times New Roman" w:hAnsi="Times New Roman" w:cs="Times New Roman"/>
          <w:sz w:val="24"/>
          <w:szCs w:val="24"/>
        </w:rPr>
        <w:t>di Bernardino Zambotti sul fatto che, al passaggio della sposa «suxo quelli [archi] herano representanti alchuni belli acti e recitati versi».</w:t>
      </w:r>
      <w:r w:rsidRPr="00096909">
        <w:rPr>
          <w:rStyle w:val="Rimandonotaapidipagina"/>
          <w:rFonts w:ascii="Times New Roman" w:hAnsi="Times New Roman" w:cs="Times New Roman"/>
          <w:sz w:val="24"/>
          <w:szCs w:val="24"/>
        </w:rPr>
        <w:footnoteReference w:id="704"/>
      </w:r>
      <w:r w:rsidRPr="00096909">
        <w:rPr>
          <w:rFonts w:ascii="Times New Roman" w:hAnsi="Times New Roman" w:cs="Times New Roman"/>
          <w:sz w:val="24"/>
          <w:szCs w:val="24"/>
        </w:rPr>
        <w:t xml:space="preserve"> </w:t>
      </w:r>
    </w:p>
    <w:p w14:paraId="5D7CA242"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Dalla lettura del </w:t>
      </w:r>
      <w:r w:rsidRPr="00096909">
        <w:rPr>
          <w:rFonts w:ascii="Times New Roman" w:hAnsi="Times New Roman" w:cs="Times New Roman"/>
          <w:i/>
          <w:sz w:val="24"/>
          <w:szCs w:val="24"/>
        </w:rPr>
        <w:t>Diario ferrarese</w:t>
      </w:r>
      <w:r w:rsidRPr="00096909">
        <w:rPr>
          <w:rFonts w:ascii="Times New Roman" w:hAnsi="Times New Roman" w:cs="Times New Roman"/>
          <w:sz w:val="24"/>
          <w:szCs w:val="24"/>
        </w:rPr>
        <w:t xml:space="preserve"> apprendiamo come sul fronte d</w:t>
      </w:r>
      <w:r>
        <w:rPr>
          <w:rFonts w:ascii="Times New Roman" w:hAnsi="Times New Roman" w:cs="Times New Roman"/>
          <w:sz w:val="24"/>
          <w:szCs w:val="24"/>
        </w:rPr>
        <w:t xml:space="preserve">ell’arco </w:t>
      </w:r>
      <w:r w:rsidRPr="00096909">
        <w:rPr>
          <w:rFonts w:ascii="Times New Roman" w:hAnsi="Times New Roman" w:cs="Times New Roman"/>
          <w:sz w:val="24"/>
          <w:szCs w:val="24"/>
        </w:rPr>
        <w:t>posto nei pressi di Palazzo Schifanoia fosse presente un fregio con il carro del Sole trainato da due cavalli. Il trionfo di Cupido ornava invece quello collocato davanti alla chiesa di San Francesco, mentre quello della Piazza della Corte presentava «uno homo armato», da identificare con il dio Marte,</w:t>
      </w:r>
      <w:r w:rsidRPr="00096909">
        <w:rPr>
          <w:rStyle w:val="Rimandonotaapidipagina"/>
          <w:rFonts w:ascii="Times New Roman" w:hAnsi="Times New Roman" w:cs="Times New Roman"/>
          <w:sz w:val="24"/>
          <w:szCs w:val="24"/>
        </w:rPr>
        <w:footnoteReference w:id="705"/>
      </w:r>
      <w:r w:rsidRPr="00096909">
        <w:rPr>
          <w:rFonts w:ascii="Times New Roman" w:hAnsi="Times New Roman" w:cs="Times New Roman"/>
          <w:sz w:val="24"/>
          <w:szCs w:val="24"/>
        </w:rPr>
        <w:t xml:space="preserve"> come chiarisce una lettera di Eleonora d’Aragona inviata a suo figlio Ippolito d’Este, in quei giorni residente in Ungheria.</w:t>
      </w:r>
      <w:r w:rsidRPr="00096909">
        <w:rPr>
          <w:rStyle w:val="Rimandonotaapidipagina"/>
          <w:rFonts w:ascii="Times New Roman" w:hAnsi="Times New Roman" w:cs="Times New Roman"/>
          <w:sz w:val="24"/>
          <w:szCs w:val="24"/>
        </w:rPr>
        <w:footnoteReference w:id="706"/>
      </w:r>
      <w:r w:rsidRPr="00096909">
        <w:rPr>
          <w:rFonts w:ascii="Times New Roman" w:hAnsi="Times New Roman" w:cs="Times New Roman"/>
          <w:sz w:val="24"/>
          <w:szCs w:val="24"/>
        </w:rPr>
        <w:t xml:space="preserve"> In conformità </w:t>
      </w:r>
      <w:r>
        <w:rPr>
          <w:rFonts w:ascii="Times New Roman" w:hAnsi="Times New Roman" w:cs="Times New Roman"/>
          <w:sz w:val="24"/>
          <w:szCs w:val="24"/>
        </w:rPr>
        <w:t xml:space="preserve">con </w:t>
      </w:r>
      <w:r w:rsidRPr="00096909">
        <w:rPr>
          <w:rFonts w:ascii="Times New Roman" w:hAnsi="Times New Roman" w:cs="Times New Roman"/>
          <w:sz w:val="24"/>
          <w:szCs w:val="24"/>
        </w:rPr>
        <w:t>gli interessi astrologici d</w:t>
      </w:r>
      <w:r>
        <w:rPr>
          <w:rFonts w:ascii="Times New Roman" w:hAnsi="Times New Roman" w:cs="Times New Roman"/>
          <w:sz w:val="24"/>
          <w:szCs w:val="24"/>
        </w:rPr>
        <w:t xml:space="preserve">i </w:t>
      </w:r>
      <w:r w:rsidRPr="00096909">
        <w:rPr>
          <w:rFonts w:ascii="Times New Roman" w:hAnsi="Times New Roman" w:cs="Times New Roman"/>
          <w:sz w:val="24"/>
          <w:szCs w:val="24"/>
        </w:rPr>
        <w:t>Ercole I il soggetto d</w:t>
      </w:r>
      <w:r>
        <w:rPr>
          <w:rFonts w:ascii="Times New Roman" w:hAnsi="Times New Roman" w:cs="Times New Roman"/>
          <w:sz w:val="24"/>
          <w:szCs w:val="24"/>
        </w:rPr>
        <w:t xml:space="preserve">egli </w:t>
      </w:r>
      <w:r w:rsidRPr="00096909">
        <w:rPr>
          <w:rFonts w:ascii="Times New Roman" w:hAnsi="Times New Roman" w:cs="Times New Roman"/>
          <w:sz w:val="24"/>
          <w:szCs w:val="24"/>
        </w:rPr>
        <w:t xml:space="preserve">archi fu dunque quello delle influenze astrali che avrebbero giovato alla fertilità e alla serenità della coppia. </w:t>
      </w:r>
    </w:p>
    <w:p w14:paraId="11699F03"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Richard Brown, attraverso uno studio della corrispondenza del duca d’Este conservata presso l’Archivio di Stato di Modena, ha inoltre identificato il nome dell’intellettuale di cui il principe si </w:t>
      </w:r>
      <w:r w:rsidRPr="00096909">
        <w:rPr>
          <w:rFonts w:ascii="Times New Roman" w:hAnsi="Times New Roman" w:cs="Times New Roman"/>
          <w:sz w:val="24"/>
          <w:szCs w:val="24"/>
        </w:rPr>
        <w:lastRenderedPageBreak/>
        <w:t>avvalse per preparare la magnifica entrata: Niccolò da Correggio, che il 15 gennaio 1491 scriveva alla duchessa Eleonora di essere stato nominato prefetto «sì per la intrata in la citade, come per l’ordine de la messa et del tribunale».</w:t>
      </w:r>
      <w:r w:rsidRPr="00096909">
        <w:rPr>
          <w:rStyle w:val="Rimandonotaapidipagina"/>
          <w:rFonts w:ascii="Times New Roman" w:hAnsi="Times New Roman" w:cs="Times New Roman"/>
          <w:sz w:val="24"/>
          <w:szCs w:val="24"/>
        </w:rPr>
        <w:footnoteReference w:id="707"/>
      </w:r>
      <w:r w:rsidRPr="00096909">
        <w:rPr>
          <w:rFonts w:ascii="Times New Roman" w:hAnsi="Times New Roman" w:cs="Times New Roman"/>
          <w:sz w:val="24"/>
          <w:szCs w:val="24"/>
        </w:rPr>
        <w:t xml:space="preserve"> </w:t>
      </w:r>
    </w:p>
    <w:p w14:paraId="1C05F22F"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Dai registri delle spese della municipalità di Ferrara apprendiamo poi che il 27 aprile 1491 furono stanziati pagamenti a Biagio Rossetti affinché a sua volta retribuisse gli artisti che avevano lavorato per realizzare gli archi del matrimonio.</w:t>
      </w:r>
      <w:r w:rsidRPr="00096909">
        <w:rPr>
          <w:rStyle w:val="Rimandonotaapidipagina"/>
          <w:rFonts w:ascii="Times New Roman" w:hAnsi="Times New Roman" w:cs="Times New Roman"/>
          <w:sz w:val="24"/>
          <w:szCs w:val="24"/>
        </w:rPr>
        <w:footnoteReference w:id="708"/>
      </w:r>
      <w:r w:rsidRPr="00096909">
        <w:rPr>
          <w:rFonts w:ascii="Times New Roman" w:hAnsi="Times New Roman" w:cs="Times New Roman"/>
          <w:sz w:val="24"/>
          <w:szCs w:val="24"/>
        </w:rPr>
        <w:t xml:space="preserve"> L’architetto, nel giugno successivo, aggiornando come di consueto il suo mecenate sull’avanzamento dei cantieri ferraresi a lui affidati, notificava come tre degli archi trionfali fossero già stati smontati, mentre uno rimaneva ancora sulla piazza della Corte, in attesa di essere rimosso.</w:t>
      </w:r>
      <w:r w:rsidRPr="00096909">
        <w:rPr>
          <w:rStyle w:val="Rimandonotaapidipagina"/>
          <w:rFonts w:ascii="Times New Roman" w:hAnsi="Times New Roman" w:cs="Times New Roman"/>
          <w:sz w:val="24"/>
          <w:szCs w:val="24"/>
        </w:rPr>
        <w:footnoteReference w:id="709"/>
      </w:r>
      <w:r w:rsidRPr="00096909">
        <w:rPr>
          <w:rFonts w:ascii="Times New Roman" w:hAnsi="Times New Roman" w:cs="Times New Roman"/>
          <w:sz w:val="24"/>
          <w:szCs w:val="24"/>
        </w:rPr>
        <w:t xml:space="preserve"> Le architetture effimere erano allora restate per alcuni mesi a ricordare alla popolazione il magnifico spettacolo dell’ingresso. Sebbene costruiti in legno e ornati da decorazioni e statue in cartapesta o scagliola, questi apparati posticci erano dunque abbastanza resistenti, tanto da essere praticabili per i figuranti incaricati di declamare messaggi augurali agli sposi e da poter svolgere una funzione decorativa per periodi più lunghi di quello dei soli giorni della festa.</w:t>
      </w:r>
      <w:r w:rsidRPr="00096909">
        <w:rPr>
          <w:rStyle w:val="Rimandonotaapidipagina"/>
          <w:rFonts w:ascii="Times New Roman" w:hAnsi="Times New Roman" w:cs="Times New Roman"/>
          <w:sz w:val="24"/>
          <w:szCs w:val="24"/>
        </w:rPr>
        <w:footnoteReference w:id="710"/>
      </w:r>
      <w:r w:rsidRPr="00096909">
        <w:rPr>
          <w:rFonts w:ascii="Times New Roman" w:hAnsi="Times New Roman" w:cs="Times New Roman"/>
          <w:sz w:val="24"/>
          <w:szCs w:val="24"/>
        </w:rPr>
        <w:t xml:space="preserve"> </w:t>
      </w:r>
    </w:p>
    <w:p w14:paraId="2B28C27A"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Le vicende relative alla progettazione dell’ornamento del percorso cerimoniale di Anna Sforza documentano </w:t>
      </w:r>
      <w:r>
        <w:rPr>
          <w:rFonts w:ascii="Times New Roman" w:hAnsi="Times New Roman" w:cs="Times New Roman"/>
          <w:sz w:val="24"/>
          <w:szCs w:val="24"/>
        </w:rPr>
        <w:t xml:space="preserve">quindi </w:t>
      </w:r>
      <w:r w:rsidRPr="00096909">
        <w:rPr>
          <w:rFonts w:ascii="Times New Roman" w:hAnsi="Times New Roman" w:cs="Times New Roman"/>
          <w:sz w:val="24"/>
          <w:szCs w:val="24"/>
        </w:rPr>
        <w:t xml:space="preserve">come per l’evento fossero coinvolti artisti rinomati e bene inseriti nelle cerchie dei letterati e degli artisti del principe, come il Rossetti, cui Ercole I aveva affidato i lavori della celebre </w:t>
      </w:r>
      <w:r>
        <w:rPr>
          <w:rFonts w:ascii="Times New Roman" w:hAnsi="Times New Roman" w:cs="Times New Roman"/>
          <w:sz w:val="24"/>
          <w:szCs w:val="24"/>
        </w:rPr>
        <w:t>“</w:t>
      </w:r>
      <w:r w:rsidRPr="00096909">
        <w:rPr>
          <w:rFonts w:ascii="Times New Roman" w:hAnsi="Times New Roman" w:cs="Times New Roman"/>
          <w:sz w:val="24"/>
          <w:szCs w:val="24"/>
        </w:rPr>
        <w:t>addizione</w:t>
      </w:r>
      <w:r>
        <w:rPr>
          <w:rFonts w:ascii="Times New Roman" w:hAnsi="Times New Roman" w:cs="Times New Roman"/>
          <w:sz w:val="24"/>
          <w:szCs w:val="24"/>
        </w:rPr>
        <w:t>”</w:t>
      </w:r>
      <w:r w:rsidRPr="00096909">
        <w:rPr>
          <w:rFonts w:ascii="Times New Roman" w:hAnsi="Times New Roman" w:cs="Times New Roman"/>
          <w:sz w:val="24"/>
          <w:szCs w:val="24"/>
        </w:rPr>
        <w:t xml:space="preserve">, </w:t>
      </w:r>
      <w:r w:rsidR="008E4468">
        <w:rPr>
          <w:rFonts w:ascii="Times New Roman" w:hAnsi="Times New Roman" w:cs="Times New Roman"/>
          <w:sz w:val="24"/>
          <w:szCs w:val="24"/>
        </w:rPr>
        <w:t>destinata a rendere</w:t>
      </w:r>
      <w:r w:rsidRPr="00096909">
        <w:rPr>
          <w:rFonts w:ascii="Times New Roman" w:hAnsi="Times New Roman" w:cs="Times New Roman"/>
          <w:sz w:val="24"/>
          <w:szCs w:val="24"/>
        </w:rPr>
        <w:t xml:space="preserve"> Ferrara una delle città più moderne ed efficienti del Rinascimento. L’addobbo urbano, modificando il tessuto viario, prefigurava il compimento di quel grandioso progetto estense, riflettendone con le strutture provvisorie «la duttilità polisensa, di cui la pianificazione aperta, l’incompiutezza architettonica e l’osmosi tra antico e nuovo non erano che le categorie più evidenti».</w:t>
      </w:r>
      <w:r w:rsidRPr="00096909">
        <w:rPr>
          <w:rStyle w:val="Rimandonotaapidipagina"/>
          <w:rFonts w:ascii="Times New Roman" w:hAnsi="Times New Roman" w:cs="Times New Roman"/>
          <w:sz w:val="24"/>
          <w:szCs w:val="24"/>
        </w:rPr>
        <w:footnoteReference w:id="711"/>
      </w:r>
      <w:r w:rsidRPr="00096909">
        <w:rPr>
          <w:rFonts w:ascii="Times New Roman" w:hAnsi="Times New Roman" w:cs="Times New Roman"/>
          <w:sz w:val="24"/>
          <w:szCs w:val="24"/>
        </w:rPr>
        <w:t xml:space="preserve"> Gli archi e gli apparati dei trionfi sponsali sorgevano del resto </w:t>
      </w:r>
      <w:r w:rsidRPr="00096909">
        <w:rPr>
          <w:rFonts w:ascii="Times New Roman" w:hAnsi="Times New Roman" w:cs="Times New Roman"/>
          <w:sz w:val="24"/>
          <w:szCs w:val="24"/>
        </w:rPr>
        <w:lastRenderedPageBreak/>
        <w:t xml:space="preserve">nei luoghi ove il duca aveva promosso gli interventi edilizi più importanti: il Palazzo di Schifanoia e la chiesa di San Francesco. </w:t>
      </w:r>
    </w:p>
    <w:p w14:paraId="55B98E26"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Anche Ercole Albergati, per l’ingresso di Lucrezia d’Este, aveva fatto erigere nei luoghi più rilevanti di Bologna le </w:t>
      </w:r>
      <w:r>
        <w:rPr>
          <w:rFonts w:ascii="Times New Roman" w:hAnsi="Times New Roman" w:cs="Times New Roman"/>
          <w:sz w:val="24"/>
          <w:szCs w:val="24"/>
        </w:rPr>
        <w:t>P</w:t>
      </w:r>
      <w:r w:rsidRPr="00096909">
        <w:rPr>
          <w:rFonts w:ascii="Times New Roman" w:hAnsi="Times New Roman" w:cs="Times New Roman"/>
          <w:sz w:val="24"/>
          <w:szCs w:val="24"/>
        </w:rPr>
        <w:t xml:space="preserve">orte delle </w:t>
      </w:r>
      <w:r>
        <w:rPr>
          <w:rFonts w:ascii="Times New Roman" w:hAnsi="Times New Roman" w:cs="Times New Roman"/>
          <w:sz w:val="24"/>
          <w:szCs w:val="24"/>
        </w:rPr>
        <w:t>V</w:t>
      </w:r>
      <w:r w:rsidRPr="00096909">
        <w:rPr>
          <w:rFonts w:ascii="Times New Roman" w:hAnsi="Times New Roman" w:cs="Times New Roman"/>
          <w:sz w:val="24"/>
          <w:szCs w:val="24"/>
        </w:rPr>
        <w:t xml:space="preserve">irtù che diedero il benvenuto alla sposa e, facendo entrare il corteo nuziale da Porta Galliera per sfilare davanti alla chiesa in costruzione di Santa Maria, in direzione di palazzo Bentivoglio, aveva permesso agli invitati di ammirare le bellezze della città. </w:t>
      </w:r>
    </w:p>
    <w:p w14:paraId="4A8F1AC0"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particolarità delle strutture effimere di questo ingresso fu </w:t>
      </w:r>
      <w:r>
        <w:rPr>
          <w:rFonts w:ascii="Times New Roman" w:hAnsi="Times New Roman" w:cs="Times New Roman"/>
          <w:sz w:val="24"/>
          <w:szCs w:val="24"/>
        </w:rPr>
        <w:t xml:space="preserve">proprio </w:t>
      </w:r>
      <w:r w:rsidRPr="00096909">
        <w:rPr>
          <w:rFonts w:ascii="Times New Roman" w:hAnsi="Times New Roman" w:cs="Times New Roman"/>
          <w:sz w:val="24"/>
          <w:szCs w:val="24"/>
        </w:rPr>
        <w:t>quella di avere l’aspetto di porte dotate di ante, le quali si spalancavano innanzi alla sposa</w:t>
      </w:r>
      <w:r>
        <w:rPr>
          <w:rFonts w:ascii="Times New Roman" w:hAnsi="Times New Roman" w:cs="Times New Roman"/>
          <w:sz w:val="24"/>
          <w:szCs w:val="24"/>
        </w:rPr>
        <w:t xml:space="preserve"> una volta </w:t>
      </w:r>
      <w:r w:rsidRPr="00096909">
        <w:rPr>
          <w:rFonts w:ascii="Times New Roman" w:hAnsi="Times New Roman" w:cs="Times New Roman"/>
          <w:sz w:val="24"/>
          <w:szCs w:val="24"/>
        </w:rPr>
        <w:t>che</w:t>
      </w:r>
      <w:r>
        <w:rPr>
          <w:rFonts w:ascii="Times New Roman" w:hAnsi="Times New Roman" w:cs="Times New Roman"/>
          <w:sz w:val="24"/>
          <w:szCs w:val="24"/>
        </w:rPr>
        <w:t xml:space="preserve"> dalla loro sommità</w:t>
      </w:r>
      <w:r w:rsidRPr="00096909">
        <w:rPr>
          <w:rFonts w:ascii="Times New Roman" w:hAnsi="Times New Roman" w:cs="Times New Roman"/>
          <w:sz w:val="24"/>
          <w:szCs w:val="24"/>
        </w:rPr>
        <w:t xml:space="preserve"> le figuranti impersona</w:t>
      </w:r>
      <w:r>
        <w:rPr>
          <w:rFonts w:ascii="Times New Roman" w:hAnsi="Times New Roman" w:cs="Times New Roman"/>
          <w:sz w:val="24"/>
          <w:szCs w:val="24"/>
        </w:rPr>
        <w:t>nti</w:t>
      </w:r>
      <w:r w:rsidRPr="00096909">
        <w:rPr>
          <w:rFonts w:ascii="Times New Roman" w:hAnsi="Times New Roman" w:cs="Times New Roman"/>
          <w:sz w:val="24"/>
          <w:szCs w:val="24"/>
        </w:rPr>
        <w:t xml:space="preserve"> le virtù avevano terminato di recitare alcuni versi di saluto. Ciascuna porta era inoltre adorna di festoni di edera, alloro e mirto.</w:t>
      </w:r>
      <w:r w:rsidRPr="00096909">
        <w:rPr>
          <w:rStyle w:val="Rimandonotaapidipagina"/>
          <w:rFonts w:ascii="Times New Roman" w:hAnsi="Times New Roman" w:cs="Times New Roman"/>
          <w:sz w:val="24"/>
          <w:szCs w:val="24"/>
        </w:rPr>
        <w:footnoteReference w:id="712"/>
      </w:r>
      <w:r w:rsidRPr="00096909">
        <w:rPr>
          <w:rFonts w:ascii="Times New Roman" w:hAnsi="Times New Roman" w:cs="Times New Roman"/>
          <w:sz w:val="24"/>
          <w:szCs w:val="24"/>
        </w:rPr>
        <w:t xml:space="preserve"> Nessuna delle fonti specifica in che modo si aprissero le ante dei portali, ma credo che qualora queste si fossero mosse grazie a meccanismi di apertura automatica il fatto sarebbe stato segnalato dai cronisti. In ogni caso, le porte ideate dall’Albergati si presentavano come una delle molte possibili variazioni del modello dell’arco all’antica. </w:t>
      </w:r>
    </w:p>
    <w:p w14:paraId="6F021482"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Un’altra soluzione decorativa consisteva, ad esempio, nel variare l’aspetto degli archi rivestendoli esclusivamente di fiori e di verzura, come accadde ad Urbino l’11 febbraio 1488 per le accoglienze tributate a Elisabetta Gonzaga, sposa del duca Guidobaldo da Montefeltro. </w:t>
      </w:r>
    </w:p>
    <w:p w14:paraId="3DD9BA7C"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Benedetto Capilupi, nella sua lettera a Maddalena Gonzaga con la descrizione dei festeggiamenti, citata precedentemente, registrò come il percorso da Porta del Monte fino al palazzo ducale fosse stato scandito da «otto arzeate de verzura che traversavino la via, su le quale se ‘l tempo fusse stato bono sariano comparsi putini che con certa rapresentatione hariano cantato versi».</w:t>
      </w:r>
      <w:r w:rsidRPr="00096909">
        <w:rPr>
          <w:rStyle w:val="Rimandonotaapidipagina"/>
          <w:rFonts w:ascii="Times New Roman" w:hAnsi="Times New Roman" w:cs="Times New Roman"/>
          <w:sz w:val="24"/>
          <w:szCs w:val="24"/>
        </w:rPr>
        <w:footnoteReference w:id="713"/>
      </w:r>
      <w:r w:rsidRPr="00096909">
        <w:rPr>
          <w:rFonts w:ascii="Times New Roman" w:hAnsi="Times New Roman" w:cs="Times New Roman"/>
          <w:sz w:val="24"/>
          <w:szCs w:val="24"/>
        </w:rPr>
        <w:t xml:space="preserve"> </w:t>
      </w:r>
    </w:p>
    <w:p w14:paraId="64D3F93E"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Questi addobbi floreali, essendo spesso allestiti nel corso della stagione invernale – nella quale le operazioni milita</w:t>
      </w:r>
      <w:r>
        <w:rPr>
          <w:rFonts w:ascii="Times New Roman" w:hAnsi="Times New Roman" w:cs="Times New Roman"/>
          <w:sz w:val="24"/>
          <w:szCs w:val="24"/>
        </w:rPr>
        <w:t>r</w:t>
      </w:r>
      <w:r w:rsidRPr="00096909">
        <w:rPr>
          <w:rFonts w:ascii="Times New Roman" w:hAnsi="Times New Roman" w:cs="Times New Roman"/>
          <w:sz w:val="24"/>
          <w:szCs w:val="24"/>
        </w:rPr>
        <w:t>i erano sospese, permettendo le nozze dei capitani di ventura – erano confezionati solitamente con rami di piante sempreverdi, capaci di resistere al freddo e dotate d</w:t>
      </w:r>
      <w:r>
        <w:rPr>
          <w:rFonts w:ascii="Times New Roman" w:hAnsi="Times New Roman" w:cs="Times New Roman"/>
          <w:sz w:val="24"/>
          <w:szCs w:val="24"/>
        </w:rPr>
        <w:t xml:space="preserve">i una </w:t>
      </w:r>
      <w:r w:rsidRPr="00096909">
        <w:rPr>
          <w:rFonts w:ascii="Times New Roman" w:hAnsi="Times New Roman" w:cs="Times New Roman"/>
          <w:sz w:val="24"/>
          <w:szCs w:val="24"/>
        </w:rPr>
        <w:t xml:space="preserve">forte connotazione allegorica e benaugurale trasmessa da numerose fonti letterarie classiche. </w:t>
      </w:r>
    </w:p>
    <w:p w14:paraId="330DA354"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trattato dialogico </w:t>
      </w:r>
      <w:r w:rsidRPr="00096909">
        <w:rPr>
          <w:rFonts w:ascii="Times New Roman" w:hAnsi="Times New Roman" w:cs="Times New Roman"/>
          <w:i/>
          <w:sz w:val="24"/>
          <w:szCs w:val="24"/>
        </w:rPr>
        <w:t>Li nuptiali</w:t>
      </w:r>
      <w:r w:rsidRPr="00096909">
        <w:rPr>
          <w:rFonts w:ascii="Times New Roman" w:hAnsi="Times New Roman" w:cs="Times New Roman"/>
          <w:sz w:val="24"/>
          <w:szCs w:val="24"/>
        </w:rPr>
        <w:t xml:space="preserve"> di Marco Antonio Altieri, composto a Roma poco dopo l’anno 1500, fornisce diverse indicazioni </w:t>
      </w:r>
      <w:r>
        <w:rPr>
          <w:rFonts w:ascii="Times New Roman" w:hAnsi="Times New Roman" w:cs="Times New Roman"/>
          <w:sz w:val="24"/>
          <w:szCs w:val="24"/>
        </w:rPr>
        <w:t xml:space="preserve">su </w:t>
      </w:r>
      <w:r w:rsidRPr="00096909">
        <w:rPr>
          <w:rFonts w:ascii="Times New Roman" w:hAnsi="Times New Roman" w:cs="Times New Roman"/>
          <w:sz w:val="24"/>
          <w:szCs w:val="24"/>
        </w:rPr>
        <w:t>quali piante e quali fiori fossero da prediligere per</w:t>
      </w:r>
      <w:r>
        <w:rPr>
          <w:rFonts w:ascii="Times New Roman" w:hAnsi="Times New Roman" w:cs="Times New Roman"/>
          <w:sz w:val="24"/>
          <w:szCs w:val="24"/>
        </w:rPr>
        <w:t xml:space="preserve"> realizzare </w:t>
      </w:r>
      <w:r w:rsidRPr="00096909">
        <w:rPr>
          <w:rFonts w:ascii="Times New Roman" w:hAnsi="Times New Roman" w:cs="Times New Roman"/>
          <w:sz w:val="24"/>
          <w:szCs w:val="24"/>
        </w:rPr>
        <w:t xml:space="preserve">le decorazioni e ne chiarisce il significato simbolico: il mirto, sacro a Venere, dea della bellezza e madre di Amore, rappresentava la passione sessuale; l’alloro, caro ad Apollo, usato nei trionfi classici, simboleggiava la castità incorruttibile di Dafne; il ginepro, votato a Giunone, richiamava </w:t>
      </w:r>
      <w:r w:rsidRPr="00096909">
        <w:rPr>
          <w:rFonts w:ascii="Times New Roman" w:hAnsi="Times New Roman" w:cs="Times New Roman"/>
          <w:sz w:val="24"/>
          <w:szCs w:val="24"/>
        </w:rPr>
        <w:lastRenderedPageBreak/>
        <w:t>alla fedeltà sponsale e augurava alla coppia una prole feconda; i limoni pare rappresentassero invece le mele delle Esperidi, prodotte dalla terra in segno di gioia per le nozze di Era e Zeus; infine, l’edera, in cui Dionisio aveva tramutato il coreuta Cisso strappandolo alla morte, era auspicio di longevità per gli sposi.</w:t>
      </w:r>
      <w:r w:rsidRPr="00096909">
        <w:rPr>
          <w:rStyle w:val="Rimandonotaapidipagina"/>
          <w:rFonts w:ascii="Times New Roman" w:hAnsi="Times New Roman" w:cs="Times New Roman"/>
          <w:sz w:val="24"/>
          <w:szCs w:val="24"/>
        </w:rPr>
        <w:footnoteReference w:id="714"/>
      </w:r>
      <w:r w:rsidRPr="00096909">
        <w:rPr>
          <w:rFonts w:ascii="Times New Roman" w:hAnsi="Times New Roman" w:cs="Times New Roman"/>
          <w:sz w:val="24"/>
          <w:szCs w:val="24"/>
        </w:rPr>
        <w:t xml:space="preserve">  </w:t>
      </w:r>
    </w:p>
    <w:p w14:paraId="2D3FA542"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Si tratta delle medesime piante che, come visto, Leonardo da Vinci aveva consigliato per le «armadure per fare ornamenti in forma di edifizi» abbozzate nei suoi disegni mess</w:t>
      </w:r>
      <w:r w:rsidR="00CB497F">
        <w:rPr>
          <w:rFonts w:ascii="Times New Roman" w:hAnsi="Times New Roman" w:cs="Times New Roman"/>
          <w:sz w:val="24"/>
          <w:szCs w:val="24"/>
        </w:rPr>
        <w:t>i</w:t>
      </w:r>
      <w:r w:rsidRPr="00096909">
        <w:rPr>
          <w:rFonts w:ascii="Times New Roman" w:hAnsi="Times New Roman" w:cs="Times New Roman"/>
          <w:sz w:val="24"/>
          <w:szCs w:val="24"/>
        </w:rPr>
        <w:t xml:space="preserve"> in relazione con i pergolati che decorarono Milano durante le feste nuziali di Isabella d’Aragona (1489) e di Bianca Maria Sforza (1493). Anche nel capoluogo sforzesco era dunque comune l’impiego di questo genere di ornamenti viari, dei quali credo di poter riconoscere una testimonianza iconografica nello </w:t>
      </w:r>
      <w:r w:rsidRPr="00096909">
        <w:rPr>
          <w:rFonts w:ascii="Times New Roman" w:hAnsi="Times New Roman" w:cs="Times New Roman"/>
          <w:i/>
          <w:sz w:val="24"/>
          <w:szCs w:val="24"/>
        </w:rPr>
        <w:t>Sposalizio della Vergine</w:t>
      </w:r>
      <w:r w:rsidRPr="00096909">
        <w:rPr>
          <w:rFonts w:ascii="Times New Roman" w:hAnsi="Times New Roman" w:cs="Times New Roman"/>
          <w:sz w:val="24"/>
          <w:szCs w:val="24"/>
        </w:rPr>
        <w:t xml:space="preserve"> miniato da Cristoforo de Predis nel </w:t>
      </w:r>
      <w:r w:rsidRPr="00096909">
        <w:rPr>
          <w:rFonts w:ascii="Times New Roman" w:hAnsi="Times New Roman" w:cs="Times New Roman"/>
          <w:i/>
          <w:sz w:val="24"/>
          <w:szCs w:val="24"/>
        </w:rPr>
        <w:t>Libro d’ore Borromeo</w:t>
      </w:r>
      <w:r w:rsidRPr="00096909">
        <w:rPr>
          <w:rFonts w:ascii="Times New Roman" w:hAnsi="Times New Roman" w:cs="Times New Roman"/>
          <w:sz w:val="24"/>
          <w:szCs w:val="24"/>
        </w:rPr>
        <w:t xml:space="preserve"> al foglio 15v, confezionato probabilmente per lo sposalizio del 1458 tra Giovanni III Borromeo e Cleofe Pio da Carpi, i cui ritratti comparirebbero oranti nella vignetta posta sotto l’</w:t>
      </w:r>
      <w:r w:rsidRPr="00096909">
        <w:rPr>
          <w:rFonts w:ascii="Times New Roman" w:hAnsi="Times New Roman" w:cs="Times New Roman"/>
          <w:i/>
          <w:sz w:val="24"/>
          <w:szCs w:val="24"/>
        </w:rPr>
        <w:t>Annunciazione</w:t>
      </w:r>
      <w:r w:rsidRPr="00096909">
        <w:rPr>
          <w:rFonts w:ascii="Times New Roman" w:hAnsi="Times New Roman" w:cs="Times New Roman"/>
          <w:sz w:val="24"/>
          <w:szCs w:val="24"/>
        </w:rPr>
        <w:t xml:space="preserve"> del foglio 16r</w:t>
      </w:r>
      <w:r w:rsidRPr="00096909">
        <w:rPr>
          <w:rStyle w:val="Rimandonotaapidipagina"/>
          <w:rFonts w:ascii="Times New Roman" w:hAnsi="Times New Roman" w:cs="Times New Roman"/>
          <w:sz w:val="24"/>
          <w:szCs w:val="24"/>
        </w:rPr>
        <w:t xml:space="preserve"> </w:t>
      </w:r>
      <w:r w:rsidRPr="00096909">
        <w:rPr>
          <w:rFonts w:ascii="Times New Roman" w:hAnsi="Times New Roman" w:cs="Times New Roman"/>
          <w:sz w:val="24"/>
          <w:szCs w:val="24"/>
        </w:rPr>
        <w:t>(fig. 5</w:t>
      </w:r>
      <w:r>
        <w:rPr>
          <w:rFonts w:ascii="Times New Roman" w:hAnsi="Times New Roman" w:cs="Times New Roman"/>
          <w:sz w:val="24"/>
          <w:szCs w:val="24"/>
        </w:rPr>
        <w:t>2</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715"/>
      </w:r>
      <w:r w:rsidRPr="00096909">
        <w:rPr>
          <w:rFonts w:ascii="Times New Roman" w:hAnsi="Times New Roman" w:cs="Times New Roman"/>
          <w:sz w:val="24"/>
          <w:szCs w:val="24"/>
        </w:rPr>
        <w:t xml:space="preserve"> </w:t>
      </w:r>
    </w:p>
    <w:p w14:paraId="7DB3A359"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L’episodio riprende un’iconografia tradizionale. Maria e Giuseppe sono accompagnati da due gruppi contrapposti di donne e uomini. Le compagne della Vergine vestono genericamente all’antica, mentre due pretendenti di Maria, alle spalle di Giuseppe, spezzano i loro bastoni indossando abiti di foggia quattrocentesca, così come i trombettieri che si affacciano dalla balconata per inneggiare al lieto evento. Tre festoni di verzura con putti arrampicati incorniciano dall’alto la scena, rievocando alla memoria dell’osservatore un addobbo urbano simile alle «arzeate de verzura che traversavino la via, su le quale [..] sariano comparsi putini che con certa rapresentatione hariano cantato versi» descritte da Benedetto Capilupi. Nella miniatura i putti, muniti di strumenti musicali, indossano delle ali e credo richiamino i fanciulli vestiti da angeli che animavano gli apparati effimeri di cui abbiamo letto in più descrizioni nuziali. Sebbene questi non si posino su degli archi ma su dei festoni, credo che il de Predis, particolarmente sensibile alla citazione dei piaceri della vita di corte nelle sue opere, abbia voluto rievocare quell’immaginario festeggiante, proponendo</w:t>
      </w:r>
      <w:r>
        <w:rPr>
          <w:rFonts w:ascii="Times New Roman" w:hAnsi="Times New Roman" w:cs="Times New Roman"/>
          <w:sz w:val="24"/>
          <w:szCs w:val="24"/>
        </w:rPr>
        <w:t>ne</w:t>
      </w:r>
      <w:r w:rsidRPr="00096909">
        <w:rPr>
          <w:rFonts w:ascii="Times New Roman" w:hAnsi="Times New Roman" w:cs="Times New Roman"/>
          <w:sz w:val="24"/>
          <w:szCs w:val="24"/>
        </w:rPr>
        <w:t xml:space="preserve"> una rielaborazione sintetica e personale.   </w:t>
      </w:r>
    </w:p>
    <w:p w14:paraId="6F8E8D62"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Nella rassegna dei matrimoni del secondo Quattrocento per i quali i documenti attestano la presenza di archi trionfali, d</w:t>
      </w:r>
      <w:r>
        <w:rPr>
          <w:rFonts w:ascii="Times New Roman" w:hAnsi="Times New Roman" w:cs="Times New Roman"/>
          <w:sz w:val="24"/>
          <w:szCs w:val="24"/>
        </w:rPr>
        <w:t>i</w:t>
      </w:r>
      <w:r w:rsidRPr="00096909">
        <w:rPr>
          <w:rFonts w:ascii="Times New Roman" w:hAnsi="Times New Roman" w:cs="Times New Roman"/>
          <w:sz w:val="24"/>
          <w:szCs w:val="24"/>
        </w:rPr>
        <w:t xml:space="preserve"> </w:t>
      </w:r>
      <w:r>
        <w:rPr>
          <w:rFonts w:ascii="Times New Roman" w:hAnsi="Times New Roman" w:cs="Times New Roman"/>
          <w:sz w:val="24"/>
          <w:szCs w:val="24"/>
        </w:rPr>
        <w:t>cui</w:t>
      </w:r>
      <w:r w:rsidRPr="00096909">
        <w:rPr>
          <w:rFonts w:ascii="Times New Roman" w:hAnsi="Times New Roman" w:cs="Times New Roman"/>
          <w:sz w:val="24"/>
          <w:szCs w:val="24"/>
        </w:rPr>
        <w:t xml:space="preserve"> qui si sono presi in esame solo alcuni esempi per illustrare le tipologie più ricorrenti, vorrei sottolineare come il caso di quello eretto a Milano sulla piazza del </w:t>
      </w:r>
      <w:r w:rsidRPr="00096909">
        <w:rPr>
          <w:rFonts w:ascii="Times New Roman" w:hAnsi="Times New Roman" w:cs="Times New Roman"/>
          <w:sz w:val="24"/>
          <w:szCs w:val="24"/>
        </w:rPr>
        <w:lastRenderedPageBreak/>
        <w:t xml:space="preserve">Duomo per l’ingresso di Isabella d’Aragona, descritto da Stefano Dolcino [V], fosse il solo, a mia conoscenza, a presentare dei pannelli con le imprese militari chiaramente identificabili di un principe contemporaneo: Francesco I. </w:t>
      </w:r>
    </w:p>
    <w:p w14:paraId="4AD2D2C6"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 fine di chiarire invece quale funzione svolgessero gli archi trionfali effimeri per la definizione di una cultura teatrale del Rinascimento credo che si possano citare le descrizioni delle accoglienze ferraresi a Lucrezia Borgia, che il 2 febbraio 1502, solennità della Candelora, entrava in città dalla porta di Castello Tealto, quale seconda moglie di Alfonso I d’Este. Del suo sfarzoso corteo facevano parte l’ambasciatore del re di Francia, che incedeva al suo fianco, a lato del baldacchino, Elisabetta Gonzaga, Isabella d’Este, Giovanni Bentivoglio e Alberto d’Este. Più di cento musici ne annunciavano il passaggio e alcune mule, rivestite di preziose gualdrappe, trasportavano il suo rinomato </w:t>
      </w:r>
      <w:r>
        <w:rPr>
          <w:rFonts w:ascii="Times New Roman" w:hAnsi="Times New Roman" w:cs="Times New Roman"/>
          <w:sz w:val="24"/>
          <w:szCs w:val="24"/>
        </w:rPr>
        <w:t xml:space="preserve">corredo </w:t>
      </w:r>
      <w:r w:rsidRPr="00096909">
        <w:rPr>
          <w:rFonts w:ascii="Times New Roman" w:hAnsi="Times New Roman" w:cs="Times New Roman"/>
          <w:sz w:val="24"/>
          <w:szCs w:val="24"/>
        </w:rPr>
        <w:t xml:space="preserve">di abiti e gioielli preziosi. La relazione trasmessa dal </w:t>
      </w:r>
      <w:r w:rsidRPr="00096909">
        <w:rPr>
          <w:rFonts w:ascii="Times New Roman" w:hAnsi="Times New Roman" w:cs="Times New Roman"/>
          <w:i/>
          <w:sz w:val="24"/>
          <w:szCs w:val="24"/>
        </w:rPr>
        <w:t>Diario ferrarese</w:t>
      </w:r>
      <w:r w:rsidRPr="00096909">
        <w:rPr>
          <w:rFonts w:ascii="Times New Roman" w:hAnsi="Times New Roman" w:cs="Times New Roman"/>
          <w:sz w:val="24"/>
          <w:szCs w:val="24"/>
        </w:rPr>
        <w:t>, che specifica ciascuna delle vie percorse dal corteo per giungere al palazzo ducale, tace riguardo alla loro decorazione;</w:t>
      </w:r>
      <w:r w:rsidRPr="00096909">
        <w:rPr>
          <w:rStyle w:val="Rimandonotaapidipagina"/>
          <w:rFonts w:ascii="Times New Roman" w:hAnsi="Times New Roman" w:cs="Times New Roman"/>
          <w:sz w:val="24"/>
          <w:szCs w:val="24"/>
        </w:rPr>
        <w:footnoteReference w:id="716"/>
      </w:r>
      <w:r w:rsidRPr="00096909">
        <w:rPr>
          <w:rFonts w:ascii="Times New Roman" w:hAnsi="Times New Roman" w:cs="Times New Roman"/>
          <w:sz w:val="24"/>
          <w:szCs w:val="24"/>
        </w:rPr>
        <w:t xml:space="preserve"> mentre la </w:t>
      </w:r>
      <w:r w:rsidRPr="00096909">
        <w:rPr>
          <w:rFonts w:ascii="Times New Roman" w:hAnsi="Times New Roman" w:cs="Times New Roman"/>
          <w:i/>
          <w:sz w:val="24"/>
          <w:szCs w:val="24"/>
        </w:rPr>
        <w:t>Memoria</w:t>
      </w:r>
      <w:r w:rsidRPr="00096909">
        <w:rPr>
          <w:rFonts w:ascii="Times New Roman" w:hAnsi="Times New Roman" w:cs="Times New Roman"/>
          <w:sz w:val="24"/>
          <w:szCs w:val="24"/>
        </w:rPr>
        <w:t xml:space="preserve"> di </w:t>
      </w:r>
      <w:bookmarkStart w:id="492" w:name="_Hlk536002654"/>
      <w:r w:rsidRPr="00096909">
        <w:rPr>
          <w:rFonts w:ascii="Times New Roman" w:hAnsi="Times New Roman" w:cs="Times New Roman"/>
          <w:sz w:val="24"/>
          <w:szCs w:val="24"/>
        </w:rPr>
        <w:t xml:space="preserve">Niccolò Cagnolo </w:t>
      </w:r>
      <w:bookmarkEnd w:id="492"/>
      <w:r w:rsidRPr="00096909">
        <w:rPr>
          <w:rFonts w:ascii="Times New Roman" w:hAnsi="Times New Roman" w:cs="Times New Roman"/>
          <w:sz w:val="24"/>
          <w:szCs w:val="24"/>
        </w:rPr>
        <w:t xml:space="preserve">da Parma, segretario dell’ambasciatore del re di Francia </w:t>
      </w:r>
      <w:bookmarkStart w:id="493" w:name="_Hlk536002779"/>
      <w:r w:rsidRPr="00096909">
        <w:rPr>
          <w:rFonts w:ascii="Times New Roman" w:hAnsi="Times New Roman" w:cs="Times New Roman"/>
          <w:sz w:val="24"/>
          <w:szCs w:val="24"/>
        </w:rPr>
        <w:t>Filippo della Rocca Bertì</w:t>
      </w:r>
      <w:bookmarkEnd w:id="493"/>
      <w:r w:rsidRPr="00096909">
        <w:rPr>
          <w:rFonts w:ascii="Times New Roman" w:hAnsi="Times New Roman" w:cs="Times New Roman"/>
          <w:sz w:val="24"/>
          <w:szCs w:val="24"/>
        </w:rPr>
        <w:t xml:space="preserve">, afferma che: </w:t>
      </w:r>
    </w:p>
    <w:p w14:paraId="14ECDE9C"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0"/>
          <w:szCs w:val="20"/>
        </w:rPr>
      </w:pPr>
    </w:p>
    <w:p w14:paraId="5E24B0A1"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Per la terra in quatro lochi forno facte rapresentatione dignissime. Et subito che forno entro da la Porta, perché s</w:t>
      </w:r>
      <w:r>
        <w:rPr>
          <w:rFonts w:ascii="Times New Roman" w:hAnsi="Times New Roman" w:cs="Times New Roman"/>
          <w:sz w:val="20"/>
          <w:szCs w:val="20"/>
        </w:rPr>
        <w:t>’</w:t>
      </w:r>
      <w:r w:rsidRPr="00096909">
        <w:rPr>
          <w:rFonts w:ascii="Times New Roman" w:hAnsi="Times New Roman" w:cs="Times New Roman"/>
          <w:sz w:val="20"/>
          <w:szCs w:val="20"/>
        </w:rPr>
        <w:t>agitavano folgori, lo cavallo de la illustrissima spoxa, dove hera su, spaventosi talmente che l’hebbe a gitare in terra. Et lei ridendo desmontoe et ascese suxo una delle mule sopradicte. La prima rapresentatione erano tre dee con pomi d’oro in mano, che cantavano versi in vulgari in laude de li illustrissimi sposi, la seconda era uno Hercole col dio d’Amore, pur che recitavano versi in laude ut supra, la terza era uno bove rosso cum una nympha a cavallo, che recitava versi ut supra, et altre nymphe a pedi con octo bovi con dardi in mano e octo satyri che balavano et saltavano.</w:t>
      </w:r>
      <w:r w:rsidRPr="00096909">
        <w:rPr>
          <w:rStyle w:val="Rimandonotaapidipagina"/>
          <w:rFonts w:ascii="Times New Roman" w:hAnsi="Times New Roman" w:cs="Times New Roman"/>
        </w:rPr>
        <w:footnoteReference w:id="717"/>
      </w:r>
      <w:r w:rsidRPr="00096909">
        <w:rPr>
          <w:rFonts w:ascii="Times New Roman" w:hAnsi="Times New Roman" w:cs="Times New Roman"/>
          <w:sz w:val="20"/>
          <w:szCs w:val="20"/>
        </w:rPr>
        <w:t xml:space="preserve"> </w:t>
      </w:r>
    </w:p>
    <w:p w14:paraId="409905E7"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0"/>
          <w:szCs w:val="20"/>
        </w:rPr>
      </w:pPr>
    </w:p>
    <w:p w14:paraId="49843A98"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 versi recitati alla sposa furono dunque indirizzati da figuranti nei panni delle tre grazie, le quali reggevano nelle mani i pomi dorati che Ercole, protagonista della seconda recita, dovette conquistare per superare l’undicesima delle sue leggendarie fatiche. Difficile chiarire il legame tra queste due recite e la terza rappresentazione con la ninfa e il bue rosso – arme dei Borgia – e la </w:t>
      </w:r>
      <w:r w:rsidRPr="00096909">
        <w:rPr>
          <w:rFonts w:ascii="Times New Roman" w:hAnsi="Times New Roman" w:cs="Times New Roman"/>
          <w:sz w:val="24"/>
          <w:szCs w:val="24"/>
        </w:rPr>
        <w:lastRenderedPageBreak/>
        <w:t xml:space="preserve">quarta con la danza delle ninfe e dei satiri. A ogni modo, dalla lettura dei </w:t>
      </w:r>
      <w:r w:rsidRPr="00096909">
        <w:rPr>
          <w:rFonts w:ascii="Times New Roman" w:hAnsi="Times New Roman" w:cs="Times New Roman"/>
          <w:i/>
          <w:sz w:val="24"/>
          <w:szCs w:val="24"/>
        </w:rPr>
        <w:t>Diarii</w:t>
      </w:r>
      <w:r w:rsidRPr="00096909">
        <w:rPr>
          <w:rFonts w:ascii="Times New Roman" w:hAnsi="Times New Roman" w:cs="Times New Roman"/>
          <w:sz w:val="24"/>
          <w:szCs w:val="24"/>
        </w:rPr>
        <w:t xml:space="preserve"> di Marino Sanu</w:t>
      </w:r>
      <w:r w:rsidR="00056B58">
        <w:rPr>
          <w:rFonts w:ascii="Times New Roman" w:hAnsi="Times New Roman" w:cs="Times New Roman"/>
          <w:sz w:val="24"/>
          <w:szCs w:val="24"/>
        </w:rPr>
        <w:t>t</w:t>
      </w:r>
      <w:r w:rsidRPr="00096909">
        <w:rPr>
          <w:rFonts w:ascii="Times New Roman" w:hAnsi="Times New Roman" w:cs="Times New Roman"/>
          <w:sz w:val="24"/>
          <w:szCs w:val="24"/>
        </w:rPr>
        <w:t>o, apprendiamo che «Alcuni archi erano per li cantoni dove passava la sposa, con certi representationi»,</w:t>
      </w:r>
      <w:r w:rsidRPr="00096909">
        <w:rPr>
          <w:rStyle w:val="Rimandonotaapidipagina"/>
          <w:rFonts w:ascii="Times New Roman" w:hAnsi="Times New Roman" w:cs="Times New Roman"/>
          <w:sz w:val="24"/>
          <w:szCs w:val="24"/>
        </w:rPr>
        <w:footnoteReference w:id="718"/>
      </w:r>
      <w:r w:rsidRPr="00096909">
        <w:rPr>
          <w:rFonts w:ascii="Times New Roman" w:hAnsi="Times New Roman" w:cs="Times New Roman"/>
          <w:sz w:val="24"/>
          <w:szCs w:val="24"/>
        </w:rPr>
        <w:t xml:space="preserve"> gli stessi che Isabella d’Este, presente a Ferrara già alcuni giorni prima dell’ingresso della Borgia, aveva descritto ancora in allestimento in una lettera a Francesco Gonzaga del 31 gennaio 1502.</w:t>
      </w:r>
      <w:r w:rsidRPr="00096909">
        <w:rPr>
          <w:rStyle w:val="Rimandonotaapidipagina"/>
          <w:rFonts w:ascii="Times New Roman" w:hAnsi="Times New Roman" w:cs="Times New Roman"/>
          <w:sz w:val="24"/>
          <w:szCs w:val="24"/>
        </w:rPr>
        <w:footnoteReference w:id="719"/>
      </w:r>
      <w:r w:rsidRPr="00096909">
        <w:rPr>
          <w:rFonts w:ascii="Times New Roman" w:hAnsi="Times New Roman" w:cs="Times New Roman"/>
          <w:sz w:val="24"/>
          <w:szCs w:val="24"/>
        </w:rPr>
        <w:t xml:space="preserve"> Pertanto si può supporre che, almeno per la prima e la seconda “rapresentatione”, i recitanti si trovassero sul fronte praticabile degli archi, come già accadeva nelle feste malatestiane del 1475. Per la quarta recita, credo invece che le «nymphe a pedi con octo bovi con dardi in mano e octo satyri» abbiano eseguito le loro danze davanti all’arco, utilizzandolo come </w:t>
      </w:r>
      <w:r>
        <w:rPr>
          <w:rFonts w:ascii="Times New Roman" w:hAnsi="Times New Roman" w:cs="Times New Roman"/>
          <w:sz w:val="24"/>
          <w:szCs w:val="24"/>
        </w:rPr>
        <w:t xml:space="preserve">fondale </w:t>
      </w:r>
      <w:r w:rsidRPr="00096909">
        <w:rPr>
          <w:rFonts w:ascii="Times New Roman" w:hAnsi="Times New Roman" w:cs="Times New Roman"/>
          <w:sz w:val="24"/>
          <w:szCs w:val="24"/>
        </w:rPr>
        <w:t xml:space="preserve">scenografico. Ciò mi pare confermato dalle note dello Zambotti, che dell’ingresso della Borgia scrisse «venne suxo la Via Grande, trovandose più </w:t>
      </w:r>
      <w:r w:rsidRPr="00096909">
        <w:rPr>
          <w:rFonts w:ascii="Times New Roman" w:hAnsi="Times New Roman" w:cs="Times New Roman"/>
          <w:i/>
          <w:sz w:val="24"/>
          <w:szCs w:val="24"/>
        </w:rPr>
        <w:t>theatri</w:t>
      </w:r>
      <w:r w:rsidRPr="00096909">
        <w:rPr>
          <w:rFonts w:ascii="Times New Roman" w:hAnsi="Times New Roman" w:cs="Times New Roman"/>
          <w:sz w:val="24"/>
          <w:szCs w:val="24"/>
        </w:rPr>
        <w:t xml:space="preserve"> e recitatori de più versi a laude de li spoxi e del Papa».</w:t>
      </w:r>
      <w:r w:rsidRPr="00096909">
        <w:rPr>
          <w:rStyle w:val="Rimandonotaapidipagina"/>
          <w:rFonts w:ascii="Times New Roman" w:hAnsi="Times New Roman" w:cs="Times New Roman"/>
          <w:sz w:val="24"/>
          <w:szCs w:val="24"/>
        </w:rPr>
        <w:footnoteReference w:id="720"/>
      </w:r>
      <w:r w:rsidRPr="00096909">
        <w:rPr>
          <w:rFonts w:ascii="Times New Roman" w:hAnsi="Times New Roman" w:cs="Times New Roman"/>
          <w:sz w:val="24"/>
          <w:szCs w:val="24"/>
        </w:rPr>
        <w:t xml:space="preserve"> </w:t>
      </w:r>
    </w:p>
    <w:p w14:paraId="70C8C497" w14:textId="09F93ADD"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Dalle parole del cronista traspare la vocazione scenografica di questi apparati, talvolta indicati anche come “tribunali”, termine </w:t>
      </w:r>
      <w:r>
        <w:rPr>
          <w:rFonts w:ascii="Times New Roman" w:hAnsi="Times New Roman" w:cs="Times New Roman"/>
          <w:sz w:val="24"/>
          <w:szCs w:val="24"/>
        </w:rPr>
        <w:t xml:space="preserve">frequentemente scelto </w:t>
      </w:r>
      <w:r w:rsidRPr="00096909">
        <w:rPr>
          <w:rFonts w:ascii="Times New Roman" w:hAnsi="Times New Roman" w:cs="Times New Roman"/>
          <w:sz w:val="24"/>
          <w:szCs w:val="24"/>
        </w:rPr>
        <w:t xml:space="preserve">nelle descrizioni per indicare i palchi delle recite delle commedie e delle rappresentazioni allegoriche allestite nei giorni della festa nuziale all’interno del palazzo principesco. Nell’epoca in cui il progetto dell’edificio teatrale è un sogno che prende forma tra le letture di Vitruvio e la recitazione è un epifenomeno sospeso tra la lettura ad alta voce e l’esercizio della retorica, gli archi dai </w:t>
      </w:r>
      <w:r>
        <w:rPr>
          <w:rFonts w:ascii="Times New Roman" w:hAnsi="Times New Roman" w:cs="Times New Roman"/>
          <w:sz w:val="24"/>
          <w:szCs w:val="24"/>
        </w:rPr>
        <w:t>cu</w:t>
      </w:r>
      <w:r w:rsidRPr="00096909">
        <w:rPr>
          <w:rFonts w:ascii="Times New Roman" w:hAnsi="Times New Roman" w:cs="Times New Roman"/>
          <w:sz w:val="24"/>
          <w:szCs w:val="24"/>
        </w:rPr>
        <w:t xml:space="preserve">i le ninfe e gli eroi di Roma antica salutano la sposa trionfante sono già, in qualche modo, il teatro del Rinascimento. </w:t>
      </w:r>
    </w:p>
    <w:p w14:paraId="612AB9DB"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p>
    <w:p w14:paraId="3F290111" w14:textId="77777777" w:rsidR="00395702" w:rsidRPr="00096909" w:rsidRDefault="00395702" w:rsidP="00395702">
      <w:pPr>
        <w:tabs>
          <w:tab w:val="left" w:pos="567"/>
        </w:tabs>
        <w:spacing w:after="0" w:line="360" w:lineRule="auto"/>
        <w:ind w:right="-1"/>
        <w:jc w:val="both"/>
        <w:rPr>
          <w:rFonts w:ascii="Times New Roman" w:hAnsi="Times New Roman" w:cs="Times New Roman"/>
          <w:sz w:val="24"/>
          <w:szCs w:val="24"/>
        </w:rPr>
      </w:pPr>
    </w:p>
    <w:p w14:paraId="231AC258" w14:textId="77777777" w:rsidR="00395702" w:rsidRPr="00096909" w:rsidRDefault="00395702" w:rsidP="00395702">
      <w:pPr>
        <w:jc w:val="both"/>
        <w:rPr>
          <w:rFonts w:ascii="Times New Roman" w:hAnsi="Times New Roman" w:cs="Times New Roman"/>
          <w:i/>
          <w:sz w:val="24"/>
          <w:szCs w:val="24"/>
        </w:rPr>
      </w:pPr>
      <w:r w:rsidRPr="0069387C">
        <w:rPr>
          <w:rFonts w:ascii="Times New Roman" w:hAnsi="Times New Roman" w:cs="Times New Roman"/>
          <w:sz w:val="24"/>
          <w:szCs w:val="24"/>
        </w:rPr>
        <w:t>2.1.</w:t>
      </w:r>
      <w:r w:rsidRPr="00096909">
        <w:rPr>
          <w:rFonts w:ascii="Times New Roman" w:hAnsi="Times New Roman" w:cs="Times New Roman"/>
          <w:i/>
          <w:sz w:val="24"/>
          <w:szCs w:val="24"/>
        </w:rPr>
        <w:t xml:space="preserve"> Carri, ingegni e girandole: il contributo delle maestranze fiorentine. </w:t>
      </w:r>
    </w:p>
    <w:p w14:paraId="549E634A"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p>
    <w:p w14:paraId="5B53E5FF" w14:textId="77777777" w:rsidR="00395702" w:rsidRPr="00096909" w:rsidRDefault="00395702" w:rsidP="00395702">
      <w:pPr>
        <w:tabs>
          <w:tab w:val="left" w:pos="567"/>
        </w:tabs>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Le descrizioni dei trionfi delle spose attestano come frequentemente, </w:t>
      </w:r>
      <w:r>
        <w:rPr>
          <w:rFonts w:ascii="Times New Roman" w:hAnsi="Times New Roman" w:cs="Times New Roman"/>
          <w:sz w:val="24"/>
          <w:szCs w:val="24"/>
        </w:rPr>
        <w:t>sul</w:t>
      </w:r>
      <w:r w:rsidRPr="00096909">
        <w:rPr>
          <w:rFonts w:ascii="Times New Roman" w:hAnsi="Times New Roman" w:cs="Times New Roman"/>
          <w:sz w:val="24"/>
          <w:szCs w:val="24"/>
        </w:rPr>
        <w:t xml:space="preserve">le vie della città in festa per il loro arrivo, fossero presenti alcuni carri trionfali, i quali rielaboravano in modi fantasiosi e antichizzanti gli ingegni ideati dai maestri apparatori fiorentini per gli edifizi della festa patronale di san Giovanni Battista. Come detto, lo stesso Flavio Biondo aveva paragonato questi edifizi ai </w:t>
      </w:r>
      <w:r w:rsidRPr="00096909">
        <w:rPr>
          <w:rFonts w:ascii="Times New Roman" w:hAnsi="Times New Roman" w:cs="Times New Roman"/>
          <w:i/>
          <w:sz w:val="24"/>
          <w:szCs w:val="24"/>
        </w:rPr>
        <w:t>paegmata</w:t>
      </w:r>
      <w:r w:rsidRPr="00096909">
        <w:rPr>
          <w:rFonts w:ascii="Times New Roman" w:hAnsi="Times New Roman" w:cs="Times New Roman"/>
          <w:sz w:val="24"/>
          <w:szCs w:val="24"/>
        </w:rPr>
        <w:t xml:space="preserve"> dei trionfi di Tito e di Vespasiano descritti nel </w:t>
      </w:r>
      <w:r w:rsidRPr="00096909">
        <w:rPr>
          <w:rFonts w:ascii="Times New Roman" w:hAnsi="Times New Roman" w:cs="Times New Roman"/>
          <w:i/>
          <w:sz w:val="24"/>
          <w:szCs w:val="24"/>
        </w:rPr>
        <w:t>De bello iudaico</w:t>
      </w:r>
      <w:r w:rsidRPr="00096909">
        <w:rPr>
          <w:rFonts w:ascii="Times New Roman" w:hAnsi="Times New Roman" w:cs="Times New Roman"/>
          <w:sz w:val="24"/>
          <w:szCs w:val="24"/>
        </w:rPr>
        <w:t xml:space="preserve"> di Giuseppe Flavio, legittimandone culturalmente l’adozione nelle parate classicheggianti quattrocentesche. Si trattava di piattaforme lignee trasportate a spalla da facchini, sulle quali i membri delle confraternite laic</w:t>
      </w:r>
      <w:r>
        <w:rPr>
          <w:rFonts w:ascii="Times New Roman" w:hAnsi="Times New Roman" w:cs="Times New Roman"/>
          <w:sz w:val="24"/>
          <w:szCs w:val="24"/>
        </w:rPr>
        <w:t>h</w:t>
      </w:r>
      <w:r w:rsidRPr="00096909">
        <w:rPr>
          <w:rFonts w:ascii="Times New Roman" w:hAnsi="Times New Roman" w:cs="Times New Roman"/>
          <w:sz w:val="24"/>
          <w:szCs w:val="24"/>
        </w:rPr>
        <w:t xml:space="preserve">e di devozione, cui ne era demandata la preparazione, inscenavano gli episodi di storia sacra che abitualmente allestivano all’interno delle loro sedi, adattando all’esposizione esterna gli ingegni </w:t>
      </w:r>
      <w:r w:rsidRPr="00096909">
        <w:rPr>
          <w:rFonts w:ascii="Times New Roman" w:hAnsi="Times New Roman" w:cs="Times New Roman"/>
          <w:sz w:val="24"/>
          <w:szCs w:val="24"/>
        </w:rPr>
        <w:lastRenderedPageBreak/>
        <w:t>scenici necessari alle recite.</w:t>
      </w:r>
      <w:r w:rsidRPr="00096909">
        <w:rPr>
          <w:rStyle w:val="Rimandonotaapidipagina"/>
          <w:rFonts w:ascii="Times New Roman" w:hAnsi="Times New Roman" w:cs="Times New Roman"/>
          <w:sz w:val="24"/>
          <w:szCs w:val="24"/>
        </w:rPr>
        <w:footnoteReference w:id="721"/>
      </w:r>
      <w:r w:rsidRPr="00096909">
        <w:rPr>
          <w:rFonts w:ascii="Times New Roman" w:hAnsi="Times New Roman" w:cs="Times New Roman"/>
          <w:sz w:val="24"/>
          <w:szCs w:val="24"/>
        </w:rPr>
        <w:t xml:space="preserve"> Erano pertanto provvisti di meccanismi ascensionali, adatti a rappresentare voli di angeli o ascensioni al cielo, e la loro struttura si prestava a un numero discreto di variazioni, tanto che fu probabilmente la capacità dei maestri fiorentini di adattarli a necessità drammaturgiche differenti a fare sì che dalle corti italiane giungessero loro richieste di ingaggio per le maggiori feste dinastiche dell’epoca. </w:t>
      </w:r>
    </w:p>
    <w:p w14:paraId="3CAB58DB"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Nel contesto del trionfo cortigiano, distinto da esigenze comunicative diverse da quelle del San Giovanni fiorentino, il compito delle maestranze fu quello di donare agli edifizi l’aspetto di antichi carri trionfali di soggetto allegorico, mitologico e storico. Aspetto che, come nota</w:t>
      </w:r>
      <w:r>
        <w:rPr>
          <w:rFonts w:ascii="Times New Roman" w:hAnsi="Times New Roman" w:cs="Times New Roman"/>
          <w:sz w:val="24"/>
          <w:szCs w:val="24"/>
        </w:rPr>
        <w:t>to da</w:t>
      </w:r>
      <w:r w:rsidRPr="00096909">
        <w:rPr>
          <w:rFonts w:ascii="Times New Roman" w:hAnsi="Times New Roman" w:cs="Times New Roman"/>
          <w:sz w:val="24"/>
          <w:szCs w:val="24"/>
        </w:rPr>
        <w:t xml:space="preserve"> Paola Ventrone, a Firenze gli edifizi assunsero solo nelle feste pubbliche degli ultimi anni del reggimento di Lorenzo de’ Medici – per le sfilate classicheggianti dei carri dei pianeti del carnevale del 1490 e dei quindici trionfi di Paolo Emilio del San Giovanni del 1491, commissionati a Francesco Granacci – mantenendo nel Quattrocento forme consuete rispetto alla tradizione spettacolare della cerimonia identitaria repubblicana per la quale erano stati inventati.</w:t>
      </w:r>
      <w:r w:rsidRPr="00096909">
        <w:rPr>
          <w:rStyle w:val="Rimandonotaapidipagina"/>
          <w:rFonts w:ascii="Times New Roman" w:hAnsi="Times New Roman" w:cs="Times New Roman"/>
          <w:sz w:val="24"/>
          <w:szCs w:val="24"/>
        </w:rPr>
        <w:footnoteReference w:id="722"/>
      </w:r>
    </w:p>
    <w:p w14:paraId="147C8EA5"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Si dovette attendere il Cinquecento per assistere</w:t>
      </w:r>
      <w:r w:rsidRPr="00096909">
        <w:rPr>
          <w:rFonts w:ascii="Times New Roman" w:hAnsi="Times New Roman" w:cs="Times New Roman"/>
          <w:sz w:val="24"/>
          <w:szCs w:val="24"/>
        </w:rPr>
        <w:t xml:space="preserve"> a Firenze a un ingresso provvisto di carri trionfali e strutturato su un programma iconografico unitario come quello che distinse </w:t>
      </w:r>
      <w:r>
        <w:rPr>
          <w:rFonts w:ascii="Times New Roman" w:hAnsi="Times New Roman" w:cs="Times New Roman"/>
          <w:sz w:val="24"/>
          <w:szCs w:val="24"/>
        </w:rPr>
        <w:t xml:space="preserve">invece </w:t>
      </w:r>
      <w:r w:rsidRPr="00096909">
        <w:rPr>
          <w:rFonts w:ascii="Times New Roman" w:hAnsi="Times New Roman" w:cs="Times New Roman"/>
          <w:sz w:val="24"/>
          <w:szCs w:val="24"/>
        </w:rPr>
        <w:t>le feste ferraresi per le nozze di Eleonora d’Aragona del 3 luglio 1473:</w:t>
      </w:r>
    </w:p>
    <w:p w14:paraId="0979158E" w14:textId="77777777" w:rsidR="00395702" w:rsidRPr="00096909" w:rsidRDefault="00395702" w:rsidP="00395702">
      <w:pPr>
        <w:tabs>
          <w:tab w:val="left" w:pos="567"/>
        </w:tabs>
        <w:spacing w:after="0" w:line="360" w:lineRule="auto"/>
        <w:ind w:right="-1" w:firstLine="397"/>
        <w:jc w:val="both"/>
        <w:rPr>
          <w:rFonts w:ascii="Times New Roman" w:hAnsi="Times New Roman" w:cs="Times New Roman"/>
          <w:sz w:val="24"/>
          <w:szCs w:val="24"/>
        </w:rPr>
      </w:pPr>
    </w:p>
    <w:p w14:paraId="053C9240"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Posa la dicta madona desmontòe del Bucintoro et vene dentro a cavalo et andoge incontra tuto Ferrara; e inanzi che la giungese, ge fu mandato incontra, infin a Gaibana, doe ganzare in ordine, di zoveni pulidi, vestiti di zornie pulidamente. Et era adornato il ponte de Sancto Georgio, e posa dentro dal ponte era facto uno pergolato de frasche in volta fina a la Via Grande. Et da Porta de Sotto fina in Piaza fu coperta la strada de panni de lana et fu piantato de molte verdure. Prima Sancta Maria del Vado era uno carubio cum gente suso ordinato pulidamente, a similitudine de li septe pianeti. L’altro era da Sancto Francesco, dal Saracino, da li Giesuati, da la Porta de Sotto e da le banche di calgari. El septimo pianeto era dal campanile del vescovado adorno cum gente asai che balava e cantava e che sonava cum molte gentilezze. Posia dov’è il Marchese Nicolò lì era adorno cum sonaduri. E fu una bella cosa, quelli septe pianeti da vedere.</w:t>
      </w:r>
      <w:r w:rsidRPr="00096909">
        <w:rPr>
          <w:rStyle w:val="Rimandonotaapidipagina"/>
          <w:rFonts w:ascii="Times New Roman" w:hAnsi="Times New Roman" w:cs="Times New Roman"/>
        </w:rPr>
        <w:footnoteReference w:id="723"/>
      </w:r>
      <w:r w:rsidRPr="00096909">
        <w:rPr>
          <w:rFonts w:ascii="Times New Roman" w:hAnsi="Times New Roman" w:cs="Times New Roman"/>
          <w:sz w:val="20"/>
          <w:szCs w:val="20"/>
        </w:rPr>
        <w:t xml:space="preserve"> </w:t>
      </w:r>
    </w:p>
    <w:p w14:paraId="7FC3546C"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p>
    <w:p w14:paraId="038AB5C3"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p>
    <w:p w14:paraId="7B6BBD7F"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Il </w:t>
      </w:r>
      <w:r w:rsidRPr="00096909">
        <w:rPr>
          <w:rFonts w:ascii="Times New Roman" w:hAnsi="Times New Roman" w:cs="Times New Roman"/>
          <w:i/>
          <w:sz w:val="24"/>
          <w:szCs w:val="24"/>
        </w:rPr>
        <w:t>Diario ferrarese</w:t>
      </w:r>
      <w:r w:rsidRPr="00096909">
        <w:rPr>
          <w:rFonts w:ascii="Times New Roman" w:hAnsi="Times New Roman" w:cs="Times New Roman"/>
          <w:sz w:val="24"/>
          <w:szCs w:val="24"/>
        </w:rPr>
        <w:t xml:space="preserve"> restituisce un’immagine dell’ingresso di Eleonora nella quale, sulle vie adorne di pergolati di verzura e di veli di lana, appaiono i carri dei sette pianeti e indica con precisione i luoghi dove questi furono posizionati. Non dice nulla però del loro aspetto o di chi li avesse realizzati. Anche il Caleffini tace al riguardo,</w:t>
      </w:r>
      <w:r w:rsidRPr="00096909">
        <w:rPr>
          <w:rStyle w:val="Rimandonotaapidipagina"/>
          <w:rFonts w:ascii="Times New Roman" w:hAnsi="Times New Roman" w:cs="Times New Roman"/>
          <w:sz w:val="24"/>
          <w:szCs w:val="24"/>
        </w:rPr>
        <w:footnoteReference w:id="724"/>
      </w:r>
      <w:r w:rsidRPr="00096909">
        <w:rPr>
          <w:rFonts w:ascii="Times New Roman" w:hAnsi="Times New Roman" w:cs="Times New Roman"/>
          <w:sz w:val="24"/>
          <w:szCs w:val="24"/>
        </w:rPr>
        <w:t xml:space="preserve"> ma è stato ipotizzato che a ispirare l’opera degli apparatori dei carri fosse stato Pellegrino Prisciani, letterato e astrologo della corte estense</w:t>
      </w:r>
      <w:r>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725"/>
      </w:r>
      <w:r w:rsidRPr="00096909">
        <w:rPr>
          <w:rFonts w:ascii="Times New Roman" w:hAnsi="Times New Roman" w:cs="Times New Roman"/>
          <w:sz w:val="24"/>
          <w:szCs w:val="24"/>
        </w:rPr>
        <w:t xml:space="preserve"> </w:t>
      </w:r>
      <w:r>
        <w:rPr>
          <w:rFonts w:ascii="Times New Roman" w:hAnsi="Times New Roman" w:cs="Times New Roman"/>
          <w:sz w:val="24"/>
          <w:szCs w:val="24"/>
        </w:rPr>
        <w:t>cu</w:t>
      </w:r>
      <w:r w:rsidRPr="00096909">
        <w:rPr>
          <w:rFonts w:ascii="Times New Roman" w:hAnsi="Times New Roman" w:cs="Times New Roman"/>
          <w:sz w:val="24"/>
          <w:szCs w:val="24"/>
        </w:rPr>
        <w:t xml:space="preserve">i Aby Warburg attribuì l’ideazione del programma iconografico del Salone dei mesi di palazzo Schifanoia, affrescato </w:t>
      </w:r>
      <w:r w:rsidR="00DD5D6D" w:rsidRPr="00096909">
        <w:rPr>
          <w:rFonts w:ascii="Times New Roman" w:hAnsi="Times New Roman" w:cs="Times New Roman"/>
          <w:sz w:val="24"/>
          <w:szCs w:val="24"/>
        </w:rPr>
        <w:t xml:space="preserve">dai più raffinati maestri dell’officina ferrarese </w:t>
      </w:r>
      <w:r w:rsidRPr="00096909">
        <w:rPr>
          <w:rFonts w:ascii="Times New Roman" w:hAnsi="Times New Roman" w:cs="Times New Roman"/>
          <w:sz w:val="24"/>
          <w:szCs w:val="24"/>
        </w:rPr>
        <w:t>tra il 1470 e il 1471.</w:t>
      </w:r>
      <w:r w:rsidRPr="00096909">
        <w:rPr>
          <w:rStyle w:val="Rimandonotaapidipagina"/>
          <w:rFonts w:ascii="Times New Roman" w:hAnsi="Times New Roman" w:cs="Times New Roman"/>
          <w:sz w:val="24"/>
          <w:szCs w:val="24"/>
        </w:rPr>
        <w:footnoteReference w:id="726"/>
      </w:r>
      <w:r w:rsidRPr="00096909">
        <w:rPr>
          <w:rFonts w:ascii="Times New Roman" w:hAnsi="Times New Roman" w:cs="Times New Roman"/>
          <w:sz w:val="24"/>
          <w:szCs w:val="24"/>
        </w:rPr>
        <w:t xml:space="preserve"> Nel registro superiore dei dodici comparti del ciclo gli artisti avevano dipinto l’incedere dei carri delle divinità olimpiche, i quali offrirono probabilmente un modello visuale per la creazione dei sette trionfi dell’ingresso di Eleonora d’Aragona. </w:t>
      </w:r>
    </w:p>
    <w:p w14:paraId="6F51B229"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Del resto, tra le possibili fonti iconografiche dei Mesi Warburg aveva segnalato le rinomate incisioni dei </w:t>
      </w:r>
      <w:r w:rsidRPr="00096909">
        <w:rPr>
          <w:rFonts w:ascii="Times New Roman" w:hAnsi="Times New Roman" w:cs="Times New Roman"/>
          <w:i/>
          <w:sz w:val="24"/>
          <w:szCs w:val="24"/>
        </w:rPr>
        <w:t>Pianeti Finiguerra</w:t>
      </w:r>
      <w:r w:rsidRPr="00096909">
        <w:rPr>
          <w:rFonts w:ascii="Times New Roman" w:hAnsi="Times New Roman" w:cs="Times New Roman"/>
          <w:sz w:val="24"/>
          <w:szCs w:val="24"/>
        </w:rPr>
        <w:t xml:space="preserve"> del Baccio Baldini,</w:t>
      </w:r>
      <w:r w:rsidRPr="00096909">
        <w:rPr>
          <w:rStyle w:val="Rimandonotaapidipagina"/>
          <w:rFonts w:ascii="Times New Roman" w:hAnsi="Times New Roman" w:cs="Times New Roman"/>
          <w:sz w:val="24"/>
          <w:szCs w:val="24"/>
        </w:rPr>
        <w:footnoteReference w:id="727"/>
      </w:r>
      <w:r w:rsidRPr="00096909">
        <w:rPr>
          <w:rFonts w:ascii="Times New Roman" w:hAnsi="Times New Roman" w:cs="Times New Roman"/>
          <w:sz w:val="24"/>
          <w:szCs w:val="24"/>
        </w:rPr>
        <w:t xml:space="preserve"> che, come</w:t>
      </w:r>
      <w:r>
        <w:rPr>
          <w:rFonts w:ascii="Times New Roman" w:hAnsi="Times New Roman" w:cs="Times New Roman"/>
          <w:sz w:val="24"/>
          <w:szCs w:val="24"/>
        </w:rPr>
        <w:t xml:space="preserve"> detto</w:t>
      </w:r>
      <w:r w:rsidRPr="00096909">
        <w:rPr>
          <w:rFonts w:ascii="Times New Roman" w:hAnsi="Times New Roman" w:cs="Times New Roman"/>
          <w:sz w:val="24"/>
          <w:szCs w:val="24"/>
        </w:rPr>
        <w:t xml:space="preserve">, avrebbero animato nel 1475 la fantasia degli apparatori dei carri planetari della colazione dello sposalizio di Costanzo Sforza. L’indagine sulle immagini antiquarie degli dei e le ricerche astrologiche intraprese dagli intellettuali di corte davano dunque forma, anche a Ferrara, alle rappresentazioni pittoriche e performative della corte di Ercole I, e mi preme </w:t>
      </w:r>
      <w:r>
        <w:rPr>
          <w:rFonts w:ascii="Times New Roman" w:hAnsi="Times New Roman" w:cs="Times New Roman"/>
          <w:sz w:val="24"/>
          <w:szCs w:val="24"/>
        </w:rPr>
        <w:t xml:space="preserve">sottolineare </w:t>
      </w:r>
      <w:r w:rsidRPr="00096909">
        <w:rPr>
          <w:rFonts w:ascii="Times New Roman" w:hAnsi="Times New Roman" w:cs="Times New Roman"/>
          <w:sz w:val="24"/>
          <w:szCs w:val="24"/>
        </w:rPr>
        <w:t xml:space="preserve">come un indizio della partecipazione di Prisciani all’ideazione del trionfo del 1473 si potrebbe riconoscere nel fatto che egli </w:t>
      </w:r>
      <w:r>
        <w:rPr>
          <w:rFonts w:ascii="Times New Roman" w:hAnsi="Times New Roman" w:cs="Times New Roman"/>
          <w:sz w:val="24"/>
          <w:szCs w:val="24"/>
        </w:rPr>
        <w:t xml:space="preserve">avesse fornito </w:t>
      </w:r>
      <w:r w:rsidRPr="00096909">
        <w:rPr>
          <w:rFonts w:ascii="Times New Roman" w:hAnsi="Times New Roman" w:cs="Times New Roman"/>
          <w:sz w:val="24"/>
          <w:szCs w:val="24"/>
        </w:rPr>
        <w:t>le sue consulenze astrologiche per la riuscita dei cantieri dell’ad</w:t>
      </w:r>
      <w:r>
        <w:rPr>
          <w:rFonts w:ascii="Times New Roman" w:hAnsi="Times New Roman" w:cs="Times New Roman"/>
          <w:sz w:val="24"/>
          <w:szCs w:val="24"/>
        </w:rPr>
        <w:t>d</w:t>
      </w:r>
      <w:r w:rsidRPr="00096909">
        <w:rPr>
          <w:rFonts w:ascii="Times New Roman" w:hAnsi="Times New Roman" w:cs="Times New Roman"/>
          <w:sz w:val="24"/>
          <w:szCs w:val="24"/>
        </w:rPr>
        <w:t xml:space="preserve">izione erculea, lavorando al fianco di Rossetti, l’architetto che </w:t>
      </w:r>
      <w:r>
        <w:rPr>
          <w:rFonts w:ascii="Times New Roman" w:hAnsi="Times New Roman" w:cs="Times New Roman"/>
          <w:sz w:val="24"/>
          <w:szCs w:val="24"/>
        </w:rPr>
        <w:t xml:space="preserve">avrebbe disegnato </w:t>
      </w:r>
      <w:r w:rsidRPr="00096909">
        <w:rPr>
          <w:rFonts w:ascii="Times New Roman" w:hAnsi="Times New Roman" w:cs="Times New Roman"/>
          <w:sz w:val="24"/>
          <w:szCs w:val="24"/>
        </w:rPr>
        <w:t>gli archi trionfali dell’ingresso di Anna Sforza nel 1491.</w:t>
      </w:r>
      <w:r w:rsidRPr="00096909">
        <w:rPr>
          <w:rStyle w:val="Rimandonotaapidipagina"/>
          <w:rFonts w:ascii="Times New Roman" w:hAnsi="Times New Roman" w:cs="Times New Roman"/>
          <w:sz w:val="24"/>
          <w:szCs w:val="24"/>
        </w:rPr>
        <w:footnoteReference w:id="728"/>
      </w:r>
      <w:r w:rsidRPr="00096909">
        <w:rPr>
          <w:rFonts w:ascii="Times New Roman" w:hAnsi="Times New Roman" w:cs="Times New Roman"/>
          <w:sz w:val="24"/>
          <w:szCs w:val="24"/>
        </w:rPr>
        <w:t xml:space="preserve"> Per congegnare l’effimero momento della festa il duca si serviva pertanto degli </w:t>
      </w:r>
      <w:r w:rsidRPr="00096909">
        <w:rPr>
          <w:rFonts w:ascii="Times New Roman" w:hAnsi="Times New Roman" w:cs="Times New Roman"/>
          <w:sz w:val="24"/>
          <w:szCs w:val="24"/>
        </w:rPr>
        <w:lastRenderedPageBreak/>
        <w:t xml:space="preserve">stessi artisti e degli stessi intellettuali cui affidava il compimento dei duraturi edifici urbani, così da realizzare i propri progetti sulla città.    </w:t>
      </w:r>
    </w:p>
    <w:p w14:paraId="2C2CC702"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Altri carri trionfali attraversarono le vie di Napoli nel settembre del 1476 per salutare Beatrice d’Aragona prossima alla partenza per Buda. La </w:t>
      </w:r>
      <w:r w:rsidRPr="00096909">
        <w:rPr>
          <w:rFonts w:ascii="Times New Roman" w:hAnsi="Times New Roman" w:cs="Times New Roman"/>
          <w:i/>
          <w:sz w:val="24"/>
          <w:szCs w:val="24"/>
        </w:rPr>
        <w:t>Cronaca di Napoli</w:t>
      </w:r>
      <w:r w:rsidRPr="00096909">
        <w:rPr>
          <w:rFonts w:ascii="Times New Roman" w:hAnsi="Times New Roman" w:cs="Times New Roman"/>
          <w:sz w:val="24"/>
          <w:szCs w:val="24"/>
        </w:rPr>
        <w:t xml:space="preserve"> di Notar Giacomo informa di come il 15 settembre, dopo la messa d’incoronazione della nuova regina d’Ungheria «sequio la collacione et poy le giostre et per più dì da po’ la fiorentina nacione fe’ li secte triumphi del Petrarcha et girandole».</w:t>
      </w:r>
      <w:r w:rsidRPr="00096909">
        <w:rPr>
          <w:rStyle w:val="Rimandonotaapidipagina"/>
          <w:rFonts w:ascii="Times New Roman" w:hAnsi="Times New Roman" w:cs="Times New Roman"/>
          <w:sz w:val="24"/>
          <w:szCs w:val="24"/>
        </w:rPr>
        <w:footnoteReference w:id="729"/>
      </w:r>
      <w:r w:rsidRPr="00096909">
        <w:rPr>
          <w:rFonts w:ascii="Times New Roman" w:hAnsi="Times New Roman" w:cs="Times New Roman"/>
          <w:sz w:val="24"/>
          <w:szCs w:val="24"/>
        </w:rPr>
        <w:t xml:space="preserve"> La nazione fiorentina, che nel 1443 aveva offerto a</w:t>
      </w:r>
      <w:r>
        <w:rPr>
          <w:rFonts w:ascii="Times New Roman" w:hAnsi="Times New Roman" w:cs="Times New Roman"/>
          <w:sz w:val="24"/>
          <w:szCs w:val="24"/>
        </w:rPr>
        <w:t>d Alfonso il</w:t>
      </w:r>
      <w:r w:rsidRPr="00096909">
        <w:rPr>
          <w:rFonts w:ascii="Times New Roman" w:hAnsi="Times New Roman" w:cs="Times New Roman"/>
          <w:sz w:val="24"/>
          <w:szCs w:val="24"/>
        </w:rPr>
        <w:t xml:space="preserve"> Magnanimo il carro con il trionfo di Cesare, </w:t>
      </w:r>
      <w:r>
        <w:rPr>
          <w:rFonts w:ascii="Times New Roman" w:hAnsi="Times New Roman" w:cs="Times New Roman"/>
          <w:sz w:val="24"/>
          <w:szCs w:val="24"/>
        </w:rPr>
        <w:t>fu</w:t>
      </w:r>
      <w:r w:rsidRPr="00096909">
        <w:rPr>
          <w:rFonts w:ascii="Times New Roman" w:hAnsi="Times New Roman" w:cs="Times New Roman"/>
          <w:sz w:val="24"/>
          <w:szCs w:val="24"/>
        </w:rPr>
        <w:t xml:space="preserve"> dunque nuovamente protagonista di un intervento spettacolare nei festeggiamenti di questo matrimonio orchestrato da Ferrante I, completato da uno spettacolo pirotecnico confacente alla tradizione delle girandole fiorentine. </w:t>
      </w:r>
    </w:p>
    <w:p w14:paraId="4CDB51CC"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Notar Giacomo, il solo cronista dello sposalizio a ricordare la sfilata dei carri, non si preoccupò di descriverne la struttura o di specificare se fossero muniti di </w:t>
      </w:r>
      <w:r>
        <w:rPr>
          <w:rFonts w:ascii="Times New Roman" w:hAnsi="Times New Roman" w:cs="Times New Roman"/>
          <w:sz w:val="24"/>
          <w:szCs w:val="24"/>
        </w:rPr>
        <w:t>ingegni</w:t>
      </w:r>
      <w:r w:rsidRPr="00096909">
        <w:rPr>
          <w:rFonts w:ascii="Times New Roman" w:hAnsi="Times New Roman" w:cs="Times New Roman"/>
          <w:sz w:val="24"/>
          <w:szCs w:val="24"/>
        </w:rPr>
        <w:t xml:space="preserve">. Un confronto iconografico è però possibile con la coeva produzione di cassoni nuziali dipinti sul soggetto dei </w:t>
      </w:r>
      <w:r w:rsidRPr="00096909">
        <w:rPr>
          <w:rFonts w:ascii="Times New Roman" w:hAnsi="Times New Roman" w:cs="Times New Roman"/>
          <w:i/>
          <w:sz w:val="24"/>
          <w:szCs w:val="24"/>
        </w:rPr>
        <w:t>Trionfi</w:t>
      </w:r>
      <w:r w:rsidRPr="00096909">
        <w:rPr>
          <w:rFonts w:ascii="Times New Roman" w:hAnsi="Times New Roman" w:cs="Times New Roman"/>
          <w:sz w:val="24"/>
          <w:szCs w:val="24"/>
        </w:rPr>
        <w:t xml:space="preserve"> petrarcheschi, nella quale si distinsero maestri di area fiorentina – come Giovanni di ser Giovanni, detto lo Scheggia, </w:t>
      </w:r>
      <w:bookmarkStart w:id="494" w:name="_Hlk536003468"/>
      <w:r w:rsidRPr="00096909">
        <w:rPr>
          <w:rFonts w:ascii="Times New Roman" w:hAnsi="Times New Roman" w:cs="Times New Roman"/>
          <w:sz w:val="24"/>
          <w:szCs w:val="24"/>
        </w:rPr>
        <w:t xml:space="preserve">Apollonio di Giovanni </w:t>
      </w:r>
      <w:bookmarkEnd w:id="494"/>
      <w:r w:rsidRPr="00096909">
        <w:rPr>
          <w:rFonts w:ascii="Times New Roman" w:hAnsi="Times New Roman" w:cs="Times New Roman"/>
          <w:sz w:val="24"/>
          <w:szCs w:val="24"/>
        </w:rPr>
        <w:t>e Jacopo del Sellaio – le opere dei quali, molto richieste, furono esportate in tutta Italia.</w:t>
      </w:r>
      <w:r w:rsidRPr="00096909">
        <w:rPr>
          <w:rStyle w:val="Rimandonotaapidipagina"/>
          <w:rFonts w:ascii="Times New Roman" w:hAnsi="Times New Roman" w:cs="Times New Roman"/>
          <w:sz w:val="24"/>
          <w:szCs w:val="24"/>
        </w:rPr>
        <w:footnoteReference w:id="730"/>
      </w:r>
      <w:r w:rsidRPr="00096909">
        <w:rPr>
          <w:rFonts w:ascii="Times New Roman" w:hAnsi="Times New Roman" w:cs="Times New Roman"/>
          <w:sz w:val="24"/>
          <w:szCs w:val="24"/>
        </w:rPr>
        <w:t xml:space="preserve"> Per prossimità cronologica con le feste per Beatrice d’Aragona si consideri l’esempio dei </w:t>
      </w:r>
      <w:r w:rsidRPr="00096909">
        <w:rPr>
          <w:rFonts w:ascii="Times New Roman" w:hAnsi="Times New Roman" w:cs="Times New Roman"/>
          <w:i/>
          <w:sz w:val="24"/>
          <w:szCs w:val="24"/>
        </w:rPr>
        <w:t>Trionfi</w:t>
      </w:r>
      <w:r w:rsidRPr="00096909">
        <w:rPr>
          <w:rFonts w:ascii="Times New Roman" w:hAnsi="Times New Roman" w:cs="Times New Roman"/>
          <w:sz w:val="24"/>
          <w:szCs w:val="24"/>
        </w:rPr>
        <w:t xml:space="preserve"> eseguiti da </w:t>
      </w:r>
      <w:bookmarkStart w:id="495" w:name="_Hlk536003583"/>
      <w:r w:rsidRPr="00096909">
        <w:rPr>
          <w:rFonts w:ascii="Times New Roman" w:hAnsi="Times New Roman" w:cs="Times New Roman"/>
          <w:sz w:val="24"/>
          <w:szCs w:val="24"/>
        </w:rPr>
        <w:t xml:space="preserve">Domenico di Zanobi </w:t>
      </w:r>
      <w:bookmarkEnd w:id="495"/>
      <w:r w:rsidRPr="00096909">
        <w:rPr>
          <w:rFonts w:ascii="Times New Roman" w:hAnsi="Times New Roman" w:cs="Times New Roman"/>
          <w:sz w:val="24"/>
          <w:szCs w:val="24"/>
        </w:rPr>
        <w:t>tra il 1465 e il 1470 sul fronte di cassone conservato al Museo Petrarchesco Piccolomineo di Trieste (fig. 5</w:t>
      </w:r>
      <w:r>
        <w:rPr>
          <w:rFonts w:ascii="Times New Roman" w:hAnsi="Times New Roman" w:cs="Times New Roman"/>
          <w:sz w:val="24"/>
          <w:szCs w:val="24"/>
        </w:rPr>
        <w:t>3</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731"/>
      </w:r>
      <w:r w:rsidRPr="00096909">
        <w:rPr>
          <w:rFonts w:ascii="Times New Roman" w:hAnsi="Times New Roman" w:cs="Times New Roman"/>
          <w:sz w:val="24"/>
          <w:szCs w:val="24"/>
        </w:rPr>
        <w:t xml:space="preserve"> Senza indugiare sulla maestria dell’artista nel ritrarre le vesti preziose, le capigliature, i gioielli alla moda dei membri dei cortei di Cupido e Pudicizia, mi pare interessante notare la varietà delle strutture dei loro carri e di quello della Morte. I primi due convogli presentano piedistalli sferici – come quelli segnalati nei trionfi di Alfonso d’Aragona, di Borso d’Este e d’Isabella d’Aragona ai quali si è accennato – mentre quello della Morte mostra una base quadrata massiccia, ornata da festoni. Su tutti e tre troviamo dei panneggi che rivestono i basamenti e, parzialmente, le ruote, come a voler celare alla vista il modo in cui si muovessero le strutture. Qualcosa di analogo credo accadesse anche nei trionfi delle spose, per i quali sono rarissime le indicazioni su come i carri si spostassero lungo le vie della città. </w:t>
      </w:r>
    </w:p>
    <w:p w14:paraId="14DDD02F" w14:textId="4E16536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sfilata napoletana dei trionfi petrarcheschi si collocò in un clima di crescente interesse della corte aragonese per i modelli letterari fiorentini, concomitante </w:t>
      </w:r>
      <w:r>
        <w:rPr>
          <w:rFonts w:ascii="Times New Roman" w:hAnsi="Times New Roman" w:cs="Times New Roman"/>
          <w:sz w:val="24"/>
          <w:szCs w:val="24"/>
        </w:rPr>
        <w:t>con i</w:t>
      </w:r>
      <w:r w:rsidRPr="00096909">
        <w:rPr>
          <w:rFonts w:ascii="Times New Roman" w:hAnsi="Times New Roman" w:cs="Times New Roman"/>
          <w:sz w:val="24"/>
          <w:szCs w:val="24"/>
        </w:rPr>
        <w:t xml:space="preserve">l progressivo incremento della </w:t>
      </w:r>
      <w:r w:rsidRPr="00096909">
        <w:rPr>
          <w:rFonts w:ascii="Times New Roman" w:hAnsi="Times New Roman" w:cs="Times New Roman"/>
          <w:sz w:val="24"/>
          <w:szCs w:val="24"/>
        </w:rPr>
        <w:lastRenderedPageBreak/>
        <w:t xml:space="preserve">produzione letteraria in volgare che, come accennato, distinse la corte di Ferrante I. Nel 1476 Lorenzo de’ Medici inviò a Federico d’Aragona la celebre </w:t>
      </w:r>
      <w:r w:rsidRPr="00096909">
        <w:rPr>
          <w:rFonts w:ascii="Times New Roman" w:hAnsi="Times New Roman" w:cs="Times New Roman"/>
          <w:i/>
          <w:sz w:val="24"/>
          <w:szCs w:val="24"/>
        </w:rPr>
        <w:t>Raccolta aragonese</w:t>
      </w:r>
      <w:r w:rsidRPr="00096909">
        <w:rPr>
          <w:rFonts w:ascii="Times New Roman" w:hAnsi="Times New Roman" w:cs="Times New Roman"/>
          <w:sz w:val="24"/>
          <w:szCs w:val="24"/>
        </w:rPr>
        <w:t xml:space="preserve">, silloge della migliore poesia toscana del Tre e del Quattrocento, e l’anno seguente </w:t>
      </w:r>
      <w:bookmarkStart w:id="496" w:name="_Hlk536003684"/>
      <w:r w:rsidRPr="00096909">
        <w:rPr>
          <w:rFonts w:ascii="Times New Roman" w:hAnsi="Times New Roman" w:cs="Times New Roman"/>
          <w:sz w:val="24"/>
          <w:szCs w:val="24"/>
        </w:rPr>
        <w:t xml:space="preserve">Arnaldo da Bruxelles </w:t>
      </w:r>
      <w:bookmarkEnd w:id="496"/>
      <w:r w:rsidRPr="00096909">
        <w:rPr>
          <w:rFonts w:ascii="Times New Roman" w:hAnsi="Times New Roman" w:cs="Times New Roman"/>
          <w:sz w:val="24"/>
          <w:szCs w:val="24"/>
        </w:rPr>
        <w:t>stampò la prima edizione napoletana delle opere volgari d</w:t>
      </w:r>
      <w:r w:rsidR="00003C32">
        <w:rPr>
          <w:rFonts w:ascii="Times New Roman" w:hAnsi="Times New Roman" w:cs="Times New Roman"/>
          <w:sz w:val="24"/>
          <w:szCs w:val="24"/>
        </w:rPr>
        <w:t>el</w:t>
      </w:r>
      <w:r w:rsidRPr="00096909">
        <w:rPr>
          <w:rFonts w:ascii="Times New Roman" w:hAnsi="Times New Roman" w:cs="Times New Roman"/>
          <w:sz w:val="24"/>
          <w:szCs w:val="24"/>
        </w:rPr>
        <w:t xml:space="preserve"> Petrarca,</w:t>
      </w:r>
      <w:r w:rsidRPr="00096909">
        <w:rPr>
          <w:rStyle w:val="Rimandonotaapidipagina"/>
          <w:rFonts w:ascii="Times New Roman" w:hAnsi="Times New Roman" w:cs="Times New Roman"/>
          <w:sz w:val="24"/>
          <w:szCs w:val="24"/>
        </w:rPr>
        <w:footnoteReference w:id="732"/>
      </w:r>
      <w:r w:rsidRPr="00096909">
        <w:rPr>
          <w:rFonts w:ascii="Times New Roman" w:hAnsi="Times New Roman" w:cs="Times New Roman"/>
          <w:sz w:val="24"/>
          <w:szCs w:val="24"/>
        </w:rPr>
        <w:t xml:space="preserve"> poeta che influenzò l’anonimo autore di una farsa messa in relazione proprio con le feste nuziali di Beatrice d’Aragona. Il testo non precisa le modalità o l’occasione della </w:t>
      </w:r>
      <w:r>
        <w:rPr>
          <w:rFonts w:ascii="Times New Roman" w:hAnsi="Times New Roman" w:cs="Times New Roman"/>
          <w:sz w:val="24"/>
          <w:szCs w:val="24"/>
        </w:rPr>
        <w:t>propri</w:t>
      </w:r>
      <w:r w:rsidRPr="00096909">
        <w:rPr>
          <w:rFonts w:ascii="Times New Roman" w:hAnsi="Times New Roman" w:cs="Times New Roman"/>
          <w:sz w:val="24"/>
          <w:szCs w:val="24"/>
        </w:rPr>
        <w:t xml:space="preserve">a rappresentazione </w:t>
      </w:r>
      <w:r>
        <w:rPr>
          <w:rFonts w:ascii="Times New Roman" w:hAnsi="Times New Roman" w:cs="Times New Roman"/>
          <w:sz w:val="24"/>
          <w:szCs w:val="24"/>
        </w:rPr>
        <w:t>e si presenta come</w:t>
      </w:r>
      <w:r w:rsidRPr="00096909">
        <w:rPr>
          <w:rFonts w:ascii="Times New Roman" w:hAnsi="Times New Roman" w:cs="Times New Roman"/>
          <w:sz w:val="24"/>
          <w:szCs w:val="24"/>
        </w:rPr>
        <w:t xml:space="preserve"> un dialogo in endecasillabi ricco di citazioni dai </w:t>
      </w:r>
      <w:r w:rsidRPr="00096909">
        <w:rPr>
          <w:rFonts w:ascii="Times New Roman" w:hAnsi="Times New Roman" w:cs="Times New Roman"/>
          <w:i/>
          <w:sz w:val="24"/>
          <w:szCs w:val="24"/>
        </w:rPr>
        <w:t>Trionfi</w:t>
      </w:r>
      <w:r w:rsidRPr="00096909">
        <w:rPr>
          <w:rFonts w:ascii="Times New Roman" w:hAnsi="Times New Roman" w:cs="Times New Roman"/>
          <w:sz w:val="24"/>
          <w:szCs w:val="24"/>
        </w:rPr>
        <w:t>, introdotto da un nunzio celeste, nel quale Apollo, Pulchritudo e Onest</w:t>
      </w:r>
      <w:r w:rsidR="00A3755E">
        <w:rPr>
          <w:rFonts w:ascii="Times New Roman" w:hAnsi="Times New Roman" w:cs="Times New Roman"/>
          <w:sz w:val="24"/>
          <w:szCs w:val="24"/>
        </w:rPr>
        <w:t>à</w:t>
      </w:r>
      <w:bookmarkStart w:id="497" w:name="_GoBack"/>
      <w:bookmarkEnd w:id="497"/>
      <w:r w:rsidRPr="00096909">
        <w:rPr>
          <w:rFonts w:ascii="Times New Roman" w:hAnsi="Times New Roman" w:cs="Times New Roman"/>
          <w:sz w:val="24"/>
          <w:szCs w:val="24"/>
        </w:rPr>
        <w:t xml:space="preserve"> porgono omaggi a una fanciulla che «vera Beatrice dir ti poi / di tutti quanti noi e d' esser quella / che luce pili che stella el tuo sblendore, / degna di tanto honore e tanta fama / che tutto il ciel ti chiama gloriosa».</w:t>
      </w:r>
      <w:r w:rsidRPr="00096909">
        <w:rPr>
          <w:rStyle w:val="Rimandonotaapidipagina"/>
          <w:rFonts w:ascii="Times New Roman" w:hAnsi="Times New Roman" w:cs="Times New Roman"/>
          <w:sz w:val="24"/>
          <w:szCs w:val="24"/>
        </w:rPr>
        <w:footnoteReference w:id="733"/>
      </w:r>
      <w:r w:rsidRPr="00096909">
        <w:rPr>
          <w:rFonts w:ascii="Times New Roman" w:hAnsi="Times New Roman" w:cs="Times New Roman"/>
          <w:sz w:val="24"/>
          <w:szCs w:val="24"/>
        </w:rPr>
        <w:t xml:space="preserve"> </w:t>
      </w:r>
    </w:p>
    <w:p w14:paraId="1C886315"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Come osserva Marzia Pieri, il soggetto allegorico e l’intonazione encomiastica dell’opera lasciano</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supporre che essa </w:t>
      </w:r>
      <w:r w:rsidR="00E06CDE">
        <w:rPr>
          <w:rFonts w:ascii="Times New Roman" w:hAnsi="Times New Roman" w:cs="Times New Roman"/>
          <w:sz w:val="24"/>
          <w:szCs w:val="24"/>
        </w:rPr>
        <w:t>fosse</w:t>
      </w:r>
      <w:r w:rsidRPr="00096909">
        <w:rPr>
          <w:rFonts w:ascii="Times New Roman" w:hAnsi="Times New Roman" w:cs="Times New Roman"/>
          <w:sz w:val="24"/>
          <w:szCs w:val="24"/>
        </w:rPr>
        <w:t xml:space="preserve"> stata composta per una festa in onore di Beatrice,</w:t>
      </w:r>
      <w:r>
        <w:rPr>
          <w:rFonts w:ascii="Times New Roman" w:hAnsi="Times New Roman" w:cs="Times New Roman"/>
          <w:sz w:val="24"/>
          <w:szCs w:val="24"/>
        </w:rPr>
        <w:t xml:space="preserve"> e</w:t>
      </w:r>
      <w:r w:rsidRPr="00096909">
        <w:rPr>
          <w:rFonts w:ascii="Times New Roman" w:hAnsi="Times New Roman" w:cs="Times New Roman"/>
          <w:sz w:val="24"/>
          <w:szCs w:val="24"/>
        </w:rPr>
        <w:t xml:space="preserve"> forse inscenata in uno dei banchetti offerti agli ospiti delle sue nozze, magari con l’uso di ingegni scenici per consentire le apparizioni delle allegorie, o del nunzio celeste o di Apollo.</w:t>
      </w:r>
      <w:r w:rsidRPr="00096909">
        <w:rPr>
          <w:rStyle w:val="Rimandonotaapidipagina"/>
          <w:rFonts w:ascii="Times New Roman" w:hAnsi="Times New Roman" w:cs="Times New Roman"/>
          <w:sz w:val="24"/>
          <w:szCs w:val="24"/>
        </w:rPr>
        <w:footnoteReference w:id="734"/>
      </w:r>
      <w:r w:rsidRPr="00096909">
        <w:rPr>
          <w:rFonts w:ascii="Times New Roman" w:hAnsi="Times New Roman" w:cs="Times New Roman"/>
          <w:sz w:val="24"/>
          <w:szCs w:val="24"/>
        </w:rPr>
        <w:t xml:space="preserve"> Effettivamente, gli apparatori fiorentini dei trionfi petrarcheschi avrebbero potuto predisporre nelle sale di Castel Nuovo anche degli ingegni simili ai paradisi brunelleschiani per uno spettacolo di sala.</w:t>
      </w:r>
    </w:p>
    <w:p w14:paraId="374DE576"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Non essendo pervenuta documentazione in proposito, tutto ciò rimane confinato nel campo </w:t>
      </w:r>
      <w:r>
        <w:rPr>
          <w:rFonts w:ascii="Times New Roman" w:hAnsi="Times New Roman" w:cs="Times New Roman"/>
          <w:sz w:val="24"/>
          <w:szCs w:val="24"/>
        </w:rPr>
        <w:t>congetturale</w:t>
      </w:r>
      <w:r w:rsidRPr="00096909">
        <w:rPr>
          <w:rFonts w:ascii="Times New Roman" w:hAnsi="Times New Roman" w:cs="Times New Roman"/>
          <w:sz w:val="24"/>
          <w:szCs w:val="24"/>
        </w:rPr>
        <w:t>. È certa, invece, un’esportazione della cultura dello spettacolo fiorentino alla corte di Napoli per tramite dell’importante colonia di mercanti, banchieri e artigiani ivi residenti, che il 16 settembre 1477 offrirono a Ferrante I e Giovanna d’Aragona, novelli sposi, un nuovo spettacolo per celebrare il loro</w:t>
      </w:r>
      <w:r>
        <w:rPr>
          <w:rFonts w:ascii="Times New Roman" w:hAnsi="Times New Roman" w:cs="Times New Roman"/>
          <w:sz w:val="24"/>
          <w:szCs w:val="24"/>
        </w:rPr>
        <w:t xml:space="preserve"> sposalizio</w:t>
      </w:r>
      <w:r w:rsidRPr="00096909">
        <w:rPr>
          <w:rFonts w:ascii="Times New Roman" w:hAnsi="Times New Roman" w:cs="Times New Roman"/>
          <w:sz w:val="24"/>
          <w:szCs w:val="24"/>
        </w:rPr>
        <w:t xml:space="preserve">. Al termine della messa </w:t>
      </w:r>
      <w:r>
        <w:rPr>
          <w:rFonts w:ascii="Times New Roman" w:hAnsi="Times New Roman" w:cs="Times New Roman"/>
          <w:sz w:val="24"/>
          <w:szCs w:val="24"/>
        </w:rPr>
        <w:t xml:space="preserve">dell’incoronazione della nuova sovrana, </w:t>
      </w:r>
      <w:r w:rsidRPr="00096909">
        <w:rPr>
          <w:rFonts w:ascii="Times New Roman" w:hAnsi="Times New Roman" w:cs="Times New Roman"/>
          <w:sz w:val="24"/>
          <w:szCs w:val="24"/>
        </w:rPr>
        <w:t>celebrata in Piazza dell’Incoronata:</w:t>
      </w:r>
      <w:r w:rsidRPr="00096909">
        <w:rPr>
          <w:rStyle w:val="Rimandonotaapidipagina"/>
          <w:rFonts w:ascii="Times New Roman" w:hAnsi="Times New Roman" w:cs="Times New Roman"/>
          <w:sz w:val="24"/>
          <w:szCs w:val="24"/>
        </w:rPr>
        <w:footnoteReference w:id="735"/>
      </w:r>
    </w:p>
    <w:p w14:paraId="4268A89F"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4419C3EA" w14:textId="77777777" w:rsidR="00395702" w:rsidRPr="00096909" w:rsidRDefault="00395702" w:rsidP="00395702">
      <w:pPr>
        <w:spacing w:after="0" w:line="360" w:lineRule="auto"/>
        <w:ind w:left="567" w:right="566"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w:t>
      </w:r>
      <w:r w:rsidRPr="00096909">
        <w:rPr>
          <w:rFonts w:ascii="Times New Roman" w:hAnsi="Times New Roman" w:cs="Times New Roman"/>
          <w:sz w:val="20"/>
          <w:szCs w:val="20"/>
        </w:rPr>
        <w:t>Dicti Re e Regina et lo legato de quelli cavalcaro ed andaro al castello novo ad mangiare. A piedi della Regina erano più signori et gentilomini dove venne uno grande gigante et uno Triumpho facto per la nacione fiorentina al quale erano certi fanzulli et si dixero certi versi al catafalcho alli predicti Re et regina</w:t>
      </w:r>
      <w:r w:rsidRPr="00096909">
        <w:rPr>
          <w:rFonts w:ascii="Times New Roman" w:hAnsi="Times New Roman" w:cs="Times New Roman"/>
          <w:sz w:val="24"/>
          <w:szCs w:val="24"/>
        </w:rPr>
        <w:t>.</w:t>
      </w:r>
      <w:r w:rsidRPr="00096909">
        <w:rPr>
          <w:rStyle w:val="Rimandonotaapidipagina"/>
          <w:rFonts w:ascii="Times New Roman" w:hAnsi="Times New Roman" w:cs="Times New Roman"/>
        </w:rPr>
        <w:footnoteReference w:id="736"/>
      </w:r>
      <w:r w:rsidRPr="00096909">
        <w:rPr>
          <w:rFonts w:ascii="Times New Roman" w:hAnsi="Times New Roman" w:cs="Times New Roman"/>
          <w:sz w:val="20"/>
          <w:szCs w:val="20"/>
        </w:rPr>
        <w:t xml:space="preserve"> </w:t>
      </w:r>
    </w:p>
    <w:p w14:paraId="2B7DADEB" w14:textId="77777777" w:rsidR="00395702" w:rsidRPr="00096909" w:rsidRDefault="00395702" w:rsidP="00395702">
      <w:pPr>
        <w:spacing w:after="0" w:line="360" w:lineRule="auto"/>
        <w:ind w:left="567" w:right="566" w:firstLine="397"/>
        <w:jc w:val="both"/>
        <w:rPr>
          <w:rFonts w:ascii="Times New Roman" w:hAnsi="Times New Roman" w:cs="Times New Roman"/>
          <w:sz w:val="24"/>
          <w:szCs w:val="24"/>
        </w:rPr>
      </w:pPr>
    </w:p>
    <w:p w14:paraId="0F85D5E8"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 precedere la venuta del «triumpho» fu in questo caso «uno grande gigante», costruito presumibilmente come uno dei giganti o spiritelli che incedevano per le vie di Firenze nel corso delle contemporanee processioni di san Giovanni.</w:t>
      </w:r>
      <w:r w:rsidRPr="00096909">
        <w:rPr>
          <w:rStyle w:val="Rimandonotaapidipagina"/>
          <w:rFonts w:ascii="Times New Roman" w:hAnsi="Times New Roman" w:cs="Times New Roman"/>
          <w:sz w:val="24"/>
          <w:szCs w:val="24"/>
        </w:rPr>
        <w:footnoteReference w:id="737"/>
      </w:r>
      <w:r w:rsidRPr="00096909">
        <w:rPr>
          <w:rFonts w:ascii="Times New Roman" w:hAnsi="Times New Roman" w:cs="Times New Roman"/>
          <w:sz w:val="24"/>
          <w:szCs w:val="24"/>
        </w:rPr>
        <w:t xml:space="preserve"> Si trattava di figuranti che prendevano parte al corteo camminando su trampoli, abbigliati con lunghissimi abiti e sovente indossando maschere per rappresentare personaggi biblici, profeti, o creature mitologiche, a seconda del soggetto dell’edifizio della processione cui erano accostati.</w:t>
      </w:r>
      <w:r w:rsidRPr="00096909">
        <w:rPr>
          <w:rStyle w:val="Rimandonotaapidipagina"/>
          <w:rFonts w:ascii="Times New Roman" w:hAnsi="Times New Roman" w:cs="Times New Roman"/>
          <w:sz w:val="24"/>
          <w:szCs w:val="24"/>
        </w:rPr>
        <w:footnoteReference w:id="738"/>
      </w:r>
    </w:p>
    <w:p w14:paraId="1C6BEE57"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Nelle edizioni degli ingressi principeschi ispirati a un immaginario classicheggiante questi spiritelli, che avanzando per primi nel corteo ne segnalavano l’arrivo a distanza, potevano assolvere perfettamente il compito delle </w:t>
      </w:r>
      <w:r w:rsidRPr="00096909">
        <w:rPr>
          <w:rFonts w:ascii="Times New Roman" w:hAnsi="Times New Roman" w:cs="Times New Roman"/>
          <w:i/>
          <w:sz w:val="24"/>
          <w:szCs w:val="24"/>
        </w:rPr>
        <w:t xml:space="preserve">petreiae, </w:t>
      </w:r>
      <w:r w:rsidRPr="00096909">
        <w:rPr>
          <w:rFonts w:ascii="Times New Roman" w:hAnsi="Times New Roman" w:cs="Times New Roman"/>
          <w:sz w:val="24"/>
          <w:szCs w:val="24"/>
        </w:rPr>
        <w:t xml:space="preserve">delle </w:t>
      </w:r>
      <w:r w:rsidRPr="00096909">
        <w:rPr>
          <w:rFonts w:ascii="Times New Roman" w:hAnsi="Times New Roman" w:cs="Times New Roman"/>
          <w:i/>
          <w:sz w:val="24"/>
          <w:szCs w:val="24"/>
        </w:rPr>
        <w:t>ciceriae</w:t>
      </w:r>
      <w:r w:rsidRPr="00096909">
        <w:rPr>
          <w:rFonts w:ascii="Times New Roman" w:hAnsi="Times New Roman" w:cs="Times New Roman"/>
          <w:sz w:val="24"/>
          <w:szCs w:val="24"/>
        </w:rPr>
        <w:t xml:space="preserve"> e dei </w:t>
      </w:r>
      <w:r w:rsidRPr="00096909">
        <w:rPr>
          <w:rFonts w:ascii="Times New Roman" w:hAnsi="Times New Roman" w:cs="Times New Roman"/>
          <w:i/>
          <w:sz w:val="24"/>
          <w:szCs w:val="24"/>
        </w:rPr>
        <w:t>manduci</w:t>
      </w:r>
      <w:r w:rsidRPr="00096909">
        <w:rPr>
          <w:rFonts w:ascii="Times New Roman" w:hAnsi="Times New Roman" w:cs="Times New Roman"/>
          <w:sz w:val="24"/>
          <w:szCs w:val="24"/>
        </w:rPr>
        <w:t xml:space="preserve"> descritt</w:t>
      </w:r>
      <w:r>
        <w:rPr>
          <w:rFonts w:ascii="Times New Roman" w:hAnsi="Times New Roman" w:cs="Times New Roman"/>
          <w:sz w:val="24"/>
          <w:szCs w:val="24"/>
        </w:rPr>
        <w:t>i</w:t>
      </w:r>
      <w:r w:rsidRPr="00096909">
        <w:rPr>
          <w:rFonts w:ascii="Times New Roman" w:hAnsi="Times New Roman" w:cs="Times New Roman"/>
          <w:sz w:val="24"/>
          <w:szCs w:val="24"/>
        </w:rPr>
        <w:t xml:space="preserve"> nel libro X della </w:t>
      </w:r>
      <w:r w:rsidRPr="00096909">
        <w:rPr>
          <w:rFonts w:ascii="Times New Roman" w:hAnsi="Times New Roman" w:cs="Times New Roman"/>
          <w:i/>
          <w:sz w:val="24"/>
          <w:szCs w:val="24"/>
        </w:rPr>
        <w:t>Roma triumphans</w:t>
      </w:r>
      <w:r w:rsidRPr="00096909">
        <w:rPr>
          <w:rFonts w:ascii="Times New Roman" w:hAnsi="Times New Roman" w:cs="Times New Roman"/>
          <w:sz w:val="24"/>
          <w:szCs w:val="24"/>
        </w:rPr>
        <w:t xml:space="preserve"> all’interno della sfilata della </w:t>
      </w:r>
      <w:r w:rsidRPr="00096909">
        <w:rPr>
          <w:rFonts w:ascii="Times New Roman" w:hAnsi="Times New Roman" w:cs="Times New Roman"/>
          <w:i/>
          <w:sz w:val="24"/>
          <w:szCs w:val="24"/>
        </w:rPr>
        <w:t>pompa circensis</w:t>
      </w:r>
      <w:r w:rsidRPr="00096909">
        <w:rPr>
          <w:rFonts w:ascii="Times New Roman" w:hAnsi="Times New Roman" w:cs="Times New Roman"/>
          <w:sz w:val="24"/>
          <w:szCs w:val="24"/>
        </w:rPr>
        <w:t xml:space="preserve">. Così accadeva, infatti, nell’entrata a Milano di Isabella d’Aragona descritta da Stefano Dolcino: </w:t>
      </w:r>
    </w:p>
    <w:p w14:paraId="73A336E6" w14:textId="77777777" w:rsidR="00395702" w:rsidRPr="00096909" w:rsidRDefault="00395702" w:rsidP="00395702">
      <w:pPr>
        <w:spacing w:after="0" w:line="360" w:lineRule="auto"/>
        <w:ind w:right="-1"/>
        <w:jc w:val="both"/>
        <w:rPr>
          <w:rFonts w:ascii="Times New Roman" w:hAnsi="Times New Roman" w:cs="Times New Roman"/>
          <w:sz w:val="24"/>
          <w:szCs w:val="24"/>
        </w:rPr>
      </w:pPr>
    </w:p>
    <w:p w14:paraId="577E17B4" w14:textId="77777777" w:rsidR="00395702" w:rsidRPr="00096909" w:rsidRDefault="00395702" w:rsidP="00395702">
      <w:pPr>
        <w:spacing w:after="0" w:line="360" w:lineRule="auto"/>
        <w:ind w:left="567" w:right="851" w:firstLine="397"/>
        <w:jc w:val="both"/>
        <w:rPr>
          <w:rFonts w:ascii="Times New Roman" w:hAnsi="Times New Roman" w:cs="Times New Roman"/>
          <w:sz w:val="20"/>
          <w:szCs w:val="20"/>
        </w:rPr>
      </w:pPr>
      <w:r w:rsidRPr="00096909">
        <w:rPr>
          <w:rFonts w:ascii="Times New Roman" w:hAnsi="Times New Roman" w:cs="Times New Roman"/>
          <w:i/>
          <w:sz w:val="20"/>
          <w:szCs w:val="20"/>
        </w:rPr>
        <w:t>Ad avertendum vulgi concursum, deformes ex panno, papyraceisve tegumentis effigies loquaces set ridiculae vagabantur, quae ore immaniter dehiscentes, crepitanti dentium sonitu, anilis ebrietatis vesania spectatores terrebant. Tales apud Romanos in Circensium Pompa Petreias, Cicerias, Manducos fuisse putamus</w:t>
      </w:r>
      <w:r w:rsidRPr="00096909">
        <w:rPr>
          <w:rFonts w:ascii="Times New Roman" w:hAnsi="Times New Roman" w:cs="Times New Roman"/>
          <w:sz w:val="20"/>
          <w:szCs w:val="20"/>
        </w:rPr>
        <w:t>.</w:t>
      </w:r>
      <w:r w:rsidRPr="00096909">
        <w:rPr>
          <w:rStyle w:val="Rimandonotaapidipagina"/>
          <w:rFonts w:ascii="Times New Roman" w:hAnsi="Times New Roman" w:cs="Times New Roman"/>
        </w:rPr>
        <w:footnoteReference w:id="739"/>
      </w:r>
    </w:p>
    <w:p w14:paraId="1B6041DD" w14:textId="77777777" w:rsidR="00395702" w:rsidRPr="00096909" w:rsidRDefault="00395702" w:rsidP="00395702">
      <w:pPr>
        <w:tabs>
          <w:tab w:val="left" w:pos="0"/>
        </w:tabs>
        <w:spacing w:after="0" w:line="360" w:lineRule="auto"/>
        <w:ind w:right="-1"/>
        <w:jc w:val="both"/>
        <w:rPr>
          <w:rFonts w:ascii="Times New Roman" w:hAnsi="Times New Roman" w:cs="Times New Roman"/>
          <w:sz w:val="24"/>
          <w:szCs w:val="24"/>
        </w:rPr>
      </w:pPr>
    </w:p>
    <w:p w14:paraId="56CB7D39"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Da Firenze, giganti, spiritelli ed edifizi furono dunque esportati presso le corti italiane del Quattrocento per popolare i trionf</w:t>
      </w:r>
      <w:r>
        <w:rPr>
          <w:rFonts w:ascii="Times New Roman" w:hAnsi="Times New Roman" w:cs="Times New Roman"/>
          <w:sz w:val="24"/>
          <w:szCs w:val="24"/>
        </w:rPr>
        <w:t>i</w:t>
      </w:r>
      <w:r w:rsidRPr="00096909">
        <w:rPr>
          <w:rFonts w:ascii="Times New Roman" w:hAnsi="Times New Roman" w:cs="Times New Roman"/>
          <w:sz w:val="24"/>
          <w:szCs w:val="24"/>
        </w:rPr>
        <w:t xml:space="preserve"> classic</w:t>
      </w:r>
      <w:r>
        <w:rPr>
          <w:rFonts w:ascii="Times New Roman" w:hAnsi="Times New Roman" w:cs="Times New Roman"/>
          <w:sz w:val="24"/>
          <w:szCs w:val="24"/>
        </w:rPr>
        <w:t>i</w:t>
      </w:r>
      <w:r w:rsidRPr="00096909">
        <w:rPr>
          <w:rFonts w:ascii="Times New Roman" w:hAnsi="Times New Roman" w:cs="Times New Roman"/>
          <w:sz w:val="24"/>
          <w:szCs w:val="24"/>
        </w:rPr>
        <w:t xml:space="preserve"> e cortigian</w:t>
      </w:r>
      <w:r>
        <w:rPr>
          <w:rFonts w:ascii="Times New Roman" w:hAnsi="Times New Roman" w:cs="Times New Roman"/>
          <w:sz w:val="24"/>
          <w:szCs w:val="24"/>
        </w:rPr>
        <w:t>i</w:t>
      </w:r>
      <w:r w:rsidRPr="00096909">
        <w:rPr>
          <w:rFonts w:ascii="Times New Roman" w:hAnsi="Times New Roman" w:cs="Times New Roman"/>
          <w:sz w:val="24"/>
          <w:szCs w:val="24"/>
        </w:rPr>
        <w:t xml:space="preserve"> delle spose. </w:t>
      </w:r>
    </w:p>
    <w:p w14:paraId="578FC78D"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Dagli anni Settanta del secolo la presenza delle meraviglie spettacolari fiorentine nelle sfilate nuziali finì co</w:t>
      </w:r>
      <w:r>
        <w:rPr>
          <w:rFonts w:ascii="Times New Roman" w:hAnsi="Times New Roman" w:cs="Times New Roman"/>
          <w:sz w:val="24"/>
          <w:szCs w:val="24"/>
        </w:rPr>
        <w:t>l</w:t>
      </w:r>
      <w:r w:rsidRPr="00096909">
        <w:rPr>
          <w:rFonts w:ascii="Times New Roman" w:hAnsi="Times New Roman" w:cs="Times New Roman"/>
          <w:sz w:val="24"/>
          <w:szCs w:val="24"/>
        </w:rPr>
        <w:t xml:space="preserve"> ris</w:t>
      </w:r>
      <w:r>
        <w:rPr>
          <w:rFonts w:ascii="Times New Roman" w:hAnsi="Times New Roman" w:cs="Times New Roman"/>
          <w:sz w:val="24"/>
          <w:szCs w:val="24"/>
        </w:rPr>
        <w:t>u</w:t>
      </w:r>
      <w:r w:rsidRPr="00096909">
        <w:rPr>
          <w:rFonts w:ascii="Times New Roman" w:hAnsi="Times New Roman" w:cs="Times New Roman"/>
          <w:sz w:val="24"/>
          <w:szCs w:val="24"/>
        </w:rPr>
        <w:t xml:space="preserve">ltare usuale, tanto che ai cronisti ufficiali delle feste bastava ricorrere a espressioni come “alla maniera di Firenze”, “alla fiorentina” o “more florentino” per far comprendere ai loro lettori quali spettacoli avessero ammirato.   </w:t>
      </w:r>
    </w:p>
    <w:p w14:paraId="41E74FE1"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primo maggio 1477 Caterina Sforza, figlia naturale del duca Galeazzo Maria e di Lucrezia Landriani, entrò solennemente a Imola quale sposa del conte Girolamo Riario. Nel 1472 Sisto IV aveva acquistato dal duca la signoria della città, promettendo le nozze di suo nipote Girolamo, destinato a divenirne il governatore, con Caterina, all’epoca decenne. Lo sposalizio si inseriva dunque in un piano di consolidamento tanto dell’autorità pontificia quanto di quella sforzesca sulle </w:t>
      </w:r>
      <w:r w:rsidRPr="00096909">
        <w:rPr>
          <w:rFonts w:ascii="Times New Roman" w:hAnsi="Times New Roman" w:cs="Times New Roman"/>
          <w:sz w:val="24"/>
          <w:szCs w:val="24"/>
        </w:rPr>
        <w:lastRenderedPageBreak/>
        <w:t>terre della Romagna.</w:t>
      </w:r>
      <w:r w:rsidRPr="00096909">
        <w:rPr>
          <w:rStyle w:val="Rimandonotaapidipagina"/>
          <w:rFonts w:ascii="Times New Roman" w:hAnsi="Times New Roman" w:cs="Times New Roman"/>
          <w:sz w:val="24"/>
          <w:szCs w:val="24"/>
        </w:rPr>
        <w:footnoteReference w:id="740"/>
      </w:r>
      <w:r w:rsidRPr="00096909">
        <w:rPr>
          <w:rFonts w:ascii="Times New Roman" w:hAnsi="Times New Roman" w:cs="Times New Roman"/>
          <w:sz w:val="24"/>
          <w:szCs w:val="24"/>
        </w:rPr>
        <w:t xml:space="preserve"> Dopo l’assassinio dello Sforza, Bona di Savoia, temendo per la stabilità delle alleanze politiche intessute dal suo defunto marito, si adoperò affinché lo sposalizio fosse celermente attuato. Il 24 aprile 1477 iniziava così il viaggio della giovane sposa in direzione di Roma, dove Girolamo risiedeva stabilmente quale membro della corte pontificia. </w:t>
      </w:r>
    </w:p>
    <w:p w14:paraId="61F0348A"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duchessa reggente Bona volle che alla delegazione milanese, che avrebbe attraversato la Penisola per assistere alle nozze, partecipasse il diplomatico Gianluigi Bossi, e</w:t>
      </w:r>
      <w:r>
        <w:rPr>
          <w:rFonts w:ascii="Times New Roman" w:hAnsi="Times New Roman" w:cs="Times New Roman"/>
          <w:sz w:val="24"/>
          <w:szCs w:val="24"/>
        </w:rPr>
        <w:t xml:space="preserve"> lo</w:t>
      </w:r>
      <w:r w:rsidRPr="00096909">
        <w:rPr>
          <w:rFonts w:ascii="Times New Roman" w:hAnsi="Times New Roman" w:cs="Times New Roman"/>
          <w:sz w:val="24"/>
          <w:szCs w:val="24"/>
        </w:rPr>
        <w:t xml:space="preserve"> incaricò di informare puntualmente </w:t>
      </w:r>
      <w:r>
        <w:rPr>
          <w:rFonts w:ascii="Times New Roman" w:hAnsi="Times New Roman" w:cs="Times New Roman"/>
          <w:sz w:val="24"/>
          <w:szCs w:val="24"/>
        </w:rPr>
        <w:t>su</w:t>
      </w:r>
      <w:r w:rsidRPr="00096909">
        <w:rPr>
          <w:rFonts w:ascii="Times New Roman" w:hAnsi="Times New Roman" w:cs="Times New Roman"/>
          <w:sz w:val="24"/>
          <w:szCs w:val="24"/>
        </w:rPr>
        <w:t xml:space="preserve"> tutte le accoglienze tributate a Caterina durante le tappe dell’itinerario e soprattutto </w:t>
      </w:r>
      <w:r>
        <w:rPr>
          <w:rFonts w:ascii="Times New Roman" w:hAnsi="Times New Roman" w:cs="Times New Roman"/>
          <w:sz w:val="24"/>
          <w:szCs w:val="24"/>
        </w:rPr>
        <w:t>su</w:t>
      </w:r>
      <w:r w:rsidRPr="00096909">
        <w:rPr>
          <w:rFonts w:ascii="Times New Roman" w:hAnsi="Times New Roman" w:cs="Times New Roman"/>
          <w:sz w:val="24"/>
          <w:szCs w:val="24"/>
        </w:rPr>
        <w:t xml:space="preserve">lla loro qualità e </w:t>
      </w:r>
      <w:r>
        <w:rPr>
          <w:rFonts w:ascii="Times New Roman" w:hAnsi="Times New Roman" w:cs="Times New Roman"/>
          <w:sz w:val="24"/>
          <w:szCs w:val="24"/>
        </w:rPr>
        <w:t>su</w:t>
      </w:r>
      <w:r w:rsidRPr="00096909">
        <w:rPr>
          <w:rFonts w:ascii="Times New Roman" w:hAnsi="Times New Roman" w:cs="Times New Roman"/>
          <w:sz w:val="24"/>
          <w:szCs w:val="24"/>
        </w:rPr>
        <w:t>l loro sfarzo, che temeva ridimensionati in ragione del momento di difficoltà politica attraversato dal ducato milanese.</w:t>
      </w:r>
      <w:r w:rsidRPr="00096909">
        <w:rPr>
          <w:rStyle w:val="Rimandonotaapidipagina"/>
          <w:rFonts w:ascii="Times New Roman" w:hAnsi="Times New Roman" w:cs="Times New Roman"/>
          <w:sz w:val="24"/>
          <w:szCs w:val="24"/>
        </w:rPr>
        <w:footnoteReference w:id="741"/>
      </w:r>
      <w:r w:rsidRPr="00096909">
        <w:rPr>
          <w:rFonts w:ascii="Times New Roman" w:hAnsi="Times New Roman" w:cs="Times New Roman"/>
          <w:sz w:val="24"/>
          <w:szCs w:val="24"/>
        </w:rPr>
        <w:t xml:space="preserve"> Lo stesso compito venne assegnato anche ai «</w:t>
      </w:r>
      <w:r w:rsidRPr="00096909">
        <w:rPr>
          <w:rFonts w:ascii="Times New Roman" w:hAnsi="Times New Roman" w:cs="Times New Roman"/>
          <w:i/>
          <w:sz w:val="24"/>
          <w:szCs w:val="24"/>
        </w:rPr>
        <w:t>servitores aulici et consocii Illustrissimae dominae Caterinae</w:t>
      </w:r>
      <w:r w:rsidRPr="00096909">
        <w:rPr>
          <w:rFonts w:ascii="Times New Roman" w:hAnsi="Times New Roman" w:cs="Times New Roman"/>
          <w:sz w:val="24"/>
          <w:szCs w:val="24"/>
        </w:rPr>
        <w:t xml:space="preserve">» che firmarono due missive indirizzate alla duchessa con il racconto dei festeggiamenti organizzati a Imola e a Roma. </w:t>
      </w:r>
    </w:p>
    <w:p w14:paraId="571C8F1D"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Dalla lettura comparata di queste due fonti si apprendono dunque molte informazioni sullo svolgimento degli spettacoli allestiti per l’occasione. In merito all’ingresso ad Imola, i </w:t>
      </w:r>
      <w:r w:rsidRPr="00096909">
        <w:rPr>
          <w:rFonts w:ascii="Times New Roman" w:hAnsi="Times New Roman" w:cs="Times New Roman"/>
          <w:i/>
          <w:sz w:val="24"/>
          <w:szCs w:val="24"/>
        </w:rPr>
        <w:t>servitores aulici</w:t>
      </w:r>
      <w:r w:rsidRPr="00096909">
        <w:rPr>
          <w:rFonts w:ascii="Times New Roman" w:hAnsi="Times New Roman" w:cs="Times New Roman"/>
          <w:sz w:val="24"/>
          <w:szCs w:val="24"/>
        </w:rPr>
        <w:t xml:space="preserve"> scrissero che la sposa, cambiatasi d’abito presso il vicino castello di San Giorgio, si avviò in corteo fino alle porte della città, dove: </w:t>
      </w:r>
    </w:p>
    <w:p w14:paraId="7DAB2479" w14:textId="77777777" w:rsidR="00395702" w:rsidRPr="00096909" w:rsidRDefault="00395702" w:rsidP="00395702">
      <w:pPr>
        <w:tabs>
          <w:tab w:val="left" w:pos="0"/>
        </w:tabs>
        <w:spacing w:after="0" w:line="360" w:lineRule="auto"/>
        <w:ind w:right="-1"/>
        <w:jc w:val="both"/>
        <w:rPr>
          <w:rFonts w:ascii="Times New Roman" w:hAnsi="Times New Roman" w:cs="Times New Roman"/>
          <w:sz w:val="24"/>
          <w:szCs w:val="24"/>
        </w:rPr>
      </w:pPr>
    </w:p>
    <w:p w14:paraId="29A3271A"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Insieme con li anziani de la terra quali le presentarono le chiavi et li diseno alcune parole intrando la terra la sua S. et con lei la compagnia se fece uno puoco di intermissione solo per vedere et audire alcuni versi et representatione al modo di Fiorenza, et parecchie se ne fecero da l'intrare de la terra fin a la scala del palazo, che tucti erano in laude de la Ex. V. sue et del Conte Yeronimo. </w:t>
      </w:r>
    </w:p>
    <w:p w14:paraId="731FCEB5"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Era la terra molto bene ornata, et le vìe tute coperte in mod</w:t>
      </w:r>
      <w:r>
        <w:rPr>
          <w:rFonts w:ascii="Times New Roman" w:hAnsi="Times New Roman" w:cs="Times New Roman"/>
          <w:sz w:val="20"/>
          <w:szCs w:val="20"/>
        </w:rPr>
        <w:t>o</w:t>
      </w:r>
      <w:r w:rsidRPr="00096909">
        <w:rPr>
          <w:rFonts w:ascii="Times New Roman" w:hAnsi="Times New Roman" w:cs="Times New Roman"/>
          <w:sz w:val="20"/>
          <w:szCs w:val="20"/>
        </w:rPr>
        <w:t xml:space="preserve"> che era una gran gentileza a vederla.</w:t>
      </w:r>
      <w:r w:rsidRPr="00096909">
        <w:rPr>
          <w:rStyle w:val="Rimandonotaapidipagina"/>
          <w:rFonts w:ascii="Times New Roman" w:hAnsi="Times New Roman" w:cs="Times New Roman"/>
        </w:rPr>
        <w:footnoteReference w:id="742"/>
      </w:r>
      <w:r w:rsidRPr="00096909">
        <w:rPr>
          <w:rFonts w:ascii="Times New Roman" w:hAnsi="Times New Roman" w:cs="Times New Roman"/>
          <w:sz w:val="20"/>
          <w:szCs w:val="20"/>
        </w:rPr>
        <w:t xml:space="preserve"> </w:t>
      </w:r>
    </w:p>
    <w:p w14:paraId="2649F3C9" w14:textId="77777777" w:rsidR="00395702" w:rsidRPr="00096909" w:rsidRDefault="00395702" w:rsidP="00395702">
      <w:pPr>
        <w:tabs>
          <w:tab w:val="left" w:pos="567"/>
        </w:tabs>
        <w:spacing w:after="0" w:line="360" w:lineRule="auto"/>
        <w:ind w:right="566"/>
        <w:jc w:val="both"/>
        <w:rPr>
          <w:rFonts w:ascii="Times New Roman" w:hAnsi="Times New Roman" w:cs="Times New Roman"/>
          <w:sz w:val="20"/>
          <w:szCs w:val="20"/>
        </w:rPr>
      </w:pPr>
    </w:p>
    <w:p w14:paraId="7E1A2D93" w14:textId="77777777" w:rsidR="00395702" w:rsidRPr="00096909" w:rsidRDefault="00395702" w:rsidP="00395702">
      <w:pPr>
        <w:tabs>
          <w:tab w:val="left" w:pos="567"/>
        </w:tabs>
        <w:spacing w:after="0" w:line="360" w:lineRule="auto"/>
        <w:ind w:right="567"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La lettera di Gianluigi Bossi fornisce qualche dettaglio in più sull’addobbo urbano di Imola: </w:t>
      </w:r>
    </w:p>
    <w:p w14:paraId="4D534C26" w14:textId="77777777" w:rsidR="00395702" w:rsidRPr="00096909" w:rsidRDefault="00395702" w:rsidP="00395702">
      <w:pPr>
        <w:tabs>
          <w:tab w:val="left" w:pos="567"/>
        </w:tabs>
        <w:spacing w:after="0" w:line="360" w:lineRule="auto"/>
        <w:ind w:right="566"/>
        <w:jc w:val="both"/>
        <w:rPr>
          <w:rFonts w:ascii="Times New Roman" w:hAnsi="Times New Roman" w:cs="Times New Roman"/>
          <w:sz w:val="20"/>
          <w:szCs w:val="20"/>
        </w:rPr>
      </w:pPr>
    </w:p>
    <w:p w14:paraId="0F9D2F71" w14:textId="77777777" w:rsidR="00395702" w:rsidRPr="00096909" w:rsidRDefault="00395702" w:rsidP="00395702">
      <w:pPr>
        <w:tabs>
          <w:tab w:val="left" w:pos="567"/>
        </w:tabs>
        <w:spacing w:after="0" w:line="360" w:lineRule="auto"/>
        <w:ind w:left="709" w:right="567" w:firstLine="397"/>
        <w:jc w:val="both"/>
        <w:rPr>
          <w:rFonts w:ascii="Times New Roman" w:hAnsi="Times New Roman" w:cs="Times New Roman"/>
          <w:sz w:val="20"/>
          <w:szCs w:val="20"/>
        </w:rPr>
      </w:pPr>
      <w:r w:rsidRPr="00096909">
        <w:rPr>
          <w:rFonts w:ascii="Times New Roman" w:hAnsi="Times New Roman" w:cs="Times New Roman"/>
          <w:sz w:val="20"/>
          <w:szCs w:val="20"/>
        </w:rPr>
        <w:t>Tuta la via da la porta al palazo che glie uno bon pezo, era coperta cum tante arme papale ducale et del conte Hieronymo poste in certi fusi sive grilande fate al antigha, dove gli erano alcuni puti conzegnati che a certi passi cantareno versi et soneti cum tropo bono acto et singulare maynera.</w:t>
      </w:r>
      <w:r w:rsidRPr="00096909">
        <w:rPr>
          <w:rStyle w:val="Rimandonotaapidipagina"/>
          <w:rFonts w:ascii="Times New Roman" w:hAnsi="Times New Roman" w:cs="Times New Roman"/>
        </w:rPr>
        <w:footnoteReference w:id="743"/>
      </w:r>
    </w:p>
    <w:p w14:paraId="1C31A92A" w14:textId="77777777" w:rsidR="00395702" w:rsidRPr="00096909" w:rsidRDefault="00395702" w:rsidP="00395702">
      <w:pPr>
        <w:tabs>
          <w:tab w:val="left" w:pos="0"/>
        </w:tabs>
        <w:spacing w:after="0" w:line="360" w:lineRule="auto"/>
        <w:ind w:right="-1"/>
        <w:jc w:val="both"/>
        <w:rPr>
          <w:rFonts w:ascii="Times New Roman" w:hAnsi="Times New Roman" w:cs="Times New Roman"/>
          <w:sz w:val="24"/>
          <w:szCs w:val="24"/>
        </w:rPr>
      </w:pPr>
    </w:p>
    <w:p w14:paraId="3833830E"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Unendo i dati apprendiamo che, su un percorso viario ornato dai consueti festoni di fiori e verzura, cui furono appesi gli stemmi di Sisto IV, degli Sforza e di Girolamo Riario, apparvero alcuni «puti conzegnati», interpreti delle «representatione al modo di Fiorenza». Penso si possa ipotizzare che i puti, per essere “conzegnati”, fossero stati fatti salire su degli edifizi, magari dotati persino di ingegni, così che la loro performance apparisse</w:t>
      </w:r>
      <w:r w:rsidR="003279F9">
        <w:rPr>
          <w:rFonts w:ascii="Times New Roman" w:hAnsi="Times New Roman" w:cs="Times New Roman"/>
          <w:sz w:val="24"/>
          <w:szCs w:val="24"/>
        </w:rPr>
        <w:t xml:space="preserve"> “conzegnata”</w:t>
      </w:r>
      <w:r w:rsidRPr="00096909">
        <w:rPr>
          <w:rFonts w:ascii="Times New Roman" w:hAnsi="Times New Roman" w:cs="Times New Roman"/>
          <w:sz w:val="24"/>
          <w:szCs w:val="24"/>
        </w:rPr>
        <w:t xml:space="preserve"> «al modo di Fiorenza», ammettendo che con tale espressione i </w:t>
      </w:r>
      <w:r w:rsidRPr="00096909">
        <w:rPr>
          <w:rFonts w:ascii="Times New Roman" w:hAnsi="Times New Roman" w:cs="Times New Roman"/>
          <w:i/>
          <w:sz w:val="24"/>
          <w:szCs w:val="24"/>
        </w:rPr>
        <w:t>servitores aulici</w:t>
      </w:r>
      <w:r w:rsidRPr="00096909">
        <w:rPr>
          <w:rFonts w:ascii="Times New Roman" w:hAnsi="Times New Roman" w:cs="Times New Roman"/>
          <w:sz w:val="24"/>
          <w:szCs w:val="24"/>
        </w:rPr>
        <w:t xml:space="preserve"> intendessero richiamarsi alla cultura spettacolare degli ingegni del San Giovanni fiorentino e ai loro meccanismi ascensionali. Come detto, a quest’altezza cronologica tale tipologia di apparati era stata ampiamente esportata, tanto che gli informatori sforzeschi erano certi che i loro cenni sarebbero bastati a Bona di Savoia per farsi un’idea del trionfo e delle sue maniere fiorentine.</w:t>
      </w:r>
    </w:p>
    <w:p w14:paraId="2B377EE9"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Prima di concludere questa rassegna di esempi di carri trionfali predisposti per matrimoni principeschi vorrei soffermarmi un poco sulla sfilata grandiosa che il primo gennaio 1502 attraversò Piazza San Pietro per onorare Lucrezia Borgia, strutturata secondo un programma iconografico particolarmente sofisticato. </w:t>
      </w:r>
    </w:p>
    <w:p w14:paraId="0B0C8DC9"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Per le nozze di sua figlia, Alessandro VI volle che si anticipassero i festeggiamenti di carnevale e i tradizionali cortei con carri allestiti dai quartieri di Agone e Testaccio, così da sorprendere con spettacoli sfarzosi i membri dell’ambasceria ferrarese giunti nell’Urbe per assistere all</w:t>
      </w:r>
      <w:r>
        <w:rPr>
          <w:rFonts w:ascii="Times New Roman" w:hAnsi="Times New Roman" w:cs="Times New Roman"/>
          <w:sz w:val="24"/>
          <w:szCs w:val="24"/>
        </w:rPr>
        <w:t xml:space="preserve">o sposalizio </w:t>
      </w:r>
      <w:r w:rsidRPr="00096909">
        <w:rPr>
          <w:rFonts w:ascii="Times New Roman" w:hAnsi="Times New Roman" w:cs="Times New Roman"/>
          <w:sz w:val="24"/>
          <w:szCs w:val="24"/>
        </w:rPr>
        <w:t>per procura.</w:t>
      </w:r>
      <w:r w:rsidRPr="00096909">
        <w:rPr>
          <w:rStyle w:val="Rimandonotaapidipagina"/>
          <w:rFonts w:ascii="Times New Roman" w:hAnsi="Times New Roman" w:cs="Times New Roman"/>
          <w:sz w:val="24"/>
          <w:szCs w:val="24"/>
        </w:rPr>
        <w:footnoteReference w:id="744"/>
      </w:r>
      <w:r w:rsidRPr="00096909">
        <w:rPr>
          <w:rFonts w:ascii="Times New Roman" w:hAnsi="Times New Roman" w:cs="Times New Roman"/>
          <w:sz w:val="24"/>
          <w:szCs w:val="24"/>
        </w:rPr>
        <w:t xml:space="preserve"> Il primo gennaio 1502, al termine di una cruenta caccia alle bufale e di una corrida nella quale lo stesso duca Valentino mostrò la sua agilità nel fronteggiare i tori, si ammirò dunque in Piazza San Pietro un meraviglioso trionfo classico, così descritto da Bernardino Prosperi: </w:t>
      </w:r>
    </w:p>
    <w:p w14:paraId="7BA80306"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p>
    <w:p w14:paraId="7789076B" w14:textId="77777777" w:rsidR="00395702" w:rsidRPr="00096909" w:rsidRDefault="00395702" w:rsidP="00395702">
      <w:pPr>
        <w:tabs>
          <w:tab w:val="left" w:pos="567"/>
          <w:tab w:val="left" w:pos="9072"/>
        </w:tabs>
        <w:spacing w:after="0" w:line="360" w:lineRule="auto"/>
        <w:ind w:left="397" w:right="566" w:firstLine="397"/>
        <w:jc w:val="both"/>
        <w:rPr>
          <w:rFonts w:ascii="Times New Roman" w:hAnsi="Times New Roman" w:cs="Times New Roman"/>
          <w:sz w:val="20"/>
          <w:szCs w:val="20"/>
        </w:rPr>
      </w:pPr>
      <w:r w:rsidRPr="00096909">
        <w:rPr>
          <w:rFonts w:ascii="Times New Roman" w:hAnsi="Times New Roman" w:cs="Times New Roman"/>
          <w:sz w:val="20"/>
          <w:szCs w:val="20"/>
        </w:rPr>
        <w:lastRenderedPageBreak/>
        <w:t>Doppo venero 13 carri triomphali ornatissimi, l’uno un poco discosto da l’altro, et cadauno era tirato da due cavali da l’artiglieria: sopra il primo gli era solum uno Hercule che sonava uno corno, come è quello che è in Campidoglio; sopra il secondo li dui cavali a similitudine de quelli de Montecavallo, sul terzo dui bovi, che fecero il sulco che circondoe Roma, sul quarto una cita, sul quinto uno tropheo con molte spoglie, sul sesto uno cavallo a similitudine di quello di sancto Giovanne Laterano con quello re a piedi, li altri penoltimi pur con simile ostensione, in li tri ultimi Cesare a cavallo sopra uno e con li altri dui carri apresso, cioè a latere, con le gratie e doppo essi carri seguivano li soldati richi della depredatione e summissione dele cità acquistate a lo imperio, li quali erano la famiglia di questo illustrissimo signor duca, cioè circa 25 cavalli grossi belli imbardati e con sopraveste honorevole, poi circa 100 cavalli zaniti e ciciliani forniti di raso incarnato e beretino e li homini de brochato d’oro e veluto con calce de beretino e incarnato, galante certo.</w:t>
      </w:r>
      <w:r w:rsidRPr="00096909">
        <w:rPr>
          <w:rStyle w:val="Rimandonotaapidipagina"/>
          <w:rFonts w:ascii="Times New Roman" w:hAnsi="Times New Roman" w:cs="Times New Roman"/>
        </w:rPr>
        <w:footnoteReference w:id="745"/>
      </w:r>
      <w:r w:rsidRPr="00096909">
        <w:rPr>
          <w:rFonts w:ascii="Times New Roman" w:hAnsi="Times New Roman" w:cs="Times New Roman"/>
          <w:sz w:val="20"/>
          <w:szCs w:val="20"/>
        </w:rPr>
        <w:t xml:space="preserve">  </w:t>
      </w:r>
    </w:p>
    <w:p w14:paraId="5EEE9904"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p>
    <w:p w14:paraId="0271261E"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testimonianza del corrispondente mantovano è ricca e dettagliata. Non solo egli indicò a Isabella d’Este il numero e il soggetto dei carri, ma si preoccupò di specificare come essi fossero giunti sulla piazza trainati da coppie di cavalli e come a chiudere la sfilata fosse stata una pomposa parata di </w:t>
      </w:r>
      <w:r w:rsidRPr="00096909">
        <w:rPr>
          <w:rFonts w:ascii="Times New Roman" w:hAnsi="Times New Roman" w:cs="Times New Roman"/>
          <w:i/>
          <w:sz w:val="24"/>
          <w:szCs w:val="24"/>
        </w:rPr>
        <w:t>milites</w:t>
      </w:r>
      <w:r w:rsidRPr="00096909">
        <w:rPr>
          <w:rFonts w:ascii="Times New Roman" w:hAnsi="Times New Roman" w:cs="Times New Roman"/>
          <w:sz w:val="24"/>
          <w:szCs w:val="24"/>
        </w:rPr>
        <w:t xml:space="preserve"> prigionieri delle guerre di Roma, impersonati dai soldati del Valentino. </w:t>
      </w:r>
    </w:p>
    <w:p w14:paraId="49D00372"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w:t>
      </w:r>
      <w:r w:rsidRPr="00096909">
        <w:rPr>
          <w:rFonts w:ascii="Times New Roman" w:hAnsi="Times New Roman" w:cs="Times New Roman"/>
          <w:i/>
          <w:sz w:val="24"/>
          <w:szCs w:val="24"/>
        </w:rPr>
        <w:t>triumphus</w:t>
      </w:r>
      <w:r w:rsidRPr="00096909">
        <w:rPr>
          <w:rFonts w:ascii="Times New Roman" w:hAnsi="Times New Roman" w:cs="Times New Roman"/>
          <w:sz w:val="24"/>
          <w:szCs w:val="24"/>
        </w:rPr>
        <w:t xml:space="preserve"> militare romano, interpretato dagli uomini del Borgia, era stato dunque compiutamente rievocato.</w:t>
      </w:r>
      <w:r w:rsidRPr="00096909">
        <w:rPr>
          <w:rStyle w:val="Rimandonotaapidipagina"/>
          <w:rFonts w:ascii="Times New Roman" w:hAnsi="Times New Roman" w:cs="Times New Roman"/>
          <w:sz w:val="24"/>
          <w:szCs w:val="24"/>
        </w:rPr>
        <w:footnoteReference w:id="746"/>
      </w:r>
      <w:r w:rsidRPr="00096909">
        <w:rPr>
          <w:rFonts w:ascii="Times New Roman" w:hAnsi="Times New Roman" w:cs="Times New Roman"/>
          <w:sz w:val="24"/>
          <w:szCs w:val="24"/>
        </w:rPr>
        <w:t xml:space="preserve">A fornire informazioni sul suo significato, difficile da cogliere anche per gli stessi spettatori dell’epoca, è una raccolta di 43 epigrammi intitolata </w:t>
      </w:r>
      <w:r w:rsidRPr="00096909">
        <w:rPr>
          <w:rFonts w:ascii="Times New Roman" w:hAnsi="Times New Roman" w:cs="Times New Roman"/>
          <w:i/>
          <w:sz w:val="24"/>
          <w:szCs w:val="24"/>
        </w:rPr>
        <w:t>Spectacula lucretiana</w:t>
      </w:r>
      <w:r w:rsidRPr="00096909">
        <w:rPr>
          <w:rFonts w:ascii="Times New Roman" w:hAnsi="Times New Roman" w:cs="Times New Roman"/>
          <w:sz w:val="24"/>
          <w:szCs w:val="24"/>
        </w:rPr>
        <w:t xml:space="preserve">, opera del dotto poeta e umanista </w:t>
      </w:r>
      <w:bookmarkStart w:id="498" w:name="_Hlk536003999"/>
      <w:r w:rsidRPr="00096909">
        <w:rPr>
          <w:rFonts w:ascii="Times New Roman" w:hAnsi="Times New Roman" w:cs="Times New Roman"/>
          <w:sz w:val="24"/>
          <w:szCs w:val="24"/>
        </w:rPr>
        <w:t>Giovan Battista Valentini, detto Cantalicio</w:t>
      </w:r>
      <w:bookmarkEnd w:id="498"/>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747"/>
      </w:r>
      <w:r w:rsidRPr="00096909">
        <w:rPr>
          <w:rFonts w:ascii="Times New Roman" w:hAnsi="Times New Roman" w:cs="Times New Roman"/>
          <w:sz w:val="24"/>
          <w:szCs w:val="24"/>
        </w:rPr>
        <w:t xml:space="preserve"> Il po</w:t>
      </w:r>
      <w:r>
        <w:rPr>
          <w:rFonts w:ascii="Times New Roman" w:hAnsi="Times New Roman" w:cs="Times New Roman"/>
          <w:sz w:val="24"/>
          <w:szCs w:val="24"/>
        </w:rPr>
        <w:t>e</w:t>
      </w:r>
      <w:r w:rsidRPr="00096909">
        <w:rPr>
          <w:rFonts w:ascii="Times New Roman" w:hAnsi="Times New Roman" w:cs="Times New Roman"/>
          <w:sz w:val="24"/>
          <w:szCs w:val="24"/>
        </w:rPr>
        <w:t xml:space="preserve">metto, dopo aver descritto l’arrivo a Roma della delegazione estense e le feste dei giorni di dicembre, si sofferma sulla sfilata offerta in Piazza San Pietro, e nel carme XXIV dichiara come l’obiettivo dei carri fosse quello di riportare Roma alla gloria dei suoi antichi trionfi e di spiegare per via allegorica le virtù dei Borgia, sotto il cui segno la città aveva ritrovato un tale splendore: </w:t>
      </w:r>
    </w:p>
    <w:p w14:paraId="4C210F3F"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p>
    <w:p w14:paraId="2B52C4C5" w14:textId="77777777" w:rsidR="00395702" w:rsidRPr="00096909" w:rsidRDefault="00395702" w:rsidP="00395702">
      <w:pPr>
        <w:tabs>
          <w:tab w:val="left" w:pos="709"/>
        </w:tabs>
        <w:spacing w:after="0" w:line="360" w:lineRule="auto"/>
        <w:ind w:firstLine="2268"/>
        <w:jc w:val="both"/>
        <w:rPr>
          <w:rFonts w:ascii="Times New Roman" w:hAnsi="Times New Roman" w:cs="Times New Roman"/>
          <w:sz w:val="20"/>
          <w:szCs w:val="20"/>
        </w:rPr>
      </w:pPr>
      <w:r w:rsidRPr="00096909">
        <w:rPr>
          <w:rFonts w:ascii="Times New Roman" w:hAnsi="Times New Roman" w:cs="Times New Roman"/>
          <w:sz w:val="20"/>
          <w:szCs w:val="20"/>
        </w:rPr>
        <w:lastRenderedPageBreak/>
        <w:t xml:space="preserve">PEGMATA SIVE CURRUS PRODUCTI AD MUSAM </w:t>
      </w:r>
    </w:p>
    <w:p w14:paraId="21538E16" w14:textId="77777777" w:rsidR="00395702" w:rsidRPr="00096909" w:rsidRDefault="00395702" w:rsidP="00395702">
      <w:pPr>
        <w:tabs>
          <w:tab w:val="left" w:pos="709"/>
        </w:tabs>
        <w:spacing w:after="0" w:line="360" w:lineRule="auto"/>
        <w:ind w:firstLine="2268"/>
        <w:jc w:val="both"/>
        <w:rPr>
          <w:rFonts w:ascii="Times New Roman" w:hAnsi="Times New Roman" w:cs="Times New Roman"/>
          <w:sz w:val="20"/>
          <w:szCs w:val="20"/>
        </w:rPr>
      </w:pPr>
    </w:p>
    <w:p w14:paraId="1D7EB7A3" w14:textId="77777777" w:rsidR="00395702" w:rsidRPr="006F55E3" w:rsidRDefault="00395702" w:rsidP="00395702">
      <w:pPr>
        <w:tabs>
          <w:tab w:val="left" w:pos="709"/>
        </w:tabs>
        <w:spacing w:after="0" w:line="360" w:lineRule="auto"/>
        <w:ind w:firstLine="2268"/>
        <w:jc w:val="both"/>
        <w:rPr>
          <w:rFonts w:ascii="Times New Roman" w:hAnsi="Times New Roman" w:cs="Times New Roman"/>
          <w:i/>
          <w:sz w:val="20"/>
          <w:szCs w:val="20"/>
        </w:rPr>
      </w:pPr>
      <w:r w:rsidRPr="006F55E3">
        <w:rPr>
          <w:rFonts w:ascii="Times New Roman" w:hAnsi="Times New Roman" w:cs="Times New Roman"/>
          <w:i/>
          <w:sz w:val="20"/>
          <w:szCs w:val="20"/>
        </w:rPr>
        <w:t>Dic iam pegmata, Musa, dic triumphos,</w:t>
      </w:r>
    </w:p>
    <w:p w14:paraId="2157B34C" w14:textId="77777777" w:rsidR="00395702" w:rsidRPr="006F55E3" w:rsidRDefault="00395702" w:rsidP="00395702">
      <w:pPr>
        <w:tabs>
          <w:tab w:val="left" w:pos="709"/>
        </w:tabs>
        <w:spacing w:after="0" w:line="360" w:lineRule="auto"/>
        <w:ind w:firstLine="2268"/>
        <w:jc w:val="both"/>
        <w:rPr>
          <w:rFonts w:ascii="Times New Roman" w:hAnsi="Times New Roman" w:cs="Times New Roman"/>
          <w:i/>
          <w:sz w:val="20"/>
          <w:szCs w:val="20"/>
        </w:rPr>
      </w:pPr>
      <w:r w:rsidRPr="006F55E3">
        <w:rPr>
          <w:rFonts w:ascii="Times New Roman" w:hAnsi="Times New Roman" w:cs="Times New Roman"/>
          <w:i/>
          <w:sz w:val="20"/>
          <w:szCs w:val="20"/>
        </w:rPr>
        <w:t>quos his rettulit Roma ludis,</w:t>
      </w:r>
    </w:p>
    <w:p w14:paraId="3C861E3C" w14:textId="77777777" w:rsidR="00395702" w:rsidRPr="006F55E3" w:rsidRDefault="00395702" w:rsidP="00395702">
      <w:pPr>
        <w:tabs>
          <w:tab w:val="left" w:pos="709"/>
        </w:tabs>
        <w:spacing w:after="0" w:line="360" w:lineRule="auto"/>
        <w:ind w:firstLine="2268"/>
        <w:jc w:val="both"/>
        <w:rPr>
          <w:rFonts w:ascii="Times New Roman" w:hAnsi="Times New Roman" w:cs="Times New Roman"/>
          <w:i/>
          <w:sz w:val="20"/>
          <w:szCs w:val="20"/>
        </w:rPr>
      </w:pPr>
      <w:r w:rsidRPr="006F55E3">
        <w:rPr>
          <w:rFonts w:ascii="Times New Roman" w:hAnsi="Times New Roman" w:cs="Times New Roman"/>
          <w:i/>
          <w:sz w:val="20"/>
          <w:szCs w:val="20"/>
        </w:rPr>
        <w:t>ut se quae fuit esse nunc notaret</w:t>
      </w:r>
    </w:p>
    <w:p w14:paraId="0042C369" w14:textId="77777777" w:rsidR="00395702" w:rsidRPr="006F55E3" w:rsidRDefault="00395702" w:rsidP="00395702">
      <w:pPr>
        <w:tabs>
          <w:tab w:val="left" w:pos="709"/>
        </w:tabs>
        <w:spacing w:after="0" w:line="360" w:lineRule="auto"/>
        <w:ind w:firstLine="2268"/>
        <w:jc w:val="both"/>
        <w:rPr>
          <w:rFonts w:ascii="Times New Roman" w:hAnsi="Times New Roman" w:cs="Times New Roman"/>
          <w:i/>
          <w:sz w:val="20"/>
          <w:szCs w:val="20"/>
        </w:rPr>
      </w:pPr>
      <w:r w:rsidRPr="006F55E3">
        <w:rPr>
          <w:rFonts w:ascii="Times New Roman" w:hAnsi="Times New Roman" w:cs="Times New Roman"/>
          <w:i/>
          <w:sz w:val="20"/>
          <w:szCs w:val="20"/>
        </w:rPr>
        <w:t>tanto sub duce perbeata tauro,</w:t>
      </w:r>
    </w:p>
    <w:p w14:paraId="1C4F3DEE" w14:textId="77777777" w:rsidR="00395702" w:rsidRPr="006F55E3" w:rsidRDefault="00395702" w:rsidP="00395702">
      <w:pPr>
        <w:tabs>
          <w:tab w:val="left" w:pos="709"/>
        </w:tabs>
        <w:spacing w:after="0" w:line="360" w:lineRule="auto"/>
        <w:ind w:firstLine="2268"/>
        <w:jc w:val="both"/>
        <w:rPr>
          <w:rFonts w:ascii="Times New Roman" w:hAnsi="Times New Roman" w:cs="Times New Roman"/>
          <w:i/>
          <w:sz w:val="20"/>
          <w:szCs w:val="20"/>
        </w:rPr>
      </w:pPr>
      <w:r w:rsidRPr="006F55E3">
        <w:rPr>
          <w:rFonts w:ascii="Times New Roman" w:hAnsi="Times New Roman" w:cs="Times New Roman"/>
          <w:i/>
          <w:sz w:val="20"/>
          <w:szCs w:val="20"/>
        </w:rPr>
        <w:t>nec non egregios habere vates</w:t>
      </w:r>
    </w:p>
    <w:p w14:paraId="2707A270" w14:textId="77777777" w:rsidR="00395702" w:rsidRPr="006F55E3" w:rsidRDefault="00395702" w:rsidP="00395702">
      <w:pPr>
        <w:tabs>
          <w:tab w:val="left" w:pos="709"/>
        </w:tabs>
        <w:spacing w:after="0" w:line="360" w:lineRule="auto"/>
        <w:ind w:firstLine="2268"/>
        <w:jc w:val="both"/>
        <w:rPr>
          <w:rFonts w:ascii="Times New Roman" w:hAnsi="Times New Roman" w:cs="Times New Roman"/>
          <w:i/>
          <w:sz w:val="20"/>
          <w:szCs w:val="20"/>
        </w:rPr>
      </w:pPr>
      <w:r w:rsidRPr="006F55E3">
        <w:rPr>
          <w:rFonts w:ascii="Times New Roman" w:hAnsi="Times New Roman" w:cs="Times New Roman"/>
          <w:i/>
          <w:sz w:val="20"/>
          <w:szCs w:val="20"/>
        </w:rPr>
        <w:t>nunc in gymnasiis suis doceret,</w:t>
      </w:r>
    </w:p>
    <w:p w14:paraId="6AEF75C8" w14:textId="77777777" w:rsidR="00395702" w:rsidRPr="006F55E3" w:rsidRDefault="00395702" w:rsidP="00395702">
      <w:pPr>
        <w:tabs>
          <w:tab w:val="left" w:pos="709"/>
        </w:tabs>
        <w:spacing w:after="0" w:line="360" w:lineRule="auto"/>
        <w:ind w:firstLine="2268"/>
        <w:jc w:val="both"/>
        <w:rPr>
          <w:rFonts w:ascii="Times New Roman" w:hAnsi="Times New Roman" w:cs="Times New Roman"/>
          <w:i/>
          <w:sz w:val="20"/>
          <w:szCs w:val="20"/>
        </w:rPr>
      </w:pPr>
      <w:r w:rsidRPr="006F55E3">
        <w:rPr>
          <w:rFonts w:ascii="Times New Roman" w:hAnsi="Times New Roman" w:cs="Times New Roman"/>
          <w:i/>
          <w:sz w:val="20"/>
          <w:szCs w:val="20"/>
        </w:rPr>
        <w:t>aeta suam coluit vetusta quales,</w:t>
      </w:r>
    </w:p>
    <w:p w14:paraId="7F86645A" w14:textId="77777777" w:rsidR="00395702" w:rsidRPr="006F55E3" w:rsidRDefault="00395702" w:rsidP="00395702">
      <w:pPr>
        <w:tabs>
          <w:tab w:val="left" w:pos="709"/>
        </w:tabs>
        <w:spacing w:after="0" w:line="360" w:lineRule="auto"/>
        <w:ind w:firstLine="2268"/>
        <w:jc w:val="both"/>
        <w:rPr>
          <w:rFonts w:ascii="Times New Roman" w:hAnsi="Times New Roman" w:cs="Times New Roman"/>
          <w:i/>
          <w:sz w:val="20"/>
          <w:szCs w:val="20"/>
        </w:rPr>
      </w:pPr>
      <w:r w:rsidRPr="006F55E3">
        <w:rPr>
          <w:rFonts w:ascii="Times New Roman" w:hAnsi="Times New Roman" w:cs="Times New Roman"/>
          <w:i/>
          <w:sz w:val="20"/>
          <w:szCs w:val="20"/>
        </w:rPr>
        <w:t>haec qui pegmata tanta cogitarunt,</w:t>
      </w:r>
    </w:p>
    <w:p w14:paraId="61C4C3B5" w14:textId="77777777" w:rsidR="00395702" w:rsidRPr="006F55E3" w:rsidRDefault="00395702" w:rsidP="00395702">
      <w:pPr>
        <w:tabs>
          <w:tab w:val="left" w:pos="709"/>
        </w:tabs>
        <w:spacing w:after="0" w:line="360" w:lineRule="auto"/>
        <w:ind w:firstLine="2268"/>
        <w:jc w:val="both"/>
        <w:rPr>
          <w:rFonts w:ascii="Times New Roman" w:hAnsi="Times New Roman" w:cs="Times New Roman"/>
          <w:i/>
          <w:sz w:val="20"/>
          <w:szCs w:val="20"/>
        </w:rPr>
      </w:pPr>
      <w:r w:rsidRPr="006F55E3">
        <w:rPr>
          <w:rFonts w:ascii="Times New Roman" w:hAnsi="Times New Roman" w:cs="Times New Roman"/>
          <w:i/>
          <w:sz w:val="20"/>
          <w:szCs w:val="20"/>
        </w:rPr>
        <w:t>maiorum quibus acta sub figura</w:t>
      </w:r>
    </w:p>
    <w:p w14:paraId="5494F010" w14:textId="77777777" w:rsidR="00395702" w:rsidRPr="00096909" w:rsidRDefault="00395702" w:rsidP="00395702">
      <w:pPr>
        <w:tabs>
          <w:tab w:val="left" w:pos="709"/>
        </w:tabs>
        <w:spacing w:after="0" w:line="360" w:lineRule="auto"/>
        <w:ind w:firstLine="2268"/>
        <w:jc w:val="both"/>
        <w:rPr>
          <w:rFonts w:ascii="Times New Roman" w:hAnsi="Times New Roman" w:cs="Times New Roman"/>
          <w:sz w:val="20"/>
          <w:szCs w:val="20"/>
        </w:rPr>
      </w:pPr>
      <w:r w:rsidRPr="006F55E3">
        <w:rPr>
          <w:rFonts w:ascii="Times New Roman" w:hAnsi="Times New Roman" w:cs="Times New Roman"/>
          <w:i/>
          <w:sz w:val="20"/>
          <w:szCs w:val="20"/>
        </w:rPr>
        <w:t>virtutes docuere Borgianas</w:t>
      </w:r>
      <w:r w:rsidRPr="00096909">
        <w:rPr>
          <w:rFonts w:ascii="Times New Roman" w:hAnsi="Times New Roman" w:cs="Times New Roman"/>
          <w:sz w:val="20"/>
          <w:szCs w:val="20"/>
        </w:rPr>
        <w:t>.</w:t>
      </w:r>
    </w:p>
    <w:p w14:paraId="70CA7292"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p>
    <w:p w14:paraId="219A464C"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Secondo Cantalicio, a ideare i </w:t>
      </w:r>
      <w:r w:rsidRPr="00096909">
        <w:rPr>
          <w:rFonts w:ascii="Times New Roman" w:hAnsi="Times New Roman" w:cs="Times New Roman"/>
          <w:i/>
          <w:sz w:val="24"/>
          <w:szCs w:val="24"/>
        </w:rPr>
        <w:t>pegmata</w:t>
      </w:r>
      <w:r w:rsidRPr="00096909">
        <w:rPr>
          <w:rFonts w:ascii="Times New Roman" w:hAnsi="Times New Roman" w:cs="Times New Roman"/>
          <w:sz w:val="24"/>
          <w:szCs w:val="24"/>
        </w:rPr>
        <w:t xml:space="preserve"> era stato un misterioso poeta, del quale, nel carme XXV, dichiara di non conoscere né il nome né l’origine. Specifica invece che ciascuno dei quartieri di Roma curò la realizzazione di uno dei carri: </w:t>
      </w:r>
      <w:r w:rsidRPr="00096909">
        <w:rPr>
          <w:rFonts w:ascii="Times New Roman" w:hAnsi="Times New Roman" w:cs="Times New Roman"/>
          <w:i/>
          <w:sz w:val="24"/>
          <w:szCs w:val="24"/>
        </w:rPr>
        <w:t>Tot tibi, Burgiacum, produxit Roma, theatrum, pegmata, quot partes computa illa suis</w:t>
      </w:r>
      <w:r w:rsidRPr="00096909">
        <w:rPr>
          <w:rFonts w:ascii="Times New Roman" w:hAnsi="Times New Roman" w:cs="Times New Roman"/>
          <w:sz w:val="24"/>
          <w:szCs w:val="24"/>
        </w:rPr>
        <w:t xml:space="preserve"> (XXVI, vv. 1-2). </w:t>
      </w:r>
    </w:p>
    <w:p w14:paraId="3687A3CE"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Nei carmi successivi (XXVI-XXXIV) l’autore procede alla spiegazione del significato allegorico delle figurazioni. Nel corteo </w:t>
      </w:r>
      <w:r>
        <w:rPr>
          <w:rFonts w:ascii="Times New Roman" w:hAnsi="Times New Roman" w:cs="Times New Roman"/>
          <w:sz w:val="24"/>
          <w:szCs w:val="24"/>
        </w:rPr>
        <w:t xml:space="preserve">il </w:t>
      </w:r>
      <w:r w:rsidRPr="00096909">
        <w:rPr>
          <w:rFonts w:ascii="Times New Roman" w:hAnsi="Times New Roman" w:cs="Times New Roman"/>
          <w:sz w:val="24"/>
          <w:szCs w:val="24"/>
        </w:rPr>
        <w:t>maestoso Ercole vittorioso sull’Idra alludeva ai successi militari del Valentino e alla fortuna del duca d’Este, che tra tanti contendenti conquistava Lucrezia, novella Deianira.</w:t>
      </w:r>
      <w:r w:rsidRPr="00096909">
        <w:rPr>
          <w:rStyle w:val="Rimandonotaapidipagina"/>
          <w:rFonts w:ascii="Times New Roman" w:hAnsi="Times New Roman" w:cs="Times New Roman"/>
          <w:sz w:val="24"/>
          <w:szCs w:val="24"/>
        </w:rPr>
        <w:footnoteReference w:id="748"/>
      </w:r>
      <w:r w:rsidRPr="00096909">
        <w:rPr>
          <w:rFonts w:ascii="Times New Roman" w:hAnsi="Times New Roman" w:cs="Times New Roman"/>
          <w:sz w:val="24"/>
          <w:szCs w:val="24"/>
        </w:rPr>
        <w:t xml:space="preserve"> Il carro con Romolo all’aratro per tracciare i confini di Roma esaltava la rifondazione della città sotto papa Borgia; il cavaliere domatore dei due cavalli selvaggi si associava alla capacità del Valentino di governare in pace e in guerra sull’Italia, e sempre alle sue virtù si associavano i </w:t>
      </w:r>
      <w:r>
        <w:rPr>
          <w:rFonts w:ascii="Times New Roman" w:hAnsi="Times New Roman" w:cs="Times New Roman"/>
          <w:sz w:val="24"/>
          <w:szCs w:val="24"/>
        </w:rPr>
        <w:t xml:space="preserve">successivi </w:t>
      </w:r>
      <w:r w:rsidRPr="00096909">
        <w:rPr>
          <w:rFonts w:ascii="Times New Roman" w:hAnsi="Times New Roman" w:cs="Times New Roman"/>
          <w:sz w:val="24"/>
          <w:szCs w:val="24"/>
        </w:rPr>
        <w:t xml:space="preserve">trionfi di Scipione, Lucullo e Cesare (XXIX). Chi avesse osato opporsi al suo potere era destinato alla prigionia, come i due fanciulli posti sul carro illustrato nel carme XXXII. Giunone e le tre Grazie, protettrici dello sposalizio, precedevano poi l’arrivo del trionfo di Lucrezia, la fanciulla a cavallo del toro che si trovava sul penultimo carro (carme XXXIII). Chiudeva la sfilata l’apparizione di un drago sputafuoco dal quale un toro riusciva a svincolarsi: allusione all’imperturbabilità del potere dei Borgia davanti ad ogni asperità. </w:t>
      </w:r>
    </w:p>
    <w:p w14:paraId="0CA3F9A5"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Cantalicio, intellettuale legato alla famiglia del pontefice, </w:t>
      </w:r>
      <w:r>
        <w:rPr>
          <w:rFonts w:ascii="Times New Roman" w:hAnsi="Times New Roman" w:cs="Times New Roman"/>
          <w:sz w:val="24"/>
          <w:szCs w:val="24"/>
        </w:rPr>
        <w:t>risultava</w:t>
      </w:r>
      <w:r w:rsidRPr="00096909">
        <w:rPr>
          <w:rFonts w:ascii="Times New Roman" w:hAnsi="Times New Roman" w:cs="Times New Roman"/>
          <w:sz w:val="24"/>
          <w:szCs w:val="24"/>
        </w:rPr>
        <w:t xml:space="preserve"> l’autore adatto per trasfigurare la contingente parata elogiativa dei successi della politica e delle imprese belliche dei Borgia in un imperituro trionfo latino. </w:t>
      </w:r>
    </w:p>
    <w:p w14:paraId="09ACE053"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È interessante notare come egli nel descrivere il carro della vittoria di Scipione su Cartagine dichiari il modo in cui riuscì a riconoscerne il soggetto: «</w:t>
      </w:r>
      <w:r w:rsidRPr="00096909">
        <w:rPr>
          <w:rFonts w:ascii="Times New Roman" w:hAnsi="Times New Roman" w:cs="Times New Roman"/>
          <w:i/>
          <w:sz w:val="24"/>
          <w:szCs w:val="24"/>
        </w:rPr>
        <w:t>quaeque sequebatur currum Cartago notata est, evertit cuius funditus ille solum</w:t>
      </w:r>
      <w:r w:rsidRPr="00096909">
        <w:rPr>
          <w:rFonts w:ascii="Times New Roman" w:hAnsi="Times New Roman" w:cs="Times New Roman"/>
          <w:sz w:val="24"/>
          <w:szCs w:val="24"/>
        </w:rPr>
        <w:t xml:space="preserve">» (XXIX, vv. 3-4). Concordo con l’ipotesi di Giuseppe Germano secondo la quale il verbo </w:t>
      </w:r>
      <w:r w:rsidRPr="00096909">
        <w:rPr>
          <w:rFonts w:ascii="Times New Roman" w:hAnsi="Times New Roman" w:cs="Times New Roman"/>
          <w:i/>
          <w:sz w:val="24"/>
          <w:szCs w:val="24"/>
        </w:rPr>
        <w:t>notata est</w:t>
      </w:r>
      <w:r w:rsidRPr="00096909">
        <w:rPr>
          <w:rFonts w:ascii="Times New Roman" w:hAnsi="Times New Roman" w:cs="Times New Roman"/>
          <w:sz w:val="24"/>
          <w:szCs w:val="24"/>
        </w:rPr>
        <w:t xml:space="preserve"> permetterebbe di richiamare l’apposizione di cartigli con l’indicazione dei soggetti rappresentati sui carri, così da facilitarne l’identificazione non sempre immediata, come scriveva del resto il cerimoniere Burcardo nel suo </w:t>
      </w:r>
      <w:r w:rsidRPr="00096909">
        <w:rPr>
          <w:rFonts w:ascii="Times New Roman" w:hAnsi="Times New Roman" w:cs="Times New Roman"/>
          <w:i/>
          <w:sz w:val="24"/>
          <w:szCs w:val="24"/>
        </w:rPr>
        <w:t>Diario</w:t>
      </w:r>
      <w:r w:rsidRPr="00096909">
        <w:rPr>
          <w:rFonts w:ascii="Times New Roman" w:hAnsi="Times New Roman" w:cs="Times New Roman"/>
          <w:sz w:val="24"/>
          <w:szCs w:val="24"/>
        </w:rPr>
        <w:t>: «</w:t>
      </w:r>
      <w:r w:rsidRPr="00096909">
        <w:rPr>
          <w:rFonts w:ascii="Times New Roman" w:hAnsi="Times New Roman" w:cs="Times New Roman"/>
          <w:i/>
          <w:sz w:val="24"/>
          <w:szCs w:val="24"/>
        </w:rPr>
        <w:t>adducte XII carruce regionum de antiquitatibus romanorum que non intelliguntur, more solito</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749"/>
      </w:r>
      <w:r w:rsidRPr="00096909">
        <w:rPr>
          <w:rFonts w:ascii="Times New Roman" w:hAnsi="Times New Roman" w:cs="Times New Roman"/>
          <w:sz w:val="24"/>
          <w:szCs w:val="24"/>
        </w:rPr>
        <w:t xml:space="preserve">     </w:t>
      </w:r>
    </w:p>
    <w:p w14:paraId="4826782A"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Compiuta la sua impresa poetica e affidata ai versi latini la meraviglia effimera delle feste, Cantalicio fece confezionare per il papa un prezioso manoscritto di dedica, sul cui frontespizio compare lo stemma di Alessandro VI affiancato da quello del Valentino e del cardinale Pier Luigi Borgia, del quale egli era stato precettore (fig. 5</w:t>
      </w:r>
      <w:r>
        <w:rPr>
          <w:rFonts w:ascii="Times New Roman" w:hAnsi="Times New Roman" w:cs="Times New Roman"/>
          <w:sz w:val="24"/>
          <w:szCs w:val="24"/>
        </w:rPr>
        <w:t>4</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750"/>
      </w:r>
      <w:r w:rsidRPr="00096909">
        <w:rPr>
          <w:rFonts w:ascii="Times New Roman" w:hAnsi="Times New Roman" w:cs="Times New Roman"/>
          <w:sz w:val="24"/>
          <w:szCs w:val="24"/>
        </w:rPr>
        <w:t xml:space="preserve"> Il libretto, di diciotto fogli, in velino, in elegante scrittura umanistica, con capilettera dorati per l’iniziale di ciascuno dei carmi e abbellito da una decorazione a motivi floreali</w:t>
      </w:r>
      <w:r>
        <w:rPr>
          <w:rFonts w:ascii="Times New Roman" w:hAnsi="Times New Roman" w:cs="Times New Roman"/>
          <w:sz w:val="24"/>
          <w:szCs w:val="24"/>
        </w:rPr>
        <w:t>,</w:t>
      </w:r>
      <w:r w:rsidRPr="00096909">
        <w:rPr>
          <w:rFonts w:ascii="Times New Roman" w:hAnsi="Times New Roman" w:cs="Times New Roman"/>
          <w:sz w:val="24"/>
          <w:szCs w:val="24"/>
        </w:rPr>
        <w:t xml:space="preserve"> giungeva dunque sugli scaffali della biblioteca personale del papa, per ricordare al possessore e al pubblico dei suoi selezionati ospiti gli </w:t>
      </w:r>
      <w:r w:rsidRPr="00096909">
        <w:rPr>
          <w:rFonts w:ascii="Times New Roman" w:hAnsi="Times New Roman" w:cs="Times New Roman"/>
          <w:i/>
          <w:sz w:val="24"/>
          <w:szCs w:val="24"/>
        </w:rPr>
        <w:t>spectacula</w:t>
      </w:r>
      <w:r w:rsidRPr="00096909">
        <w:rPr>
          <w:rFonts w:ascii="Times New Roman" w:hAnsi="Times New Roman" w:cs="Times New Roman"/>
          <w:sz w:val="24"/>
          <w:szCs w:val="24"/>
        </w:rPr>
        <w:t xml:space="preserve"> e le feste in onore della bella Lucrezia. </w:t>
      </w:r>
    </w:p>
    <w:p w14:paraId="06DCBCF3"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p>
    <w:p w14:paraId="5D497A03"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p>
    <w:p w14:paraId="66DAA6B8" w14:textId="77777777" w:rsidR="00395702" w:rsidRPr="009C2B23" w:rsidRDefault="00395702" w:rsidP="00395702">
      <w:pPr>
        <w:jc w:val="both"/>
        <w:rPr>
          <w:rFonts w:ascii="Times New Roman" w:hAnsi="Times New Roman" w:cs="Times New Roman"/>
          <w:sz w:val="24"/>
          <w:szCs w:val="24"/>
        </w:rPr>
      </w:pPr>
      <w:r w:rsidRPr="00C66DFE">
        <w:rPr>
          <w:rFonts w:ascii="Times New Roman" w:hAnsi="Times New Roman" w:cs="Times New Roman"/>
          <w:sz w:val="24"/>
          <w:szCs w:val="24"/>
        </w:rPr>
        <w:t>3.</w:t>
      </w:r>
      <w:r w:rsidRPr="00375F0A">
        <w:rPr>
          <w:rFonts w:ascii="Times New Roman" w:hAnsi="Times New Roman" w:cs="Times New Roman"/>
          <w:i/>
          <w:sz w:val="24"/>
          <w:szCs w:val="24"/>
        </w:rPr>
        <w:t xml:space="preserve"> La cerimonia nuziale: addobbi e apparati ecclesiastici, modifiche liturgiche, investiture cavalleresche</w:t>
      </w:r>
      <w:r w:rsidRPr="009C2B23">
        <w:rPr>
          <w:rFonts w:ascii="Times New Roman" w:hAnsi="Times New Roman" w:cs="Times New Roman"/>
          <w:sz w:val="24"/>
          <w:szCs w:val="24"/>
        </w:rPr>
        <w:t>.</w:t>
      </w:r>
    </w:p>
    <w:p w14:paraId="6D3AD4AE"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p>
    <w:p w14:paraId="04FE1060" w14:textId="77777777" w:rsidR="00395702" w:rsidRDefault="00395702" w:rsidP="00395702">
      <w:pPr>
        <w:tabs>
          <w:tab w:val="left" w:pos="567"/>
        </w:tabs>
        <w:spacing w:after="0" w:line="360" w:lineRule="auto"/>
        <w:ind w:left="567" w:right="851" w:firstLine="397"/>
        <w:jc w:val="both"/>
        <w:rPr>
          <w:rFonts w:ascii="Times New Roman" w:hAnsi="Times New Roman" w:cs="Times New Roman"/>
          <w:sz w:val="24"/>
          <w:szCs w:val="24"/>
        </w:rPr>
      </w:pPr>
      <w:r w:rsidRPr="004A6B17">
        <w:rPr>
          <w:rFonts w:ascii="Times New Roman" w:hAnsi="Times New Roman" w:cs="Times New Roman"/>
          <w:sz w:val="20"/>
          <w:szCs w:val="20"/>
        </w:rPr>
        <w:t xml:space="preserve">Domenica a dì quatro de luio 1473 la matina in sala grande del duca Hercole suso uno tribunale lì era facto, ornato tutto et cussì la sala dignissimamente de coltrine et pani d’oro et di seta, lo prefato duca Hercole sposò, facto che fu il sermone seu contracto per magistro Hieronimo da Castello da Ferrara, phisico del prefato duca, la sua amata, bella et digna de ogni virtute et bontade Leonora predicta coram populo et tenegli la mano la ambasaria de la signoria de Venesia. Sposata, se ne andò in vescovato, dove fu acompagnata da li dicti ambasatori et signori cum trombe et pifare in quantitade insino a lo altare grande adorno non te dico como, perché tu che lezi poi pensare il tuto como era ornato et qui apparato. Il reverendissimo monsignore messer Bartolomeo Rovella da Ferrara, cardinale et arcivescovo de Ravena, legato per papa Sisto quarto in la Marcha, gli cantò cum li cantori del duca una solennissima messa, a la quale fu tanti homini et done che fu una </w:t>
      </w:r>
      <w:r w:rsidRPr="004A6B17">
        <w:rPr>
          <w:rFonts w:ascii="Times New Roman" w:hAnsi="Times New Roman" w:cs="Times New Roman"/>
          <w:sz w:val="20"/>
          <w:szCs w:val="20"/>
        </w:rPr>
        <w:lastRenderedPageBreak/>
        <w:t>meraviglia, perché era tuto pieno il vescovato che non se gli potea intrare per entro. Et qui sua reverendissima signoria benedicte il duca et la duchessa et poi, dicta la messa, la brigata acompagnò madama Leonora in sala grande et poi se ne andorno a disenare […]. Ma nota che, inanti disenare, il duca Hercole fece tri cavalieri, cioè il conte Antonio Maria de la Mirandola</w:t>
      </w:r>
      <w:r>
        <w:rPr>
          <w:rFonts w:ascii="Times New Roman" w:hAnsi="Times New Roman" w:cs="Times New Roman"/>
          <w:sz w:val="20"/>
          <w:szCs w:val="20"/>
        </w:rPr>
        <w:t xml:space="preserve"> </w:t>
      </w:r>
      <w:r w:rsidRPr="004A6B17">
        <w:rPr>
          <w:rFonts w:ascii="Times New Roman" w:hAnsi="Times New Roman" w:cs="Times New Roman"/>
          <w:sz w:val="20"/>
          <w:szCs w:val="20"/>
        </w:rPr>
        <w:t>et dui altri forasteri</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751"/>
      </w:r>
      <w:r>
        <w:rPr>
          <w:rFonts w:ascii="Times New Roman" w:hAnsi="Times New Roman" w:cs="Times New Roman"/>
          <w:sz w:val="24"/>
          <w:szCs w:val="24"/>
        </w:rPr>
        <w:t xml:space="preserve"> </w:t>
      </w:r>
    </w:p>
    <w:p w14:paraId="21C6DB6A"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p>
    <w:p w14:paraId="64DC2F3F"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Quest’ampia citazione dalle </w:t>
      </w:r>
      <w:r w:rsidRPr="00024556">
        <w:rPr>
          <w:rFonts w:ascii="Times New Roman" w:hAnsi="Times New Roman" w:cs="Times New Roman"/>
          <w:i/>
          <w:sz w:val="24"/>
          <w:szCs w:val="24"/>
        </w:rPr>
        <w:t>Croniche</w:t>
      </w:r>
      <w:r>
        <w:rPr>
          <w:rFonts w:ascii="Times New Roman" w:hAnsi="Times New Roman" w:cs="Times New Roman"/>
          <w:sz w:val="24"/>
          <w:szCs w:val="24"/>
        </w:rPr>
        <w:t xml:space="preserve"> di Ugo Caleffini credo raccolga tutti i momenti della cerimonia sponsale necessari ad avvalorare giuridicamente l’accordo nuziale, a rendere pubblico e ufficiale lo sposalizio e a ottenere dall’autorità religiosa la benedizione sulla coppia.  </w:t>
      </w:r>
    </w:p>
    <w:p w14:paraId="6E0D7780"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In una sala del palazzo ducale riccamente apparata con cortine di broccato dorato,</w:t>
      </w:r>
      <w:r>
        <w:rPr>
          <w:rStyle w:val="Rimandonotaapidipagina"/>
          <w:rFonts w:ascii="Times New Roman" w:hAnsi="Times New Roman" w:cs="Times New Roman"/>
          <w:sz w:val="24"/>
          <w:szCs w:val="24"/>
        </w:rPr>
        <w:footnoteReference w:id="752"/>
      </w:r>
      <w:r>
        <w:rPr>
          <w:rFonts w:ascii="Times New Roman" w:hAnsi="Times New Roman" w:cs="Times New Roman"/>
          <w:sz w:val="24"/>
          <w:szCs w:val="24"/>
        </w:rPr>
        <w:t xml:space="preserve"> domenica 4 luglio 1473, dopo che il medico di corte </w:t>
      </w:r>
      <w:bookmarkStart w:id="500" w:name="_Hlk536004370"/>
      <w:r>
        <w:rPr>
          <w:rFonts w:ascii="Times New Roman" w:hAnsi="Times New Roman" w:cs="Times New Roman"/>
          <w:sz w:val="24"/>
          <w:szCs w:val="24"/>
        </w:rPr>
        <w:t xml:space="preserve">Girolamo Castelli </w:t>
      </w:r>
      <w:bookmarkEnd w:id="500"/>
      <w:r>
        <w:rPr>
          <w:rFonts w:ascii="Times New Roman" w:hAnsi="Times New Roman" w:cs="Times New Roman"/>
          <w:sz w:val="24"/>
          <w:szCs w:val="24"/>
        </w:rPr>
        <w:t>ebbe letto l’orazione ufficiale augurale,</w:t>
      </w:r>
      <w:r>
        <w:rPr>
          <w:rStyle w:val="Rimandonotaapidipagina"/>
          <w:rFonts w:ascii="Times New Roman" w:hAnsi="Times New Roman" w:cs="Times New Roman"/>
          <w:sz w:val="24"/>
          <w:szCs w:val="24"/>
        </w:rPr>
        <w:footnoteReference w:id="753"/>
      </w:r>
      <w:r>
        <w:rPr>
          <w:rFonts w:ascii="Times New Roman" w:hAnsi="Times New Roman" w:cs="Times New Roman"/>
          <w:sz w:val="24"/>
          <w:szCs w:val="24"/>
        </w:rPr>
        <w:t xml:space="preserve"> Ercole I d’Este ed Eleonora d’Aragona furono così uniti in matrimonio </w:t>
      </w:r>
      <w:r w:rsidRPr="000A5777">
        <w:rPr>
          <w:rFonts w:ascii="Times New Roman" w:hAnsi="Times New Roman" w:cs="Times New Roman"/>
          <w:i/>
          <w:sz w:val="24"/>
          <w:szCs w:val="24"/>
        </w:rPr>
        <w:t>per verba de presenti</w:t>
      </w:r>
      <w:r>
        <w:rPr>
          <w:rFonts w:ascii="Times New Roman" w:hAnsi="Times New Roman" w:cs="Times New Roman"/>
          <w:sz w:val="24"/>
          <w:szCs w:val="24"/>
        </w:rPr>
        <w:t xml:space="preserve">, ovvero dinnanzi a un notaio e a dei testimoni che assistettero allo scambio delle promesse sponsali e all’inanellamento. Come era uso in tali cerimonie, un invitato di riguardo, l’ambasciatore veneziano e futuro </w:t>
      </w:r>
      <w:r w:rsidR="00C278BE">
        <w:rPr>
          <w:rFonts w:ascii="Times New Roman" w:hAnsi="Times New Roman" w:cs="Times New Roman"/>
          <w:sz w:val="24"/>
          <w:szCs w:val="24"/>
        </w:rPr>
        <w:t>d</w:t>
      </w:r>
      <w:r>
        <w:rPr>
          <w:rFonts w:ascii="Times New Roman" w:hAnsi="Times New Roman" w:cs="Times New Roman"/>
          <w:sz w:val="24"/>
          <w:szCs w:val="24"/>
        </w:rPr>
        <w:t xml:space="preserve">oge Andrea Vendramin, ebbe l’onore di porgere la mano di Eleonora al duca estense perché egli potesse infilare il gioiello al dito della sposa. Il matrimonio conseguì così pieno valore giuridico. </w:t>
      </w:r>
    </w:p>
    <w:p w14:paraId="15AE4DC2"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La gestualità dell’unione nuziale pretridentina prevedeva, infatti, tre momenti: il toccamento della mano della consorte, l’</w:t>
      </w:r>
      <w:r w:rsidRPr="00DC2627">
        <w:rPr>
          <w:rFonts w:ascii="Times New Roman" w:hAnsi="Times New Roman" w:cs="Times New Roman"/>
          <w:i/>
          <w:sz w:val="24"/>
          <w:szCs w:val="24"/>
        </w:rPr>
        <w:t>immisio anuli</w:t>
      </w:r>
      <w:r>
        <w:rPr>
          <w:rFonts w:ascii="Times New Roman" w:hAnsi="Times New Roman" w:cs="Times New Roman"/>
          <w:sz w:val="24"/>
          <w:szCs w:val="24"/>
        </w:rPr>
        <w:t xml:space="preserve"> e il bacio, i quali potevano svolgersi in forma più o meno pubblica ma sempre alla presenza di più testimoni.</w:t>
      </w:r>
      <w:r>
        <w:rPr>
          <w:rStyle w:val="Rimandonotaapidipagina"/>
          <w:rFonts w:ascii="Times New Roman" w:hAnsi="Times New Roman" w:cs="Times New Roman"/>
          <w:sz w:val="24"/>
          <w:szCs w:val="24"/>
        </w:rPr>
        <w:footnoteReference w:id="754"/>
      </w:r>
    </w:p>
    <w:p w14:paraId="5AE9C073"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Nelle feste nuziali principesche, distinte da una visibilità pubblica maggiore del cerimoniale, il tocco della mano della sposa da parte dello </w:t>
      </w:r>
      <w:r w:rsidRPr="00C64055">
        <w:rPr>
          <w:rFonts w:ascii="Times New Roman" w:hAnsi="Times New Roman" w:cs="Times New Roman"/>
          <w:sz w:val="24"/>
          <w:szCs w:val="24"/>
        </w:rPr>
        <w:t>sposo aveva</w:t>
      </w:r>
      <w:r>
        <w:rPr>
          <w:rFonts w:ascii="Times New Roman" w:hAnsi="Times New Roman" w:cs="Times New Roman"/>
          <w:sz w:val="24"/>
          <w:szCs w:val="24"/>
        </w:rPr>
        <w:t xml:space="preserve"> luogo solitamente alle porte della città. Si pensi all’incontro tra Isabella d’Aragona e Gian Galeazzo Sforza a Tortona: «</w:t>
      </w:r>
      <w:r w:rsidRPr="00564269">
        <w:rPr>
          <w:rFonts w:ascii="Times New Roman" w:hAnsi="Times New Roman" w:cs="Times New Roman"/>
          <w:sz w:val="24"/>
          <w:szCs w:val="24"/>
        </w:rPr>
        <w:t>Scontrati appresso la porta de la cità e</w:t>
      </w:r>
      <w:r>
        <w:rPr>
          <w:rFonts w:ascii="Times New Roman" w:hAnsi="Times New Roman" w:cs="Times New Roman"/>
          <w:sz w:val="24"/>
          <w:szCs w:val="24"/>
        </w:rPr>
        <w:t>s</w:t>
      </w:r>
      <w:r w:rsidRPr="00564269">
        <w:rPr>
          <w:rFonts w:ascii="Times New Roman" w:hAnsi="Times New Roman" w:cs="Times New Roman"/>
          <w:sz w:val="24"/>
          <w:szCs w:val="24"/>
        </w:rPr>
        <w:t>sa li volse basare la mane, como è il costume de la patria sua, ma facendo lo sposo incontra con volerli gitare le braze al collo furno disparti per lo movimento di cavalli</w:t>
      </w:r>
      <w:r>
        <w:rPr>
          <w:rFonts w:ascii="Times New Roman" w:hAnsi="Times New Roman" w:cs="Times New Roman"/>
          <w:sz w:val="24"/>
          <w:szCs w:val="24"/>
        </w:rPr>
        <w:t>»</w:t>
      </w:r>
      <w:r w:rsidRPr="00564269">
        <w:rPr>
          <w:rFonts w:ascii="Times New Roman" w:hAnsi="Times New Roman" w:cs="Times New Roman"/>
          <w:sz w:val="24"/>
          <w:szCs w:val="24"/>
        </w:rPr>
        <w:t>.</w:t>
      </w:r>
      <w:r>
        <w:rPr>
          <w:rStyle w:val="Rimandonotaapidipagina"/>
          <w:rFonts w:ascii="Times New Roman" w:hAnsi="Times New Roman" w:cs="Times New Roman"/>
          <w:sz w:val="24"/>
          <w:szCs w:val="24"/>
        </w:rPr>
        <w:footnoteReference w:id="755"/>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Come coglie l’anonimo cronista, la principessa aragonese cercò di variare secondo il costume napoletano il rito del toccamento, baciando la mano del futuro marito. </w:t>
      </w:r>
    </w:p>
    <w:p w14:paraId="5488E5BA"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Altre testimonianze, come quella sull’incontro alle porte di Roma tra Caterina Sforza e il conte Riario,</w:t>
      </w:r>
      <w:r>
        <w:rPr>
          <w:rStyle w:val="Rimandonotaapidipagina"/>
          <w:rFonts w:ascii="Times New Roman" w:hAnsi="Times New Roman" w:cs="Times New Roman"/>
          <w:sz w:val="24"/>
          <w:szCs w:val="24"/>
        </w:rPr>
        <w:footnoteReference w:id="756"/>
      </w:r>
      <w:r>
        <w:rPr>
          <w:rFonts w:ascii="Times New Roman" w:hAnsi="Times New Roman" w:cs="Times New Roman"/>
          <w:sz w:val="24"/>
          <w:szCs w:val="24"/>
        </w:rPr>
        <w:t xml:space="preserve"> annotano però separatamente i due gesti della </w:t>
      </w:r>
      <w:r w:rsidRPr="00287974">
        <w:rPr>
          <w:rFonts w:ascii="Times New Roman" w:hAnsi="Times New Roman" w:cs="Times New Roman"/>
          <w:i/>
          <w:sz w:val="24"/>
          <w:szCs w:val="24"/>
        </w:rPr>
        <w:t>datio manus</w:t>
      </w:r>
      <w:r>
        <w:rPr>
          <w:rFonts w:ascii="Times New Roman" w:hAnsi="Times New Roman" w:cs="Times New Roman"/>
          <w:sz w:val="24"/>
          <w:szCs w:val="24"/>
        </w:rPr>
        <w:t xml:space="preserve"> e dell’</w:t>
      </w:r>
      <w:r w:rsidRPr="00287974">
        <w:rPr>
          <w:rFonts w:ascii="Times New Roman" w:hAnsi="Times New Roman" w:cs="Times New Roman"/>
          <w:i/>
          <w:sz w:val="24"/>
          <w:szCs w:val="24"/>
        </w:rPr>
        <w:t>osculum</w:t>
      </w:r>
      <w:r>
        <w:rPr>
          <w:rFonts w:ascii="Times New Roman" w:hAnsi="Times New Roman" w:cs="Times New Roman"/>
          <w:sz w:val="24"/>
          <w:szCs w:val="24"/>
        </w:rPr>
        <w:t>, considerati distintamente anche negli atti dei processi su questioni di validità e invalidità dei matrimoni, poiché dotati di specifico significato giuridico: il tocco della mano della sposa simboleggiava l’offerta pubblica della promessa matrimoniale, per la quale le trattative si erano svolte fino a quel momento in forma più riservata; mentre il bacio sulle labbra rappresentava la reciprocità del rapporto di fedeltà tra marito e moglie, in modo affine all’</w:t>
      </w:r>
      <w:r w:rsidRPr="00084447">
        <w:rPr>
          <w:rFonts w:ascii="Times New Roman" w:hAnsi="Times New Roman" w:cs="Times New Roman"/>
          <w:i/>
          <w:sz w:val="24"/>
          <w:szCs w:val="24"/>
        </w:rPr>
        <w:t>osculum</w:t>
      </w:r>
      <w:r>
        <w:rPr>
          <w:rFonts w:ascii="Times New Roman" w:hAnsi="Times New Roman" w:cs="Times New Roman"/>
          <w:sz w:val="24"/>
          <w:szCs w:val="24"/>
        </w:rPr>
        <w:t xml:space="preserve"> scambiato tra il signore e il suo vassallo nel rituale d’investitura feudale.</w:t>
      </w:r>
      <w:r>
        <w:rPr>
          <w:rStyle w:val="Rimandonotaapidipagina"/>
          <w:rFonts w:ascii="Times New Roman" w:hAnsi="Times New Roman" w:cs="Times New Roman"/>
          <w:sz w:val="24"/>
          <w:szCs w:val="24"/>
        </w:rPr>
        <w:footnoteReference w:id="757"/>
      </w:r>
      <w:r>
        <w:rPr>
          <w:rFonts w:ascii="Times New Roman" w:hAnsi="Times New Roman" w:cs="Times New Roman"/>
          <w:sz w:val="24"/>
          <w:szCs w:val="24"/>
        </w:rPr>
        <w:t xml:space="preserve">   </w:t>
      </w:r>
    </w:p>
    <w:p w14:paraId="22E1E444"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Lo scambio delle promesse </w:t>
      </w:r>
      <w:r w:rsidRPr="000A5777">
        <w:rPr>
          <w:rFonts w:ascii="Times New Roman" w:hAnsi="Times New Roman" w:cs="Times New Roman"/>
          <w:i/>
          <w:sz w:val="24"/>
          <w:szCs w:val="24"/>
        </w:rPr>
        <w:t>per verba de presenti</w:t>
      </w:r>
      <w:r>
        <w:rPr>
          <w:rFonts w:ascii="Times New Roman" w:hAnsi="Times New Roman" w:cs="Times New Roman"/>
          <w:i/>
          <w:sz w:val="24"/>
          <w:szCs w:val="24"/>
        </w:rPr>
        <w:t>,</w:t>
      </w:r>
      <w:r>
        <w:rPr>
          <w:rFonts w:ascii="Times New Roman" w:hAnsi="Times New Roman" w:cs="Times New Roman"/>
          <w:sz w:val="24"/>
          <w:szCs w:val="24"/>
        </w:rPr>
        <w:t xml:space="preserve"> concluso dall’offerta dell’anello alla sposa, chiudeva poi la sequenza degli atti pubblici necessari allo sposalizio ed esprimeva come il patto nuziale venisse celebrato </w:t>
      </w:r>
      <w:r w:rsidRPr="00533BBA">
        <w:rPr>
          <w:rFonts w:ascii="Times New Roman" w:hAnsi="Times New Roman" w:cs="Times New Roman"/>
          <w:i/>
          <w:sz w:val="24"/>
          <w:szCs w:val="24"/>
        </w:rPr>
        <w:t>ex solo consensu</w:t>
      </w:r>
      <w:r>
        <w:rPr>
          <w:rFonts w:ascii="Times New Roman" w:hAnsi="Times New Roman" w:cs="Times New Roman"/>
          <w:i/>
          <w:sz w:val="24"/>
          <w:szCs w:val="24"/>
        </w:rPr>
        <w:t xml:space="preserve"> </w:t>
      </w:r>
      <w:r w:rsidRPr="00CF6BA2">
        <w:rPr>
          <w:rFonts w:ascii="Times New Roman" w:hAnsi="Times New Roman" w:cs="Times New Roman"/>
          <w:sz w:val="24"/>
          <w:szCs w:val="24"/>
        </w:rPr>
        <w:t>dei contraenti</w:t>
      </w:r>
      <w:r>
        <w:rPr>
          <w:rFonts w:ascii="Times New Roman" w:hAnsi="Times New Roman" w:cs="Times New Roman"/>
          <w:sz w:val="24"/>
          <w:szCs w:val="24"/>
        </w:rPr>
        <w:t xml:space="preserve">. </w:t>
      </w:r>
    </w:p>
    <w:p w14:paraId="4EFEDA6C"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Sebbene il notaio pronunciasse in tal sede formule contenenti riferimenti alla santità delle nozze e additasse come modello dell’unione sponsale perfetta quella tra la Madonna e san Giuseppe, la presenza del sacerdote non era richiesta e la stessa benedizione degli sposi, non provenendo </w:t>
      </w:r>
      <w:r w:rsidRPr="00836319">
        <w:rPr>
          <w:rFonts w:ascii="Times New Roman" w:hAnsi="Times New Roman" w:cs="Times New Roman"/>
          <w:i/>
          <w:sz w:val="24"/>
          <w:szCs w:val="24"/>
        </w:rPr>
        <w:t>de essentia matrimonii</w:t>
      </w:r>
      <w:r>
        <w:rPr>
          <w:rFonts w:ascii="Times New Roman" w:hAnsi="Times New Roman" w:cs="Times New Roman"/>
          <w:sz w:val="24"/>
          <w:szCs w:val="24"/>
        </w:rPr>
        <w:t xml:space="preserve"> – come dichiarava san Tommaso d’Aquino – era considerata accessoria anche agli occhi delle autorità ecclesiastiche, per le quali a costituire il sacramento era la sola obbligazione verbale tra l’uomo e la donna.</w:t>
      </w:r>
      <w:r>
        <w:rPr>
          <w:rStyle w:val="Rimandonotaapidipagina"/>
          <w:rFonts w:ascii="Times New Roman" w:hAnsi="Times New Roman" w:cs="Times New Roman"/>
          <w:sz w:val="24"/>
          <w:szCs w:val="24"/>
        </w:rPr>
        <w:footnoteReference w:id="758"/>
      </w:r>
      <w:r>
        <w:rPr>
          <w:rFonts w:ascii="Times New Roman" w:hAnsi="Times New Roman" w:cs="Times New Roman"/>
          <w:sz w:val="24"/>
          <w:szCs w:val="24"/>
        </w:rPr>
        <w:t xml:space="preserve">   </w:t>
      </w:r>
    </w:p>
    <w:p w14:paraId="220E3348"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Tuttavia, nel secolo XV, la crescente importanza assegnata al gesto dell’inanellamento, quale segno della volontà manifesta dell’unione, rese pressoché necessaria la cerimonia di benedizione della coppia, durante la quale, in chiesa, lo sposo donava l’anello pubblicamente alla consorte, sempre se non lo avesse già fatto durante lo scambio delle promesse </w:t>
      </w:r>
      <w:r w:rsidRPr="008A6348">
        <w:rPr>
          <w:rFonts w:ascii="Times New Roman" w:hAnsi="Times New Roman" w:cs="Times New Roman"/>
          <w:i/>
          <w:sz w:val="24"/>
          <w:szCs w:val="24"/>
        </w:rPr>
        <w:t>per verba de presenti</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759"/>
      </w:r>
      <w:r>
        <w:rPr>
          <w:rFonts w:ascii="Times New Roman" w:hAnsi="Times New Roman" w:cs="Times New Roman"/>
          <w:sz w:val="24"/>
          <w:szCs w:val="24"/>
        </w:rPr>
        <w:t xml:space="preserve"> </w:t>
      </w:r>
    </w:p>
    <w:p w14:paraId="15D22707"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Dopo la cerimonia in palazzo ducale, Eleonora d’Aragona fu pertanto accompagnata al vicino vescovato, stipato di spettatori, dove il cardinale Rovella le cantò la messa nuziale accompagnato </w:t>
      </w:r>
      <w:r>
        <w:rPr>
          <w:rFonts w:ascii="Times New Roman" w:hAnsi="Times New Roman" w:cs="Times New Roman"/>
          <w:sz w:val="24"/>
          <w:szCs w:val="24"/>
        </w:rPr>
        <w:lastRenderedPageBreak/>
        <w:t>dalla prestigiosa cappella musicale del duca.</w:t>
      </w:r>
      <w:r>
        <w:rPr>
          <w:rStyle w:val="Rimandonotaapidipagina"/>
          <w:rFonts w:ascii="Times New Roman" w:hAnsi="Times New Roman" w:cs="Times New Roman"/>
          <w:sz w:val="24"/>
          <w:szCs w:val="24"/>
        </w:rPr>
        <w:footnoteReference w:id="760"/>
      </w:r>
      <w:r>
        <w:rPr>
          <w:rFonts w:ascii="Times New Roman" w:hAnsi="Times New Roman" w:cs="Times New Roman"/>
          <w:sz w:val="24"/>
          <w:szCs w:val="24"/>
        </w:rPr>
        <w:t xml:space="preserve"> Caleffini purtroppo non fornì la descrizione dell’addobbo dell’altare maggiore predisposto per l’occasione, supponendo che il suo lettore potesse autonomamente immaginare la meraviglia degli ori e degli argenti esposti, per i quali fornirono disegni Cosmé Tura e Gherardo da Vicenza.</w:t>
      </w:r>
      <w:r>
        <w:rPr>
          <w:rStyle w:val="Rimandonotaapidipagina"/>
          <w:rFonts w:ascii="Times New Roman" w:hAnsi="Times New Roman" w:cs="Times New Roman"/>
          <w:sz w:val="24"/>
          <w:szCs w:val="24"/>
        </w:rPr>
        <w:footnoteReference w:id="761"/>
      </w:r>
      <w:r>
        <w:rPr>
          <w:rFonts w:ascii="Times New Roman" w:hAnsi="Times New Roman" w:cs="Times New Roman"/>
          <w:sz w:val="24"/>
          <w:szCs w:val="24"/>
        </w:rPr>
        <w:t xml:space="preserve"> Quei disegni che forse Ludovico il Moro, come detto, domandò ad Ercole I per progettare le suppellettili d’argento e i busti dei santi che impreziosirono l’apparato predisposto nel duomo di Milano per i matrimoni di Isabella d’Aragona e di Bianca Maria Sforza. </w:t>
      </w:r>
    </w:p>
    <w:p w14:paraId="3A2FF12A"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Lo svolgimento della messa celebrata il 2 febbraio 1489 per benedire le nozze di Isabella d’Aragona è minuziosamente documentato dall’anonima </w:t>
      </w:r>
      <w:r w:rsidRPr="00697290">
        <w:rPr>
          <w:rFonts w:ascii="Times New Roman" w:hAnsi="Times New Roman" w:cs="Times New Roman"/>
          <w:i/>
          <w:sz w:val="24"/>
          <w:szCs w:val="24"/>
        </w:rPr>
        <w:t>Descriptione</w:t>
      </w:r>
      <w:r>
        <w:rPr>
          <w:rFonts w:ascii="Times New Roman" w:hAnsi="Times New Roman" w:cs="Times New Roman"/>
          <w:sz w:val="24"/>
          <w:szCs w:val="24"/>
        </w:rPr>
        <w:t xml:space="preserve"> del manoscritto di Parigi che qui pubblichiamo, dove si leggono anche notizie sulla decorazione della navata della cattedrale, omesse nelle relazioni di Dolcino e di Calco: </w:t>
      </w:r>
    </w:p>
    <w:p w14:paraId="5C43A5E2" w14:textId="77777777" w:rsidR="00395702" w:rsidRDefault="00395702" w:rsidP="00395702">
      <w:pPr>
        <w:tabs>
          <w:tab w:val="left" w:pos="567"/>
        </w:tabs>
        <w:spacing w:after="0" w:line="360" w:lineRule="auto"/>
        <w:ind w:left="567" w:right="851" w:firstLine="397"/>
        <w:jc w:val="both"/>
        <w:rPr>
          <w:rFonts w:ascii="Times New Roman" w:hAnsi="Times New Roman" w:cs="Times New Roman"/>
          <w:sz w:val="20"/>
          <w:szCs w:val="20"/>
        </w:rPr>
      </w:pPr>
    </w:p>
    <w:p w14:paraId="2A3FAFD6" w14:textId="77777777" w:rsidR="00395702" w:rsidRDefault="00395702" w:rsidP="00395702">
      <w:pPr>
        <w:tabs>
          <w:tab w:val="left" w:pos="567"/>
        </w:tabs>
        <w:spacing w:after="0" w:line="360" w:lineRule="auto"/>
        <w:ind w:left="567" w:right="851" w:firstLine="397"/>
        <w:jc w:val="both"/>
        <w:rPr>
          <w:rFonts w:ascii="Times New Roman" w:hAnsi="Times New Roman" w:cs="Times New Roman"/>
          <w:sz w:val="20"/>
          <w:szCs w:val="20"/>
        </w:rPr>
      </w:pPr>
      <w:r w:rsidRPr="003054E9">
        <w:rPr>
          <w:rFonts w:ascii="Times New Roman" w:hAnsi="Times New Roman" w:cs="Times New Roman"/>
          <w:sz w:val="20"/>
          <w:szCs w:val="20"/>
        </w:rPr>
        <w:t>Da la porta granda del Domo fin al coro de la chiesa fu costrutto uno portico in forma d’una topia suso 16 colonne da legno da ogni canto, coperto da cartoni bianchi larga l’una da l’altra braza 7. La volta era de circuli picoli de verdura con le arme ducale e de la sposa inserta, lassando tra l’uno e l’altro uno poco de vacuo per modo che si poteva vedere le volte de la chiesa. Da li lati erano poste le insignie de le cità e castelle del dominio con centauri in centro. Li lati de sotto de la volta se lassorno aperti, a ciò remanesse più chiaro e el populo che saria in la chiesa potesse meglio vedere la pompa che passaria sotto.</w:t>
      </w:r>
      <w:r>
        <w:rPr>
          <w:rStyle w:val="Rimandonotaapidipagina"/>
          <w:rFonts w:ascii="Times New Roman" w:hAnsi="Times New Roman" w:cs="Times New Roman"/>
        </w:rPr>
        <w:footnoteReference w:id="762"/>
      </w:r>
    </w:p>
    <w:p w14:paraId="68496B53" w14:textId="77777777" w:rsidR="00395702" w:rsidRDefault="00395702" w:rsidP="00395702">
      <w:pPr>
        <w:tabs>
          <w:tab w:val="left" w:pos="0"/>
        </w:tabs>
        <w:spacing w:after="0" w:line="360" w:lineRule="auto"/>
        <w:ind w:left="567" w:hanging="567"/>
        <w:jc w:val="both"/>
        <w:rPr>
          <w:rFonts w:ascii="Times New Roman" w:hAnsi="Times New Roman" w:cs="Times New Roman"/>
          <w:sz w:val="24"/>
          <w:szCs w:val="24"/>
        </w:rPr>
      </w:pPr>
    </w:p>
    <w:p w14:paraId="63A72D09"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Secondo il relatore, la navata centrale del Duomo fu abbellita da un pergolato composto da 16 colonne per ciascun lato su cui poggiavano delle arcate di verzura, disposte parallelamente alla navata, con appese le insegne delle famiglie Sforza e Aragona. Sul fusto delle colonne, così da poter essere visibili dai lati, si trovavano invece gli stemmi delle città e dei castelli sottoposti all’autorità sforzesca, inframmezzati da immagini di centauri. </w:t>
      </w:r>
    </w:p>
    <w:p w14:paraId="1F77A2F7"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Questo ameno addobbo floreale dava accesso al coro della cattedrale, che, come visto nel capitolo II, era occupato da una pedana lignea rivestita di preziosi tappeti, sui cui lati erano posizionati i tribunali per gli ambasciatori e gli ospiti più importanti. Sullo sfondo risplendeva l’</w:t>
      </w:r>
      <w:r w:rsidRPr="00EA45EC">
        <w:rPr>
          <w:rFonts w:ascii="Times New Roman" w:hAnsi="Times New Roman" w:cs="Times New Roman"/>
          <w:i/>
          <w:sz w:val="24"/>
          <w:szCs w:val="24"/>
        </w:rPr>
        <w:t>abacus</w:t>
      </w:r>
      <w:r>
        <w:rPr>
          <w:rFonts w:ascii="Times New Roman" w:hAnsi="Times New Roman" w:cs="Times New Roman"/>
          <w:sz w:val="24"/>
          <w:szCs w:val="24"/>
        </w:rPr>
        <w:t xml:space="preserve"> con i tesori del Moro e i busti dei santi. </w:t>
      </w:r>
    </w:p>
    <w:p w14:paraId="4BB39866"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 xml:space="preserve">L’estensore della </w:t>
      </w:r>
      <w:r w:rsidRPr="003A2AA4">
        <w:rPr>
          <w:rFonts w:ascii="Times New Roman" w:hAnsi="Times New Roman" w:cs="Times New Roman"/>
          <w:i/>
          <w:sz w:val="24"/>
          <w:szCs w:val="24"/>
        </w:rPr>
        <w:t>Descriptione</w:t>
      </w:r>
      <w:r>
        <w:rPr>
          <w:rFonts w:ascii="Times New Roman" w:hAnsi="Times New Roman" w:cs="Times New Roman"/>
          <w:sz w:val="24"/>
          <w:szCs w:val="24"/>
        </w:rPr>
        <w:t xml:space="preserve"> precisa che il vescovo di Piacenza Fabrizio Marliani cantò la </w:t>
      </w:r>
      <w:r w:rsidRPr="00562C6C">
        <w:rPr>
          <w:rFonts w:ascii="Times New Roman" w:hAnsi="Times New Roman" w:cs="Times New Roman"/>
          <w:i/>
          <w:sz w:val="24"/>
          <w:szCs w:val="24"/>
        </w:rPr>
        <w:t>Missa</w:t>
      </w:r>
      <w:r>
        <w:rPr>
          <w:rFonts w:ascii="Times New Roman" w:hAnsi="Times New Roman" w:cs="Times New Roman"/>
          <w:sz w:val="24"/>
          <w:szCs w:val="24"/>
        </w:rPr>
        <w:t xml:space="preserve"> </w:t>
      </w:r>
      <w:r w:rsidRPr="00403A43">
        <w:rPr>
          <w:rFonts w:ascii="Times New Roman" w:hAnsi="Times New Roman" w:cs="Times New Roman"/>
          <w:i/>
          <w:sz w:val="24"/>
          <w:szCs w:val="24"/>
        </w:rPr>
        <w:t>pro sponsu et sponsa</w:t>
      </w:r>
      <w:r>
        <w:rPr>
          <w:rFonts w:ascii="Times New Roman" w:hAnsi="Times New Roman" w:cs="Times New Roman"/>
          <w:sz w:val="24"/>
          <w:szCs w:val="24"/>
        </w:rPr>
        <w:t xml:space="preserve"> e che al termine del </w:t>
      </w:r>
      <w:r w:rsidRPr="00403A43">
        <w:rPr>
          <w:rFonts w:ascii="Times New Roman" w:hAnsi="Times New Roman" w:cs="Times New Roman"/>
          <w:i/>
          <w:sz w:val="24"/>
          <w:szCs w:val="24"/>
        </w:rPr>
        <w:t>Credo</w:t>
      </w:r>
      <w:r>
        <w:rPr>
          <w:rFonts w:ascii="Times New Roman" w:hAnsi="Times New Roman" w:cs="Times New Roman"/>
          <w:sz w:val="24"/>
          <w:szCs w:val="24"/>
        </w:rPr>
        <w:t xml:space="preserve"> Galeazzo Sanseverino, Francesco Bossi e Ambrogio da Conte portarono al celebrante i doni dell’offertorio.</w:t>
      </w:r>
      <w:r>
        <w:rPr>
          <w:rStyle w:val="Rimandonotaapidipagina"/>
          <w:rFonts w:ascii="Times New Roman" w:hAnsi="Times New Roman" w:cs="Times New Roman"/>
          <w:sz w:val="24"/>
          <w:szCs w:val="24"/>
        </w:rPr>
        <w:footnoteReference w:id="763"/>
      </w:r>
      <w:r>
        <w:rPr>
          <w:rFonts w:ascii="Times New Roman" w:hAnsi="Times New Roman" w:cs="Times New Roman"/>
          <w:sz w:val="24"/>
          <w:szCs w:val="24"/>
        </w:rPr>
        <w:t xml:space="preserve"> A loro fu fatta baciare una reliquia. Cantato il </w:t>
      </w:r>
      <w:r w:rsidRPr="00403A43">
        <w:rPr>
          <w:rFonts w:ascii="Times New Roman" w:hAnsi="Times New Roman" w:cs="Times New Roman"/>
          <w:i/>
          <w:sz w:val="24"/>
          <w:szCs w:val="24"/>
        </w:rPr>
        <w:t>Pax Domini</w:t>
      </w:r>
      <w:r>
        <w:rPr>
          <w:rFonts w:ascii="Times New Roman" w:hAnsi="Times New Roman" w:cs="Times New Roman"/>
          <w:sz w:val="24"/>
          <w:szCs w:val="24"/>
        </w:rPr>
        <w:t xml:space="preserve"> il subdiacono presentò gli anelli per la benedizione, seguita dalla recita dell’orazione nuziale «</w:t>
      </w:r>
      <w:r w:rsidRPr="00096071">
        <w:rPr>
          <w:rFonts w:ascii="Times New Roman" w:hAnsi="Times New Roman" w:cs="Times New Roman"/>
          <w:sz w:val="24"/>
          <w:szCs w:val="24"/>
        </w:rPr>
        <w:t>bene ornatissima</w:t>
      </w:r>
      <w:r>
        <w:rPr>
          <w:rFonts w:ascii="Times New Roman" w:hAnsi="Times New Roman" w:cs="Times New Roman"/>
          <w:sz w:val="24"/>
          <w:szCs w:val="24"/>
        </w:rPr>
        <w:t>,</w:t>
      </w:r>
      <w:r w:rsidRPr="00096071">
        <w:rPr>
          <w:rFonts w:ascii="Times New Roman" w:hAnsi="Times New Roman" w:cs="Times New Roman"/>
          <w:sz w:val="24"/>
          <w:szCs w:val="24"/>
        </w:rPr>
        <w:t xml:space="preserve"> molto accomodata</w:t>
      </w:r>
      <w:r>
        <w:rPr>
          <w:rFonts w:ascii="Times New Roman" w:hAnsi="Times New Roman" w:cs="Times New Roman"/>
          <w:sz w:val="24"/>
          <w:szCs w:val="24"/>
        </w:rPr>
        <w:t>,</w:t>
      </w:r>
      <w:r w:rsidRPr="00096071">
        <w:rPr>
          <w:rFonts w:ascii="Times New Roman" w:hAnsi="Times New Roman" w:cs="Times New Roman"/>
          <w:sz w:val="24"/>
          <w:szCs w:val="24"/>
        </w:rPr>
        <w:t xml:space="preserve"> con quelli gesti e voce che se potessino desiderare in uno optimo oratore</w:t>
      </w:r>
      <w:r>
        <w:rPr>
          <w:rFonts w:ascii="Times New Roman" w:hAnsi="Times New Roman" w:cs="Times New Roman"/>
          <w:sz w:val="24"/>
          <w:szCs w:val="24"/>
        </w:rPr>
        <w:t>» da parte del vescovo di Maillezais, Federico Sanseverino. Conclusa la sua lettura il presule benedisse gli sposi mentre Ludovico Sforza, conformemente al ruolo eminente avuto nelle trattative per le nozze, reggeva la mano della sposa per l’</w:t>
      </w:r>
      <w:r w:rsidRPr="008322BD">
        <w:rPr>
          <w:rFonts w:ascii="Times New Roman" w:hAnsi="Times New Roman" w:cs="Times New Roman"/>
          <w:i/>
          <w:sz w:val="24"/>
          <w:szCs w:val="24"/>
        </w:rPr>
        <w:t xml:space="preserve">imissio anuli </w:t>
      </w:r>
      <w:r>
        <w:rPr>
          <w:rFonts w:ascii="Times New Roman" w:hAnsi="Times New Roman" w:cs="Times New Roman"/>
          <w:sz w:val="24"/>
          <w:szCs w:val="24"/>
        </w:rPr>
        <w:t xml:space="preserve">da parte del duca. </w:t>
      </w:r>
    </w:p>
    <w:p w14:paraId="43EA6383"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Marliani fece quindi inginocchiare marito e moglie e pronunciò su di loro un’altra preghiera, dopo la quale tutti tornarono ai loro scranni perché la messa potesse proseguire fino alla conclusione, segnata dal canto del </w:t>
      </w:r>
      <w:r w:rsidRPr="00233F95">
        <w:rPr>
          <w:rFonts w:ascii="Times New Roman" w:hAnsi="Times New Roman" w:cs="Times New Roman"/>
          <w:i/>
          <w:sz w:val="24"/>
          <w:szCs w:val="24"/>
        </w:rPr>
        <w:t>Te Deum</w:t>
      </w:r>
      <w:r>
        <w:rPr>
          <w:rFonts w:ascii="Times New Roman" w:hAnsi="Times New Roman" w:cs="Times New Roman"/>
          <w:sz w:val="24"/>
          <w:szCs w:val="24"/>
        </w:rPr>
        <w:t xml:space="preserve">, abitualmente </w:t>
      </w:r>
      <w:r w:rsidRPr="001A6328">
        <w:rPr>
          <w:rFonts w:ascii="Times New Roman" w:hAnsi="Times New Roman" w:cs="Times New Roman"/>
          <w:sz w:val="24"/>
          <w:szCs w:val="24"/>
        </w:rPr>
        <w:t>non previsto</w:t>
      </w:r>
      <w:r>
        <w:rPr>
          <w:rFonts w:ascii="Times New Roman" w:hAnsi="Times New Roman" w:cs="Times New Roman"/>
          <w:sz w:val="24"/>
          <w:szCs w:val="24"/>
        </w:rPr>
        <w:t xml:space="preserve"> dalla liturgia della </w:t>
      </w:r>
      <w:r w:rsidRPr="00554A61">
        <w:rPr>
          <w:rFonts w:ascii="Times New Roman" w:hAnsi="Times New Roman" w:cs="Times New Roman"/>
          <w:i/>
          <w:sz w:val="24"/>
          <w:szCs w:val="24"/>
        </w:rPr>
        <w:t>Missa pro sponsu et sponsa</w:t>
      </w:r>
      <w:r>
        <w:rPr>
          <w:rFonts w:ascii="Times New Roman" w:hAnsi="Times New Roman" w:cs="Times New Roman"/>
          <w:sz w:val="24"/>
          <w:szCs w:val="24"/>
        </w:rPr>
        <w:t>. La funzione si chiuse, come detto, con l’investitura dei cavalieri Bartolomeo Calco e Piero Alamanni, così come al termine della propria messa nuziale Ercole d’Este volle elevare alla dignità di cavaliere Antonio Maria Pico della Mirandola e due ignoti gentiluomini forestieri.</w:t>
      </w:r>
      <w:r>
        <w:rPr>
          <w:rStyle w:val="Rimandonotaapidipagina"/>
          <w:rFonts w:ascii="Times New Roman" w:hAnsi="Times New Roman" w:cs="Times New Roman"/>
          <w:sz w:val="24"/>
          <w:szCs w:val="24"/>
        </w:rPr>
        <w:footnoteReference w:id="764"/>
      </w:r>
      <w:r>
        <w:rPr>
          <w:rFonts w:ascii="Times New Roman" w:hAnsi="Times New Roman" w:cs="Times New Roman"/>
          <w:sz w:val="24"/>
          <w:szCs w:val="24"/>
        </w:rPr>
        <w:t xml:space="preserve"> </w:t>
      </w:r>
    </w:p>
    <w:p w14:paraId="11F865FE" w14:textId="77777777" w:rsidR="00395702" w:rsidRDefault="00E556DE"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w:t>
      </w:r>
      <w:r w:rsidR="00395702">
        <w:rPr>
          <w:rFonts w:ascii="Times New Roman" w:hAnsi="Times New Roman" w:cs="Times New Roman"/>
          <w:sz w:val="24"/>
          <w:szCs w:val="24"/>
        </w:rPr>
        <w:t xml:space="preserve">indugio sulle notizie riguardanti la funzione per lo sposalizio di Isabella d’Aragona è giustificato dal fatto che, nelle descrizioni ufficiali degli sposalizi, le informazioni sulle cerimonie religiose che ebbero per protagonisti i principi dell’epoca in esame sono solitamente più sommarie, così come quelle inerenti alle decorazioni, certamente sfarzose, delle chiese prescelte. </w:t>
      </w:r>
    </w:p>
    <w:p w14:paraId="016D8D1B"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La stessa messa nuziale, non necessaria, era frequentemente sostituita dalla semplice benedizione degli sposi. Il 28 maggio 1477, ad esempio, Caterina Sforza e Girolamo Riario, dopo la messa di Pentecoste officiata da Sisto IV nella basilica di San Pietro, furono condotti in una cappella del Palazzo Apostolico, sontuosamente parata, dove alla presenza dei cardinali e degli ambasciatori residenti Gianluigi Bossi pronunciò un’elegante orazione in latino per presentare la nuova contessa di Imola al papa, il quale benedisse la sua unione con Girolamo, donandole una collana di grande valore. Per solennizzare la funzione, ribadire le buone alleanze con il ducato di Milano e ringraziare l’eccellente oratore il pontefice volle inoltre creare Bossi cavaliere.</w:t>
      </w:r>
    </w:p>
    <w:p w14:paraId="62CAF164"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Una lettera di Sacromoro Sacromori, vescovo di Parma, a Bona di Savoia dichiara che il diplomatico fu sulle prime colpito dall’onore concessogli, al punto da essere titubante sull’accettazione della nomina, cui acconsentì dopo un consulto con il Sacromori stesso che gli esplicitò come l’onorificenza avrebbe dato prestigio anche alla casata sforzesca che Bossi rappresentava.</w:t>
      </w:r>
      <w:r>
        <w:rPr>
          <w:rStyle w:val="Rimandonotaapidipagina"/>
          <w:rFonts w:ascii="Times New Roman" w:hAnsi="Times New Roman" w:cs="Times New Roman"/>
          <w:sz w:val="24"/>
          <w:szCs w:val="24"/>
        </w:rPr>
        <w:footnoteReference w:id="765"/>
      </w:r>
      <w:r>
        <w:rPr>
          <w:rFonts w:ascii="Times New Roman" w:hAnsi="Times New Roman" w:cs="Times New Roman"/>
          <w:sz w:val="24"/>
          <w:szCs w:val="24"/>
        </w:rPr>
        <w:t xml:space="preserve"> Anche di questa investitura diedero un puntuale resoconto i </w:t>
      </w:r>
      <w:r w:rsidRPr="005D2284">
        <w:rPr>
          <w:rFonts w:ascii="Times New Roman" w:hAnsi="Times New Roman" w:cs="Times New Roman"/>
          <w:i/>
          <w:sz w:val="24"/>
          <w:szCs w:val="24"/>
        </w:rPr>
        <w:t>Servitores aulici</w:t>
      </w:r>
      <w:r>
        <w:rPr>
          <w:rFonts w:ascii="Times New Roman" w:hAnsi="Times New Roman" w:cs="Times New Roman"/>
          <w:sz w:val="24"/>
          <w:szCs w:val="24"/>
        </w:rPr>
        <w:t xml:space="preserve">: </w:t>
      </w:r>
    </w:p>
    <w:p w14:paraId="1E9B6618"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 </w:t>
      </w:r>
    </w:p>
    <w:p w14:paraId="4AA860B7" w14:textId="77777777" w:rsidR="00395702" w:rsidRPr="005D2284" w:rsidRDefault="00395702" w:rsidP="00395702">
      <w:pPr>
        <w:tabs>
          <w:tab w:val="left" w:pos="567"/>
        </w:tabs>
        <w:spacing w:after="0" w:line="360" w:lineRule="auto"/>
        <w:ind w:left="567" w:right="851" w:firstLine="397"/>
        <w:jc w:val="both"/>
        <w:rPr>
          <w:rFonts w:ascii="Times New Roman" w:hAnsi="Times New Roman" w:cs="Times New Roman"/>
          <w:sz w:val="20"/>
          <w:szCs w:val="20"/>
        </w:rPr>
      </w:pPr>
      <w:r w:rsidRPr="005D2284">
        <w:rPr>
          <w:rFonts w:ascii="Times New Roman" w:hAnsi="Times New Roman" w:cs="Times New Roman"/>
          <w:sz w:val="20"/>
          <w:szCs w:val="20"/>
        </w:rPr>
        <w:t xml:space="preserve">Doppo questa Sua Beatitudine si voltò al Magnifico D. Iohanni Aluiso et disseli: «Domine orator, la vostra virtute merita exaltatione et deliberiamo farvi cavalieri» et fieri portare una spata et dicte certe oratione li cinse la spata </w:t>
      </w:r>
      <w:r w:rsidRPr="005D2284">
        <w:rPr>
          <w:rFonts w:ascii="Times New Roman" w:hAnsi="Times New Roman" w:cs="Times New Roman"/>
          <w:i/>
          <w:sz w:val="20"/>
          <w:szCs w:val="20"/>
        </w:rPr>
        <w:t>manibus propriis</w:t>
      </w:r>
      <w:r w:rsidRPr="005D2284">
        <w:rPr>
          <w:rFonts w:ascii="Times New Roman" w:hAnsi="Times New Roman" w:cs="Times New Roman"/>
          <w:sz w:val="20"/>
          <w:szCs w:val="20"/>
        </w:rPr>
        <w:t xml:space="preserve"> et folli messo li speroni dal prefeto el D.no Antonio suoi nepote et avendo cavata la spata el M.co D. Iohanni Aluisio gliela dette in mano et </w:t>
      </w:r>
      <w:r w:rsidRPr="005D2284">
        <w:rPr>
          <w:rFonts w:ascii="Times New Roman" w:hAnsi="Times New Roman" w:cs="Times New Roman"/>
          <w:i/>
          <w:sz w:val="20"/>
          <w:szCs w:val="20"/>
        </w:rPr>
        <w:t>finaliter</w:t>
      </w:r>
      <w:r w:rsidRPr="005D2284">
        <w:rPr>
          <w:rFonts w:ascii="Times New Roman" w:hAnsi="Times New Roman" w:cs="Times New Roman"/>
          <w:sz w:val="20"/>
          <w:szCs w:val="20"/>
        </w:rPr>
        <w:t xml:space="preserve"> furono facti tutte le cerimonie che a tale acto se richiedono, ataccandoli in segno de milicia uno gioieletto cum le chiave dentro dicendoli che questo non era quello li volea fare pigliandoli et stringedoli il volto cum le sue mano in segno de amore. Et dipoi tucti forno licentiati da Sua Santità.</w:t>
      </w:r>
      <w:r w:rsidRPr="005D2284">
        <w:rPr>
          <w:rStyle w:val="Rimandonotaapidipagina"/>
          <w:rFonts w:ascii="Times New Roman" w:hAnsi="Times New Roman" w:cs="Times New Roman"/>
        </w:rPr>
        <w:footnoteReference w:id="766"/>
      </w:r>
    </w:p>
    <w:p w14:paraId="38931696"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p>
    <w:p w14:paraId="7DD6449E"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Dalla descrizione del cerimoniale si comprende come la milizia cui fu elevato l’oratore sforzesco fosse quella dell’Ordine dello Speron d’Oro, la cui fondazione si faceva risalire all’imperatore Costantino e a san Silvestro papa. Nel secolo XV, la cerimonia di investitura dei cavalieri prevedeva precisamente che il pontefice cingesse la vita del milite di un cinturone, cui era appesa una spada, e che questi, ricevuti gli sproni dorati, sguainasse l’arma vibrandola per tre volte nell’aria prima di riconsegnarla al papa, il quale pronunciava le formule di concessione del titolo toccando con la sua punta le spalle e il capo del cavaliere.</w:t>
      </w:r>
      <w:r>
        <w:rPr>
          <w:rStyle w:val="Rimandonotaapidipagina"/>
          <w:rFonts w:ascii="Times New Roman" w:hAnsi="Times New Roman" w:cs="Times New Roman"/>
          <w:sz w:val="24"/>
          <w:szCs w:val="24"/>
        </w:rPr>
        <w:footnoteReference w:id="767"/>
      </w:r>
      <w:r>
        <w:rPr>
          <w:rFonts w:ascii="Times New Roman" w:hAnsi="Times New Roman" w:cs="Times New Roman"/>
          <w:sz w:val="24"/>
          <w:szCs w:val="24"/>
        </w:rPr>
        <w:t xml:space="preserve">  </w:t>
      </w:r>
    </w:p>
    <w:p w14:paraId="20135038"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Nel 1367 Urbano V conferì al marchese Niccolò II d’Este e alla sua discendenza l’autorità per creare nuovi cavalieri aurati. Autorità che, come abbiamo visto, Ercole I esercitò nelle sue nozze e nel 1487 durante quelle del Bentivoglio, nominando cavaliere il gentiluomo bolognese Bernardino Gozzadini.</w:t>
      </w:r>
      <w:r>
        <w:rPr>
          <w:rStyle w:val="Rimandonotaapidipagina"/>
          <w:rFonts w:ascii="Times New Roman" w:hAnsi="Times New Roman" w:cs="Times New Roman"/>
          <w:sz w:val="24"/>
          <w:szCs w:val="24"/>
        </w:rPr>
        <w:footnoteReference w:id="768"/>
      </w:r>
      <w:r>
        <w:rPr>
          <w:rFonts w:ascii="Times New Roman" w:hAnsi="Times New Roman" w:cs="Times New Roman"/>
          <w:sz w:val="24"/>
          <w:szCs w:val="24"/>
        </w:rPr>
        <w:t xml:space="preserve"> </w:t>
      </w:r>
    </w:p>
    <w:p w14:paraId="1FF940B3"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 xml:space="preserve">Altre investiture cavalleresche </w:t>
      </w:r>
      <w:r w:rsidRPr="0031598F">
        <w:rPr>
          <w:rFonts w:ascii="Times New Roman" w:hAnsi="Times New Roman" w:cs="Times New Roman"/>
          <w:sz w:val="24"/>
          <w:szCs w:val="24"/>
        </w:rPr>
        <w:t>attendevano</w:t>
      </w:r>
      <w:r w:rsidRPr="00707EE3">
        <w:rPr>
          <w:rFonts w:ascii="Times New Roman" w:hAnsi="Times New Roman" w:cs="Times New Roman"/>
          <w:color w:val="FF0000"/>
          <w:sz w:val="24"/>
          <w:szCs w:val="24"/>
        </w:rPr>
        <w:t xml:space="preserve"> </w:t>
      </w:r>
      <w:r>
        <w:rPr>
          <w:rFonts w:ascii="Times New Roman" w:hAnsi="Times New Roman" w:cs="Times New Roman"/>
          <w:sz w:val="24"/>
          <w:szCs w:val="24"/>
        </w:rPr>
        <w:t xml:space="preserve">il duca estense durante i festeggiamenti per il matrimonio di Lucrezia Borgia. Domenica 30 gennaio 1502, mentre Ferrara </w:t>
      </w:r>
      <w:r w:rsidRPr="00E74403">
        <w:rPr>
          <w:rFonts w:ascii="Times New Roman" w:hAnsi="Times New Roman" w:cs="Times New Roman"/>
          <w:sz w:val="24"/>
          <w:szCs w:val="24"/>
        </w:rPr>
        <w:t>attendeva</w:t>
      </w:r>
      <w:r w:rsidRPr="00707EE3">
        <w:rPr>
          <w:rFonts w:ascii="Times New Roman" w:hAnsi="Times New Roman" w:cs="Times New Roman"/>
          <w:color w:val="FF0000"/>
          <w:sz w:val="24"/>
          <w:szCs w:val="24"/>
        </w:rPr>
        <w:t xml:space="preserve"> </w:t>
      </w:r>
      <w:r>
        <w:rPr>
          <w:rFonts w:ascii="Times New Roman" w:hAnsi="Times New Roman" w:cs="Times New Roman"/>
          <w:sz w:val="24"/>
          <w:szCs w:val="24"/>
        </w:rPr>
        <w:t xml:space="preserve">ancora l’arrivo del corteo della sposa, egli «fece cavalieri dal sperone d’oro Aldrovandino Turcho, </w:t>
      </w:r>
      <w:r w:rsidRPr="003C0F40">
        <w:rPr>
          <w:rFonts w:ascii="Times New Roman" w:hAnsi="Times New Roman" w:cs="Times New Roman"/>
          <w:i/>
          <w:sz w:val="24"/>
          <w:szCs w:val="24"/>
        </w:rPr>
        <w:t>alias</w:t>
      </w:r>
      <w:r>
        <w:rPr>
          <w:rFonts w:ascii="Times New Roman" w:hAnsi="Times New Roman" w:cs="Times New Roman"/>
          <w:sz w:val="24"/>
          <w:szCs w:val="24"/>
        </w:rPr>
        <w:t xml:space="preserve"> Tegrino. Mastro Francesco da Castello, medico»,</w:t>
      </w:r>
      <w:r>
        <w:rPr>
          <w:rStyle w:val="Rimandonotaapidipagina"/>
          <w:rFonts w:ascii="Times New Roman" w:hAnsi="Times New Roman" w:cs="Times New Roman"/>
          <w:sz w:val="24"/>
          <w:szCs w:val="24"/>
        </w:rPr>
        <w:footnoteReference w:id="769"/>
      </w:r>
      <w:r>
        <w:rPr>
          <w:rFonts w:ascii="Times New Roman" w:hAnsi="Times New Roman" w:cs="Times New Roman"/>
          <w:sz w:val="24"/>
          <w:szCs w:val="24"/>
        </w:rPr>
        <w:t xml:space="preserve"> mentre la domenica seguente la città assistette a una funzione ancora più pomposa e importante: </w:t>
      </w:r>
    </w:p>
    <w:p w14:paraId="3833CA07"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p>
    <w:p w14:paraId="35DA2E75" w14:textId="77777777" w:rsidR="00395702" w:rsidRPr="005E2EF1" w:rsidRDefault="00395702" w:rsidP="00395702">
      <w:pPr>
        <w:spacing w:after="0" w:line="360" w:lineRule="auto"/>
        <w:ind w:left="397" w:right="851" w:firstLine="397"/>
        <w:jc w:val="both"/>
        <w:rPr>
          <w:rFonts w:ascii="Times New Roman" w:hAnsi="Times New Roman" w:cs="Times New Roman"/>
          <w:sz w:val="20"/>
          <w:szCs w:val="20"/>
        </w:rPr>
      </w:pPr>
      <w:r w:rsidRPr="005E2EF1">
        <w:rPr>
          <w:rFonts w:ascii="Times New Roman" w:hAnsi="Times New Roman" w:cs="Times New Roman"/>
          <w:sz w:val="20"/>
          <w:szCs w:val="20"/>
        </w:rPr>
        <w:t xml:space="preserve">In lo vescovato de Ferrara, per uno certo vescovo venuto heri da Roma dal Papa al signore fu cantata la Mesa, et per lo ambasatore franzoxe fu, in nome del papa, cinta una bellissima spada al signore don Alfonso et dopoi posta in capo una certa breta foderata de varo, con zoje ornata de gran pretio, con quatro piche sive cordule dorate, et con una columba in cima lavorata de zoie, videlicet facta de zoie, in presentia de tuti li ambasaturi, excepto che de’ venetiani, et in presentia de tuto il populo de Ferara et de tuta la illustrissima Casa d’Este, stando in zenochione il prefacto signore don Alfonso. Et ge fu lecto una </w:t>
      </w:r>
      <w:r>
        <w:rPr>
          <w:rFonts w:ascii="Times New Roman" w:hAnsi="Times New Roman" w:cs="Times New Roman"/>
          <w:sz w:val="20"/>
          <w:szCs w:val="20"/>
        </w:rPr>
        <w:t>b</w:t>
      </w:r>
      <w:r w:rsidRPr="005E2EF1">
        <w:rPr>
          <w:rFonts w:ascii="Times New Roman" w:hAnsi="Times New Roman" w:cs="Times New Roman"/>
          <w:sz w:val="20"/>
          <w:szCs w:val="20"/>
        </w:rPr>
        <w:t>ulla, che male se puotè intendere, ma fu dicto ch’el Papa per quelo acto confirmava signore et duca de Ferrara et cavaliero de Sancto Pietro el prefacto Don Alfonso dopoi morte del duca Hercole suo padre; lo quale duca Hercole non fu a tale acto.</w:t>
      </w:r>
      <w:r w:rsidRPr="005E2EF1">
        <w:rPr>
          <w:rStyle w:val="Rimandonotaapidipagina"/>
          <w:rFonts w:ascii="Times New Roman" w:hAnsi="Times New Roman" w:cs="Times New Roman"/>
        </w:rPr>
        <w:footnoteReference w:id="770"/>
      </w:r>
      <w:r w:rsidRPr="005E2EF1">
        <w:rPr>
          <w:rFonts w:ascii="Times New Roman" w:hAnsi="Times New Roman" w:cs="Times New Roman"/>
          <w:sz w:val="20"/>
          <w:szCs w:val="20"/>
        </w:rPr>
        <w:t xml:space="preserve"> </w:t>
      </w:r>
    </w:p>
    <w:p w14:paraId="0E351606"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p>
    <w:p w14:paraId="259A9DA7"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In questa messa, cantata dal legato pontificio Pietro Gamboa, vescovo di Gaeta, Alfonso d’Este, – come precisa la testimonianza di Marin Sanu</w:t>
      </w:r>
      <w:r w:rsidR="00056B58">
        <w:rPr>
          <w:rFonts w:ascii="Times New Roman" w:hAnsi="Times New Roman" w:cs="Times New Roman"/>
          <w:sz w:val="24"/>
          <w:szCs w:val="24"/>
        </w:rPr>
        <w:t>t</w:t>
      </w:r>
      <w:r>
        <w:rPr>
          <w:rFonts w:ascii="Times New Roman" w:hAnsi="Times New Roman" w:cs="Times New Roman"/>
          <w:sz w:val="24"/>
          <w:szCs w:val="24"/>
        </w:rPr>
        <w:t>o – venne rivestito con l’aiuto di Filippo della Rocca Bertì dello stocco e del berrettone. Queste due insegne onorifiche venivano benedette ogni anno dal pontefice nella basilica vaticana nella notte di Natale per farne omaggio a un principe cattolico che si fosse distinto nell’esercizio delle virtù cristiane e nella difesa della Chiesa.</w:t>
      </w:r>
      <w:r>
        <w:rPr>
          <w:rStyle w:val="Rimandonotaapidipagina"/>
          <w:rFonts w:ascii="Times New Roman" w:hAnsi="Times New Roman" w:cs="Times New Roman"/>
          <w:sz w:val="24"/>
          <w:szCs w:val="24"/>
        </w:rPr>
        <w:footnoteReference w:id="771"/>
      </w:r>
      <w:r>
        <w:rPr>
          <w:rFonts w:ascii="Times New Roman" w:hAnsi="Times New Roman" w:cs="Times New Roman"/>
          <w:sz w:val="24"/>
          <w:szCs w:val="24"/>
        </w:rPr>
        <w:t xml:space="preserve"> Il </w:t>
      </w:r>
      <w:r w:rsidRPr="00843D14">
        <w:rPr>
          <w:rFonts w:ascii="Times New Roman" w:hAnsi="Times New Roman" w:cs="Times New Roman"/>
          <w:i/>
          <w:sz w:val="24"/>
          <w:szCs w:val="24"/>
        </w:rPr>
        <w:t>Diario ferrarese</w:t>
      </w:r>
      <w:r>
        <w:rPr>
          <w:rFonts w:ascii="Times New Roman" w:hAnsi="Times New Roman" w:cs="Times New Roman"/>
          <w:sz w:val="24"/>
          <w:szCs w:val="24"/>
        </w:rPr>
        <w:t xml:space="preserve"> descrive una grande calca di popolo desiderosa di assistere al rituale della loro assegnazione ad Alfonso d’Este. La bolla papale che fu letta alla fine della cerimonia conteneva, infatti, oltre all’elevazione del principe nell’ordine cavalleresco di san Pietro, un messaggio importante che riguardava da vicino i ferraresi: l’autorizzazione del papa a trasmettere il titolo ducale ad Alfonso dopo la morte di Ercole I, la quale rendeva ufficialmente ereditario il potere sul feudo pontificio per i discendenti della famiglia d’Este. La concessione dell’ereditarietà era stata, infatti, contrattata nell’agosto del 1501, durante le trattative tra gli estensi e i Borgia che portarono alla stipula del contratto nuziale.</w:t>
      </w:r>
    </w:p>
    <w:p w14:paraId="379ECF5C"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Lo sposalizio di Lucrezia fu pertanto un evento dinastico essenziale per le sorti del ducato di Ferrara, così come lo furono le nozze di Sforza Maria Sforza con Eleonora d’Aragona per la definizione della geografia delle aree d’influenza sforzesca in Italia. Abbiamo visto, infatti, come in tale occasione lo sposo avesse ricevuto da Ferrante d’Aragona il titolo di duca di Bari, detenuto dalla famiglia Sforza fino alla cacciata di Ludovico il Moro.</w:t>
      </w:r>
      <w:r>
        <w:rPr>
          <w:rStyle w:val="Rimandonotaapidipagina"/>
          <w:rFonts w:ascii="Times New Roman" w:hAnsi="Times New Roman" w:cs="Times New Roman"/>
          <w:sz w:val="24"/>
          <w:szCs w:val="24"/>
        </w:rPr>
        <w:footnoteReference w:id="772"/>
      </w:r>
      <w:r>
        <w:rPr>
          <w:rFonts w:ascii="Times New Roman" w:hAnsi="Times New Roman" w:cs="Times New Roman"/>
          <w:sz w:val="24"/>
          <w:szCs w:val="24"/>
        </w:rPr>
        <w:t xml:space="preserve"> </w:t>
      </w:r>
    </w:p>
    <w:p w14:paraId="6285BF08"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Anche i sovrani aragonesi seppero quindi servirsi della concessione di titoli cavallereschi e nobiliari durante gli sposalizi dei membri della loro casata,</w:t>
      </w:r>
      <w:r w:rsidRPr="000A256A">
        <w:rPr>
          <w:rFonts w:ascii="Times New Roman" w:hAnsi="Times New Roman" w:cs="Times New Roman"/>
          <w:sz w:val="24"/>
          <w:szCs w:val="24"/>
        </w:rPr>
        <w:t xml:space="preserve"> </w:t>
      </w:r>
      <w:r>
        <w:rPr>
          <w:rFonts w:ascii="Times New Roman" w:hAnsi="Times New Roman" w:cs="Times New Roman"/>
          <w:sz w:val="24"/>
          <w:szCs w:val="24"/>
        </w:rPr>
        <w:t>al fine di legare il consenso della nobiltà dei seggi cittadini e quello degli alleati esteri all’autorità regia.</w:t>
      </w:r>
      <w:r>
        <w:rPr>
          <w:rStyle w:val="Rimandonotaapidipagina"/>
          <w:rFonts w:ascii="Times New Roman" w:hAnsi="Times New Roman" w:cs="Times New Roman"/>
          <w:sz w:val="24"/>
          <w:szCs w:val="24"/>
        </w:rPr>
        <w:footnoteReference w:id="773"/>
      </w:r>
      <w:r>
        <w:rPr>
          <w:rFonts w:ascii="Times New Roman" w:hAnsi="Times New Roman" w:cs="Times New Roman"/>
          <w:sz w:val="24"/>
          <w:szCs w:val="24"/>
        </w:rPr>
        <w:t xml:space="preserve"> Del resto, i re stessi avevano fatto diretta esperienza dell’utilità di questa pratica araldica per consolidare importanti alleanze internazionali. </w:t>
      </w:r>
      <w:r w:rsidRPr="007678A6">
        <w:rPr>
          <w:rFonts w:ascii="Times New Roman" w:hAnsi="Times New Roman" w:cs="Times New Roman"/>
          <w:sz w:val="24"/>
          <w:szCs w:val="24"/>
        </w:rPr>
        <w:t>Nel capitolo dell’Ordine del Toson d’oro tenuto</w:t>
      </w:r>
      <w:r>
        <w:rPr>
          <w:rFonts w:ascii="Times New Roman" w:hAnsi="Times New Roman" w:cs="Times New Roman"/>
          <w:sz w:val="24"/>
          <w:szCs w:val="24"/>
        </w:rPr>
        <w:t>si</w:t>
      </w:r>
      <w:r w:rsidRPr="007678A6">
        <w:rPr>
          <w:rFonts w:ascii="Times New Roman" w:hAnsi="Times New Roman" w:cs="Times New Roman"/>
          <w:sz w:val="24"/>
          <w:szCs w:val="24"/>
        </w:rPr>
        <w:t xml:space="preserve"> a Gand nel 1445 Alfonso il Magnanimo fu eletto, infatti, cavaliere</w:t>
      </w:r>
      <w:r>
        <w:rPr>
          <w:rFonts w:ascii="Times New Roman" w:hAnsi="Times New Roman" w:cs="Times New Roman"/>
          <w:sz w:val="24"/>
          <w:szCs w:val="24"/>
        </w:rPr>
        <w:t>,</w:t>
      </w:r>
      <w:r w:rsidRPr="007678A6">
        <w:rPr>
          <w:rFonts w:ascii="Times New Roman" w:hAnsi="Times New Roman" w:cs="Times New Roman"/>
          <w:sz w:val="24"/>
          <w:szCs w:val="24"/>
        </w:rPr>
        <w:t xml:space="preserve"> e in segno di ringraziamento e di riconoscenza volle offrire a sua volta a Filippo il Buono di Borgogna l’ordine della Stola e de</w:t>
      </w:r>
      <w:r w:rsidR="0044292D">
        <w:rPr>
          <w:rFonts w:ascii="Times New Roman" w:hAnsi="Times New Roman" w:cs="Times New Roman"/>
          <w:sz w:val="24"/>
          <w:szCs w:val="24"/>
        </w:rPr>
        <w:t>l</w:t>
      </w:r>
      <w:r w:rsidRPr="007678A6">
        <w:rPr>
          <w:rFonts w:ascii="Times New Roman" w:hAnsi="Times New Roman" w:cs="Times New Roman"/>
          <w:sz w:val="24"/>
          <w:szCs w:val="24"/>
        </w:rPr>
        <w:t>la Giarra</w:t>
      </w:r>
      <w:r>
        <w:rPr>
          <w:rFonts w:ascii="Times New Roman" w:hAnsi="Times New Roman" w:cs="Times New Roman"/>
          <w:sz w:val="24"/>
          <w:szCs w:val="24"/>
        </w:rPr>
        <w:t>, nella prospettiva di un’intesa sempre più salda con i duchi borgognoni.</w:t>
      </w:r>
      <w:r>
        <w:rPr>
          <w:rStyle w:val="Rimandonotaapidipagina"/>
          <w:rFonts w:ascii="Times New Roman" w:hAnsi="Times New Roman" w:cs="Times New Roman"/>
          <w:sz w:val="24"/>
          <w:szCs w:val="24"/>
        </w:rPr>
        <w:footnoteReference w:id="774"/>
      </w:r>
    </w:p>
    <w:p w14:paraId="3FFE821A"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Non sorprende dunque il fatto che, il 16 settembre 1477, l’ordinazione di ben venti nuovi cavalieri chiudesse la messa dell’incoronazione di Giovanna regina di Napoli, celebrata dal cardinale Borgia su «uno catafalco molto degno et bene lavorato» eretto in Piazza dell’Incoronata per volere di Ferrante d’Aragona.</w:t>
      </w:r>
      <w:r>
        <w:rPr>
          <w:rStyle w:val="Rimandonotaapidipagina"/>
          <w:rFonts w:ascii="Times New Roman" w:hAnsi="Times New Roman" w:cs="Times New Roman"/>
          <w:sz w:val="24"/>
          <w:szCs w:val="24"/>
        </w:rPr>
        <w:footnoteReference w:id="775"/>
      </w:r>
      <w:r>
        <w:rPr>
          <w:rFonts w:ascii="Times New Roman" w:hAnsi="Times New Roman" w:cs="Times New Roman"/>
          <w:sz w:val="24"/>
          <w:szCs w:val="24"/>
        </w:rPr>
        <w:t xml:space="preserve">  </w:t>
      </w:r>
    </w:p>
    <w:p w14:paraId="21D20460"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Notar Giacomo, nella sua </w:t>
      </w:r>
      <w:r w:rsidRPr="00C71029">
        <w:rPr>
          <w:rFonts w:ascii="Times New Roman" w:hAnsi="Times New Roman" w:cs="Times New Roman"/>
          <w:i/>
          <w:sz w:val="24"/>
          <w:szCs w:val="24"/>
        </w:rPr>
        <w:t>Cronica</w:t>
      </w:r>
      <w:r w:rsidRPr="00896E7E">
        <w:rPr>
          <w:rFonts w:ascii="Times New Roman" w:hAnsi="Times New Roman" w:cs="Times New Roman"/>
          <w:sz w:val="24"/>
          <w:szCs w:val="24"/>
        </w:rPr>
        <w:t>,</w:t>
      </w:r>
      <w:r>
        <w:rPr>
          <w:rFonts w:ascii="Times New Roman" w:hAnsi="Times New Roman" w:cs="Times New Roman"/>
          <w:sz w:val="24"/>
          <w:szCs w:val="24"/>
        </w:rPr>
        <w:t xml:space="preserve"> annotò con minuziosa attenzione tutti i gesti del rituale. Prima dell’inizio della Messa, seduti su due scranni Giovanna e Ferrante ascoltarono il legato pontificio cantare le litanie, dopo di che due vescovi insieme ai duchi di Andria e di Calabria accompagnarono la regina davanti al cardinale Rodrigo Borgia, che le unse con il crisma la spalla destra e le donò una tunicella bianca. Il duca di Venosa, il principe di Bisignano e messer Anello Arcamone le presentarono quindi l’orbe d’oro, lo scettro e la corona, che le fu posta in capo dal celebrante. La liturgia proseguì quindi regolarmente fino all’offertorio, quando la nuova sovrana presentò un’offerta all’altare e baciò la Pace, che ella porse poi alla duchessa di Calabria, Ippolita Sforza. Data la benedizione finale Ferrante armò i nuovi cavalieri e aprì con loro il corteo che si diresse a Castel Nuovo per il pranzo. </w:t>
      </w:r>
    </w:p>
    <w:p w14:paraId="10FEA40E"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 xml:space="preserve">Le cerimonie che segnarono l’arrivo dalla Catalogna di Giovanna </w:t>
      </w:r>
      <w:r w:rsidRPr="00530BFD">
        <w:rPr>
          <w:rFonts w:ascii="Times New Roman" w:hAnsi="Times New Roman" w:cs="Times New Roman"/>
          <w:sz w:val="24"/>
          <w:szCs w:val="24"/>
        </w:rPr>
        <w:t>furono</w:t>
      </w:r>
      <w:r>
        <w:rPr>
          <w:rFonts w:ascii="Times New Roman" w:hAnsi="Times New Roman" w:cs="Times New Roman"/>
          <w:sz w:val="24"/>
          <w:szCs w:val="24"/>
        </w:rPr>
        <w:t xml:space="preserve"> organizzate in modo da consentire</w:t>
      </w:r>
      <w:r w:rsidRPr="00D90AC3">
        <w:rPr>
          <w:rFonts w:ascii="Times New Roman" w:hAnsi="Times New Roman" w:cs="Times New Roman"/>
          <w:sz w:val="24"/>
          <w:szCs w:val="24"/>
        </w:rPr>
        <w:t xml:space="preserve"> </w:t>
      </w:r>
      <w:r>
        <w:rPr>
          <w:rFonts w:ascii="Times New Roman" w:hAnsi="Times New Roman" w:cs="Times New Roman"/>
          <w:sz w:val="24"/>
          <w:szCs w:val="24"/>
        </w:rPr>
        <w:t>al popolo, quanto più fosse possibile, di assistere ai riti che sancivano la legittimità della presa di potere su Napoli da parte della nuova sovrana. Così, il 15 settembre, su un palco allestito davanti all’arcivescovato si erano svolti pubblicamente l’inanellamento e la benedizione nuziale, dopo i quali la coppia regale, i dignitari del regno e gli ambasciatori presenti entrarono in Duomo per udire la messa.</w:t>
      </w:r>
      <w:r>
        <w:rPr>
          <w:rStyle w:val="Rimandonotaapidipagina"/>
          <w:rFonts w:ascii="Times New Roman" w:hAnsi="Times New Roman" w:cs="Times New Roman"/>
          <w:sz w:val="24"/>
          <w:szCs w:val="24"/>
        </w:rPr>
        <w:footnoteReference w:id="776"/>
      </w:r>
      <w:r>
        <w:rPr>
          <w:rFonts w:ascii="Times New Roman" w:hAnsi="Times New Roman" w:cs="Times New Roman"/>
          <w:sz w:val="24"/>
          <w:szCs w:val="24"/>
        </w:rPr>
        <w:t xml:space="preserve"> I cortei con cui il re si recò a ricevere la benedizione e, il giorno dopo, all’incoronazione di sua moglie furono inoltre segnati dalla </w:t>
      </w:r>
      <w:r w:rsidRPr="009B7472">
        <w:rPr>
          <w:rFonts w:ascii="Times New Roman" w:hAnsi="Times New Roman" w:cs="Times New Roman"/>
          <w:i/>
          <w:sz w:val="24"/>
          <w:szCs w:val="24"/>
        </w:rPr>
        <w:t>sparsio</w:t>
      </w:r>
      <w:r>
        <w:rPr>
          <w:rFonts w:ascii="Times New Roman" w:hAnsi="Times New Roman" w:cs="Times New Roman"/>
          <w:sz w:val="24"/>
          <w:szCs w:val="24"/>
        </w:rPr>
        <w:t xml:space="preserve"> di monete alla folla, con la quale Ferrante volle invitare i sudditi a rallegrarsi per il lieto evento. </w:t>
      </w:r>
    </w:p>
    <w:p w14:paraId="13E86403" w14:textId="77777777" w:rsidR="00395702"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partecipazione e la gioia del popolo erano quindi necessarie alla riuscita dei momenti pubblici della festa dinastica e al successo della propaganda celebrativa orchestrata dagli artisti e dai letterati di corte. Non a caso, tutte le descrizioni ufficiali degli sposalizi registrano la presenza della folla esultante in attesa del passaggio della principessa lungo le vie della città, bramosa di assistere dalle porte spalancate della cattedrale ai riti solenni che la rendevano consorte del principe. </w:t>
      </w:r>
    </w:p>
    <w:p w14:paraId="55518009" w14:textId="77777777" w:rsidR="00395702" w:rsidRPr="00C71029" w:rsidRDefault="00395702" w:rsidP="00395702">
      <w:pPr>
        <w:tabs>
          <w:tab w:val="left" w:pos="0"/>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Quegli atti sacri e ufficiali erano per i sudditi la garanzia che il potere dei governanti sarebbe stato esercitato entro i confini posti dal diritto e dalla religione. Nuovamente, la festa nuziale rendeva manifesto il patto sacro che univa il popolo, il principe e Dio per l’armonioso governo della città, servendosi della bellezza degli addobbi ecclesiastici, degli antichi cantici della liturgia, delle armi scintillanti dei nuovi cavalieri per dare forma allo spettacolo della cerimonia.   </w:t>
      </w:r>
    </w:p>
    <w:p w14:paraId="32A9B4E8"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p>
    <w:bookmarkEnd w:id="466"/>
    <w:p w14:paraId="338E07BE"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p>
    <w:p w14:paraId="6ACBC73B" w14:textId="77777777" w:rsidR="00395702" w:rsidRPr="00096909" w:rsidRDefault="00395702" w:rsidP="00395702">
      <w:pPr>
        <w:jc w:val="both"/>
        <w:rPr>
          <w:rFonts w:ascii="Times New Roman" w:hAnsi="Times New Roman" w:cs="Times New Roman"/>
          <w:i/>
          <w:sz w:val="24"/>
          <w:szCs w:val="24"/>
        </w:rPr>
      </w:pPr>
      <w:r w:rsidRPr="00096909">
        <w:rPr>
          <w:rFonts w:ascii="Times New Roman" w:hAnsi="Times New Roman" w:cs="Times New Roman"/>
          <w:i/>
          <w:sz w:val="24"/>
          <w:szCs w:val="24"/>
        </w:rPr>
        <w:t>4. Il banchetto: disposizione della sala, ingegni, figuranti.</w:t>
      </w:r>
    </w:p>
    <w:p w14:paraId="26A72004"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p>
    <w:p w14:paraId="7483FD69" w14:textId="77777777" w:rsidR="00395702" w:rsidRPr="00096909" w:rsidRDefault="00395702" w:rsidP="00395702">
      <w:pPr>
        <w:tabs>
          <w:tab w:val="left" w:pos="0"/>
        </w:tabs>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Tra le accoglienze in onore della sposa il banchetto è forse quella che, sottoposta a un’analisi dei suoi elementi costitutivi, meglio consente di riconoscere la continuità progettuale e organizzativa che univa tutti i momenti della festa. Inserito nel composito programma delle celebrazioni e riservato ai soli invitati </w:t>
      </w:r>
      <w:r w:rsidRPr="00530BFD">
        <w:rPr>
          <w:rFonts w:ascii="Times New Roman" w:hAnsi="Times New Roman" w:cs="Times New Roman"/>
          <w:sz w:val="24"/>
          <w:szCs w:val="24"/>
        </w:rPr>
        <w:t>al</w:t>
      </w:r>
      <w:r w:rsidRPr="00096909">
        <w:rPr>
          <w:rFonts w:ascii="Times New Roman" w:hAnsi="Times New Roman" w:cs="Times New Roman"/>
          <w:sz w:val="24"/>
          <w:szCs w:val="24"/>
        </w:rPr>
        <w:t xml:space="preserve"> matrimonio, il convito condivideva, infatti, con lo spettacolo del trionfo il proposito di esaltazione della principessa e di trasposizione del lieto evento in una dimensione ideale, raggiungibile solo nell’occasione eccezionale dei festeggiamenti dove, tra i piaceri di cibi ricercati e insoliti, era consentito che le glorie di Roma antica tornassero alla vita e che gli sposi sedessero alla mensa degli dèi.   </w:t>
      </w:r>
    </w:p>
    <w:p w14:paraId="069D9BAF" w14:textId="77777777" w:rsidR="00395702" w:rsidRPr="00096909" w:rsidRDefault="00395702" w:rsidP="00395702">
      <w:pPr>
        <w:tabs>
          <w:tab w:val="left" w:pos="0"/>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I fortunati commensali passavano dalla città effimera, scenografia del pomposo ingresso, alla sala da pranzo, luogo delle delizie adorno di festoni di verzura e fiori </w:t>
      </w:r>
      <w:r>
        <w:rPr>
          <w:rFonts w:ascii="Times New Roman" w:hAnsi="Times New Roman" w:cs="Times New Roman"/>
          <w:sz w:val="24"/>
          <w:szCs w:val="24"/>
        </w:rPr>
        <w:t>da</w:t>
      </w:r>
      <w:r w:rsidRPr="00096909">
        <w:rPr>
          <w:rFonts w:ascii="Times New Roman" w:hAnsi="Times New Roman" w:cs="Times New Roman"/>
          <w:sz w:val="24"/>
          <w:szCs w:val="24"/>
        </w:rPr>
        <w:t>lle cui pareti pendevano arazzi fiamminghi e tappezzerie preziose, i quali replicavano in modo più lussuoso i rivestimenti ornamentali delle facciate delle case davanti alle quali era sfilato il loro corteo.</w:t>
      </w:r>
      <w:r w:rsidRPr="00096909">
        <w:rPr>
          <w:rStyle w:val="Rimandonotaapidipagina"/>
          <w:rFonts w:ascii="Times New Roman" w:hAnsi="Times New Roman" w:cs="Times New Roman"/>
          <w:sz w:val="24"/>
          <w:szCs w:val="24"/>
        </w:rPr>
        <w:footnoteReference w:id="777"/>
      </w:r>
      <w:r w:rsidRPr="00096909">
        <w:rPr>
          <w:rFonts w:ascii="Times New Roman" w:hAnsi="Times New Roman" w:cs="Times New Roman"/>
          <w:sz w:val="24"/>
          <w:szCs w:val="24"/>
        </w:rPr>
        <w:t xml:space="preserve"> Si prenda ad esempio la descrizione fornita dall’Arienti del salone per il pranzo delle nozze Bentivoglio-d’Este:</w:t>
      </w:r>
    </w:p>
    <w:p w14:paraId="676A49D6"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p>
    <w:p w14:paraId="739F7899" w14:textId="77777777" w:rsidR="00395702" w:rsidRPr="00096909" w:rsidRDefault="00395702" w:rsidP="00395702">
      <w:pPr>
        <w:tabs>
          <w:tab w:val="left" w:pos="567"/>
          <w:tab w:val="left" w:pos="8787"/>
        </w:tabs>
        <w:spacing w:after="0" w:line="360" w:lineRule="auto"/>
        <w:ind w:left="567" w:right="851" w:firstLine="397"/>
        <w:jc w:val="both"/>
        <w:rPr>
          <w:rFonts w:ascii="Times New Roman" w:hAnsi="Times New Roman" w:cs="Times New Roman"/>
          <w:sz w:val="20"/>
          <w:szCs w:val="20"/>
        </w:rPr>
      </w:pPr>
      <w:r w:rsidRPr="00096909">
        <w:rPr>
          <w:rFonts w:ascii="Times New Roman" w:hAnsi="Times New Roman" w:cs="Times New Roman"/>
          <w:sz w:val="20"/>
          <w:szCs w:val="20"/>
        </w:rPr>
        <w:t>Le pariete de la sala, intorno intorno, li dui terzi de sotto in suso erano ornate de bellissimi razzi et spaliere et bancali a l’arme et divise bentivoglie. Et da li dui terzi in suso erano panni celesti intorno cum stelle d’oro et di sopra uno retorto de fronde de busco, de myrto, de brusto et di gynepero et de abeto, di pino et di cypresso, cum pome rose et rance inserte.</w:t>
      </w:r>
      <w:r w:rsidRPr="00096909">
        <w:rPr>
          <w:rStyle w:val="Rimandonotaapidipagina"/>
          <w:rFonts w:ascii="Times New Roman" w:hAnsi="Times New Roman" w:cs="Times New Roman"/>
        </w:rPr>
        <w:footnoteReference w:id="778"/>
      </w:r>
      <w:r w:rsidRPr="00096909">
        <w:rPr>
          <w:rFonts w:ascii="Times New Roman" w:hAnsi="Times New Roman" w:cs="Times New Roman"/>
          <w:sz w:val="20"/>
          <w:szCs w:val="20"/>
        </w:rPr>
        <w:t xml:space="preserve">  </w:t>
      </w:r>
    </w:p>
    <w:p w14:paraId="47E267F6" w14:textId="77777777" w:rsidR="00395702" w:rsidRPr="00096909" w:rsidRDefault="00395702" w:rsidP="00395702">
      <w:pPr>
        <w:tabs>
          <w:tab w:val="left" w:pos="0"/>
        </w:tabs>
        <w:spacing w:after="0" w:line="360" w:lineRule="auto"/>
        <w:ind w:right="-1"/>
        <w:jc w:val="both"/>
        <w:rPr>
          <w:rFonts w:ascii="Times New Roman" w:hAnsi="Times New Roman" w:cs="Times New Roman"/>
          <w:sz w:val="24"/>
          <w:szCs w:val="24"/>
        </w:rPr>
      </w:pPr>
    </w:p>
    <w:p w14:paraId="53BB353D" w14:textId="77777777" w:rsidR="00395702" w:rsidRPr="00096909" w:rsidRDefault="00395702" w:rsidP="00395702">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Nel brano citato ritroviamo l’impiego delle stesse piante beneaugurali che abbiamo visto utilizzate per la creazione degli archi e dei festoni posti lungo le vie, e non è raro trovare sopra la tavola del principe un baldacchino, simile a quello dell’ingresso trionfale.</w:t>
      </w:r>
      <w:r w:rsidRPr="00096909">
        <w:rPr>
          <w:rStyle w:val="Rimandonotaapidipagina"/>
          <w:rFonts w:ascii="Times New Roman" w:hAnsi="Times New Roman" w:cs="Times New Roman"/>
          <w:sz w:val="24"/>
          <w:szCs w:val="24"/>
        </w:rPr>
        <w:footnoteReference w:id="779"/>
      </w:r>
      <w:r w:rsidRPr="00096909">
        <w:rPr>
          <w:rFonts w:ascii="Times New Roman" w:hAnsi="Times New Roman" w:cs="Times New Roman"/>
          <w:sz w:val="24"/>
          <w:szCs w:val="24"/>
        </w:rPr>
        <w:t xml:space="preserve"> </w:t>
      </w:r>
    </w:p>
    <w:p w14:paraId="4FF63C14" w14:textId="77777777" w:rsidR="00395702" w:rsidRPr="00096909" w:rsidRDefault="00395702" w:rsidP="00395702">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Questa continuità tra </w:t>
      </w:r>
      <w:r>
        <w:rPr>
          <w:rFonts w:ascii="Times New Roman" w:hAnsi="Times New Roman" w:cs="Times New Roman"/>
          <w:sz w:val="24"/>
          <w:szCs w:val="24"/>
        </w:rPr>
        <w:t xml:space="preserve">la </w:t>
      </w:r>
      <w:r w:rsidRPr="00096909">
        <w:rPr>
          <w:rFonts w:ascii="Times New Roman" w:hAnsi="Times New Roman" w:cs="Times New Roman"/>
          <w:sz w:val="24"/>
          <w:szCs w:val="24"/>
        </w:rPr>
        <w:t xml:space="preserve">decorazione urbana e </w:t>
      </w:r>
      <w:r>
        <w:rPr>
          <w:rFonts w:ascii="Times New Roman" w:hAnsi="Times New Roman" w:cs="Times New Roman"/>
          <w:sz w:val="24"/>
          <w:szCs w:val="24"/>
        </w:rPr>
        <w:t>l’</w:t>
      </w:r>
      <w:r w:rsidRPr="00096909">
        <w:rPr>
          <w:rFonts w:ascii="Times New Roman" w:hAnsi="Times New Roman" w:cs="Times New Roman"/>
          <w:sz w:val="24"/>
          <w:szCs w:val="24"/>
        </w:rPr>
        <w:t xml:space="preserve">addobbo della sala da pranzo si riscontra anche in diverse fonti iconografiche associabili al cerimoniale della festa. Un fronte di cassone, oggi alla </w:t>
      </w:r>
      <w:bookmarkStart w:id="501" w:name="_Hlk528693020"/>
      <w:r w:rsidRPr="00096909">
        <w:rPr>
          <w:rFonts w:ascii="Times New Roman" w:hAnsi="Times New Roman" w:cs="Times New Roman"/>
          <w:sz w:val="24"/>
          <w:szCs w:val="24"/>
        </w:rPr>
        <w:t xml:space="preserve">Courtauld Gallery di Londra, sul soggetto della </w:t>
      </w:r>
      <w:r w:rsidRPr="00096909">
        <w:rPr>
          <w:rFonts w:ascii="Times New Roman" w:hAnsi="Times New Roman" w:cs="Times New Roman"/>
          <w:i/>
          <w:sz w:val="24"/>
          <w:szCs w:val="24"/>
        </w:rPr>
        <w:t>Continenza di Scipione</w:t>
      </w:r>
      <w:bookmarkEnd w:id="501"/>
      <w:r w:rsidRPr="00096909">
        <w:rPr>
          <w:rFonts w:ascii="Times New Roman" w:hAnsi="Times New Roman" w:cs="Times New Roman"/>
          <w:sz w:val="24"/>
          <w:szCs w:val="24"/>
        </w:rPr>
        <w:t>, mostra, ad esempio, la facciata di un palazzo abbellita da tappezzerie a motivi geometrici. Dal suo loggiato tre gruppi di spettatori si affacciano per assistere allo sposalizio tra Aluccio e la sua promessa sposa, che avviene su un prato nei pressi delle mura di Cartagine (fig. 5</w:t>
      </w:r>
      <w:r>
        <w:rPr>
          <w:rFonts w:ascii="Times New Roman" w:hAnsi="Times New Roman" w:cs="Times New Roman"/>
          <w:sz w:val="24"/>
          <w:szCs w:val="24"/>
        </w:rPr>
        <w:t>5</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780"/>
      </w:r>
    </w:p>
    <w:p w14:paraId="346B99B7" w14:textId="77777777" w:rsidR="00395702" w:rsidRPr="00096909" w:rsidRDefault="00395702" w:rsidP="00395702">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 altro loggiato ospita le nozze e il </w:t>
      </w:r>
      <w:r w:rsidRPr="00096909">
        <w:rPr>
          <w:rFonts w:ascii="Times New Roman" w:hAnsi="Times New Roman" w:cs="Times New Roman"/>
          <w:i/>
          <w:sz w:val="24"/>
          <w:szCs w:val="24"/>
        </w:rPr>
        <w:t>Banchetto di Ester</w:t>
      </w:r>
      <w:r w:rsidRPr="00096909">
        <w:rPr>
          <w:rFonts w:ascii="Times New Roman" w:hAnsi="Times New Roman" w:cs="Times New Roman"/>
          <w:sz w:val="24"/>
          <w:szCs w:val="24"/>
        </w:rPr>
        <w:t xml:space="preserve"> dipinti da </w:t>
      </w:r>
      <w:bookmarkStart w:id="502" w:name="_Hlk528694040"/>
      <w:r w:rsidRPr="00096909">
        <w:rPr>
          <w:rFonts w:ascii="Times New Roman" w:hAnsi="Times New Roman" w:cs="Times New Roman"/>
          <w:sz w:val="24"/>
          <w:szCs w:val="24"/>
        </w:rPr>
        <w:t>Marco del Buono Giamberti e da Apollonio di Giovanni</w:t>
      </w:r>
      <w:bookmarkEnd w:id="502"/>
      <w:r w:rsidRPr="00096909">
        <w:rPr>
          <w:rFonts w:ascii="Times New Roman" w:hAnsi="Times New Roman" w:cs="Times New Roman"/>
          <w:sz w:val="24"/>
          <w:szCs w:val="24"/>
        </w:rPr>
        <w:t xml:space="preserve"> (fig. 5</w:t>
      </w:r>
      <w:r>
        <w:rPr>
          <w:rFonts w:ascii="Times New Roman" w:hAnsi="Times New Roman" w:cs="Times New Roman"/>
          <w:sz w:val="24"/>
          <w:szCs w:val="24"/>
        </w:rPr>
        <w:t>6</w:t>
      </w:r>
      <w:r w:rsidRPr="00096909">
        <w:rPr>
          <w:rFonts w:ascii="Times New Roman" w:hAnsi="Times New Roman" w:cs="Times New Roman"/>
          <w:sz w:val="24"/>
          <w:szCs w:val="24"/>
        </w:rPr>
        <w:t xml:space="preserve">). Sebbene non vi sia separazione tra il luogo del convito e la </w:t>
      </w:r>
      <w:r w:rsidRPr="00096909">
        <w:rPr>
          <w:rFonts w:ascii="Times New Roman" w:hAnsi="Times New Roman" w:cs="Times New Roman"/>
          <w:sz w:val="24"/>
          <w:szCs w:val="24"/>
        </w:rPr>
        <w:lastRenderedPageBreak/>
        <w:t>via, dove si svolge ancora la cavalcata dei compagni di Assuero invitati alla festa, la costruzione della scena è in tutto ispirata a quella dei nostri banchetti di sala, con la disposizione delle tavole a ferro di cavallo per lasciare libera la visuale ai commensali sullo spettacolo che si svolge davanti ai loro occhi – in questo caso il matrimonio della regina con il re di Persia – e con le pareti rivestite da arazzi e da broccati dorati.</w:t>
      </w:r>
      <w:r w:rsidRPr="00096909">
        <w:rPr>
          <w:rStyle w:val="Rimandonotaapidipagina"/>
          <w:rFonts w:ascii="Times New Roman" w:hAnsi="Times New Roman" w:cs="Times New Roman"/>
          <w:sz w:val="24"/>
          <w:szCs w:val="24"/>
        </w:rPr>
        <w:footnoteReference w:id="781"/>
      </w:r>
      <w:r w:rsidRPr="00096909">
        <w:rPr>
          <w:rFonts w:ascii="Times New Roman" w:hAnsi="Times New Roman" w:cs="Times New Roman"/>
          <w:sz w:val="24"/>
          <w:szCs w:val="24"/>
        </w:rPr>
        <w:t xml:space="preserve">    </w:t>
      </w:r>
    </w:p>
    <w:p w14:paraId="1EF4E224" w14:textId="77777777" w:rsidR="00395702" w:rsidRPr="00096909" w:rsidRDefault="00395702" w:rsidP="00395702">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Ancora più fedele alle descrizioni dei nostri sposalizi è la disposizione delle tavole del </w:t>
      </w:r>
      <w:r w:rsidRPr="00096909">
        <w:rPr>
          <w:rFonts w:ascii="Times New Roman" w:hAnsi="Times New Roman" w:cs="Times New Roman"/>
          <w:i/>
          <w:sz w:val="24"/>
          <w:szCs w:val="24"/>
        </w:rPr>
        <w:t>Convito di Alatiel</w:t>
      </w:r>
      <w:r w:rsidRPr="00096909">
        <w:rPr>
          <w:rFonts w:ascii="Times New Roman" w:hAnsi="Times New Roman" w:cs="Times New Roman"/>
          <w:sz w:val="24"/>
          <w:szCs w:val="24"/>
        </w:rPr>
        <w:t xml:space="preserve"> del fronte di cassone eseguito dalla stessa coppia di artisti ed oggi conservato al Museo Correr di Venezia (fig. 5</w:t>
      </w:r>
      <w:r>
        <w:rPr>
          <w:rFonts w:ascii="Times New Roman" w:hAnsi="Times New Roman" w:cs="Times New Roman"/>
          <w:sz w:val="24"/>
          <w:szCs w:val="24"/>
        </w:rPr>
        <w:t>7</w:t>
      </w:r>
      <w:r w:rsidRPr="00096909">
        <w:rPr>
          <w:rFonts w:ascii="Times New Roman" w:hAnsi="Times New Roman" w:cs="Times New Roman"/>
          <w:sz w:val="24"/>
          <w:szCs w:val="24"/>
        </w:rPr>
        <w:t xml:space="preserve">). Qui, la tavola degli sposi, posta su una pedana, è visibilmente più eminente rispetto alle altre due disposte sui lati – anche in virtù del partito prospettico che governa la scena – e sopra a essa </w:t>
      </w:r>
      <w:r w:rsidR="00581755">
        <w:rPr>
          <w:rFonts w:ascii="Times New Roman" w:hAnsi="Times New Roman" w:cs="Times New Roman"/>
          <w:sz w:val="24"/>
          <w:szCs w:val="24"/>
        </w:rPr>
        <w:t xml:space="preserve">si </w:t>
      </w:r>
      <w:r w:rsidRPr="00096909">
        <w:rPr>
          <w:rFonts w:ascii="Times New Roman" w:hAnsi="Times New Roman" w:cs="Times New Roman"/>
          <w:sz w:val="24"/>
          <w:szCs w:val="24"/>
        </w:rPr>
        <w:t>trov</w:t>
      </w:r>
      <w:r w:rsidR="00581755">
        <w:rPr>
          <w:rFonts w:ascii="Times New Roman" w:hAnsi="Times New Roman" w:cs="Times New Roman"/>
          <w:sz w:val="24"/>
          <w:szCs w:val="24"/>
        </w:rPr>
        <w:t>a</w:t>
      </w:r>
      <w:r w:rsidRPr="00096909">
        <w:rPr>
          <w:rFonts w:ascii="Times New Roman" w:hAnsi="Times New Roman" w:cs="Times New Roman"/>
          <w:sz w:val="24"/>
          <w:szCs w:val="24"/>
        </w:rPr>
        <w:t xml:space="preserve"> un baldacchino di broccato dorato, che mi pare confermi la riproposizione dell’addobbo cerimoniale del trionfo.</w:t>
      </w:r>
      <w:r w:rsidRPr="00096909">
        <w:rPr>
          <w:rStyle w:val="Rimandonotaapidipagina"/>
          <w:rFonts w:ascii="Times New Roman" w:hAnsi="Times New Roman" w:cs="Times New Roman"/>
          <w:sz w:val="24"/>
          <w:szCs w:val="24"/>
        </w:rPr>
        <w:footnoteReference w:id="782"/>
      </w:r>
      <w:r w:rsidRPr="00096909">
        <w:rPr>
          <w:rFonts w:ascii="Times New Roman" w:hAnsi="Times New Roman" w:cs="Times New Roman"/>
          <w:sz w:val="24"/>
          <w:szCs w:val="24"/>
        </w:rPr>
        <w:t xml:space="preserve">  </w:t>
      </w:r>
    </w:p>
    <w:p w14:paraId="33943EB1" w14:textId="77777777" w:rsidR="00395702" w:rsidRPr="00096909" w:rsidRDefault="00395702" w:rsidP="00395702">
      <w:pPr>
        <w:tabs>
          <w:tab w:val="left" w:pos="0"/>
        </w:tabs>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La continuità dei</w:t>
      </w:r>
      <w:r w:rsidRPr="00096909">
        <w:rPr>
          <w:rFonts w:ascii="Times New Roman" w:hAnsi="Times New Roman" w:cs="Times New Roman"/>
          <w:sz w:val="24"/>
          <w:szCs w:val="24"/>
        </w:rPr>
        <w:t xml:space="preserve"> luoghi interni ed esterni della festa era </w:t>
      </w:r>
      <w:r w:rsidR="00581755">
        <w:rPr>
          <w:rFonts w:ascii="Times New Roman" w:hAnsi="Times New Roman" w:cs="Times New Roman"/>
          <w:sz w:val="24"/>
          <w:szCs w:val="24"/>
        </w:rPr>
        <w:t xml:space="preserve">ribadita </w:t>
      </w:r>
      <w:r w:rsidRPr="00096909">
        <w:rPr>
          <w:rFonts w:ascii="Times New Roman" w:hAnsi="Times New Roman" w:cs="Times New Roman"/>
          <w:sz w:val="24"/>
          <w:szCs w:val="24"/>
        </w:rPr>
        <w:t xml:space="preserve">inoltre dal fatto che diversi elementi dell’arredo della sala del banchetto cercassero di rievocare visivamente lo spazio aperto. L’addobbo floreale delle pareti dava, infatti, agli invitati l’impressione di trovarsi in un grazioso giardino, mentre </w:t>
      </w:r>
      <w:r w:rsidR="005E0514">
        <w:rPr>
          <w:rFonts w:ascii="Times New Roman" w:hAnsi="Times New Roman" w:cs="Times New Roman"/>
          <w:sz w:val="24"/>
          <w:szCs w:val="24"/>
        </w:rPr>
        <w:t xml:space="preserve">la </w:t>
      </w:r>
      <w:r w:rsidRPr="00096909">
        <w:rPr>
          <w:rFonts w:ascii="Times New Roman" w:hAnsi="Times New Roman" w:cs="Times New Roman"/>
          <w:sz w:val="24"/>
          <w:szCs w:val="24"/>
        </w:rPr>
        <w:t>copert</w:t>
      </w:r>
      <w:r w:rsidR="005E0514">
        <w:rPr>
          <w:rFonts w:ascii="Times New Roman" w:hAnsi="Times New Roman" w:cs="Times New Roman"/>
          <w:sz w:val="24"/>
          <w:szCs w:val="24"/>
        </w:rPr>
        <w:t>ura</w:t>
      </w:r>
      <w:r w:rsidRPr="00096909">
        <w:rPr>
          <w:rFonts w:ascii="Times New Roman" w:hAnsi="Times New Roman" w:cs="Times New Roman"/>
          <w:sz w:val="24"/>
          <w:szCs w:val="24"/>
        </w:rPr>
        <w:t xml:space="preserve"> di veli turchini </w:t>
      </w:r>
      <w:r w:rsidR="005E0514">
        <w:rPr>
          <w:rFonts w:ascii="Times New Roman" w:hAnsi="Times New Roman" w:cs="Times New Roman"/>
          <w:sz w:val="24"/>
          <w:szCs w:val="24"/>
        </w:rPr>
        <w:t>de</w:t>
      </w:r>
      <w:r w:rsidR="005E0514" w:rsidRPr="00096909">
        <w:rPr>
          <w:rFonts w:ascii="Times New Roman" w:hAnsi="Times New Roman" w:cs="Times New Roman"/>
          <w:sz w:val="24"/>
          <w:szCs w:val="24"/>
        </w:rPr>
        <w:t xml:space="preserve">l soffitto </w:t>
      </w:r>
      <w:r w:rsidRPr="00096909">
        <w:rPr>
          <w:rFonts w:ascii="Times New Roman" w:hAnsi="Times New Roman" w:cs="Times New Roman"/>
          <w:sz w:val="24"/>
          <w:szCs w:val="24"/>
        </w:rPr>
        <w:t xml:space="preserve">imitava il “cielo”. Si pensi, ad esempio, alla decorazione di quello del palazzo di Costanzo Sforza, con l’ingegno del paradiso per le apparizioni del Sole e della Luna e con le costellazioni composte di miriadi di luci dorate riflesse da </w:t>
      </w:r>
      <w:r w:rsidRPr="00DC7F09">
        <w:rPr>
          <w:rFonts w:ascii="Times New Roman" w:hAnsi="Times New Roman" w:cs="Times New Roman"/>
          <w:sz w:val="24"/>
          <w:szCs w:val="24"/>
        </w:rPr>
        <w:t>specchi;</w:t>
      </w:r>
      <w:r w:rsidRPr="00096909">
        <w:rPr>
          <w:rFonts w:ascii="Times New Roman" w:hAnsi="Times New Roman" w:cs="Times New Roman"/>
          <w:sz w:val="24"/>
          <w:szCs w:val="24"/>
        </w:rPr>
        <w:t xml:space="preserve"> o al grande arazzo di seta nero con i segni zodiacali ricamati in oro che pendeva dalla volta del salone del banchetto di Roberto Malatesta e di Elisabetta da Montefeltro. </w:t>
      </w:r>
    </w:p>
    <w:p w14:paraId="5935EE4E" w14:textId="77777777" w:rsidR="00395702" w:rsidRPr="00096909" w:rsidRDefault="00395702" w:rsidP="00395702">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L’apparato aveva così tramutato la sala nel</w:t>
      </w:r>
      <w:r>
        <w:rPr>
          <w:rFonts w:ascii="Times New Roman" w:hAnsi="Times New Roman" w:cs="Times New Roman"/>
          <w:sz w:val="24"/>
          <w:szCs w:val="24"/>
        </w:rPr>
        <w:t xml:space="preserve"> giardino delle delizie e</w:t>
      </w:r>
      <w:r w:rsidRPr="00096909">
        <w:rPr>
          <w:rFonts w:ascii="Times New Roman" w:hAnsi="Times New Roman" w:cs="Times New Roman"/>
          <w:i/>
          <w:sz w:val="24"/>
          <w:szCs w:val="24"/>
        </w:rPr>
        <w:t xml:space="preserve"> </w:t>
      </w:r>
      <w:r w:rsidRPr="00096909">
        <w:rPr>
          <w:rFonts w:ascii="Times New Roman" w:hAnsi="Times New Roman" w:cs="Times New Roman"/>
          <w:sz w:val="24"/>
          <w:szCs w:val="24"/>
        </w:rPr>
        <w:t>dei piaceri offerti dal principe. In quella atmosfera incantata, delimitata e protetta dagli arazzi e dagli addobbi floreali, una volta escluso il popolo e quanti erano estranei al sistema di comunicazione della cultura della corte, il pubblico</w:t>
      </w:r>
      <w:r>
        <w:rPr>
          <w:rFonts w:ascii="Times New Roman" w:hAnsi="Times New Roman" w:cs="Times New Roman"/>
          <w:sz w:val="24"/>
          <w:szCs w:val="24"/>
        </w:rPr>
        <w:t xml:space="preserve"> cortigiano,</w:t>
      </w:r>
      <w:r w:rsidRPr="00096909">
        <w:rPr>
          <w:rFonts w:ascii="Times New Roman" w:hAnsi="Times New Roman" w:cs="Times New Roman"/>
          <w:sz w:val="24"/>
          <w:szCs w:val="24"/>
        </w:rPr>
        <w:t xml:space="preserve"> interprete dello spettacolo del banchetto</w:t>
      </w:r>
      <w:r>
        <w:rPr>
          <w:rFonts w:ascii="Times New Roman" w:hAnsi="Times New Roman" w:cs="Times New Roman"/>
          <w:sz w:val="24"/>
          <w:szCs w:val="24"/>
        </w:rPr>
        <w:t>,</w:t>
      </w:r>
      <w:r w:rsidRPr="00096909">
        <w:rPr>
          <w:rFonts w:ascii="Times New Roman" w:hAnsi="Times New Roman" w:cs="Times New Roman"/>
          <w:sz w:val="24"/>
          <w:szCs w:val="24"/>
        </w:rPr>
        <w:t xml:space="preserve"> poteva assistere alla discesa dal cielo di messaggeri divini e all’ingresso delle vivande presentate dai figuranti degli </w:t>
      </w:r>
      <w:r w:rsidRPr="00096909">
        <w:rPr>
          <w:rFonts w:ascii="Times New Roman" w:hAnsi="Times New Roman" w:cs="Times New Roman"/>
          <w:i/>
          <w:sz w:val="24"/>
          <w:szCs w:val="24"/>
        </w:rPr>
        <w:t>entreme</w:t>
      </w:r>
      <w:r>
        <w:rPr>
          <w:rFonts w:ascii="Times New Roman" w:hAnsi="Times New Roman" w:cs="Times New Roman"/>
          <w:i/>
          <w:sz w:val="24"/>
          <w:szCs w:val="24"/>
        </w:rPr>
        <w:t>t</w:t>
      </w:r>
      <w:r w:rsidRPr="00096909">
        <w:rPr>
          <w:rFonts w:ascii="Times New Roman" w:hAnsi="Times New Roman" w:cs="Times New Roman"/>
          <w:i/>
          <w:sz w:val="24"/>
          <w:szCs w:val="24"/>
        </w:rPr>
        <w:t>s</w:t>
      </w:r>
      <w:r w:rsidRPr="00096909">
        <w:rPr>
          <w:rFonts w:ascii="Times New Roman" w:hAnsi="Times New Roman" w:cs="Times New Roman"/>
          <w:sz w:val="24"/>
          <w:szCs w:val="24"/>
        </w:rPr>
        <w:t>: ninfe, fauni, eroi della mitologia e della storia classica. La loro comparsa esaltava il prodigio del</w:t>
      </w:r>
      <w:r>
        <w:rPr>
          <w:rFonts w:ascii="Times New Roman" w:hAnsi="Times New Roman" w:cs="Times New Roman"/>
          <w:sz w:val="24"/>
          <w:szCs w:val="24"/>
        </w:rPr>
        <w:t xml:space="preserve"> gioioso evento</w:t>
      </w:r>
      <w:r w:rsidRPr="00096909">
        <w:rPr>
          <w:rFonts w:ascii="Times New Roman" w:hAnsi="Times New Roman" w:cs="Times New Roman"/>
          <w:sz w:val="24"/>
          <w:szCs w:val="24"/>
        </w:rPr>
        <w:t xml:space="preserve">, ma parimenti ricordava ai presenti come </w:t>
      </w:r>
      <w:r>
        <w:rPr>
          <w:rFonts w:ascii="Times New Roman" w:hAnsi="Times New Roman" w:cs="Times New Roman"/>
          <w:sz w:val="24"/>
          <w:szCs w:val="24"/>
        </w:rPr>
        <w:t xml:space="preserve">il luogo </w:t>
      </w:r>
      <w:r w:rsidRPr="00096909">
        <w:rPr>
          <w:rFonts w:ascii="Times New Roman" w:hAnsi="Times New Roman" w:cs="Times New Roman"/>
          <w:sz w:val="24"/>
          <w:szCs w:val="24"/>
        </w:rPr>
        <w:t>magico, il cosmo in miniatura nel quale essi si trovavano</w:t>
      </w:r>
      <w:r w:rsidRPr="0094235D">
        <w:rPr>
          <w:rFonts w:ascii="Times New Roman" w:hAnsi="Times New Roman" w:cs="Times New Roman"/>
          <w:sz w:val="24"/>
          <w:szCs w:val="24"/>
        </w:rPr>
        <w:t>,</w:t>
      </w:r>
      <w:r w:rsidRPr="00096909">
        <w:rPr>
          <w:rFonts w:ascii="Times New Roman" w:hAnsi="Times New Roman" w:cs="Times New Roman"/>
          <w:sz w:val="24"/>
          <w:szCs w:val="24"/>
        </w:rPr>
        <w:t xml:space="preserve"> fosse in realtà uno spazio aperto, fragile, indifeso, nel quale potevano </w:t>
      </w:r>
      <w:r w:rsidRPr="00096909">
        <w:rPr>
          <w:rFonts w:ascii="Times New Roman" w:hAnsi="Times New Roman" w:cs="Times New Roman"/>
          <w:sz w:val="24"/>
          <w:szCs w:val="24"/>
        </w:rPr>
        <w:lastRenderedPageBreak/>
        <w:t>entrare tanto benevole creature divine quanto, come vedremo, animali ed esseri selvaggi, nemici ed estranei al processo di educazione ed elevazione della festa.</w:t>
      </w:r>
      <w:r w:rsidRPr="00096909">
        <w:rPr>
          <w:rStyle w:val="Rimandonotaapidipagina"/>
          <w:rFonts w:ascii="Times New Roman" w:hAnsi="Times New Roman" w:cs="Times New Roman"/>
          <w:sz w:val="24"/>
          <w:szCs w:val="24"/>
        </w:rPr>
        <w:footnoteReference w:id="783"/>
      </w:r>
      <w:r w:rsidRPr="00096909">
        <w:rPr>
          <w:rFonts w:ascii="Times New Roman" w:hAnsi="Times New Roman" w:cs="Times New Roman"/>
          <w:sz w:val="24"/>
          <w:szCs w:val="24"/>
        </w:rPr>
        <w:t xml:space="preserve">   </w:t>
      </w:r>
    </w:p>
    <w:p w14:paraId="050416A8" w14:textId="77777777" w:rsidR="00395702" w:rsidRDefault="00395702" w:rsidP="00395702">
      <w:pPr>
        <w:tabs>
          <w:tab w:val="left" w:pos="0"/>
        </w:tabs>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Se poi, come visto, lo spettacolo dell’ingresso della sposa si ispirava alle «idee forti» riguardo al trionfo che gli umanisti avevano fatto riaffiorare dalle opere della letteratura latina, pariment</w:t>
      </w:r>
      <w:r>
        <w:rPr>
          <w:rFonts w:ascii="Times New Roman" w:hAnsi="Times New Roman" w:cs="Times New Roman"/>
          <w:sz w:val="24"/>
          <w:szCs w:val="24"/>
        </w:rPr>
        <w:t>i</w:t>
      </w:r>
      <w:r w:rsidRPr="00096909">
        <w:rPr>
          <w:rFonts w:ascii="Times New Roman" w:hAnsi="Times New Roman" w:cs="Times New Roman"/>
          <w:sz w:val="24"/>
          <w:szCs w:val="24"/>
        </w:rPr>
        <w:t xml:space="preserve"> il banchetto rinascimentale si modellava sull’esempio dei conviti dell’antichità descritti dai poeti; e come gli ideatori delle feste avevano trovato informazioni preziose per organizzare il proprio lavoro nella </w:t>
      </w:r>
      <w:r w:rsidRPr="00096909">
        <w:rPr>
          <w:rFonts w:ascii="Times New Roman" w:hAnsi="Times New Roman" w:cs="Times New Roman"/>
          <w:i/>
          <w:sz w:val="24"/>
          <w:szCs w:val="24"/>
        </w:rPr>
        <w:t>Roma triumphans</w:t>
      </w:r>
      <w:r w:rsidRPr="00096909">
        <w:rPr>
          <w:rFonts w:ascii="Times New Roman" w:hAnsi="Times New Roman" w:cs="Times New Roman"/>
          <w:sz w:val="24"/>
          <w:szCs w:val="24"/>
        </w:rPr>
        <w:t>, così</w:t>
      </w:r>
      <w:r>
        <w:rPr>
          <w:rFonts w:ascii="Times New Roman" w:hAnsi="Times New Roman" w:cs="Times New Roman"/>
          <w:sz w:val="24"/>
          <w:szCs w:val="24"/>
        </w:rPr>
        <w:t>,</w:t>
      </w:r>
      <w:r w:rsidRPr="00096909">
        <w:rPr>
          <w:rFonts w:ascii="Times New Roman" w:hAnsi="Times New Roman" w:cs="Times New Roman"/>
          <w:sz w:val="24"/>
          <w:szCs w:val="24"/>
        </w:rPr>
        <w:t xml:space="preserve"> nel testo di un altro umanista, il </w:t>
      </w:r>
      <w:r w:rsidRPr="00096909">
        <w:rPr>
          <w:rFonts w:ascii="Times New Roman" w:hAnsi="Times New Roman" w:cs="Times New Roman"/>
          <w:i/>
          <w:sz w:val="24"/>
          <w:szCs w:val="24"/>
        </w:rPr>
        <w:t>De conviventia</w:t>
      </w:r>
      <w:r w:rsidRPr="00096909">
        <w:rPr>
          <w:rFonts w:ascii="Times New Roman" w:hAnsi="Times New Roman" w:cs="Times New Roman"/>
          <w:sz w:val="24"/>
          <w:szCs w:val="24"/>
        </w:rPr>
        <w:t xml:space="preserve"> di Giovanni Pontano, reperirono un modello per la creazione dei pranzi e dei ricevimenti ufficiali, orientato alla virtù della temperanza tra i possibili eccessi della tavola. </w:t>
      </w:r>
    </w:p>
    <w:p w14:paraId="08E5E93A" w14:textId="77777777" w:rsidR="00395702" w:rsidRDefault="00395702" w:rsidP="00395702">
      <w:pPr>
        <w:tabs>
          <w:tab w:val="left" w:pos="0"/>
        </w:tabs>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Sebbene tardo rispetto all’ambito cronologico da noi considerato, il</w:t>
      </w:r>
      <w:r w:rsidRPr="00096909">
        <w:rPr>
          <w:rFonts w:ascii="Times New Roman" w:hAnsi="Times New Roman" w:cs="Times New Roman"/>
          <w:sz w:val="24"/>
          <w:szCs w:val="24"/>
        </w:rPr>
        <w:t xml:space="preserve"> trattatello di Pontano, distillato letterario della migliore tradizione quattrocentesca della corte in festa, scritto tra il 1494 e il 1496, </w:t>
      </w:r>
      <w:r>
        <w:rPr>
          <w:rFonts w:ascii="Times New Roman" w:hAnsi="Times New Roman" w:cs="Times New Roman"/>
          <w:sz w:val="24"/>
          <w:szCs w:val="24"/>
        </w:rPr>
        <w:t>credo possa essere scelto ugualmente come punto di riferimento per lo studio della preparazione dei conviti del secondo Quattrocento. L’autore, infatti, associava la sua ideale precettistica per l’organizzazione degli eventi conviviali a diversi esempi degli splendori della corte aragonese del tempo di Ferrante I</w:t>
      </w:r>
      <w:r w:rsidR="009601BE">
        <w:rPr>
          <w:rFonts w:ascii="Times New Roman" w:hAnsi="Times New Roman" w:cs="Times New Roman"/>
          <w:sz w:val="24"/>
          <w:szCs w:val="24"/>
        </w:rPr>
        <w:t xml:space="preserve"> e di Alfonso</w:t>
      </w:r>
      <w:r w:rsidR="00806874">
        <w:rPr>
          <w:rFonts w:ascii="Times New Roman" w:hAnsi="Times New Roman" w:cs="Times New Roman"/>
          <w:sz w:val="24"/>
          <w:szCs w:val="24"/>
        </w:rPr>
        <w:t>, duca</w:t>
      </w:r>
      <w:r w:rsidR="009601BE">
        <w:rPr>
          <w:rFonts w:ascii="Times New Roman" w:hAnsi="Times New Roman" w:cs="Times New Roman"/>
          <w:sz w:val="24"/>
          <w:szCs w:val="24"/>
        </w:rPr>
        <w:t xml:space="preserve"> di Calabria</w:t>
      </w:r>
      <w:r>
        <w:rPr>
          <w:rFonts w:ascii="Times New Roman" w:hAnsi="Times New Roman" w:cs="Times New Roman"/>
          <w:sz w:val="24"/>
          <w:szCs w:val="24"/>
        </w:rPr>
        <w:t xml:space="preserve">, quando il gusto e l’eleganza di Napoli furono certo un punto di riferimento importante per i signori del Rinascimento. </w:t>
      </w:r>
    </w:p>
    <w:p w14:paraId="77310067" w14:textId="77777777" w:rsidR="00395702" w:rsidRPr="00096909" w:rsidRDefault="00395702" w:rsidP="00395702">
      <w:pPr>
        <w:tabs>
          <w:tab w:val="left" w:pos="0"/>
        </w:tabs>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 xml:space="preserve">Nelle pagine del </w:t>
      </w:r>
      <w:r w:rsidRPr="00E12C3B">
        <w:rPr>
          <w:rFonts w:ascii="Times New Roman" w:hAnsi="Times New Roman" w:cs="Times New Roman"/>
          <w:i/>
          <w:sz w:val="24"/>
          <w:szCs w:val="24"/>
        </w:rPr>
        <w:t>De conviventia</w:t>
      </w:r>
      <w:r>
        <w:rPr>
          <w:rFonts w:ascii="Times New Roman" w:hAnsi="Times New Roman" w:cs="Times New Roman"/>
          <w:sz w:val="24"/>
          <w:szCs w:val="24"/>
        </w:rPr>
        <w:t xml:space="preserve"> </w:t>
      </w:r>
      <w:r w:rsidRPr="00096909">
        <w:rPr>
          <w:rFonts w:ascii="Times New Roman" w:hAnsi="Times New Roman" w:cs="Times New Roman"/>
          <w:sz w:val="24"/>
          <w:szCs w:val="24"/>
        </w:rPr>
        <w:t>l’atto d’imbandire la mensa si qualifica come un gesto propagandistico, volto a ottenere l’approvazione dei nobili commensali, degli ambasciatori e del popolo, cui non si d</w:t>
      </w:r>
      <w:r>
        <w:rPr>
          <w:rFonts w:ascii="Times New Roman" w:hAnsi="Times New Roman" w:cs="Times New Roman"/>
          <w:sz w:val="24"/>
          <w:szCs w:val="24"/>
        </w:rPr>
        <w:t>o</w:t>
      </w:r>
      <w:r w:rsidRPr="00096909">
        <w:rPr>
          <w:rFonts w:ascii="Times New Roman" w:hAnsi="Times New Roman" w:cs="Times New Roman"/>
          <w:sz w:val="24"/>
          <w:szCs w:val="24"/>
        </w:rPr>
        <w:t>v</w:t>
      </w:r>
      <w:r>
        <w:rPr>
          <w:rFonts w:ascii="Times New Roman" w:hAnsi="Times New Roman" w:cs="Times New Roman"/>
          <w:sz w:val="24"/>
          <w:szCs w:val="24"/>
        </w:rPr>
        <w:t>eva</w:t>
      </w:r>
      <w:r w:rsidRPr="00096909">
        <w:rPr>
          <w:rFonts w:ascii="Times New Roman" w:hAnsi="Times New Roman" w:cs="Times New Roman"/>
          <w:sz w:val="24"/>
          <w:szCs w:val="24"/>
        </w:rPr>
        <w:t>no rifiutare banchetti pubblici. Nei pranzi ufficiali però il principe, consigliava l’erudito,</w:t>
      </w:r>
      <w:r>
        <w:rPr>
          <w:rFonts w:ascii="Times New Roman" w:hAnsi="Times New Roman" w:cs="Times New Roman"/>
          <w:sz w:val="24"/>
          <w:szCs w:val="24"/>
        </w:rPr>
        <w:t xml:space="preserve"> era tenuto a</w:t>
      </w:r>
      <w:r w:rsidRPr="00096909">
        <w:rPr>
          <w:rFonts w:ascii="Times New Roman" w:hAnsi="Times New Roman" w:cs="Times New Roman"/>
          <w:sz w:val="24"/>
          <w:szCs w:val="24"/>
        </w:rPr>
        <w:t xml:space="preserve"> mostrarsi generoso nell’abbondanza delle vivande e nella loro varietà, allietando gli</w:t>
      </w:r>
      <w:r>
        <w:rPr>
          <w:rFonts w:ascii="Times New Roman" w:hAnsi="Times New Roman" w:cs="Times New Roman"/>
          <w:sz w:val="24"/>
          <w:szCs w:val="24"/>
        </w:rPr>
        <w:t xml:space="preserve"> ivitati</w:t>
      </w:r>
      <w:r w:rsidRPr="00096909">
        <w:rPr>
          <w:rFonts w:ascii="Times New Roman" w:hAnsi="Times New Roman" w:cs="Times New Roman"/>
          <w:sz w:val="24"/>
          <w:szCs w:val="24"/>
        </w:rPr>
        <w:t xml:space="preserve">, come fece l’imperatore Augusto, con le esibizioni di musici e istrioni. Nel capitolo VI, </w:t>
      </w:r>
      <w:r w:rsidRPr="00096909">
        <w:rPr>
          <w:rFonts w:ascii="Times New Roman" w:hAnsi="Times New Roman" w:cs="Times New Roman"/>
          <w:i/>
          <w:sz w:val="24"/>
          <w:szCs w:val="24"/>
        </w:rPr>
        <w:t>De conviviis honoris gratia susceptis</w:t>
      </w:r>
      <w:r w:rsidRPr="00096909">
        <w:rPr>
          <w:rFonts w:ascii="Times New Roman" w:hAnsi="Times New Roman" w:cs="Times New Roman"/>
          <w:sz w:val="24"/>
          <w:szCs w:val="24"/>
        </w:rPr>
        <w:t>, si indicava quindi come allestire un banchetto in onore di un ospite illustre – quale è appunto il caso del convito nuziale – e si precisava ciò che non poteva mancare:</w:t>
      </w:r>
    </w:p>
    <w:p w14:paraId="2DE9614F" w14:textId="77777777" w:rsidR="00395702" w:rsidRPr="00096909" w:rsidRDefault="00395702" w:rsidP="00395702">
      <w:pPr>
        <w:tabs>
          <w:tab w:val="left" w:pos="0"/>
        </w:tabs>
        <w:spacing w:after="0" w:line="360" w:lineRule="auto"/>
        <w:ind w:right="-1" w:firstLine="397"/>
        <w:jc w:val="both"/>
        <w:rPr>
          <w:rFonts w:ascii="Times New Roman" w:hAnsi="Times New Roman" w:cs="Times New Roman"/>
          <w:sz w:val="24"/>
          <w:szCs w:val="24"/>
        </w:rPr>
      </w:pPr>
    </w:p>
    <w:p w14:paraId="6D46F122"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i/>
          <w:sz w:val="20"/>
          <w:szCs w:val="20"/>
        </w:rPr>
        <w:t xml:space="preserve">Quae autem coenae honoris gratia parantur, quales esse deceat, docuit nuper […] Alfonsus in eo convivio, quod Caroli Burgundiorum ducis oratoribus exhibuit; in quo nihil non modo defuisse, sed ne </w:t>
      </w:r>
      <w:r w:rsidRPr="00096909">
        <w:rPr>
          <w:rFonts w:ascii="Times New Roman" w:hAnsi="Times New Roman" w:cs="Times New Roman"/>
          <w:i/>
          <w:sz w:val="20"/>
          <w:szCs w:val="20"/>
        </w:rPr>
        <w:lastRenderedPageBreak/>
        <w:t>desiderari quidem potuisse ab iis, qui fuere, iudicatum est. Post plurimos rerum variarum missus tantumque apparatum, post suavissimos cantus, post secundam mensam longe splendidissimam introducti mimi aditumque ad lychnos spectaculum, tandem magnificentissima illa comessatiuncula, quam collationem hodie vocari dixi, plurimis ferculis allata est, ac deinde inter astantes diffusa et passim etiam iactata, ut omnibus ex ea esse liceret. Ultimo donati oratores splendidissimis muneribus</w:t>
      </w:r>
      <w:r w:rsidRPr="00096909">
        <w:rPr>
          <w:rFonts w:ascii="Times New Roman" w:hAnsi="Times New Roman" w:cs="Times New Roman"/>
          <w:sz w:val="20"/>
          <w:szCs w:val="20"/>
        </w:rPr>
        <w:t>.</w:t>
      </w:r>
      <w:r w:rsidRPr="00096909">
        <w:rPr>
          <w:rStyle w:val="Rimandonotaapidipagina"/>
          <w:rFonts w:ascii="Times New Roman" w:hAnsi="Times New Roman" w:cs="Times New Roman"/>
        </w:rPr>
        <w:footnoteReference w:id="784"/>
      </w:r>
    </w:p>
    <w:p w14:paraId="559D9299"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4"/>
          <w:szCs w:val="24"/>
        </w:rPr>
      </w:pPr>
    </w:p>
    <w:p w14:paraId="190DCB21"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Come nella </w:t>
      </w:r>
      <w:r w:rsidRPr="00096909">
        <w:rPr>
          <w:rFonts w:ascii="Times New Roman" w:hAnsi="Times New Roman" w:cs="Times New Roman"/>
          <w:i/>
          <w:sz w:val="24"/>
          <w:szCs w:val="24"/>
        </w:rPr>
        <w:t>Roma Triumphans</w:t>
      </w:r>
      <w:r w:rsidRPr="00096909">
        <w:rPr>
          <w:rFonts w:ascii="Times New Roman" w:hAnsi="Times New Roman" w:cs="Times New Roman"/>
          <w:sz w:val="24"/>
          <w:szCs w:val="24"/>
        </w:rPr>
        <w:t xml:space="preserve"> le meraviglie dei </w:t>
      </w:r>
      <w:r w:rsidRPr="00096909">
        <w:rPr>
          <w:rFonts w:ascii="Times New Roman" w:hAnsi="Times New Roman" w:cs="Times New Roman"/>
          <w:i/>
          <w:sz w:val="24"/>
          <w:szCs w:val="24"/>
        </w:rPr>
        <w:t>pegmata</w:t>
      </w:r>
      <w:r w:rsidRPr="00096909">
        <w:rPr>
          <w:rFonts w:ascii="Times New Roman" w:hAnsi="Times New Roman" w:cs="Times New Roman"/>
          <w:sz w:val="24"/>
          <w:szCs w:val="24"/>
        </w:rPr>
        <w:t xml:space="preserve"> erano tornate alla vita sugli edifizi dei fiorentini, così nel </w:t>
      </w:r>
      <w:r w:rsidRPr="00096909">
        <w:rPr>
          <w:rFonts w:ascii="Times New Roman" w:hAnsi="Times New Roman" w:cs="Times New Roman"/>
          <w:i/>
          <w:sz w:val="24"/>
          <w:szCs w:val="24"/>
        </w:rPr>
        <w:t>De conviventia</w:t>
      </w:r>
      <w:r w:rsidRPr="00096909">
        <w:rPr>
          <w:rFonts w:ascii="Times New Roman" w:hAnsi="Times New Roman" w:cs="Times New Roman"/>
          <w:sz w:val="24"/>
          <w:szCs w:val="24"/>
        </w:rPr>
        <w:t xml:space="preserve"> i piaceri dei pranzi imbanditi da Augusto, da Tito e da Vitellio, –</w:t>
      </w:r>
      <w:r w:rsidR="009E43B4">
        <w:rPr>
          <w:rFonts w:ascii="Times New Roman" w:hAnsi="Times New Roman" w:cs="Times New Roman"/>
          <w:sz w:val="24"/>
          <w:szCs w:val="24"/>
        </w:rPr>
        <w:t xml:space="preserve"> </w:t>
      </w:r>
      <w:r w:rsidRPr="00096909">
        <w:rPr>
          <w:rFonts w:ascii="Times New Roman" w:hAnsi="Times New Roman" w:cs="Times New Roman"/>
          <w:sz w:val="24"/>
          <w:szCs w:val="24"/>
        </w:rPr>
        <w:t xml:space="preserve">munifici ma pur sempre equilibrati nell’intrattenere i loro ospiti – erano paragonati a quelli offerti da Alfonso </w:t>
      </w:r>
      <w:r w:rsidR="009601BE">
        <w:rPr>
          <w:rFonts w:ascii="Times New Roman" w:hAnsi="Times New Roman" w:cs="Times New Roman"/>
          <w:sz w:val="24"/>
          <w:szCs w:val="24"/>
        </w:rPr>
        <w:t xml:space="preserve">di Calabria </w:t>
      </w:r>
      <w:r w:rsidRPr="00096909">
        <w:rPr>
          <w:rFonts w:ascii="Times New Roman" w:hAnsi="Times New Roman" w:cs="Times New Roman"/>
          <w:sz w:val="24"/>
          <w:szCs w:val="24"/>
        </w:rPr>
        <w:t>agli ambasciatori di Carlo il Temerario, giunti alla corte di Napoli nel febbraio del 1472.</w:t>
      </w:r>
      <w:r w:rsidRPr="00096909">
        <w:rPr>
          <w:rStyle w:val="Rimandonotaapidipagina"/>
          <w:rFonts w:ascii="Times New Roman" w:hAnsi="Times New Roman" w:cs="Times New Roman"/>
          <w:sz w:val="24"/>
          <w:szCs w:val="24"/>
        </w:rPr>
        <w:footnoteReference w:id="785"/>
      </w:r>
      <w:r w:rsidRPr="00096909">
        <w:rPr>
          <w:rFonts w:ascii="Times New Roman" w:hAnsi="Times New Roman" w:cs="Times New Roman"/>
          <w:sz w:val="24"/>
          <w:szCs w:val="24"/>
        </w:rPr>
        <w:t xml:space="preserve"> Nelle parole di Pontano, il banchetto ideale prestava pertanto eguale attenzione alla varietà dei cibi e alla bellezza della decorazione della sala, alle musiche</w:t>
      </w:r>
      <w:r>
        <w:rPr>
          <w:rFonts w:ascii="Times New Roman" w:hAnsi="Times New Roman" w:cs="Times New Roman"/>
          <w:sz w:val="24"/>
          <w:szCs w:val="24"/>
        </w:rPr>
        <w:t xml:space="preserve"> e</w:t>
      </w:r>
      <w:r w:rsidRPr="00096909">
        <w:rPr>
          <w:rFonts w:ascii="Times New Roman" w:hAnsi="Times New Roman" w:cs="Times New Roman"/>
          <w:sz w:val="24"/>
          <w:szCs w:val="24"/>
        </w:rPr>
        <w:t xml:space="preserve"> alla credenza colma di stoviglie d’oro e d’argento, agli interventi dei mimi e, infine, alla colazione, ovvero all’offerta di dolci di diverso tipo e di sofisticate sculture di zucchero, meraviglia per il palato e soprattutto per gli occhi, dal momento che l’ingresso nella sala di questo servizio conclusivo era sempre particolarmente scenografico.</w:t>
      </w:r>
      <w:r w:rsidRPr="00096909">
        <w:rPr>
          <w:rStyle w:val="Rimandonotaapidipagina"/>
          <w:rFonts w:ascii="Times New Roman" w:hAnsi="Times New Roman" w:cs="Times New Roman"/>
          <w:sz w:val="24"/>
          <w:szCs w:val="24"/>
        </w:rPr>
        <w:footnoteReference w:id="786"/>
      </w:r>
    </w:p>
    <w:p w14:paraId="413678C5"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Prima di prendere in considerazione questi elementi fondamentali del banchetto nell’ordine elencato da Pontano, vorrei segnalare come la rassegna di antichi esempi di eccesso (Gallieno, Aulo Vitellio, Eliogabalo) e di virtù (Cesare, Augusto, Vitellio) rispetto al tema dell’organizzazione del convivio compaia effettivamente in diverse delle descrizioni ufficiali degli sposalizi per esaltare l’eccellenza delle nozze delle quali abbiamo trattato: </w:t>
      </w:r>
    </w:p>
    <w:p w14:paraId="61C3F7DA" w14:textId="77777777" w:rsidR="00395702" w:rsidRPr="00096909" w:rsidRDefault="00395702" w:rsidP="00395702">
      <w:pPr>
        <w:tabs>
          <w:tab w:val="left" w:pos="8787"/>
        </w:tabs>
        <w:spacing w:after="0" w:line="360" w:lineRule="auto"/>
        <w:ind w:left="567" w:right="851"/>
        <w:jc w:val="both"/>
        <w:rPr>
          <w:rFonts w:ascii="Times New Roman" w:hAnsi="Times New Roman" w:cs="Times New Roman"/>
          <w:i/>
          <w:sz w:val="20"/>
          <w:szCs w:val="20"/>
        </w:rPr>
      </w:pPr>
    </w:p>
    <w:p w14:paraId="360861AE" w14:textId="77777777" w:rsidR="00395702" w:rsidRPr="00096909" w:rsidRDefault="00395702" w:rsidP="00395702">
      <w:pPr>
        <w:tabs>
          <w:tab w:val="left" w:pos="8787"/>
        </w:tabs>
        <w:spacing w:after="0" w:line="360" w:lineRule="auto"/>
        <w:ind w:left="567" w:right="851" w:firstLine="397"/>
        <w:jc w:val="both"/>
        <w:rPr>
          <w:rFonts w:ascii="Times New Roman" w:hAnsi="Times New Roman" w:cs="Times New Roman"/>
          <w:sz w:val="20"/>
          <w:szCs w:val="20"/>
        </w:rPr>
      </w:pPr>
      <w:r w:rsidRPr="00096909">
        <w:rPr>
          <w:rFonts w:ascii="Times New Roman" w:hAnsi="Times New Roman" w:cs="Times New Roman"/>
          <w:i/>
          <w:sz w:val="20"/>
          <w:szCs w:val="20"/>
        </w:rPr>
        <w:t xml:space="preserve">Quis tantus ingenio, quis tanta facundia praeditus, ut verbis idoneis posset multiiugum minutatim explicare convivium? Legimus in Heliogabali conviviis exibita fuisse supra viginti fercula ingentium epularum. Legimus Antonii et Clopatrae coenas lautissimas, quas imitabiles ipsi nominabant. Legimus luxuriosissimas Vitelli partinas, Veri imperatoris convivium preciosissimum, luxum Luculli nepotalem, Saliorum dapes, Pontificum coenas. Legimus et illas apud priscos fuisse epulares coenas, quas luculenti scriptores modo adiiciales, modo dubias, modo pollucibiles </w:t>
      </w:r>
      <w:r w:rsidRPr="00096909">
        <w:rPr>
          <w:rFonts w:ascii="Times New Roman" w:hAnsi="Times New Roman" w:cs="Times New Roman"/>
          <w:i/>
          <w:sz w:val="20"/>
          <w:szCs w:val="20"/>
        </w:rPr>
        <w:lastRenderedPageBreak/>
        <w:t>appelant. Quae omnia epulum istud Bentivolorum nuptiale aut aequat aut antecedit, in quo omnia in argento puro edulia illata fuerunt</w:t>
      </w:r>
      <w:r w:rsidRPr="00096909">
        <w:rPr>
          <w:rFonts w:ascii="Times New Roman" w:hAnsi="Times New Roman" w:cs="Times New Roman"/>
          <w:sz w:val="20"/>
          <w:szCs w:val="20"/>
        </w:rPr>
        <w:t>.</w:t>
      </w:r>
      <w:r w:rsidRPr="00096909">
        <w:rPr>
          <w:rStyle w:val="Rimandonotaapidipagina"/>
          <w:rFonts w:ascii="Times New Roman" w:hAnsi="Times New Roman" w:cs="Times New Roman"/>
        </w:rPr>
        <w:footnoteReference w:id="787"/>
      </w:r>
    </w:p>
    <w:p w14:paraId="7A9810DF" w14:textId="77777777" w:rsidR="00395702" w:rsidRDefault="00395702" w:rsidP="009067C2">
      <w:pPr>
        <w:spacing w:after="0" w:line="360" w:lineRule="auto"/>
        <w:ind w:right="-1"/>
        <w:jc w:val="both"/>
        <w:rPr>
          <w:rFonts w:ascii="Times New Roman" w:hAnsi="Times New Roman" w:cs="Times New Roman"/>
          <w:sz w:val="24"/>
          <w:szCs w:val="24"/>
        </w:rPr>
      </w:pPr>
    </w:p>
    <w:p w14:paraId="36CC31D9" w14:textId="77777777" w:rsidR="009067C2" w:rsidRPr="00096909" w:rsidRDefault="009067C2" w:rsidP="009067C2">
      <w:pPr>
        <w:spacing w:after="0" w:line="360" w:lineRule="auto"/>
        <w:ind w:right="-1"/>
        <w:jc w:val="both"/>
        <w:rPr>
          <w:rFonts w:ascii="Times New Roman" w:hAnsi="Times New Roman" w:cs="Times New Roman"/>
          <w:sz w:val="24"/>
          <w:szCs w:val="24"/>
        </w:rPr>
      </w:pPr>
    </w:p>
    <w:p w14:paraId="52A12EF8"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Così, ad esempio, scrisse Beroaldo del lauto pranzo per lo sposalizio di Lucrezia d’Este. L’anafora incalzante </w:t>
      </w:r>
      <w:r>
        <w:rPr>
          <w:rFonts w:ascii="Times New Roman" w:hAnsi="Times New Roman" w:cs="Times New Roman"/>
          <w:sz w:val="24"/>
          <w:szCs w:val="24"/>
        </w:rPr>
        <w:t>«</w:t>
      </w:r>
      <w:r w:rsidRPr="00096909">
        <w:rPr>
          <w:rFonts w:ascii="Times New Roman" w:hAnsi="Times New Roman" w:cs="Times New Roman"/>
          <w:i/>
          <w:sz w:val="24"/>
          <w:szCs w:val="24"/>
        </w:rPr>
        <w:t>Legimus, legimus, legimus</w:t>
      </w:r>
      <w:r w:rsidRPr="003469B2">
        <w:rPr>
          <w:rFonts w:ascii="Times New Roman" w:hAnsi="Times New Roman" w:cs="Times New Roman"/>
          <w:sz w:val="24"/>
          <w:szCs w:val="24"/>
        </w:rPr>
        <w:t>»</w:t>
      </w:r>
      <w:r w:rsidRPr="00096909">
        <w:rPr>
          <w:rFonts w:ascii="Times New Roman" w:hAnsi="Times New Roman" w:cs="Times New Roman"/>
          <w:sz w:val="24"/>
          <w:szCs w:val="24"/>
        </w:rPr>
        <w:t xml:space="preserve"> mi pare segnalare come una lettura delle fonti classiche inerenti ai modi in cui i romani avevano allietato le loro cene fosse effettivamente in corso negli ultimi decenni del Quattrocento, quando, oltre a Pontano, letterati come Bartolomeo Platina, Battista Massi d’Argentea e Giovan Battista Fiera davano alla stampa opere sui temi dell’alimentazione e della giusta misura nell’arte d’imbandire la tavola, confrontandosi con </w:t>
      </w:r>
      <w:r>
        <w:rPr>
          <w:rFonts w:ascii="Times New Roman" w:hAnsi="Times New Roman" w:cs="Times New Roman"/>
          <w:sz w:val="24"/>
          <w:szCs w:val="24"/>
        </w:rPr>
        <w:t>l</w:t>
      </w:r>
      <w:r w:rsidRPr="00096909">
        <w:rPr>
          <w:rFonts w:ascii="Times New Roman" w:hAnsi="Times New Roman" w:cs="Times New Roman"/>
          <w:sz w:val="24"/>
          <w:szCs w:val="24"/>
        </w:rPr>
        <w:t>’ampia messe di informazioni su tali temi tramandate dagli autori antichi.</w:t>
      </w:r>
      <w:r w:rsidRPr="00096909">
        <w:rPr>
          <w:rStyle w:val="Rimandonotaapidipagina"/>
          <w:rFonts w:ascii="Times New Roman" w:hAnsi="Times New Roman" w:cs="Times New Roman"/>
          <w:sz w:val="24"/>
          <w:szCs w:val="24"/>
        </w:rPr>
        <w:footnoteReference w:id="788"/>
      </w:r>
      <w:r w:rsidRPr="00096909">
        <w:rPr>
          <w:rFonts w:ascii="Times New Roman" w:hAnsi="Times New Roman" w:cs="Times New Roman"/>
          <w:sz w:val="24"/>
          <w:szCs w:val="24"/>
        </w:rPr>
        <w:t xml:space="preserve"> </w:t>
      </w:r>
    </w:p>
    <w:p w14:paraId="0C93B178"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Pr>
          <w:rFonts w:ascii="Times New Roman" w:hAnsi="Times New Roman" w:cs="Times New Roman"/>
          <w:sz w:val="24"/>
          <w:szCs w:val="24"/>
        </w:rPr>
        <w:t xml:space="preserve">Tale </w:t>
      </w:r>
      <w:r w:rsidRPr="00096909">
        <w:rPr>
          <w:rFonts w:ascii="Times New Roman" w:hAnsi="Times New Roman" w:cs="Times New Roman"/>
          <w:sz w:val="24"/>
          <w:szCs w:val="24"/>
        </w:rPr>
        <w:t>riflessione, lungi dall’esaurirsi nell’a</w:t>
      </w:r>
      <w:r>
        <w:rPr>
          <w:rFonts w:ascii="Times New Roman" w:hAnsi="Times New Roman" w:cs="Times New Roman"/>
          <w:sz w:val="24"/>
          <w:szCs w:val="24"/>
        </w:rPr>
        <w:t>m</w:t>
      </w:r>
      <w:r w:rsidRPr="00096909">
        <w:rPr>
          <w:rFonts w:ascii="Times New Roman" w:hAnsi="Times New Roman" w:cs="Times New Roman"/>
          <w:sz w:val="24"/>
          <w:szCs w:val="24"/>
        </w:rPr>
        <w:t>bito della discussione erudita sui testi classici, dava effettivamente forma al banchetto rinascimentale. Il lavacro rituale delle mani con acqua di rose in bacili dorati, gesto che scandiva la successione delle portate del pranzo principesco, era stato forse ripreso, ad esempio, dalla descrizione del ricevimento offerto da Didone a Enea nel I libro dell’</w:t>
      </w:r>
      <w:r w:rsidRPr="00852262">
        <w:rPr>
          <w:rFonts w:ascii="Times New Roman" w:hAnsi="Times New Roman" w:cs="Times New Roman"/>
          <w:i/>
          <w:sz w:val="24"/>
          <w:szCs w:val="24"/>
        </w:rPr>
        <w:t>Eneide</w:t>
      </w:r>
      <w:r w:rsidRPr="00096909">
        <w:rPr>
          <w:rFonts w:ascii="Times New Roman" w:hAnsi="Times New Roman" w:cs="Times New Roman"/>
          <w:sz w:val="24"/>
          <w:szCs w:val="24"/>
        </w:rPr>
        <w:t xml:space="preserve"> – soggetto che, non a caso, orna diversi cassoni nuziali.</w:t>
      </w:r>
      <w:r w:rsidRPr="00096909">
        <w:rPr>
          <w:rStyle w:val="Rimandonotaapidipagina"/>
          <w:rFonts w:ascii="Times New Roman" w:hAnsi="Times New Roman" w:cs="Times New Roman"/>
          <w:sz w:val="24"/>
          <w:szCs w:val="24"/>
        </w:rPr>
        <w:footnoteReference w:id="789"/>
      </w:r>
      <w:r w:rsidRPr="00096909">
        <w:rPr>
          <w:rFonts w:ascii="Times New Roman" w:hAnsi="Times New Roman" w:cs="Times New Roman"/>
          <w:sz w:val="24"/>
          <w:szCs w:val="24"/>
        </w:rPr>
        <w:t xml:space="preserve"> Dalla </w:t>
      </w:r>
      <w:r w:rsidRPr="00096909">
        <w:rPr>
          <w:rFonts w:ascii="Times New Roman" w:hAnsi="Times New Roman" w:cs="Times New Roman"/>
          <w:i/>
          <w:sz w:val="24"/>
          <w:szCs w:val="24"/>
        </w:rPr>
        <w:t>Coena Trimalchionis</w:t>
      </w:r>
      <w:r w:rsidRPr="00096909">
        <w:rPr>
          <w:rFonts w:ascii="Times New Roman" w:hAnsi="Times New Roman" w:cs="Times New Roman"/>
          <w:sz w:val="24"/>
          <w:szCs w:val="24"/>
        </w:rPr>
        <w:t xml:space="preserve"> del </w:t>
      </w:r>
      <w:r w:rsidRPr="00096909">
        <w:rPr>
          <w:rFonts w:ascii="Times New Roman" w:hAnsi="Times New Roman" w:cs="Times New Roman"/>
          <w:i/>
          <w:sz w:val="24"/>
          <w:szCs w:val="24"/>
        </w:rPr>
        <w:t>Satyricon</w:t>
      </w:r>
      <w:r w:rsidRPr="00096909">
        <w:rPr>
          <w:rFonts w:ascii="Times New Roman" w:hAnsi="Times New Roman" w:cs="Times New Roman"/>
          <w:sz w:val="24"/>
          <w:szCs w:val="24"/>
        </w:rPr>
        <w:t xml:space="preserve"> di Petronio giungeva invece l’«idea forte» della sala del banchetto quale centro dell’universo, dove convergevano i segni dello zodiaco in forma di elaborate vivande, la quale ispirava la decorazione dei soffitti trapunti di stelle dei banchetti di Pesaro e di Rimini.</w:t>
      </w:r>
      <w:r w:rsidRPr="00096909">
        <w:rPr>
          <w:rStyle w:val="Rimandonotaapidipagina"/>
          <w:rFonts w:ascii="Times New Roman" w:hAnsi="Times New Roman" w:cs="Times New Roman"/>
          <w:sz w:val="24"/>
          <w:szCs w:val="24"/>
        </w:rPr>
        <w:footnoteReference w:id="790"/>
      </w:r>
      <w:r w:rsidRPr="00096909">
        <w:rPr>
          <w:rFonts w:ascii="Times New Roman" w:hAnsi="Times New Roman" w:cs="Times New Roman"/>
          <w:sz w:val="24"/>
          <w:szCs w:val="24"/>
        </w:rPr>
        <w:t xml:space="preserve">  </w:t>
      </w:r>
    </w:p>
    <w:p w14:paraId="190C061D"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Questo immaginario letterario, modellando il cerimoniale della corte e l’apparato della mensa, caricava di valore simbolico il ripetersi consueto dei gesti e dei momenti del pasto.</w:t>
      </w:r>
      <w:r w:rsidRPr="00096909">
        <w:rPr>
          <w:rStyle w:val="Rimandonotaapidipagina"/>
          <w:rFonts w:ascii="Times New Roman" w:hAnsi="Times New Roman" w:cs="Times New Roman"/>
          <w:sz w:val="24"/>
          <w:szCs w:val="24"/>
        </w:rPr>
        <w:footnoteReference w:id="791"/>
      </w:r>
      <w:r w:rsidRPr="00096909">
        <w:rPr>
          <w:rFonts w:ascii="Times New Roman" w:hAnsi="Times New Roman" w:cs="Times New Roman"/>
          <w:sz w:val="24"/>
          <w:szCs w:val="24"/>
        </w:rPr>
        <w:t xml:space="preserve"> Alla scenicità organica del banchetto – ovvero all’ordinato incedere dei domestici, alla mostra delle invitanti pietanze, alle battute cortesi scambiate tra i commensali in abiti lussuosi – si affiancava così una spettacolarità estrinseca, composta dagli interventi recitati, danzati e cantati dei figuranti che recavano le pietanze, ispirati dalla fantasia degli artisti organizzatori della festa. Tra le due non vi era alternanza ma una complementarietà e una complicità che rendevano il banchetto uno spettacolo contemporaneamente agito e contemplato dai partecipanti, proprio come avveniva nel trionfo.</w:t>
      </w:r>
      <w:r w:rsidRPr="00096909">
        <w:rPr>
          <w:rStyle w:val="Rimandonotaapidipagina"/>
          <w:rFonts w:ascii="Times New Roman" w:hAnsi="Times New Roman" w:cs="Times New Roman"/>
          <w:sz w:val="24"/>
          <w:szCs w:val="24"/>
        </w:rPr>
        <w:footnoteReference w:id="792"/>
      </w:r>
      <w:r w:rsidRPr="00096909">
        <w:rPr>
          <w:rFonts w:ascii="Times New Roman" w:hAnsi="Times New Roman" w:cs="Times New Roman"/>
          <w:sz w:val="24"/>
          <w:szCs w:val="24"/>
        </w:rPr>
        <w:t xml:space="preserve"> La condivisione della stessa cultura letteraria permetteva di cogliere il nesso logico e strutturante che giustificava la comparsa dei performers rappresentanti le creature della mitologia e di decodificare il complesso meccanismo di significazione dell’evento. Evento che si configurava sempre come momento del cerimoniale cortigiano, rappresentando con l’ordine delle precedenze e con la disposizione all</w:t>
      </w:r>
      <w:r>
        <w:rPr>
          <w:rFonts w:ascii="Times New Roman" w:hAnsi="Times New Roman" w:cs="Times New Roman"/>
          <w:sz w:val="24"/>
          <w:szCs w:val="24"/>
        </w:rPr>
        <w:t>e</w:t>
      </w:r>
      <w:r w:rsidRPr="00096909">
        <w:rPr>
          <w:rFonts w:ascii="Times New Roman" w:hAnsi="Times New Roman" w:cs="Times New Roman"/>
          <w:sz w:val="24"/>
          <w:szCs w:val="24"/>
        </w:rPr>
        <w:t xml:space="preserve"> tavol</w:t>
      </w:r>
      <w:r>
        <w:rPr>
          <w:rFonts w:ascii="Times New Roman" w:hAnsi="Times New Roman" w:cs="Times New Roman"/>
          <w:sz w:val="24"/>
          <w:szCs w:val="24"/>
        </w:rPr>
        <w:t>e</w:t>
      </w:r>
      <w:r w:rsidRPr="00096909">
        <w:rPr>
          <w:rFonts w:ascii="Times New Roman" w:hAnsi="Times New Roman" w:cs="Times New Roman"/>
          <w:sz w:val="24"/>
          <w:szCs w:val="24"/>
        </w:rPr>
        <w:t xml:space="preserve"> d’onore – puntualmente riferiti dai cronisti delle feste – l’organizzazione gerarchi</w:t>
      </w:r>
      <w:r>
        <w:rPr>
          <w:rFonts w:ascii="Times New Roman" w:hAnsi="Times New Roman" w:cs="Times New Roman"/>
          <w:sz w:val="24"/>
          <w:szCs w:val="24"/>
        </w:rPr>
        <w:t>c</w:t>
      </w:r>
      <w:r w:rsidRPr="00096909">
        <w:rPr>
          <w:rFonts w:ascii="Times New Roman" w:hAnsi="Times New Roman" w:cs="Times New Roman"/>
          <w:sz w:val="24"/>
          <w:szCs w:val="24"/>
        </w:rPr>
        <w:t>a della corte e l’importanza delle alleanze che univano il principe a</w:t>
      </w:r>
      <w:r>
        <w:rPr>
          <w:rFonts w:ascii="Times New Roman" w:hAnsi="Times New Roman" w:cs="Times New Roman"/>
          <w:sz w:val="24"/>
          <w:szCs w:val="24"/>
        </w:rPr>
        <w:t>gl</w:t>
      </w:r>
      <w:r w:rsidRPr="00096909">
        <w:rPr>
          <w:rFonts w:ascii="Times New Roman" w:hAnsi="Times New Roman" w:cs="Times New Roman"/>
          <w:sz w:val="24"/>
          <w:szCs w:val="24"/>
        </w:rPr>
        <w:t>i invitati.</w:t>
      </w:r>
      <w:r w:rsidRPr="00096909">
        <w:rPr>
          <w:rStyle w:val="Rimandonotaapidipagina"/>
          <w:rFonts w:ascii="Times New Roman" w:hAnsi="Times New Roman" w:cs="Times New Roman"/>
          <w:sz w:val="24"/>
          <w:szCs w:val="24"/>
        </w:rPr>
        <w:footnoteReference w:id="793"/>
      </w:r>
      <w:r w:rsidRPr="00096909">
        <w:rPr>
          <w:rFonts w:ascii="Times New Roman" w:hAnsi="Times New Roman" w:cs="Times New Roman"/>
          <w:sz w:val="24"/>
          <w:szCs w:val="24"/>
        </w:rPr>
        <w:t xml:space="preserve"> </w:t>
      </w:r>
    </w:p>
    <w:p w14:paraId="7D533EE1"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primo elemento spettacolare del pranzo di gala, concordemente </w:t>
      </w:r>
      <w:r w:rsidRPr="00852262">
        <w:rPr>
          <w:rFonts w:ascii="Times New Roman" w:hAnsi="Times New Roman" w:cs="Times New Roman"/>
          <w:sz w:val="24"/>
          <w:szCs w:val="24"/>
        </w:rPr>
        <w:t>con le</w:t>
      </w:r>
      <w:r w:rsidRPr="00096909">
        <w:rPr>
          <w:rFonts w:ascii="Times New Roman" w:hAnsi="Times New Roman" w:cs="Times New Roman"/>
          <w:sz w:val="24"/>
          <w:szCs w:val="24"/>
        </w:rPr>
        <w:t xml:space="preserve"> indicazioni del </w:t>
      </w:r>
      <w:r w:rsidRPr="00096909">
        <w:rPr>
          <w:rFonts w:ascii="Times New Roman" w:hAnsi="Times New Roman" w:cs="Times New Roman"/>
          <w:i/>
          <w:sz w:val="24"/>
          <w:szCs w:val="24"/>
        </w:rPr>
        <w:t>De conviventia</w:t>
      </w:r>
      <w:r w:rsidRPr="00096909">
        <w:rPr>
          <w:rFonts w:ascii="Times New Roman" w:hAnsi="Times New Roman" w:cs="Times New Roman"/>
          <w:sz w:val="24"/>
          <w:szCs w:val="24"/>
        </w:rPr>
        <w:t>, era dunque la presentazione d</w:t>
      </w:r>
      <w:r w:rsidR="0052123E">
        <w:rPr>
          <w:rFonts w:ascii="Times New Roman" w:hAnsi="Times New Roman" w:cs="Times New Roman"/>
          <w:sz w:val="24"/>
          <w:szCs w:val="24"/>
        </w:rPr>
        <w:t>i</w:t>
      </w:r>
      <w:r w:rsidRPr="00096909">
        <w:rPr>
          <w:rFonts w:ascii="Times New Roman" w:hAnsi="Times New Roman" w:cs="Times New Roman"/>
          <w:sz w:val="24"/>
          <w:szCs w:val="24"/>
        </w:rPr>
        <w:t xml:space="preserve"> abbondanti e prelibate pietanze.</w:t>
      </w:r>
      <w:r w:rsidRPr="00096909">
        <w:rPr>
          <w:rStyle w:val="Rimandonotaapidipagina"/>
          <w:rFonts w:ascii="Times New Roman" w:hAnsi="Times New Roman" w:cs="Times New Roman"/>
          <w:sz w:val="24"/>
          <w:szCs w:val="24"/>
        </w:rPr>
        <w:t xml:space="preserve"> </w:t>
      </w:r>
      <w:r w:rsidRPr="00096909">
        <w:rPr>
          <w:rStyle w:val="Rimandonotaapidipagina"/>
          <w:rFonts w:ascii="Times New Roman" w:hAnsi="Times New Roman" w:cs="Times New Roman"/>
          <w:sz w:val="24"/>
          <w:szCs w:val="24"/>
        </w:rPr>
        <w:footnoteReference w:id="794"/>
      </w:r>
      <w:r w:rsidRPr="00096909">
        <w:rPr>
          <w:rFonts w:ascii="Times New Roman" w:hAnsi="Times New Roman" w:cs="Times New Roman"/>
          <w:sz w:val="24"/>
          <w:szCs w:val="24"/>
        </w:rPr>
        <w:t xml:space="preserve"> Senza entrare nello specifico della varietà gastronomica quattrocentesca, pur segnalata nel trattato come punto di forza dell’ospite aristocratico, vorrei soffermarmi su alcune informazioni relative alla coreografia dei gesti degli addetti al servizio della mensa e alla presentazione dei cibi fornite da un documento proveniente dalla biblioteca dei duchi d’Urbino: l’</w:t>
      </w:r>
      <w:r w:rsidRPr="00096909">
        <w:rPr>
          <w:rFonts w:ascii="Times New Roman" w:hAnsi="Times New Roman" w:cs="Times New Roman"/>
          <w:i/>
          <w:sz w:val="24"/>
          <w:szCs w:val="24"/>
        </w:rPr>
        <w:t>Ordine et officij de casa de lo illustrissimo signor duca de Urbino</w:t>
      </w:r>
      <w:r w:rsidRPr="00096909">
        <w:rPr>
          <w:rFonts w:ascii="Times New Roman" w:hAnsi="Times New Roman" w:cs="Times New Roman"/>
          <w:sz w:val="24"/>
          <w:szCs w:val="24"/>
        </w:rPr>
        <w:t xml:space="preserve">, testo anonimo, scritto presumibilmente </w:t>
      </w:r>
      <w:r>
        <w:rPr>
          <w:rFonts w:ascii="Times New Roman" w:hAnsi="Times New Roman" w:cs="Times New Roman"/>
          <w:sz w:val="24"/>
          <w:szCs w:val="24"/>
        </w:rPr>
        <w:t>ne</w:t>
      </w:r>
      <w:r w:rsidRPr="00096909">
        <w:rPr>
          <w:rFonts w:ascii="Times New Roman" w:hAnsi="Times New Roman" w:cs="Times New Roman"/>
          <w:sz w:val="24"/>
          <w:szCs w:val="24"/>
        </w:rPr>
        <w:t xml:space="preserve">gli anni della minore età di </w:t>
      </w:r>
      <w:r w:rsidRPr="00096909">
        <w:rPr>
          <w:rFonts w:ascii="Times New Roman" w:hAnsi="Times New Roman" w:cs="Times New Roman"/>
          <w:sz w:val="24"/>
          <w:szCs w:val="24"/>
        </w:rPr>
        <w:lastRenderedPageBreak/>
        <w:t>Guidubaldo da Montefeltro e trasmesso da un codice databile ai primissimi anni del Cinquecento.</w:t>
      </w:r>
      <w:r w:rsidRPr="00096909">
        <w:rPr>
          <w:rStyle w:val="Rimandonotaapidipagina"/>
          <w:rFonts w:ascii="Times New Roman" w:hAnsi="Times New Roman" w:cs="Times New Roman"/>
          <w:sz w:val="24"/>
          <w:szCs w:val="24"/>
        </w:rPr>
        <w:footnoteReference w:id="795"/>
      </w:r>
      <w:r w:rsidRPr="00096909">
        <w:rPr>
          <w:rFonts w:ascii="Times New Roman" w:hAnsi="Times New Roman" w:cs="Times New Roman"/>
          <w:sz w:val="24"/>
          <w:szCs w:val="24"/>
        </w:rPr>
        <w:t xml:space="preserve"> </w:t>
      </w:r>
    </w:p>
    <w:p w14:paraId="7DA02E5A"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Nell’illustrare le mansioni necessarie al mantenimento dello splendido palazzo duca</w:t>
      </w:r>
      <w:r>
        <w:rPr>
          <w:rFonts w:ascii="Times New Roman" w:hAnsi="Times New Roman" w:cs="Times New Roman"/>
          <w:sz w:val="24"/>
          <w:szCs w:val="24"/>
        </w:rPr>
        <w:t>le</w:t>
      </w:r>
      <w:r w:rsidRPr="00096909">
        <w:rPr>
          <w:rFonts w:ascii="Times New Roman" w:hAnsi="Times New Roman" w:cs="Times New Roman"/>
          <w:sz w:val="24"/>
          <w:szCs w:val="24"/>
        </w:rPr>
        <w:t xml:space="preserve">, l’autore dedicò i capitoli II-IX dello scritto alle qualità del personale addetto alla gestione dei banchetti e alle modalità </w:t>
      </w:r>
      <w:r>
        <w:rPr>
          <w:rFonts w:ascii="Times New Roman" w:hAnsi="Times New Roman" w:cs="Times New Roman"/>
          <w:sz w:val="24"/>
          <w:szCs w:val="24"/>
        </w:rPr>
        <w:t>con</w:t>
      </w:r>
      <w:r w:rsidRPr="00096909">
        <w:rPr>
          <w:rFonts w:ascii="Times New Roman" w:hAnsi="Times New Roman" w:cs="Times New Roman"/>
          <w:sz w:val="24"/>
          <w:szCs w:val="24"/>
        </w:rPr>
        <w:t xml:space="preserve"> cui questo </w:t>
      </w:r>
      <w:r w:rsidRPr="00852262">
        <w:rPr>
          <w:rFonts w:ascii="Times New Roman" w:hAnsi="Times New Roman" w:cs="Times New Roman"/>
          <w:sz w:val="24"/>
          <w:szCs w:val="24"/>
        </w:rPr>
        <w:t>doveva s</w:t>
      </w:r>
      <w:r w:rsidRPr="00096909">
        <w:rPr>
          <w:rFonts w:ascii="Times New Roman" w:hAnsi="Times New Roman" w:cs="Times New Roman"/>
          <w:sz w:val="24"/>
          <w:szCs w:val="24"/>
        </w:rPr>
        <w:t xml:space="preserve">volgere i propri offici: sovraintendente </w:t>
      </w:r>
      <w:r w:rsidRPr="00852262">
        <w:rPr>
          <w:rFonts w:ascii="Times New Roman" w:hAnsi="Times New Roman" w:cs="Times New Roman"/>
          <w:sz w:val="24"/>
          <w:szCs w:val="24"/>
        </w:rPr>
        <w:t>al</w:t>
      </w:r>
      <w:r w:rsidRPr="00096909">
        <w:rPr>
          <w:rFonts w:ascii="Times New Roman" w:hAnsi="Times New Roman" w:cs="Times New Roman"/>
          <w:sz w:val="24"/>
          <w:szCs w:val="24"/>
        </w:rPr>
        <w:t xml:space="preserve"> servizio del convito era lo scalco, «persona de intellecto, praticha, apparente, eloquente, et di bona maniera, costumato, e remoto de omne gulosità»,</w:t>
      </w:r>
      <w:r w:rsidRPr="00096909">
        <w:rPr>
          <w:rStyle w:val="Rimandonotaapidipagina"/>
          <w:rFonts w:ascii="Times New Roman" w:hAnsi="Times New Roman" w:cs="Times New Roman"/>
          <w:sz w:val="24"/>
          <w:szCs w:val="24"/>
        </w:rPr>
        <w:footnoteReference w:id="796"/>
      </w:r>
      <w:r w:rsidRPr="00096909">
        <w:rPr>
          <w:rFonts w:ascii="Times New Roman" w:hAnsi="Times New Roman" w:cs="Times New Roman"/>
          <w:sz w:val="24"/>
          <w:szCs w:val="24"/>
        </w:rPr>
        <w:t xml:space="preserve"> che nel banchetto pubblico napoletano in piazza dell’Incoronata del 1473 abbiamo visto persino capace di governare la successione delle portate cavalcando. Egli conosceva i tempi della cucina e come dovessero essere apparecchiate le mense in base alle esigenze del pranzo e a quelle degli interventi recitati e cantati. Pertanto, coordinava i movimenti dei coppieri «gioveni, nobili, et puliti, et fedeli, et di bono aspecto et apti a ministrare cum gram reverentia et destri gesti […] cum debita cerimonia»;</w:t>
      </w:r>
      <w:r w:rsidRPr="00096909">
        <w:rPr>
          <w:rStyle w:val="Rimandonotaapidipagina"/>
          <w:rFonts w:ascii="Times New Roman" w:hAnsi="Times New Roman" w:cs="Times New Roman"/>
          <w:sz w:val="24"/>
          <w:szCs w:val="24"/>
        </w:rPr>
        <w:footnoteReference w:id="797"/>
      </w:r>
      <w:r w:rsidRPr="00096909">
        <w:rPr>
          <w:rFonts w:ascii="Times New Roman" w:hAnsi="Times New Roman" w:cs="Times New Roman"/>
          <w:sz w:val="24"/>
          <w:szCs w:val="24"/>
        </w:rPr>
        <w:t xml:space="preserve"> dei dapiferi, incaricati di presentare i piatti sulle tavole; dei trincianti «pronti et presti in tagliare in quel modo che più piace a chi ha servito»,</w:t>
      </w:r>
      <w:r w:rsidRPr="00096909">
        <w:rPr>
          <w:rStyle w:val="Rimandonotaapidipagina"/>
          <w:rFonts w:ascii="Times New Roman" w:hAnsi="Times New Roman" w:cs="Times New Roman"/>
          <w:sz w:val="24"/>
          <w:szCs w:val="24"/>
        </w:rPr>
        <w:footnoteReference w:id="798"/>
      </w:r>
      <w:r w:rsidRPr="00096909">
        <w:rPr>
          <w:rFonts w:ascii="Times New Roman" w:hAnsi="Times New Roman" w:cs="Times New Roman"/>
          <w:sz w:val="24"/>
          <w:szCs w:val="24"/>
        </w:rPr>
        <w:t xml:space="preserve"> dei paggi che porgevano l’acqua di rose per il lavacro delle mani e dei credenzieri, che apparecchiavano le tavole con tutto il necessario per degustare i cibi. </w:t>
      </w:r>
    </w:p>
    <w:p w14:paraId="051F3334"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Il succedersi gerarchizzato e ordinato dei movimenti dei servitori, ispirato all’ideale della pulitezza, costituiva pertanto la scenicità organica del banchetto alla quale si è accennato, messa in risalto dalle melodie dei musici che accompagnavano i servizi di tavola, come richiedeva il trattato di Pontano.</w:t>
      </w:r>
      <w:r w:rsidRPr="00096909">
        <w:rPr>
          <w:rStyle w:val="Rimandonotaapidipagina"/>
          <w:rFonts w:ascii="Times New Roman" w:hAnsi="Times New Roman" w:cs="Times New Roman"/>
          <w:sz w:val="24"/>
          <w:szCs w:val="24"/>
        </w:rPr>
        <w:footnoteReference w:id="799"/>
      </w:r>
      <w:r w:rsidRPr="00096909">
        <w:rPr>
          <w:rFonts w:ascii="Times New Roman" w:hAnsi="Times New Roman" w:cs="Times New Roman"/>
          <w:sz w:val="24"/>
          <w:szCs w:val="24"/>
        </w:rPr>
        <w:t xml:space="preserve"> L’organico strumentale dei banchetti cortesi era formato principalmente da strumenti a fiato, indicati nelle fonti come pifferi e trombetti, ma erano possibili anche interessanti variazioni. L’</w:t>
      </w:r>
      <w:r w:rsidRPr="00096909">
        <w:rPr>
          <w:rFonts w:ascii="Times New Roman" w:hAnsi="Times New Roman" w:cs="Times New Roman"/>
          <w:i/>
        </w:rPr>
        <w:t>Ordine de le noze de lo Illustrissimo Signor misir Costantio Sfortia</w:t>
      </w:r>
      <w:r w:rsidRPr="00096909">
        <w:rPr>
          <w:rFonts w:ascii="Times New Roman" w:hAnsi="Times New Roman" w:cs="Times New Roman"/>
          <w:sz w:val="24"/>
          <w:szCs w:val="24"/>
        </w:rPr>
        <w:t xml:space="preserve"> attesta, ad esempio, la presenza di un organo che probabilmente suonò durante il </w:t>
      </w:r>
      <w:r>
        <w:rPr>
          <w:rFonts w:ascii="Times New Roman" w:hAnsi="Times New Roman" w:cs="Times New Roman"/>
          <w:sz w:val="24"/>
          <w:szCs w:val="24"/>
        </w:rPr>
        <w:t>“</w:t>
      </w:r>
      <w:r w:rsidRPr="00096909">
        <w:rPr>
          <w:rFonts w:ascii="Times New Roman" w:hAnsi="Times New Roman" w:cs="Times New Roman"/>
          <w:sz w:val="24"/>
          <w:szCs w:val="24"/>
        </w:rPr>
        <w:t>disnare</w:t>
      </w:r>
      <w:r>
        <w:rPr>
          <w:rFonts w:ascii="Times New Roman" w:hAnsi="Times New Roman" w:cs="Times New Roman"/>
          <w:sz w:val="24"/>
          <w:szCs w:val="24"/>
        </w:rPr>
        <w:t>”</w:t>
      </w:r>
      <w:r w:rsidRPr="00096909">
        <w:rPr>
          <w:rFonts w:ascii="Times New Roman" w:hAnsi="Times New Roman" w:cs="Times New Roman"/>
          <w:sz w:val="24"/>
          <w:szCs w:val="24"/>
        </w:rPr>
        <w:t xml:space="preserve"> per sottolineare l’ingresso dei messaggeri degli dèi agli ospiti di Camilla d’Aragona. </w:t>
      </w:r>
    </w:p>
    <w:p w14:paraId="18FBF2C9"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Il compito principale della musica – per la quale il principe non lesinava sulle spese ostentando una spettacolare munificenza – </w:t>
      </w:r>
      <w:r w:rsidRPr="004F60F3">
        <w:rPr>
          <w:rFonts w:ascii="Times New Roman" w:hAnsi="Times New Roman" w:cs="Times New Roman"/>
          <w:sz w:val="24"/>
          <w:szCs w:val="24"/>
        </w:rPr>
        <w:t>era</w:t>
      </w:r>
      <w:r w:rsidRPr="00096909">
        <w:rPr>
          <w:rFonts w:ascii="Times New Roman" w:hAnsi="Times New Roman" w:cs="Times New Roman"/>
          <w:sz w:val="24"/>
          <w:szCs w:val="24"/>
        </w:rPr>
        <w:t xml:space="preserve"> quello di scandire i tempi del pranzo, svolgendo così una funzione organizzativa e regolatrice dell’evento.</w:t>
      </w:r>
      <w:r w:rsidRPr="00096909">
        <w:rPr>
          <w:rStyle w:val="Rimandonotaapidipagina"/>
          <w:rFonts w:ascii="Times New Roman" w:hAnsi="Times New Roman" w:cs="Times New Roman"/>
          <w:sz w:val="24"/>
          <w:szCs w:val="24"/>
        </w:rPr>
        <w:footnoteReference w:id="800"/>
      </w:r>
      <w:r w:rsidRPr="00096909">
        <w:rPr>
          <w:rFonts w:ascii="Times New Roman" w:hAnsi="Times New Roman" w:cs="Times New Roman"/>
          <w:sz w:val="24"/>
          <w:szCs w:val="24"/>
        </w:rPr>
        <w:t xml:space="preserve"> Inoltre, le soavi armonie, una volta coperti i rumori e le chiacchiere degli invitati, creavano un paesaggio sonoro, trasposizione uditiva dello spazio paradisiaco del convito marcato dall’addobbo della sala. La musica, nella quale gli ospiti-spettatori erano immersi, contribuiva dunque a che l’esperienza del simposio si traducesse in una esaltazione sinestetica dei piaceri dei sensi, alla quale i cibi prelibati partecipavano incantando il gusto e l’olfatto.</w:t>
      </w:r>
      <w:r w:rsidRPr="00096909">
        <w:rPr>
          <w:rStyle w:val="Rimandonotaapidipagina"/>
          <w:rFonts w:ascii="Times New Roman" w:hAnsi="Times New Roman" w:cs="Times New Roman"/>
          <w:sz w:val="24"/>
          <w:szCs w:val="24"/>
        </w:rPr>
        <w:footnoteReference w:id="801"/>
      </w:r>
      <w:r w:rsidRPr="00096909">
        <w:rPr>
          <w:rFonts w:ascii="Times New Roman" w:hAnsi="Times New Roman" w:cs="Times New Roman"/>
          <w:sz w:val="24"/>
          <w:szCs w:val="24"/>
        </w:rPr>
        <w:t xml:space="preserve">   </w:t>
      </w:r>
    </w:p>
    <w:p w14:paraId="149DD8E5"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La</w:t>
      </w:r>
      <w:r w:rsidRPr="00096909">
        <w:rPr>
          <w:rFonts w:ascii="Times New Roman" w:hAnsi="Times New Roman" w:cs="Times New Roman"/>
          <w:i/>
          <w:sz w:val="24"/>
          <w:szCs w:val="24"/>
        </w:rPr>
        <w:t xml:space="preserve"> secundam mensam longe splendidissimam </w:t>
      </w:r>
      <w:r w:rsidRPr="00096909">
        <w:rPr>
          <w:rFonts w:ascii="Times New Roman" w:hAnsi="Times New Roman" w:cs="Times New Roman"/>
          <w:sz w:val="24"/>
          <w:szCs w:val="24"/>
        </w:rPr>
        <w:t>ricordata da Pontano come quarta meraviglia del convito del principe era la credenza, solitamente posta sulla parete prospicente la tavola d’onore e riservata all’esposizione degli argenti</w:t>
      </w:r>
      <w:r>
        <w:rPr>
          <w:rFonts w:ascii="Times New Roman" w:hAnsi="Times New Roman" w:cs="Times New Roman"/>
          <w:sz w:val="24"/>
          <w:szCs w:val="24"/>
        </w:rPr>
        <w:t xml:space="preserve">, del vasellame e delle stoviglie </w:t>
      </w:r>
      <w:r w:rsidRPr="00096909">
        <w:rPr>
          <w:rFonts w:ascii="Times New Roman" w:hAnsi="Times New Roman" w:cs="Times New Roman"/>
          <w:sz w:val="24"/>
          <w:szCs w:val="24"/>
        </w:rPr>
        <w:t xml:space="preserve">più belli. </w:t>
      </w:r>
    </w:p>
    <w:p w14:paraId="069694CC"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p>
    <w:p w14:paraId="59D71426" w14:textId="77777777" w:rsidR="00395702" w:rsidRPr="00096909" w:rsidRDefault="00395702" w:rsidP="00395702">
      <w:pPr>
        <w:tabs>
          <w:tab w:val="left" w:pos="9072"/>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Da un capo ci era una credenza grandissima a dodeci gradi tutta piena e carica di gran vasi d’oro e d’argento con pietre preciose in gran quantità ch’era un miracolo da veder; ma fu ancora cosa più stupenda che in tante e diverse vivande, come saranno quivi infranotate, sempre vi furono diverse argenterie, e mai non si muovè niente della predetta credenza apparata.</w:t>
      </w:r>
      <w:r w:rsidRPr="00096909">
        <w:rPr>
          <w:rStyle w:val="Rimandonotaapidipagina"/>
          <w:rFonts w:ascii="Times New Roman" w:hAnsi="Times New Roman" w:cs="Times New Roman"/>
        </w:rPr>
        <w:footnoteReference w:id="802"/>
      </w:r>
      <w:r w:rsidRPr="00096909">
        <w:rPr>
          <w:rFonts w:ascii="Times New Roman" w:hAnsi="Times New Roman" w:cs="Times New Roman"/>
          <w:sz w:val="20"/>
          <w:szCs w:val="20"/>
        </w:rPr>
        <w:t xml:space="preserve"> </w:t>
      </w:r>
    </w:p>
    <w:p w14:paraId="2B2CDEEE"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p>
    <w:p w14:paraId="7371243A" w14:textId="77777777" w:rsidR="00395702"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Questa descrizione, data dallo storico </w:t>
      </w:r>
      <w:bookmarkStart w:id="504" w:name="_Hlk536008698"/>
      <w:r w:rsidRPr="00096909">
        <w:rPr>
          <w:rFonts w:ascii="Times New Roman" w:hAnsi="Times New Roman" w:cs="Times New Roman"/>
          <w:sz w:val="24"/>
          <w:szCs w:val="24"/>
        </w:rPr>
        <w:t>Bernardino Corio</w:t>
      </w:r>
      <w:bookmarkEnd w:id="504"/>
      <w:r w:rsidRPr="00096909">
        <w:rPr>
          <w:rFonts w:ascii="Times New Roman" w:hAnsi="Times New Roman" w:cs="Times New Roman"/>
          <w:sz w:val="24"/>
          <w:szCs w:val="24"/>
        </w:rPr>
        <w:t>, della credenza che il 7 giugno 1473 Pietro Riario sfoggiò nel pranzo organizzato per Eleonora d’Aragona dà perfettamente conto del ruolo di “apparato” di sala interpretato dal mobile da esposizione, a guardia del quale, come visto nel salone da pranzo del Bentivoglio nel 1487, si trovav</w:t>
      </w:r>
      <w:r>
        <w:rPr>
          <w:rFonts w:ascii="Times New Roman" w:hAnsi="Times New Roman" w:cs="Times New Roman"/>
          <w:sz w:val="24"/>
          <w:szCs w:val="24"/>
        </w:rPr>
        <w:t>a</w:t>
      </w:r>
      <w:r w:rsidRPr="00096909">
        <w:rPr>
          <w:rFonts w:ascii="Times New Roman" w:hAnsi="Times New Roman" w:cs="Times New Roman"/>
          <w:sz w:val="24"/>
          <w:szCs w:val="24"/>
        </w:rPr>
        <w:t xml:space="preserve">no spesso due statue di giganti armati. </w:t>
      </w:r>
    </w:p>
    <w:p w14:paraId="5687C81E"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Sui suoi ripiani, oltre alle stoviglie di raffinata fattura erano sovente esposti alcuni oggetti insoliti, provenienti da paesi lontani e misteriosi, come noci di cocco, uova di struzzo, corni di rinoceronte, coralli, denti di serpente montati su piedistalli d’oro e d’argento, ai quali nel Rinascimento si attribuiva il potere di rendere innocui i veleni. Proprio per tale ragione essi venivano indicati con il nome di credenze o probe.</w:t>
      </w:r>
      <w:r w:rsidRPr="00096909">
        <w:rPr>
          <w:rStyle w:val="Rimandonotaapidipagina"/>
          <w:rFonts w:ascii="Times New Roman" w:hAnsi="Times New Roman" w:cs="Times New Roman"/>
          <w:sz w:val="24"/>
          <w:szCs w:val="24"/>
        </w:rPr>
        <w:footnoteReference w:id="803"/>
      </w:r>
      <w:r w:rsidRPr="00096909">
        <w:rPr>
          <w:rFonts w:ascii="Times New Roman" w:hAnsi="Times New Roman" w:cs="Times New Roman"/>
          <w:sz w:val="24"/>
          <w:szCs w:val="24"/>
        </w:rPr>
        <w:t xml:space="preserve"> La loro mostra, oltre a consentire al principe </w:t>
      </w:r>
      <w:r w:rsidRPr="00096909">
        <w:rPr>
          <w:rFonts w:ascii="Times New Roman" w:hAnsi="Times New Roman" w:cs="Times New Roman"/>
          <w:sz w:val="24"/>
          <w:szCs w:val="24"/>
        </w:rPr>
        <w:lastRenderedPageBreak/>
        <w:t>di ostentare ricercatezza nel reperire preziose curiosità, svolgeva dunque anche una funzione magica e profilattica.</w:t>
      </w:r>
      <w:r w:rsidRPr="00096909">
        <w:rPr>
          <w:rStyle w:val="Rimandonotaapidipagina"/>
          <w:rFonts w:ascii="Times New Roman" w:hAnsi="Times New Roman" w:cs="Times New Roman"/>
          <w:sz w:val="24"/>
          <w:szCs w:val="24"/>
        </w:rPr>
        <w:footnoteReference w:id="804"/>
      </w:r>
      <w:r w:rsidRPr="00096909">
        <w:rPr>
          <w:rFonts w:ascii="Times New Roman" w:hAnsi="Times New Roman" w:cs="Times New Roman"/>
          <w:sz w:val="24"/>
          <w:szCs w:val="24"/>
        </w:rPr>
        <w:t xml:space="preserve"> </w:t>
      </w:r>
    </w:p>
    <w:p w14:paraId="32151B43"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Un ricordo dell’esposizione di tali “credenze” è fornito dall’</w:t>
      </w:r>
      <w:r w:rsidRPr="00096909">
        <w:rPr>
          <w:rFonts w:ascii="Times New Roman" w:hAnsi="Times New Roman" w:cs="Times New Roman"/>
          <w:i/>
          <w:sz w:val="24"/>
          <w:szCs w:val="24"/>
        </w:rPr>
        <w:t>Ordine</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de le noze</w:t>
      </w:r>
      <w:r w:rsidRPr="00096909">
        <w:rPr>
          <w:rFonts w:ascii="Times New Roman" w:hAnsi="Times New Roman" w:cs="Times New Roman"/>
          <w:sz w:val="24"/>
          <w:szCs w:val="24"/>
        </w:rPr>
        <w:t xml:space="preserve"> di Costanzo Sforza: «Tirato suso el Sole e reserato cum mirabile celerità e artificio, cum bacili e bronzini d’argento fo data l’aqua rosata a le mane ad ciascaduno in habundantia e cum tovaglioli de rens ad asciugare le mane. Poi fo portato le credencie in tavola».</w:t>
      </w:r>
      <w:r w:rsidRPr="00096909">
        <w:rPr>
          <w:rStyle w:val="Rimandonotaapidipagina"/>
          <w:rFonts w:ascii="Times New Roman" w:hAnsi="Times New Roman" w:cs="Times New Roman"/>
          <w:sz w:val="24"/>
          <w:szCs w:val="24"/>
        </w:rPr>
        <w:footnoteReference w:id="805"/>
      </w:r>
    </w:p>
    <w:p w14:paraId="6EC3B68C"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 vero, la menzione di questi strani oggetti nelle relazioni ufficiali degli sposalizi dei quali trattiamo è rara, ma il modo in cui l’anonimo cronista del matrimonio pesarese fa cenno alla loro mostra lascia intendere che tutti i lettori potessero comprendere immediatamente a cosa egli si riferisse, poiché la pratica era, come ritiene Benporat, probabilmente alquanto usuale. </w:t>
      </w:r>
    </w:p>
    <w:p w14:paraId="653F1790"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 convito di Alfonso d’Aragona per i legati borgognoni Pontano ricorda anche l’esibizione dei </w:t>
      </w:r>
      <w:r w:rsidRPr="00096909">
        <w:rPr>
          <w:rFonts w:ascii="Times New Roman" w:hAnsi="Times New Roman" w:cs="Times New Roman"/>
          <w:i/>
          <w:sz w:val="24"/>
          <w:szCs w:val="24"/>
        </w:rPr>
        <w:t>mimi</w:t>
      </w:r>
      <w:r w:rsidRPr="00096909">
        <w:rPr>
          <w:rFonts w:ascii="Times New Roman" w:hAnsi="Times New Roman" w:cs="Times New Roman"/>
          <w:sz w:val="24"/>
          <w:szCs w:val="24"/>
        </w:rPr>
        <w:t xml:space="preserve"> e un </w:t>
      </w:r>
      <w:r w:rsidRPr="00096909">
        <w:rPr>
          <w:rFonts w:ascii="Times New Roman" w:hAnsi="Times New Roman" w:cs="Times New Roman"/>
          <w:i/>
          <w:sz w:val="24"/>
          <w:szCs w:val="24"/>
        </w:rPr>
        <w:t xml:space="preserve">aditumque ad lychnos spectaculum. </w:t>
      </w:r>
      <w:r w:rsidRPr="00096909">
        <w:rPr>
          <w:rFonts w:ascii="Times New Roman" w:hAnsi="Times New Roman" w:cs="Times New Roman"/>
          <w:sz w:val="24"/>
          <w:szCs w:val="24"/>
        </w:rPr>
        <w:t xml:space="preserve">Queste due generiche indicazioni dell’umanista penso si riferissero alle presentazioni coreografiche delle vivande da parte di figuranti e alle recite di soggetto allegorico o mitologico inscenate spesso a conclusione dei banchetti rinascimentali. </w:t>
      </w:r>
    </w:p>
    <w:p w14:paraId="4077CF25"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Alle prime credo sia corretto dare il nome di </w:t>
      </w:r>
      <w:r w:rsidRPr="00096909">
        <w:rPr>
          <w:rFonts w:ascii="Times New Roman" w:hAnsi="Times New Roman" w:cs="Times New Roman"/>
          <w:i/>
          <w:sz w:val="24"/>
          <w:szCs w:val="24"/>
        </w:rPr>
        <w:t>entremets</w:t>
      </w:r>
      <w:r w:rsidRPr="00096909">
        <w:rPr>
          <w:rFonts w:ascii="Times New Roman" w:hAnsi="Times New Roman" w:cs="Times New Roman"/>
          <w:sz w:val="24"/>
          <w:szCs w:val="24"/>
        </w:rPr>
        <w:t xml:space="preserve">. Nelle relazioni dei ricevimenti quattrocenteschi delle corti di Francia e Borgogna, il termine </w:t>
      </w:r>
      <w:r w:rsidRPr="00096909">
        <w:rPr>
          <w:rFonts w:ascii="Times New Roman" w:hAnsi="Times New Roman" w:cs="Times New Roman"/>
          <w:i/>
          <w:sz w:val="24"/>
          <w:szCs w:val="24"/>
        </w:rPr>
        <w:t>entre</w:t>
      </w:r>
      <w:r w:rsidRPr="00096909">
        <w:rPr>
          <w:rFonts w:ascii="Times New Roman" w:hAnsi="Times New Roman" w:cs="Times New Roman"/>
          <w:sz w:val="24"/>
          <w:szCs w:val="24"/>
        </w:rPr>
        <w:t xml:space="preserve"> (tra) </w:t>
      </w:r>
      <w:r w:rsidRPr="00096909">
        <w:rPr>
          <w:rFonts w:ascii="Times New Roman" w:hAnsi="Times New Roman" w:cs="Times New Roman"/>
          <w:i/>
          <w:sz w:val="24"/>
          <w:szCs w:val="24"/>
        </w:rPr>
        <w:t>mets</w:t>
      </w:r>
      <w:r w:rsidRPr="00096909">
        <w:rPr>
          <w:rFonts w:ascii="Times New Roman" w:hAnsi="Times New Roman" w:cs="Times New Roman"/>
          <w:sz w:val="24"/>
          <w:szCs w:val="24"/>
        </w:rPr>
        <w:t xml:space="preserve"> (piatti o tavoli) – con calzante riferimento alla doppia collocazione temporale (tra le pietanze del convito) e spaziale (tra le tavole della mensa) degli interventi recitativi – designava genericamente i momenti performativi del banchetto. </w:t>
      </w:r>
      <w:r>
        <w:rPr>
          <w:rFonts w:ascii="Times New Roman" w:hAnsi="Times New Roman" w:cs="Times New Roman"/>
          <w:sz w:val="24"/>
          <w:szCs w:val="24"/>
        </w:rPr>
        <w:t>Gli storici</w:t>
      </w:r>
      <w:r w:rsidRPr="00096909">
        <w:rPr>
          <w:rFonts w:ascii="Times New Roman" w:hAnsi="Times New Roman" w:cs="Times New Roman"/>
          <w:sz w:val="24"/>
          <w:szCs w:val="24"/>
        </w:rPr>
        <w:t xml:space="preserve"> di corte </w:t>
      </w:r>
      <w:bookmarkStart w:id="505" w:name="_Hlk536008856"/>
      <w:r w:rsidRPr="00096909">
        <w:rPr>
          <w:rFonts w:ascii="Times New Roman" w:hAnsi="Times New Roman" w:cs="Times New Roman"/>
          <w:sz w:val="24"/>
          <w:szCs w:val="24"/>
        </w:rPr>
        <w:t xml:space="preserve">Olivier de la Marche </w:t>
      </w:r>
      <w:bookmarkEnd w:id="505"/>
      <w:r w:rsidRPr="00096909">
        <w:rPr>
          <w:rFonts w:ascii="Times New Roman" w:hAnsi="Times New Roman" w:cs="Times New Roman"/>
          <w:sz w:val="24"/>
          <w:szCs w:val="24"/>
        </w:rPr>
        <w:t xml:space="preserve">e </w:t>
      </w:r>
      <w:bookmarkStart w:id="506" w:name="_Hlk536008906"/>
      <w:r w:rsidRPr="00096909">
        <w:rPr>
          <w:rFonts w:ascii="Times New Roman" w:hAnsi="Times New Roman" w:cs="Times New Roman"/>
          <w:sz w:val="24"/>
          <w:szCs w:val="24"/>
        </w:rPr>
        <w:t xml:space="preserve">Mathieu d’Escouchy </w:t>
      </w:r>
      <w:bookmarkEnd w:id="506"/>
      <w:r w:rsidRPr="00096909">
        <w:rPr>
          <w:rFonts w:ascii="Times New Roman" w:hAnsi="Times New Roman" w:cs="Times New Roman"/>
          <w:sz w:val="24"/>
          <w:szCs w:val="24"/>
        </w:rPr>
        <w:t xml:space="preserve">lo adottarono, ad esempio, nelle loro descrizioni dei quindici episodi di soggetto allegorico e mitologico inscenati durante la </w:t>
      </w:r>
      <w:r w:rsidRPr="003F6E92">
        <w:rPr>
          <w:rFonts w:ascii="Times New Roman" w:hAnsi="Times New Roman" w:cs="Times New Roman"/>
          <w:i/>
          <w:sz w:val="24"/>
          <w:szCs w:val="24"/>
        </w:rPr>
        <w:t>Festa del fagiano</w:t>
      </w:r>
      <w:r w:rsidRPr="00096909">
        <w:rPr>
          <w:rFonts w:ascii="Times New Roman" w:hAnsi="Times New Roman" w:cs="Times New Roman"/>
          <w:sz w:val="24"/>
          <w:szCs w:val="24"/>
        </w:rPr>
        <w:t>, organizzat</w:t>
      </w:r>
      <w:r>
        <w:rPr>
          <w:rFonts w:ascii="Times New Roman" w:hAnsi="Times New Roman" w:cs="Times New Roman"/>
          <w:sz w:val="24"/>
          <w:szCs w:val="24"/>
        </w:rPr>
        <w:t>a</w:t>
      </w:r>
      <w:r w:rsidRPr="00096909">
        <w:rPr>
          <w:rFonts w:ascii="Times New Roman" w:hAnsi="Times New Roman" w:cs="Times New Roman"/>
          <w:sz w:val="24"/>
          <w:szCs w:val="24"/>
        </w:rPr>
        <w:t xml:space="preserve"> il 17 febbraio 1454 nel castello di Lille da Filippo il Buono di Borgogna.</w:t>
      </w:r>
      <w:r w:rsidRPr="00096909">
        <w:rPr>
          <w:rStyle w:val="Rimandonotaapidipagina"/>
          <w:rFonts w:ascii="Times New Roman" w:hAnsi="Times New Roman" w:cs="Times New Roman"/>
          <w:sz w:val="24"/>
          <w:szCs w:val="24"/>
        </w:rPr>
        <w:footnoteReference w:id="806"/>
      </w:r>
      <w:r w:rsidRPr="00096909">
        <w:rPr>
          <w:rFonts w:ascii="Times New Roman" w:hAnsi="Times New Roman" w:cs="Times New Roman"/>
          <w:sz w:val="24"/>
          <w:szCs w:val="24"/>
        </w:rPr>
        <w:t xml:space="preserve"> Le voci “Mesa”, “Altramesa” e “Tramese” usate da Eleonora d’Aragona per nominare gli interventi recitati cui assistette a Roma nel banchetto in suo onore mi pare </w:t>
      </w:r>
      <w:r w:rsidRPr="00096909">
        <w:rPr>
          <w:rFonts w:ascii="Times New Roman" w:hAnsi="Times New Roman" w:cs="Times New Roman"/>
          <w:sz w:val="24"/>
          <w:szCs w:val="24"/>
        </w:rPr>
        <w:lastRenderedPageBreak/>
        <w:t>traducano il vocabolo francese, adottandolo alla designazione degli spettacoli conviviali d’area italiana e autorizzandoci pertanto ad impiegarlo nella nostra trattazione.</w:t>
      </w:r>
      <w:r w:rsidRPr="00096909">
        <w:rPr>
          <w:rStyle w:val="Rimandonotaapidipagina"/>
          <w:rFonts w:ascii="Times New Roman" w:hAnsi="Times New Roman" w:cs="Times New Roman"/>
          <w:sz w:val="24"/>
          <w:szCs w:val="24"/>
        </w:rPr>
        <w:footnoteReference w:id="807"/>
      </w:r>
      <w:r w:rsidRPr="00096909">
        <w:rPr>
          <w:rFonts w:ascii="Times New Roman" w:hAnsi="Times New Roman" w:cs="Times New Roman"/>
          <w:sz w:val="24"/>
          <w:szCs w:val="24"/>
        </w:rPr>
        <w:t xml:space="preserve"> </w:t>
      </w:r>
    </w:p>
    <w:p w14:paraId="4F52A47E"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pranzo offerto da Pietro Riario alla duchessa di Ferrara è episodio noto agli storici del teatro sia per il sofisticato luogo teatrale che lo ospitò, paragonato dai poeti Emilio Boccabella e Porcelio Pandone agli antichi teatri provvisori romani; sia per la complessa successione degli </w:t>
      </w:r>
      <w:r w:rsidRPr="00096909">
        <w:rPr>
          <w:rFonts w:ascii="Times New Roman" w:hAnsi="Times New Roman" w:cs="Times New Roman"/>
          <w:i/>
          <w:sz w:val="24"/>
          <w:szCs w:val="24"/>
        </w:rPr>
        <w:t>entremets</w:t>
      </w:r>
      <w:r w:rsidRPr="00096909">
        <w:rPr>
          <w:rFonts w:ascii="Times New Roman" w:hAnsi="Times New Roman" w:cs="Times New Roman"/>
          <w:sz w:val="24"/>
          <w:szCs w:val="24"/>
        </w:rPr>
        <w:t xml:space="preserve"> presentati alla sposa, la quale ne annotò i soggetti e i testi</w:t>
      </w:r>
      <w:r>
        <w:rPr>
          <w:rFonts w:ascii="Times New Roman" w:hAnsi="Times New Roman" w:cs="Times New Roman"/>
          <w:sz w:val="24"/>
          <w:szCs w:val="24"/>
        </w:rPr>
        <w:t xml:space="preserve"> declamati</w:t>
      </w:r>
      <w:r w:rsidRPr="00096909">
        <w:rPr>
          <w:rFonts w:ascii="Times New Roman" w:hAnsi="Times New Roman" w:cs="Times New Roman"/>
          <w:sz w:val="24"/>
          <w:szCs w:val="24"/>
        </w:rPr>
        <w:t xml:space="preserve">; nonché per le ammirate esecuzioni del fiorentino </w:t>
      </w:r>
      <w:bookmarkStart w:id="507" w:name="_Hlk536008975"/>
      <w:r w:rsidRPr="00096909">
        <w:rPr>
          <w:rFonts w:ascii="Times New Roman" w:hAnsi="Times New Roman" w:cs="Times New Roman"/>
          <w:sz w:val="24"/>
          <w:szCs w:val="24"/>
        </w:rPr>
        <w:t xml:space="preserve">Baccio Ugolini </w:t>
      </w:r>
      <w:bookmarkEnd w:id="507"/>
      <w:r w:rsidRPr="00096909">
        <w:rPr>
          <w:rFonts w:ascii="Times New Roman" w:hAnsi="Times New Roman" w:cs="Times New Roman"/>
          <w:sz w:val="24"/>
          <w:szCs w:val="24"/>
        </w:rPr>
        <w:t>e dell’estense Gaspare di Baviera delle principali parti cantate.</w:t>
      </w:r>
      <w:r w:rsidRPr="00096909">
        <w:rPr>
          <w:rStyle w:val="Rimandonotaapidipagina"/>
          <w:rFonts w:ascii="Times New Roman" w:hAnsi="Times New Roman" w:cs="Times New Roman"/>
          <w:sz w:val="24"/>
          <w:szCs w:val="24"/>
        </w:rPr>
        <w:footnoteReference w:id="808"/>
      </w:r>
    </w:p>
    <w:p w14:paraId="307D5EC0" w14:textId="77777777" w:rsidR="00395702" w:rsidRPr="00096909" w:rsidRDefault="00395702" w:rsidP="00395702">
      <w:pPr>
        <w:spacing w:after="0" w:line="360" w:lineRule="auto"/>
        <w:ind w:right="-1"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Dalla ricordata lettera di Eleonora apprendiamo che il convito si aprì con una colazione di confetti e dolci al termine della quale apparve un giovane con una viola e con una ghirlanda sulla testa che cantò i seguenti versi: </w:t>
      </w:r>
    </w:p>
    <w:p w14:paraId="54A8B195" w14:textId="77777777" w:rsidR="00395702" w:rsidRPr="00096909" w:rsidRDefault="00395702" w:rsidP="00395702">
      <w:pPr>
        <w:spacing w:after="0" w:line="360" w:lineRule="auto"/>
        <w:ind w:left="2268" w:right="-1" w:firstLine="397"/>
        <w:jc w:val="both"/>
        <w:rPr>
          <w:rFonts w:ascii="Times New Roman" w:hAnsi="Times New Roman" w:cs="Times New Roman"/>
          <w:i/>
          <w:sz w:val="20"/>
          <w:szCs w:val="20"/>
        </w:rPr>
      </w:pPr>
    </w:p>
    <w:p w14:paraId="66B1860E" w14:textId="77777777" w:rsidR="00395702" w:rsidRPr="00096909" w:rsidRDefault="00395702" w:rsidP="00395702">
      <w:pPr>
        <w:spacing w:after="0" w:line="360" w:lineRule="auto"/>
        <w:ind w:left="2268" w:right="-1" w:firstLine="397"/>
        <w:jc w:val="both"/>
        <w:rPr>
          <w:rFonts w:ascii="Times New Roman" w:hAnsi="Times New Roman" w:cs="Times New Roman"/>
          <w:i/>
          <w:sz w:val="20"/>
          <w:szCs w:val="20"/>
        </w:rPr>
      </w:pPr>
      <w:r w:rsidRPr="00096909">
        <w:rPr>
          <w:rFonts w:ascii="Times New Roman" w:hAnsi="Times New Roman" w:cs="Times New Roman"/>
          <w:i/>
          <w:sz w:val="20"/>
          <w:szCs w:val="20"/>
        </w:rPr>
        <w:t>Me pater ethereo voluit descendere olimpo</w:t>
      </w:r>
    </w:p>
    <w:p w14:paraId="4370BAA0" w14:textId="77777777" w:rsidR="00395702" w:rsidRPr="00096909" w:rsidRDefault="00395702" w:rsidP="00395702">
      <w:pPr>
        <w:spacing w:after="0" w:line="360" w:lineRule="auto"/>
        <w:ind w:left="2268" w:right="-1" w:firstLine="397"/>
        <w:jc w:val="both"/>
        <w:rPr>
          <w:rFonts w:ascii="Times New Roman" w:hAnsi="Times New Roman" w:cs="Times New Roman"/>
          <w:i/>
          <w:sz w:val="20"/>
          <w:szCs w:val="20"/>
        </w:rPr>
      </w:pPr>
      <w:r w:rsidRPr="00096909">
        <w:rPr>
          <w:rFonts w:ascii="Times New Roman" w:hAnsi="Times New Roman" w:cs="Times New Roman"/>
          <w:i/>
          <w:sz w:val="20"/>
          <w:szCs w:val="20"/>
        </w:rPr>
        <w:t xml:space="preserve"> atque hec in medium verba referre iubet: </w:t>
      </w:r>
    </w:p>
    <w:p w14:paraId="56B46969" w14:textId="77777777" w:rsidR="00395702" w:rsidRPr="00096909" w:rsidRDefault="00395702" w:rsidP="00395702">
      <w:pPr>
        <w:spacing w:after="0" w:line="360" w:lineRule="auto"/>
        <w:ind w:left="2268" w:right="-1" w:firstLine="397"/>
        <w:jc w:val="both"/>
        <w:rPr>
          <w:rFonts w:ascii="Times New Roman" w:hAnsi="Times New Roman" w:cs="Times New Roman"/>
          <w:i/>
          <w:sz w:val="20"/>
          <w:szCs w:val="20"/>
        </w:rPr>
      </w:pPr>
      <w:r w:rsidRPr="00096909">
        <w:rPr>
          <w:rFonts w:ascii="Times New Roman" w:hAnsi="Times New Roman" w:cs="Times New Roman"/>
          <w:i/>
          <w:sz w:val="20"/>
          <w:szCs w:val="20"/>
        </w:rPr>
        <w:t xml:space="preserve">«Desine mirari nostri convivia celi. </w:t>
      </w:r>
    </w:p>
    <w:p w14:paraId="623CC074" w14:textId="77777777" w:rsidR="00395702" w:rsidRPr="00096909" w:rsidRDefault="00395702" w:rsidP="00395702">
      <w:pPr>
        <w:spacing w:after="0" w:line="360" w:lineRule="auto"/>
        <w:ind w:left="2268" w:right="-1" w:firstLine="397"/>
        <w:jc w:val="both"/>
        <w:rPr>
          <w:rFonts w:ascii="Times New Roman" w:hAnsi="Times New Roman" w:cs="Times New Roman"/>
          <w:i/>
          <w:sz w:val="20"/>
          <w:szCs w:val="20"/>
        </w:rPr>
      </w:pPr>
      <w:r w:rsidRPr="00096909">
        <w:rPr>
          <w:rFonts w:ascii="Times New Roman" w:hAnsi="Times New Roman" w:cs="Times New Roman"/>
          <w:i/>
          <w:sz w:val="20"/>
          <w:szCs w:val="20"/>
        </w:rPr>
        <w:t>Convivia hiis mensis Iupiter esse voluit»</w:t>
      </w:r>
      <w:r w:rsidRPr="00EA5936">
        <w:rPr>
          <w:rFonts w:ascii="Times New Roman" w:hAnsi="Times New Roman" w:cs="Times New Roman"/>
          <w:sz w:val="20"/>
          <w:szCs w:val="20"/>
        </w:rPr>
        <w:t>.</w:t>
      </w:r>
      <w:r w:rsidRPr="00EA5936">
        <w:rPr>
          <w:rStyle w:val="Rimandonotaapidipagina"/>
          <w:rFonts w:ascii="Times New Roman" w:hAnsi="Times New Roman" w:cs="Times New Roman"/>
        </w:rPr>
        <w:footnoteReference w:id="809"/>
      </w:r>
    </w:p>
    <w:p w14:paraId="4FAFFDC7" w14:textId="77777777" w:rsidR="00395702" w:rsidRPr="00096909" w:rsidRDefault="00395702" w:rsidP="00395702">
      <w:pPr>
        <w:spacing w:after="0" w:line="360" w:lineRule="auto"/>
        <w:ind w:left="2268" w:right="-1" w:firstLine="397"/>
        <w:jc w:val="both"/>
        <w:rPr>
          <w:rFonts w:ascii="Times New Roman" w:hAnsi="Times New Roman" w:cs="Times New Roman"/>
          <w:i/>
          <w:sz w:val="20"/>
          <w:szCs w:val="20"/>
        </w:rPr>
      </w:pPr>
    </w:p>
    <w:p w14:paraId="2DA79AC1"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messaggero proclamò l’apertura del ricevimento, al quale, secondo le </w:t>
      </w:r>
      <w:r>
        <w:rPr>
          <w:rFonts w:ascii="Times New Roman" w:hAnsi="Times New Roman" w:cs="Times New Roman"/>
          <w:sz w:val="24"/>
          <w:szCs w:val="24"/>
        </w:rPr>
        <w:t xml:space="preserve">sue </w:t>
      </w:r>
      <w:r w:rsidRPr="00096909">
        <w:rPr>
          <w:rFonts w:ascii="Times New Roman" w:hAnsi="Times New Roman" w:cs="Times New Roman"/>
          <w:sz w:val="24"/>
          <w:szCs w:val="24"/>
        </w:rPr>
        <w:t xml:space="preserve">parole, volle essere presente anche il padre degli dei. Quello che seguì fu quindi un convito divino </w:t>
      </w:r>
      <w:r w:rsidRPr="003F6E92">
        <w:rPr>
          <w:rFonts w:ascii="Times New Roman" w:hAnsi="Times New Roman" w:cs="Times New Roman"/>
          <w:sz w:val="24"/>
          <w:szCs w:val="24"/>
        </w:rPr>
        <w:t>nel quale</w:t>
      </w:r>
      <w:r w:rsidRPr="00096909">
        <w:rPr>
          <w:rFonts w:ascii="Times New Roman" w:hAnsi="Times New Roman" w:cs="Times New Roman"/>
          <w:sz w:val="24"/>
          <w:szCs w:val="24"/>
        </w:rPr>
        <w:t xml:space="preserve">, come scrisse la duchessa di Ferrara, offrirono vivande in differenti </w:t>
      </w:r>
      <w:r w:rsidRPr="00096909">
        <w:rPr>
          <w:rFonts w:ascii="Times New Roman" w:hAnsi="Times New Roman" w:cs="Times New Roman"/>
          <w:i/>
          <w:sz w:val="24"/>
          <w:szCs w:val="24"/>
        </w:rPr>
        <w:t>entrem</w:t>
      </w:r>
      <w:r>
        <w:rPr>
          <w:rFonts w:ascii="Times New Roman" w:hAnsi="Times New Roman" w:cs="Times New Roman"/>
          <w:i/>
          <w:sz w:val="24"/>
          <w:szCs w:val="24"/>
        </w:rPr>
        <w:t>e</w:t>
      </w:r>
      <w:r w:rsidRPr="00096909">
        <w:rPr>
          <w:rFonts w:ascii="Times New Roman" w:hAnsi="Times New Roman" w:cs="Times New Roman"/>
          <w:i/>
          <w:sz w:val="24"/>
          <w:szCs w:val="24"/>
        </w:rPr>
        <w:t>ts</w:t>
      </w:r>
      <w:r w:rsidRPr="00096909">
        <w:rPr>
          <w:rFonts w:ascii="Times New Roman" w:hAnsi="Times New Roman" w:cs="Times New Roman"/>
          <w:sz w:val="24"/>
          <w:szCs w:val="24"/>
        </w:rPr>
        <w:t xml:space="preserve"> Orfeo, che cantò dal sommo di un monte popolato di animali vivi recato a spalla da quattro portatori, Perseo, Cerere, Venere con Atalanta e Ippomene, Ercole col leone nemeo, Ercole con il cinghiale di Erimanto, Ercole con il toro di Creta, Bacco con Arianna, quattro fanciulli vestiti da fauni, ancora Ercole </w:t>
      </w:r>
      <w:r w:rsidRPr="00096909">
        <w:rPr>
          <w:rFonts w:ascii="Times New Roman" w:hAnsi="Times New Roman" w:cs="Times New Roman"/>
          <w:sz w:val="24"/>
          <w:szCs w:val="24"/>
        </w:rPr>
        <w:lastRenderedPageBreak/>
        <w:t xml:space="preserve">impegnato in «multe fatiche», Venere sul carro di Bacco. Questo, in sintesi, lo schema del banchetto desunto dal racconto della sposa, che informa anche di come il pasto si </w:t>
      </w:r>
      <w:r w:rsidRPr="003F6E92">
        <w:rPr>
          <w:rFonts w:ascii="Times New Roman" w:hAnsi="Times New Roman" w:cs="Times New Roman"/>
          <w:sz w:val="24"/>
          <w:szCs w:val="24"/>
        </w:rPr>
        <w:t>fosse concluso</w:t>
      </w:r>
      <w:r w:rsidRPr="00096909">
        <w:rPr>
          <w:rFonts w:ascii="Times New Roman" w:hAnsi="Times New Roman" w:cs="Times New Roman"/>
          <w:sz w:val="24"/>
          <w:szCs w:val="24"/>
        </w:rPr>
        <w:t xml:space="preserve"> con una seconda colazione e con una moresca sul soggetto della lotta tra Ercole e i centauri, cui fece seguito un ballo conclusivo di tutti i commensali. </w:t>
      </w:r>
    </w:p>
    <w:p w14:paraId="11E8A154"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Salvo che per gli </w:t>
      </w:r>
      <w:r w:rsidRPr="00096909">
        <w:rPr>
          <w:rFonts w:ascii="Times New Roman" w:hAnsi="Times New Roman" w:cs="Times New Roman"/>
          <w:i/>
          <w:sz w:val="24"/>
          <w:szCs w:val="24"/>
        </w:rPr>
        <w:t>entremets</w:t>
      </w:r>
      <w:r w:rsidRPr="00096909">
        <w:rPr>
          <w:rFonts w:ascii="Times New Roman" w:hAnsi="Times New Roman" w:cs="Times New Roman"/>
          <w:sz w:val="24"/>
          <w:szCs w:val="24"/>
        </w:rPr>
        <w:t xml:space="preserve"> del monte di Orfeo e del carro di Bacco la principessa non fa cenno ad apparati </w:t>
      </w:r>
      <w:r>
        <w:rPr>
          <w:rFonts w:ascii="Times New Roman" w:hAnsi="Times New Roman" w:cs="Times New Roman"/>
          <w:sz w:val="24"/>
          <w:szCs w:val="24"/>
        </w:rPr>
        <w:t xml:space="preserve">per </w:t>
      </w:r>
      <w:r w:rsidRPr="00096909">
        <w:rPr>
          <w:rFonts w:ascii="Times New Roman" w:hAnsi="Times New Roman" w:cs="Times New Roman"/>
          <w:sz w:val="24"/>
          <w:szCs w:val="24"/>
        </w:rPr>
        <w:t xml:space="preserve">le recite, pertanto </w:t>
      </w:r>
      <w:r w:rsidRPr="003F6E92">
        <w:rPr>
          <w:rFonts w:ascii="Times New Roman" w:hAnsi="Times New Roman" w:cs="Times New Roman"/>
          <w:sz w:val="24"/>
          <w:szCs w:val="24"/>
        </w:rPr>
        <w:t>è probabile che fosse bastata</w:t>
      </w:r>
      <w:r w:rsidRPr="00096909">
        <w:rPr>
          <w:rFonts w:ascii="Times New Roman" w:hAnsi="Times New Roman" w:cs="Times New Roman"/>
          <w:sz w:val="24"/>
          <w:szCs w:val="24"/>
        </w:rPr>
        <w:t xml:space="preserve"> la </w:t>
      </w:r>
      <w:r>
        <w:rPr>
          <w:rFonts w:ascii="Times New Roman" w:hAnsi="Times New Roman" w:cs="Times New Roman"/>
          <w:sz w:val="24"/>
          <w:szCs w:val="24"/>
        </w:rPr>
        <w:t xml:space="preserve">sola recitazione </w:t>
      </w:r>
      <w:r w:rsidRPr="00096909">
        <w:rPr>
          <w:rFonts w:ascii="Times New Roman" w:hAnsi="Times New Roman" w:cs="Times New Roman"/>
          <w:sz w:val="24"/>
          <w:szCs w:val="24"/>
        </w:rPr>
        <w:t xml:space="preserve">dei figuranti a comporre lo spettacolo. </w:t>
      </w:r>
    </w:p>
    <w:p w14:paraId="2481C45F"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Sebbene serva cautela per ipotizzare la presenza di un programma iconografico che unificasse la successione dei momenti recitati del banchetto, credo che questa fosse ispirata</w:t>
      </w:r>
      <w:r>
        <w:rPr>
          <w:rFonts w:ascii="Times New Roman" w:hAnsi="Times New Roman" w:cs="Times New Roman"/>
          <w:sz w:val="24"/>
          <w:szCs w:val="24"/>
        </w:rPr>
        <w:t xml:space="preserve"> almeno</w:t>
      </w:r>
      <w:r w:rsidRPr="00096909">
        <w:rPr>
          <w:rFonts w:ascii="Times New Roman" w:hAnsi="Times New Roman" w:cs="Times New Roman"/>
          <w:sz w:val="24"/>
          <w:szCs w:val="24"/>
        </w:rPr>
        <w:t xml:space="preserve"> da due idee principali: è possibile per gli uomini amati dagli dèi </w:t>
      </w:r>
      <w:r>
        <w:rPr>
          <w:rFonts w:ascii="Times New Roman" w:hAnsi="Times New Roman" w:cs="Times New Roman"/>
          <w:sz w:val="24"/>
          <w:szCs w:val="24"/>
        </w:rPr>
        <w:t xml:space="preserve">raggiungere </w:t>
      </w:r>
      <w:r w:rsidRPr="00096909">
        <w:rPr>
          <w:rFonts w:ascii="Times New Roman" w:hAnsi="Times New Roman" w:cs="Times New Roman"/>
          <w:sz w:val="24"/>
          <w:szCs w:val="24"/>
        </w:rPr>
        <w:t xml:space="preserve">la perfezione divina con l’esercizio dell’arte (Orfeo) e con la pratica della virtù (Perseo ed Ercole), tanto che gli stessi abitanti dell’Olimpo brameranno partecipare al convito degli uomini, come il Sole, il quale, per una ben congegnata disposizione dei tempi del pranzo, alla fine delle recite delle fatiche di Eracle calò dal cielo per sedere alla tavola di Eleonora d’Aragona: </w:t>
      </w:r>
    </w:p>
    <w:p w14:paraId="21573479" w14:textId="77777777" w:rsidR="00395702" w:rsidRPr="00096909" w:rsidRDefault="00395702" w:rsidP="00395702">
      <w:pPr>
        <w:spacing w:after="0" w:line="360" w:lineRule="auto"/>
        <w:ind w:firstLine="397"/>
        <w:jc w:val="both"/>
        <w:rPr>
          <w:rFonts w:ascii="Times New Roman" w:hAnsi="Times New Roman" w:cs="Times New Roman"/>
          <w:sz w:val="20"/>
          <w:szCs w:val="20"/>
        </w:rPr>
      </w:pPr>
    </w:p>
    <w:p w14:paraId="2984D622" w14:textId="77777777" w:rsidR="00395702" w:rsidRPr="00096909" w:rsidRDefault="00395702" w:rsidP="00395702">
      <w:pPr>
        <w:spacing w:after="0" w:line="360" w:lineRule="auto"/>
        <w:ind w:left="2268" w:right="566" w:hanging="1701"/>
        <w:jc w:val="both"/>
        <w:rPr>
          <w:rFonts w:ascii="Times New Roman" w:hAnsi="Times New Roman" w:cs="Times New Roman"/>
          <w:sz w:val="20"/>
          <w:szCs w:val="20"/>
        </w:rPr>
      </w:pPr>
      <w:r w:rsidRPr="00096909">
        <w:rPr>
          <w:rFonts w:ascii="Times New Roman" w:hAnsi="Times New Roman" w:cs="Times New Roman"/>
          <w:sz w:val="20"/>
          <w:szCs w:val="20"/>
        </w:rPr>
        <w:t>In questo punto lu sole co</w:t>
      </w:r>
      <w:r>
        <w:rPr>
          <w:rFonts w:ascii="Times New Roman" w:hAnsi="Times New Roman" w:cs="Times New Roman"/>
          <w:sz w:val="20"/>
          <w:szCs w:val="20"/>
        </w:rPr>
        <w:t>m</w:t>
      </w:r>
      <w:r w:rsidRPr="00096909">
        <w:rPr>
          <w:rFonts w:ascii="Times New Roman" w:hAnsi="Times New Roman" w:cs="Times New Roman"/>
          <w:sz w:val="20"/>
          <w:szCs w:val="20"/>
        </w:rPr>
        <w:t xml:space="preserve">enzava ad scoperire la tavola et foro presentati duy versi ad proposito: </w:t>
      </w:r>
    </w:p>
    <w:p w14:paraId="68179776" w14:textId="77777777" w:rsidR="00395702" w:rsidRPr="00096909" w:rsidRDefault="00395702" w:rsidP="00395702">
      <w:pPr>
        <w:spacing w:after="0" w:line="360" w:lineRule="auto"/>
        <w:ind w:left="2268" w:right="566" w:firstLine="397"/>
        <w:jc w:val="both"/>
        <w:rPr>
          <w:rFonts w:ascii="Times New Roman" w:hAnsi="Times New Roman" w:cs="Times New Roman"/>
          <w:sz w:val="20"/>
          <w:szCs w:val="20"/>
        </w:rPr>
      </w:pPr>
    </w:p>
    <w:p w14:paraId="6C1A8426" w14:textId="77777777" w:rsidR="00395702" w:rsidRPr="00405E54" w:rsidRDefault="00395702" w:rsidP="00395702">
      <w:pPr>
        <w:spacing w:after="0" w:line="360" w:lineRule="auto"/>
        <w:ind w:left="2268" w:right="566" w:firstLine="397"/>
        <w:jc w:val="both"/>
        <w:rPr>
          <w:rFonts w:ascii="Times New Roman" w:hAnsi="Times New Roman" w:cs="Times New Roman"/>
          <w:i/>
          <w:sz w:val="20"/>
          <w:szCs w:val="20"/>
        </w:rPr>
      </w:pPr>
      <w:r w:rsidRPr="00405E54">
        <w:rPr>
          <w:rFonts w:ascii="Times New Roman" w:hAnsi="Times New Roman" w:cs="Times New Roman"/>
          <w:i/>
          <w:sz w:val="20"/>
          <w:szCs w:val="20"/>
        </w:rPr>
        <w:t>Omnia de summo venerunt numina celo.</w:t>
      </w:r>
    </w:p>
    <w:p w14:paraId="504C906D" w14:textId="77777777" w:rsidR="00395702" w:rsidRPr="00C64055" w:rsidRDefault="00395702" w:rsidP="00395702">
      <w:pPr>
        <w:spacing w:after="0" w:line="360" w:lineRule="auto"/>
        <w:ind w:left="2268" w:firstLine="397"/>
        <w:jc w:val="both"/>
        <w:rPr>
          <w:rFonts w:ascii="Times New Roman" w:hAnsi="Times New Roman" w:cs="Times New Roman"/>
          <w:sz w:val="24"/>
          <w:szCs w:val="24"/>
          <w:lang w:val="en-US"/>
        </w:rPr>
      </w:pPr>
      <w:r w:rsidRPr="00405E54">
        <w:rPr>
          <w:rFonts w:ascii="Times New Roman" w:hAnsi="Times New Roman" w:cs="Times New Roman"/>
          <w:i/>
          <w:sz w:val="20"/>
          <w:szCs w:val="20"/>
          <w:lang w:val="en-US"/>
        </w:rPr>
        <w:t>Letus ad has mensas tu quoque Phebe venis</w:t>
      </w:r>
      <w:r w:rsidRPr="00C64055">
        <w:rPr>
          <w:rFonts w:ascii="Times New Roman" w:hAnsi="Times New Roman" w:cs="Times New Roman"/>
          <w:sz w:val="24"/>
          <w:szCs w:val="24"/>
          <w:lang w:val="en-US"/>
        </w:rPr>
        <w:t>.</w:t>
      </w:r>
      <w:r>
        <w:rPr>
          <w:rStyle w:val="Rimandonotaapidipagina"/>
          <w:rFonts w:ascii="Times New Roman" w:hAnsi="Times New Roman" w:cs="Times New Roman"/>
          <w:sz w:val="24"/>
          <w:szCs w:val="24"/>
          <w:lang w:val="en-US"/>
        </w:rPr>
        <w:footnoteReference w:id="810"/>
      </w:r>
      <w:r w:rsidRPr="00C64055">
        <w:rPr>
          <w:rFonts w:ascii="Times New Roman" w:hAnsi="Times New Roman" w:cs="Times New Roman"/>
          <w:sz w:val="24"/>
          <w:szCs w:val="24"/>
          <w:lang w:val="en-US"/>
        </w:rPr>
        <w:t xml:space="preserve">   </w:t>
      </w:r>
    </w:p>
    <w:p w14:paraId="244D91B9" w14:textId="77777777" w:rsidR="00395702" w:rsidRPr="00C64055" w:rsidRDefault="00395702" w:rsidP="00395702">
      <w:pPr>
        <w:spacing w:after="0" w:line="360" w:lineRule="auto"/>
        <w:ind w:left="2268" w:firstLine="397"/>
        <w:jc w:val="both"/>
        <w:rPr>
          <w:rFonts w:ascii="Times New Roman" w:hAnsi="Times New Roman" w:cs="Times New Roman"/>
          <w:sz w:val="24"/>
          <w:szCs w:val="24"/>
          <w:lang w:val="en-US"/>
        </w:rPr>
      </w:pPr>
    </w:p>
    <w:p w14:paraId="4EDC1DCE" w14:textId="77777777" w:rsidR="00395702" w:rsidRPr="00C64055" w:rsidRDefault="00395702" w:rsidP="00395702">
      <w:pPr>
        <w:spacing w:after="0" w:line="360" w:lineRule="auto"/>
        <w:ind w:firstLine="397"/>
        <w:jc w:val="both"/>
        <w:rPr>
          <w:rFonts w:ascii="Times New Roman" w:hAnsi="Times New Roman" w:cs="Times New Roman"/>
          <w:sz w:val="24"/>
          <w:szCs w:val="24"/>
          <w:lang w:val="en-US"/>
        </w:rPr>
      </w:pPr>
    </w:p>
    <w:p w14:paraId="6D703921"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Nel continuo passaggio dal piano della realtà a quello della finzione le forze della natura si piegavano dunque al volere dell’arte – come gli animali ammansiti dal canto di Orfeo – e al vigore delle capacità umane – come le belve domate da Ercole – in un’iterata allusione alla grandezza del duca di Ferrara, cui spettava una gloria maggiore di quella di Eracle per aver conquistato la casta Eleonora.</w:t>
      </w:r>
      <w:r w:rsidRPr="00096909">
        <w:rPr>
          <w:rStyle w:val="Rimandonotaapidipagina"/>
          <w:rFonts w:ascii="Times New Roman" w:hAnsi="Times New Roman" w:cs="Times New Roman"/>
          <w:sz w:val="24"/>
          <w:szCs w:val="24"/>
        </w:rPr>
        <w:footnoteReference w:id="811"/>
      </w:r>
      <w:r w:rsidRPr="00096909">
        <w:rPr>
          <w:rFonts w:ascii="Times New Roman" w:hAnsi="Times New Roman" w:cs="Times New Roman"/>
          <w:sz w:val="24"/>
          <w:szCs w:val="24"/>
        </w:rPr>
        <w:t xml:space="preserve"> La lotta finale dell’eroe contro i centauri, disturbatori delle belle coreografie del banchetto, alludeva infine all’azione fondatrice dell’ordine della festa, dalla quale dovevano essere </w:t>
      </w:r>
      <w:r w:rsidRPr="00096909">
        <w:rPr>
          <w:rFonts w:ascii="Times New Roman" w:hAnsi="Times New Roman" w:cs="Times New Roman"/>
          <w:sz w:val="24"/>
          <w:szCs w:val="24"/>
        </w:rPr>
        <w:lastRenderedPageBreak/>
        <w:t>esclusi i nemici dell’armonia. Nello spazio fragile e incantato dei festeggiamenti la danza, immagine idealizzata dell’ordine della corte, poteva così riprendere gioiosa.</w:t>
      </w:r>
    </w:p>
    <w:p w14:paraId="054CAA44"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In questo episodio romano, la complessità ermeneutica dello spettacolo conviviale fu dunque molto elevata e sono rari i casi in cui i cronisti di simili eventi dinastici forniscano indizi per coglier</w:t>
      </w:r>
      <w:r>
        <w:rPr>
          <w:rFonts w:ascii="Times New Roman" w:hAnsi="Times New Roman" w:cs="Times New Roman"/>
          <w:sz w:val="24"/>
          <w:szCs w:val="24"/>
        </w:rPr>
        <w:t>n</w:t>
      </w:r>
      <w:r w:rsidRPr="00096909">
        <w:rPr>
          <w:rFonts w:ascii="Times New Roman" w:hAnsi="Times New Roman" w:cs="Times New Roman"/>
          <w:sz w:val="24"/>
          <w:szCs w:val="24"/>
        </w:rPr>
        <w:t>e l</w:t>
      </w:r>
      <w:r>
        <w:rPr>
          <w:rFonts w:ascii="Times New Roman" w:hAnsi="Times New Roman" w:cs="Times New Roman"/>
          <w:sz w:val="24"/>
          <w:szCs w:val="24"/>
        </w:rPr>
        <w:t>’</w:t>
      </w:r>
      <w:r w:rsidRPr="00096909">
        <w:rPr>
          <w:rFonts w:ascii="Times New Roman" w:hAnsi="Times New Roman" w:cs="Times New Roman"/>
          <w:sz w:val="24"/>
          <w:szCs w:val="24"/>
        </w:rPr>
        <w:t>idea strutturante</w:t>
      </w:r>
      <w:r>
        <w:rPr>
          <w:rFonts w:ascii="Times New Roman" w:hAnsi="Times New Roman" w:cs="Times New Roman"/>
          <w:sz w:val="24"/>
          <w:szCs w:val="24"/>
        </w:rPr>
        <w:t xml:space="preserve"> e il significato</w:t>
      </w:r>
      <w:r w:rsidRPr="00096909">
        <w:rPr>
          <w:rFonts w:ascii="Times New Roman" w:hAnsi="Times New Roman" w:cs="Times New Roman"/>
          <w:sz w:val="24"/>
          <w:szCs w:val="24"/>
        </w:rPr>
        <w:t xml:space="preserve">. Un’interessante eccezione è offerta dalla descrizione, o meglio dalla mancata descrizione, </w:t>
      </w:r>
      <w:r>
        <w:rPr>
          <w:rFonts w:ascii="Times New Roman" w:hAnsi="Times New Roman" w:cs="Times New Roman"/>
          <w:sz w:val="24"/>
          <w:szCs w:val="24"/>
        </w:rPr>
        <w:t xml:space="preserve">di Capilupi </w:t>
      </w:r>
      <w:r w:rsidRPr="00096909">
        <w:rPr>
          <w:rFonts w:ascii="Times New Roman" w:hAnsi="Times New Roman" w:cs="Times New Roman"/>
          <w:sz w:val="24"/>
          <w:szCs w:val="24"/>
        </w:rPr>
        <w:t xml:space="preserve">del pranzo nuziale di Elisabetta Gonzaga dell’11 febbraio 1488: </w:t>
      </w:r>
    </w:p>
    <w:p w14:paraId="692CAF2B" w14:textId="77777777" w:rsidR="00395702" w:rsidRPr="00096909" w:rsidRDefault="00395702" w:rsidP="00395702">
      <w:pPr>
        <w:spacing w:after="0" w:line="360" w:lineRule="auto"/>
        <w:ind w:firstLine="397"/>
        <w:jc w:val="both"/>
        <w:rPr>
          <w:rFonts w:ascii="Times New Roman" w:hAnsi="Times New Roman" w:cs="Times New Roman"/>
          <w:sz w:val="20"/>
          <w:szCs w:val="20"/>
        </w:rPr>
      </w:pPr>
    </w:p>
    <w:p w14:paraId="7248F4DC"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Fornita la cerimonia, retonassimo al palazo et a le XX hore a tavola dove stessemo fin passate le cinque. Furono tri pasti inserti in uno: et si dette el primo de ocelli et animali domestici, el secondo de pesce dolce et marino, el terzo de ocelli et animali selvatici,</w:t>
      </w:r>
      <w:r>
        <w:rPr>
          <w:rFonts w:ascii="Times New Roman" w:hAnsi="Times New Roman" w:cs="Times New Roman"/>
          <w:sz w:val="20"/>
          <w:szCs w:val="20"/>
        </w:rPr>
        <w:t xml:space="preserve"> </w:t>
      </w:r>
      <w:r w:rsidRPr="00096909">
        <w:rPr>
          <w:rFonts w:ascii="Times New Roman" w:hAnsi="Times New Roman" w:cs="Times New Roman"/>
          <w:sz w:val="20"/>
          <w:szCs w:val="20"/>
        </w:rPr>
        <w:t>et d’ogni sorte n’erano buon numero de integri et vestiti. Se andò 25 volte alla cusina (et erano le vivande doppie) e 17 a la credenza. Nanti le vivande vennero otto carri triomphali sopra e’quali erano quelli che secondo le fabule furono de homini conversi in animali et ucelli, che cum ellegantissimi versi vulgari et latini faceano noto la conditione sua. Et gli intervene anche altre representatione et gentileze che saria longo narare: le quale meglio vederete per la lista de l’ordine del pasto che portarò con li versi descripti.</w:t>
      </w:r>
      <w:r w:rsidRPr="00096909">
        <w:rPr>
          <w:rStyle w:val="Rimandonotaapidipagina"/>
          <w:rFonts w:ascii="Times New Roman" w:hAnsi="Times New Roman" w:cs="Times New Roman"/>
        </w:rPr>
        <w:footnoteReference w:id="812"/>
      </w:r>
      <w:r w:rsidRPr="00096909">
        <w:rPr>
          <w:rFonts w:ascii="Times New Roman" w:hAnsi="Times New Roman" w:cs="Times New Roman"/>
          <w:sz w:val="20"/>
          <w:szCs w:val="20"/>
        </w:rPr>
        <w:t xml:space="preserve">    </w:t>
      </w:r>
    </w:p>
    <w:p w14:paraId="73E69FDE" w14:textId="77777777" w:rsidR="00395702" w:rsidRPr="00096909" w:rsidRDefault="00395702" w:rsidP="00395702">
      <w:pPr>
        <w:spacing w:after="0" w:line="360" w:lineRule="auto"/>
        <w:ind w:firstLine="397"/>
        <w:jc w:val="both"/>
        <w:rPr>
          <w:rFonts w:ascii="Times New Roman" w:hAnsi="Times New Roman" w:cs="Times New Roman"/>
          <w:i/>
          <w:sz w:val="20"/>
          <w:szCs w:val="20"/>
        </w:rPr>
      </w:pPr>
    </w:p>
    <w:p w14:paraId="719002E7" w14:textId="77777777" w:rsidR="00395702"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Capilupi, data notizia dell’articolazione in tre servizi del pasto – con venticinque portate di cucina, cioè calde, e diciassette di credenza, </w:t>
      </w:r>
      <w:r>
        <w:rPr>
          <w:rFonts w:ascii="Times New Roman" w:hAnsi="Times New Roman" w:cs="Times New Roman"/>
          <w:sz w:val="24"/>
          <w:szCs w:val="24"/>
        </w:rPr>
        <w:t xml:space="preserve">quindi </w:t>
      </w:r>
      <w:r w:rsidRPr="00096909">
        <w:rPr>
          <w:rFonts w:ascii="Times New Roman" w:hAnsi="Times New Roman" w:cs="Times New Roman"/>
          <w:sz w:val="24"/>
          <w:szCs w:val="24"/>
        </w:rPr>
        <w:t xml:space="preserve">fredde –, rivela come il tema degli </w:t>
      </w:r>
      <w:r w:rsidRPr="00096909">
        <w:rPr>
          <w:rFonts w:ascii="Times New Roman" w:hAnsi="Times New Roman" w:cs="Times New Roman"/>
          <w:i/>
          <w:sz w:val="24"/>
          <w:szCs w:val="24"/>
        </w:rPr>
        <w:t>entrem</w:t>
      </w:r>
      <w:r>
        <w:rPr>
          <w:rFonts w:ascii="Times New Roman" w:hAnsi="Times New Roman" w:cs="Times New Roman"/>
          <w:i/>
          <w:sz w:val="24"/>
          <w:szCs w:val="24"/>
        </w:rPr>
        <w:t>e</w:t>
      </w:r>
      <w:r w:rsidRPr="00096909">
        <w:rPr>
          <w:rFonts w:ascii="Times New Roman" w:hAnsi="Times New Roman" w:cs="Times New Roman"/>
          <w:i/>
          <w:sz w:val="24"/>
          <w:szCs w:val="24"/>
        </w:rPr>
        <w:t>ts</w:t>
      </w:r>
      <w:r w:rsidRPr="00096909">
        <w:rPr>
          <w:rFonts w:ascii="Times New Roman" w:hAnsi="Times New Roman" w:cs="Times New Roman"/>
          <w:sz w:val="24"/>
          <w:szCs w:val="24"/>
        </w:rPr>
        <w:t xml:space="preserve"> fosse quello degli «homini conversi in animali et ucelli» secondo i racconti dei poeti antichi. L’ambasciatore non si sofferma però oltre sul loro svolgimento, promettendo di portare presto a Maddalena Gonzaga «l’ordine del pasto […] con li versi descripti». Se l’indicazione esatta del soggetto dei carri trionfali invita a ipotizzare la presenza di programmi iconografici comuni a tutti gli interventi recitati del banchetto rinascimentale, la promessa dell’</w:t>
      </w:r>
      <w:r w:rsidRPr="00096909">
        <w:rPr>
          <w:rFonts w:ascii="Times New Roman" w:hAnsi="Times New Roman" w:cs="Times New Roman"/>
          <w:i/>
          <w:sz w:val="24"/>
          <w:szCs w:val="24"/>
        </w:rPr>
        <w:t>Ordine</w:t>
      </w:r>
      <w:r w:rsidRPr="00096909">
        <w:rPr>
          <w:rFonts w:ascii="Times New Roman" w:hAnsi="Times New Roman" w:cs="Times New Roman"/>
          <w:sz w:val="24"/>
          <w:szCs w:val="24"/>
        </w:rPr>
        <w:t xml:space="preserve"> del pasto con i testi recitati o cantati dai figuranti non può che richiamare alla mente di chi ha letto queste pagine l’</w:t>
      </w:r>
      <w:r w:rsidRPr="00096909">
        <w:rPr>
          <w:rFonts w:ascii="Times New Roman" w:hAnsi="Times New Roman" w:cs="Times New Roman"/>
          <w:i/>
          <w:sz w:val="24"/>
          <w:szCs w:val="24"/>
        </w:rPr>
        <w:t>Ordine de le imbandisone se hanno a dare a cena,</w:t>
      </w:r>
      <w:r w:rsidRPr="00096909">
        <w:rPr>
          <w:rFonts w:ascii="Times New Roman" w:hAnsi="Times New Roman" w:cs="Times New Roman"/>
          <w:sz w:val="24"/>
          <w:szCs w:val="24"/>
        </w:rPr>
        <w:t xml:space="preserve"> che fu stampato l’anno seguente per il ricevimento di Bergonzio Botta</w:t>
      </w:r>
      <w:r>
        <w:rPr>
          <w:rFonts w:ascii="Times New Roman" w:hAnsi="Times New Roman" w:cs="Times New Roman"/>
          <w:sz w:val="24"/>
          <w:szCs w:val="24"/>
        </w:rPr>
        <w:t xml:space="preserve"> </w:t>
      </w:r>
      <w:r w:rsidRPr="00CB6147">
        <w:rPr>
          <w:rFonts w:ascii="Times New Roman" w:hAnsi="Times New Roman" w:cs="Times New Roman"/>
          <w:sz w:val="24"/>
          <w:szCs w:val="24"/>
        </w:rPr>
        <w:t>a Tortona</w:t>
      </w:r>
      <w:r w:rsidRPr="00096909">
        <w:rPr>
          <w:rFonts w:ascii="Times New Roman" w:hAnsi="Times New Roman" w:cs="Times New Roman"/>
          <w:sz w:val="24"/>
          <w:szCs w:val="24"/>
        </w:rPr>
        <w:t xml:space="preserve">. Il desiderio di tramandare </w:t>
      </w:r>
      <w:r w:rsidRPr="00CB6147">
        <w:rPr>
          <w:rFonts w:ascii="Times New Roman" w:hAnsi="Times New Roman" w:cs="Times New Roman"/>
          <w:sz w:val="24"/>
          <w:szCs w:val="24"/>
        </w:rPr>
        <w:t>con relazioni ufficiali la componente letteraria dei banchetti e la memoria della loro articolazione spettacolare iniziò, quindi, a divenire una necessità sempre più consistente sul finire degli anni Ottanta</w:t>
      </w:r>
      <w:r>
        <w:rPr>
          <w:rFonts w:ascii="Times New Roman" w:hAnsi="Times New Roman" w:cs="Times New Roman"/>
          <w:sz w:val="24"/>
          <w:szCs w:val="24"/>
        </w:rPr>
        <w:t xml:space="preserve"> del XV secolo</w:t>
      </w:r>
      <w:r w:rsidRPr="00096909">
        <w:rPr>
          <w:rFonts w:ascii="Times New Roman" w:hAnsi="Times New Roman" w:cs="Times New Roman"/>
          <w:sz w:val="24"/>
          <w:szCs w:val="24"/>
        </w:rPr>
        <w:t xml:space="preserve">. </w:t>
      </w:r>
    </w:p>
    <w:p w14:paraId="3CCC507A"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Anche d</w:t>
      </w:r>
      <w:r>
        <w:rPr>
          <w:rFonts w:ascii="Times New Roman" w:hAnsi="Times New Roman" w:cs="Times New Roman"/>
          <w:sz w:val="24"/>
          <w:szCs w:val="24"/>
        </w:rPr>
        <w:t>ell’</w:t>
      </w:r>
      <w:r w:rsidRPr="00096909">
        <w:rPr>
          <w:rFonts w:ascii="Times New Roman" w:hAnsi="Times New Roman" w:cs="Times New Roman"/>
          <w:i/>
          <w:sz w:val="24"/>
          <w:szCs w:val="24"/>
        </w:rPr>
        <w:t>Ordine</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del convito urbinate </w:t>
      </w:r>
      <w:r w:rsidRPr="00096909">
        <w:rPr>
          <w:rFonts w:ascii="Times New Roman" w:hAnsi="Times New Roman" w:cs="Times New Roman"/>
          <w:sz w:val="24"/>
          <w:szCs w:val="24"/>
        </w:rPr>
        <w:t xml:space="preserve">purtroppo non è giunto alcun testimone, pertanto si può dire poco su questi </w:t>
      </w:r>
      <w:r w:rsidRPr="00096909">
        <w:rPr>
          <w:rFonts w:ascii="Times New Roman" w:hAnsi="Times New Roman" w:cs="Times New Roman"/>
          <w:i/>
          <w:sz w:val="24"/>
          <w:szCs w:val="24"/>
        </w:rPr>
        <w:t>entrem</w:t>
      </w:r>
      <w:r>
        <w:rPr>
          <w:rFonts w:ascii="Times New Roman" w:hAnsi="Times New Roman" w:cs="Times New Roman"/>
          <w:i/>
          <w:sz w:val="24"/>
          <w:szCs w:val="24"/>
        </w:rPr>
        <w:t>e</w:t>
      </w:r>
      <w:r w:rsidRPr="00096909">
        <w:rPr>
          <w:rFonts w:ascii="Times New Roman" w:hAnsi="Times New Roman" w:cs="Times New Roman"/>
          <w:i/>
          <w:sz w:val="24"/>
          <w:szCs w:val="24"/>
        </w:rPr>
        <w:t>ts</w:t>
      </w:r>
      <w:r w:rsidRPr="00096909">
        <w:rPr>
          <w:rFonts w:ascii="Times New Roman" w:hAnsi="Times New Roman" w:cs="Times New Roman"/>
          <w:sz w:val="24"/>
          <w:szCs w:val="24"/>
        </w:rPr>
        <w:t xml:space="preserve"> urbinati.</w:t>
      </w:r>
      <w:r w:rsidR="008C5C91">
        <w:rPr>
          <w:rFonts w:ascii="Times New Roman" w:hAnsi="Times New Roman" w:cs="Times New Roman"/>
          <w:sz w:val="24"/>
          <w:szCs w:val="24"/>
        </w:rPr>
        <w:t xml:space="preserve"> </w:t>
      </w:r>
      <w:r w:rsidRPr="00096909">
        <w:rPr>
          <w:rFonts w:ascii="Times New Roman" w:hAnsi="Times New Roman" w:cs="Times New Roman"/>
          <w:sz w:val="24"/>
          <w:szCs w:val="24"/>
        </w:rPr>
        <w:t xml:space="preserve">Possediamo invece maggiori notizie sul banchetto romano per le nozze di Caterina Sforza, annotate dagli affidabili </w:t>
      </w:r>
      <w:r w:rsidRPr="00096909">
        <w:rPr>
          <w:rFonts w:ascii="Times New Roman" w:hAnsi="Times New Roman" w:cs="Times New Roman"/>
          <w:i/>
          <w:sz w:val="24"/>
          <w:szCs w:val="24"/>
        </w:rPr>
        <w:t>Servitore</w:t>
      </w:r>
      <w:r>
        <w:rPr>
          <w:rFonts w:ascii="Times New Roman" w:hAnsi="Times New Roman" w:cs="Times New Roman"/>
          <w:i/>
          <w:sz w:val="24"/>
          <w:szCs w:val="24"/>
        </w:rPr>
        <w:t>s</w:t>
      </w:r>
      <w:r w:rsidRPr="00096909">
        <w:rPr>
          <w:rFonts w:ascii="Times New Roman" w:hAnsi="Times New Roman" w:cs="Times New Roman"/>
          <w:i/>
          <w:sz w:val="24"/>
          <w:szCs w:val="24"/>
        </w:rPr>
        <w:t xml:space="preserve"> aulici</w:t>
      </w:r>
      <w:r w:rsidRPr="00096909">
        <w:rPr>
          <w:rFonts w:ascii="Times New Roman" w:hAnsi="Times New Roman" w:cs="Times New Roman"/>
          <w:sz w:val="24"/>
          <w:szCs w:val="24"/>
        </w:rPr>
        <w:t xml:space="preserve">, che il giorno stesso del convito ebbero cura di dare pronta comunicazione del suo svolgimento a Bona di Savoia, a Milano. </w:t>
      </w:r>
    </w:p>
    <w:p w14:paraId="05383C34"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Il 28 maggio 1477, dopo la messa di Pentecoste e la benedizione sponsale impartita in San Pietro da Sisto IV, il corteo nuziale si recò per il pranzo in onore degli sposi presso il palazzo del cardinale Corsini, richiesto in prestito per l’evento dal conte Riario, dal momento che la sua residenza romana era ancora in costruzione.</w:t>
      </w:r>
      <w:r w:rsidRPr="00096909">
        <w:rPr>
          <w:rStyle w:val="Rimandonotaapidipagina"/>
          <w:rFonts w:ascii="Times New Roman" w:hAnsi="Times New Roman" w:cs="Times New Roman"/>
          <w:sz w:val="24"/>
          <w:szCs w:val="24"/>
        </w:rPr>
        <w:footnoteReference w:id="813"/>
      </w:r>
      <w:r w:rsidRPr="00096909">
        <w:rPr>
          <w:rFonts w:ascii="Times New Roman" w:hAnsi="Times New Roman" w:cs="Times New Roman"/>
          <w:sz w:val="24"/>
          <w:szCs w:val="24"/>
        </w:rPr>
        <w:t xml:space="preserve"> </w:t>
      </w:r>
    </w:p>
    <w:p w14:paraId="596A4F3C"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Dopo avere attraversato dunque le vie di Roma, adorne dei consueti addobbi di verzura e vela</w:t>
      </w:r>
      <w:r>
        <w:rPr>
          <w:rFonts w:ascii="Times New Roman" w:hAnsi="Times New Roman" w:cs="Times New Roman"/>
          <w:sz w:val="24"/>
          <w:szCs w:val="24"/>
        </w:rPr>
        <w:t>r</w:t>
      </w:r>
      <w:r w:rsidRPr="00096909">
        <w:rPr>
          <w:rFonts w:ascii="Times New Roman" w:hAnsi="Times New Roman" w:cs="Times New Roman"/>
          <w:sz w:val="24"/>
          <w:szCs w:val="24"/>
        </w:rPr>
        <w:t>i con l’arme del papa e delle famiglie Sforza e Riario, gli invit</w:t>
      </w:r>
      <w:r>
        <w:rPr>
          <w:rFonts w:ascii="Times New Roman" w:hAnsi="Times New Roman" w:cs="Times New Roman"/>
          <w:sz w:val="24"/>
          <w:szCs w:val="24"/>
        </w:rPr>
        <w:t>at</w:t>
      </w:r>
      <w:r w:rsidRPr="00096909">
        <w:rPr>
          <w:rFonts w:ascii="Times New Roman" w:hAnsi="Times New Roman" w:cs="Times New Roman"/>
          <w:sz w:val="24"/>
          <w:szCs w:val="24"/>
        </w:rPr>
        <w:t xml:space="preserve">i entrarono nel palazzo e si accomodarono nella sala da pranzo. Qui attesero Caterina, la quale dopo essersi cambiata d’abito, infine:   </w:t>
      </w:r>
    </w:p>
    <w:p w14:paraId="5E6EA16A" w14:textId="77777777" w:rsidR="00395702" w:rsidRPr="00096909" w:rsidRDefault="00395702" w:rsidP="00395702">
      <w:pPr>
        <w:tabs>
          <w:tab w:val="left" w:pos="0"/>
        </w:tabs>
        <w:spacing w:after="0" w:line="360" w:lineRule="auto"/>
        <w:jc w:val="both"/>
        <w:rPr>
          <w:rFonts w:ascii="Times New Roman" w:hAnsi="Times New Roman" w:cs="Times New Roman"/>
          <w:sz w:val="24"/>
          <w:szCs w:val="24"/>
        </w:rPr>
      </w:pPr>
    </w:p>
    <w:p w14:paraId="55333992"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Venne in sala per desinare et fu data l’acqua ale mano circha a le hore XVII se andò a taola essendo prima venuto uno putino in forma de angelo ad anonciarlo in versi. […] </w:t>
      </w:r>
    </w:p>
    <w:p w14:paraId="29347C9E"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Poi che foseno asetati se dette principio a le imbandisone quale al fornire del pasto foseno a numero XXII, sencia la colacione de confetti, che al vero, non si vide mai sì digna cosa, né si abondante, né sì preciosa, e ad ogni cinque imbandisone li veniva uno putino portato da più persone suso uno carro triomphale, quale recitava alcuni versi et dreto a lui se li faceva qualche bello gioco, et prima se fiece la istoria de Medusa; poi si fece quella faticha de Hercule quando el conquistò el leone; di poi quella di Theseo a conquistare el minuthauro; poi una digna et bella moresca de persone XII cioè sei homini vestiti d’uno giuparello de gitanino, raxo verde, una turchetta de cangiacolore</w:t>
      </w:r>
      <w:r w:rsidRPr="00CB6147">
        <w:rPr>
          <w:rFonts w:ascii="Times New Roman" w:hAnsi="Times New Roman" w:cs="Times New Roman"/>
          <w:sz w:val="20"/>
          <w:szCs w:val="20"/>
        </w:rPr>
        <w:t>,</w:t>
      </w:r>
      <w:r w:rsidRPr="00096909">
        <w:rPr>
          <w:rFonts w:ascii="Times New Roman" w:hAnsi="Times New Roman" w:cs="Times New Roman"/>
          <w:sz w:val="20"/>
          <w:szCs w:val="20"/>
        </w:rPr>
        <w:t xml:space="preserve"> le calce facte de panno in colore de carne, le donne tucte vestite de rochetti de tela sutilissima, ch</w:t>
      </w:r>
      <w:r>
        <w:rPr>
          <w:rFonts w:ascii="Times New Roman" w:hAnsi="Times New Roman" w:cs="Times New Roman"/>
          <w:sz w:val="20"/>
          <w:szCs w:val="20"/>
        </w:rPr>
        <w:t>e</w:t>
      </w:r>
      <w:r w:rsidRPr="00096909">
        <w:rPr>
          <w:rFonts w:ascii="Times New Roman" w:hAnsi="Times New Roman" w:cs="Times New Roman"/>
          <w:sz w:val="20"/>
          <w:szCs w:val="20"/>
        </w:rPr>
        <w:t xml:space="preserve"> al vero facevano uno bello vedere. Havevano dicte donne calce de scarlatta et le maniche de imbrocato de argento facte a la romanesca havendo ancora le facie gioveni et giovene nel volto. </w:t>
      </w:r>
    </w:p>
    <w:p w14:paraId="5D9D866C"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Facta dicta moresca vene poi fuora li sei giovani vestiti al modo sopradicto et descoperti feceno uno ballo a la fiorentina che gram dilecto dette a li vedenti. </w:t>
      </w:r>
    </w:p>
    <w:p w14:paraId="7F3AD2F1"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Al megio del convito se fece una rapresentazione de una cagiasone nel modo vi diremo. Venne quattro putti vestiti in forma de caciaturi havendo alchuni speti in mano, et gionti forono a la presentia de la prefata Madonna li recitarono alchuni versi et li presentarono per la prima dui faunni, quali secondo le fictione poetiche erano chiamati dei de li caciaturi, dui centauri, dui porci selvatici uno maschio et una femina cum li porcini sotto, dui cervi maschio et femina, dui caprioli, de molti paoni et pavone cum fioli sotto, fasani et fasane: vitelli dui et tucte queste erano cocte non essendo livati fuora de la forma sua che fu uno stupore a vedere. </w:t>
      </w:r>
    </w:p>
    <w:p w14:paraId="0EBB7578" w14:textId="77777777" w:rsidR="00395702" w:rsidRPr="00096909" w:rsidRDefault="00395702" w:rsidP="00395702">
      <w:pPr>
        <w:tabs>
          <w:tab w:val="left" w:pos="567"/>
        </w:tabs>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Finalmente circha a le hore XXII se fornì el disnare cum grande piacere de la brigata, tanto erano fastiditi de le diverse imbandisone, che se el dilecto el piacere che se prendevano de le diverse pi</w:t>
      </w:r>
      <w:r w:rsidR="00551CA0">
        <w:rPr>
          <w:rFonts w:ascii="Times New Roman" w:hAnsi="Times New Roman" w:cs="Times New Roman"/>
          <w:sz w:val="20"/>
          <w:szCs w:val="20"/>
        </w:rPr>
        <w:t>a</w:t>
      </w:r>
      <w:r w:rsidRPr="00096909">
        <w:rPr>
          <w:rFonts w:ascii="Times New Roman" w:hAnsi="Times New Roman" w:cs="Times New Roman"/>
          <w:sz w:val="20"/>
          <w:szCs w:val="20"/>
        </w:rPr>
        <w:t>cevoleze se facevano non fusse stato, dubito che de li dieci li novi haveriano dormito.</w:t>
      </w:r>
      <w:r w:rsidRPr="00096909">
        <w:rPr>
          <w:rStyle w:val="Rimandonotaapidipagina"/>
          <w:rFonts w:ascii="Times New Roman" w:hAnsi="Times New Roman" w:cs="Times New Roman"/>
        </w:rPr>
        <w:footnoteReference w:id="814"/>
      </w:r>
      <w:r w:rsidRPr="00096909">
        <w:rPr>
          <w:rFonts w:ascii="Times New Roman" w:hAnsi="Times New Roman" w:cs="Times New Roman"/>
          <w:sz w:val="20"/>
          <w:szCs w:val="20"/>
        </w:rPr>
        <w:t xml:space="preserve"> </w:t>
      </w:r>
    </w:p>
    <w:p w14:paraId="48963145" w14:textId="77777777" w:rsidR="00395702" w:rsidRPr="00096909" w:rsidRDefault="00395702" w:rsidP="00395702">
      <w:pPr>
        <w:spacing w:after="0" w:line="360" w:lineRule="auto"/>
        <w:jc w:val="both"/>
        <w:rPr>
          <w:rFonts w:ascii="Times New Roman" w:hAnsi="Times New Roman" w:cs="Times New Roman"/>
          <w:sz w:val="20"/>
          <w:szCs w:val="20"/>
        </w:rPr>
      </w:pPr>
    </w:p>
    <w:p w14:paraId="44ECF224"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51123342"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Ad aprire il convito nuziale della Sforza fu dunque un putto in veste d’angelo, che invitò i presenti a prendere posto alle tavole. Ogni cinque portate faceva ingresso nella sala un carro trionfale – dalle parole dei cronisti parrebbe portato a braccia da più persone – con un fanciullo che recitava alcuni versi per introdurre delle brevi rappresentazioni sul soggetto di Perseo e Medusa, di Ercole vincitore del leone nemeo, di Teseo trionfante sul minotauro, </w:t>
      </w:r>
      <w:r>
        <w:rPr>
          <w:rFonts w:ascii="Times New Roman" w:hAnsi="Times New Roman" w:cs="Times New Roman"/>
          <w:sz w:val="24"/>
          <w:szCs w:val="24"/>
        </w:rPr>
        <w:t xml:space="preserve">ossia </w:t>
      </w:r>
      <w:r w:rsidRPr="00096909">
        <w:rPr>
          <w:rFonts w:ascii="Times New Roman" w:hAnsi="Times New Roman" w:cs="Times New Roman"/>
          <w:sz w:val="24"/>
          <w:szCs w:val="24"/>
        </w:rPr>
        <w:t xml:space="preserve">su </w:t>
      </w:r>
      <w:r>
        <w:rPr>
          <w:rFonts w:ascii="Times New Roman" w:hAnsi="Times New Roman" w:cs="Times New Roman"/>
          <w:sz w:val="24"/>
          <w:szCs w:val="24"/>
        </w:rPr>
        <w:t xml:space="preserve">episodi </w:t>
      </w:r>
      <w:r w:rsidRPr="00096909">
        <w:rPr>
          <w:rFonts w:ascii="Times New Roman" w:hAnsi="Times New Roman" w:cs="Times New Roman"/>
          <w:sz w:val="24"/>
          <w:szCs w:val="24"/>
        </w:rPr>
        <w:t xml:space="preserve">mitologici già visti negli </w:t>
      </w:r>
      <w:r w:rsidRPr="00096909">
        <w:rPr>
          <w:rFonts w:ascii="Times New Roman" w:hAnsi="Times New Roman" w:cs="Times New Roman"/>
          <w:i/>
          <w:sz w:val="24"/>
          <w:szCs w:val="24"/>
        </w:rPr>
        <w:t>entrem</w:t>
      </w:r>
      <w:r>
        <w:rPr>
          <w:rFonts w:ascii="Times New Roman" w:hAnsi="Times New Roman" w:cs="Times New Roman"/>
          <w:i/>
          <w:sz w:val="24"/>
          <w:szCs w:val="24"/>
        </w:rPr>
        <w:t>e</w:t>
      </w:r>
      <w:r w:rsidRPr="00096909">
        <w:rPr>
          <w:rFonts w:ascii="Times New Roman" w:hAnsi="Times New Roman" w:cs="Times New Roman"/>
          <w:i/>
          <w:sz w:val="24"/>
          <w:szCs w:val="24"/>
        </w:rPr>
        <w:t>ts</w:t>
      </w:r>
      <w:r w:rsidRPr="00096909">
        <w:rPr>
          <w:rFonts w:ascii="Times New Roman" w:hAnsi="Times New Roman" w:cs="Times New Roman"/>
          <w:sz w:val="24"/>
          <w:szCs w:val="24"/>
        </w:rPr>
        <w:t xml:space="preserve"> per Eleonora d’Aragona e per i quali credo si possa ricercare un analogo significato legato al tema dell’esaltazione della natura umana attraverso la pratica delle virtù. </w:t>
      </w:r>
    </w:p>
    <w:p w14:paraId="42453F32"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Durante il pranzo sei giovani ballerini e sei ballerine danzarono una moresca, dopo la quale i sei danzatori maschi eseguirono «uno ballo a la fiorentina». Dalla rapidità dell’indicazione si intuisce che di questa particolare danza i </w:t>
      </w:r>
      <w:r w:rsidRPr="00096909">
        <w:rPr>
          <w:rFonts w:ascii="Times New Roman" w:hAnsi="Times New Roman" w:cs="Times New Roman"/>
          <w:i/>
          <w:sz w:val="24"/>
          <w:szCs w:val="24"/>
        </w:rPr>
        <w:t>servitores aulici</w:t>
      </w:r>
      <w:r w:rsidRPr="00096909">
        <w:rPr>
          <w:rFonts w:ascii="Times New Roman" w:hAnsi="Times New Roman" w:cs="Times New Roman"/>
          <w:sz w:val="24"/>
          <w:szCs w:val="24"/>
        </w:rPr>
        <w:t xml:space="preserve"> e la destinataria della loro missiva avessero già visto qualche saggio, come confermano le note sugli abitanti e sulle accoglienze di Imola inviate pochi giorni prima a Bona di Savoia da Gianluigi Bossi, dopo l’ingresso di Caterina nella città romagnola:</w:t>
      </w:r>
    </w:p>
    <w:p w14:paraId="7596414B" w14:textId="77777777" w:rsidR="00395702" w:rsidRPr="00096909" w:rsidRDefault="00395702" w:rsidP="00395702">
      <w:pPr>
        <w:spacing w:after="0" w:line="360" w:lineRule="auto"/>
        <w:ind w:left="567" w:right="566" w:firstLine="397"/>
        <w:jc w:val="both"/>
        <w:rPr>
          <w:rFonts w:ascii="Times New Roman" w:hAnsi="Times New Roman" w:cs="Times New Roman"/>
          <w:sz w:val="24"/>
          <w:szCs w:val="24"/>
        </w:rPr>
      </w:pPr>
    </w:p>
    <w:p w14:paraId="2053DC2D" w14:textId="77777777" w:rsidR="00395702" w:rsidRPr="00096909" w:rsidRDefault="00395702" w:rsidP="00395702">
      <w:pPr>
        <w:tabs>
          <w:tab w:val="left" w:pos="8787"/>
        </w:tabs>
        <w:spacing w:after="0" w:line="360" w:lineRule="auto"/>
        <w:ind w:left="567" w:right="851" w:firstLine="397"/>
        <w:jc w:val="both"/>
        <w:rPr>
          <w:rFonts w:ascii="Times New Roman" w:hAnsi="Times New Roman" w:cs="Times New Roman"/>
          <w:sz w:val="20"/>
          <w:szCs w:val="20"/>
        </w:rPr>
      </w:pPr>
      <w:r w:rsidRPr="00096909">
        <w:rPr>
          <w:rFonts w:ascii="Times New Roman" w:hAnsi="Times New Roman" w:cs="Times New Roman"/>
          <w:sz w:val="20"/>
          <w:szCs w:val="20"/>
        </w:rPr>
        <w:t>Li cittadini et done sono ben vestiti et neli loro balli fanno tanti scambieti, tinenze, reverentie, movimenti, punctezamenti et conpanzamenti de pedi de persona che a Firenza li perdarebi, et di continuo za pare vedendo cotale loro maynere havere li strazutatori inanzi al viso.</w:t>
      </w:r>
      <w:r w:rsidRPr="00096909">
        <w:rPr>
          <w:rStyle w:val="Rimandonotaapidipagina"/>
          <w:rFonts w:ascii="Times New Roman" w:hAnsi="Times New Roman" w:cs="Times New Roman"/>
        </w:rPr>
        <w:footnoteReference w:id="815"/>
      </w:r>
    </w:p>
    <w:p w14:paraId="4C325CA0" w14:textId="77777777" w:rsidR="00395702" w:rsidRPr="00096909" w:rsidRDefault="00395702" w:rsidP="00395702">
      <w:pPr>
        <w:spacing w:after="0" w:line="360" w:lineRule="auto"/>
        <w:jc w:val="both"/>
        <w:rPr>
          <w:rFonts w:ascii="Times New Roman" w:hAnsi="Times New Roman" w:cs="Times New Roman"/>
          <w:sz w:val="24"/>
          <w:szCs w:val="24"/>
        </w:rPr>
      </w:pPr>
    </w:p>
    <w:p w14:paraId="43183B65"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 lessico impiegato da Bossi per descrivere questa danza, ancora più virtuosistica di quella alla quale sarebbe ispirata, mi pare restituisca maggiori dettagli sulle coreografie «con salti et scambieti a la polita» viste a Firenze da Galeazzo Maria Sforza nella sua visita del 1459, e credo che degli stessi </w:t>
      </w:r>
      <w:r w:rsidRPr="00030ACC">
        <w:rPr>
          <w:rFonts w:ascii="Times New Roman" w:hAnsi="Times New Roman" w:cs="Times New Roman"/>
          <w:sz w:val="24"/>
          <w:szCs w:val="24"/>
        </w:rPr>
        <w:t>passi avrebbero fatto</w:t>
      </w:r>
      <w:r w:rsidRPr="00096909">
        <w:rPr>
          <w:rFonts w:ascii="Times New Roman" w:hAnsi="Times New Roman" w:cs="Times New Roman"/>
          <w:sz w:val="24"/>
          <w:szCs w:val="24"/>
        </w:rPr>
        <w:t xml:space="preserve"> mostra il Lavagnolo e la sua giovane allieva nelle feste nuziali delle corti di Bologna e di Milano del 1487 e del 1491, così da poter essere identificati senza dubbio come di origini toscane dal Beroaldo e dal Calco nelle loro relazioni. </w:t>
      </w:r>
    </w:p>
    <w:p w14:paraId="13AB604B"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Lo sposalizio principesco si confermava quindi come l’occasione perfetta nella quale incontrare tipologie spettacolari e coreutiche appartenenti a diverse tradizioni regionali, come questo “ballare fiorentino” i cui caratteri virtuosistici mi pare si definiscano sempre meglio con la lettura delle varie descrizioni di feste nuziali. </w:t>
      </w:r>
    </w:p>
    <w:p w14:paraId="3099E57A"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Nel banchetto romano di Caterina Sforza e Girolamo Riario, come detto dai cronisti, dovette destare una certa ammirazione la caccia introdotta da quattro putti vestiti da cacciatori e </w:t>
      </w:r>
      <w:r w:rsidRPr="00096909">
        <w:rPr>
          <w:rFonts w:ascii="Times New Roman" w:hAnsi="Times New Roman" w:cs="Times New Roman"/>
          <w:sz w:val="24"/>
          <w:szCs w:val="24"/>
        </w:rPr>
        <w:lastRenderedPageBreak/>
        <w:t xml:space="preserve">caratterizzata dalla presentazione di animali </w:t>
      </w:r>
      <w:r w:rsidRPr="00030ACC">
        <w:rPr>
          <w:rFonts w:ascii="Times New Roman" w:hAnsi="Times New Roman" w:cs="Times New Roman"/>
          <w:sz w:val="24"/>
          <w:szCs w:val="24"/>
        </w:rPr>
        <w:t>cotti</w:t>
      </w:r>
      <w:r>
        <w:rPr>
          <w:rFonts w:ascii="Times New Roman" w:hAnsi="Times New Roman" w:cs="Times New Roman"/>
          <w:sz w:val="24"/>
          <w:szCs w:val="24"/>
        </w:rPr>
        <w:t xml:space="preserve"> </w:t>
      </w:r>
      <w:r w:rsidRPr="00096909">
        <w:rPr>
          <w:rFonts w:ascii="Times New Roman" w:hAnsi="Times New Roman" w:cs="Times New Roman"/>
          <w:sz w:val="24"/>
          <w:szCs w:val="24"/>
        </w:rPr>
        <w:t xml:space="preserve">disposti sui vassoi in modo da sembrare ancora vivi. </w:t>
      </w:r>
    </w:p>
    <w:p w14:paraId="1B05570F"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 libri di cucina quattrocenteschi annoveravano vari trucchi e ricette per inserire strutture di metallo nel corpo cucinato degli animali, senza rovinarne i piumaggi e le pelli, così che si potessero recare sulla mensa del principe pavoni dalle piume sgargianti aperte in coloratissime ruote, caprioli accucciati, cervi pronti a spiccare salti, cinghiali rivestiti di lamine d’oro.</w:t>
      </w:r>
      <w:r w:rsidRPr="00096909">
        <w:rPr>
          <w:rStyle w:val="Rimandonotaapidipagina"/>
          <w:rFonts w:ascii="Times New Roman" w:hAnsi="Times New Roman" w:cs="Times New Roman"/>
          <w:sz w:val="24"/>
          <w:szCs w:val="24"/>
        </w:rPr>
        <w:footnoteReference w:id="816"/>
      </w:r>
      <w:r w:rsidRPr="00096909">
        <w:rPr>
          <w:rFonts w:ascii="Times New Roman" w:hAnsi="Times New Roman" w:cs="Times New Roman"/>
          <w:sz w:val="24"/>
          <w:szCs w:val="24"/>
        </w:rPr>
        <w:t xml:space="preserve"> Alcune volte, come visto nel ricevimento del matrimonio di Annibale Bentivoglio, questi capolavori culinari, autentico spettacolo di arte della cucina e della scultura, sfilavano tra i commensali insieme a conigli, cerbiatti e fagiani vivi, liberati dai paggi; o ancora, era possibile offrire dei pastelli di pasta di pane nei quali erano stati inseriti degli uccellini, che, al primo taglio dell’impasto uscivano dall’involucro iniziando a volare nella sala. </w:t>
      </w:r>
    </w:p>
    <w:p w14:paraId="36E996D8"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tavola del principe si popolava così di bellissimi animali, che grazie all’</w:t>
      </w:r>
      <w:r w:rsidRPr="00096909">
        <w:rPr>
          <w:rFonts w:ascii="Times New Roman" w:hAnsi="Times New Roman" w:cs="Times New Roman"/>
          <w:i/>
          <w:sz w:val="24"/>
          <w:szCs w:val="24"/>
        </w:rPr>
        <w:t>ars coquinaria</w:t>
      </w:r>
      <w:r w:rsidRPr="00096909">
        <w:rPr>
          <w:rFonts w:ascii="Times New Roman" w:hAnsi="Times New Roman" w:cs="Times New Roman"/>
          <w:sz w:val="24"/>
          <w:szCs w:val="24"/>
        </w:rPr>
        <w:t xml:space="preserve"> tornavano alla vita per diventare alimento vitale dei commensali, dimostrando come il passaggio al e dal regno della morte divenisse facilmente praticabile grazie all’abilità creativa dei cuochi. Come la poesia e la musica di Orfeo potevano incantare le fiere e rendere valicabili le porte dell’Ade, così l’arte culinaria, anch’essa finzione artistica, poteva mettere in comunicazione il mondo dei viventi e quello dei defunti, plasmando la natura degli alimenti e modificandola.</w:t>
      </w:r>
      <w:r w:rsidRPr="00096909">
        <w:rPr>
          <w:rStyle w:val="Rimandonotaapidipagina"/>
          <w:rFonts w:ascii="Times New Roman" w:hAnsi="Times New Roman" w:cs="Times New Roman"/>
          <w:sz w:val="24"/>
          <w:szCs w:val="24"/>
        </w:rPr>
        <w:footnoteReference w:id="817"/>
      </w:r>
      <w:r w:rsidRPr="00096909">
        <w:rPr>
          <w:rFonts w:ascii="Times New Roman" w:hAnsi="Times New Roman" w:cs="Times New Roman"/>
          <w:sz w:val="24"/>
          <w:szCs w:val="24"/>
        </w:rPr>
        <w:t xml:space="preserve"> </w:t>
      </w:r>
    </w:p>
    <w:p w14:paraId="3A4C9F61"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Non a caso, l’</w:t>
      </w:r>
      <w:r w:rsidRPr="00096909">
        <w:rPr>
          <w:rFonts w:ascii="Times New Roman" w:hAnsi="Times New Roman" w:cs="Times New Roman"/>
          <w:i/>
          <w:sz w:val="24"/>
          <w:szCs w:val="24"/>
        </w:rPr>
        <w:t>entrem</w:t>
      </w:r>
      <w:r>
        <w:rPr>
          <w:rFonts w:ascii="Times New Roman" w:hAnsi="Times New Roman" w:cs="Times New Roman"/>
          <w:i/>
          <w:sz w:val="24"/>
          <w:szCs w:val="24"/>
        </w:rPr>
        <w:t>e</w:t>
      </w:r>
      <w:r w:rsidRPr="00096909">
        <w:rPr>
          <w:rFonts w:ascii="Times New Roman" w:hAnsi="Times New Roman" w:cs="Times New Roman"/>
          <w:i/>
          <w:sz w:val="24"/>
          <w:szCs w:val="24"/>
        </w:rPr>
        <w:t>t</w:t>
      </w:r>
      <w:r w:rsidRPr="00096909">
        <w:rPr>
          <w:rFonts w:ascii="Times New Roman" w:hAnsi="Times New Roman" w:cs="Times New Roman"/>
          <w:sz w:val="24"/>
          <w:szCs w:val="24"/>
        </w:rPr>
        <w:t xml:space="preserve"> che nel gennaio del 1489 chiuse la prima parte del banchetto di Tortona – segnando il passaggio dalla cena di carni a quella di magro – fu proprio l’apparizione di Apicio, il cuoco elogiato da Plinio e da Seneca, esperto di quell’arte della metamorfosi per eccellenza che fu la cucina rinascimentale. Egli presentò ai duchi di Milano le salse e i condimenti necessari a modificare il sapore dei cibi: perfetta allusione alla capacità della gastronomia di trasformare e migliorare la realtà.</w:t>
      </w:r>
      <w:r w:rsidRPr="00096909">
        <w:rPr>
          <w:rStyle w:val="Rimandonotaapidipagina"/>
          <w:rFonts w:ascii="Times New Roman" w:hAnsi="Times New Roman" w:cs="Times New Roman"/>
          <w:sz w:val="24"/>
          <w:szCs w:val="24"/>
        </w:rPr>
        <w:footnoteReference w:id="818"/>
      </w:r>
    </w:p>
    <w:p w14:paraId="288B2DF2"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Il potere immaginifico delle arti della cucina era esaltato anche dall’ultima meraviglia che Pontano enumerò tra i diletti del banchetto di Alfonso d’Aragona: la colazione. Questo servizio di dolci prelibati, solitamente accompagnati da tazze di malvasia, si distingueva per la presenza di sculture di zucchero, modellate con estro e perizia dai pasticceri di corte. Il </w:t>
      </w:r>
      <w:r w:rsidRPr="00096909">
        <w:rPr>
          <w:rFonts w:ascii="Times New Roman" w:hAnsi="Times New Roman" w:cs="Times New Roman"/>
          <w:i/>
          <w:sz w:val="24"/>
          <w:szCs w:val="24"/>
        </w:rPr>
        <w:t>De conviventia</w:t>
      </w:r>
      <w:r w:rsidRPr="00096909">
        <w:rPr>
          <w:rFonts w:ascii="Times New Roman" w:hAnsi="Times New Roman" w:cs="Times New Roman"/>
          <w:sz w:val="24"/>
          <w:szCs w:val="24"/>
        </w:rPr>
        <w:t xml:space="preserve"> dichiara espressamente come il loro scopo fosse quello di mostrare la munificenza del principe, disposto a spendere cifre ingenti per offrire il piacere visivo degli effimeri trionfi di zucchero</w:t>
      </w:r>
      <w:r w:rsidRPr="00040586">
        <w:rPr>
          <w:rFonts w:ascii="Times New Roman" w:hAnsi="Times New Roman" w:cs="Times New Roman"/>
          <w:sz w:val="24"/>
          <w:szCs w:val="24"/>
        </w:rPr>
        <w:t xml:space="preserve"> </w:t>
      </w:r>
      <w:r w:rsidRPr="00096909">
        <w:rPr>
          <w:rFonts w:ascii="Times New Roman" w:hAnsi="Times New Roman" w:cs="Times New Roman"/>
          <w:sz w:val="24"/>
          <w:szCs w:val="24"/>
        </w:rPr>
        <w:t xml:space="preserve">ai presenti. </w:t>
      </w:r>
    </w:p>
    <w:p w14:paraId="7E6E715B"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testimonianza di </w:t>
      </w:r>
      <w:bookmarkStart w:id="509" w:name="_Hlk536009258"/>
      <w:r w:rsidRPr="00096909">
        <w:rPr>
          <w:rFonts w:ascii="Times New Roman" w:hAnsi="Times New Roman" w:cs="Times New Roman"/>
          <w:sz w:val="24"/>
          <w:szCs w:val="24"/>
        </w:rPr>
        <w:t>Bonifacio Aliprando</w:t>
      </w:r>
      <w:bookmarkEnd w:id="509"/>
      <w:r w:rsidRPr="00096909">
        <w:rPr>
          <w:rFonts w:ascii="Times New Roman" w:hAnsi="Times New Roman" w:cs="Times New Roman"/>
          <w:sz w:val="24"/>
          <w:szCs w:val="24"/>
        </w:rPr>
        <w:t xml:space="preserve">, che definì la colazione offerta dopo lo sposalizio napoletano di Sforza Maria Sforza «bellissima ma pur sachezata come ieri, che in vero è cosa vergognosa» conferma come in questo servizio l’aspetto estetico della presentazione dei dolci fosse più importante di quello del gusto, e come presso la maggior parte delle corti d’Italia non fosse costume mangiare tali raffinati </w:t>
      </w:r>
      <w:r w:rsidRPr="00096909">
        <w:rPr>
          <w:rFonts w:ascii="Times New Roman" w:hAnsi="Times New Roman" w:cs="Times New Roman"/>
          <w:i/>
          <w:sz w:val="24"/>
          <w:szCs w:val="24"/>
        </w:rPr>
        <w:t>desserts</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819"/>
      </w:r>
      <w:r w:rsidRPr="00096909">
        <w:rPr>
          <w:rFonts w:ascii="Times New Roman" w:hAnsi="Times New Roman" w:cs="Times New Roman"/>
          <w:sz w:val="24"/>
          <w:szCs w:val="24"/>
        </w:rPr>
        <w:t xml:space="preserve"> </w:t>
      </w:r>
    </w:p>
    <w:p w14:paraId="6DFFA518" w14:textId="77777777" w:rsidR="00395702" w:rsidRPr="00096909" w:rsidRDefault="00395702" w:rsidP="00395702">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Abbiamo già visto come un modello di zucchero della Rocca Costanza, all’epoca in costruzione, fosse stato presentato durante la colazione nuziale di Costanzo Sforza per mostrare agli ospiti di quali grandiosi progetti architettonici fosse capace il Signore di Pesaro.</w:t>
      </w:r>
      <w:r w:rsidRPr="00096909">
        <w:rPr>
          <w:rStyle w:val="Rimandonotaapidipagina"/>
          <w:rFonts w:ascii="Times New Roman" w:hAnsi="Times New Roman" w:cs="Times New Roman"/>
          <w:sz w:val="24"/>
          <w:szCs w:val="24"/>
        </w:rPr>
        <w:footnoteReference w:id="820"/>
      </w:r>
      <w:r w:rsidRPr="00096909">
        <w:rPr>
          <w:rFonts w:ascii="Times New Roman" w:hAnsi="Times New Roman" w:cs="Times New Roman"/>
          <w:sz w:val="24"/>
          <w:szCs w:val="24"/>
        </w:rPr>
        <w:t xml:space="preserve"> Un uso simile delle sculture della colazione, chiamate a rappresentare il potere del principe sulla propria città, si nota anche nelle feste nuziali di Roberto Malatesta descritte da Gaspare Broglio, durante le quali fu possibile ammirare: </w:t>
      </w:r>
    </w:p>
    <w:p w14:paraId="036D7F6F" w14:textId="77777777" w:rsidR="00395702" w:rsidRPr="00096909" w:rsidRDefault="00395702" w:rsidP="00395702">
      <w:pPr>
        <w:spacing w:after="0" w:line="360" w:lineRule="auto"/>
        <w:ind w:firstLine="397"/>
        <w:jc w:val="both"/>
        <w:rPr>
          <w:rFonts w:ascii="Times New Roman" w:hAnsi="Times New Roman" w:cs="Times New Roman"/>
          <w:sz w:val="24"/>
          <w:szCs w:val="24"/>
        </w:rPr>
      </w:pPr>
    </w:p>
    <w:p w14:paraId="1ABE8697"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La fontana della piazza d’Arimine che sta apresso al palazzo formata in propria forma con 16 puttini intorno di zucaro fino, la quale giettava acqua rosata. Et più in propria forma fo portato nella gran sala figurata di zucaro la porta di San Pietro con dui giganti nella similiatudine che già antichamente fo guardata da dui giganti […].</w:t>
      </w:r>
    </w:p>
    <w:p w14:paraId="1A3E0A5A"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Similmente fu dificato di zucaro l’Arco trionfale di Arimino con dui gig</w:t>
      </w:r>
      <w:r>
        <w:rPr>
          <w:rFonts w:ascii="Times New Roman" w:hAnsi="Times New Roman" w:cs="Times New Roman"/>
          <w:sz w:val="20"/>
          <w:szCs w:val="20"/>
        </w:rPr>
        <w:t>a</w:t>
      </w:r>
      <w:r w:rsidRPr="00096909">
        <w:rPr>
          <w:rFonts w:ascii="Times New Roman" w:hAnsi="Times New Roman" w:cs="Times New Roman"/>
          <w:sz w:val="20"/>
          <w:szCs w:val="20"/>
        </w:rPr>
        <w:t>nti di zucaro; la degna chiesa di San Francesco come doveva essere fornita tucta de zucaro fino. […]</w:t>
      </w:r>
    </w:p>
    <w:p w14:paraId="591FDAB6" w14:textId="77777777" w:rsidR="00395702" w:rsidRPr="00096909" w:rsidRDefault="00395702" w:rsidP="00395702">
      <w:pPr>
        <w:spacing w:after="0" w:line="360" w:lineRule="auto"/>
        <w:ind w:left="567" w:right="566" w:firstLine="397"/>
        <w:jc w:val="both"/>
        <w:rPr>
          <w:rFonts w:ascii="Times New Roman" w:hAnsi="Times New Roman" w:cs="Times New Roman"/>
          <w:sz w:val="20"/>
          <w:szCs w:val="20"/>
        </w:rPr>
      </w:pPr>
      <w:r w:rsidRPr="00096909">
        <w:rPr>
          <w:rFonts w:ascii="Times New Roman" w:hAnsi="Times New Roman" w:cs="Times New Roman"/>
          <w:sz w:val="20"/>
          <w:szCs w:val="20"/>
        </w:rPr>
        <w:t xml:space="preserve">La Rocha ovvero castello d’Arimine como proprio sta con ponti e porte seracinesche e con giente alle mura con fochi udirifichi, e tucti li toresini forniti di puctini assaissimi e so le mura di questo castello </w:t>
      </w:r>
      <w:r w:rsidRPr="008E178B">
        <w:rPr>
          <w:rFonts w:ascii="Times New Roman" w:hAnsi="Times New Roman" w:cs="Times New Roman"/>
          <w:sz w:val="20"/>
          <w:szCs w:val="20"/>
        </w:rPr>
        <w:t>ardìano</w:t>
      </w:r>
      <w:r w:rsidRPr="00096909">
        <w:rPr>
          <w:rFonts w:ascii="Times New Roman" w:hAnsi="Times New Roman" w:cs="Times New Roman"/>
          <w:sz w:val="20"/>
          <w:szCs w:val="20"/>
        </w:rPr>
        <w:t xml:space="preserve"> con fochi odorosissimi e in ciaschuno torresino v’era un gigante suso; pur di zucaro fino era ogni cosa.     </w:t>
      </w:r>
    </w:p>
    <w:p w14:paraId="361664EA" w14:textId="77777777" w:rsidR="00395702" w:rsidRPr="00096909" w:rsidRDefault="00395702" w:rsidP="00395702">
      <w:pPr>
        <w:tabs>
          <w:tab w:val="left" w:pos="9072"/>
        </w:tabs>
        <w:spacing w:after="0" w:line="360" w:lineRule="auto"/>
        <w:ind w:right="566"/>
        <w:jc w:val="both"/>
        <w:rPr>
          <w:rFonts w:ascii="Times New Roman" w:hAnsi="Times New Roman" w:cs="Times New Roman"/>
          <w:sz w:val="20"/>
          <w:szCs w:val="20"/>
        </w:rPr>
      </w:pPr>
    </w:p>
    <w:p w14:paraId="142A34F6" w14:textId="77777777" w:rsidR="00395702" w:rsidRPr="00096909" w:rsidRDefault="00395702" w:rsidP="00395702">
      <w:pPr>
        <w:tabs>
          <w:tab w:val="left" w:pos="9071"/>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lastRenderedPageBreak/>
        <w:t xml:space="preserve">Si comprende bene quanto fosse elevata l’abilità inventiva dei maestri </w:t>
      </w:r>
      <w:r w:rsidRPr="008E178B">
        <w:rPr>
          <w:rFonts w:ascii="Times New Roman" w:hAnsi="Times New Roman" w:cs="Times New Roman"/>
          <w:sz w:val="24"/>
          <w:szCs w:val="24"/>
        </w:rPr>
        <w:t>pasticcieri</w:t>
      </w:r>
      <w:r w:rsidRPr="00096909">
        <w:rPr>
          <w:rFonts w:ascii="Times New Roman" w:hAnsi="Times New Roman" w:cs="Times New Roman"/>
          <w:sz w:val="24"/>
          <w:szCs w:val="24"/>
        </w:rPr>
        <w:t xml:space="preserve"> ingaggiati dal Malatesta, che non solo riprodussero in zucchero la fontana della piazza principale di Rimini (oggi Fontana della Pigna), ma anche la dotarono di un meccanismo capace di far sgorgare acqua di rose per sorprendere tutti i presenti. Con la loro maestria essi restaurarono la Porta San Pietro, munendola delle due statue di giganti che all’epoca si </w:t>
      </w:r>
      <w:r w:rsidRPr="008E178B">
        <w:rPr>
          <w:rFonts w:ascii="Times New Roman" w:hAnsi="Times New Roman" w:cs="Times New Roman"/>
          <w:sz w:val="24"/>
          <w:szCs w:val="24"/>
        </w:rPr>
        <w:t>credeva</w:t>
      </w:r>
      <w:r w:rsidRPr="00096909">
        <w:rPr>
          <w:rFonts w:ascii="Times New Roman" w:hAnsi="Times New Roman" w:cs="Times New Roman"/>
          <w:sz w:val="24"/>
          <w:szCs w:val="24"/>
        </w:rPr>
        <w:t xml:space="preserve"> ne ornassero la facciata. </w:t>
      </w:r>
    </w:p>
    <w:p w14:paraId="323E6D93" w14:textId="77777777" w:rsidR="00395702" w:rsidRPr="00096909" w:rsidRDefault="00395702" w:rsidP="00395702">
      <w:pPr>
        <w:tabs>
          <w:tab w:val="left" w:pos="9071"/>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Ancora, ai commensali fu dato di ammirare un modello dell’arco di Augusto e della chiesa di San Francesco come sarebbe divenuta dopo il r</w:t>
      </w:r>
      <w:r>
        <w:rPr>
          <w:rFonts w:ascii="Times New Roman" w:hAnsi="Times New Roman" w:cs="Times New Roman"/>
          <w:sz w:val="24"/>
          <w:szCs w:val="24"/>
        </w:rPr>
        <w:t xml:space="preserve">estauro </w:t>
      </w:r>
      <w:r w:rsidRPr="008E178B">
        <w:rPr>
          <w:rFonts w:ascii="Times New Roman" w:hAnsi="Times New Roman" w:cs="Times New Roman"/>
          <w:sz w:val="24"/>
          <w:szCs w:val="24"/>
        </w:rPr>
        <w:t>allora</w:t>
      </w:r>
      <w:r w:rsidRPr="00096909">
        <w:rPr>
          <w:rFonts w:ascii="Times New Roman" w:hAnsi="Times New Roman" w:cs="Times New Roman"/>
          <w:sz w:val="24"/>
          <w:szCs w:val="24"/>
        </w:rPr>
        <w:t xml:space="preserve"> in corso. Lo spettacolo maggiore della colazione fu forse però la Rocca Costanza, splendore dell’edilizia malatestiana, abitata da om</w:t>
      </w:r>
      <w:r>
        <w:rPr>
          <w:rFonts w:ascii="Times New Roman" w:hAnsi="Times New Roman" w:cs="Times New Roman"/>
          <w:sz w:val="24"/>
          <w:szCs w:val="24"/>
        </w:rPr>
        <w:t>i</w:t>
      </w:r>
      <w:r w:rsidRPr="00096909">
        <w:rPr>
          <w:rFonts w:ascii="Times New Roman" w:hAnsi="Times New Roman" w:cs="Times New Roman"/>
          <w:sz w:val="24"/>
          <w:szCs w:val="24"/>
        </w:rPr>
        <w:t>ni di marzapane e zampillante di piccoli fuochi.</w:t>
      </w:r>
    </w:p>
    <w:p w14:paraId="1FFE80B0" w14:textId="77777777" w:rsidR="00395702" w:rsidRPr="00096909" w:rsidRDefault="00395702" w:rsidP="00395702">
      <w:pPr>
        <w:tabs>
          <w:tab w:val="left" w:pos="9071"/>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Questi trionfi di zucchero esprimevano la capacità del Malatesta di trasformare la sua città e di resuscitarne le antiche glorie, così come avevano fatto i cuochi plasmando la glassa e le confetture per deliziare gli ospiti delle sue nozze. La metafora della cucina come arte al servizio del principe agiva ancora sulla realtà degli alimenti per dimostrare come nella straordinaria, incantata e forse illusoria occasione della festa fosse permesso dare forma a progetti utopici. Una forma bellissima, ma fragile e delicata, destinata a infrangersi per divenire </w:t>
      </w:r>
      <w:r>
        <w:rPr>
          <w:rFonts w:ascii="Times New Roman" w:hAnsi="Times New Roman" w:cs="Times New Roman"/>
          <w:sz w:val="24"/>
          <w:szCs w:val="24"/>
        </w:rPr>
        <w:t>nutrimento</w:t>
      </w:r>
      <w:r w:rsidRPr="00096909">
        <w:rPr>
          <w:rFonts w:ascii="Times New Roman" w:hAnsi="Times New Roman" w:cs="Times New Roman"/>
          <w:sz w:val="24"/>
          <w:szCs w:val="24"/>
        </w:rPr>
        <w:t xml:space="preserve"> vita</w:t>
      </w:r>
      <w:r>
        <w:rPr>
          <w:rFonts w:ascii="Times New Roman" w:hAnsi="Times New Roman" w:cs="Times New Roman"/>
          <w:sz w:val="24"/>
          <w:szCs w:val="24"/>
        </w:rPr>
        <w:t>le</w:t>
      </w:r>
      <w:r w:rsidRPr="00096909">
        <w:rPr>
          <w:rFonts w:ascii="Times New Roman" w:hAnsi="Times New Roman" w:cs="Times New Roman"/>
          <w:sz w:val="24"/>
          <w:szCs w:val="24"/>
        </w:rPr>
        <w:t xml:space="preserve"> della società della corte.     </w:t>
      </w:r>
    </w:p>
    <w:p w14:paraId="019BA314" w14:textId="77777777" w:rsidR="00395702" w:rsidRDefault="00395702" w:rsidP="00395702">
      <w:pPr>
        <w:tabs>
          <w:tab w:val="left" w:pos="9071"/>
        </w:tabs>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     </w:t>
      </w:r>
    </w:p>
    <w:p w14:paraId="4ACBE026" w14:textId="77777777" w:rsidR="00395702" w:rsidRDefault="00395702" w:rsidP="00395702">
      <w:pPr>
        <w:tabs>
          <w:tab w:val="left" w:pos="9071"/>
        </w:tabs>
        <w:spacing w:after="0" w:line="360" w:lineRule="auto"/>
        <w:jc w:val="both"/>
        <w:rPr>
          <w:rFonts w:ascii="Times New Roman" w:hAnsi="Times New Roman" w:cs="Times New Roman"/>
          <w:sz w:val="24"/>
          <w:szCs w:val="24"/>
        </w:rPr>
      </w:pPr>
    </w:p>
    <w:p w14:paraId="0A630041" w14:textId="77777777" w:rsidR="00395702" w:rsidRDefault="00395702" w:rsidP="00395702">
      <w:pPr>
        <w:jc w:val="both"/>
        <w:rPr>
          <w:rFonts w:ascii="Times New Roman" w:hAnsi="Times New Roman" w:cs="Times New Roman"/>
          <w:i/>
          <w:sz w:val="24"/>
          <w:szCs w:val="24"/>
        </w:rPr>
      </w:pPr>
      <w:r w:rsidRPr="00876F6A">
        <w:rPr>
          <w:rFonts w:ascii="Times New Roman" w:hAnsi="Times New Roman" w:cs="Times New Roman"/>
          <w:sz w:val="24"/>
          <w:szCs w:val="24"/>
        </w:rPr>
        <w:t>5.</w:t>
      </w:r>
      <w:r w:rsidRPr="00AA483F">
        <w:rPr>
          <w:rFonts w:ascii="Times New Roman" w:hAnsi="Times New Roman" w:cs="Times New Roman"/>
          <w:i/>
          <w:sz w:val="24"/>
          <w:szCs w:val="24"/>
        </w:rPr>
        <w:t xml:space="preserve"> Balli, tornei e giostre.</w:t>
      </w:r>
    </w:p>
    <w:p w14:paraId="130D7284" w14:textId="77777777" w:rsidR="00395702" w:rsidRDefault="00395702" w:rsidP="00395702">
      <w:pPr>
        <w:jc w:val="both"/>
        <w:rPr>
          <w:rFonts w:ascii="Times New Roman" w:hAnsi="Times New Roman" w:cs="Times New Roman"/>
          <w:i/>
          <w:sz w:val="24"/>
          <w:szCs w:val="24"/>
        </w:rPr>
      </w:pPr>
    </w:p>
    <w:p w14:paraId="05EEEE93" w14:textId="77777777" w:rsidR="00395702" w:rsidRDefault="00395702" w:rsidP="0039570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Dalle descrizioni finora considerate si sarà intuito quanto la danza avesse un ruolo di primaria importanza nella festa nuziale quattrocentesca. Il ballo, durante i ricevimenti riservati ai nobili invitati nel palazzo gentilizio, rappresentò l’ordine armonioso della società di corte per mezzo delle coreografie dei cortigiani e trovò spesso accoglienza nelle recite allegoriche dedicate agli sposi; mentre manifestò la gioia del popolo per il lieto evento nell’ambito più esteso delle accoglienze pubbliche per l’entrata della principessa in città.</w:t>
      </w:r>
      <w:r>
        <w:rPr>
          <w:rStyle w:val="Rimandonotaapidipagina"/>
          <w:rFonts w:ascii="Times New Roman" w:hAnsi="Times New Roman" w:cs="Times New Roman"/>
          <w:sz w:val="24"/>
          <w:szCs w:val="24"/>
        </w:rPr>
        <w:footnoteReference w:id="821"/>
      </w:r>
      <w:r>
        <w:rPr>
          <w:rFonts w:ascii="Times New Roman" w:hAnsi="Times New Roman" w:cs="Times New Roman"/>
          <w:sz w:val="24"/>
          <w:szCs w:val="24"/>
        </w:rPr>
        <w:t xml:space="preserve">   </w:t>
      </w:r>
    </w:p>
    <w:p w14:paraId="3A432EDB"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Alle porte di Verona mille giovani andarono incontro a Margherita di Wittelsbach danzando esultanti una piva; mentre al passaggio del bucintoro di Eleonora d’Aragona «Prima da Regenta fina a Ferrara si ballò driè Po per ogni villa».</w:t>
      </w:r>
      <w:r>
        <w:rPr>
          <w:rStyle w:val="Rimandonotaapidipagina"/>
          <w:rFonts w:ascii="Times New Roman" w:hAnsi="Times New Roman" w:cs="Times New Roman"/>
          <w:sz w:val="24"/>
          <w:szCs w:val="24"/>
        </w:rPr>
        <w:footnoteReference w:id="822"/>
      </w:r>
      <w:r>
        <w:rPr>
          <w:rFonts w:ascii="Times New Roman" w:hAnsi="Times New Roman" w:cs="Times New Roman"/>
          <w:sz w:val="24"/>
          <w:szCs w:val="24"/>
        </w:rPr>
        <w:t xml:space="preserve"> </w:t>
      </w:r>
    </w:p>
    <w:p w14:paraId="3E695CE7"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Sulle vie di Pesaro, nel maggio 1475, furono invece innalzate delle frascate «aparechiate cum vino, fructe, pane, torte, lacteroli, confecti et altre cose da mangiare per tuti […] et similmente in ciascuna se ballava da le donne de li dicti castelli».</w:t>
      </w:r>
      <w:r>
        <w:rPr>
          <w:rStyle w:val="Rimandonotaapidipagina"/>
          <w:rFonts w:ascii="Times New Roman" w:hAnsi="Times New Roman" w:cs="Times New Roman"/>
          <w:sz w:val="24"/>
          <w:szCs w:val="24"/>
        </w:rPr>
        <w:footnoteReference w:id="823"/>
      </w:r>
      <w:r>
        <w:rPr>
          <w:rFonts w:ascii="Times New Roman" w:hAnsi="Times New Roman" w:cs="Times New Roman"/>
          <w:sz w:val="24"/>
          <w:szCs w:val="24"/>
        </w:rPr>
        <w:t xml:space="preserve"> </w:t>
      </w:r>
    </w:p>
    <w:p w14:paraId="6B1DDF7C"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Altri palchi, per altre danze, vennero preparati nel settembre dell’anno seguente per salutare Beatrice d’Aragona prossima alla partenza per l’Ungheria, quando «</w:t>
      </w:r>
      <w:r w:rsidRPr="00871E5A">
        <w:rPr>
          <w:rFonts w:ascii="Times New Roman" w:hAnsi="Times New Roman" w:cs="Times New Roman"/>
          <w:i/>
          <w:sz w:val="24"/>
          <w:szCs w:val="24"/>
        </w:rPr>
        <w:t>plures dies triumphavit cum eisdem et cum militia suorum dominorum et civium Neapolitanorum utriusque sexus triumphantium, corizantium, lustrantium et iubilantium per vicos et plateas Neapolis, et maxime in magnifica platea Corrigiarum cum diversis instrumentis et generibus musicorum</w:t>
      </w:r>
      <w:r>
        <w:rPr>
          <w:rFonts w:ascii="Times New Roman" w:hAnsi="Times New Roman" w:cs="Times New Roman"/>
          <w:sz w:val="24"/>
          <w:szCs w:val="24"/>
        </w:rPr>
        <w:t xml:space="preserve"> […]».</w:t>
      </w:r>
      <w:r>
        <w:rPr>
          <w:rStyle w:val="Rimandonotaapidipagina"/>
          <w:rFonts w:ascii="Times New Roman" w:hAnsi="Times New Roman" w:cs="Times New Roman"/>
          <w:sz w:val="24"/>
          <w:szCs w:val="24"/>
        </w:rPr>
        <w:footnoteReference w:id="824"/>
      </w:r>
      <w:r>
        <w:rPr>
          <w:rFonts w:ascii="Times New Roman" w:hAnsi="Times New Roman" w:cs="Times New Roman"/>
          <w:sz w:val="24"/>
          <w:szCs w:val="24"/>
        </w:rPr>
        <w:t xml:space="preserve">  </w:t>
      </w:r>
    </w:p>
    <w:p w14:paraId="74138284"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L’ingresso della sposa offrì dunque in più occasioni ai cronisti degli sposalizi lo spettacolo gioioso del ballo della città festeggiante, al quale, nelle loro prose, si accostano frequentemente le esibizioni delle principesse stesse in coreografie aggraziate, capaci di metterne in risalto la bellezza del portamento e la squisita educazione alla vita di corte ricevuta dalle loro famiglie.</w:t>
      </w:r>
      <w:r>
        <w:rPr>
          <w:rStyle w:val="Rimandonotaapidipagina"/>
          <w:rFonts w:ascii="Times New Roman" w:hAnsi="Times New Roman" w:cs="Times New Roman"/>
          <w:sz w:val="24"/>
          <w:szCs w:val="24"/>
        </w:rPr>
        <w:footnoteReference w:id="825"/>
      </w:r>
      <w:r>
        <w:rPr>
          <w:rFonts w:ascii="Times New Roman" w:hAnsi="Times New Roman" w:cs="Times New Roman"/>
          <w:sz w:val="24"/>
          <w:szCs w:val="24"/>
        </w:rPr>
        <w:t xml:space="preserve"> </w:t>
      </w:r>
    </w:p>
    <w:p w14:paraId="2B830681"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Eleonora d’Aragona, ad esempio, prima dello sposalizio per procura che l’avrebbe unita al duca di Ferrara, danzò sul palco costruito per la cerimonia religiosa pubblica in piazza dell’Incoronata in coppia con suo fratello, Alfonso di Calabria:</w:t>
      </w:r>
    </w:p>
    <w:p w14:paraId="5C9D42C7" w14:textId="77777777" w:rsidR="00395702" w:rsidRDefault="00395702" w:rsidP="00395702">
      <w:pPr>
        <w:spacing w:after="0" w:line="360" w:lineRule="auto"/>
        <w:ind w:firstLine="397"/>
        <w:jc w:val="both"/>
        <w:rPr>
          <w:rFonts w:ascii="Times New Roman" w:hAnsi="Times New Roman" w:cs="Times New Roman"/>
          <w:sz w:val="24"/>
          <w:szCs w:val="24"/>
        </w:rPr>
      </w:pPr>
    </w:p>
    <w:p w14:paraId="1817A3D0" w14:textId="77777777" w:rsidR="00395702" w:rsidRPr="00913D74" w:rsidRDefault="00395702" w:rsidP="00395702">
      <w:pPr>
        <w:spacing w:after="0" w:line="360" w:lineRule="auto"/>
        <w:ind w:left="567" w:right="851" w:firstLine="397"/>
        <w:jc w:val="both"/>
        <w:rPr>
          <w:rFonts w:ascii="Times New Roman" w:hAnsi="Times New Roman" w:cs="Times New Roman"/>
          <w:sz w:val="20"/>
          <w:szCs w:val="20"/>
        </w:rPr>
      </w:pPr>
      <w:r w:rsidRPr="00913D74">
        <w:rPr>
          <w:rFonts w:ascii="Times New Roman" w:hAnsi="Times New Roman" w:cs="Times New Roman"/>
          <w:sz w:val="20"/>
          <w:szCs w:val="20"/>
        </w:rPr>
        <w:t>Assetati tuti in tribunali se incominciò a sonare lo pifaro. Et ilhora il ducha de Calabria et principe de Salerno et certi altri baroni, facto fare largo le persone per li soprastanti de la festa, che erano el conte de Fondy et el conte de Mattaloni, incominzorno a ballare. Et ballato che ebbe il ducha de Calabria cum Madama vostra consorte vestita de una vesta de panno d’oro caudata fuorsi otto bracia alhor guixa et li altri baroni depuoi, fornito el ballo et mutato Madama de veste, se vene ad sponsalicium.</w:t>
      </w:r>
      <w:r>
        <w:rPr>
          <w:rStyle w:val="Rimandonotaapidipagina"/>
          <w:rFonts w:ascii="Times New Roman" w:hAnsi="Times New Roman" w:cs="Times New Roman"/>
        </w:rPr>
        <w:footnoteReference w:id="826"/>
      </w:r>
    </w:p>
    <w:p w14:paraId="5DF41C08" w14:textId="77777777" w:rsidR="00395702" w:rsidRDefault="00395702" w:rsidP="00395702">
      <w:pPr>
        <w:spacing w:after="0" w:line="360" w:lineRule="auto"/>
        <w:ind w:firstLine="397"/>
        <w:jc w:val="both"/>
        <w:rPr>
          <w:rFonts w:ascii="Times New Roman" w:hAnsi="Times New Roman" w:cs="Times New Roman"/>
          <w:sz w:val="24"/>
          <w:szCs w:val="24"/>
        </w:rPr>
      </w:pPr>
    </w:p>
    <w:p w14:paraId="78E444F5"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principessa aragonese eseguì una danza abbigliata “alhor guisa”, ovvero presumibilmente secondo la moda spagnola dominante alla corte di Napoli, così come nel pomeriggio del 3 febbraio 1502, in una sala del palazzo ducale di Ferrara, Lucrezia Borgia «danzoe molte danze al sonno de li soi tamburini, a la romanescha e spagnola». </w:t>
      </w:r>
      <w:r>
        <w:rPr>
          <w:rStyle w:val="Rimandonotaapidipagina"/>
          <w:rFonts w:ascii="Times New Roman" w:hAnsi="Times New Roman" w:cs="Times New Roman"/>
          <w:sz w:val="24"/>
          <w:szCs w:val="24"/>
        </w:rPr>
        <w:footnoteReference w:id="827"/>
      </w:r>
      <w:r>
        <w:rPr>
          <w:rFonts w:ascii="Times New Roman" w:hAnsi="Times New Roman" w:cs="Times New Roman"/>
          <w:sz w:val="24"/>
          <w:szCs w:val="24"/>
        </w:rPr>
        <w:t xml:space="preserve"> Queste sintetiche indicazioni esemplificano la possibilità d’incontrare tipologie di balli differenti nella festa di corte danzante delle quali i contemporanei sapevano distinguere le regioni italiane o europee d’origine. </w:t>
      </w:r>
    </w:p>
    <w:p w14:paraId="683653FA"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 xml:space="preserve">La romanesca della Borgia, in particolare, era una variante locale della gagliarda, un’energica danza dal ritmo ternario alquanto celere, tale da richiedere nell’esecuzione diversi saltelli. Dalla lettera dei </w:t>
      </w:r>
      <w:r w:rsidRPr="00F43F93">
        <w:rPr>
          <w:rFonts w:ascii="Times New Roman" w:hAnsi="Times New Roman" w:cs="Times New Roman"/>
          <w:i/>
          <w:sz w:val="24"/>
          <w:szCs w:val="24"/>
        </w:rPr>
        <w:t>servitores aulici</w:t>
      </w:r>
      <w:r>
        <w:rPr>
          <w:rFonts w:ascii="Times New Roman" w:hAnsi="Times New Roman" w:cs="Times New Roman"/>
          <w:sz w:val="24"/>
          <w:szCs w:val="24"/>
        </w:rPr>
        <w:t xml:space="preserve"> sulle feste romane per le nozze Sforza-Riario si apprende però anche come le donne, che a conclusione del banchetto nuziale eseguirono una moresca per gli sposi, vestissero degli abiti dalle </w:t>
      </w:r>
      <w:r w:rsidRPr="00D54F58">
        <w:rPr>
          <w:rFonts w:ascii="Times New Roman" w:hAnsi="Times New Roman" w:cs="Times New Roman"/>
          <w:sz w:val="24"/>
          <w:szCs w:val="24"/>
        </w:rPr>
        <w:t xml:space="preserve">«maniche de imbrocato de argento facte </w:t>
      </w:r>
      <w:r w:rsidRPr="00F8444F">
        <w:rPr>
          <w:rFonts w:ascii="Times New Roman" w:hAnsi="Times New Roman" w:cs="Times New Roman"/>
          <w:i/>
          <w:sz w:val="24"/>
          <w:szCs w:val="24"/>
        </w:rPr>
        <w:t>a la romanesca</w:t>
      </w:r>
      <w:r w:rsidRPr="00D54F58">
        <w:rPr>
          <w:rFonts w:ascii="Times New Roman" w:hAnsi="Times New Roman" w:cs="Times New Roman"/>
          <w:sz w:val="24"/>
          <w:szCs w:val="24"/>
        </w:rPr>
        <w:t>, havendo ancora le facie gioveni et giovene nel volto»</w:t>
      </w:r>
      <w:r>
        <w:rPr>
          <w:rFonts w:ascii="Times New Roman" w:hAnsi="Times New Roman" w:cs="Times New Roman"/>
          <w:sz w:val="24"/>
          <w:szCs w:val="24"/>
        </w:rPr>
        <w:t xml:space="preserve">. La giovane età delle danzatrici permise dunque di sfoggiare delle vesti tradizionali romane, che avrebbero fatto risaltare maggiormente le loro movenze, in una perfetta sinergia di musica, coreografia e costumi indispensabili alla creazione dello spettacolo. Le osservazioni sull’abbigliamento sono, in questo caso, i nostri unici indizi per avanzare delle ipotesi riguardo alla tipologia di danza realizzata, e bisogna purtroppo constatare come raramente i cronisti delle feste fornissero una precisa descrizione dei passi e dei movimenti dei balli, soffermandosi piuttosto sulla varietà degli abiti indossati dagli interpreti. </w:t>
      </w:r>
    </w:p>
    <w:p w14:paraId="07408A18"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Dalla lettura di dispacci e relazioni ufficiali si apprende però come, nella seconda metà del Quattrocento, l’alternanza di stili coreutici differenti e lo sfoggio di costumi e gioielli pregiati provenienti da nazioni diverse assumessero nella festa dinastica il valore di diplomatico omaggio agli ospiti esteri, manifestando la ricercata </w:t>
      </w:r>
      <w:r w:rsidRPr="00A83F45">
        <w:rPr>
          <w:rFonts w:ascii="Times New Roman" w:hAnsi="Times New Roman" w:cs="Times New Roman"/>
          <w:i/>
          <w:sz w:val="24"/>
          <w:szCs w:val="24"/>
        </w:rPr>
        <w:t>varietas</w:t>
      </w:r>
      <w:r>
        <w:rPr>
          <w:rFonts w:ascii="Times New Roman" w:hAnsi="Times New Roman" w:cs="Times New Roman"/>
          <w:sz w:val="24"/>
          <w:szCs w:val="24"/>
        </w:rPr>
        <w:t xml:space="preserve"> della vita spettacolare della corte e il suo sfarzo.</w:t>
      </w:r>
      <w:r>
        <w:rPr>
          <w:rStyle w:val="Rimandonotaapidipagina"/>
          <w:rFonts w:ascii="Times New Roman" w:hAnsi="Times New Roman" w:cs="Times New Roman"/>
          <w:sz w:val="24"/>
          <w:szCs w:val="24"/>
        </w:rPr>
        <w:footnoteReference w:id="828"/>
      </w:r>
      <w:r>
        <w:rPr>
          <w:rFonts w:ascii="Times New Roman" w:hAnsi="Times New Roman" w:cs="Times New Roman"/>
          <w:sz w:val="24"/>
          <w:szCs w:val="24"/>
        </w:rPr>
        <w:t xml:space="preserve"> </w:t>
      </w:r>
    </w:p>
    <w:p w14:paraId="51FE8040"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Nella sua autobiografia artistica Guglielmo Ebreo da Pesaro poteva, ad esempio, vantare la partecipazione ai mirabili ricordati conviti della corte di </w:t>
      </w:r>
      <w:r w:rsidR="00D6679F">
        <w:rPr>
          <w:rFonts w:ascii="Times New Roman" w:hAnsi="Times New Roman" w:cs="Times New Roman"/>
          <w:sz w:val="24"/>
          <w:szCs w:val="24"/>
        </w:rPr>
        <w:t xml:space="preserve">Napoli </w:t>
      </w:r>
      <w:r>
        <w:rPr>
          <w:rFonts w:ascii="Times New Roman" w:hAnsi="Times New Roman" w:cs="Times New Roman"/>
          <w:sz w:val="24"/>
          <w:szCs w:val="24"/>
        </w:rPr>
        <w:t>del 1472 in onore degli ambasciatori borgognoni, nei quali «in mezzo del pasto venne el duca de Calabria et don Federico con una mammaria de mascare vestite a la francese, cioè de panno d’oro fino dalla pezza con una balza de ermellini et una manica era de damaschino berectino longa quase fino in terra aracamata; et li foro facti balli francesi con madonna duchessa et con madonna Lionora in mezzo del pasto proprio».</w:t>
      </w:r>
      <w:r>
        <w:rPr>
          <w:rStyle w:val="Rimandonotaapidipagina"/>
          <w:rFonts w:ascii="Times New Roman" w:hAnsi="Times New Roman" w:cs="Times New Roman"/>
          <w:sz w:val="24"/>
          <w:szCs w:val="24"/>
        </w:rPr>
        <w:footnoteReference w:id="829"/>
      </w:r>
      <w:r>
        <w:rPr>
          <w:rFonts w:ascii="Times New Roman" w:hAnsi="Times New Roman" w:cs="Times New Roman"/>
          <w:sz w:val="24"/>
          <w:szCs w:val="24"/>
        </w:rPr>
        <w:t xml:space="preserve"> </w:t>
      </w:r>
    </w:p>
    <w:p w14:paraId="2B8B06AC"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Questo </w:t>
      </w:r>
      <w:r w:rsidRPr="00A83F45">
        <w:rPr>
          <w:rFonts w:ascii="Times New Roman" w:hAnsi="Times New Roman" w:cs="Times New Roman"/>
          <w:i/>
          <w:sz w:val="24"/>
          <w:szCs w:val="24"/>
        </w:rPr>
        <w:t>entremet</w:t>
      </w:r>
      <w:r>
        <w:rPr>
          <w:rFonts w:ascii="Times New Roman" w:hAnsi="Times New Roman" w:cs="Times New Roman"/>
          <w:sz w:val="24"/>
          <w:szCs w:val="24"/>
        </w:rPr>
        <w:t xml:space="preserve"> danzante in onore dei legati del Temerario affidato a Ippolita Sforza, a Eleonora d’Aragona e ad alcuni ballerini documenta la capacità delle principesse di padroneggiare forme diverse di danza in contesti ufficiali, delle quali esse seppero farsi ottime esportatrici in seguito alle loro nozze.</w:t>
      </w:r>
      <w:r>
        <w:rPr>
          <w:rStyle w:val="Rimandonotaapidipagina"/>
          <w:rFonts w:ascii="Times New Roman" w:hAnsi="Times New Roman" w:cs="Times New Roman"/>
          <w:sz w:val="24"/>
          <w:szCs w:val="24"/>
        </w:rPr>
        <w:footnoteReference w:id="830"/>
      </w:r>
      <w:r>
        <w:rPr>
          <w:rFonts w:ascii="Times New Roman" w:hAnsi="Times New Roman" w:cs="Times New Roman"/>
          <w:sz w:val="24"/>
          <w:szCs w:val="24"/>
        </w:rPr>
        <w:t xml:space="preserve"> </w:t>
      </w:r>
    </w:p>
    <w:p w14:paraId="0F8BABC9"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 xml:space="preserve">Poco dopo essere giunta alla corte imperiale di Massimiliano I, ad esempio, Bianca Maria Sforza si fece ammirare per le sue abilità coreutiche. </w:t>
      </w:r>
      <w:r w:rsidRPr="007A1E64">
        <w:rPr>
          <w:rFonts w:ascii="Times New Roman" w:hAnsi="Times New Roman" w:cs="Times New Roman"/>
          <w:sz w:val="24"/>
          <w:szCs w:val="24"/>
        </w:rPr>
        <w:t>Barbara Stampa,</w:t>
      </w:r>
      <w:r>
        <w:rPr>
          <w:rFonts w:ascii="Times New Roman" w:hAnsi="Times New Roman" w:cs="Times New Roman"/>
          <w:sz w:val="24"/>
          <w:szCs w:val="24"/>
        </w:rPr>
        <w:t xml:space="preserve"> sua</w:t>
      </w:r>
      <w:r w:rsidRPr="007A1E64">
        <w:rPr>
          <w:rFonts w:ascii="Times New Roman" w:hAnsi="Times New Roman" w:cs="Times New Roman"/>
          <w:sz w:val="24"/>
          <w:szCs w:val="24"/>
        </w:rPr>
        <w:t xml:space="preserve"> dama di compagnia</w:t>
      </w:r>
      <w:r>
        <w:rPr>
          <w:rFonts w:ascii="Times New Roman" w:hAnsi="Times New Roman" w:cs="Times New Roman"/>
          <w:sz w:val="24"/>
          <w:szCs w:val="24"/>
        </w:rPr>
        <w:t>, in una lettera</w:t>
      </w:r>
      <w:r w:rsidRPr="007A1E64">
        <w:rPr>
          <w:rFonts w:ascii="Times New Roman" w:hAnsi="Times New Roman" w:cs="Times New Roman"/>
          <w:sz w:val="24"/>
          <w:szCs w:val="24"/>
        </w:rPr>
        <w:t xml:space="preserve"> indirizzata a Ferrara ad Anna Sforza</w:t>
      </w:r>
      <w:r>
        <w:rPr>
          <w:rFonts w:ascii="Times New Roman" w:hAnsi="Times New Roman" w:cs="Times New Roman"/>
          <w:sz w:val="24"/>
          <w:szCs w:val="24"/>
        </w:rPr>
        <w:t>, comunicando come l’imperatore amasse far ballare la consorte al termine dei banchetti ufficiali, notò anche che «</w:t>
      </w:r>
      <w:r w:rsidRPr="007A1E64">
        <w:rPr>
          <w:rFonts w:ascii="Times New Roman" w:hAnsi="Times New Roman" w:cs="Times New Roman"/>
          <w:sz w:val="24"/>
          <w:szCs w:val="24"/>
        </w:rPr>
        <w:t>La Sua Signoria balla benissimo francese, italiano et todesco; pur el ballar todesco è facile perché sempre è un medesimo andare simile al ungaresco</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831"/>
      </w:r>
    </w:p>
    <w:p w14:paraId="7C49F371" w14:textId="77777777" w:rsidR="00395702" w:rsidRDefault="00395702" w:rsidP="00395702">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Del resto, alla corte di Milano, che aveva dato i natali alla principessa, una simile alternanza di danze straniere aveva caratterizzato la prima parte della </w:t>
      </w:r>
      <w:r w:rsidRPr="008B6C18">
        <w:rPr>
          <w:rFonts w:ascii="Times New Roman" w:hAnsi="Times New Roman" w:cs="Times New Roman"/>
          <w:i/>
          <w:sz w:val="24"/>
          <w:szCs w:val="24"/>
        </w:rPr>
        <w:t>Festa del Paradiso</w:t>
      </w:r>
      <w:r>
        <w:rPr>
          <w:rFonts w:ascii="Times New Roman" w:hAnsi="Times New Roman" w:cs="Times New Roman"/>
          <w:sz w:val="24"/>
          <w:szCs w:val="24"/>
        </w:rPr>
        <w:t xml:space="preserve"> offerta per le nozze di Isabella d’Aragona, ricordata come uno degli eventi teatrali più sfarzosi dell’età sforzesca. Come ha illustrato Paola Ventrone, si trattò di uno spettacolo dedicato al tema dell’ambasceria, nel quale, nella sala Verde del Castello Sforzesco, le delegazioni dei principati europei si presentarono alla sposa per porgerle i doni nuziali e i saluti mandati dai loro rispettivi sovrani.</w:t>
      </w:r>
      <w:r>
        <w:rPr>
          <w:rStyle w:val="Rimandonotaapidipagina"/>
          <w:rFonts w:ascii="Times New Roman" w:hAnsi="Times New Roman" w:cs="Times New Roman"/>
          <w:sz w:val="24"/>
          <w:szCs w:val="24"/>
        </w:rPr>
        <w:footnoteReference w:id="832"/>
      </w:r>
      <w:r>
        <w:rPr>
          <w:rFonts w:ascii="Times New Roman" w:hAnsi="Times New Roman" w:cs="Times New Roman"/>
          <w:sz w:val="24"/>
          <w:szCs w:val="24"/>
        </w:rPr>
        <w:t xml:space="preserve"> In uno sfavillio di broccati e ori di collane preziose, terminate le manierate orazioni, scandite da un ampolloso cerimoniale ispirato a quello delle visite ufficiali degli oratori, i messaggeri, in vesti dalle fogge </w:t>
      </w:r>
      <w:r w:rsidRPr="001C129D">
        <w:rPr>
          <w:rFonts w:ascii="Times New Roman" w:hAnsi="Times New Roman" w:cs="Times New Roman"/>
          <w:sz w:val="24"/>
          <w:szCs w:val="24"/>
        </w:rPr>
        <w:t>spagnol</w:t>
      </w:r>
      <w:r>
        <w:rPr>
          <w:rFonts w:ascii="Times New Roman" w:hAnsi="Times New Roman" w:cs="Times New Roman"/>
          <w:sz w:val="24"/>
          <w:szCs w:val="24"/>
        </w:rPr>
        <w:t>e</w:t>
      </w:r>
      <w:r w:rsidRPr="001C129D">
        <w:rPr>
          <w:rFonts w:ascii="Times New Roman" w:hAnsi="Times New Roman" w:cs="Times New Roman"/>
          <w:sz w:val="24"/>
          <w:szCs w:val="24"/>
        </w:rPr>
        <w:t>, polacch</w:t>
      </w:r>
      <w:r>
        <w:rPr>
          <w:rFonts w:ascii="Times New Roman" w:hAnsi="Times New Roman" w:cs="Times New Roman"/>
          <w:sz w:val="24"/>
          <w:szCs w:val="24"/>
        </w:rPr>
        <w:t>e</w:t>
      </w:r>
      <w:r w:rsidRPr="001C129D">
        <w:rPr>
          <w:rFonts w:ascii="Times New Roman" w:hAnsi="Times New Roman" w:cs="Times New Roman"/>
          <w:sz w:val="24"/>
          <w:szCs w:val="24"/>
        </w:rPr>
        <w:t>, ungheresi, turch</w:t>
      </w:r>
      <w:r>
        <w:rPr>
          <w:rFonts w:ascii="Times New Roman" w:hAnsi="Times New Roman" w:cs="Times New Roman"/>
          <w:sz w:val="24"/>
          <w:szCs w:val="24"/>
        </w:rPr>
        <w:t>e</w:t>
      </w:r>
      <w:r w:rsidRPr="001C129D">
        <w:rPr>
          <w:rFonts w:ascii="Times New Roman" w:hAnsi="Times New Roman" w:cs="Times New Roman"/>
          <w:sz w:val="24"/>
          <w:szCs w:val="24"/>
        </w:rPr>
        <w:t xml:space="preserve">, </w:t>
      </w:r>
      <w:r>
        <w:rPr>
          <w:rFonts w:ascii="Times New Roman" w:hAnsi="Times New Roman" w:cs="Times New Roman"/>
          <w:sz w:val="24"/>
          <w:szCs w:val="24"/>
        </w:rPr>
        <w:t>tedesche</w:t>
      </w:r>
      <w:r w:rsidRPr="001C129D">
        <w:rPr>
          <w:rFonts w:ascii="Times New Roman" w:hAnsi="Times New Roman" w:cs="Times New Roman"/>
          <w:sz w:val="24"/>
          <w:szCs w:val="24"/>
        </w:rPr>
        <w:t xml:space="preserve"> e francesi</w:t>
      </w:r>
      <w:r>
        <w:rPr>
          <w:rFonts w:ascii="Times New Roman" w:hAnsi="Times New Roman" w:cs="Times New Roman"/>
          <w:sz w:val="24"/>
          <w:szCs w:val="24"/>
        </w:rPr>
        <w:t>, offrirono agli ospiti presenti una successione di danze delle loro tradizioni nazionali. Così descrisse l’evento l’oratore estense Giacomo Trotti:</w:t>
      </w:r>
    </w:p>
    <w:p w14:paraId="3C0D2372" w14:textId="77777777" w:rsidR="00395702" w:rsidRDefault="00395702" w:rsidP="00395702">
      <w:pPr>
        <w:spacing w:after="0" w:line="360" w:lineRule="auto"/>
        <w:ind w:firstLine="397"/>
        <w:jc w:val="both"/>
        <w:rPr>
          <w:rFonts w:ascii="Times New Roman" w:hAnsi="Times New Roman" w:cs="Times New Roman"/>
          <w:sz w:val="24"/>
          <w:szCs w:val="24"/>
        </w:rPr>
      </w:pPr>
    </w:p>
    <w:p w14:paraId="5F15ADBF" w14:textId="77777777" w:rsidR="00395702" w:rsidRPr="009938E6" w:rsidRDefault="00395702" w:rsidP="00395702">
      <w:pPr>
        <w:spacing w:after="0" w:line="360" w:lineRule="auto"/>
        <w:ind w:left="567" w:right="851" w:firstLine="397"/>
        <w:jc w:val="both"/>
        <w:rPr>
          <w:rFonts w:ascii="Times New Roman" w:hAnsi="Times New Roman" w:cs="Times New Roman"/>
          <w:sz w:val="20"/>
          <w:szCs w:val="20"/>
        </w:rPr>
      </w:pPr>
      <w:r w:rsidRPr="009938E6">
        <w:rPr>
          <w:rFonts w:ascii="Times New Roman" w:hAnsi="Times New Roman" w:cs="Times New Roman"/>
          <w:sz w:val="20"/>
          <w:szCs w:val="20"/>
        </w:rPr>
        <w:t xml:space="preserve">Aseptato ogno homo, se comenzò a sonare per li pifari et tromboni. Sonato un pocho che haveno ditti pifari, furno factti restare de sonare: et fu comandato a certi sonatori de tamborini, che sonassero certe danze napolitane. La Ill.ma et Ex.ma duchessa Isabella, per dare principio a la triumphante sua festa, acompagnata da lo horatore regio, discese zoso del tribunale, vestita a la spagnola, con uno mantello di seta biancha sopra la zuba, quale era de brochato d’oro in campo bianco, adonixato d’altri coluri, como se costuma a l’usanza spagnola, con gran numero de zoglie et perle intorno: la quale era bella et pulita che pareva un sole: et andò nel mezo de la sala, dinanti al tribunale, dove venne tre sue Chamarere, et ballò due danze; et retornò al luocho suo: et finì de sonare li tamburini. </w:t>
      </w:r>
    </w:p>
    <w:p w14:paraId="5DB7505A" w14:textId="77777777" w:rsidR="00395702" w:rsidRPr="009938E6" w:rsidRDefault="00395702" w:rsidP="00395702">
      <w:pPr>
        <w:spacing w:after="0" w:line="360" w:lineRule="auto"/>
        <w:ind w:left="567" w:right="851" w:firstLine="397"/>
        <w:jc w:val="both"/>
        <w:rPr>
          <w:rFonts w:ascii="Times New Roman" w:hAnsi="Times New Roman" w:cs="Times New Roman"/>
          <w:sz w:val="20"/>
          <w:szCs w:val="20"/>
        </w:rPr>
      </w:pPr>
      <w:r w:rsidRPr="009938E6">
        <w:rPr>
          <w:rFonts w:ascii="Times New Roman" w:hAnsi="Times New Roman" w:cs="Times New Roman"/>
          <w:sz w:val="20"/>
          <w:szCs w:val="20"/>
        </w:rPr>
        <w:t xml:space="preserve">Stato così un pocho, venne otto maschare vestite a la spagnola, quattro da homo et quattro da femina, acompagnati inseme uno homo et una donna, li quali erano vestiti con cape factte a quarti, mezo brochato d’oro et mezo veluto pian verde; et le donne spagnole erano tutte vestite di seta, con li suoi mantelli de varii coluri, con molte zoglie intomo. Li quali se apresentorno dinanti a M.a Isabella duchesa, et li disseno alchune parole da parte de la regina et del Re de Spagna, che furno, </w:t>
      </w:r>
      <w:r w:rsidRPr="009938E6">
        <w:rPr>
          <w:rFonts w:ascii="Times New Roman" w:hAnsi="Times New Roman" w:cs="Times New Roman"/>
          <w:sz w:val="20"/>
          <w:szCs w:val="20"/>
        </w:rPr>
        <w:lastRenderedPageBreak/>
        <w:t xml:space="preserve">in substantia, che havendo inteso le loro M.tà de la triumphante festa che faceva sua Ex., li havevano mandati ad honorarla. Ditti tamburini comenzorno a sonare et ditti spagnoli et spagnole comenzorno a balare inseme, et balorno dui balli molto bene et pulitamente. Finito el ballo, furno posti a sedere, segondo è ditto de sopra, e fu poi comandato a li pifari che sonaseno, et le altre mascare, che erano venute suso la festa, balorno uno ballo overo più d’uno, come se costuma qui de farne tri e quattro de balli l’uno dreto a l’altro. </w:t>
      </w:r>
    </w:p>
    <w:p w14:paraId="5C926FF9" w14:textId="77777777" w:rsidR="00395702" w:rsidRPr="009938E6" w:rsidRDefault="00395702" w:rsidP="00395702">
      <w:pPr>
        <w:spacing w:after="0" w:line="360" w:lineRule="auto"/>
        <w:ind w:left="567" w:right="851" w:firstLine="397"/>
        <w:jc w:val="both"/>
        <w:rPr>
          <w:rFonts w:ascii="Times New Roman" w:hAnsi="Times New Roman" w:cs="Times New Roman"/>
          <w:sz w:val="20"/>
          <w:szCs w:val="20"/>
        </w:rPr>
      </w:pPr>
      <w:r w:rsidRPr="009938E6">
        <w:rPr>
          <w:rFonts w:ascii="Times New Roman" w:hAnsi="Times New Roman" w:cs="Times New Roman"/>
          <w:sz w:val="20"/>
          <w:szCs w:val="20"/>
        </w:rPr>
        <w:t xml:space="preserve">Finito ditto ballo, venne quattro maschare vestite a la polacha, con caviare in testa lunghete arizate, con una grilandeta d’erba verde in testa, con le pene de scargeto dentro, con manteliti de raxo negro curti, con calce murele scure et scarpe factte a punta lunga. Et se apresentorno a la Ill.ma M.a duchessa Isabella, et li feceno l’ambasata de la substantia dicta de sopra, che havendo inteso la M.tà del Re et de la Regina de Polachia de la fama et gloria sua et de la bella festa, che la faceva, li havevano mandati ad honorarla. Furno posti a sedere apresso li Spagnoli, et se comenzò a sonare, et le maschare balorno uno ballo. Finito el ballo, venne circa sei chioppe [scil.: coppie] de mascare, con dui moriti inanti, che portavano le semitare inanti a ditte mascare, le quale mascare erano tutte vestiti a la ungarescha molto honorevolmente, con turche de brochato d’oro rizo et de seta, con le caviare in testa, con le grilandete d’erba suso li capilli, et parte con le scophie de seta con molte zoglie. Le quale se apresentorno dinanti a la Ill.ma M.a duchessa Isabela, et li feceno una ambasata da parte del Re et de la regina de Ungaria, como li havevano mandati ad honorare la festa sua. Furno messi a sedere apreso a le altre mascare, et se fece balare le altre mascare uno ballo. </w:t>
      </w:r>
    </w:p>
    <w:p w14:paraId="78DE9725" w14:textId="77777777" w:rsidR="00395702" w:rsidRPr="009938E6" w:rsidRDefault="00395702" w:rsidP="00395702">
      <w:pPr>
        <w:spacing w:after="0" w:line="360" w:lineRule="auto"/>
        <w:ind w:left="567" w:right="851" w:firstLine="397"/>
        <w:jc w:val="both"/>
        <w:rPr>
          <w:rFonts w:ascii="Times New Roman" w:hAnsi="Times New Roman" w:cs="Times New Roman"/>
          <w:sz w:val="20"/>
          <w:szCs w:val="20"/>
        </w:rPr>
      </w:pPr>
      <w:r w:rsidRPr="009938E6">
        <w:rPr>
          <w:rFonts w:ascii="Times New Roman" w:hAnsi="Times New Roman" w:cs="Times New Roman"/>
          <w:sz w:val="20"/>
          <w:szCs w:val="20"/>
        </w:rPr>
        <w:t xml:space="preserve">El quale finito, zunse uno oratore del Turco con compagnia a chavallo, vestì segondo a la turchescha, molto honorevolmente, el quale con li compagni smontò dinanti al tribunale con una maza in mano, et li suoi servi, vestiti a la turchescha, menorno via li chavalli, li quali anchora loro erano vestiti a la turchescha, che era uno pulito et bello vedere. El quale ambasatore fece intendere a la Ill.ma M.a duchesa Isabella, como el grande turcho suo S.re non era usitato a mandare ad honorare feste de cristiani et maxime in Italia, ma per havere inteso de la fama, grandeza et gloria sua, et de la triomphante festa che la faceva fare, lo haveva mandato ad honorarla. El quale horatore fu posto a sedere in terra suso li cosini [scil.: cuscini], como se costuma in loro paixi. Fu comisso a li sonatori che sonaseno, et così se ballò per le maschare più balli. In questo mezo lo ex.mo S.m. L[udovico] se partì de suso la festa, et se mutò de panni, et retornò con una turcha de horo tirata, la quale era molto belissima. </w:t>
      </w:r>
    </w:p>
    <w:p w14:paraId="0E5951AB" w14:textId="77777777" w:rsidR="00395702" w:rsidRPr="009938E6" w:rsidRDefault="00395702" w:rsidP="00395702">
      <w:pPr>
        <w:spacing w:after="0" w:line="360" w:lineRule="auto"/>
        <w:ind w:left="567" w:right="851" w:firstLine="397"/>
        <w:jc w:val="both"/>
        <w:rPr>
          <w:rFonts w:ascii="Times New Roman" w:hAnsi="Times New Roman" w:cs="Times New Roman"/>
          <w:sz w:val="20"/>
          <w:szCs w:val="20"/>
        </w:rPr>
      </w:pPr>
      <w:r w:rsidRPr="009938E6">
        <w:rPr>
          <w:rFonts w:ascii="Times New Roman" w:hAnsi="Times New Roman" w:cs="Times New Roman"/>
          <w:sz w:val="20"/>
          <w:szCs w:val="20"/>
        </w:rPr>
        <w:t xml:space="preserve">Finito li balli, venne uno chavalaro de lo imperatore con el signale suo: el quale noctificò a la preditta ex.ma M.a duchessa Isabella, como la M.tà de lo imperatore mandava alchuni de suoi S.ri et baroni ad honorare la sua festa. La quale li disse che venisseno. Et così venne quattro chioppe de maschare, vestiti tutti de panno verde, et così le calze con certi mongini facti a la todescha fino a la polpa de la gamba, le quale erano tutte tagliuzate, et sotto v’era brochato d’oro, che faceva uno bello vedere, in testa havevano Chaviare lunghe arizate, como porta li todischi, con uno retorto sopra ditti chapilli: nel quale dinanzi havevano penne de scargette, con uno balasso dentro ne la fronte, et con le scarpe da le punte lunghe. Et se apresentorno a la preditta Ill.ma M.a con el preditto Chavalaro, et li apresentorno una littera, la quale M.a dette al chavalaro, che glie la ligesse, per essere scripta in todesco, et che glie la spianasse in italiano. El quale la spianò. Et ditti S.ri et baroni, per interpreto, li fecero intendere, come havendo inteso lo imperatore suo S.re de la bella et magnanima festa, che </w:t>
      </w:r>
      <w:r w:rsidRPr="009938E6">
        <w:rPr>
          <w:rFonts w:ascii="Times New Roman" w:hAnsi="Times New Roman" w:cs="Times New Roman"/>
          <w:sz w:val="20"/>
          <w:szCs w:val="20"/>
        </w:rPr>
        <w:lastRenderedPageBreak/>
        <w:t>faceva sua Ex., li havevano mandati ad honorarla et a magnificarla. Finita la ambasata furno aseptati a sedere suso li scalini del tribunale, dinanti a la sua Ex. Tutte le mascare, che erano venute lì, li fu comandato balasseno, et così feceno per una grossa hora.</w:t>
      </w:r>
    </w:p>
    <w:p w14:paraId="139EBDE7" w14:textId="77777777" w:rsidR="00395702" w:rsidRPr="009938E6" w:rsidRDefault="00395702" w:rsidP="00395702">
      <w:pPr>
        <w:spacing w:after="0" w:line="360" w:lineRule="auto"/>
        <w:ind w:left="567" w:right="851" w:firstLine="397"/>
        <w:jc w:val="both"/>
        <w:rPr>
          <w:rFonts w:ascii="Times New Roman" w:hAnsi="Times New Roman" w:cs="Times New Roman"/>
          <w:sz w:val="20"/>
          <w:szCs w:val="20"/>
        </w:rPr>
      </w:pPr>
      <w:r w:rsidRPr="009938E6">
        <w:rPr>
          <w:rFonts w:ascii="Times New Roman" w:hAnsi="Times New Roman" w:cs="Times New Roman"/>
          <w:sz w:val="20"/>
          <w:szCs w:val="20"/>
        </w:rPr>
        <w:t xml:space="preserve">Finito el ballo, zunse uno Chavalaro de la M.tà del Re de Fransa, el quale noctificò a la preditta M.a duchessa Isabella, che la M.tà del Re et de la Reina de Franza mandavano alchune sue damiselle et baroni a la sua Ex. Li comisse che venisseno, et, così stando un poco, veneno che furno quattro mascare, vestite da homo a la francese, con turche de veluto piano negro, con cadene d’oro a la traversa, como è quelle da cane, le quale havevano a braze zaschuno di loro una donna, vestita a la francese de veluto piano negro con le code lunghe fodrate de armelini, con alchune putine vestite a la francese, che li portavano la coda. In capo ditte donne havevano pezi de drappo negro, con grandissimo numero de perle intorno grossisime et de gran valuta, con quattro sonatori, inanti da tamborini et staphette, vestiti de tafetto, et tutti coperti ditti vestiti de trimolanti, li quali sonavano molto bene, et facevano uno bello vedere et audire. Inanti a ditti sonatori era </w:t>
      </w:r>
      <w:r w:rsidRPr="009938E6">
        <w:rPr>
          <w:rFonts w:ascii="Times New Roman" w:hAnsi="Times New Roman" w:cs="Times New Roman"/>
          <w:i/>
          <w:sz w:val="20"/>
          <w:szCs w:val="20"/>
        </w:rPr>
        <w:t>Piero da Sorano</w:t>
      </w:r>
      <w:r w:rsidRPr="009938E6">
        <w:rPr>
          <w:rFonts w:ascii="Times New Roman" w:hAnsi="Times New Roman" w:cs="Times New Roman"/>
          <w:sz w:val="20"/>
          <w:szCs w:val="20"/>
        </w:rPr>
        <w:t xml:space="preserve"> con uno vestito et calce, tutti de trimolanti carichi, con uno scapuzino in testa caricho anchora lui de trimolanti, con due penne negre, che </w:t>
      </w:r>
      <w:r w:rsidRPr="009938E6">
        <w:rPr>
          <w:rFonts w:ascii="Times New Roman" w:hAnsi="Times New Roman" w:cs="Times New Roman"/>
          <w:i/>
          <w:sz w:val="20"/>
          <w:szCs w:val="20"/>
        </w:rPr>
        <w:t>andava balando et saltando con li suoi salti soliti</w:t>
      </w:r>
      <w:r w:rsidRPr="009938E6">
        <w:rPr>
          <w:rFonts w:ascii="Times New Roman" w:hAnsi="Times New Roman" w:cs="Times New Roman"/>
          <w:sz w:val="20"/>
          <w:szCs w:val="20"/>
        </w:rPr>
        <w:t xml:space="preserve">. Ditti franzosi feceno intendere a la preditta Ill.ma et ex.ma duchessa Isabella, como la sagra M.tà del Re et de la Regina de Franza haveva inteso de la nobilissima festa, che la faceva fare, et che per honorarla et exaltarla li haveano mandati a quella. Furno factti sonare li suoi sonatori, et balorno dui balli a la francese inseme con le sue donne. Finiti li balli furno posti a sedere suso li scalini del tribunale, apreso a li horatori et baroni de lo imperatore. </w:t>
      </w:r>
    </w:p>
    <w:p w14:paraId="4BE803E9" w14:textId="77777777" w:rsidR="00395702" w:rsidRDefault="00395702" w:rsidP="00395702">
      <w:pPr>
        <w:spacing w:after="0" w:line="360" w:lineRule="auto"/>
        <w:ind w:left="567" w:right="851" w:firstLine="397"/>
        <w:jc w:val="both"/>
        <w:rPr>
          <w:rFonts w:ascii="Times New Roman" w:hAnsi="Times New Roman" w:cs="Times New Roman"/>
          <w:sz w:val="24"/>
          <w:szCs w:val="24"/>
        </w:rPr>
      </w:pPr>
      <w:r w:rsidRPr="009938E6">
        <w:rPr>
          <w:rFonts w:ascii="Times New Roman" w:hAnsi="Times New Roman" w:cs="Times New Roman"/>
          <w:sz w:val="20"/>
          <w:szCs w:val="20"/>
        </w:rPr>
        <w:t xml:space="preserve">La Ill.ma M.a Ixabella comandò che ogni hom balasse, et così poi ogni homo balò medesamente inseme spagnoli, polachi, ungari, todischi et franzosi et altre mascare, et così se balò multi balli. Suso le XXIIJ hore, venne in suso ditta festa circa </w:t>
      </w:r>
      <w:r w:rsidRPr="009938E6">
        <w:rPr>
          <w:rFonts w:ascii="Times New Roman" w:hAnsi="Times New Roman" w:cs="Times New Roman"/>
          <w:i/>
          <w:sz w:val="20"/>
          <w:szCs w:val="20"/>
        </w:rPr>
        <w:t>otto maschare</w:t>
      </w:r>
      <w:r w:rsidRPr="009938E6">
        <w:rPr>
          <w:rFonts w:ascii="Times New Roman" w:hAnsi="Times New Roman" w:cs="Times New Roman"/>
          <w:sz w:val="20"/>
          <w:szCs w:val="20"/>
        </w:rPr>
        <w:t xml:space="preserve">, con cape de raxo, le quale havevano solamente le Chamise suso el cibone, et </w:t>
      </w:r>
      <w:r w:rsidRPr="009938E6">
        <w:rPr>
          <w:rFonts w:ascii="Times New Roman" w:hAnsi="Times New Roman" w:cs="Times New Roman"/>
          <w:i/>
          <w:sz w:val="20"/>
          <w:szCs w:val="20"/>
        </w:rPr>
        <w:t>comenzorno a balare a la piva: li quali erano actissimi et molto suso la vita, li quali feceno molte partite de cavriole, scambiiti et salti, che per un pezo feceno uno bello vedere</w:t>
      </w:r>
      <w:r w:rsidRPr="009938E6">
        <w:rPr>
          <w:rFonts w:ascii="Times New Roman" w:hAnsi="Times New Roman" w:cs="Times New Roman"/>
          <w:sz w:val="20"/>
          <w:szCs w:val="20"/>
        </w:rPr>
        <w:t>. Finito el ballo, la prefactta Ex.ma M.a duchesa Isabella comandò che alchune sue Camarere balesseno, le quale feceno alchuni balli fra loro donne a la napolitana overo spagnola molto gentilmente. Finiti ditti balli lo ex.mo S. m. L[udovico] comandò a li spagnoli che balasseno con le sue donne spagnole, et così balorno dui balli a la spagnola. Di poi comandò a li franzosi che balasseno con le sue donne francese, li quali feceno dui balli a la franzosa, e perché de quisti dui balli glie ne era uno che piaque molto a la sua Ex., quella volse lo facesseno due altre volte. Finito ditti balli se fece restare li soni, che era circa hore XXIIIJ, et se de’ principio a fare la representatione</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833"/>
      </w:r>
    </w:p>
    <w:p w14:paraId="1EEAD5F1" w14:textId="77777777" w:rsidR="00395702" w:rsidRDefault="00395702" w:rsidP="00395702">
      <w:pPr>
        <w:spacing w:after="0" w:line="360" w:lineRule="auto"/>
        <w:ind w:left="567" w:right="851" w:firstLine="397"/>
        <w:jc w:val="both"/>
        <w:rPr>
          <w:rFonts w:ascii="Times New Roman" w:hAnsi="Times New Roman" w:cs="Times New Roman"/>
          <w:sz w:val="24"/>
          <w:szCs w:val="24"/>
        </w:rPr>
      </w:pPr>
    </w:p>
    <w:p w14:paraId="321E3F4A" w14:textId="77777777" w:rsidR="00395702" w:rsidRDefault="00395702" w:rsidP="00395702">
      <w:pPr>
        <w:tabs>
          <w:tab w:val="left" w:pos="9072"/>
        </w:tabs>
        <w:spacing w:after="0" w:line="360" w:lineRule="auto"/>
        <w:ind w:right="851" w:firstLine="397"/>
        <w:jc w:val="both"/>
        <w:rPr>
          <w:rFonts w:ascii="Times New Roman" w:hAnsi="Times New Roman" w:cs="Times New Roman"/>
          <w:sz w:val="24"/>
          <w:szCs w:val="24"/>
        </w:rPr>
      </w:pPr>
    </w:p>
    <w:p w14:paraId="4D6ED153"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Dalla lettura del resoconto dell’oratore, che descrisse anche la sala apparata con pedane per gli spettatori e le pareti adorne di </w:t>
      </w:r>
      <w:r w:rsidRPr="00C93AAF">
        <w:rPr>
          <w:rFonts w:ascii="Times New Roman" w:hAnsi="Times New Roman" w:cs="Times New Roman"/>
          <w:sz w:val="24"/>
          <w:szCs w:val="24"/>
        </w:rPr>
        <w:t>tele con le imprese maggiori di Francesco Sforza,</w:t>
      </w:r>
      <w:r>
        <w:rPr>
          <w:rFonts w:ascii="Times New Roman" w:hAnsi="Times New Roman" w:cs="Times New Roman"/>
          <w:sz w:val="24"/>
          <w:szCs w:val="24"/>
        </w:rPr>
        <w:t xml:space="preserve"> si apprendono diversi dati sull’articolazione dello spettacolo sui quali credo sia utile fermare l’attenzione per </w:t>
      </w:r>
      <w:r>
        <w:rPr>
          <w:rFonts w:ascii="Times New Roman" w:hAnsi="Times New Roman" w:cs="Times New Roman"/>
          <w:sz w:val="24"/>
          <w:szCs w:val="24"/>
        </w:rPr>
        <w:lastRenderedPageBreak/>
        <w:t>comprendere come fossero effettivamente rappresentate in maniera identificabile le differenti culture coreutiche dei paesi europei.</w:t>
      </w:r>
      <w:r>
        <w:rPr>
          <w:rStyle w:val="Rimandonotaapidipagina"/>
          <w:rFonts w:ascii="Times New Roman" w:hAnsi="Times New Roman" w:cs="Times New Roman"/>
          <w:sz w:val="24"/>
          <w:szCs w:val="24"/>
        </w:rPr>
        <w:footnoteReference w:id="834"/>
      </w:r>
      <w:r>
        <w:rPr>
          <w:rFonts w:ascii="Times New Roman" w:hAnsi="Times New Roman" w:cs="Times New Roman"/>
          <w:sz w:val="24"/>
          <w:szCs w:val="24"/>
        </w:rPr>
        <w:t xml:space="preserve"> </w:t>
      </w:r>
    </w:p>
    <w:p w14:paraId="2F61360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Ad aprire la serie delle danze fu la duchessa di Milano in compagnia dell’ambasciatore del re di Napoli, la quale si esibì in due balli alla spagnola insieme a tre sue dame di compagnia. Dopo un intervento strumentale </w:t>
      </w:r>
      <w:r w:rsidR="00417617">
        <w:rPr>
          <w:rFonts w:ascii="Times New Roman" w:hAnsi="Times New Roman" w:cs="Times New Roman"/>
          <w:sz w:val="24"/>
          <w:szCs w:val="24"/>
        </w:rPr>
        <w:t xml:space="preserve">iniziò </w:t>
      </w:r>
      <w:r>
        <w:rPr>
          <w:rFonts w:ascii="Times New Roman" w:hAnsi="Times New Roman" w:cs="Times New Roman"/>
          <w:sz w:val="24"/>
          <w:szCs w:val="24"/>
        </w:rPr>
        <w:t xml:space="preserve">quindi la serie delle ambascerie coreografiche descritte dal Trotti, il quale, annotati minuziosamente i gesti degli inviati, l’aspetto dei loro lussuosi vestiti, l’intervento dell’interprete per tradurre la lettera in tedesco dell’Imperatore, diede purtroppo poche notizie sul tipo di passi eseguiti nelle danze: di </w:t>
      </w:r>
      <w:bookmarkStart w:id="514" w:name="_Hlk536009817"/>
      <w:r>
        <w:rPr>
          <w:rFonts w:ascii="Times New Roman" w:hAnsi="Times New Roman" w:cs="Times New Roman"/>
          <w:sz w:val="24"/>
          <w:szCs w:val="24"/>
        </w:rPr>
        <w:t>Piero da Sorano</w:t>
      </w:r>
      <w:bookmarkEnd w:id="514"/>
      <w:r>
        <w:rPr>
          <w:rFonts w:ascii="Times New Roman" w:hAnsi="Times New Roman" w:cs="Times New Roman"/>
          <w:sz w:val="24"/>
          <w:szCs w:val="24"/>
        </w:rPr>
        <w:t xml:space="preserve">, che aprì il corteo dei delegati del re di Francia, registrò i salti virtuosistici – a suo dire consueti – mentre della piva conclusiva affidata ad otto danzatori disse che fu contraddistinta </w:t>
      </w:r>
      <w:r w:rsidRPr="00E938A2">
        <w:rPr>
          <w:rFonts w:ascii="Times New Roman" w:hAnsi="Times New Roman" w:cs="Times New Roman"/>
          <w:sz w:val="24"/>
          <w:szCs w:val="24"/>
        </w:rPr>
        <w:t>da molte «partite de cavriole, scambiiti et salti». In questa danza di tradizione popola</w:t>
      </w:r>
      <w:r>
        <w:rPr>
          <w:rFonts w:ascii="Times New Roman" w:hAnsi="Times New Roman" w:cs="Times New Roman"/>
          <w:sz w:val="24"/>
          <w:szCs w:val="24"/>
        </w:rPr>
        <w:t>re</w:t>
      </w:r>
      <w:r w:rsidRPr="00E938A2">
        <w:rPr>
          <w:rFonts w:ascii="Times New Roman" w:hAnsi="Times New Roman" w:cs="Times New Roman"/>
          <w:sz w:val="24"/>
          <w:szCs w:val="24"/>
        </w:rPr>
        <w:t>, caratterizzata da passi semplici e doppi, saltelli, galoppi e mezzi giri</w:t>
      </w:r>
      <w:r>
        <w:rPr>
          <w:rFonts w:ascii="Times New Roman" w:hAnsi="Times New Roman" w:cs="Times New Roman"/>
          <w:sz w:val="24"/>
          <w:szCs w:val="24"/>
        </w:rPr>
        <w:t>,</w:t>
      </w:r>
      <w:r w:rsidRPr="00E938A2">
        <w:rPr>
          <w:rFonts w:ascii="Times New Roman" w:hAnsi="Times New Roman" w:cs="Times New Roman"/>
          <w:sz w:val="24"/>
          <w:szCs w:val="24"/>
        </w:rPr>
        <w:t xml:space="preserve"> i ballerini della corte sforzesca furono </w:t>
      </w:r>
      <w:r>
        <w:rPr>
          <w:rFonts w:ascii="Times New Roman" w:hAnsi="Times New Roman" w:cs="Times New Roman"/>
          <w:sz w:val="24"/>
          <w:szCs w:val="24"/>
        </w:rPr>
        <w:t>«</w:t>
      </w:r>
      <w:r w:rsidRPr="00E938A2">
        <w:rPr>
          <w:rFonts w:ascii="Times New Roman" w:hAnsi="Times New Roman" w:cs="Times New Roman"/>
          <w:sz w:val="24"/>
          <w:szCs w:val="24"/>
        </w:rPr>
        <w:t>actissimi et molto suso la vita</w:t>
      </w:r>
      <w:r>
        <w:rPr>
          <w:rFonts w:ascii="Times New Roman" w:hAnsi="Times New Roman" w:cs="Times New Roman"/>
          <w:sz w:val="24"/>
          <w:szCs w:val="24"/>
        </w:rPr>
        <w:t xml:space="preserve">». Gli aggettivi di declinazione maschile riferiti agli interpreti della performance mi pare rivelino come, diversamente da quanto accaduto nelle precedenti danze delle ambascerie, in questo intervento coreutico si fossero esibiti solo ballerini maschi, che poterono quindi concedersi movimenti delle gambe «molto suso la vita», dando al loro ballo un carattere più energico, sconveniente per delle interpreti donne. </w:t>
      </w:r>
    </w:p>
    <w:p w14:paraId="3F6221A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Nient’altro si dice dei movimenti degli altri interventi danzati. Possiamo tuttavia ipotizzare che nella </w:t>
      </w:r>
      <w:r w:rsidRPr="004941E3">
        <w:rPr>
          <w:rFonts w:ascii="Times New Roman" w:hAnsi="Times New Roman" w:cs="Times New Roman"/>
          <w:i/>
          <w:sz w:val="24"/>
          <w:szCs w:val="24"/>
        </w:rPr>
        <w:t>Festa del Paradiso</w:t>
      </w:r>
      <w:r>
        <w:rPr>
          <w:rFonts w:ascii="Times New Roman" w:hAnsi="Times New Roman" w:cs="Times New Roman"/>
          <w:i/>
          <w:sz w:val="24"/>
          <w:szCs w:val="24"/>
        </w:rPr>
        <w:t xml:space="preserve"> </w:t>
      </w:r>
      <w:r w:rsidRPr="00236F26">
        <w:rPr>
          <w:rFonts w:ascii="Times New Roman" w:hAnsi="Times New Roman" w:cs="Times New Roman"/>
          <w:sz w:val="24"/>
          <w:szCs w:val="24"/>
        </w:rPr>
        <w:t>e nelle feste danzanti contemporanee</w:t>
      </w:r>
      <w:r>
        <w:rPr>
          <w:rFonts w:ascii="Times New Roman" w:hAnsi="Times New Roman" w:cs="Times New Roman"/>
          <w:sz w:val="24"/>
          <w:szCs w:val="24"/>
        </w:rPr>
        <w:t xml:space="preserve">, le diverse identità europee delle coreografie potessero essere riconosciute grazie alla varietà delle musiche – si pensi ai tamburelli menzionati nelle descrizioni delle danze spagnole di Isabella d’Aragona e di Lucrezia Borgia –; degli abiti esotici e insoliti abbondantemente descritti dal Trotti – ad esempio, le calze alla tedesca indossate fino al polpaccio e con l’ampio risvolto di frange dorate –; e, infine, dei passi di danza, sui quali Trotti, come molti dei cronisti contemporanei, non diede informazioni tanto per l’oggettiva difficolta di presentarne le movenze con un lessico appropriato, quanto per la consapevolezza del fatto che essi fossero probabilmente già sufficientemente noti al pubblico dei lettori colti del secolo XV. </w:t>
      </w:r>
    </w:p>
    <w:p w14:paraId="32B0DFBA"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In questa prospettiva acquisiscono particolare valore e interesse le indicazioni di Gianluigi Bossi sui balli in stile fiorentino con «</w:t>
      </w:r>
      <w:r w:rsidRPr="009519E2">
        <w:rPr>
          <w:rFonts w:ascii="Times New Roman" w:hAnsi="Times New Roman" w:cs="Times New Roman"/>
          <w:sz w:val="24"/>
          <w:szCs w:val="24"/>
        </w:rPr>
        <w:t>tanti scambieti, tinenze, reverentie, movimenti, punctezamenti et conpanzamenti de pedi</w:t>
      </w:r>
      <w:r>
        <w:rPr>
          <w:rFonts w:ascii="Times New Roman" w:hAnsi="Times New Roman" w:cs="Times New Roman"/>
          <w:sz w:val="24"/>
          <w:szCs w:val="24"/>
        </w:rPr>
        <w:t xml:space="preserve">» presentati alla contessa di Imola nel maggio 1477, che </w:t>
      </w:r>
      <w:r>
        <w:rPr>
          <w:rFonts w:ascii="Times New Roman" w:hAnsi="Times New Roman" w:cs="Times New Roman"/>
          <w:sz w:val="24"/>
          <w:szCs w:val="24"/>
        </w:rPr>
        <w:lastRenderedPageBreak/>
        <w:t xml:space="preserve">possono essere scelte come esemplare testimonianza di una varietà regionale della danza, per la quale non possediamo una ricca trattatistica descrittiva e consuntiva paragonabile a quella che Domenico da Piacenza, </w:t>
      </w:r>
      <w:bookmarkStart w:id="515" w:name="_Hlk536009896"/>
      <w:r>
        <w:rPr>
          <w:rFonts w:ascii="Times New Roman" w:hAnsi="Times New Roman" w:cs="Times New Roman"/>
          <w:sz w:val="24"/>
          <w:szCs w:val="24"/>
        </w:rPr>
        <w:t xml:space="preserve">Antonio Cornazzaro </w:t>
      </w:r>
      <w:bookmarkEnd w:id="515"/>
      <w:r>
        <w:rPr>
          <w:rFonts w:ascii="Times New Roman" w:hAnsi="Times New Roman" w:cs="Times New Roman"/>
          <w:sz w:val="24"/>
          <w:szCs w:val="24"/>
        </w:rPr>
        <w:t xml:space="preserve">e Guglielmo Ebreo da Pesaro dedicarono al Ballare lombardo. </w:t>
      </w:r>
    </w:p>
    <w:p w14:paraId="4683ABED"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 manoscritti delle opere di questi maestri di danza, destinati a trovare posto nella biblioteca del principe, consentirono la circolazione dei loro insegnamenti e, più in generale, della cultura coreutica diffusasi nell’Italia del Nord nei decenni centrali del Quattrocento.</w:t>
      </w:r>
      <w:r w:rsidRPr="00E922BE">
        <w:rPr>
          <w:rStyle w:val="Rimandonotaapidipagina"/>
          <w:rFonts w:ascii="Times New Roman" w:hAnsi="Times New Roman" w:cs="Times New Roman"/>
          <w:sz w:val="24"/>
          <w:szCs w:val="24"/>
        </w:rPr>
        <w:t xml:space="preserve"> </w:t>
      </w:r>
      <w:r>
        <w:rPr>
          <w:rStyle w:val="Rimandonotaapidipagina"/>
          <w:rFonts w:ascii="Times New Roman" w:hAnsi="Times New Roman" w:cs="Times New Roman"/>
          <w:sz w:val="24"/>
          <w:szCs w:val="24"/>
        </w:rPr>
        <w:footnoteReference w:id="835"/>
      </w:r>
      <w:r>
        <w:rPr>
          <w:rFonts w:ascii="Times New Roman" w:hAnsi="Times New Roman" w:cs="Times New Roman"/>
          <w:sz w:val="24"/>
          <w:szCs w:val="24"/>
        </w:rPr>
        <w:t xml:space="preserve"> Furono però i loro continui spostamenti tra una corte e l’altra della Penisola per disegnare le coreografie delle feste dei matrimoni principeschi dell’epoca ad offrire l’occasione più stimolante per incontri tra culture performative diverse.</w:t>
      </w:r>
      <w:r>
        <w:rPr>
          <w:rStyle w:val="Rimandonotaapidipagina"/>
          <w:rFonts w:ascii="Times New Roman" w:hAnsi="Times New Roman" w:cs="Times New Roman"/>
          <w:sz w:val="24"/>
          <w:szCs w:val="24"/>
        </w:rPr>
        <w:footnoteReference w:id="836"/>
      </w:r>
      <w:r>
        <w:rPr>
          <w:rFonts w:ascii="Times New Roman" w:hAnsi="Times New Roman" w:cs="Times New Roman"/>
          <w:sz w:val="24"/>
          <w:szCs w:val="24"/>
        </w:rPr>
        <w:t xml:space="preserve"> </w:t>
      </w:r>
    </w:p>
    <w:p w14:paraId="4467764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Nell’autobiografia che conclude la seconda redazione del </w:t>
      </w:r>
      <w:r w:rsidRPr="006343E2">
        <w:rPr>
          <w:rFonts w:ascii="Times New Roman" w:hAnsi="Times New Roman" w:cs="Times New Roman"/>
          <w:i/>
          <w:sz w:val="24"/>
          <w:szCs w:val="24"/>
        </w:rPr>
        <w:t>De pratica seu arte tripudii</w:t>
      </w:r>
      <w:r>
        <w:rPr>
          <w:rFonts w:ascii="Times New Roman" w:hAnsi="Times New Roman" w:cs="Times New Roman"/>
          <w:sz w:val="24"/>
          <w:szCs w:val="24"/>
        </w:rPr>
        <w:t xml:space="preserve"> Guglielmo Ebreo da Pesaro poteva elencare trenta feste da ballo per le quali, tra il 1444 e il 1474, aveva offerto la propria consulenza. Tra queste egli annoverava quattordici feste nuziali e due feste di fidanzamento. Limitandoci a considerare</w:t>
      </w:r>
      <w:r w:rsidRPr="003D05CA">
        <w:rPr>
          <w:rFonts w:ascii="Times New Roman" w:hAnsi="Times New Roman" w:cs="Times New Roman"/>
          <w:sz w:val="24"/>
          <w:szCs w:val="24"/>
        </w:rPr>
        <w:t xml:space="preserve"> </w:t>
      </w:r>
      <w:r>
        <w:rPr>
          <w:rFonts w:ascii="Times New Roman" w:hAnsi="Times New Roman" w:cs="Times New Roman"/>
          <w:sz w:val="24"/>
          <w:szCs w:val="24"/>
        </w:rPr>
        <w:t xml:space="preserve">soltanto gli sposalizi successivi al 1460, concordemente con l’ambito cronologico investigato da questa tesi, possiamo riscontrare la presenza del maestro nei seguenti matrimoni: 1460, Urbino, Federico da Montefeltro con Battista Sforza; 1462, Forlì, </w:t>
      </w:r>
      <w:bookmarkStart w:id="517" w:name="_Hlk536009969"/>
      <w:r>
        <w:rPr>
          <w:rFonts w:ascii="Times New Roman" w:hAnsi="Times New Roman" w:cs="Times New Roman"/>
          <w:sz w:val="24"/>
          <w:szCs w:val="24"/>
        </w:rPr>
        <w:t xml:space="preserve">Pino Ordelaffi </w:t>
      </w:r>
      <w:bookmarkEnd w:id="517"/>
      <w:r>
        <w:rPr>
          <w:rFonts w:ascii="Times New Roman" w:hAnsi="Times New Roman" w:cs="Times New Roman"/>
          <w:sz w:val="24"/>
          <w:szCs w:val="24"/>
        </w:rPr>
        <w:t xml:space="preserve">e </w:t>
      </w:r>
      <w:bookmarkStart w:id="518" w:name="_Hlk536010064"/>
      <w:r>
        <w:rPr>
          <w:rFonts w:ascii="Times New Roman" w:hAnsi="Times New Roman" w:cs="Times New Roman"/>
          <w:sz w:val="24"/>
          <w:szCs w:val="24"/>
        </w:rPr>
        <w:t>Barbara Manfredi</w:t>
      </w:r>
      <w:bookmarkEnd w:id="518"/>
      <w:r>
        <w:rPr>
          <w:rFonts w:ascii="Times New Roman" w:hAnsi="Times New Roman" w:cs="Times New Roman"/>
          <w:sz w:val="24"/>
          <w:szCs w:val="24"/>
        </w:rPr>
        <w:t xml:space="preserve">; 1465, Mantova, Federico Gonzaga e Margherita di Wittelsbach; 1465, Napoli, Alfonso di Calabria e Ippolita Sforza; 1468, Milano, Galeazzo Maria Sforza e Bona di Savoia; 1471, Urbino, fidanzamento di Roberto Malatesta ed Elisabetta da Montefeltro; 1471, Faenza, </w:t>
      </w:r>
      <w:bookmarkStart w:id="519" w:name="_Hlk536010099"/>
      <w:r>
        <w:rPr>
          <w:rFonts w:ascii="Times New Roman" w:hAnsi="Times New Roman" w:cs="Times New Roman"/>
          <w:sz w:val="24"/>
          <w:szCs w:val="24"/>
        </w:rPr>
        <w:t xml:space="preserve">Carlo Manfredi </w:t>
      </w:r>
      <w:bookmarkEnd w:id="519"/>
      <w:r>
        <w:rPr>
          <w:rFonts w:ascii="Times New Roman" w:hAnsi="Times New Roman" w:cs="Times New Roman"/>
          <w:sz w:val="24"/>
          <w:szCs w:val="24"/>
        </w:rPr>
        <w:t>e Costanza Varano.</w:t>
      </w:r>
      <w:r>
        <w:rPr>
          <w:rStyle w:val="Rimandonotaapidipagina"/>
          <w:rFonts w:ascii="Times New Roman" w:hAnsi="Times New Roman" w:cs="Times New Roman"/>
          <w:sz w:val="24"/>
          <w:szCs w:val="24"/>
        </w:rPr>
        <w:footnoteReference w:id="837"/>
      </w:r>
      <w:r>
        <w:rPr>
          <w:rFonts w:ascii="Times New Roman" w:hAnsi="Times New Roman" w:cs="Times New Roman"/>
          <w:sz w:val="24"/>
          <w:szCs w:val="24"/>
        </w:rPr>
        <w:t xml:space="preserve"> </w:t>
      </w:r>
    </w:p>
    <w:p w14:paraId="5031005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 xml:space="preserve">In realtà, dalla lettura delle note biografiche di Guglielmo si apprende poco in merito all’articolazione dei balli, poiché anch’egli fu attirato principalmente dallo sfarzo dei banchetti, delle colazioni e delle decorazioni delle sale apparate per le feste. Tuttavia, come notato da Alberto Gallo, Guglielmo, dando conto del suo apporto ai ricevimenti elencati, rivela come dal 1453 – anno in cui fu a Venezia per la visita dell’imperatore Federico III – gli fosse richiesto più frequentemente di progettare moresche e “livree di moresche”. Secondo lo studioso, la danza, che nella prima metà del secolo XV era stata un intrattenimento privato eseguito dagli invitati delle feste per il proprio diletto, acquisì, a partire dagli anni Settanta, le forme di uno spettacolo sempre più sovente affidato a cortigiani specializzati nell’esecuzione di coreografie, al quale gli ospiti dei ricevimenti partecipavano come spettatori, in modo da coglierne l’impianto narrativo e da contemplare la bellezza dei movimenti e dei costumi degli interpreti. È il caso, come visto, della </w:t>
      </w:r>
      <w:r w:rsidRPr="00EB5102">
        <w:rPr>
          <w:rFonts w:ascii="Times New Roman" w:hAnsi="Times New Roman" w:cs="Times New Roman"/>
          <w:i/>
          <w:sz w:val="24"/>
          <w:szCs w:val="24"/>
        </w:rPr>
        <w:t>Festa del Paradiso</w:t>
      </w:r>
      <w:r>
        <w:rPr>
          <w:rFonts w:ascii="Times New Roman" w:hAnsi="Times New Roman" w:cs="Times New Roman"/>
          <w:sz w:val="24"/>
          <w:szCs w:val="24"/>
        </w:rPr>
        <w:t xml:space="preserve">, ma anche delle moresche dei contadini guidati da Roboam che danzarono nella sala del banchetto di Pesaro (1475) o delle danze delle ninfe mandate da Diana a rendere omaggio a Lucrezia d’Este (1487) ideate dal Lavagnolo, che si alternò a Guglielmo nel primato dell’organizzazione delle feste danzanti dei principi della Rinascenza. </w:t>
      </w:r>
    </w:p>
    <w:p w14:paraId="02E8050C"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L’attività di coreografo di quest’ultimo, documentata tra il 1479 e il 1492, si può associare a due matrimoni: quello di Annibale Bentivoglio con Lucrezia d’Este (Bologna, 1487) e quello di Guidubaldo da Montefeltro con Elisabetta Gonzaga (Urbino, 1488). Se degli interventi coreutici allestiti per il primo sposalizio abbiamo già potuto trattare grazie alle precise descrizioni fornite dai cronisti dei Bentivoglio, bisognerà invece constatare come, purtroppo, per i secondi festeggiamenti le informazioni mandate al marchese di Mantova da Benedetto Capilupi consentano solamente di precisare i giorni in cui si svolsero le feste da ballo: martedì 12 e giovedì 14 febbraio 1488. Il diplomatico non si preoccupò infatti di descrivere le danze ed è dalle lettere della duchessa Elisabetta che apprendiamo come Lavagnolo si fosse trattenuto alla corte urbinate fino al mese di aprile 1488 per insegnare ancora alcuni balli alla principessa prima di fare ritorno a Mantova.</w:t>
      </w:r>
      <w:r>
        <w:rPr>
          <w:rStyle w:val="Rimandonotaapidipagina"/>
          <w:rFonts w:ascii="Times New Roman" w:hAnsi="Times New Roman" w:cs="Times New Roman"/>
          <w:sz w:val="24"/>
          <w:szCs w:val="24"/>
        </w:rPr>
        <w:footnoteReference w:id="838"/>
      </w:r>
      <w:r>
        <w:rPr>
          <w:rFonts w:ascii="Times New Roman" w:hAnsi="Times New Roman" w:cs="Times New Roman"/>
          <w:sz w:val="24"/>
          <w:szCs w:val="24"/>
        </w:rPr>
        <w:t xml:space="preserve"> Probabilmente, fu possibile ammirare un’altra performance del maestro, come detto nel campitolo precedente, durante lo sposalizio di Ludovico il Moro, ma le notizie sui suoi passaggi nelle corti padane dell’ultimo decennio del XV secolo sono molto scarse e si perdono nell’agosto </w:t>
      </w:r>
      <w:r>
        <w:rPr>
          <w:rFonts w:ascii="Times New Roman" w:hAnsi="Times New Roman" w:cs="Times New Roman"/>
          <w:sz w:val="24"/>
          <w:szCs w:val="24"/>
        </w:rPr>
        <w:lastRenderedPageBreak/>
        <w:t>del 1492, quando egli scrisse a Francesco II Gonzaga una lettera con alcuni ragguagli intorno ai lavori a lui affidati in preparazione di un palio da correre per la festa di San Lorenzo.</w:t>
      </w:r>
      <w:r>
        <w:rPr>
          <w:rStyle w:val="Rimandonotaapidipagina"/>
          <w:rFonts w:ascii="Times New Roman" w:hAnsi="Times New Roman" w:cs="Times New Roman"/>
          <w:sz w:val="24"/>
          <w:szCs w:val="24"/>
        </w:rPr>
        <w:footnoteReference w:id="839"/>
      </w:r>
      <w:r>
        <w:rPr>
          <w:rFonts w:ascii="Times New Roman" w:hAnsi="Times New Roman" w:cs="Times New Roman"/>
          <w:sz w:val="24"/>
          <w:szCs w:val="24"/>
        </w:rPr>
        <w:t xml:space="preserve">  </w:t>
      </w:r>
    </w:p>
    <w:p w14:paraId="1A164A3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In ogni modo, l’itinerario artistico di Lavagnolo e di Guglielmo Ebreo conferma l’importanza dei matrimoni dei principi italiani per la circolazione di modelli performativi diversi e per la definizione di una figura di maestro di danza sempre più prossima all’esercizio esclusivo e professionale dell’attività coreutica per poter fronteggiare le numerose richieste dei mecenati.</w:t>
      </w:r>
    </w:p>
    <w:p w14:paraId="642AFECC"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Accanto alle danze, nell’articolato programma degli spettacoli della festa nuziale, un ruolo eminente era assegnato ai tornei, alle giostre e ai passi d’arme, ossia alle esibizioni di destrezza, forza e agilità dei cavalieri impegnati in duelli. </w:t>
      </w:r>
    </w:p>
    <w:p w14:paraId="607DB38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Ciascuno di questi ludi equestri, che si svolgevano solitamente nel giorno successivo alla cerimonia sponsale, aveva delle caratteristiche che in estrema sintesi possono essere così riassunte. </w:t>
      </w:r>
    </w:p>
    <w:p w14:paraId="515CE63C"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torneo prevedeva il combattimento tra squadre di cavalieri armati di spade – già nel XIII secolo si affermò l’uso di armi cortesi, cioè spuntate, per evitare che i partecipanti riportassero ferite mortali – che si affrontavano a piedi o a cavallo su un terreno delineato e sotto lo sguardo di maestri di campo che verificavano lo svolgersi dei giochi conformemente alle regole. </w:t>
      </w:r>
    </w:p>
    <w:p w14:paraId="73F95B5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giostra si componeva invece di una sequenza di scontri </w:t>
      </w:r>
      <w:r w:rsidRPr="006B1715">
        <w:rPr>
          <w:rFonts w:ascii="Times New Roman" w:hAnsi="Times New Roman" w:cs="Times New Roman"/>
          <w:sz w:val="24"/>
          <w:szCs w:val="24"/>
        </w:rPr>
        <w:t>fra due</w:t>
      </w:r>
      <w:r>
        <w:rPr>
          <w:rFonts w:ascii="Times New Roman" w:hAnsi="Times New Roman" w:cs="Times New Roman"/>
          <w:sz w:val="24"/>
          <w:szCs w:val="24"/>
        </w:rPr>
        <w:t xml:space="preserve"> soli</w:t>
      </w:r>
      <w:r w:rsidRPr="006B1715">
        <w:rPr>
          <w:rFonts w:ascii="Times New Roman" w:hAnsi="Times New Roman" w:cs="Times New Roman"/>
          <w:sz w:val="24"/>
          <w:szCs w:val="24"/>
        </w:rPr>
        <w:t xml:space="preserve"> cavalieri</w:t>
      </w:r>
      <w:r>
        <w:rPr>
          <w:rFonts w:ascii="Times New Roman" w:hAnsi="Times New Roman" w:cs="Times New Roman"/>
          <w:sz w:val="24"/>
          <w:szCs w:val="24"/>
        </w:rPr>
        <w:t xml:space="preserve"> a cavallo che impugnando le lance e spingendo a grande velocità la corsa dei destrieri tentavano reciprocamente di disarcionarsi.</w:t>
      </w:r>
      <w:r w:rsidRPr="006B1715">
        <w:rPr>
          <w:rFonts w:ascii="Times New Roman" w:hAnsi="Times New Roman" w:cs="Times New Roman"/>
          <w:sz w:val="24"/>
          <w:szCs w:val="24"/>
        </w:rPr>
        <w:t xml:space="preserve"> </w:t>
      </w:r>
      <w:r>
        <w:rPr>
          <w:rFonts w:ascii="Times New Roman" w:hAnsi="Times New Roman" w:cs="Times New Roman"/>
          <w:sz w:val="24"/>
          <w:szCs w:val="24"/>
        </w:rPr>
        <w:t>U</w:t>
      </w:r>
      <w:r w:rsidRPr="006B1715">
        <w:rPr>
          <w:rFonts w:ascii="Times New Roman" w:hAnsi="Times New Roman" w:cs="Times New Roman"/>
          <w:sz w:val="24"/>
          <w:szCs w:val="24"/>
        </w:rPr>
        <w:t>na barriera</w:t>
      </w:r>
      <w:r>
        <w:rPr>
          <w:rFonts w:ascii="Times New Roman" w:hAnsi="Times New Roman" w:cs="Times New Roman"/>
          <w:sz w:val="24"/>
          <w:szCs w:val="24"/>
        </w:rPr>
        <w:t xml:space="preserve"> posta al centro del terreno della contesa</w:t>
      </w:r>
      <w:r w:rsidRPr="006B1715">
        <w:rPr>
          <w:rFonts w:ascii="Times New Roman" w:hAnsi="Times New Roman" w:cs="Times New Roman"/>
          <w:sz w:val="24"/>
          <w:szCs w:val="24"/>
        </w:rPr>
        <w:t xml:space="preserve"> </w:t>
      </w:r>
      <w:r>
        <w:rPr>
          <w:rFonts w:ascii="Times New Roman" w:hAnsi="Times New Roman" w:cs="Times New Roman"/>
          <w:sz w:val="24"/>
          <w:szCs w:val="24"/>
        </w:rPr>
        <w:t>delimitava le aree da cui i contendenti potevano sferrare i colpi.</w:t>
      </w:r>
      <w:r>
        <w:rPr>
          <w:rStyle w:val="Rimandonotaapidipagina"/>
          <w:rFonts w:ascii="Times New Roman" w:hAnsi="Times New Roman" w:cs="Times New Roman"/>
          <w:sz w:val="24"/>
          <w:szCs w:val="24"/>
        </w:rPr>
        <w:footnoteReference w:id="840"/>
      </w:r>
      <w:r>
        <w:rPr>
          <w:rFonts w:ascii="Times New Roman" w:hAnsi="Times New Roman" w:cs="Times New Roman"/>
          <w:sz w:val="24"/>
          <w:szCs w:val="24"/>
        </w:rPr>
        <w:t xml:space="preserve">     </w:t>
      </w:r>
    </w:p>
    <w:p w14:paraId="4033219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w:t>
      </w:r>
      <w:r w:rsidRPr="00C12AC1">
        <w:rPr>
          <w:rFonts w:ascii="Times New Roman" w:hAnsi="Times New Roman" w:cs="Times New Roman"/>
          <w:sz w:val="24"/>
          <w:szCs w:val="24"/>
        </w:rPr>
        <w:t xml:space="preserve">l passo d’armi, </w:t>
      </w:r>
      <w:r>
        <w:rPr>
          <w:rFonts w:ascii="Times New Roman" w:hAnsi="Times New Roman" w:cs="Times New Roman"/>
          <w:sz w:val="24"/>
          <w:szCs w:val="24"/>
        </w:rPr>
        <w:t xml:space="preserve">infine, </w:t>
      </w:r>
      <w:r w:rsidRPr="00C12AC1">
        <w:rPr>
          <w:rFonts w:ascii="Times New Roman" w:hAnsi="Times New Roman" w:cs="Times New Roman"/>
          <w:sz w:val="24"/>
          <w:szCs w:val="24"/>
        </w:rPr>
        <w:t xml:space="preserve">ispirato </w:t>
      </w:r>
      <w:r>
        <w:rPr>
          <w:rFonts w:ascii="Times New Roman" w:hAnsi="Times New Roman" w:cs="Times New Roman"/>
          <w:sz w:val="24"/>
          <w:szCs w:val="24"/>
        </w:rPr>
        <w:t>d</w:t>
      </w:r>
      <w:r w:rsidRPr="00C12AC1">
        <w:rPr>
          <w:rFonts w:ascii="Times New Roman" w:hAnsi="Times New Roman" w:cs="Times New Roman"/>
          <w:sz w:val="24"/>
          <w:szCs w:val="24"/>
        </w:rPr>
        <w:t>all’</w:t>
      </w:r>
      <w:r w:rsidRPr="002950AE">
        <w:rPr>
          <w:rFonts w:ascii="Times New Roman" w:hAnsi="Times New Roman" w:cs="Times New Roman"/>
          <w:i/>
          <w:sz w:val="24"/>
          <w:szCs w:val="24"/>
        </w:rPr>
        <w:t>ethos</w:t>
      </w:r>
      <w:r w:rsidRPr="00C12AC1">
        <w:rPr>
          <w:rFonts w:ascii="Times New Roman" w:hAnsi="Times New Roman" w:cs="Times New Roman"/>
          <w:sz w:val="24"/>
          <w:szCs w:val="24"/>
        </w:rPr>
        <w:t xml:space="preserve"> dei romanzi arturiani, consis</w:t>
      </w:r>
      <w:r>
        <w:rPr>
          <w:rFonts w:ascii="Times New Roman" w:hAnsi="Times New Roman" w:cs="Times New Roman"/>
          <w:sz w:val="24"/>
          <w:szCs w:val="24"/>
        </w:rPr>
        <w:t>teva</w:t>
      </w:r>
      <w:r w:rsidRPr="00C12AC1">
        <w:rPr>
          <w:rFonts w:ascii="Times New Roman" w:hAnsi="Times New Roman" w:cs="Times New Roman"/>
          <w:sz w:val="24"/>
          <w:szCs w:val="24"/>
        </w:rPr>
        <w:t xml:space="preserve"> nella difesa da parte di un solo cavaliere o di un ristretto gruppo di un luogo, </w:t>
      </w:r>
      <w:r>
        <w:rPr>
          <w:rFonts w:ascii="Times New Roman" w:hAnsi="Times New Roman" w:cs="Times New Roman"/>
          <w:sz w:val="24"/>
          <w:szCs w:val="24"/>
        </w:rPr>
        <w:t>come un ponte, una torre o un castello posticcio in legno, dagli assalti di una squadra di combattenti.</w:t>
      </w:r>
      <w:r>
        <w:rPr>
          <w:rStyle w:val="Rimandonotaapidipagina"/>
          <w:rFonts w:ascii="Times New Roman" w:hAnsi="Times New Roman" w:cs="Times New Roman"/>
          <w:sz w:val="24"/>
          <w:szCs w:val="24"/>
        </w:rPr>
        <w:footnoteReference w:id="841"/>
      </w:r>
      <w:r>
        <w:rPr>
          <w:rFonts w:ascii="Times New Roman" w:hAnsi="Times New Roman" w:cs="Times New Roman"/>
          <w:sz w:val="24"/>
          <w:szCs w:val="24"/>
        </w:rPr>
        <w:t xml:space="preserve"> </w:t>
      </w:r>
    </w:p>
    <w:p w14:paraId="049D05EA"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Questi tre ludi godettero di larghissimo successo nel Quattrocento, venendo a costituire la forma di spettacolo adatta a rappresentare le ambizioni di una società cortese che ambiva a essere l’erede della tradizione valoriale della cavalleria medievale. L’immaginario della giostra combattuta per la donna amata – alimentato dalle letture dei poemi dei cicli bretone e carolingio che, come visto, non mancavano certo nelle biblioteche dei signori italiani del Rinascimento – si </w:t>
      </w:r>
      <w:r>
        <w:rPr>
          <w:rFonts w:ascii="Times New Roman" w:hAnsi="Times New Roman" w:cs="Times New Roman"/>
          <w:sz w:val="24"/>
          <w:szCs w:val="24"/>
        </w:rPr>
        <w:lastRenderedPageBreak/>
        <w:t>adattava inoltre perfettamente al contesto della festa dinastica, nella quale si celebravano sia la bellezza e la virtù della sposa e delle dame della sua corte, sia le abilità dei capitani di ventura, che con l’eccellenza delle armi avevano conseguito la dignità signorile.</w:t>
      </w:r>
      <w:r>
        <w:rPr>
          <w:rStyle w:val="Rimandonotaapidipagina"/>
          <w:rFonts w:ascii="Times New Roman" w:hAnsi="Times New Roman" w:cs="Times New Roman"/>
          <w:sz w:val="24"/>
          <w:szCs w:val="24"/>
        </w:rPr>
        <w:footnoteReference w:id="842"/>
      </w:r>
      <w:r>
        <w:rPr>
          <w:rFonts w:ascii="Times New Roman" w:hAnsi="Times New Roman" w:cs="Times New Roman"/>
          <w:sz w:val="24"/>
          <w:szCs w:val="24"/>
        </w:rPr>
        <w:t xml:space="preserve"> Si pensi, ad esempio, a Costanzo Sforza, vincitore della giostra organizzata per il proprio matrimonio, e ad Annibale Bentivoglio, che offrì agli invitati delle prprie nozze lo spettacolo entusiasmante degli scontri in cui primeggiò Francesco Gonzaga. </w:t>
      </w:r>
    </w:p>
    <w:p w14:paraId="16F883E1"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Nelle giostre delle feste nuziali dell’epoca considerata la spettacolarità dei combattimenti tra agili, celeri, vigorosi e prodi cavalieri fu accentuata dall’impiego di divise lussuose indossate dai partecipanti, i quali giungevano al piazzale scelto per gli scontri in magnifici cortei, scortati da donzelli e paggi abbigliati con le livree della loro casata. Tale mostra di armi e armature da parata non mancò di destare l’ammirazione degli spettatori e dei cronisti:</w:t>
      </w:r>
    </w:p>
    <w:p w14:paraId="56E8061C"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1E3F42EE" w14:textId="77777777" w:rsidR="00395702" w:rsidRPr="00CB5F01"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r w:rsidRPr="00CB5F01">
        <w:rPr>
          <w:rFonts w:ascii="Times New Roman" w:hAnsi="Times New Roman" w:cs="Times New Roman"/>
          <w:sz w:val="20"/>
          <w:szCs w:val="20"/>
        </w:rPr>
        <w:t>Ali 18 di settembre 1477 di giovedì s’ei fatta una iostra reale inanti lo signore re Ferrante e la reina Joanna sua mogliere, nel quale hanno tenuto tavola lo duca de Amalfe, lo duca Ascole, lo duca d’Atre, e lo conte Giulio de casa d’Acquaviva: tutti li guarnimienti tanto de li cavalli quanto de cavalieri sono stati d’imbroccato e li guarnimenti de li cavalli erano longhi fino in terra; tutte le lanze erano indorate, overo coperte de raso giallo. Lo signore duca di Calabria don Alfonso d’Aragona ei uscito molto pomposamente, andava vestito tutto imborcato riccio, e cossì ancora li girielli dello cavallo che andavano fino in tera che pareva una cosa scuma d’oro lustrante e portava per impresa una seggia a modo de prospera de Ecclesia tutta indorata, inscio manegiando un cavallo che andava all’aria con li salti, e poi rompìo quattro lanze indorate molto degnamente; lo signore don Federico insio puro vestito d’imbroccato riccio, e così ancora li guarnimenti dello cavallo, e innanti ad esso andavano sedici paggi vestiti tutti con li sai russi di velluto e tutti in caruso ognuno a cavallo bellissimi, e con una lanza inaurata per uno in mano, e appresso a loro lo signore don Federico vestuto a la franzese con una robetta de imbroccato, e uno cappiello d’imbroccato tutto pieno de diversi coluri, cominciò amaneggiare, e rompio lanze. Poi giostrai don Errico d’Aragona e don Cesare d’Aragona figli di re Ferrante I tutti vestiti de imbroccato; iostrareno poi assai altri e signure assai e cavalieri assai che non so lo nome.</w:t>
      </w:r>
      <w:r w:rsidRPr="00CB5F01">
        <w:rPr>
          <w:rStyle w:val="Rimandonotaapidipagina"/>
          <w:rFonts w:ascii="Times New Roman" w:hAnsi="Times New Roman" w:cs="Times New Roman"/>
        </w:rPr>
        <w:footnoteReference w:id="843"/>
      </w:r>
      <w:r w:rsidRPr="00CB5F01">
        <w:rPr>
          <w:rFonts w:ascii="Times New Roman" w:hAnsi="Times New Roman" w:cs="Times New Roman"/>
          <w:sz w:val="20"/>
          <w:szCs w:val="20"/>
        </w:rPr>
        <w:t xml:space="preserve">  </w:t>
      </w:r>
    </w:p>
    <w:p w14:paraId="7BF7675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5D458937"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descrizione di </w:t>
      </w:r>
      <w:bookmarkStart w:id="520" w:name="_Hlk536010281"/>
      <w:r>
        <w:rPr>
          <w:rFonts w:ascii="Times New Roman" w:hAnsi="Times New Roman" w:cs="Times New Roman"/>
          <w:sz w:val="24"/>
          <w:szCs w:val="24"/>
        </w:rPr>
        <w:t xml:space="preserve">Giuliano Passero </w:t>
      </w:r>
      <w:bookmarkEnd w:id="520"/>
      <w:r>
        <w:rPr>
          <w:rFonts w:ascii="Times New Roman" w:hAnsi="Times New Roman" w:cs="Times New Roman"/>
          <w:sz w:val="24"/>
          <w:szCs w:val="24"/>
        </w:rPr>
        <w:t xml:space="preserve">della giostra in onore delle nozze napoletane di Ferrante e Giovanna d’Aragona, qui citata, mi pare confermi ed esemplifichi come lo spettacolo fosse caratterizzato principalmente dallo sfoggio di abiti di broccati dorati ingioiellati e di finimenti e </w:t>
      </w:r>
      <w:r>
        <w:rPr>
          <w:rFonts w:ascii="Times New Roman" w:hAnsi="Times New Roman" w:cs="Times New Roman"/>
          <w:sz w:val="24"/>
          <w:szCs w:val="24"/>
        </w:rPr>
        <w:lastRenderedPageBreak/>
        <w:t xml:space="preserve">gualdrappe adorne di preziosi ricami che riproducevano stemmi ed emblemi araldici. In tale occasione, Alfonso d’Aragona volle apporre alla propria divisa l’impresa della seggia infuocata, appartenuta al Magnanimo, che simboleggiava la mitica “sedia perigliosa” della Tavola rotonda, sulla quale nessun cavaliere di Artù aveva osato sedersi, temendo un castigo divino. Lo scranno, come si legge nella </w:t>
      </w:r>
      <w:r w:rsidRPr="00EE2A8B">
        <w:rPr>
          <w:rFonts w:ascii="Times New Roman" w:hAnsi="Times New Roman" w:cs="Times New Roman"/>
          <w:i/>
          <w:sz w:val="24"/>
          <w:szCs w:val="24"/>
        </w:rPr>
        <w:t>Queste du Graal</w:t>
      </w:r>
      <w:r>
        <w:rPr>
          <w:rFonts w:ascii="Times New Roman" w:hAnsi="Times New Roman" w:cs="Times New Roman"/>
          <w:sz w:val="24"/>
          <w:szCs w:val="24"/>
        </w:rPr>
        <w:t>, era infatti destinato al più valoroso dei servitori del re, che nella saga bretone si scopre essere Galahad, figlio di Lancillotto, del quale l’aragonese volle forse essere emulo nel combattimento.</w:t>
      </w:r>
      <w:r>
        <w:rPr>
          <w:rStyle w:val="Rimandonotaapidipagina"/>
          <w:rFonts w:ascii="Times New Roman" w:hAnsi="Times New Roman" w:cs="Times New Roman"/>
          <w:sz w:val="24"/>
          <w:szCs w:val="24"/>
        </w:rPr>
        <w:footnoteReference w:id="844"/>
      </w:r>
      <w:r>
        <w:rPr>
          <w:rFonts w:ascii="Times New Roman" w:hAnsi="Times New Roman" w:cs="Times New Roman"/>
          <w:sz w:val="24"/>
          <w:szCs w:val="24"/>
        </w:rPr>
        <w:t xml:space="preserve"> Ai richiami a questo immaginario letterario Federico d’Aragona accostava la ricercatezza dei suoi abiti alla francese, ispirati alla moda delle corti franco-borgognone, che incarnavano la magnificenza dell’aristocrazia di tradizione feudale. </w:t>
      </w:r>
    </w:p>
    <w:p w14:paraId="4FADFDCA"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desiderio dei giostranti di dare vita a una simile eccellenza dell’ideale cavalleresco si concretizzava poi nei combattimenti. Il terreno di gioco, detto tavola, venne affidato a quattro tavolieri – i conti di Amalfi, Ascoli e Atri e </w:t>
      </w:r>
      <w:bookmarkStart w:id="521" w:name="_Hlk536010758"/>
      <w:r>
        <w:rPr>
          <w:rFonts w:ascii="Times New Roman" w:hAnsi="Times New Roman" w:cs="Times New Roman"/>
          <w:sz w:val="24"/>
          <w:szCs w:val="24"/>
        </w:rPr>
        <w:t xml:space="preserve">Giulio Acquaviva </w:t>
      </w:r>
      <w:bookmarkEnd w:id="521"/>
      <w:r>
        <w:rPr>
          <w:rFonts w:ascii="Times New Roman" w:hAnsi="Times New Roman" w:cs="Times New Roman"/>
          <w:sz w:val="24"/>
          <w:szCs w:val="24"/>
        </w:rPr>
        <w:t>– che ebbero un ruolo eminente nei giochi. Sotto le loro insegne si radunavano, infatti, i cavalieri in gara, che essi schierarono in modo da formare le coppie di contendenti.</w:t>
      </w:r>
      <w:r>
        <w:rPr>
          <w:rStyle w:val="Rimandonotaapidipagina"/>
          <w:rFonts w:ascii="Times New Roman" w:hAnsi="Times New Roman" w:cs="Times New Roman"/>
          <w:sz w:val="24"/>
          <w:szCs w:val="24"/>
        </w:rPr>
        <w:footnoteReference w:id="845"/>
      </w:r>
      <w:r>
        <w:rPr>
          <w:rFonts w:ascii="Times New Roman" w:hAnsi="Times New Roman" w:cs="Times New Roman"/>
          <w:sz w:val="24"/>
          <w:szCs w:val="24"/>
        </w:rPr>
        <w:t xml:space="preserve"> Il vincitore di ciascuna contesa acquisiva un punteggio, in base al numero di lance rotte, e il diritto di passare alla sfida successiva.</w:t>
      </w:r>
    </w:p>
    <w:p w14:paraId="60EDFD0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Sulle linee dello schema generale descritto si potevano inserire numerose varianti, alcune delle quali segnate da una maggiore vocazione spettacolare. Nel 1465, ad esempio, in Piazza dell’Incoronata, ventiquattro donne affrontarono vittoriosamente altrettanti cavalieri durante le celebrazioni per lo sposalizio di Ippolita Sforza;</w:t>
      </w:r>
      <w:r>
        <w:rPr>
          <w:rStyle w:val="Rimandonotaapidipagina"/>
          <w:rFonts w:ascii="Times New Roman" w:hAnsi="Times New Roman" w:cs="Times New Roman"/>
          <w:sz w:val="24"/>
          <w:szCs w:val="24"/>
        </w:rPr>
        <w:footnoteReference w:id="846"/>
      </w:r>
      <w:r>
        <w:rPr>
          <w:rFonts w:ascii="Times New Roman" w:hAnsi="Times New Roman" w:cs="Times New Roman"/>
          <w:sz w:val="24"/>
          <w:szCs w:val="24"/>
        </w:rPr>
        <w:t xml:space="preserve"> e sempre alla corte di Napoli – dove l’estro delle teatralizzazioni dei ludi equestri si fece sentire con maggiore intensità e con esiti più appariscenti – l’8 ottobre 1477 Ferrante e Federico d’Aragona parteciparono ad una giostra i cui contendenti si fronteggiarono vestiti da animali in Piazza della Sellaria, dove era stato apparato un finto boschetto.</w:t>
      </w:r>
      <w:r>
        <w:rPr>
          <w:rStyle w:val="Rimandonotaapidipagina"/>
          <w:rFonts w:ascii="Times New Roman" w:hAnsi="Times New Roman" w:cs="Times New Roman"/>
          <w:sz w:val="24"/>
          <w:szCs w:val="24"/>
        </w:rPr>
        <w:footnoteReference w:id="847"/>
      </w:r>
      <w:r>
        <w:rPr>
          <w:rFonts w:ascii="Times New Roman" w:hAnsi="Times New Roman" w:cs="Times New Roman"/>
          <w:sz w:val="24"/>
          <w:szCs w:val="24"/>
        </w:rPr>
        <w:t xml:space="preserve"> </w:t>
      </w:r>
    </w:p>
    <w:p w14:paraId="2511F7A7"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In generale, dagli anni </w:t>
      </w:r>
      <w:r w:rsidR="00D65916">
        <w:rPr>
          <w:rFonts w:ascii="Times New Roman" w:hAnsi="Times New Roman" w:cs="Times New Roman"/>
          <w:sz w:val="24"/>
          <w:szCs w:val="24"/>
        </w:rPr>
        <w:t>S</w:t>
      </w:r>
      <w:r>
        <w:rPr>
          <w:rFonts w:ascii="Times New Roman" w:hAnsi="Times New Roman" w:cs="Times New Roman"/>
          <w:sz w:val="24"/>
          <w:szCs w:val="24"/>
        </w:rPr>
        <w:t xml:space="preserve">ettanta del secolo XV si assiste ad una crescente drammatizzazione delle giostre e dei tornei, della quale si colgono riflessi nelle descrizioni dei festeggiamenti nuziali e che attenuò in parte la componente agonistica e il carattere guerresco dei ludi. Si ricorderà, ad esempio, l’apparizione del carro della Fama che invitò Costanzo Sforza a dare mostra del suo </w:t>
      </w:r>
      <w:r>
        <w:rPr>
          <w:rFonts w:ascii="Times New Roman" w:hAnsi="Times New Roman" w:cs="Times New Roman"/>
          <w:sz w:val="24"/>
          <w:szCs w:val="24"/>
        </w:rPr>
        <w:lastRenderedPageBreak/>
        <w:t xml:space="preserve">valore nei giochi del suo matrimonio, o la disputa tra Fortuna e Prudenza che precedette la partita al giuoco del calcio voluta da Annibale Bentivoglio. </w:t>
      </w:r>
    </w:p>
    <w:p w14:paraId="3D5674E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Gaspar</w:t>
      </w:r>
      <w:r w:rsidR="00D65916">
        <w:rPr>
          <w:rFonts w:ascii="Times New Roman" w:hAnsi="Times New Roman" w:cs="Times New Roman"/>
          <w:sz w:val="24"/>
          <w:szCs w:val="24"/>
        </w:rPr>
        <w:t>e</w:t>
      </w:r>
      <w:r>
        <w:rPr>
          <w:rFonts w:ascii="Times New Roman" w:hAnsi="Times New Roman" w:cs="Times New Roman"/>
          <w:sz w:val="24"/>
          <w:szCs w:val="24"/>
        </w:rPr>
        <w:t xml:space="preserve"> Broglio, descrivendo le nozze di Roberto Malatesta, informò di come invece nelle feste di Rimini del 1475 fosse stato combattuto un passo d’armi, nel quale le squadre dello sposo, del duca di Urbino e del marchese di Mantova dettero prova del loro valore. Nel testo del cronista, che non segnala la presenza di apparati o costumi che lascino intuire un tentativo di drammatizzazione della competizione, ad attirare l’attenzione del lettore sono invece le dettagliate notizie sul cruento scontro tra i contendenti che il Malatesta volle offrire agli invitati:</w:t>
      </w:r>
    </w:p>
    <w:p w14:paraId="38D03E81"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27FA9A41" w14:textId="77777777" w:rsidR="00395702" w:rsidRPr="00426362"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r w:rsidRPr="00426362">
        <w:rPr>
          <w:rFonts w:ascii="Times New Roman" w:hAnsi="Times New Roman" w:cs="Times New Roman"/>
          <w:sz w:val="20"/>
          <w:szCs w:val="20"/>
        </w:rPr>
        <w:t>Pervenuto il lundì a mattina nella nobil piaza del foro nel quale era stato nobilemente apparata de perguli, e palancati, e loggie, dove gentiluomini e donne potessero riguardare la degna festa, dall’altra parte fo messo a ordine un castello di legniame, del quale ne fo conestabile el nobile gentilomo di Pontoglio, per suo sopranome appellato el Conostabile di Baldaccio, armato e in ordine colli suoi fanti; ello stava alla guardia di sopra el castello; alla guardia della porta vi stava el nobilhomo d’Antonio de Montefiore. Da un’altra parte fo edificato e bene hordenato in una parte respondente nel mezzo della Piazza, un pergolo rilevato, dovve stettero quelli nobili e magnifici signori c’avivano a giudicare a dare la iusta sententia de quelli che meglio se portassero […].</w:t>
      </w:r>
      <w:r w:rsidRPr="00426362">
        <w:rPr>
          <w:rStyle w:val="Rimandonotaapidipagina"/>
          <w:rFonts w:ascii="Times New Roman" w:hAnsi="Times New Roman" w:cs="Times New Roman"/>
        </w:rPr>
        <w:footnoteReference w:id="848"/>
      </w:r>
      <w:r w:rsidRPr="00426362">
        <w:rPr>
          <w:rFonts w:ascii="Times New Roman" w:hAnsi="Times New Roman" w:cs="Times New Roman"/>
          <w:sz w:val="20"/>
          <w:szCs w:val="20"/>
        </w:rPr>
        <w:t xml:space="preserve"> </w:t>
      </w:r>
    </w:p>
    <w:p w14:paraId="53FC7CB7"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18494ECD"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Presentato l’apparato della Piazza del Foro, Broglio, procedette alla descrizione dello svolgimento dello spettacolo, che si aprì con alcuni colpi di bombarde sparati dal confine del campo di gioco prospiciente il castello. Baldaccio comandò prontamente ad Antonio di Montefiore di uscire dal fortino per tentare di inchiodare le bombarde. La sua squadra sortì dunque in un primo assalto ai nemici ma, messa in fuga, fu costretta a ripiegare fino alle porte dell’apparato. Irruppe allora sul campo Federico da Montefeltro che ordinò al castellano e ai suoi uomini di rientrare nel fortino, in difesa del quale intervenne una squadra di fanti, vestiti di verde, guidati da Roberto Malatesta. A capo dei rivali vi era invece Giovanni della Rovere, signore di Senigallia, che aveva dato l’ordine di aprire il fuoco contro il castello. Lo scontro, stando alle parole del cronista, fu alquanto violento, con tredici corsieri morti e dieci cavalieri feriti gravemente, e durò più di tre ore, concludendosi con la vittoria del della Rovere che portò il suo stendardo in trionfo per le vie della città.</w:t>
      </w:r>
      <w:r>
        <w:rPr>
          <w:rStyle w:val="Rimandonotaapidipagina"/>
          <w:rFonts w:ascii="Times New Roman" w:hAnsi="Times New Roman" w:cs="Times New Roman"/>
          <w:sz w:val="24"/>
          <w:szCs w:val="24"/>
        </w:rPr>
        <w:footnoteReference w:id="849"/>
      </w:r>
      <w:r>
        <w:rPr>
          <w:rFonts w:ascii="Times New Roman" w:hAnsi="Times New Roman" w:cs="Times New Roman"/>
          <w:sz w:val="24"/>
          <w:szCs w:val="24"/>
        </w:rPr>
        <w:t xml:space="preserve"> </w:t>
      </w:r>
    </w:p>
    <w:p w14:paraId="4F60CB8A"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Come si intuisce dalla descrizione, a una prima parte del passo d’armi organizzata secondo un copione definito, che previde il lancio dei proiettili contro il castello, l’uscita della guarnigione posta a sua difesa e l’intervento impetuoso del duca d’Urbino volto a giustificare l’ingresso delle </w:t>
      </w:r>
      <w:r>
        <w:rPr>
          <w:rFonts w:ascii="Times New Roman" w:hAnsi="Times New Roman" w:cs="Times New Roman"/>
          <w:sz w:val="24"/>
          <w:szCs w:val="24"/>
        </w:rPr>
        <w:lastRenderedPageBreak/>
        <w:t>schiere del Malatesta – suo strategico alleato sui più impegnativi campi della politica e delle guerre contemporanee – ne seguì una seconda dedicata agli scontri tra le due squadre, il cui esito fu affidato alle abilità dei partecipanti. Secondo il Broglio la contesa, che in più momenti sembrò volgere in favore dello sposo, si chiuse con la vittoria del della Rovere solo per concessione del Malatesta, che non volle prolungare ulteriormente la battaglia. Un simile dispiego di abilità militari e colpi violenti</w:t>
      </w:r>
      <w:r w:rsidRPr="00D27C56">
        <w:rPr>
          <w:rFonts w:ascii="Times New Roman" w:hAnsi="Times New Roman" w:cs="Times New Roman"/>
          <w:sz w:val="24"/>
          <w:szCs w:val="24"/>
        </w:rPr>
        <w:t xml:space="preserve"> </w:t>
      </w:r>
      <w:r>
        <w:rPr>
          <w:rFonts w:ascii="Times New Roman" w:hAnsi="Times New Roman" w:cs="Times New Roman"/>
          <w:sz w:val="24"/>
          <w:szCs w:val="24"/>
        </w:rPr>
        <w:t>non ha pari nelle descrizioni delle feste di matrimonio da me considerate e credo fosse dovuto al proposito di esaltare la fama di valorosi capitani di ventura dello sposo, del duca d’Urbino e del signore di Senigallia, tutti e tre legati reciprocamente da legami di parentela.</w:t>
      </w:r>
      <w:r>
        <w:rPr>
          <w:rStyle w:val="Rimandonotaapidipagina"/>
          <w:rFonts w:ascii="Times New Roman" w:hAnsi="Times New Roman" w:cs="Times New Roman"/>
          <w:sz w:val="24"/>
          <w:szCs w:val="24"/>
        </w:rPr>
        <w:footnoteReference w:id="850"/>
      </w:r>
      <w:r>
        <w:rPr>
          <w:rFonts w:ascii="Times New Roman" w:hAnsi="Times New Roman" w:cs="Times New Roman"/>
          <w:sz w:val="24"/>
          <w:szCs w:val="24"/>
        </w:rPr>
        <w:t xml:space="preserve"> </w:t>
      </w:r>
    </w:p>
    <w:p w14:paraId="4F6D486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Ben altro carattere ebbe la giostra combattuta sul piazzale del Castello Sforzesco di Milano il 26, 27 e 28 gennaio 1491 durante i festeggiamenti per le doppie nozze del Moro con Beatrice d’Este e di Alfonso d’Este con Anna Sforza. L’episodio è noto agli storici del teatro per la probabile partecipazione in veste di costumista di Leonardo da Vinci, che forse disegnò l’elmo e l’armatura indossati da Galeazzo Sanseverino, genero di Ludovico Sforza e vincitore della competizione (fig. 58), e i costumi del corteggio di uomini selvatici e di trombettieri con cui egli si presentò al duca per chiedere di poter gareggiare (fig. 60). </w:t>
      </w:r>
    </w:p>
    <w:p w14:paraId="2E7F2DAC"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sua comparsa fu nuovamente ispirata ai moduli dell’ambasceria diplomatica. Un interprete, infatti, dichiarò come il misterioso cavaliere fosse il figlio del re delle Indie, il quale, uditi i racconti di un mercante in visita al suo regno sulla magnificenza della corte sforzesca, aveva voluto recarsi di persona a vedere l’eccellenza delle feste milanesi, alle quali sapeva che persino gli dei si erano degnati di partecipare l’anno precedente. L’allusione del messaggero in questo contesto alla </w:t>
      </w:r>
      <w:r w:rsidRPr="00182EE4">
        <w:rPr>
          <w:rFonts w:ascii="Times New Roman" w:hAnsi="Times New Roman" w:cs="Times New Roman"/>
          <w:i/>
          <w:sz w:val="24"/>
          <w:szCs w:val="24"/>
        </w:rPr>
        <w:t>Festa del paradiso</w:t>
      </w:r>
      <w:r>
        <w:rPr>
          <w:rFonts w:ascii="Times New Roman" w:hAnsi="Times New Roman" w:cs="Times New Roman"/>
          <w:sz w:val="24"/>
          <w:szCs w:val="24"/>
        </w:rPr>
        <w:t xml:space="preserve"> – riportata con precisione da Tristano Calco nella relazione ufficiale delle nozze, dove si ricorda persino la struttura dell’ingegno leonardesco – mi pare interessante per almeno due ragioni.</w:t>
      </w:r>
      <w:r>
        <w:rPr>
          <w:rStyle w:val="Rimandonotaapidipagina"/>
          <w:rFonts w:ascii="Times New Roman" w:hAnsi="Times New Roman" w:cs="Times New Roman"/>
          <w:sz w:val="24"/>
          <w:szCs w:val="24"/>
        </w:rPr>
        <w:footnoteReference w:id="851"/>
      </w:r>
      <w:r>
        <w:rPr>
          <w:rFonts w:ascii="Times New Roman" w:hAnsi="Times New Roman" w:cs="Times New Roman"/>
          <w:sz w:val="24"/>
          <w:szCs w:val="24"/>
        </w:rPr>
        <w:t xml:space="preserve"> </w:t>
      </w:r>
    </w:p>
    <w:p w14:paraId="6007F74C"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In primo luogo, credo che in questa trasposizione teatrale dell’ambasciata si volesse riproporre lo scambio, abituale anche in relazioni diplomatiche ufficiali, di notizie tra le corti italiane ed europee riguardanti gli spettacoli e gli intrattenimenti che deliziavano i principi, del quale nei </w:t>
      </w:r>
      <w:r>
        <w:rPr>
          <w:rFonts w:ascii="Times New Roman" w:hAnsi="Times New Roman" w:cs="Times New Roman"/>
          <w:sz w:val="24"/>
          <w:szCs w:val="24"/>
        </w:rPr>
        <w:lastRenderedPageBreak/>
        <w:t>carteggi delle diverse cancellerie si colgono alcuni riferimenti.</w:t>
      </w:r>
      <w:r>
        <w:rPr>
          <w:rStyle w:val="Rimandonotaapidipagina"/>
          <w:rFonts w:ascii="Times New Roman" w:hAnsi="Times New Roman" w:cs="Times New Roman"/>
          <w:sz w:val="24"/>
          <w:szCs w:val="24"/>
        </w:rPr>
        <w:footnoteReference w:id="852"/>
      </w:r>
      <w:r>
        <w:rPr>
          <w:rFonts w:ascii="Times New Roman" w:hAnsi="Times New Roman" w:cs="Times New Roman"/>
          <w:sz w:val="24"/>
          <w:szCs w:val="24"/>
        </w:rPr>
        <w:t xml:space="preserve"> Il duca Gian Galeazzo si preoccupava, ad esempio, di inviare missive agli oratori sforzeschi di stanza a Napoli, Roma, Firenze, Pisa, Forlì, Bologna, Ferrara, Venezia, Saluzzo e Genova con l’esito della competizione il giorno successivo alla sua conclusione.</w:t>
      </w:r>
      <w:r>
        <w:rPr>
          <w:rStyle w:val="Rimandonotaapidipagina"/>
          <w:rFonts w:ascii="Times New Roman" w:hAnsi="Times New Roman" w:cs="Times New Roman"/>
          <w:sz w:val="24"/>
          <w:szCs w:val="24"/>
        </w:rPr>
        <w:footnoteReference w:id="853"/>
      </w:r>
      <w:r>
        <w:rPr>
          <w:rFonts w:ascii="Times New Roman" w:hAnsi="Times New Roman" w:cs="Times New Roman"/>
          <w:sz w:val="24"/>
          <w:szCs w:val="24"/>
        </w:rPr>
        <w:t xml:space="preserve"> </w:t>
      </w:r>
    </w:p>
    <w:p w14:paraId="2CA71A51"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Inoltre, il fatto che il pubblico potesse cogliere il riferimento alla precedente rappresentazione teatrale leonardesca prova la presenza di una memoria spettacolare degli spettatori cortigiani sulla quale gli apparatori delle recite potevano fare conto per innescare meccanismi drammaturgici. </w:t>
      </w:r>
    </w:p>
    <w:p w14:paraId="21A96AFF"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Anche in questa giostra milanese, la simulazione dei toni e dei caratteri dell’ambasceria fu possibile grazie alla mostra degli estrosi costumi dalle fogge orientali dei contendenti.</w:t>
      </w:r>
      <w:r>
        <w:rPr>
          <w:rStyle w:val="Rimandonotaapidipagina"/>
          <w:rFonts w:ascii="Times New Roman" w:hAnsi="Times New Roman" w:cs="Times New Roman"/>
          <w:sz w:val="24"/>
          <w:szCs w:val="24"/>
        </w:rPr>
        <w:footnoteReference w:id="854"/>
      </w:r>
      <w:r>
        <w:rPr>
          <w:rFonts w:ascii="Times New Roman" w:hAnsi="Times New Roman" w:cs="Times New Roman"/>
          <w:sz w:val="24"/>
          <w:szCs w:val="24"/>
        </w:rPr>
        <w:t xml:space="preserve"> Un’anonima missiva conservata all’Archivio di Stato di Milano ci informa puntualmente riguardo ai vestiti indossati dai giostranti e sull’esito degli scontri. Apprendiamo così che i primi a presentarsi sul piazzale per la contesa, il 26 gennaio, furono Francesco Gonzaga e Annibale Bentivoglio, ai quali seguì:</w:t>
      </w:r>
    </w:p>
    <w:p w14:paraId="7B7A7CB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25108980"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4"/>
          <w:szCs w:val="24"/>
        </w:rPr>
      </w:pPr>
      <w:r w:rsidRPr="00D17601">
        <w:rPr>
          <w:rFonts w:ascii="Times New Roman" w:hAnsi="Times New Roman" w:cs="Times New Roman"/>
          <w:sz w:val="20"/>
          <w:szCs w:val="20"/>
        </w:rPr>
        <w:t xml:space="preserve">El signor Frachasso con XII stapheri tincti in mori. Uno triumpho inante che è tirato da uno cervo et doi alicorni, sopra el quale è uno mondo con uno moro di sopra. Lanze etiam d’oro intorno et sopraveste negre de ricamo d’oro con la colomba bianca. Sopra l’elmo uno modo con el moro </w:t>
      </w:r>
      <w:r w:rsidRPr="00594B61">
        <w:rPr>
          <w:rFonts w:ascii="Times New Roman" w:hAnsi="Times New Roman" w:cs="Times New Roman"/>
          <w:sz w:val="20"/>
          <w:szCs w:val="20"/>
        </w:rPr>
        <w:t>de sopra</w:t>
      </w:r>
      <w:r w:rsidRPr="00594B61">
        <w:rPr>
          <w:rFonts w:ascii="Times New Roman" w:hAnsi="Times New Roman" w:cs="Times New Roman"/>
          <w:sz w:val="24"/>
          <w:szCs w:val="24"/>
        </w:rPr>
        <w:t>.</w:t>
      </w:r>
      <w:r w:rsidRPr="00594B61">
        <w:rPr>
          <w:rStyle w:val="Rimandonotaapidipagina"/>
          <w:rFonts w:ascii="Times New Roman" w:hAnsi="Times New Roman" w:cs="Times New Roman"/>
          <w:sz w:val="24"/>
          <w:szCs w:val="24"/>
        </w:rPr>
        <w:footnoteReference w:id="855"/>
      </w:r>
      <w:r>
        <w:rPr>
          <w:rFonts w:ascii="Times New Roman" w:hAnsi="Times New Roman" w:cs="Times New Roman"/>
          <w:sz w:val="24"/>
          <w:szCs w:val="24"/>
        </w:rPr>
        <w:t xml:space="preserve"> </w:t>
      </w:r>
    </w:p>
    <w:p w14:paraId="0677AC6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381C8D2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Tra le apparizioni dei nobili contendenti – fra i quali spiccarono </w:t>
      </w:r>
      <w:bookmarkStart w:id="523" w:name="_Hlk536010947"/>
      <w:r>
        <w:rPr>
          <w:rFonts w:ascii="Times New Roman" w:hAnsi="Times New Roman" w:cs="Times New Roman"/>
          <w:sz w:val="24"/>
          <w:szCs w:val="24"/>
        </w:rPr>
        <w:t xml:space="preserve">Giovanni Antonio Mariolo </w:t>
      </w:r>
      <w:bookmarkEnd w:id="523"/>
      <w:r>
        <w:rPr>
          <w:rFonts w:ascii="Times New Roman" w:hAnsi="Times New Roman" w:cs="Times New Roman"/>
          <w:sz w:val="24"/>
          <w:szCs w:val="24"/>
        </w:rPr>
        <w:t xml:space="preserve">con i paggi vestiti alla turchesca e un ignoto Spingerliet con undici donzelli abbigliati alla tedesca sopra altrettanti cavalli bianchi – penso che fu proprio quella di Gaspare Sanseverino, detto Fracasso, ad attirare maggiormente l’attenzione dei presenti, per via del carro che lo precedette sopra cui si trovava un piedistallo sferico sormontato da un moro. Il </w:t>
      </w:r>
      <w:r w:rsidR="00C3219B">
        <w:rPr>
          <w:rFonts w:ascii="Times New Roman" w:hAnsi="Times New Roman" w:cs="Times New Roman"/>
          <w:sz w:val="24"/>
          <w:szCs w:val="24"/>
        </w:rPr>
        <w:t>“</w:t>
      </w:r>
      <w:r>
        <w:rPr>
          <w:rFonts w:ascii="Times New Roman" w:hAnsi="Times New Roman" w:cs="Times New Roman"/>
          <w:sz w:val="24"/>
          <w:szCs w:val="24"/>
        </w:rPr>
        <w:t>triumpho</w:t>
      </w:r>
      <w:r w:rsidR="00C3219B">
        <w:rPr>
          <w:rFonts w:ascii="Times New Roman" w:hAnsi="Times New Roman" w:cs="Times New Roman"/>
          <w:sz w:val="24"/>
          <w:szCs w:val="24"/>
        </w:rPr>
        <w:t>”</w:t>
      </w:r>
      <w:r>
        <w:rPr>
          <w:rFonts w:ascii="Times New Roman" w:hAnsi="Times New Roman" w:cs="Times New Roman"/>
          <w:sz w:val="24"/>
          <w:szCs w:val="24"/>
        </w:rPr>
        <w:t xml:space="preserve"> avanzava trainato </w:t>
      </w:r>
      <w:r>
        <w:rPr>
          <w:rFonts w:ascii="Times New Roman" w:hAnsi="Times New Roman" w:cs="Times New Roman"/>
          <w:sz w:val="24"/>
          <w:szCs w:val="24"/>
        </w:rPr>
        <w:lastRenderedPageBreak/>
        <w:t xml:space="preserve">da tre cavalli – uno camuffato da cervo e gli altri due da unicorni – ed era scortato da dodici staffieri mori. </w:t>
      </w:r>
    </w:p>
    <w:p w14:paraId="3A61014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Penso che l’apparato alludesse, in maniera alquanto esplicita, alla Fama del Moro, che aveva oramai raggiunto tutto il mondo, così da giustificare il successivo arrivo del principe indiano desideroso di vedere le bellezze del ducato milanese. Tristano Calco riferì di come il moro posto sul globo del carro «</w:t>
      </w:r>
      <w:r w:rsidRPr="00D94BDD">
        <w:rPr>
          <w:rFonts w:ascii="Times New Roman" w:hAnsi="Times New Roman" w:cs="Times New Roman"/>
          <w:i/>
          <w:sz w:val="24"/>
          <w:szCs w:val="24"/>
        </w:rPr>
        <w:t>aptos versiculos cecinit</w:t>
      </w:r>
      <w:r>
        <w:rPr>
          <w:rFonts w:ascii="Times New Roman" w:hAnsi="Times New Roman" w:cs="Times New Roman"/>
          <w:sz w:val="24"/>
          <w:szCs w:val="24"/>
        </w:rPr>
        <w:t>», ma non riportò il testo poetico dell’inno eseguito dal figurante, che avrebbe facilitato la comprensione dello spettacolo, il cui significato, probabilmente, non fu molto chiaro neppure al pubblico presente. Lo storiografo di corte scrisse infatti «</w:t>
      </w:r>
      <w:r w:rsidRPr="00445C00">
        <w:rPr>
          <w:rFonts w:ascii="Times New Roman" w:hAnsi="Times New Roman" w:cs="Times New Roman"/>
          <w:i/>
          <w:sz w:val="24"/>
          <w:szCs w:val="24"/>
        </w:rPr>
        <w:t>nos primo statim conspectu, Marte</w:t>
      </w:r>
      <w:r>
        <w:rPr>
          <w:rFonts w:ascii="Times New Roman" w:hAnsi="Times New Roman" w:cs="Times New Roman"/>
          <w:i/>
          <w:sz w:val="24"/>
          <w:szCs w:val="24"/>
        </w:rPr>
        <w:t>m</w:t>
      </w:r>
      <w:r w:rsidRPr="00445C00">
        <w:rPr>
          <w:rFonts w:ascii="Times New Roman" w:hAnsi="Times New Roman" w:cs="Times New Roman"/>
          <w:i/>
          <w:sz w:val="24"/>
          <w:szCs w:val="24"/>
        </w:rPr>
        <w:t xml:space="preserve"> eo vehi curru, vel Bellonam, credidimus. Sed alii magis Fortunam repraesentare voluisse existimarunt</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856"/>
      </w:r>
      <w:r>
        <w:rPr>
          <w:rFonts w:ascii="Times New Roman" w:hAnsi="Times New Roman" w:cs="Times New Roman"/>
          <w:sz w:val="24"/>
          <w:szCs w:val="24"/>
        </w:rPr>
        <w:t xml:space="preserve"> restituendoci un’immagine naturale della perplessità degli spettatori davanti alla sfilata del carro, per il quale credo sia ipotizzabile un contributo progettuale di Leonardo, già attivo insieme alle varie maestranze artigiane nella preparazione dei costumi e, forse, delle impalcature per gli spettatori. La presenza del piedistallo rappresentante il mondo credo infatti fosse l’ennesimo adattamento del modello del carro trionfale fiorentino con sfere e semisfere ruotanti, adattato alle necessità encomiastiche dello spettacolo della corte sforzesca. </w:t>
      </w:r>
    </w:p>
    <w:p w14:paraId="367B5D1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 due casi dei giochi equestri per le nozze del Malatesta e del Moro esemplificano come anche alle competizioni tra i nobili cavalieri fosse affidata la trasmissione pubblica di messaggi politici. La stessa presenza di campioni provenienti dalle corti alleate del principe era, infatti, rappresentazione delle sue alleanze diplomatiche. Per tal ragione, lo Sforza aveva avuto cura di inviare tanto alle corti dei principi suoi contemporanei quanto ai governatori dei castelli delle terre del proprio dominio numerose missive con l’invito a mandare eccellenti concorrenti.</w:t>
      </w:r>
      <w:r>
        <w:rPr>
          <w:rStyle w:val="Rimandonotaapidipagina"/>
          <w:rFonts w:ascii="Times New Roman" w:hAnsi="Times New Roman" w:cs="Times New Roman"/>
          <w:sz w:val="24"/>
          <w:szCs w:val="24"/>
        </w:rPr>
        <w:footnoteReference w:id="857"/>
      </w:r>
      <w:r>
        <w:rPr>
          <w:rFonts w:ascii="Times New Roman" w:hAnsi="Times New Roman" w:cs="Times New Roman"/>
          <w:sz w:val="24"/>
          <w:szCs w:val="24"/>
        </w:rPr>
        <w:t xml:space="preserve"> </w:t>
      </w:r>
    </w:p>
    <w:p w14:paraId="35AEC95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All’interno del programma delle celebrazioni, inoltre, la drammaturgia della giostra, allentato il carattere guerresco ed agonistico degli scontri, permetteva la comparsa delle allegorie della Fama, della Guerra, della Prudenza e della Fortuna, che consentivano la trasposizione dei ludi in un immaginario mitografico, nel quale l’esito delle gare rimaneva solo parzialmente un’incognita. Anche esso infatti veniva spesso piegato alle esigenze rappresentative e diplomatiche dello sposo, che desiderava che la vittoria spettasse ad un contendente suo alleato, come visto nei due casi qui analizzati, o ancora in quello di Francesco Gonzaga vincitore della giostra per le nozze di Annibale Bentivoglio.</w:t>
      </w:r>
    </w:p>
    <w:p w14:paraId="0D6FF3B8"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Le grida festose «Turco! Turco!» con le quali il popolo di Bologna accompagnò in corteo il marchese di Mantova per le vie della città celebrandone la vittoria, infine, attestano come la partecipazione dei cittadini agli spettacoli cavallereschi fosse importante per la riuscita degli eventi.</w:t>
      </w:r>
      <w:r>
        <w:rPr>
          <w:rStyle w:val="Rimandonotaapidipagina"/>
          <w:rFonts w:ascii="Times New Roman" w:hAnsi="Times New Roman" w:cs="Times New Roman"/>
          <w:sz w:val="24"/>
          <w:szCs w:val="24"/>
        </w:rPr>
        <w:footnoteReference w:id="858"/>
      </w:r>
      <w:r>
        <w:rPr>
          <w:rFonts w:ascii="Times New Roman" w:hAnsi="Times New Roman" w:cs="Times New Roman"/>
          <w:sz w:val="24"/>
          <w:szCs w:val="24"/>
        </w:rPr>
        <w:t xml:space="preserve"> Dalle gradinate montate nella piazza il popolo, nei modi e negli spazi a lui concessi, partecipava nuovamente alle feste del principe, rappresentando il perfetto ordine del suo buon governo. </w:t>
      </w:r>
    </w:p>
    <w:p w14:paraId="1AE581C8"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71B0A86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21385919" w14:textId="77777777" w:rsidR="00395702" w:rsidRDefault="00395702" w:rsidP="00395702">
      <w:pPr>
        <w:jc w:val="both"/>
        <w:rPr>
          <w:rFonts w:ascii="Times New Roman" w:hAnsi="Times New Roman" w:cs="Times New Roman"/>
          <w:i/>
          <w:sz w:val="24"/>
          <w:szCs w:val="24"/>
        </w:rPr>
      </w:pPr>
      <w:r w:rsidRPr="001924A6">
        <w:rPr>
          <w:rFonts w:ascii="Times New Roman" w:hAnsi="Times New Roman" w:cs="Times New Roman"/>
          <w:sz w:val="24"/>
          <w:szCs w:val="24"/>
        </w:rPr>
        <w:t>6.</w:t>
      </w:r>
      <w:r>
        <w:rPr>
          <w:rFonts w:ascii="Times New Roman" w:hAnsi="Times New Roman" w:cs="Times New Roman"/>
          <w:i/>
          <w:sz w:val="24"/>
          <w:szCs w:val="24"/>
        </w:rPr>
        <w:t xml:space="preserve"> Spettacoli teatrali: commedie classiche e sacre rappresentazioni.</w:t>
      </w:r>
    </w:p>
    <w:p w14:paraId="09BECF0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7819FDAF" w14:textId="77777777" w:rsidR="00395702" w:rsidRDefault="00395702" w:rsidP="003C3099">
      <w:pPr>
        <w:tabs>
          <w:tab w:val="left" w:pos="8364"/>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Nei giorni dei festeggiamenti nuziali si offrivano agli sposi e ai loro ospiti sacre rappresentazioni, commedie classiche e </w:t>
      </w:r>
      <w:r>
        <w:rPr>
          <w:rFonts w:ascii="Times New Roman" w:hAnsi="Times New Roman" w:cs="Times New Roman"/>
          <w:i/>
          <w:sz w:val="24"/>
          <w:szCs w:val="24"/>
        </w:rPr>
        <w:t>fabulae</w:t>
      </w:r>
      <w:r>
        <w:rPr>
          <w:rFonts w:ascii="Times New Roman" w:hAnsi="Times New Roman" w:cs="Times New Roman"/>
          <w:sz w:val="24"/>
          <w:szCs w:val="24"/>
        </w:rPr>
        <w:t xml:space="preserve"> allegoriche. Queste recite, che richiedevano costumi, apparati scenografici costosi e l’invito di maestranze e interpreti capaci di occuparsi degli allestimenti, consentivano al principe di mostrarsi quale mecenate munifico delle arti della scena e illustravano ai presenti l’aggiornamento del gusto teatrale della corte. </w:t>
      </w:r>
    </w:p>
    <w:p w14:paraId="18262C38"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preparazione degli spettacoli permetteva inoltre l’importazione e l’esportazione di prassi teatrali apprezzate dall’una all’altra città dell’Italia rinascimentale. Fu questo il caso delle tre sacre rappresentazioni fiorentine che domenica 6, martedì 8 e mercoledì 9 giugno 1473 furono presentate a Eleonora d’Aragona durante la sua sosta romana: </w:t>
      </w:r>
    </w:p>
    <w:p w14:paraId="0B7B2DC0" w14:textId="77777777" w:rsidR="00395702" w:rsidRDefault="00395702" w:rsidP="00395702">
      <w:pPr>
        <w:tabs>
          <w:tab w:val="left" w:pos="5387"/>
          <w:tab w:val="left" w:pos="8364"/>
        </w:tabs>
        <w:spacing w:after="0" w:line="360" w:lineRule="auto"/>
        <w:ind w:left="567" w:right="284" w:firstLine="397"/>
        <w:jc w:val="both"/>
        <w:rPr>
          <w:rFonts w:ascii="Times New Roman" w:hAnsi="Times New Roman" w:cs="Times New Roman"/>
          <w:sz w:val="20"/>
          <w:szCs w:val="20"/>
        </w:rPr>
      </w:pPr>
    </w:p>
    <w:p w14:paraId="0F96C438" w14:textId="77777777" w:rsidR="00395702" w:rsidRDefault="00395702" w:rsidP="00395702">
      <w:pPr>
        <w:tabs>
          <w:tab w:val="left" w:pos="5387"/>
          <w:tab w:val="left" w:pos="8364"/>
        </w:tabs>
        <w:spacing w:after="0" w:line="360" w:lineRule="auto"/>
        <w:ind w:left="567" w:right="851" w:firstLine="397"/>
        <w:jc w:val="both"/>
        <w:rPr>
          <w:rFonts w:ascii="Times New Roman" w:hAnsi="Times New Roman" w:cs="Times New Roman"/>
          <w:sz w:val="20"/>
          <w:szCs w:val="20"/>
        </w:rPr>
      </w:pPr>
      <w:r>
        <w:rPr>
          <w:rFonts w:ascii="Times New Roman" w:hAnsi="Times New Roman" w:cs="Times New Roman"/>
          <w:sz w:val="20"/>
          <w:szCs w:val="20"/>
        </w:rPr>
        <w:t xml:space="preserve">Lo cardinale di Santo Sixto, ditto frate Pietro, nel ditto tempo fece coperire tutta la piazza </w:t>
      </w:r>
      <w:r w:rsidRPr="00EB4A05">
        <w:rPr>
          <w:rFonts w:ascii="Times New Roman" w:hAnsi="Times New Roman" w:cs="Times New Roman"/>
          <w:sz w:val="20"/>
          <w:szCs w:val="20"/>
        </w:rPr>
        <w:t>di Santo</w:t>
      </w:r>
      <w:r>
        <w:rPr>
          <w:rFonts w:ascii="Times New Roman" w:hAnsi="Times New Roman" w:cs="Times New Roman"/>
          <w:sz w:val="20"/>
          <w:szCs w:val="20"/>
        </w:rPr>
        <w:t xml:space="preserve"> Apostolo, et fece certi tavolati intorno alla ditta piazza con panni di razza et tavole a modo di una loia et corritore, et anco sopra lo porticale della ditta ecclesia fece un’altra bella loia tutta ornata; et in quelli tavolati fó fatta per li ﬁorentini festaioli la festa de santo *** […].</w:t>
      </w:r>
    </w:p>
    <w:p w14:paraId="25F244EE" w14:textId="77777777" w:rsidR="00395702" w:rsidRDefault="00395702" w:rsidP="00395702">
      <w:pPr>
        <w:tabs>
          <w:tab w:val="left" w:pos="5387"/>
          <w:tab w:val="left" w:pos="8364"/>
        </w:tabs>
        <w:spacing w:after="0" w:line="360" w:lineRule="auto"/>
        <w:ind w:left="567" w:right="851" w:firstLine="397"/>
        <w:jc w:val="both"/>
        <w:rPr>
          <w:rFonts w:ascii="Times New Roman" w:hAnsi="Times New Roman" w:cs="Times New Roman"/>
          <w:sz w:val="20"/>
          <w:szCs w:val="20"/>
        </w:rPr>
      </w:pPr>
      <w:r>
        <w:rPr>
          <w:rFonts w:ascii="Times New Roman" w:hAnsi="Times New Roman" w:cs="Times New Roman"/>
          <w:sz w:val="20"/>
          <w:szCs w:val="20"/>
        </w:rPr>
        <w:t>Et depò lo martedì fu fatta l’altra devotione dello corpo di Christo, et nello mercoledì fo l’altra di santo Ioanni Battista et di santo Iacovo; et depò lo iovedì ad mattina se partì la Lionora accompagnata con molti cardinali et prelati et persone da bene, et andossene ad marito.</w:t>
      </w:r>
      <w:r>
        <w:rPr>
          <w:rStyle w:val="Rimandonotaapidipagina"/>
          <w:rFonts w:ascii="Times New Roman" w:hAnsi="Times New Roman" w:cs="Times New Roman"/>
        </w:rPr>
        <w:footnoteReference w:id="859"/>
      </w:r>
    </w:p>
    <w:p w14:paraId="5A4B14DC" w14:textId="77777777" w:rsidR="00395702" w:rsidRDefault="00395702" w:rsidP="00395702">
      <w:pPr>
        <w:tabs>
          <w:tab w:val="left" w:pos="5387"/>
          <w:tab w:val="left" w:pos="8364"/>
        </w:tabs>
        <w:spacing w:after="0" w:line="360" w:lineRule="auto"/>
        <w:ind w:left="567" w:right="284" w:firstLine="397"/>
        <w:jc w:val="both"/>
        <w:rPr>
          <w:rFonts w:ascii="Times New Roman" w:hAnsi="Times New Roman" w:cs="Times New Roman"/>
          <w:sz w:val="20"/>
          <w:szCs w:val="20"/>
        </w:rPr>
      </w:pPr>
    </w:p>
    <w:p w14:paraId="0D6C10D2"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Questa testimonianza di Stefano Infessura accerta come il committente dei “fiorentini festaioli” fosse stato anche in questa circostanza il Riario, mentre la sposa, nel suo resoconto sulle feste, precisò il soggetto </w:t>
      </w:r>
      <w:r w:rsidRPr="00EB4A05">
        <w:rPr>
          <w:rFonts w:ascii="Times New Roman" w:hAnsi="Times New Roman" w:cs="Times New Roman"/>
          <w:sz w:val="24"/>
          <w:szCs w:val="24"/>
        </w:rPr>
        <w:t>biblico</w:t>
      </w:r>
      <w:r>
        <w:rPr>
          <w:rFonts w:ascii="Times New Roman" w:hAnsi="Times New Roman" w:cs="Times New Roman"/>
          <w:sz w:val="24"/>
          <w:szCs w:val="24"/>
        </w:rPr>
        <w:t xml:space="preserve"> della recita del 6 giugno: le Storie di Susanna.</w:t>
      </w:r>
      <w:r>
        <w:rPr>
          <w:rStyle w:val="Rimandonotaapidipagina"/>
          <w:rFonts w:ascii="Times New Roman" w:hAnsi="Times New Roman" w:cs="Times New Roman"/>
          <w:sz w:val="24"/>
          <w:szCs w:val="24"/>
        </w:rPr>
        <w:footnoteReference w:id="860"/>
      </w:r>
      <w:r>
        <w:rPr>
          <w:rFonts w:ascii="Times New Roman" w:hAnsi="Times New Roman" w:cs="Times New Roman"/>
          <w:sz w:val="24"/>
          <w:szCs w:val="24"/>
        </w:rPr>
        <w:t xml:space="preserve"> </w:t>
      </w:r>
    </w:p>
    <w:p w14:paraId="05CDF40D"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lastRenderedPageBreak/>
        <w:t>La principessa, dichiarando che la terza rappresentazione cui assistette fu quella della decollazione di san Giovanni, chiarì anche come il 9 giugno le fosse stato offerto un solo spettacolo teatrale, in cui nel presentare le vicende della vita del Precursore sarebbe stata data maggiore rilevanza, rispetto al consueto, al personaggio di san Giacomo minore, tanto da indurre l’Infessura a segnalarlo come «rappresentazione di santo Ioanni Battista et di santo Iacovo». Il fatto che nella chiesa dei Santi Apostoli, davanti alla quale sorgevano i palchi per le recite, si conservavano proprio le reliquie di san Giacomo, che era stato discepolo del Battista e successivamente di Cristo, lascia supporre inoltre che l’esaltazione delle gesta dell’apostolo volesse rimarcare l’importanza del luogo della festa, su cui si concentravano i progetti edilizi sostenuti dal Riario per l’ammodernamento della basilica e del piazzale ad essa antistante negli anni del suo cardinalato.</w:t>
      </w:r>
      <w:r>
        <w:rPr>
          <w:rStyle w:val="Rimandonotaapidipagina"/>
          <w:rFonts w:ascii="Times New Roman" w:hAnsi="Times New Roman" w:cs="Times New Roman"/>
          <w:sz w:val="24"/>
          <w:szCs w:val="24"/>
        </w:rPr>
        <w:footnoteReference w:id="861"/>
      </w:r>
      <w:r>
        <w:rPr>
          <w:rFonts w:ascii="Times New Roman" w:hAnsi="Times New Roman" w:cs="Times New Roman"/>
          <w:sz w:val="24"/>
          <w:szCs w:val="24"/>
        </w:rPr>
        <w:t xml:space="preserve"> </w:t>
      </w:r>
    </w:p>
    <w:p w14:paraId="49184D32"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Escludendo così che alla vita di san Giacomo fosse stata dedicata nella stessa giornata una quarta rappresentazione,</w:t>
      </w:r>
      <w:r>
        <w:rPr>
          <w:rStyle w:val="Rimandonotaapidipagina"/>
          <w:rFonts w:ascii="Times New Roman" w:hAnsi="Times New Roman" w:cs="Times New Roman"/>
          <w:sz w:val="24"/>
          <w:szCs w:val="24"/>
        </w:rPr>
        <w:footnoteReference w:id="862"/>
      </w:r>
      <w:r>
        <w:rPr>
          <w:rFonts w:ascii="Times New Roman" w:hAnsi="Times New Roman" w:cs="Times New Roman"/>
          <w:sz w:val="24"/>
          <w:szCs w:val="24"/>
        </w:rPr>
        <w:t xml:space="preserve"> si può concludere che furono tre i drammi inscenati dagli apparatori fiorentini, forse di nuovo protagonisti, il 29 giugno, nella festa dei santi Pietro e Paolo, delle due rappresentazioni «della Natività di Gesù Cristo coi Magi e della Risurrezione di Cristo quando spogliò l’Inferno» presentate ancora sulla piazza dei Santi Apostoli, meta pure del «pallio de’ Fiorentini» corso nel medesimo giorno.</w:t>
      </w:r>
      <w:r>
        <w:rPr>
          <w:rStyle w:val="Rimandonotaapidipagina"/>
          <w:rFonts w:ascii="Times New Roman" w:hAnsi="Times New Roman" w:cs="Times New Roman"/>
          <w:sz w:val="24"/>
          <w:szCs w:val="24"/>
        </w:rPr>
        <w:footnoteReference w:id="863"/>
      </w:r>
      <w:r>
        <w:rPr>
          <w:rFonts w:ascii="Times New Roman" w:hAnsi="Times New Roman" w:cs="Times New Roman"/>
          <w:sz w:val="24"/>
          <w:szCs w:val="24"/>
        </w:rPr>
        <w:t xml:space="preserve">  </w:t>
      </w:r>
    </w:p>
    <w:p w14:paraId="44565307"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Gli appunti di Giulio Ferroni sulla politica festiva di Pietro Riario, nell’analizzarne il contributo all’ampliamento della </w:t>
      </w:r>
      <w:r>
        <w:rPr>
          <w:rFonts w:ascii="Times New Roman" w:hAnsi="Times New Roman" w:cs="Times New Roman"/>
          <w:i/>
          <w:sz w:val="24"/>
          <w:szCs w:val="24"/>
        </w:rPr>
        <w:t>varietas</w:t>
      </w:r>
      <w:r>
        <w:rPr>
          <w:rFonts w:ascii="Times New Roman" w:hAnsi="Times New Roman" w:cs="Times New Roman"/>
          <w:sz w:val="24"/>
          <w:szCs w:val="24"/>
        </w:rPr>
        <w:t xml:space="preserve"> degli intrattenimenti dell’Urbe nell’età di di Sisto IV, hanno messo in luce come l’organizzazione di feste – quali le giostre e i banchetti del carnevale 1473 – si configurasse</w:t>
      </w:r>
      <w:r w:rsidRPr="00EB4A05">
        <w:rPr>
          <w:rFonts w:ascii="Times New Roman" w:hAnsi="Times New Roman" w:cs="Times New Roman"/>
          <w:sz w:val="24"/>
          <w:szCs w:val="24"/>
        </w:rPr>
        <w:t>, nei propositi del porporato, come</w:t>
      </w:r>
      <w:r>
        <w:rPr>
          <w:rFonts w:ascii="Times New Roman" w:hAnsi="Times New Roman" w:cs="Times New Roman"/>
          <w:sz w:val="24"/>
          <w:szCs w:val="24"/>
        </w:rPr>
        <w:t xml:space="preserve"> strumento di ricerca dell’approvazione del popolo romano, del quale egli ambiva a rievocare la gloria degli antichi trionfi.</w:t>
      </w:r>
      <w:r>
        <w:rPr>
          <w:rStyle w:val="Rimandonotaapidipagina"/>
          <w:rFonts w:ascii="Times New Roman" w:hAnsi="Times New Roman" w:cs="Times New Roman"/>
          <w:sz w:val="24"/>
          <w:szCs w:val="24"/>
        </w:rPr>
        <w:footnoteReference w:id="864"/>
      </w:r>
      <w:r>
        <w:rPr>
          <w:rFonts w:ascii="Times New Roman" w:hAnsi="Times New Roman" w:cs="Times New Roman"/>
          <w:sz w:val="24"/>
          <w:szCs w:val="24"/>
        </w:rPr>
        <w:t xml:space="preserve"> In questo </w:t>
      </w:r>
      <w:r>
        <w:rPr>
          <w:rFonts w:ascii="Times New Roman" w:hAnsi="Times New Roman" w:cs="Times New Roman"/>
          <w:sz w:val="24"/>
          <w:szCs w:val="24"/>
        </w:rPr>
        <w:lastRenderedPageBreak/>
        <w:t>progetto culturale il ricorso alle competenze tecniche degli apparatori e dei performers fiorentini dovette essere abbastanza usuale se il vescovo umanista Giacomo Amman</w:t>
      </w:r>
      <w:r w:rsidR="002A38D6">
        <w:rPr>
          <w:rFonts w:ascii="Times New Roman" w:hAnsi="Times New Roman" w:cs="Times New Roman"/>
          <w:sz w:val="24"/>
          <w:szCs w:val="24"/>
        </w:rPr>
        <w:t>n</w:t>
      </w:r>
      <w:r>
        <w:rPr>
          <w:rFonts w:ascii="Times New Roman" w:hAnsi="Times New Roman" w:cs="Times New Roman"/>
          <w:sz w:val="24"/>
          <w:szCs w:val="24"/>
        </w:rPr>
        <w:t xml:space="preserve">ati Piccolomini, in una lettera di compianto per la morte del cardinale, ricordava così i magnifici spettacoli da lui promossi: </w:t>
      </w:r>
    </w:p>
    <w:p w14:paraId="3EBC018B" w14:textId="77777777" w:rsidR="00395702" w:rsidRDefault="00395702" w:rsidP="00395702">
      <w:pPr>
        <w:tabs>
          <w:tab w:val="left" w:pos="8364"/>
        </w:tabs>
        <w:spacing w:after="0" w:line="360" w:lineRule="auto"/>
        <w:ind w:firstLine="397"/>
        <w:jc w:val="both"/>
        <w:rPr>
          <w:rFonts w:ascii="Times New Roman" w:hAnsi="Times New Roman" w:cs="Times New Roman"/>
          <w:sz w:val="20"/>
          <w:szCs w:val="20"/>
        </w:rPr>
      </w:pPr>
    </w:p>
    <w:p w14:paraId="4D940EB5"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r>
        <w:rPr>
          <w:rFonts w:ascii="Times New Roman" w:hAnsi="Times New Roman" w:cs="Times New Roman"/>
          <w:i/>
          <w:sz w:val="20"/>
          <w:szCs w:val="20"/>
        </w:rPr>
        <w:t>Memoria quoque non excidit quam saepe ludos populo exhibuit, quam frequenter per dies plures certamen hastile praemiis positis edidit, quantas scenas extruxit, ut etiam illarum ornandarum causa Florentia usque artifices, histriones, mimosque accierit</w:t>
      </w:r>
      <w:r>
        <w:rPr>
          <w:rFonts w:ascii="Times New Roman" w:hAnsi="Times New Roman" w:cs="Times New Roman"/>
          <w:sz w:val="20"/>
          <w:szCs w:val="20"/>
        </w:rPr>
        <w:t>.</w:t>
      </w:r>
      <w:r>
        <w:rPr>
          <w:rStyle w:val="Rimandonotaapidipagina"/>
          <w:rFonts w:ascii="Times New Roman" w:hAnsi="Times New Roman" w:cs="Times New Roman"/>
        </w:rPr>
        <w:footnoteReference w:id="865"/>
      </w:r>
      <w:r>
        <w:rPr>
          <w:rFonts w:ascii="Times New Roman" w:hAnsi="Times New Roman" w:cs="Times New Roman"/>
          <w:sz w:val="20"/>
          <w:szCs w:val="20"/>
        </w:rPr>
        <w:t xml:space="preserve"> </w:t>
      </w:r>
    </w:p>
    <w:p w14:paraId="44050E18" w14:textId="77777777" w:rsidR="00395702" w:rsidRDefault="00395702" w:rsidP="00395702">
      <w:pPr>
        <w:tabs>
          <w:tab w:val="left" w:pos="8364"/>
        </w:tabs>
        <w:spacing w:after="0" w:line="360" w:lineRule="auto"/>
        <w:ind w:firstLine="397"/>
        <w:jc w:val="both"/>
        <w:rPr>
          <w:rFonts w:ascii="Times New Roman" w:hAnsi="Times New Roman" w:cs="Times New Roman"/>
          <w:sz w:val="20"/>
          <w:szCs w:val="20"/>
        </w:rPr>
      </w:pPr>
    </w:p>
    <w:p w14:paraId="10FA8E7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Siamo in presenza pertanto, nelle feste romane per la duchessa di Ferrara, di un caso di importazione delle abilità scenotecniche fiorentine – favorito forse dal fatto che in quei giorni, precisamente il 20 giugno 1473, il Riario sarebbe stato nominato arcivescovo di Firenze –</w:t>
      </w:r>
      <w:r>
        <w:rPr>
          <w:rStyle w:val="Rimandonotaapidipagina"/>
          <w:rFonts w:ascii="Times New Roman" w:hAnsi="Times New Roman" w:cs="Times New Roman"/>
          <w:sz w:val="24"/>
          <w:szCs w:val="24"/>
        </w:rPr>
        <w:footnoteReference w:id="866"/>
      </w:r>
      <w:r>
        <w:rPr>
          <w:rFonts w:ascii="Times New Roman" w:hAnsi="Times New Roman" w:cs="Times New Roman"/>
          <w:sz w:val="24"/>
          <w:szCs w:val="24"/>
        </w:rPr>
        <w:t xml:space="preserve"> e del genere drammaturgico che rappresentò in maniera emblematica la cultura teatrale della città gigliata nel Quattrocento: la sacra rappresentazione. Inserita tra le attività pedagogiche delle compagnie dei fanciulli cittadine – votate all’educazione morale, religiosa e civile dei giovani fiorentini – questa si caratterizzava per la scrittura dei dialoghi in ottava rima; per la drammatizzazione di episodi tratti dall'Antico e dal Nuovo Testamento o dalla letteratura agiografica; e per la presenza di un Annunzio e di una Licenza – affidati costantemente ad un interprete nei panni di un angelo –, che ricalcavano le funzioni del prologo e dell'epilogo della commedia classica. I suoi ideatori erano stati, </w:t>
      </w:r>
      <w:r w:rsidRPr="00EB4A05">
        <w:rPr>
          <w:rFonts w:ascii="Times New Roman" w:hAnsi="Times New Roman" w:cs="Times New Roman"/>
          <w:sz w:val="24"/>
          <w:szCs w:val="24"/>
        </w:rPr>
        <w:t>negli</w:t>
      </w:r>
      <w:r>
        <w:rPr>
          <w:rFonts w:ascii="Times New Roman" w:hAnsi="Times New Roman" w:cs="Times New Roman"/>
          <w:sz w:val="24"/>
          <w:szCs w:val="24"/>
        </w:rPr>
        <w:t xml:space="preserve"> anni Quaranta del XV secolo, l’arcivescovo di Firenze Antonino Pierozzi, incaricato nel 1442 da Eugenio IV di vigilare sulla moralità delle compagnie di fanciulli, il poeta Feo Belcari e l’araldo della Repubblica Antonio di Matteo di Meglio, ai quali in un secondo momento si aggiunsero Bernardo e Antonia Pulci e </w:t>
      </w:r>
      <w:bookmarkStart w:id="524" w:name="_Hlk536011996"/>
      <w:r>
        <w:rPr>
          <w:rFonts w:ascii="Times New Roman" w:hAnsi="Times New Roman" w:cs="Times New Roman"/>
          <w:sz w:val="24"/>
          <w:szCs w:val="24"/>
        </w:rPr>
        <w:t>Castellano Castellani</w:t>
      </w:r>
      <w:bookmarkEnd w:id="524"/>
      <w:r>
        <w:rPr>
          <w:rFonts w:ascii="Times New Roman" w:hAnsi="Times New Roman" w:cs="Times New Roman"/>
          <w:sz w:val="24"/>
          <w:szCs w:val="24"/>
        </w:rPr>
        <w:t xml:space="preserve">: tutte personalità legate all’ambiente </w:t>
      </w:r>
      <w:r w:rsidR="00F40E92">
        <w:rPr>
          <w:rFonts w:ascii="Times New Roman" w:hAnsi="Times New Roman" w:cs="Times New Roman"/>
          <w:sz w:val="24"/>
          <w:szCs w:val="24"/>
        </w:rPr>
        <w:t>colto e devoto mediceo</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867"/>
      </w:r>
    </w:p>
    <w:p w14:paraId="7738BD67"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Lo studio delle loro opere ha dimostrato come la progettazione del modello spettacolare della sacra rappresentazione mirasse all’attuazione di un disegno di formazione politica e religiosa dei fanciulli e delle loro famiglie, nel quale le raccomandazioni all’obbedienza dei comandamenti, alla </w:t>
      </w:r>
      <w:r>
        <w:rPr>
          <w:rFonts w:ascii="Times New Roman" w:hAnsi="Times New Roman" w:cs="Times New Roman"/>
          <w:sz w:val="24"/>
          <w:szCs w:val="24"/>
        </w:rPr>
        <w:lastRenderedPageBreak/>
        <w:t xml:space="preserve">pratica delle virtù, alla fuga dai vizi capitali si sovrapponevano all’educazione al rispetto delle autorità civili e delle leggi della Repubblica fiorentina. </w:t>
      </w:r>
    </w:p>
    <w:p w14:paraId="56C70583"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Questo teatro civile, in virtù delle abilità degli interpreti e della bellezza degli allestimenti, destò presto l’interesse di nobili committenti, che vollero farne proprie le soluzioni scenotecniche e drammaturgiche indipendentemente dall’originale finalità pedagogica per la quale erano state inventate. Per la festa di san Bernardino del 1466, il rettore del </w:t>
      </w:r>
      <w:r>
        <w:rPr>
          <w:rFonts w:ascii="Times New Roman" w:hAnsi="Times New Roman" w:cs="Times New Roman"/>
          <w:i/>
          <w:sz w:val="24"/>
          <w:szCs w:val="24"/>
        </w:rPr>
        <w:t>Patrimonium Ecclesiae</w:t>
      </w:r>
      <w:r>
        <w:rPr>
          <w:rFonts w:ascii="Times New Roman" w:hAnsi="Times New Roman" w:cs="Times New Roman"/>
          <w:sz w:val="24"/>
          <w:szCs w:val="24"/>
        </w:rPr>
        <w:t>, Niccolò Perotti, ordinò che fosse data a Viterbo una «</w:t>
      </w:r>
      <w:r>
        <w:rPr>
          <w:rFonts w:ascii="Times New Roman" w:hAnsi="Times New Roman" w:cs="Times New Roman"/>
          <w:i/>
          <w:sz w:val="24"/>
          <w:szCs w:val="24"/>
        </w:rPr>
        <w:t>representatio quando Abraam voluit interficere filium suum, et illa festa fuit facta per florentini</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868"/>
      </w:r>
      <w:r>
        <w:rPr>
          <w:rFonts w:ascii="Times New Roman" w:hAnsi="Times New Roman" w:cs="Times New Roman"/>
          <w:sz w:val="24"/>
          <w:szCs w:val="24"/>
        </w:rPr>
        <w:t xml:space="preserve"> e nel febbraio 1469 Feo Belcari, saputo dell’apprezzamento per i propri versi espresso da Margherita di Baviera, inviò alla corte di Mantova, alla suocera della principessa, Barbara di Brandeburgo, un manoscritto contenente «alquante sancte representationi et molte devote laude et sonecti vulgari», forse sperando che la sua produzione drammaturgica potesse essere tanto letta quanto rappresentata fuori Firenze</w:t>
      </w:r>
      <w:r w:rsidR="008F0278" w:rsidRPr="008F0278">
        <w:rPr>
          <w:rFonts w:ascii="Times New Roman" w:hAnsi="Times New Roman" w:cs="Times New Roman"/>
          <w:sz w:val="24"/>
          <w:szCs w:val="24"/>
        </w:rPr>
        <w:t xml:space="preserve"> </w:t>
      </w:r>
      <w:r w:rsidR="008F0278">
        <w:rPr>
          <w:rFonts w:ascii="Times New Roman" w:hAnsi="Times New Roman" w:cs="Times New Roman"/>
          <w:sz w:val="24"/>
          <w:szCs w:val="24"/>
        </w:rPr>
        <w:t>grazie al patrocinio dei Gonzaga</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869"/>
      </w:r>
      <w:r>
        <w:rPr>
          <w:rFonts w:ascii="Times New Roman" w:hAnsi="Times New Roman" w:cs="Times New Roman"/>
          <w:sz w:val="24"/>
          <w:szCs w:val="24"/>
        </w:rPr>
        <w:t xml:space="preserve"> </w:t>
      </w:r>
    </w:p>
    <w:p w14:paraId="2C2B5E6A" w14:textId="77777777" w:rsidR="00395702" w:rsidRPr="00EB4A05"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Lo scrittore fu probabilmente consapevole della possibilità che le proprie opere potessero essere inscenate presso corti principesche, svolgendo una funzione di puro intrattenimento degli aristocratici spettatori. Credo fosse per una simile finalità che il cardinale Riario avesse invitato gli apparatori fiorentini ad allestire </w:t>
      </w:r>
      <w:r w:rsidRPr="00EB4A05">
        <w:rPr>
          <w:rFonts w:ascii="Times New Roman" w:hAnsi="Times New Roman" w:cs="Times New Roman"/>
          <w:sz w:val="24"/>
          <w:szCs w:val="24"/>
        </w:rPr>
        <w:t xml:space="preserve">la </w:t>
      </w:r>
      <w:r w:rsidRPr="00EB4A05">
        <w:rPr>
          <w:rFonts w:ascii="Times New Roman" w:hAnsi="Times New Roman" w:cs="Times New Roman"/>
          <w:i/>
          <w:sz w:val="24"/>
          <w:szCs w:val="24"/>
        </w:rPr>
        <w:t>Storia di Susanna</w:t>
      </w:r>
      <w:r w:rsidRPr="00EB4A05">
        <w:rPr>
          <w:rFonts w:ascii="Times New Roman" w:hAnsi="Times New Roman" w:cs="Times New Roman"/>
          <w:sz w:val="24"/>
          <w:szCs w:val="24"/>
        </w:rPr>
        <w:t xml:space="preserve">, la </w:t>
      </w:r>
      <w:r w:rsidRPr="00EB4A05">
        <w:rPr>
          <w:rFonts w:ascii="Times New Roman" w:hAnsi="Times New Roman" w:cs="Times New Roman"/>
          <w:i/>
          <w:sz w:val="24"/>
          <w:szCs w:val="24"/>
        </w:rPr>
        <w:t>Rappresentatione del Corpo di Cristo</w:t>
      </w:r>
      <w:r w:rsidRPr="00EB4A05">
        <w:rPr>
          <w:rFonts w:ascii="Times New Roman" w:hAnsi="Times New Roman" w:cs="Times New Roman"/>
          <w:sz w:val="24"/>
          <w:szCs w:val="24"/>
        </w:rPr>
        <w:t xml:space="preserve"> e quella di </w:t>
      </w:r>
      <w:r w:rsidRPr="00EB4A05">
        <w:rPr>
          <w:rFonts w:ascii="Times New Roman" w:hAnsi="Times New Roman" w:cs="Times New Roman"/>
          <w:i/>
          <w:sz w:val="24"/>
          <w:szCs w:val="24"/>
        </w:rPr>
        <w:t>San Giovanni Battista</w:t>
      </w:r>
      <w:r w:rsidRPr="00EB4A05">
        <w:rPr>
          <w:rFonts w:ascii="Times New Roman" w:hAnsi="Times New Roman" w:cs="Times New Roman"/>
          <w:sz w:val="24"/>
          <w:szCs w:val="24"/>
        </w:rPr>
        <w:t xml:space="preserve"> in onore del passaggio a Roma della sposa del duca di Ferrara. </w:t>
      </w:r>
    </w:p>
    <w:p w14:paraId="16D1CA99"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sidRPr="00EB4A05">
        <w:rPr>
          <w:rFonts w:ascii="Times New Roman" w:hAnsi="Times New Roman" w:cs="Times New Roman"/>
          <w:sz w:val="24"/>
          <w:szCs w:val="24"/>
        </w:rPr>
        <w:t xml:space="preserve">Difficile formulare ipotesi sul motivo per cui furono scelti proprio questi tre testi drammaturgici. La </w:t>
      </w:r>
      <w:r w:rsidRPr="00EB4A05">
        <w:rPr>
          <w:rFonts w:ascii="Times New Roman" w:hAnsi="Times New Roman" w:cs="Times New Roman"/>
          <w:i/>
          <w:sz w:val="24"/>
          <w:szCs w:val="24"/>
        </w:rPr>
        <w:t>Storia di Susanna</w:t>
      </w:r>
      <w:r w:rsidRPr="00EB4A05">
        <w:rPr>
          <w:rFonts w:ascii="Times New Roman" w:hAnsi="Times New Roman" w:cs="Times New Roman"/>
          <w:sz w:val="24"/>
          <w:szCs w:val="24"/>
        </w:rPr>
        <w:t xml:space="preserve"> (</w:t>
      </w:r>
      <w:r w:rsidRPr="003660C4">
        <w:rPr>
          <w:rFonts w:ascii="Times New Roman" w:hAnsi="Times New Roman" w:cs="Times New Roman"/>
          <w:sz w:val="24"/>
          <w:szCs w:val="24"/>
        </w:rPr>
        <w:t>Da,</w:t>
      </w:r>
      <w:r w:rsidRPr="00EB4A05">
        <w:rPr>
          <w:rFonts w:ascii="Times New Roman" w:hAnsi="Times New Roman" w:cs="Times New Roman"/>
          <w:sz w:val="24"/>
          <w:szCs w:val="24"/>
        </w:rPr>
        <w:t xml:space="preserve"> XIII), la bella fanciulla che rifiutò gli inganni e le indecenti proposte di due anziani giudici e dimostrò in un processo la propria fedeltà al marito Joachim, potrebbe essere stata selezionata</w:t>
      </w:r>
      <w:r>
        <w:rPr>
          <w:rFonts w:ascii="Times New Roman" w:hAnsi="Times New Roman" w:cs="Times New Roman"/>
          <w:sz w:val="24"/>
          <w:szCs w:val="24"/>
        </w:rPr>
        <w:t xml:space="preserve"> in omaggio alle virtù di castità e di fedeltà della sposa.</w:t>
      </w:r>
      <w:r>
        <w:rPr>
          <w:rStyle w:val="Rimandonotaapidipagina"/>
          <w:rFonts w:ascii="Times New Roman" w:hAnsi="Times New Roman" w:cs="Times New Roman"/>
          <w:sz w:val="24"/>
          <w:szCs w:val="24"/>
        </w:rPr>
        <w:footnoteReference w:id="870"/>
      </w:r>
      <w:r>
        <w:rPr>
          <w:rFonts w:ascii="Times New Roman" w:hAnsi="Times New Roman" w:cs="Times New Roman"/>
          <w:sz w:val="24"/>
          <w:szCs w:val="24"/>
        </w:rPr>
        <w:t xml:space="preserve"> </w:t>
      </w:r>
      <w:r>
        <w:t xml:space="preserve">   </w:t>
      </w:r>
    </w:p>
    <w:p w14:paraId="09560B01"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La </w:t>
      </w:r>
      <w:r>
        <w:rPr>
          <w:rFonts w:ascii="Times New Roman" w:hAnsi="Times New Roman" w:cs="Times New Roman"/>
          <w:i/>
          <w:sz w:val="24"/>
          <w:szCs w:val="24"/>
        </w:rPr>
        <w:t>Rappresentatione del Corpo di Cristo</w:t>
      </w:r>
      <w:r>
        <w:rPr>
          <w:rFonts w:ascii="Times New Roman" w:hAnsi="Times New Roman" w:cs="Times New Roman"/>
          <w:sz w:val="24"/>
          <w:szCs w:val="24"/>
        </w:rPr>
        <w:t xml:space="preserve"> fu invece probabilmente la prima messinscena nota dell’anonima</w:t>
      </w:r>
      <w:r>
        <w:rPr>
          <w:rFonts w:ascii="Times New Roman" w:hAnsi="Times New Roman" w:cs="Times New Roman"/>
          <w:i/>
          <w:sz w:val="24"/>
          <w:szCs w:val="24"/>
        </w:rPr>
        <w:t xml:space="preserve"> Rappresentatione d’uno miracolo del Corpo di Cristo</w:t>
      </w:r>
      <w:r>
        <w:rPr>
          <w:rFonts w:ascii="Times New Roman" w:hAnsi="Times New Roman" w:cs="Times New Roman"/>
          <w:sz w:val="24"/>
          <w:szCs w:val="24"/>
        </w:rPr>
        <w:t xml:space="preserve">, pubblicata intorno al 1498 da Bartolomeo de’ Libri, della quale si conoscono due allestimenti fiorentini, il 5 giugno 1477 e il 29 </w:t>
      </w:r>
      <w:r>
        <w:rPr>
          <w:rFonts w:ascii="Times New Roman" w:hAnsi="Times New Roman" w:cs="Times New Roman"/>
          <w:sz w:val="24"/>
          <w:szCs w:val="24"/>
        </w:rPr>
        <w:lastRenderedPageBreak/>
        <w:t>maggio 1502, in entrambi i casi recitati per la festa del Corpus Domini sulla piazza di Santa Maria Novella.</w:t>
      </w:r>
      <w:r>
        <w:rPr>
          <w:rStyle w:val="Rimandonotaapidipagina"/>
          <w:rFonts w:ascii="Times New Roman" w:hAnsi="Times New Roman" w:cs="Times New Roman"/>
          <w:sz w:val="24"/>
          <w:szCs w:val="24"/>
        </w:rPr>
        <w:footnoteReference w:id="871"/>
      </w:r>
      <w:r>
        <w:rPr>
          <w:rFonts w:ascii="Times New Roman" w:hAnsi="Times New Roman" w:cs="Times New Roman"/>
          <w:sz w:val="24"/>
          <w:szCs w:val="24"/>
        </w:rPr>
        <w:t xml:space="preserve"> L’opera rielaborava</w:t>
      </w:r>
      <w:r w:rsidR="00E81B4D">
        <w:rPr>
          <w:rFonts w:ascii="Times New Roman" w:hAnsi="Times New Roman" w:cs="Times New Roman"/>
          <w:sz w:val="24"/>
          <w:szCs w:val="24"/>
        </w:rPr>
        <w:t xml:space="preserve"> drammaturgicamente</w:t>
      </w:r>
      <w:r>
        <w:rPr>
          <w:rFonts w:ascii="Times New Roman" w:hAnsi="Times New Roman" w:cs="Times New Roman"/>
          <w:sz w:val="24"/>
          <w:szCs w:val="24"/>
        </w:rPr>
        <w:t xml:space="preserve"> una </w:t>
      </w:r>
      <w:r w:rsidR="004C0C1E">
        <w:rPr>
          <w:rFonts w:ascii="Times New Roman" w:hAnsi="Times New Roman" w:cs="Times New Roman"/>
          <w:sz w:val="24"/>
          <w:szCs w:val="24"/>
        </w:rPr>
        <w:t>vicenda</w:t>
      </w:r>
      <w:r w:rsidR="005467BA">
        <w:rPr>
          <w:rFonts w:ascii="Times New Roman" w:hAnsi="Times New Roman" w:cs="Times New Roman"/>
          <w:sz w:val="24"/>
          <w:szCs w:val="24"/>
        </w:rPr>
        <w:t xml:space="preserve"> di cronaca avvenuta a</w:t>
      </w:r>
      <w:r w:rsidR="004C0C1E">
        <w:rPr>
          <w:rFonts w:ascii="Times New Roman" w:hAnsi="Times New Roman" w:cs="Times New Roman"/>
          <w:sz w:val="24"/>
          <w:szCs w:val="24"/>
        </w:rPr>
        <w:t xml:space="preserve"> </w:t>
      </w:r>
      <w:r w:rsidR="005467BA">
        <w:rPr>
          <w:rFonts w:ascii="Times New Roman" w:hAnsi="Times New Roman" w:cs="Times New Roman"/>
          <w:sz w:val="24"/>
          <w:szCs w:val="24"/>
        </w:rPr>
        <w:t xml:space="preserve">Parigi intorno al 1290 </w:t>
      </w:r>
      <w:r>
        <w:rPr>
          <w:rFonts w:ascii="Times New Roman" w:hAnsi="Times New Roman" w:cs="Times New Roman"/>
          <w:sz w:val="24"/>
          <w:szCs w:val="24"/>
        </w:rPr>
        <w:t>riguardante la profanazione di un’ostia consacrata, ceduta da una donna all’usuraio ebreo Manuello per riavere un abito impegnato presso il banco di</w:t>
      </w:r>
      <w:r w:rsidR="005467BA">
        <w:rPr>
          <w:rFonts w:ascii="Times New Roman" w:hAnsi="Times New Roman" w:cs="Times New Roman"/>
          <w:sz w:val="24"/>
          <w:szCs w:val="24"/>
        </w:rPr>
        <w:t xml:space="preserve"> costui</w:t>
      </w:r>
      <w:r>
        <w:rPr>
          <w:rFonts w:ascii="Times New Roman" w:hAnsi="Times New Roman" w:cs="Times New Roman"/>
          <w:sz w:val="24"/>
          <w:szCs w:val="24"/>
        </w:rPr>
        <w:t>. Il soggetto del testo, caratterizzato da uno spiccato sentimento antisemita e dal proposito di celebrare la veridicità del sacramento eucaristico – miracolosamente dimostrata durante i tentativi dell’ebreo di profanare la particola –, non aveva alcun legame con l’esaltazione dello sposalizio estense e credo non fosse stato selezionato neppure per rendere omaggio alla solennità del Corpus Domini, che nel 1473 cadde il 17 giugno, ovvero nove giorni dopo lo svolgimento dello spettacolo, quando il corteo della sposa aragonese aveva già lasciato Roma.</w:t>
      </w:r>
    </w:p>
    <w:p w14:paraId="44F0DA6A"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Anche la rappresentazione dedicata a san Giovanni Battista e san Giacomo minore non aveva alcun rapporto con l’occasione dello sposalizio, mentre è certo che le vicende del martirio del Precursore si prestassero ad una proposizione scenica movimentata e coinvolgente, con la danza di Salomè e con la discesa di Erodiade agli inferi accompagnata da boati ed effetti pirotecnici, come descritti nelle didascalie del più antico testo fiorentino della </w:t>
      </w:r>
      <w:r>
        <w:rPr>
          <w:rFonts w:ascii="Times New Roman" w:hAnsi="Times New Roman" w:cs="Times New Roman"/>
          <w:i/>
          <w:sz w:val="24"/>
          <w:szCs w:val="24"/>
        </w:rPr>
        <w:t>Rappresentatione di san Giovanni quando fu decollato</w:t>
      </w:r>
      <w:r>
        <w:rPr>
          <w:rFonts w:ascii="Times New Roman" w:hAnsi="Times New Roman" w:cs="Times New Roman"/>
          <w:sz w:val="24"/>
          <w:szCs w:val="24"/>
        </w:rPr>
        <w:t>, la cui prima messinscena nota si ebbe a Firenze il 29 agosto 1451, per l’appunto nella solennità del Martirio del Battista.</w:t>
      </w:r>
      <w:r>
        <w:rPr>
          <w:rStyle w:val="Rimandonotaapidipagina"/>
          <w:rFonts w:ascii="Times New Roman" w:hAnsi="Times New Roman" w:cs="Times New Roman"/>
          <w:sz w:val="24"/>
          <w:szCs w:val="24"/>
        </w:rPr>
        <w:footnoteReference w:id="872"/>
      </w:r>
      <w:r>
        <w:rPr>
          <w:rFonts w:ascii="Times New Roman" w:hAnsi="Times New Roman" w:cs="Times New Roman"/>
          <w:sz w:val="24"/>
          <w:szCs w:val="24"/>
        </w:rPr>
        <w:t xml:space="preserve"> </w:t>
      </w:r>
    </w:p>
    <w:p w14:paraId="66F7DF0F"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Parimenti, uno sfoggio appariscente di costumi orientali e insoliti avrebbe potuto caratterizzare </w:t>
      </w:r>
      <w:r w:rsidRPr="00EB4A05">
        <w:rPr>
          <w:rFonts w:ascii="Times New Roman" w:hAnsi="Times New Roman" w:cs="Times New Roman"/>
          <w:sz w:val="24"/>
          <w:szCs w:val="24"/>
        </w:rPr>
        <w:t xml:space="preserve">la </w:t>
      </w:r>
      <w:r w:rsidRPr="00EB4A05">
        <w:rPr>
          <w:rFonts w:ascii="Times New Roman" w:hAnsi="Times New Roman" w:cs="Times New Roman"/>
          <w:i/>
          <w:sz w:val="24"/>
          <w:szCs w:val="24"/>
        </w:rPr>
        <w:t>Storia di Susanna</w:t>
      </w:r>
      <w:r w:rsidRPr="00EB4A05">
        <w:rPr>
          <w:rFonts w:ascii="Times New Roman" w:hAnsi="Times New Roman" w:cs="Times New Roman"/>
          <w:sz w:val="24"/>
          <w:szCs w:val="24"/>
        </w:rPr>
        <w:t>, ambientata alla</w:t>
      </w:r>
      <w:r>
        <w:rPr>
          <w:rFonts w:ascii="Times New Roman" w:hAnsi="Times New Roman" w:cs="Times New Roman"/>
          <w:sz w:val="24"/>
          <w:szCs w:val="24"/>
        </w:rPr>
        <w:t xml:space="preserve"> corte di Babilonia, e per la cui rappresentazione sarebbe stato forse necessario apparare anche un giardino con una fontana per simulare il bagno della protagonista riferito dal racconto biblico. </w:t>
      </w:r>
    </w:p>
    <w:p w14:paraId="4E353863"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Dal momento che le fonti non specificano però nulla sulle modalità di svolgimento dei tre spettacoli la possibilità di una scelta dei testi sulla base dell’efficacia spettacolare degli allestimenti resta confinata nel campo delle ipotesi, mentre appare chiaro che la selezione dei soggetti delle rappresentazioni, allestite dai maestri fiorentini con finalità esclusivamente encomiastiche, fu indipendente dal calendario liturgico. </w:t>
      </w:r>
    </w:p>
    <w:p w14:paraId="6AC1040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Un’altra sacra rappresentazione sul tema del Martirio del Battista per la quale le soluzioni scenotecniche impiegate lasciano ipotizzare l’intervento di apparatori fiorentini </w:t>
      </w:r>
      <w:r w:rsidRPr="00EB4A05">
        <w:rPr>
          <w:rFonts w:ascii="Times New Roman" w:hAnsi="Times New Roman" w:cs="Times New Roman"/>
          <w:sz w:val="24"/>
          <w:szCs w:val="24"/>
        </w:rPr>
        <w:t>nell</w:t>
      </w:r>
      <w:r>
        <w:rPr>
          <w:rFonts w:ascii="Times New Roman" w:hAnsi="Times New Roman" w:cs="Times New Roman"/>
          <w:sz w:val="24"/>
          <w:szCs w:val="24"/>
        </w:rPr>
        <w:t>’allestimento si ebbe nell’estate del 1488, quando Guidubaldo da Montefeltro ed Elisabetta Gonzaga visitarono le loro residenze nelle terre del ducato urbinate. Il 22 aprile di quell’anno la coppia fu ricevuta a Cagli da «una infinita multitudine de putti cum zirlande in testa et cum rame de lauro in mane che gridav</w:t>
      </w:r>
      <w:r w:rsidR="005467BA">
        <w:rPr>
          <w:rFonts w:ascii="Times New Roman" w:hAnsi="Times New Roman" w:cs="Times New Roman"/>
          <w:sz w:val="24"/>
          <w:szCs w:val="24"/>
        </w:rPr>
        <w:t>a</w:t>
      </w:r>
      <w:r>
        <w:rPr>
          <w:rFonts w:ascii="Times New Roman" w:hAnsi="Times New Roman" w:cs="Times New Roman"/>
          <w:sz w:val="24"/>
          <w:szCs w:val="24"/>
        </w:rPr>
        <w:t>no Duca duca et Gonzaga Gonzaga» e attraverso un percorso ornato da archi di verzura e fiori raggiunse la rocca cittadina. Un addobbo molto simile fu preparato anche dagli abitanti della vicina Cantiano, dove i due sposi soggiornarono il dì successivo, giungendo infine il 24 aprile a Gubbio, le cui vie presentavano «infiniti archi et feste de verdura, cum certi spiritelli che recitarono alcuni versi, che fue bella rappresentatione et cosa inzegnosa, che parsi una altra noza».</w:t>
      </w:r>
      <w:r>
        <w:rPr>
          <w:rStyle w:val="Rimandonotaapidipagina"/>
          <w:rFonts w:ascii="Times New Roman" w:hAnsi="Times New Roman" w:cs="Times New Roman"/>
          <w:sz w:val="24"/>
          <w:szCs w:val="24"/>
        </w:rPr>
        <w:footnoteReference w:id="873"/>
      </w:r>
      <w:r>
        <w:rPr>
          <w:rFonts w:ascii="Times New Roman" w:hAnsi="Times New Roman" w:cs="Times New Roman"/>
          <w:sz w:val="24"/>
          <w:szCs w:val="24"/>
        </w:rPr>
        <w:t xml:space="preserve"> </w:t>
      </w:r>
    </w:p>
    <w:p w14:paraId="09C581FA"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Terminata la villeggiatura, il 4 luglio i duchi iniziarono il viaggio di rientro a Urbino, allietato da una sosta, tra il 21 e il 27 luglio 1488, a </w:t>
      </w:r>
      <w:r w:rsidRPr="00EB4A05">
        <w:rPr>
          <w:rFonts w:ascii="Times New Roman" w:hAnsi="Times New Roman" w:cs="Times New Roman"/>
          <w:sz w:val="24"/>
          <w:szCs w:val="24"/>
        </w:rPr>
        <w:t>Casteldurante, attuale</w:t>
      </w:r>
      <w:r>
        <w:rPr>
          <w:rFonts w:ascii="Times New Roman" w:hAnsi="Times New Roman" w:cs="Times New Roman"/>
          <w:sz w:val="24"/>
          <w:szCs w:val="24"/>
        </w:rPr>
        <w:t xml:space="preserve"> Urbania, residenza prediletta da Guidubaldo, la quale aveva goduto durante il ducato di suo padre di un importante lavoro di ammodernamento urbano, affidato principalmente a Francesco di Giorgio Martini, architetto del quale Federico da Montefeltro aveva chiesto la consulenza anche per l’edificazione del palazzo ducale di Gubbio.</w:t>
      </w:r>
      <w:r>
        <w:rPr>
          <w:rStyle w:val="Rimandonotaapidipagina"/>
          <w:rFonts w:ascii="Times New Roman" w:hAnsi="Times New Roman" w:cs="Times New Roman"/>
          <w:sz w:val="24"/>
          <w:szCs w:val="24"/>
        </w:rPr>
        <w:footnoteReference w:id="874"/>
      </w:r>
      <w:r>
        <w:rPr>
          <w:rFonts w:ascii="Times New Roman" w:hAnsi="Times New Roman" w:cs="Times New Roman"/>
          <w:sz w:val="24"/>
          <w:szCs w:val="24"/>
        </w:rPr>
        <w:t xml:space="preserve"> Le terre visitate dagli sposi erano dunque strettamente legate alle sorti dei Montefeltro e i loro abitanti vollero rendere degno omaggio al matrimonio del principe. </w:t>
      </w:r>
    </w:p>
    <w:p w14:paraId="79181514"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Benedetto Capilupi descrisse minutamente le accoglienze di Casteldurante in una missiva a Francesco II Gonzaga, segnalando il consueto addobbo viario di candidi panni di lana e di ghirlande di fiori preparato per l’ingresso principesco, oltre a «dodici archi l’uno variato da l’altro cum l’arme e divise de V.S. e ducale, spiritelli, vasi antiqui et fontane, due de le quale butava aqua rosata».</w:t>
      </w:r>
      <w:r>
        <w:rPr>
          <w:rStyle w:val="Rimandonotaapidipagina"/>
          <w:rFonts w:ascii="Times New Roman" w:hAnsi="Times New Roman" w:cs="Times New Roman"/>
          <w:sz w:val="24"/>
          <w:szCs w:val="24"/>
        </w:rPr>
        <w:footnoteReference w:id="875"/>
      </w:r>
      <w:r>
        <w:rPr>
          <w:rFonts w:ascii="Times New Roman" w:hAnsi="Times New Roman" w:cs="Times New Roman"/>
          <w:sz w:val="24"/>
          <w:szCs w:val="24"/>
        </w:rPr>
        <w:t xml:space="preserve"> Da questi archi alcuni putti recitarono versi di saluto mentre </w:t>
      </w:r>
    </w:p>
    <w:p w14:paraId="2BEDA87D"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57657F94"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r>
        <w:rPr>
          <w:rFonts w:ascii="Times New Roman" w:hAnsi="Times New Roman" w:cs="Times New Roman"/>
          <w:sz w:val="20"/>
          <w:szCs w:val="20"/>
        </w:rPr>
        <w:t xml:space="preserve">Dal palazo fino a la piaza fu condutto un carro triomphale sopra il quale in triangulo sedevano Cesare, Sipione e lo duca Federico, cum armature indosso dorate et facte all’antiqua. Uno poco da basso d’essi sedeva una sibilla nanti al carro. Ne la cima soppra certa balla stava in pede un angelo cum un ramo de palma in mane, el quale prima cantò versi et doppo lui triumphanti et sibilla. Dui centauri tiravano el carro; altri animali et ucelli erano sopra esso, che volendoli specificare seria troppo longo scrivere. Recitato che ciaschuno hebe li versi suoi, se avioe el carro inanti acompagnò el Signore et Madama alla corte. </w:t>
      </w:r>
    </w:p>
    <w:p w14:paraId="6BDC2522"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7789776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Alla descrizione dell’entrata trionfale Capilupi fece seguire quella di una sacra rappresentazione allestita nell’ultimo giorno del soggiorno dei principi, quando, saputo che il padre della sposa non sarebbe potuto giungere a Casteldurante per salutare i coniugi, si decise infine di dare autorizzazione agli abitanti organizzatori dello spettacolo a procedere con la recita: </w:t>
      </w:r>
    </w:p>
    <w:p w14:paraId="6FB73DA1"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63C429C5"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r>
        <w:rPr>
          <w:rFonts w:ascii="Times New Roman" w:hAnsi="Times New Roman" w:cs="Times New Roman"/>
          <w:sz w:val="20"/>
          <w:szCs w:val="20"/>
        </w:rPr>
        <w:t xml:space="preserve">La dominica poi, che fu ali XVII se fece la rapresentatione de la vita de Santo Zohanne Baptista. El palco, cioè l’aparato era longo tanto como è el cortile de la corte de V.S. cum collonne, cornise et coperto, facti de ligname lavorati et dipinti a l’antiqua. Tra l’una collonna et l’altra erano una divisa gonzaghesca et una feltresca cum panni de verdura et corni de divitia. </w:t>
      </w:r>
    </w:p>
    <w:p w14:paraId="77835423"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r>
        <w:rPr>
          <w:rFonts w:ascii="Times New Roman" w:hAnsi="Times New Roman" w:cs="Times New Roman"/>
          <w:sz w:val="20"/>
          <w:szCs w:val="20"/>
        </w:rPr>
        <w:t xml:space="preserve">Da un capo d’esso palco a man dritta era la casa de Zacharia, padre de Santo Zohanne, dreto questa una casa de vicini, et poi quella de la Nostra Donna che andò a visitare Santa Elisabeth. Apresso era el tempio dove fu a Zacharia per l’angelo anuntiata la natività de Sto Zohanne et in quel medesimo fu circumciso. Poco più ultra era el deserto dove andò a fare penitentia et lì Christo et lui se baptizarono. Poi, che era proprio nel mezo del palco, era el re Herode assettato sopra una sedia alta et havea intorno da basso li suoi scudierie consiglieri. Lì appresso era la credenza facta per modo che li arzenti andavano intorno dritti. Fra un poco de distante era la Regina che sedeva nel sopto modo et nanti li piedi havea la figliola et intorno donne. Lì apresso era le presone dove fu posto et decapitato Santo Zohanne. Poi lì era una grotta dove ussitte la Sibilla. Più oltra da l’altro capo de la baltresca erano tri baroni del Re assettati pur in sedie cum li donzelli suoi vestiti a livrea, ma l’uno distante et differente de habito da l’altro: li quali furono invitati al convito del Re quando fu morto Santo Zohanne et ogniuno era vestito apropriatamente, che furono fra tuti circa 80, di quali 30 recitorono versi. </w:t>
      </w:r>
    </w:p>
    <w:p w14:paraId="043FC04C"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r>
        <w:rPr>
          <w:rFonts w:ascii="Times New Roman" w:hAnsi="Times New Roman" w:cs="Times New Roman"/>
          <w:sz w:val="20"/>
          <w:szCs w:val="20"/>
        </w:rPr>
        <w:t>Questa festa fu facta su la piaza apresso la rocha, in cima de la quale era el Paradiso, dal quale sopra una corda in una nuvola discese tre volte angeli. La prima restò a mezo aere uno che anuntiò la festa. Due altre, venne a smontare sul palco per parlare a Zacharia. In terra apresso la fossa de la rocha era lo inferno, la bocha del quale era la testa de uno drachone grande, cum la bocha aperta che parea desendesse in essa fossa, cum uno edifficio carico de diavoli che giravano cum diversi instrumenti in mane che buttavano foco. In questo inferno, morto che fu Santo Zohanne, cum la magior presteza del mundo fu portata la regina per uno diavolo per una corda. Il che fu admirando spectaculo, et cussì quello del tagliare la testa a Santo Zohanne, che parse proprio vero per esser conzignato una testa falsa ad uno corpo de homo vivo.</w:t>
      </w:r>
    </w:p>
    <w:p w14:paraId="1CC0E792" w14:textId="77777777" w:rsidR="00395702" w:rsidRDefault="00395702" w:rsidP="00395702">
      <w:pPr>
        <w:tabs>
          <w:tab w:val="left" w:pos="8364"/>
        </w:tabs>
        <w:spacing w:after="0" w:line="360" w:lineRule="auto"/>
        <w:ind w:left="567" w:right="851"/>
        <w:jc w:val="both"/>
        <w:rPr>
          <w:rFonts w:ascii="Times New Roman" w:hAnsi="Times New Roman" w:cs="Times New Roman"/>
          <w:sz w:val="20"/>
          <w:szCs w:val="20"/>
        </w:rPr>
      </w:pPr>
      <w:r>
        <w:rPr>
          <w:rFonts w:ascii="Times New Roman" w:hAnsi="Times New Roman" w:cs="Times New Roman"/>
          <w:sz w:val="20"/>
          <w:szCs w:val="20"/>
        </w:rPr>
        <w:t>Questa representatione se principioe a le 19 hore et fu fornita a le 23.</w:t>
      </w:r>
    </w:p>
    <w:p w14:paraId="2F809C37" w14:textId="77777777" w:rsidR="00395702" w:rsidRDefault="00395702" w:rsidP="00395702">
      <w:pPr>
        <w:tabs>
          <w:tab w:val="left" w:pos="8364"/>
        </w:tabs>
        <w:spacing w:after="0" w:line="360" w:lineRule="auto"/>
        <w:jc w:val="both"/>
        <w:rPr>
          <w:rFonts w:ascii="Times New Roman" w:hAnsi="Times New Roman" w:cs="Times New Roman"/>
          <w:sz w:val="24"/>
          <w:szCs w:val="24"/>
        </w:rPr>
      </w:pPr>
    </w:p>
    <w:p w14:paraId="73F5AB17"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Dalle indicazioni del diplomatico si apprende come la recita si svolse sulla piazza antistante il castello, su un ampio palco di legno la cui lunghezza è paragonata a quella «del cortile de la corte de V.S.», ossia del cortile d’onore del Castello di San Giorgio a Mantova, completato nel 1472 dall’architetto fiorentino </w:t>
      </w:r>
      <w:bookmarkStart w:id="525" w:name="_Hlk536014842"/>
      <w:r>
        <w:rPr>
          <w:rFonts w:ascii="Times New Roman" w:hAnsi="Times New Roman" w:cs="Times New Roman"/>
          <w:sz w:val="24"/>
          <w:szCs w:val="24"/>
        </w:rPr>
        <w:t>Luca Fancelli</w:t>
      </w:r>
      <w:bookmarkEnd w:id="525"/>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876"/>
      </w:r>
      <w:r>
        <w:rPr>
          <w:rFonts w:ascii="Times New Roman" w:hAnsi="Times New Roman" w:cs="Times New Roman"/>
          <w:sz w:val="24"/>
          <w:szCs w:val="24"/>
        </w:rPr>
        <w:t xml:space="preserve"> Un coperto ligneo, decorato da pannelli con le divise dei Gonzaga e dei Montefeltro ripartiti da colonne e da festoni floreali, abbracciava e unificava la scena multipla a luoghi deputati che ospitava gli interpreti degli episodi evangelici: alla destra del riguardante si trovavano la casa di Zaccaria, quelle dei vicini, la dimora di Elisabetta, il tempio, il deserto. In posizione centrale era posta invece la reggia di Erode, con gli scranni per i cortigiani e con una ricca credenza con piatti e vasi d’argento. Accanto ad essa vi erano la prigione dove il santo fu incarcerato e la grotta della sibilla e infine, sul lato sinistro del palco, altri seggi per i funzionari del re e i loro paggi.</w:t>
      </w:r>
      <w:r>
        <w:rPr>
          <w:rStyle w:val="Rimandonotaapidipagina"/>
          <w:rFonts w:ascii="Times New Roman" w:hAnsi="Times New Roman" w:cs="Times New Roman"/>
          <w:sz w:val="24"/>
          <w:szCs w:val="24"/>
        </w:rPr>
        <w:footnoteReference w:id="877"/>
      </w:r>
      <w:r>
        <w:rPr>
          <w:rFonts w:ascii="Times New Roman" w:hAnsi="Times New Roman" w:cs="Times New Roman"/>
          <w:sz w:val="24"/>
          <w:szCs w:val="24"/>
        </w:rPr>
        <w:t xml:space="preserve"> </w:t>
      </w:r>
    </w:p>
    <w:p w14:paraId="32B18BA4"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Capilupi specificò poco riguardo allo svolgimento della rappresentazione, ma si comprende bene come nella prima parte dello spettacolo l’attenzione degli spettatori fosse stata catturata dall’apertura dell’ingegno del Paradiso, sospeso sulle mura del castello cui era addossato il palco, dal quale «in una nuvola discese tre volte angeli».</w:t>
      </w:r>
      <w:r>
        <w:rPr>
          <w:rStyle w:val="Rimandonotaapidipagina"/>
          <w:rFonts w:ascii="Times New Roman" w:hAnsi="Times New Roman" w:cs="Times New Roman"/>
          <w:sz w:val="24"/>
          <w:szCs w:val="24"/>
        </w:rPr>
        <w:footnoteReference w:id="878"/>
      </w:r>
      <w:r>
        <w:rPr>
          <w:rFonts w:ascii="Times New Roman" w:hAnsi="Times New Roman" w:cs="Times New Roman"/>
          <w:sz w:val="24"/>
          <w:szCs w:val="24"/>
        </w:rPr>
        <w:t xml:space="preserve"> La prima volta un messaggero celeste annunciò l’inizio della festa, rimanendo in volo sopra la scena, mentre nelle successive due comparse, come scrisse il diplomatico, discese sul palco per parlare a Zaccaria. Il racconto evangelico della nascita del Battista (Lc, I, 11-20) ricorda però una sola apparizione dell’arcangelo Gabriele al sacerdote per recare l’annuncio del concepimento dell’anziana moglie, Elisabetta, al quale nelle sacre scritture segue l’episodio dell’Annuciazione (Lc, I, 26-37). Credo che proprio l’annuncio a Maria avesse richiesto la terza discesa dell’angelo sulla scena di Casteldurante, come conferma il fatto che tra i luoghi deputati dell’azione vi fosse la casa «de la Nostra Donna», che nei vangeli sinottici è citata soltanto nel racconto dell’Incarnazione.</w:t>
      </w:r>
      <w:r>
        <w:rPr>
          <w:rStyle w:val="Rimandonotaapidipagina"/>
          <w:rFonts w:ascii="Times New Roman" w:hAnsi="Times New Roman" w:cs="Times New Roman"/>
          <w:sz w:val="24"/>
          <w:szCs w:val="24"/>
        </w:rPr>
        <w:footnoteReference w:id="879"/>
      </w:r>
      <w:r>
        <w:rPr>
          <w:rFonts w:ascii="Times New Roman" w:hAnsi="Times New Roman" w:cs="Times New Roman"/>
          <w:sz w:val="24"/>
          <w:szCs w:val="24"/>
        </w:rPr>
        <w:t xml:space="preserve"> </w:t>
      </w:r>
    </w:p>
    <w:p w14:paraId="6046D6D6"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 Tanto la sintetica descrizione dell’ingegno quanto le sue funzioni nella drammaturgia della sacra rappresentazione mi sembrano pertanto ricordare da vicino i paradisi brunelleschiani delle chiese d’Oltrarno, sebbene Capilupi non abbia indicato la forma esatta del marchingegno o espressamente annotato la presenza al suo interno di altri angeli come quelli che popolavano le macchine fiorentine.   </w:t>
      </w:r>
    </w:p>
    <w:p w14:paraId="18ACBBC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Nella parte finale del dramma, a costituire il fulcro dell’azione drammatica furono invece la decapitazione del Battista, resa sulla scena con una falsa testa mozzata e fatta rotolare sul palco, e l’apertura della bocca dell’inferno per accogliere Erodiade cacciata agli inferi da un demonio. </w:t>
      </w:r>
    </w:p>
    <w:p w14:paraId="35AD0B6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In prossimità del fossato che circonda ancora oggi il castello era stato dunque collocato l’ingegno raffigurante la testa di un drago le cui fauci si aprirono mostrando un «orrido edifficio carico de diavoli che giravano cum diversi instrumenti in mane che buttavano foco». Un ingegno molto simile a questo è descritto dal </w:t>
      </w:r>
      <w:r>
        <w:rPr>
          <w:rFonts w:ascii="Times New Roman" w:hAnsi="Times New Roman" w:cs="Times New Roman"/>
          <w:i/>
          <w:sz w:val="24"/>
          <w:szCs w:val="24"/>
        </w:rPr>
        <w:t>Diario ferrarese</w:t>
      </w:r>
      <w:r>
        <w:rPr>
          <w:rFonts w:ascii="Times New Roman" w:hAnsi="Times New Roman" w:cs="Times New Roman"/>
          <w:sz w:val="24"/>
          <w:szCs w:val="24"/>
        </w:rPr>
        <w:t xml:space="preserve"> di Zambotti nella presentazione dell’apparato scenico per una </w:t>
      </w:r>
      <w:r>
        <w:rPr>
          <w:rFonts w:ascii="Times New Roman" w:hAnsi="Times New Roman" w:cs="Times New Roman"/>
          <w:i/>
          <w:sz w:val="24"/>
          <w:szCs w:val="24"/>
        </w:rPr>
        <w:t>Passione</w:t>
      </w:r>
      <w:r>
        <w:rPr>
          <w:rFonts w:ascii="Times New Roman" w:hAnsi="Times New Roman" w:cs="Times New Roman"/>
          <w:sz w:val="24"/>
          <w:szCs w:val="24"/>
        </w:rPr>
        <w:t xml:space="preserve"> inscenata nella cappella di Santa Maria della corte a Ferrara alla presenza di Ercole d’Este il 20 aprile 1481: </w:t>
      </w:r>
    </w:p>
    <w:p w14:paraId="4A9A374B" w14:textId="77777777" w:rsidR="00395702" w:rsidRDefault="00395702" w:rsidP="00395702">
      <w:pPr>
        <w:tabs>
          <w:tab w:val="left" w:pos="8364"/>
        </w:tabs>
        <w:spacing w:after="0" w:line="360" w:lineRule="auto"/>
        <w:jc w:val="both"/>
        <w:rPr>
          <w:rFonts w:ascii="Times New Roman" w:hAnsi="Times New Roman" w:cs="Times New Roman"/>
          <w:sz w:val="20"/>
          <w:szCs w:val="20"/>
        </w:rPr>
      </w:pPr>
    </w:p>
    <w:p w14:paraId="194814C9"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r>
        <w:rPr>
          <w:rFonts w:ascii="Times New Roman" w:hAnsi="Times New Roman" w:cs="Times New Roman"/>
          <w:sz w:val="20"/>
          <w:szCs w:val="20"/>
        </w:rPr>
        <w:t xml:space="preserve">Ge hera facto denanti a l’altaro grande uno tribunale e da uno cho’ ge hera constructa una testa de dracone ala’ e larga sei pede e lunga, depinta, che se apriva e serava, ne la quale hera il Limbo de’ Santi padri […]. </w:t>
      </w:r>
    </w:p>
    <w:p w14:paraId="7D522301" w14:textId="77777777" w:rsidR="00395702" w:rsidRDefault="00395702" w:rsidP="00395702">
      <w:pPr>
        <w:tabs>
          <w:tab w:val="left" w:pos="8364"/>
        </w:tabs>
        <w:spacing w:after="0" w:line="360" w:lineRule="auto"/>
        <w:ind w:firstLine="397"/>
        <w:jc w:val="both"/>
        <w:rPr>
          <w:rFonts w:ascii="Times New Roman" w:hAnsi="Times New Roman" w:cs="Times New Roman"/>
          <w:sz w:val="20"/>
          <w:szCs w:val="20"/>
        </w:rPr>
      </w:pPr>
    </w:p>
    <w:p w14:paraId="5315E236"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Al termine della recita, al comando del Cristo risorto «</w:t>
      </w:r>
      <w:r>
        <w:rPr>
          <w:rFonts w:ascii="Times New Roman" w:hAnsi="Times New Roman" w:cs="Times New Roman"/>
          <w:i/>
          <w:sz w:val="24"/>
          <w:szCs w:val="24"/>
        </w:rPr>
        <w:t xml:space="preserve">Attollite portas, </w:t>
      </w:r>
      <w:r w:rsidRPr="00E143E4">
        <w:rPr>
          <w:rFonts w:ascii="Times New Roman" w:hAnsi="Times New Roman" w:cs="Times New Roman"/>
          <w:i/>
          <w:sz w:val="24"/>
          <w:szCs w:val="24"/>
        </w:rPr>
        <w:t>principes</w:t>
      </w:r>
      <w:r>
        <w:rPr>
          <w:rFonts w:ascii="Times New Roman" w:hAnsi="Times New Roman" w:cs="Times New Roman"/>
          <w:i/>
          <w:sz w:val="24"/>
          <w:szCs w:val="24"/>
        </w:rPr>
        <w:t>, vestras</w:t>
      </w:r>
      <w:r>
        <w:rPr>
          <w:rFonts w:ascii="Times New Roman" w:hAnsi="Times New Roman" w:cs="Times New Roman"/>
          <w:sz w:val="24"/>
          <w:szCs w:val="24"/>
        </w:rPr>
        <w:t xml:space="preserve">»: </w:t>
      </w:r>
    </w:p>
    <w:p w14:paraId="09940D68" w14:textId="77777777" w:rsidR="00395702" w:rsidRDefault="00395702" w:rsidP="00395702">
      <w:pPr>
        <w:tabs>
          <w:tab w:val="left" w:pos="8364"/>
        </w:tabs>
        <w:spacing w:after="0" w:line="360" w:lineRule="auto"/>
        <w:ind w:firstLine="397"/>
        <w:jc w:val="both"/>
        <w:rPr>
          <w:rFonts w:ascii="Times New Roman" w:hAnsi="Times New Roman" w:cs="Times New Roman"/>
          <w:sz w:val="20"/>
          <w:szCs w:val="20"/>
        </w:rPr>
      </w:pPr>
    </w:p>
    <w:p w14:paraId="0FD315D1"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4"/>
          <w:szCs w:val="24"/>
        </w:rPr>
      </w:pPr>
      <w:r>
        <w:rPr>
          <w:rFonts w:ascii="Times New Roman" w:hAnsi="Times New Roman" w:cs="Times New Roman"/>
          <w:sz w:val="20"/>
          <w:szCs w:val="20"/>
        </w:rPr>
        <w:t>Se aperse la bocha del dicto serpente e per lie uscì fora XIV anime cantando tucte e rengraziando il suo Creatore con dolce melodie, perché herano li cantori del duca vestiti de biancho, et dentro ge hera li diavoli messedavano catene e faceano romore con razi de fogo insivano per la bocha, ochi e orechie per il naxo, che andava a la sumità de la capella.</w:t>
      </w:r>
      <w:r>
        <w:rPr>
          <w:rStyle w:val="Rimandonotaapidipagina"/>
          <w:rFonts w:ascii="Times New Roman" w:hAnsi="Times New Roman" w:cs="Times New Roman"/>
        </w:rPr>
        <w:footnoteReference w:id="880"/>
      </w:r>
      <w:r>
        <w:rPr>
          <w:rFonts w:ascii="Times New Roman" w:hAnsi="Times New Roman" w:cs="Times New Roman"/>
          <w:sz w:val="20"/>
          <w:szCs w:val="20"/>
        </w:rPr>
        <w:t xml:space="preserve">    </w:t>
      </w:r>
    </w:p>
    <w:p w14:paraId="2FF8ADE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72340228"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Lo studio dei registri dei pagamenti della cancelleria ducale estense, condotto da Domenico Giuseppe Lipani, ha recentemente messo in luce come alla costruzione di questa bocca dell’inferno avesse lavorato il pittore locale </w:t>
      </w:r>
      <w:bookmarkStart w:id="526" w:name="_Hlk536015139"/>
      <w:r>
        <w:rPr>
          <w:rFonts w:ascii="Times New Roman" w:hAnsi="Times New Roman" w:cs="Times New Roman"/>
          <w:sz w:val="24"/>
          <w:szCs w:val="24"/>
        </w:rPr>
        <w:t>Giovanni Bianchini</w:t>
      </w:r>
      <w:bookmarkEnd w:id="526"/>
      <w:r>
        <w:rPr>
          <w:rFonts w:ascii="Times New Roman" w:hAnsi="Times New Roman" w:cs="Times New Roman"/>
          <w:sz w:val="24"/>
          <w:szCs w:val="24"/>
        </w:rPr>
        <w:t xml:space="preserve">, il quale ripropose un ingegno scenico analogo il 16 aprile 1489, per una seconda </w:t>
      </w:r>
      <w:r>
        <w:rPr>
          <w:rFonts w:ascii="Times New Roman" w:hAnsi="Times New Roman" w:cs="Times New Roman"/>
          <w:i/>
          <w:sz w:val="24"/>
          <w:szCs w:val="24"/>
        </w:rPr>
        <w:t>Passione</w:t>
      </w:r>
      <w:r>
        <w:rPr>
          <w:rFonts w:ascii="Times New Roman" w:hAnsi="Times New Roman" w:cs="Times New Roman"/>
          <w:sz w:val="24"/>
          <w:szCs w:val="24"/>
        </w:rPr>
        <w:t xml:space="preserve"> allestita sulla piazza principale di Ferrara. La formazione di apparatore di spettacoli di questo artista era stata debitrice della lezione dei maestri toscani, avendo egli collaborato con il maestro Titolivio e con </w:t>
      </w:r>
      <w:bookmarkStart w:id="527" w:name="_Hlk536015211"/>
      <w:r>
        <w:rPr>
          <w:rFonts w:ascii="Times New Roman" w:hAnsi="Times New Roman" w:cs="Times New Roman"/>
          <w:sz w:val="24"/>
          <w:szCs w:val="24"/>
        </w:rPr>
        <w:t xml:space="preserve">Antonio da Firenze </w:t>
      </w:r>
      <w:bookmarkEnd w:id="527"/>
      <w:r>
        <w:rPr>
          <w:rFonts w:ascii="Times New Roman" w:hAnsi="Times New Roman" w:cs="Times New Roman"/>
          <w:sz w:val="24"/>
          <w:szCs w:val="24"/>
        </w:rPr>
        <w:t>alla realizzazione degli apparati per l’ingresso ferrarese di Pio II del 1459.</w:t>
      </w:r>
      <w:r>
        <w:rPr>
          <w:rStyle w:val="Rimandonotaapidipagina"/>
          <w:rFonts w:ascii="Times New Roman" w:hAnsi="Times New Roman" w:cs="Times New Roman"/>
          <w:sz w:val="24"/>
          <w:szCs w:val="24"/>
        </w:rPr>
        <w:footnoteReference w:id="881"/>
      </w:r>
    </w:p>
    <w:p w14:paraId="50439BD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Dallo spoglio della documentazione archivistica è emerso inoltre come la creazione dei diavoli dell’apparato infernale della </w:t>
      </w:r>
      <w:r>
        <w:rPr>
          <w:rFonts w:ascii="Times New Roman" w:hAnsi="Times New Roman" w:cs="Times New Roman"/>
          <w:i/>
          <w:sz w:val="24"/>
          <w:szCs w:val="24"/>
        </w:rPr>
        <w:t>Passione</w:t>
      </w:r>
      <w:r>
        <w:rPr>
          <w:rFonts w:ascii="Times New Roman" w:hAnsi="Times New Roman" w:cs="Times New Roman"/>
          <w:sz w:val="24"/>
          <w:szCs w:val="24"/>
        </w:rPr>
        <w:t xml:space="preserve"> estense del 1489 si dovesse al padovano </w:t>
      </w:r>
      <w:bookmarkStart w:id="528" w:name="_Hlk536015266"/>
      <w:r>
        <w:rPr>
          <w:rFonts w:ascii="Times New Roman" w:hAnsi="Times New Roman" w:cs="Times New Roman"/>
          <w:sz w:val="24"/>
          <w:szCs w:val="24"/>
        </w:rPr>
        <w:t>Domenico di Paris</w:t>
      </w:r>
      <w:bookmarkEnd w:id="528"/>
      <w:r>
        <w:rPr>
          <w:rFonts w:ascii="Times New Roman" w:hAnsi="Times New Roman" w:cs="Times New Roman"/>
          <w:sz w:val="24"/>
          <w:szCs w:val="24"/>
        </w:rPr>
        <w:t xml:space="preserve">, cognato ed allievo di Niccolò Baroncelli, artista fiorentino tra i primi chiamati in città per progettare gli addobbi effimeri delle cerimonie ducali. </w:t>
      </w:r>
    </w:p>
    <w:p w14:paraId="4CBD47F7"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La scenotecnica della città gigliata fu dunque patrimonio comune tanto di Bianchini quanto di di Paris e penso che la stessa cultura performativa avesse raggiunto anche gli organizzatori degli spettacoli di Casteldurante, eventi per i quali Ranieri Varese e Daniele Seragnoli, segnalandone la continuità progettuale e formale con le feste per lo sposalizio urbinate di Elisabetta Gonzaga del febbraio 1488, sono giunti a proporre il nome di Giovanni Santi quale supervisore della rappresentazione del martirio del Battista.</w:t>
      </w:r>
      <w:r>
        <w:rPr>
          <w:rStyle w:val="Rimandonotaapidipagina"/>
          <w:rFonts w:ascii="Times New Roman" w:hAnsi="Times New Roman" w:cs="Times New Roman"/>
          <w:sz w:val="24"/>
          <w:szCs w:val="24"/>
        </w:rPr>
        <w:footnoteReference w:id="882"/>
      </w:r>
      <w:r>
        <w:rPr>
          <w:rFonts w:ascii="Times New Roman" w:hAnsi="Times New Roman" w:cs="Times New Roman"/>
          <w:sz w:val="24"/>
          <w:szCs w:val="24"/>
        </w:rPr>
        <w:t xml:space="preserve"> Come detto nel capitolo II, il padre di Raffaello era stato autore e sovraintendente della recita allegorica sul contrasto tra Diana e Giunone offerta alla sposa a Urbino e il fatto che egli avesse a lungo soggiornato e lavorato a Firenze negli anni Cinquanta del XV secolo lascia ipotizzare che disponesse del bagaglio di visioni di spettacoli e di competenze tecniche adatto a impostare una recita simile a quella con gli ingegni del paradiso e dell’inferno di Casteldurante. </w:t>
      </w:r>
    </w:p>
    <w:p w14:paraId="147E9A9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Come riconosce tuttavia Seragnoli, l’ipotesi non è confermata da alcun documento ed è quindi corretto concordare con lo studioso nel riconoscere alle maestranze apparatrici delle accoglienze dei duchi d’Urbino soltanto un carattere fiorentino, riconoscibile del resto anche dalle forme del carro trionfale con Federico da Montefeltro, Cesare e Scipione e con la vittoria alata recante un ramo di palma </w:t>
      </w:r>
      <w:r w:rsidRPr="00E143E4">
        <w:rPr>
          <w:rFonts w:ascii="Times New Roman" w:hAnsi="Times New Roman" w:cs="Times New Roman"/>
          <w:sz w:val="24"/>
          <w:szCs w:val="24"/>
        </w:rPr>
        <w:t>posto</w:t>
      </w:r>
      <w:r>
        <w:rPr>
          <w:rFonts w:ascii="Times New Roman" w:hAnsi="Times New Roman" w:cs="Times New Roman"/>
          <w:sz w:val="24"/>
          <w:szCs w:val="24"/>
        </w:rPr>
        <w:t xml:space="preserve"> sul consueto basamento sferico che si fece incontro ai principi lungo il percorso del loro ingresso a Casteldurante. </w:t>
      </w:r>
    </w:p>
    <w:p w14:paraId="57FC32E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In relazione all’ambito cronologico considerato dalle mie ricerche, l’ultima rappresentazione di soggetto biblico offerta nel contesto di una festa nuziale di cui ho trovato notizie è quella che fu inscenata mercoledì 29 ottobre 1489 in una sala del castello di Pesaro in onore dei novelli sposi Giovanni Sforza e Maddalena Gonzaga. Come il fratello della sposa, Giovanni Gonzaga, specificò in una missiva alla corte di Mantova, tale recita fu realizzata «cum spese et operatione de li Hebrei de questa terra»,</w:t>
      </w:r>
      <w:r>
        <w:rPr>
          <w:rStyle w:val="Rimandonotaapidipagina"/>
          <w:rFonts w:ascii="Times New Roman" w:hAnsi="Times New Roman" w:cs="Times New Roman"/>
          <w:sz w:val="24"/>
          <w:szCs w:val="24"/>
        </w:rPr>
        <w:footnoteReference w:id="883"/>
      </w:r>
      <w:r>
        <w:rPr>
          <w:rFonts w:ascii="Times New Roman" w:hAnsi="Times New Roman" w:cs="Times New Roman"/>
          <w:sz w:val="24"/>
          <w:szCs w:val="24"/>
        </w:rPr>
        <w:t xml:space="preserve"> mentre nella già citata lettera della sposa al fratello Francesco II </w:t>
      </w:r>
      <w:r w:rsidRPr="00E143E4">
        <w:rPr>
          <w:rFonts w:ascii="Times New Roman" w:hAnsi="Times New Roman" w:cs="Times New Roman"/>
          <w:sz w:val="24"/>
          <w:szCs w:val="24"/>
        </w:rPr>
        <w:t>sulle</w:t>
      </w:r>
      <w:r>
        <w:rPr>
          <w:rFonts w:ascii="Times New Roman" w:hAnsi="Times New Roman" w:cs="Times New Roman"/>
          <w:sz w:val="24"/>
          <w:szCs w:val="24"/>
        </w:rPr>
        <w:t xml:space="preserve"> feste così si legge riguardo allo spettacolo: </w:t>
      </w:r>
    </w:p>
    <w:p w14:paraId="013957F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0FF0008A"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r>
        <w:rPr>
          <w:rFonts w:ascii="Times New Roman" w:hAnsi="Times New Roman" w:cs="Times New Roman"/>
          <w:sz w:val="20"/>
          <w:szCs w:val="20"/>
        </w:rPr>
        <w:t>Havendo habuto la benedictione ritornassemo a disnare et dopo il disnatto, che era circha a hore XXII emeza, incomentiassemo a balare finchè fu hora di fare una certa dimonstratione de Zudei et de Gentili li quali conbativeno insieme. Da una parte el ge era una citade che la dimandaveno Jerusalem et da l’altra parte de dicta sala el vene el re de quelli Gentili et ponitegli un pavalione, el qual era in su una ganbila che paria naturalmente esser una propria. Et haveva sua soma, ultra al dicto pavalione, un par de forziri cum un moretto in cropa che la guidava. Or, essendo azonto il dicto re de Zentili, adornato suso una catedra facta de asse, facendose portare a quelli suoi satelliti, intrò nel pavalione et commendò a quelli suoi dovessero pigliar guera cum quelli Zudei che erano in quella cità de Jerusalem et così subito fureno a le mane cum partesane et rodelle et gli se dasevano de gran bastonate. Or, a la fine, quelli zudei se fecero gagliardi et pilioreno il re de quelli Gentili cum tuta la sua cometiva. Facto che fu questa festa, el venne ultra una bella colectione dove che ognuno se reffitò et piglioreno magior forza et così se incomentiò a balare e questo balare duroe fin hora de andar a dormire.</w:t>
      </w:r>
      <w:r>
        <w:rPr>
          <w:rStyle w:val="Rimandonotaapidipagina"/>
          <w:rFonts w:ascii="Times New Roman" w:hAnsi="Times New Roman" w:cs="Times New Roman"/>
        </w:rPr>
        <w:footnoteReference w:id="884"/>
      </w:r>
    </w:p>
    <w:p w14:paraId="055159E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1CF2682B" w14:textId="77777777" w:rsidR="00395702" w:rsidRPr="004400F3" w:rsidRDefault="00395702" w:rsidP="00395702">
      <w:pPr>
        <w:tabs>
          <w:tab w:val="left" w:pos="8364"/>
        </w:tabs>
        <w:spacing w:after="0" w:line="360" w:lineRule="auto"/>
        <w:ind w:firstLine="397"/>
        <w:jc w:val="both"/>
        <w:rPr>
          <w:rFonts w:ascii="Times New Roman" w:hAnsi="Times New Roman" w:cs="Times New Roman"/>
        </w:rPr>
      </w:pPr>
      <w:r>
        <w:rPr>
          <w:rFonts w:ascii="Times New Roman" w:hAnsi="Times New Roman" w:cs="Times New Roman"/>
          <w:sz w:val="24"/>
          <w:szCs w:val="24"/>
        </w:rPr>
        <w:t xml:space="preserve">È interessante osservare, in primo luogo, come per Maddalena Gonzaga la “dimonstratione” riguardasse le vicende «de Zudei et de Gentili li quali conbativeno insieme» e come solo dalla testimonianza di suo fratello Giovanni venga specificato l’effettivo soggetto della messinscena: l’episodio biblioco di Giuditta e Oloferne. Conformemente al racconto del </w:t>
      </w:r>
      <w:r>
        <w:rPr>
          <w:rFonts w:ascii="Times New Roman" w:hAnsi="Times New Roman" w:cs="Times New Roman"/>
          <w:i/>
          <w:sz w:val="24"/>
          <w:szCs w:val="24"/>
        </w:rPr>
        <w:t>Libro di Giuditta</w:t>
      </w:r>
      <w:r>
        <w:rPr>
          <w:rFonts w:ascii="Times New Roman" w:hAnsi="Times New Roman" w:cs="Times New Roman"/>
          <w:sz w:val="24"/>
          <w:szCs w:val="24"/>
        </w:rPr>
        <w:t xml:space="preserve">, la città dei giudei non dovette quindi essere Gerusalemme, come scrisse la principessa, bensì Betulia, assediata dall’esercito di Oloferne, definito dalla sposa il «re de Zentili», il quale entrò nella sala su un automa a forma di «gambila», ovvero su un cammello posticcio che trasportava anche due forzieri ed era guidato da un moro. Questo curioso marchingegno ricorda da vicino quello descritto </w:t>
      </w:r>
      <w:r w:rsidRPr="004400F3">
        <w:rPr>
          <w:rFonts w:ascii="Times New Roman" w:hAnsi="Times New Roman" w:cs="Times New Roman"/>
          <w:sz w:val="24"/>
          <w:szCs w:val="24"/>
        </w:rPr>
        <w:t>nell’</w:t>
      </w:r>
      <w:r w:rsidRPr="004400F3">
        <w:rPr>
          <w:rFonts w:ascii="Times New Roman" w:hAnsi="Times New Roman" w:cs="Times New Roman"/>
          <w:i/>
          <w:sz w:val="24"/>
          <w:szCs w:val="24"/>
        </w:rPr>
        <w:t xml:space="preserve">Ordine de le noze de lo Illustrissimo Signor misir Costantio Sfortia </w:t>
      </w:r>
      <w:r w:rsidRPr="004400F3">
        <w:rPr>
          <w:rFonts w:ascii="Times New Roman" w:hAnsi="Times New Roman" w:cs="Times New Roman"/>
          <w:sz w:val="24"/>
          <w:szCs w:val="24"/>
        </w:rPr>
        <w:t xml:space="preserve">e impiegato per gli </w:t>
      </w:r>
      <w:r w:rsidRPr="004400F3">
        <w:rPr>
          <w:rFonts w:ascii="Times New Roman" w:hAnsi="Times New Roman" w:cs="Times New Roman"/>
          <w:i/>
          <w:sz w:val="24"/>
          <w:szCs w:val="24"/>
        </w:rPr>
        <w:t>entrem</w:t>
      </w:r>
      <w:r w:rsidR="00A91333">
        <w:rPr>
          <w:rFonts w:ascii="Times New Roman" w:hAnsi="Times New Roman" w:cs="Times New Roman"/>
          <w:i/>
          <w:sz w:val="24"/>
          <w:szCs w:val="24"/>
        </w:rPr>
        <w:t>e</w:t>
      </w:r>
      <w:r w:rsidRPr="004400F3">
        <w:rPr>
          <w:rFonts w:ascii="Times New Roman" w:hAnsi="Times New Roman" w:cs="Times New Roman"/>
          <w:i/>
          <w:sz w:val="24"/>
          <w:szCs w:val="24"/>
        </w:rPr>
        <w:t>ts</w:t>
      </w:r>
      <w:r w:rsidRPr="004400F3">
        <w:rPr>
          <w:rFonts w:ascii="Times New Roman" w:hAnsi="Times New Roman" w:cs="Times New Roman"/>
          <w:sz w:val="24"/>
          <w:szCs w:val="24"/>
        </w:rPr>
        <w:t xml:space="preserve"> offerti a Camilla d’Aragona dalla comunità ebraica di Pesaro durante la colazione di lunedì 29 maggio 1475, su cui ci siamo soffermati nel capitolo II. Dal momento che furono nuovamente gli ebrei pesaresi a fare rappresentare le storie di Giuditta, credo che la testimonianza di Maddalena documenti un caso di riuso dell’automa.</w:t>
      </w:r>
      <w:r w:rsidRPr="004400F3">
        <w:rPr>
          <w:rFonts w:ascii="Times New Roman" w:hAnsi="Times New Roman" w:cs="Times New Roman"/>
        </w:rPr>
        <w:t xml:space="preserve"> </w:t>
      </w:r>
    </w:p>
    <w:p w14:paraId="1A92FDC5" w14:textId="77777777" w:rsidR="00395702" w:rsidRPr="004400F3" w:rsidRDefault="00395702" w:rsidP="00395702">
      <w:pPr>
        <w:tabs>
          <w:tab w:val="left" w:pos="8364"/>
        </w:tabs>
        <w:spacing w:after="0" w:line="360" w:lineRule="auto"/>
        <w:ind w:firstLine="397"/>
        <w:jc w:val="both"/>
        <w:rPr>
          <w:rFonts w:ascii="Times New Roman" w:hAnsi="Times New Roman" w:cs="Times New Roman"/>
          <w:sz w:val="24"/>
          <w:szCs w:val="24"/>
        </w:rPr>
      </w:pPr>
      <w:r w:rsidRPr="004400F3">
        <w:rPr>
          <w:rFonts w:ascii="Times New Roman" w:hAnsi="Times New Roman" w:cs="Times New Roman"/>
          <w:sz w:val="24"/>
          <w:szCs w:val="24"/>
        </w:rPr>
        <w:t xml:space="preserve">Il fatto poi che la recita si fosse svolta in un salone – dove fu anche imbandita una colazione – e che fosse preceduta e seguita dai balli degli invitati induce ad assegnare allo spettacolo un carattere diverso rispetto alle sacre rappresentazioni finora descritte, di minori pretese sceniche, di breve durata, e più simile a quello di un </w:t>
      </w:r>
      <w:r w:rsidRPr="004400F3">
        <w:rPr>
          <w:rFonts w:ascii="Times New Roman" w:hAnsi="Times New Roman" w:cs="Times New Roman"/>
          <w:i/>
          <w:sz w:val="24"/>
          <w:szCs w:val="24"/>
        </w:rPr>
        <w:t>entremet</w:t>
      </w:r>
      <w:r w:rsidRPr="004400F3">
        <w:rPr>
          <w:rFonts w:ascii="Times New Roman" w:hAnsi="Times New Roman" w:cs="Times New Roman"/>
          <w:sz w:val="24"/>
          <w:szCs w:val="24"/>
        </w:rPr>
        <w:t xml:space="preserve">, il quale richiese semplicemente la presenza di un apparato raffigurante Betulia – probabilmente già collocato nella sala prima dell’arrivo degli invitati – e il padiglione degli assedianti babilonesi che entrò insieme alla bizzarra cavalcatura di Oloferne. </w:t>
      </w:r>
    </w:p>
    <w:p w14:paraId="141E3CF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sidRPr="004400F3">
        <w:rPr>
          <w:rFonts w:ascii="Times New Roman" w:hAnsi="Times New Roman" w:cs="Times New Roman"/>
          <w:sz w:val="24"/>
          <w:szCs w:val="24"/>
        </w:rPr>
        <w:t xml:space="preserve">Quanto al soggetto dell’allestimento credo poi che esso celebrasse da un lato le virtù di Maddalena, associando alla sposa l’esempio di temperanza e castità della virtuosa Giuditta vincitrice dei lussi e degli eccessi dell’orientale Oloferne, e dall’altro la lealtà e la fedeltà della comunità ebraica al signore di Pesaro, simbolicamente rappresentata da una delle più note eroine della propria storia sacra.    </w:t>
      </w:r>
    </w:p>
    <w:p w14:paraId="6716332C" w14:textId="77777777" w:rsidR="00395702" w:rsidRPr="00714DF4" w:rsidRDefault="00395702" w:rsidP="00395702">
      <w:pPr>
        <w:tabs>
          <w:tab w:val="left" w:pos="8364"/>
        </w:tabs>
        <w:spacing w:after="0" w:line="360" w:lineRule="auto"/>
        <w:ind w:firstLine="397"/>
        <w:jc w:val="both"/>
        <w:rPr>
          <w:rFonts w:ascii="Times New Roman" w:hAnsi="Times New Roman" w:cs="Times New Roman"/>
          <w:sz w:val="24"/>
          <w:szCs w:val="24"/>
        </w:rPr>
      </w:pPr>
      <w:r w:rsidRPr="00714DF4">
        <w:rPr>
          <w:rFonts w:ascii="Times New Roman" w:hAnsi="Times New Roman" w:cs="Times New Roman"/>
          <w:sz w:val="24"/>
          <w:szCs w:val="24"/>
        </w:rPr>
        <w:t>Negli ultimi due decenni del Quattrocento il programma dei festeggiamenti nuziali principeschi cominciò a includere anche alcuni allestimenti scenici delle commedie di Plauto. Questi spettacoli si segnalano</w:t>
      </w:r>
      <w:r>
        <w:rPr>
          <w:rFonts w:ascii="Times New Roman" w:hAnsi="Times New Roman" w:cs="Times New Roman"/>
          <w:sz w:val="24"/>
          <w:szCs w:val="24"/>
        </w:rPr>
        <w:t>, a partire dal 1486,</w:t>
      </w:r>
      <w:r w:rsidRPr="00714DF4">
        <w:rPr>
          <w:rFonts w:ascii="Times New Roman" w:hAnsi="Times New Roman" w:cs="Times New Roman"/>
          <w:sz w:val="24"/>
          <w:szCs w:val="24"/>
        </w:rPr>
        <w:t xml:space="preserve"> presso la corte di Ferrara e presso quella di papa Alessandro VI, durante le feste per i due sposalizi di Lucrezia Borgia del 1493 e del 1502.</w:t>
      </w:r>
      <w:r w:rsidRPr="00714DF4">
        <w:rPr>
          <w:rStyle w:val="Rimandonotaapidipagina"/>
          <w:rFonts w:ascii="Times New Roman" w:hAnsi="Times New Roman" w:cs="Times New Roman"/>
          <w:sz w:val="24"/>
          <w:szCs w:val="24"/>
        </w:rPr>
        <w:footnoteReference w:id="885"/>
      </w:r>
      <w:r w:rsidRPr="00714DF4">
        <w:rPr>
          <w:rFonts w:ascii="Times New Roman" w:hAnsi="Times New Roman" w:cs="Times New Roman"/>
          <w:sz w:val="24"/>
          <w:szCs w:val="24"/>
        </w:rPr>
        <w:t xml:space="preserve">     </w:t>
      </w:r>
    </w:p>
    <w:p w14:paraId="59B61A34" w14:textId="77777777" w:rsidR="00395702" w:rsidRPr="00EC1853" w:rsidRDefault="00395702" w:rsidP="00395702">
      <w:pPr>
        <w:pStyle w:val="Nessunaspaziatura"/>
        <w:spacing w:line="360" w:lineRule="auto"/>
        <w:ind w:firstLine="397"/>
        <w:jc w:val="both"/>
        <w:rPr>
          <w:rFonts w:ascii="Times New Roman" w:hAnsi="Times New Roman" w:cs="Times New Roman"/>
          <w:sz w:val="24"/>
          <w:szCs w:val="24"/>
        </w:rPr>
      </w:pPr>
      <w:r w:rsidRPr="00714DF4">
        <w:rPr>
          <w:rFonts w:ascii="Times New Roman" w:hAnsi="Times New Roman" w:cs="Times New Roman"/>
          <w:sz w:val="24"/>
          <w:szCs w:val="24"/>
        </w:rPr>
        <w:t>Nella storia dello spettacolo italiano il tema della riscoperta quattrocentesca del teatro classico</w:t>
      </w:r>
      <w:r w:rsidRPr="00EC1853">
        <w:rPr>
          <w:rFonts w:ascii="Times New Roman" w:hAnsi="Times New Roman" w:cs="Times New Roman"/>
          <w:sz w:val="24"/>
          <w:szCs w:val="24"/>
        </w:rPr>
        <w:t xml:space="preserve"> </w:t>
      </w:r>
      <w:r>
        <w:rPr>
          <w:rFonts w:ascii="Times New Roman" w:hAnsi="Times New Roman" w:cs="Times New Roman"/>
          <w:sz w:val="24"/>
          <w:szCs w:val="24"/>
        </w:rPr>
        <w:t>ebbe</w:t>
      </w:r>
      <w:r w:rsidRPr="00EC1853">
        <w:rPr>
          <w:rFonts w:ascii="Times New Roman" w:hAnsi="Times New Roman" w:cs="Times New Roman"/>
          <w:sz w:val="24"/>
          <w:szCs w:val="24"/>
        </w:rPr>
        <w:t xml:space="preserve"> un’importanza fondamentale, tanto per l’elaborazione di una drammaturgia in volgare modellata sui testi di Terenzio e di Plauto, quanto per la realizzazione di soluzioni sceniche e di progetti architettonici ispirati alle descrizioni fornite da Vitruvio nel </w:t>
      </w:r>
      <w:r w:rsidRPr="00EC1853">
        <w:rPr>
          <w:rFonts w:ascii="Times New Roman" w:hAnsi="Times New Roman" w:cs="Times New Roman"/>
          <w:i/>
          <w:sz w:val="24"/>
          <w:szCs w:val="24"/>
        </w:rPr>
        <w:t>De Architectura</w:t>
      </w:r>
      <w:r w:rsidRPr="00EC1853">
        <w:rPr>
          <w:rFonts w:ascii="Times New Roman" w:hAnsi="Times New Roman" w:cs="Times New Roman"/>
          <w:sz w:val="24"/>
          <w:szCs w:val="24"/>
        </w:rPr>
        <w:t>.</w:t>
      </w:r>
    </w:p>
    <w:p w14:paraId="3A181EBF" w14:textId="77777777" w:rsidR="00395702" w:rsidRPr="00EC1853" w:rsidRDefault="00395702" w:rsidP="00395702">
      <w:pPr>
        <w:pStyle w:val="Nessunaspaziatura"/>
        <w:spacing w:line="360" w:lineRule="auto"/>
        <w:ind w:firstLine="397"/>
        <w:jc w:val="both"/>
        <w:rPr>
          <w:rFonts w:ascii="Times New Roman" w:hAnsi="Times New Roman" w:cs="Times New Roman"/>
          <w:sz w:val="24"/>
          <w:szCs w:val="24"/>
        </w:rPr>
      </w:pPr>
      <w:r w:rsidRPr="00EC1853">
        <w:rPr>
          <w:rFonts w:ascii="Times New Roman" w:hAnsi="Times New Roman" w:cs="Times New Roman"/>
          <w:sz w:val="24"/>
          <w:szCs w:val="24"/>
        </w:rPr>
        <w:t xml:space="preserve">L’importante stimolo esercitato all’inizio del XV secolo dal ritrovamento di dodici commedie di Plauto, sconosciute </w:t>
      </w:r>
      <w:r>
        <w:rPr>
          <w:rFonts w:ascii="Times New Roman" w:hAnsi="Times New Roman" w:cs="Times New Roman"/>
          <w:sz w:val="24"/>
          <w:szCs w:val="24"/>
        </w:rPr>
        <w:t>nel</w:t>
      </w:r>
      <w:r w:rsidRPr="00EC1853">
        <w:rPr>
          <w:rFonts w:ascii="Times New Roman" w:hAnsi="Times New Roman" w:cs="Times New Roman"/>
          <w:sz w:val="24"/>
          <w:szCs w:val="24"/>
        </w:rPr>
        <w:t xml:space="preserve"> </w:t>
      </w:r>
      <w:r>
        <w:rPr>
          <w:rFonts w:ascii="Times New Roman" w:hAnsi="Times New Roman" w:cs="Times New Roman"/>
          <w:sz w:val="24"/>
          <w:szCs w:val="24"/>
        </w:rPr>
        <w:t>M</w:t>
      </w:r>
      <w:r w:rsidRPr="00EC1853">
        <w:rPr>
          <w:rFonts w:ascii="Times New Roman" w:hAnsi="Times New Roman" w:cs="Times New Roman"/>
          <w:sz w:val="24"/>
          <w:szCs w:val="24"/>
        </w:rPr>
        <w:t>edi</w:t>
      </w:r>
      <w:r>
        <w:rPr>
          <w:rFonts w:ascii="Times New Roman" w:hAnsi="Times New Roman" w:cs="Times New Roman"/>
          <w:sz w:val="24"/>
          <w:szCs w:val="24"/>
        </w:rPr>
        <w:t>o</w:t>
      </w:r>
      <w:r w:rsidRPr="00EC1853">
        <w:rPr>
          <w:rFonts w:ascii="Times New Roman" w:hAnsi="Times New Roman" w:cs="Times New Roman"/>
          <w:sz w:val="24"/>
          <w:szCs w:val="24"/>
        </w:rPr>
        <w:t>ev</w:t>
      </w:r>
      <w:r>
        <w:rPr>
          <w:rFonts w:ascii="Times New Roman" w:hAnsi="Times New Roman" w:cs="Times New Roman"/>
          <w:sz w:val="24"/>
          <w:szCs w:val="24"/>
        </w:rPr>
        <w:t>o</w:t>
      </w:r>
      <w:r w:rsidRPr="00EC1853">
        <w:rPr>
          <w:rFonts w:ascii="Times New Roman" w:hAnsi="Times New Roman" w:cs="Times New Roman"/>
          <w:sz w:val="24"/>
          <w:szCs w:val="24"/>
        </w:rPr>
        <w:t>, e del commento di Elio Donato alle opere di Terenzio suscitò tra gli intellettuali il desiderio di una comprensione sempre più approfondita del valore del teatro nel mondo antico, che si espresse in un accurato lavoro di commento ed edizione dei testi dei commediografi latini e, a partire dagli anni Settanta e Ottanta del Quattrocento, nel tentativo di proporre l</w:t>
      </w:r>
      <w:r>
        <w:rPr>
          <w:rFonts w:ascii="Times New Roman" w:hAnsi="Times New Roman" w:cs="Times New Roman"/>
          <w:sz w:val="24"/>
          <w:szCs w:val="24"/>
        </w:rPr>
        <w:t xml:space="preserve">a recita delle </w:t>
      </w:r>
      <w:r w:rsidRPr="000C1AD8">
        <w:rPr>
          <w:rFonts w:ascii="Times New Roman" w:hAnsi="Times New Roman" w:cs="Times New Roman"/>
          <w:i/>
          <w:sz w:val="24"/>
          <w:szCs w:val="24"/>
        </w:rPr>
        <w:t>Comoediae</w:t>
      </w:r>
      <w:r>
        <w:rPr>
          <w:rFonts w:ascii="Times New Roman" w:hAnsi="Times New Roman" w:cs="Times New Roman"/>
          <w:sz w:val="24"/>
          <w:szCs w:val="24"/>
        </w:rPr>
        <w:t xml:space="preserve"> </w:t>
      </w:r>
      <w:r w:rsidRPr="00EC1853">
        <w:rPr>
          <w:rFonts w:ascii="Times New Roman" w:hAnsi="Times New Roman" w:cs="Times New Roman"/>
          <w:sz w:val="24"/>
          <w:szCs w:val="24"/>
        </w:rPr>
        <w:t xml:space="preserve">in </w:t>
      </w:r>
      <w:r>
        <w:rPr>
          <w:rFonts w:ascii="Times New Roman" w:hAnsi="Times New Roman" w:cs="Times New Roman"/>
          <w:sz w:val="24"/>
          <w:szCs w:val="24"/>
        </w:rPr>
        <w:t xml:space="preserve">contesti </w:t>
      </w:r>
      <w:r w:rsidRPr="00EC1853">
        <w:rPr>
          <w:rFonts w:ascii="Times New Roman" w:hAnsi="Times New Roman" w:cs="Times New Roman"/>
          <w:sz w:val="24"/>
          <w:szCs w:val="24"/>
        </w:rPr>
        <w:t>scolastici e accademici.</w:t>
      </w:r>
      <w:r>
        <w:rPr>
          <w:rStyle w:val="Rimandonotaapidipagina"/>
          <w:rFonts w:ascii="Times New Roman" w:hAnsi="Times New Roman" w:cs="Times New Roman"/>
          <w:sz w:val="24"/>
          <w:szCs w:val="24"/>
        </w:rPr>
        <w:footnoteReference w:id="886"/>
      </w:r>
    </w:p>
    <w:p w14:paraId="4A6067C4" w14:textId="77777777" w:rsidR="00395702" w:rsidRPr="00EC1853" w:rsidRDefault="00395702" w:rsidP="00395702">
      <w:pPr>
        <w:pStyle w:val="Nessunaspaziatura"/>
        <w:spacing w:line="360" w:lineRule="auto"/>
        <w:ind w:firstLine="397"/>
        <w:jc w:val="both"/>
        <w:rPr>
          <w:rFonts w:ascii="Times New Roman" w:hAnsi="Times New Roman" w:cs="Times New Roman"/>
          <w:sz w:val="24"/>
          <w:szCs w:val="24"/>
        </w:rPr>
      </w:pPr>
      <w:r w:rsidRPr="00EC1853">
        <w:rPr>
          <w:rFonts w:ascii="Times New Roman" w:hAnsi="Times New Roman" w:cs="Times New Roman"/>
          <w:sz w:val="24"/>
          <w:szCs w:val="24"/>
        </w:rPr>
        <w:t xml:space="preserve">A Firenze, le </w:t>
      </w:r>
      <w:r>
        <w:rPr>
          <w:rFonts w:ascii="Times New Roman" w:hAnsi="Times New Roman" w:cs="Times New Roman"/>
          <w:sz w:val="24"/>
          <w:szCs w:val="24"/>
        </w:rPr>
        <w:t xml:space="preserve">pionieristiche </w:t>
      </w:r>
      <w:r w:rsidRPr="00EC1853">
        <w:rPr>
          <w:rFonts w:ascii="Times New Roman" w:hAnsi="Times New Roman" w:cs="Times New Roman"/>
          <w:sz w:val="24"/>
          <w:szCs w:val="24"/>
        </w:rPr>
        <w:t>rappresentazioni dell’</w:t>
      </w:r>
      <w:r w:rsidRPr="00EC1853">
        <w:rPr>
          <w:rFonts w:ascii="Times New Roman" w:hAnsi="Times New Roman" w:cs="Times New Roman"/>
          <w:i/>
          <w:sz w:val="24"/>
          <w:szCs w:val="24"/>
        </w:rPr>
        <w:t>Andria</w:t>
      </w:r>
      <w:r w:rsidRPr="00EC1853">
        <w:rPr>
          <w:rFonts w:ascii="Times New Roman" w:hAnsi="Times New Roman" w:cs="Times New Roman"/>
          <w:sz w:val="24"/>
          <w:szCs w:val="24"/>
        </w:rPr>
        <w:t xml:space="preserve"> di Terenzio curate da </w:t>
      </w:r>
      <w:bookmarkStart w:id="530" w:name="_Hlk536015677"/>
      <w:r w:rsidRPr="00EC1853">
        <w:rPr>
          <w:rFonts w:ascii="Times New Roman" w:hAnsi="Times New Roman" w:cs="Times New Roman"/>
          <w:sz w:val="24"/>
          <w:szCs w:val="24"/>
        </w:rPr>
        <w:t>Giorgio Antonio Vespucci</w:t>
      </w:r>
      <w:bookmarkEnd w:id="530"/>
      <w:r w:rsidRPr="00EC1853">
        <w:rPr>
          <w:rFonts w:ascii="Times New Roman" w:hAnsi="Times New Roman" w:cs="Times New Roman"/>
          <w:sz w:val="24"/>
          <w:szCs w:val="24"/>
        </w:rPr>
        <w:t xml:space="preserve"> e dai suoi allievi per il carnevale del 1476,</w:t>
      </w:r>
      <w:r w:rsidRPr="00EC1853">
        <w:rPr>
          <w:rStyle w:val="Rimandonotaapidipagina"/>
          <w:rFonts w:ascii="Times New Roman" w:hAnsi="Times New Roman" w:cs="Times New Roman"/>
          <w:sz w:val="24"/>
          <w:szCs w:val="24"/>
        </w:rPr>
        <w:footnoteReference w:id="887"/>
      </w:r>
      <w:r w:rsidRPr="00EC1853">
        <w:rPr>
          <w:rFonts w:ascii="Times New Roman" w:hAnsi="Times New Roman" w:cs="Times New Roman"/>
          <w:sz w:val="24"/>
          <w:szCs w:val="24"/>
        </w:rPr>
        <w:t xml:space="preserve"> con il beneplacito di Lorenzo de’ Medici, si possono</w:t>
      </w:r>
      <w:r>
        <w:rPr>
          <w:rFonts w:ascii="Times New Roman" w:hAnsi="Times New Roman" w:cs="Times New Roman"/>
          <w:sz w:val="24"/>
          <w:szCs w:val="24"/>
        </w:rPr>
        <w:t xml:space="preserve"> così</w:t>
      </w:r>
      <w:r w:rsidRPr="00EC1853">
        <w:rPr>
          <w:rFonts w:ascii="Times New Roman" w:hAnsi="Times New Roman" w:cs="Times New Roman"/>
          <w:sz w:val="24"/>
          <w:szCs w:val="24"/>
        </w:rPr>
        <w:t xml:space="preserve"> ricondurre al</w:t>
      </w:r>
      <w:r>
        <w:rPr>
          <w:rFonts w:ascii="Times New Roman" w:hAnsi="Times New Roman" w:cs="Times New Roman"/>
          <w:sz w:val="24"/>
          <w:szCs w:val="24"/>
        </w:rPr>
        <w:t>l’ambito</w:t>
      </w:r>
      <w:r w:rsidRPr="00EC1853">
        <w:rPr>
          <w:rFonts w:ascii="Times New Roman" w:hAnsi="Times New Roman" w:cs="Times New Roman"/>
          <w:sz w:val="24"/>
          <w:szCs w:val="24"/>
        </w:rPr>
        <w:t xml:space="preserve"> delle esercitazioni scolastiche, in cui, secondo il progetto pedagogico degli </w:t>
      </w:r>
      <w:r w:rsidRPr="00EC1853">
        <w:rPr>
          <w:rFonts w:ascii="Times New Roman" w:hAnsi="Times New Roman" w:cs="Times New Roman"/>
          <w:i/>
          <w:sz w:val="24"/>
          <w:szCs w:val="24"/>
        </w:rPr>
        <w:t>studia humanitatis</w:t>
      </w:r>
      <w:r w:rsidRPr="00EC1853">
        <w:rPr>
          <w:rFonts w:ascii="Times New Roman" w:hAnsi="Times New Roman" w:cs="Times New Roman"/>
          <w:sz w:val="24"/>
          <w:szCs w:val="24"/>
        </w:rPr>
        <w:t>, la recita</w:t>
      </w:r>
      <w:r>
        <w:rPr>
          <w:rFonts w:ascii="Times New Roman" w:hAnsi="Times New Roman" w:cs="Times New Roman"/>
          <w:sz w:val="24"/>
          <w:szCs w:val="24"/>
        </w:rPr>
        <w:t>zione</w:t>
      </w:r>
      <w:r w:rsidRPr="00EC1853">
        <w:rPr>
          <w:rFonts w:ascii="Times New Roman" w:hAnsi="Times New Roman" w:cs="Times New Roman"/>
          <w:sz w:val="24"/>
          <w:szCs w:val="24"/>
        </w:rPr>
        <w:t>, oltre a fa</w:t>
      </w:r>
      <w:r>
        <w:rPr>
          <w:rFonts w:ascii="Times New Roman" w:hAnsi="Times New Roman" w:cs="Times New Roman"/>
          <w:sz w:val="24"/>
          <w:szCs w:val="24"/>
        </w:rPr>
        <w:t>vorire</w:t>
      </w:r>
      <w:r w:rsidRPr="00EC1853">
        <w:rPr>
          <w:rFonts w:ascii="Times New Roman" w:hAnsi="Times New Roman" w:cs="Times New Roman"/>
          <w:sz w:val="24"/>
          <w:szCs w:val="24"/>
        </w:rPr>
        <w:t xml:space="preserve"> la famigliarità degli allievi con </w:t>
      </w:r>
      <w:r>
        <w:rPr>
          <w:rFonts w:ascii="Times New Roman" w:hAnsi="Times New Roman" w:cs="Times New Roman"/>
          <w:sz w:val="24"/>
          <w:szCs w:val="24"/>
        </w:rPr>
        <w:t>il</w:t>
      </w:r>
      <w:r w:rsidRPr="00EC1853">
        <w:rPr>
          <w:rFonts w:ascii="Times New Roman" w:hAnsi="Times New Roman" w:cs="Times New Roman"/>
          <w:sz w:val="24"/>
          <w:szCs w:val="24"/>
        </w:rPr>
        <w:t xml:space="preserve"> latin</w:t>
      </w:r>
      <w:r>
        <w:rPr>
          <w:rFonts w:ascii="Times New Roman" w:hAnsi="Times New Roman" w:cs="Times New Roman"/>
          <w:sz w:val="24"/>
          <w:szCs w:val="24"/>
        </w:rPr>
        <w:t>o</w:t>
      </w:r>
      <w:r w:rsidRPr="00EC1853">
        <w:rPr>
          <w:rFonts w:ascii="Times New Roman" w:hAnsi="Times New Roman" w:cs="Times New Roman"/>
          <w:sz w:val="24"/>
          <w:szCs w:val="24"/>
        </w:rPr>
        <w:t>, poteva costituire un banco di prova per l’esercizio della retorica</w:t>
      </w:r>
      <w:r>
        <w:rPr>
          <w:rFonts w:ascii="Times New Roman" w:hAnsi="Times New Roman" w:cs="Times New Roman"/>
          <w:sz w:val="24"/>
          <w:szCs w:val="24"/>
        </w:rPr>
        <w:t>, come proposto dall’</w:t>
      </w:r>
      <w:r w:rsidRPr="0038767F">
        <w:rPr>
          <w:rFonts w:ascii="Times New Roman" w:hAnsi="Times New Roman" w:cs="Times New Roman"/>
          <w:i/>
          <w:sz w:val="24"/>
          <w:szCs w:val="24"/>
        </w:rPr>
        <w:t>Istituito</w:t>
      </w:r>
      <w:r>
        <w:rPr>
          <w:rFonts w:ascii="Times New Roman" w:hAnsi="Times New Roman" w:cs="Times New Roman"/>
          <w:sz w:val="24"/>
          <w:szCs w:val="24"/>
        </w:rPr>
        <w:t xml:space="preserve"> </w:t>
      </w:r>
      <w:r w:rsidRPr="0038767F">
        <w:rPr>
          <w:rFonts w:ascii="Times New Roman" w:hAnsi="Times New Roman" w:cs="Times New Roman"/>
          <w:i/>
          <w:sz w:val="24"/>
          <w:szCs w:val="24"/>
        </w:rPr>
        <w:t>oratoria</w:t>
      </w:r>
      <w:r>
        <w:rPr>
          <w:rFonts w:ascii="Times New Roman" w:hAnsi="Times New Roman" w:cs="Times New Roman"/>
          <w:sz w:val="24"/>
          <w:szCs w:val="24"/>
        </w:rPr>
        <w:t xml:space="preserve"> di Quintiliano</w:t>
      </w:r>
      <w:r w:rsidRPr="00EC1853">
        <w:rPr>
          <w:rFonts w:ascii="Times New Roman" w:hAnsi="Times New Roman" w:cs="Times New Roman"/>
          <w:sz w:val="24"/>
          <w:szCs w:val="24"/>
        </w:rPr>
        <w:t>.</w:t>
      </w:r>
      <w:r w:rsidRPr="00EC1853">
        <w:rPr>
          <w:rStyle w:val="Rimandonotaapidipagina"/>
          <w:rFonts w:ascii="Times New Roman" w:hAnsi="Times New Roman" w:cs="Times New Roman"/>
          <w:sz w:val="24"/>
          <w:szCs w:val="24"/>
        </w:rPr>
        <w:footnoteReference w:id="888"/>
      </w:r>
    </w:p>
    <w:p w14:paraId="6F79B6FF"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r w:rsidRPr="00EC1853">
        <w:rPr>
          <w:rFonts w:ascii="Times New Roman" w:hAnsi="Times New Roman" w:cs="Times New Roman"/>
          <w:sz w:val="24"/>
          <w:szCs w:val="24"/>
        </w:rPr>
        <w:t>A Roma, una linea di ricerca maggiormente dedita agli aspetti materiali della vita dello spettacolo caratterizzò</w:t>
      </w:r>
      <w:r>
        <w:rPr>
          <w:rFonts w:ascii="Times New Roman" w:hAnsi="Times New Roman" w:cs="Times New Roman"/>
          <w:sz w:val="24"/>
          <w:szCs w:val="24"/>
        </w:rPr>
        <w:t xml:space="preserve"> invece</w:t>
      </w:r>
      <w:r w:rsidRPr="00EC1853">
        <w:rPr>
          <w:rFonts w:ascii="Times New Roman" w:hAnsi="Times New Roman" w:cs="Times New Roman"/>
          <w:sz w:val="24"/>
          <w:szCs w:val="24"/>
        </w:rPr>
        <w:t xml:space="preserve"> i progetti maturati in seno all’Accademia d</w:t>
      </w:r>
      <w:r>
        <w:rPr>
          <w:rFonts w:ascii="Times New Roman" w:hAnsi="Times New Roman" w:cs="Times New Roman"/>
          <w:sz w:val="24"/>
          <w:szCs w:val="24"/>
        </w:rPr>
        <w:t>i</w:t>
      </w:r>
      <w:r w:rsidRPr="00EC1853">
        <w:rPr>
          <w:rFonts w:ascii="Times New Roman" w:hAnsi="Times New Roman" w:cs="Times New Roman"/>
          <w:sz w:val="24"/>
          <w:szCs w:val="24"/>
        </w:rPr>
        <w:t xml:space="preserve"> Pomponio Leto; </w:t>
      </w:r>
      <w:r>
        <w:rPr>
          <w:rFonts w:ascii="Times New Roman" w:hAnsi="Times New Roman" w:cs="Times New Roman"/>
          <w:sz w:val="24"/>
          <w:szCs w:val="24"/>
        </w:rPr>
        <w:t>d</w:t>
      </w:r>
      <w:r w:rsidRPr="00EC1853">
        <w:rPr>
          <w:rFonts w:ascii="Times New Roman" w:hAnsi="Times New Roman" w:cs="Times New Roman"/>
          <w:sz w:val="24"/>
          <w:szCs w:val="24"/>
        </w:rPr>
        <w:t>e</w:t>
      </w:r>
      <w:r>
        <w:rPr>
          <w:rFonts w:ascii="Times New Roman" w:hAnsi="Times New Roman" w:cs="Times New Roman"/>
          <w:sz w:val="24"/>
          <w:szCs w:val="24"/>
        </w:rPr>
        <w:t>i quali offre testimonianza</w:t>
      </w:r>
      <w:r w:rsidRPr="00EC1853">
        <w:rPr>
          <w:rFonts w:ascii="Times New Roman" w:hAnsi="Times New Roman" w:cs="Times New Roman"/>
          <w:sz w:val="24"/>
          <w:szCs w:val="24"/>
        </w:rPr>
        <w:t xml:space="preserve"> la lettera di dedica </w:t>
      </w:r>
      <w:r>
        <w:rPr>
          <w:rFonts w:ascii="Times New Roman" w:hAnsi="Times New Roman" w:cs="Times New Roman"/>
          <w:sz w:val="24"/>
          <w:szCs w:val="24"/>
        </w:rPr>
        <w:t>de</w:t>
      </w:r>
      <w:r w:rsidRPr="00EC1853">
        <w:rPr>
          <w:rFonts w:ascii="Times New Roman" w:hAnsi="Times New Roman" w:cs="Times New Roman"/>
          <w:sz w:val="24"/>
          <w:szCs w:val="24"/>
        </w:rPr>
        <w:t>ll’</w:t>
      </w:r>
      <w:r w:rsidRPr="00EC1853">
        <w:rPr>
          <w:rFonts w:ascii="Times New Roman" w:hAnsi="Times New Roman" w:cs="Times New Roman"/>
          <w:i/>
          <w:sz w:val="24"/>
          <w:szCs w:val="24"/>
        </w:rPr>
        <w:t>editio</w:t>
      </w:r>
      <w:r w:rsidRPr="00EC1853">
        <w:rPr>
          <w:rFonts w:ascii="Times New Roman" w:hAnsi="Times New Roman" w:cs="Times New Roman"/>
          <w:sz w:val="24"/>
          <w:szCs w:val="24"/>
        </w:rPr>
        <w:t xml:space="preserve"> </w:t>
      </w:r>
      <w:r w:rsidRPr="00EC1853">
        <w:rPr>
          <w:rFonts w:ascii="Times New Roman" w:hAnsi="Times New Roman" w:cs="Times New Roman"/>
          <w:i/>
          <w:sz w:val="24"/>
          <w:szCs w:val="24"/>
        </w:rPr>
        <w:t>princeps</w:t>
      </w:r>
      <w:r w:rsidRPr="00EC1853">
        <w:rPr>
          <w:rFonts w:ascii="Times New Roman" w:hAnsi="Times New Roman" w:cs="Times New Roman"/>
          <w:sz w:val="24"/>
          <w:szCs w:val="24"/>
        </w:rPr>
        <w:t xml:space="preserve"> del </w:t>
      </w:r>
      <w:r w:rsidRPr="00EC1853">
        <w:rPr>
          <w:rFonts w:ascii="Times New Roman" w:hAnsi="Times New Roman" w:cs="Times New Roman"/>
          <w:i/>
          <w:sz w:val="24"/>
          <w:szCs w:val="24"/>
        </w:rPr>
        <w:t>De Architectura</w:t>
      </w:r>
      <w:r w:rsidRPr="00EC1853">
        <w:rPr>
          <w:rFonts w:ascii="Times New Roman" w:hAnsi="Times New Roman" w:cs="Times New Roman"/>
          <w:sz w:val="24"/>
          <w:szCs w:val="24"/>
        </w:rPr>
        <w:t xml:space="preserve"> di Vitruvio</w:t>
      </w:r>
      <w:r>
        <w:rPr>
          <w:rFonts w:ascii="Times New Roman" w:hAnsi="Times New Roman" w:cs="Times New Roman"/>
          <w:sz w:val="24"/>
          <w:szCs w:val="24"/>
        </w:rPr>
        <w:t>,</w:t>
      </w:r>
      <w:r w:rsidRPr="00EC1853">
        <w:rPr>
          <w:rFonts w:ascii="Times New Roman" w:hAnsi="Times New Roman" w:cs="Times New Roman"/>
          <w:sz w:val="24"/>
          <w:szCs w:val="24"/>
        </w:rPr>
        <w:t xml:space="preserve"> impressa nel 1486 da </w:t>
      </w:r>
      <w:bookmarkStart w:id="532" w:name="_Hlk536015915"/>
      <w:r w:rsidRPr="00EC1853">
        <w:rPr>
          <w:rFonts w:ascii="Times New Roman" w:hAnsi="Times New Roman" w:cs="Times New Roman"/>
          <w:sz w:val="24"/>
          <w:szCs w:val="24"/>
        </w:rPr>
        <w:t>Eucario Silber</w:t>
      </w:r>
      <w:bookmarkEnd w:id="532"/>
      <w:r w:rsidRPr="00EC1853">
        <w:rPr>
          <w:rFonts w:ascii="Times New Roman" w:hAnsi="Times New Roman" w:cs="Times New Roman"/>
          <w:sz w:val="24"/>
          <w:szCs w:val="24"/>
        </w:rPr>
        <w:t>.</w:t>
      </w:r>
      <w:r w:rsidRPr="00EC1853">
        <w:rPr>
          <w:rStyle w:val="Rimandonotaapidipagina"/>
          <w:rFonts w:ascii="Times New Roman" w:hAnsi="Times New Roman" w:cs="Times New Roman"/>
          <w:sz w:val="24"/>
          <w:szCs w:val="24"/>
        </w:rPr>
        <w:footnoteReference w:id="889"/>
      </w:r>
      <w:r w:rsidRPr="00EC1853">
        <w:rPr>
          <w:rFonts w:ascii="Times New Roman" w:hAnsi="Times New Roman" w:cs="Times New Roman"/>
          <w:sz w:val="24"/>
          <w:szCs w:val="24"/>
        </w:rPr>
        <w:t xml:space="preserve"> In essa l’umanista </w:t>
      </w:r>
      <w:bookmarkStart w:id="533" w:name="_Hlk536015976"/>
      <w:r w:rsidRPr="00EC1853">
        <w:rPr>
          <w:rFonts w:ascii="Times New Roman" w:hAnsi="Times New Roman" w:cs="Times New Roman"/>
          <w:sz w:val="24"/>
          <w:szCs w:val="24"/>
        </w:rPr>
        <w:t>Giovanni Sulpizio da Veroli</w:t>
      </w:r>
      <w:bookmarkEnd w:id="533"/>
      <w:r w:rsidRPr="00EC1853">
        <w:rPr>
          <w:rFonts w:ascii="Times New Roman" w:hAnsi="Times New Roman" w:cs="Times New Roman"/>
          <w:sz w:val="24"/>
          <w:szCs w:val="24"/>
        </w:rPr>
        <w:t xml:space="preserve">, rivolgendosi al cardinale Raffaele Riario, </w:t>
      </w:r>
      <w:r>
        <w:rPr>
          <w:rFonts w:ascii="Times New Roman" w:hAnsi="Times New Roman" w:cs="Times New Roman"/>
          <w:sz w:val="24"/>
          <w:szCs w:val="24"/>
        </w:rPr>
        <w:t xml:space="preserve">lo </w:t>
      </w:r>
      <w:r w:rsidRPr="00EC1853">
        <w:rPr>
          <w:rFonts w:ascii="Times New Roman" w:hAnsi="Times New Roman" w:cs="Times New Roman"/>
          <w:sz w:val="24"/>
          <w:szCs w:val="24"/>
        </w:rPr>
        <w:t>esort</w:t>
      </w:r>
      <w:r>
        <w:rPr>
          <w:rFonts w:ascii="Times New Roman" w:hAnsi="Times New Roman" w:cs="Times New Roman"/>
          <w:sz w:val="24"/>
          <w:szCs w:val="24"/>
        </w:rPr>
        <w:t>ò</w:t>
      </w:r>
      <w:r w:rsidRPr="00EC1853">
        <w:rPr>
          <w:rFonts w:ascii="Times New Roman" w:hAnsi="Times New Roman" w:cs="Times New Roman"/>
          <w:sz w:val="24"/>
          <w:szCs w:val="24"/>
        </w:rPr>
        <w:t xml:space="preserve"> a procurarsi gloria imperitura donando alla città un teatro simile a quello descritto nel trattato di cui </w:t>
      </w:r>
      <w:r>
        <w:rPr>
          <w:rFonts w:ascii="Times New Roman" w:hAnsi="Times New Roman" w:cs="Times New Roman"/>
          <w:sz w:val="24"/>
          <w:szCs w:val="24"/>
        </w:rPr>
        <w:t>egli offriva</w:t>
      </w:r>
      <w:r w:rsidRPr="00EC1853">
        <w:rPr>
          <w:rFonts w:ascii="Times New Roman" w:hAnsi="Times New Roman" w:cs="Times New Roman"/>
          <w:sz w:val="24"/>
          <w:szCs w:val="24"/>
        </w:rPr>
        <w:t xml:space="preserve"> l’edizione. </w:t>
      </w:r>
      <w:r>
        <w:rPr>
          <w:rFonts w:ascii="Times New Roman" w:hAnsi="Times New Roman" w:cs="Times New Roman"/>
          <w:sz w:val="24"/>
          <w:szCs w:val="24"/>
        </w:rPr>
        <w:t>L’alto prelato</w:t>
      </w:r>
      <w:r w:rsidRPr="00EC1853">
        <w:rPr>
          <w:rFonts w:ascii="Times New Roman" w:hAnsi="Times New Roman" w:cs="Times New Roman"/>
          <w:sz w:val="24"/>
          <w:szCs w:val="24"/>
        </w:rPr>
        <w:t xml:space="preserve">, nipote di Innocenzo VIII, </w:t>
      </w:r>
      <w:r>
        <w:rPr>
          <w:rFonts w:ascii="Times New Roman" w:hAnsi="Times New Roman" w:cs="Times New Roman"/>
          <w:sz w:val="24"/>
          <w:szCs w:val="24"/>
        </w:rPr>
        <w:t xml:space="preserve">era stato </w:t>
      </w:r>
      <w:r w:rsidRPr="00EC1853">
        <w:rPr>
          <w:rFonts w:ascii="Times New Roman" w:hAnsi="Times New Roman" w:cs="Times New Roman"/>
          <w:sz w:val="24"/>
          <w:szCs w:val="24"/>
        </w:rPr>
        <w:t>il promotore de</w:t>
      </w:r>
      <w:r>
        <w:rPr>
          <w:rFonts w:ascii="Times New Roman" w:hAnsi="Times New Roman" w:cs="Times New Roman"/>
          <w:sz w:val="24"/>
          <w:szCs w:val="24"/>
        </w:rPr>
        <w:t>gli allestimenti delle</w:t>
      </w:r>
      <w:r w:rsidRPr="00EC1853">
        <w:rPr>
          <w:rFonts w:ascii="Times New Roman" w:hAnsi="Times New Roman" w:cs="Times New Roman"/>
          <w:sz w:val="24"/>
          <w:szCs w:val="24"/>
        </w:rPr>
        <w:t xml:space="preserve"> </w:t>
      </w:r>
      <w:r w:rsidRPr="00EC1853">
        <w:rPr>
          <w:rFonts w:ascii="Times New Roman" w:hAnsi="Times New Roman" w:cs="Times New Roman"/>
          <w:i/>
          <w:sz w:val="24"/>
          <w:szCs w:val="24"/>
        </w:rPr>
        <w:t>tragoediae</w:t>
      </w:r>
      <w:r w:rsidRPr="00EC1853">
        <w:rPr>
          <w:rFonts w:ascii="Times New Roman" w:hAnsi="Times New Roman" w:cs="Times New Roman"/>
          <w:sz w:val="24"/>
          <w:szCs w:val="24"/>
        </w:rPr>
        <w:t xml:space="preserve"> </w:t>
      </w:r>
      <w:r>
        <w:rPr>
          <w:rFonts w:ascii="Times New Roman" w:hAnsi="Times New Roman" w:cs="Times New Roman"/>
          <w:sz w:val="24"/>
          <w:szCs w:val="24"/>
        </w:rPr>
        <w:t>curati</w:t>
      </w:r>
      <w:r w:rsidRPr="00EC1853">
        <w:rPr>
          <w:rFonts w:ascii="Times New Roman" w:hAnsi="Times New Roman" w:cs="Times New Roman"/>
          <w:sz w:val="24"/>
          <w:szCs w:val="24"/>
        </w:rPr>
        <w:t xml:space="preserve"> dai pomponiani </w:t>
      </w:r>
      <w:r>
        <w:rPr>
          <w:rFonts w:ascii="Times New Roman" w:hAnsi="Times New Roman" w:cs="Times New Roman"/>
          <w:sz w:val="24"/>
          <w:szCs w:val="24"/>
        </w:rPr>
        <w:t>«</w:t>
      </w:r>
      <w:r w:rsidRPr="00EC1853">
        <w:rPr>
          <w:rFonts w:ascii="Times New Roman" w:hAnsi="Times New Roman" w:cs="Times New Roman"/>
          <w:i/>
          <w:sz w:val="24"/>
          <w:szCs w:val="24"/>
        </w:rPr>
        <w:t>iuventutem excitandi gratia</w:t>
      </w:r>
      <w:r w:rsidRPr="000E328F">
        <w:rPr>
          <w:rFonts w:ascii="Times New Roman" w:hAnsi="Times New Roman" w:cs="Times New Roman"/>
          <w:sz w:val="24"/>
          <w:szCs w:val="24"/>
        </w:rPr>
        <w:t>»,</w:t>
      </w:r>
      <w:r w:rsidRPr="00EC1853">
        <w:rPr>
          <w:rFonts w:ascii="Times New Roman" w:hAnsi="Times New Roman" w:cs="Times New Roman"/>
          <w:sz w:val="24"/>
          <w:szCs w:val="24"/>
        </w:rPr>
        <w:t xml:space="preserve"> in Campo dei Fiori, in Castel Sant’Angelo e nel cortile della propria residenza in occasione della celebrazione delle antiche feste </w:t>
      </w:r>
      <w:r w:rsidRPr="00EC1853">
        <w:rPr>
          <w:rFonts w:ascii="Times New Roman" w:hAnsi="Times New Roman" w:cs="Times New Roman"/>
          <w:i/>
          <w:sz w:val="24"/>
          <w:szCs w:val="24"/>
        </w:rPr>
        <w:t>Paliliae</w:t>
      </w:r>
      <w:r w:rsidRPr="00EC1853">
        <w:rPr>
          <w:rFonts w:ascii="Times New Roman" w:hAnsi="Times New Roman" w:cs="Times New Roman"/>
          <w:sz w:val="24"/>
          <w:szCs w:val="24"/>
        </w:rPr>
        <w:t xml:space="preserve">. Nel ricordare questi </w:t>
      </w:r>
      <w:r>
        <w:rPr>
          <w:rFonts w:ascii="Times New Roman" w:hAnsi="Times New Roman" w:cs="Times New Roman"/>
          <w:sz w:val="24"/>
          <w:szCs w:val="24"/>
        </w:rPr>
        <w:t>spettacoli teatrali</w:t>
      </w:r>
      <w:r w:rsidRPr="00EC1853">
        <w:rPr>
          <w:rFonts w:ascii="Times New Roman" w:hAnsi="Times New Roman" w:cs="Times New Roman"/>
          <w:sz w:val="24"/>
          <w:szCs w:val="24"/>
        </w:rPr>
        <w:t xml:space="preserve">, </w:t>
      </w:r>
      <w:r>
        <w:rPr>
          <w:rFonts w:ascii="Times New Roman" w:hAnsi="Times New Roman" w:cs="Times New Roman"/>
          <w:sz w:val="24"/>
          <w:szCs w:val="24"/>
        </w:rPr>
        <w:t>cui</w:t>
      </w:r>
      <w:r w:rsidRPr="00EC1853">
        <w:rPr>
          <w:rFonts w:ascii="Times New Roman" w:hAnsi="Times New Roman" w:cs="Times New Roman"/>
          <w:sz w:val="24"/>
          <w:szCs w:val="24"/>
        </w:rPr>
        <w:t xml:space="preserve"> egli stesso sovraintese, Sulpizio f</w:t>
      </w:r>
      <w:r>
        <w:rPr>
          <w:rFonts w:ascii="Times New Roman" w:hAnsi="Times New Roman" w:cs="Times New Roman"/>
          <w:sz w:val="24"/>
          <w:szCs w:val="24"/>
        </w:rPr>
        <w:t>ece</w:t>
      </w:r>
      <w:r w:rsidRPr="00EC1853">
        <w:rPr>
          <w:rFonts w:ascii="Times New Roman" w:hAnsi="Times New Roman" w:cs="Times New Roman"/>
          <w:sz w:val="24"/>
          <w:szCs w:val="24"/>
        </w:rPr>
        <w:t xml:space="preserve"> menzione dell’impiego di un </w:t>
      </w:r>
      <w:r w:rsidRPr="00EC1853">
        <w:rPr>
          <w:rFonts w:ascii="Times New Roman" w:hAnsi="Times New Roman" w:cs="Times New Roman"/>
          <w:i/>
          <w:sz w:val="24"/>
          <w:szCs w:val="24"/>
        </w:rPr>
        <w:t>pulpitum</w:t>
      </w:r>
      <w:r w:rsidRPr="00EC1853">
        <w:rPr>
          <w:rFonts w:ascii="Times New Roman" w:hAnsi="Times New Roman" w:cs="Times New Roman"/>
          <w:sz w:val="24"/>
          <w:szCs w:val="24"/>
        </w:rPr>
        <w:t xml:space="preserve"> alto cinque piedi nella piazza di Campo dei Fiori, e della disposizione di una cavea coperta da un velario nel cortile di casa Riario. </w:t>
      </w:r>
    </w:p>
    <w:p w14:paraId="2B6E4AF3"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r w:rsidRPr="00EC1853">
        <w:rPr>
          <w:rFonts w:ascii="Times New Roman" w:hAnsi="Times New Roman" w:cs="Times New Roman"/>
          <w:sz w:val="24"/>
          <w:szCs w:val="24"/>
        </w:rPr>
        <w:t xml:space="preserve">Negli studi sulla scenografia del teatro umanistico, </w:t>
      </w:r>
      <w:r>
        <w:rPr>
          <w:rFonts w:ascii="Times New Roman" w:hAnsi="Times New Roman" w:cs="Times New Roman"/>
          <w:sz w:val="24"/>
          <w:szCs w:val="24"/>
        </w:rPr>
        <w:t xml:space="preserve">inoltre, </w:t>
      </w:r>
      <w:r w:rsidRPr="00EC1853">
        <w:rPr>
          <w:rFonts w:ascii="Times New Roman" w:hAnsi="Times New Roman" w:cs="Times New Roman"/>
          <w:sz w:val="24"/>
          <w:szCs w:val="24"/>
        </w:rPr>
        <w:t xml:space="preserve">la lettera dedicatoria citata è stata segnalata poiché ricorda l’adozione da parte degli interpreti di una </w:t>
      </w:r>
      <w:r w:rsidRPr="00EC1853">
        <w:rPr>
          <w:rFonts w:ascii="Times New Roman" w:hAnsi="Times New Roman" w:cs="Times New Roman"/>
          <w:i/>
          <w:sz w:val="24"/>
          <w:szCs w:val="24"/>
        </w:rPr>
        <w:t>picturatae scenae faciem</w:t>
      </w:r>
      <w:r w:rsidRPr="00EC1853">
        <w:rPr>
          <w:rFonts w:ascii="Times New Roman" w:hAnsi="Times New Roman" w:cs="Times New Roman"/>
          <w:sz w:val="24"/>
          <w:szCs w:val="24"/>
        </w:rPr>
        <w:t>.</w:t>
      </w:r>
      <w:r>
        <w:rPr>
          <w:rFonts w:ascii="Times New Roman" w:hAnsi="Times New Roman" w:cs="Times New Roman"/>
          <w:sz w:val="24"/>
          <w:szCs w:val="24"/>
        </w:rPr>
        <w:t xml:space="preserve"> D</w:t>
      </w:r>
      <w:r w:rsidRPr="00EC1853">
        <w:rPr>
          <w:rFonts w:ascii="Times New Roman" w:hAnsi="Times New Roman" w:cs="Times New Roman"/>
          <w:sz w:val="24"/>
          <w:szCs w:val="24"/>
        </w:rPr>
        <w:t>ifficile dire se</w:t>
      </w:r>
      <w:r>
        <w:rPr>
          <w:rFonts w:ascii="Times New Roman" w:hAnsi="Times New Roman" w:cs="Times New Roman"/>
          <w:sz w:val="24"/>
          <w:szCs w:val="24"/>
        </w:rPr>
        <w:t xml:space="preserve"> con</w:t>
      </w:r>
      <w:r w:rsidRPr="00EC1853">
        <w:rPr>
          <w:rFonts w:ascii="Times New Roman" w:hAnsi="Times New Roman" w:cs="Times New Roman"/>
          <w:sz w:val="24"/>
          <w:szCs w:val="24"/>
        </w:rPr>
        <w:t xml:space="preserve"> </w:t>
      </w:r>
      <w:r>
        <w:rPr>
          <w:rFonts w:ascii="Times New Roman" w:hAnsi="Times New Roman" w:cs="Times New Roman"/>
          <w:sz w:val="24"/>
          <w:szCs w:val="24"/>
        </w:rPr>
        <w:t>l</w:t>
      </w:r>
      <w:r w:rsidRPr="00EC1853">
        <w:rPr>
          <w:rFonts w:ascii="Times New Roman" w:hAnsi="Times New Roman" w:cs="Times New Roman"/>
          <w:sz w:val="24"/>
          <w:szCs w:val="24"/>
        </w:rPr>
        <w:t>a sfuggente indicazione Sulpizio da Veroli volesse ricordare l’uso di una scenafronte o di un fondale dipint</w:t>
      </w:r>
      <w:r w:rsidR="00674E2F">
        <w:rPr>
          <w:rFonts w:ascii="Times New Roman" w:hAnsi="Times New Roman" w:cs="Times New Roman"/>
          <w:sz w:val="24"/>
          <w:szCs w:val="24"/>
        </w:rPr>
        <w:t>o</w:t>
      </w:r>
      <w:r>
        <w:rPr>
          <w:rFonts w:ascii="Times New Roman" w:hAnsi="Times New Roman" w:cs="Times New Roman"/>
          <w:sz w:val="24"/>
          <w:szCs w:val="24"/>
        </w:rPr>
        <w:t>,</w:t>
      </w:r>
      <w:r w:rsidRPr="00EC1853">
        <w:rPr>
          <w:rStyle w:val="Rimandonotaapidipagina"/>
          <w:rFonts w:ascii="Times New Roman" w:hAnsi="Times New Roman" w:cs="Times New Roman"/>
          <w:sz w:val="24"/>
          <w:szCs w:val="24"/>
        </w:rPr>
        <w:footnoteReference w:id="890"/>
      </w:r>
      <w:r w:rsidRPr="00EC1853">
        <w:rPr>
          <w:rFonts w:ascii="Times New Roman" w:hAnsi="Times New Roman" w:cs="Times New Roman"/>
          <w:sz w:val="24"/>
          <w:szCs w:val="24"/>
        </w:rPr>
        <w:t xml:space="preserve"> </w:t>
      </w:r>
      <w:r>
        <w:rPr>
          <w:rFonts w:ascii="Times New Roman" w:hAnsi="Times New Roman" w:cs="Times New Roman"/>
          <w:sz w:val="24"/>
          <w:szCs w:val="24"/>
        </w:rPr>
        <w:t>ma</w:t>
      </w:r>
      <w:r w:rsidRPr="00EC1853">
        <w:rPr>
          <w:rFonts w:ascii="Times New Roman" w:hAnsi="Times New Roman" w:cs="Times New Roman"/>
          <w:sz w:val="24"/>
          <w:szCs w:val="24"/>
        </w:rPr>
        <w:t xml:space="preserve"> è </w:t>
      </w:r>
      <w:r>
        <w:rPr>
          <w:rFonts w:ascii="Times New Roman" w:hAnsi="Times New Roman" w:cs="Times New Roman"/>
          <w:sz w:val="24"/>
          <w:szCs w:val="24"/>
        </w:rPr>
        <w:t>certo</w:t>
      </w:r>
      <w:r w:rsidR="00B80405">
        <w:rPr>
          <w:rFonts w:ascii="Times New Roman" w:hAnsi="Times New Roman" w:cs="Times New Roman"/>
          <w:sz w:val="24"/>
          <w:szCs w:val="24"/>
        </w:rPr>
        <w:t>,</w:t>
      </w:r>
      <w:r>
        <w:rPr>
          <w:rFonts w:ascii="Times New Roman" w:hAnsi="Times New Roman" w:cs="Times New Roman"/>
          <w:sz w:val="24"/>
          <w:szCs w:val="24"/>
        </w:rPr>
        <w:t xml:space="preserve"> </w:t>
      </w:r>
      <w:r w:rsidR="00B80405" w:rsidRPr="00EC1853">
        <w:rPr>
          <w:rFonts w:ascii="Times New Roman" w:hAnsi="Times New Roman" w:cs="Times New Roman"/>
          <w:sz w:val="24"/>
          <w:szCs w:val="24"/>
        </w:rPr>
        <w:t>invece</w:t>
      </w:r>
      <w:r w:rsidR="00B80405">
        <w:rPr>
          <w:rFonts w:ascii="Times New Roman" w:hAnsi="Times New Roman" w:cs="Times New Roman"/>
          <w:sz w:val="24"/>
          <w:szCs w:val="24"/>
        </w:rPr>
        <w:t>,</w:t>
      </w:r>
      <w:r w:rsidR="00B80405" w:rsidRPr="00EC1853">
        <w:rPr>
          <w:rFonts w:ascii="Times New Roman" w:hAnsi="Times New Roman" w:cs="Times New Roman"/>
          <w:sz w:val="24"/>
          <w:szCs w:val="24"/>
        </w:rPr>
        <w:t xml:space="preserve"> </w:t>
      </w:r>
      <w:r w:rsidRPr="00EC1853">
        <w:rPr>
          <w:rFonts w:ascii="Times New Roman" w:hAnsi="Times New Roman" w:cs="Times New Roman"/>
          <w:sz w:val="24"/>
          <w:szCs w:val="24"/>
        </w:rPr>
        <w:t>che</w:t>
      </w:r>
      <w:r>
        <w:rPr>
          <w:rFonts w:ascii="Times New Roman" w:hAnsi="Times New Roman" w:cs="Times New Roman"/>
          <w:sz w:val="24"/>
          <w:szCs w:val="24"/>
        </w:rPr>
        <w:t xml:space="preserve"> il suo</w:t>
      </w:r>
      <w:r w:rsidRPr="00EC1853">
        <w:rPr>
          <w:rFonts w:ascii="Times New Roman" w:hAnsi="Times New Roman" w:cs="Times New Roman"/>
          <w:sz w:val="24"/>
          <w:szCs w:val="24"/>
        </w:rPr>
        <w:t xml:space="preserve"> testo</w:t>
      </w:r>
      <w:r>
        <w:rPr>
          <w:rFonts w:ascii="Times New Roman" w:hAnsi="Times New Roman" w:cs="Times New Roman"/>
          <w:sz w:val="24"/>
          <w:szCs w:val="24"/>
        </w:rPr>
        <w:t xml:space="preserve"> </w:t>
      </w:r>
      <w:r w:rsidRPr="00EC1853">
        <w:rPr>
          <w:rFonts w:ascii="Times New Roman" w:hAnsi="Times New Roman" w:cs="Times New Roman"/>
          <w:sz w:val="24"/>
          <w:szCs w:val="24"/>
        </w:rPr>
        <w:t xml:space="preserve">intendesse trasmettere una sintesi delle soluzioni adottate dai membri dell’Accademia romana per i loro spettacoli, </w:t>
      </w:r>
      <w:r>
        <w:rPr>
          <w:rFonts w:ascii="Times New Roman" w:hAnsi="Times New Roman" w:cs="Times New Roman"/>
          <w:sz w:val="24"/>
          <w:szCs w:val="24"/>
        </w:rPr>
        <w:t>le cui prime notizie datano all’aprile del 1486, quando sotto il papato di Innocenzo VIII, furono rappresentati l’</w:t>
      </w:r>
      <w:r w:rsidRPr="008750AE">
        <w:rPr>
          <w:rFonts w:ascii="Times New Roman" w:hAnsi="Times New Roman" w:cs="Times New Roman"/>
          <w:i/>
          <w:sz w:val="24"/>
          <w:szCs w:val="24"/>
        </w:rPr>
        <w:t>Ippolito</w:t>
      </w:r>
      <w:r>
        <w:rPr>
          <w:rFonts w:ascii="Times New Roman" w:hAnsi="Times New Roman" w:cs="Times New Roman"/>
          <w:sz w:val="24"/>
          <w:szCs w:val="24"/>
        </w:rPr>
        <w:t xml:space="preserve"> di Seneca e l’</w:t>
      </w:r>
      <w:r w:rsidRPr="008750AE">
        <w:rPr>
          <w:rFonts w:ascii="Times New Roman" w:hAnsi="Times New Roman" w:cs="Times New Roman"/>
          <w:i/>
          <w:sz w:val="24"/>
          <w:szCs w:val="24"/>
        </w:rPr>
        <w:t>Epidicus</w:t>
      </w:r>
      <w:r>
        <w:rPr>
          <w:rFonts w:ascii="Times New Roman" w:hAnsi="Times New Roman" w:cs="Times New Roman"/>
          <w:sz w:val="24"/>
          <w:szCs w:val="24"/>
        </w:rPr>
        <w:t xml:space="preserve"> di Plauto.</w:t>
      </w:r>
      <w:r>
        <w:rPr>
          <w:rStyle w:val="Rimandonotaapidipagina"/>
          <w:rFonts w:ascii="Times New Roman" w:hAnsi="Times New Roman" w:cs="Times New Roman"/>
          <w:sz w:val="24"/>
          <w:szCs w:val="24"/>
        </w:rPr>
        <w:footnoteReference w:id="891"/>
      </w:r>
      <w:r>
        <w:rPr>
          <w:rFonts w:ascii="Times New Roman" w:hAnsi="Times New Roman" w:cs="Times New Roman"/>
          <w:sz w:val="24"/>
          <w:szCs w:val="24"/>
        </w:rPr>
        <w:t xml:space="preserve"> </w:t>
      </w:r>
      <w:r w:rsidRPr="00EC1853">
        <w:rPr>
          <w:rFonts w:ascii="Times New Roman" w:hAnsi="Times New Roman" w:cs="Times New Roman"/>
          <w:sz w:val="24"/>
          <w:szCs w:val="24"/>
        </w:rPr>
        <w:t xml:space="preserve"> </w:t>
      </w:r>
    </w:p>
    <w:p w14:paraId="413E1EEC"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r>
        <w:rPr>
          <w:rFonts w:ascii="Times New Roman" w:hAnsi="Times New Roman" w:cs="Times New Roman"/>
          <w:sz w:val="24"/>
          <w:szCs w:val="24"/>
        </w:rPr>
        <w:t>Per assistere nell’Urbe alla presentazione di recite all’antica nel contesto di una festa nuziale si dovette attendere il 12 giugno 1493, quando, per le nozze di Lucrezia Borgia con Giovanni Sforza, alla presenza di Alessandro VI, furono messi in scena una composizione di Serafino Aquilano (attualmente non identificata)</w:t>
      </w:r>
      <w:r>
        <w:rPr>
          <w:rStyle w:val="Rimandonotaapidipagina"/>
          <w:rFonts w:ascii="Times New Roman" w:hAnsi="Times New Roman" w:cs="Times New Roman"/>
          <w:sz w:val="24"/>
          <w:szCs w:val="24"/>
        </w:rPr>
        <w:footnoteReference w:id="892"/>
      </w:r>
      <w:r>
        <w:rPr>
          <w:rFonts w:ascii="Times New Roman" w:hAnsi="Times New Roman" w:cs="Times New Roman"/>
          <w:sz w:val="24"/>
          <w:szCs w:val="24"/>
        </w:rPr>
        <w:t xml:space="preserve"> e i </w:t>
      </w:r>
      <w:r w:rsidRPr="008E50C7">
        <w:rPr>
          <w:rFonts w:ascii="Times New Roman" w:hAnsi="Times New Roman" w:cs="Times New Roman"/>
          <w:i/>
          <w:sz w:val="24"/>
          <w:szCs w:val="24"/>
        </w:rPr>
        <w:t>Menaechmi</w:t>
      </w:r>
      <w:r>
        <w:rPr>
          <w:rFonts w:ascii="Times New Roman" w:hAnsi="Times New Roman" w:cs="Times New Roman"/>
          <w:sz w:val="24"/>
          <w:szCs w:val="24"/>
        </w:rPr>
        <w:t xml:space="preserve">. È una lettera di </w:t>
      </w:r>
      <w:bookmarkStart w:id="534" w:name="_Hlk536016059"/>
      <w:r>
        <w:rPr>
          <w:rFonts w:ascii="Times New Roman" w:hAnsi="Times New Roman" w:cs="Times New Roman"/>
          <w:sz w:val="24"/>
          <w:szCs w:val="24"/>
        </w:rPr>
        <w:t xml:space="preserve">Pietro Varano </w:t>
      </w:r>
      <w:bookmarkEnd w:id="534"/>
      <w:r>
        <w:rPr>
          <w:rFonts w:ascii="Times New Roman" w:hAnsi="Times New Roman" w:cs="Times New Roman"/>
          <w:sz w:val="24"/>
          <w:szCs w:val="24"/>
        </w:rPr>
        <w:t>a Francesco Gonzaga a fornire il nome dell’autore dell’«egloga pastorale» e il titolo della commedia classica;</w:t>
      </w:r>
      <w:r>
        <w:rPr>
          <w:rStyle w:val="Rimandonotaapidipagina"/>
          <w:rFonts w:ascii="Times New Roman" w:hAnsi="Times New Roman" w:cs="Times New Roman"/>
          <w:sz w:val="24"/>
          <w:szCs w:val="24"/>
        </w:rPr>
        <w:footnoteReference w:id="893"/>
      </w:r>
      <w:r>
        <w:rPr>
          <w:rFonts w:ascii="Times New Roman" w:hAnsi="Times New Roman" w:cs="Times New Roman"/>
          <w:sz w:val="24"/>
          <w:szCs w:val="24"/>
        </w:rPr>
        <w:t xml:space="preserve"> mentre sulle modalità della loro rappresentazione prese alcune note il cerimoniere pontificio Burcardo nel suo </w:t>
      </w:r>
      <w:r w:rsidRPr="00FD73FE">
        <w:rPr>
          <w:rFonts w:ascii="Times New Roman" w:hAnsi="Times New Roman" w:cs="Times New Roman"/>
          <w:i/>
          <w:sz w:val="24"/>
          <w:szCs w:val="24"/>
        </w:rPr>
        <w:t>Diario</w:t>
      </w:r>
      <w:r>
        <w:rPr>
          <w:rFonts w:ascii="Times New Roman" w:hAnsi="Times New Roman" w:cs="Times New Roman"/>
          <w:sz w:val="24"/>
          <w:szCs w:val="24"/>
        </w:rPr>
        <w:t>:</w:t>
      </w:r>
    </w:p>
    <w:p w14:paraId="07352AFD"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p>
    <w:p w14:paraId="1DBEEAED" w14:textId="77777777" w:rsidR="00395702" w:rsidRPr="00077022" w:rsidRDefault="00395702" w:rsidP="00395702">
      <w:pPr>
        <w:pStyle w:val="Nessunaspaziatura"/>
        <w:spacing w:line="360" w:lineRule="auto"/>
        <w:ind w:left="567" w:right="851" w:firstLine="397"/>
        <w:jc w:val="both"/>
        <w:rPr>
          <w:rFonts w:ascii="Times New Roman" w:hAnsi="Times New Roman" w:cs="Times New Roman"/>
          <w:sz w:val="20"/>
          <w:szCs w:val="20"/>
        </w:rPr>
      </w:pPr>
      <w:r w:rsidRPr="003431CD">
        <w:rPr>
          <w:rFonts w:ascii="Times New Roman" w:hAnsi="Times New Roman" w:cs="Times New Roman"/>
          <w:i/>
          <w:sz w:val="20"/>
          <w:szCs w:val="20"/>
        </w:rPr>
        <w:t>Venerunt quidam scutiferi reverendi cardinalis de Columna quatuor vel circa Romam, et quandam inventivam de amore per eos compositam recitarunt vestibus et pellibus more gentilium induti; quo facto, duo filii magistri Andreae, scolam in Urbe tenentis, cum pluribus eorum sociis vestiti etiam gentilium more recitarunt quandam comediam tanta facundia quod ab omnibus plurimum laudabatur</w:t>
      </w:r>
      <w:r w:rsidRPr="00077022">
        <w:rPr>
          <w:rFonts w:ascii="Times New Roman" w:hAnsi="Times New Roman" w:cs="Times New Roman"/>
          <w:sz w:val="20"/>
          <w:szCs w:val="20"/>
        </w:rPr>
        <w:t>.</w:t>
      </w:r>
      <w:r>
        <w:rPr>
          <w:rStyle w:val="Rimandonotaapidipagina"/>
          <w:rFonts w:ascii="Times New Roman" w:hAnsi="Times New Roman" w:cs="Times New Roman"/>
        </w:rPr>
        <w:footnoteReference w:id="894"/>
      </w:r>
    </w:p>
    <w:p w14:paraId="404756B9"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p>
    <w:p w14:paraId="0BD6BBC5"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L’egloga fu inscenata, pertanto, dagli scutiferi del cardinale </w:t>
      </w:r>
      <w:bookmarkStart w:id="535" w:name="_Hlk536016132"/>
      <w:r>
        <w:rPr>
          <w:rFonts w:ascii="Times New Roman" w:hAnsi="Times New Roman" w:cs="Times New Roman"/>
          <w:sz w:val="24"/>
          <w:szCs w:val="24"/>
        </w:rPr>
        <w:t>Giovanni Colonna</w:t>
      </w:r>
      <w:bookmarkEnd w:id="535"/>
      <w:r>
        <w:rPr>
          <w:rFonts w:ascii="Times New Roman" w:hAnsi="Times New Roman" w:cs="Times New Roman"/>
          <w:sz w:val="24"/>
          <w:szCs w:val="24"/>
        </w:rPr>
        <w:t>, giunti a Roma</w:t>
      </w:r>
      <w:r w:rsidRPr="00FA0F33">
        <w:rPr>
          <w:rFonts w:ascii="Times New Roman" w:hAnsi="Times New Roman" w:cs="Times New Roman"/>
          <w:sz w:val="24"/>
          <w:szCs w:val="24"/>
        </w:rPr>
        <w:t xml:space="preserve"> </w:t>
      </w:r>
      <w:r>
        <w:rPr>
          <w:rFonts w:ascii="Times New Roman" w:hAnsi="Times New Roman" w:cs="Times New Roman"/>
          <w:sz w:val="24"/>
          <w:szCs w:val="24"/>
        </w:rPr>
        <w:t xml:space="preserve">appositamente; mentre i protagonisti dei </w:t>
      </w:r>
      <w:r w:rsidRPr="00C4307A">
        <w:rPr>
          <w:rFonts w:ascii="Times New Roman" w:hAnsi="Times New Roman" w:cs="Times New Roman"/>
          <w:i/>
          <w:sz w:val="24"/>
          <w:szCs w:val="24"/>
        </w:rPr>
        <w:t>Menaechmi</w:t>
      </w:r>
      <w:r>
        <w:rPr>
          <w:rFonts w:ascii="Times New Roman" w:hAnsi="Times New Roman" w:cs="Times New Roman"/>
          <w:sz w:val="24"/>
          <w:szCs w:val="24"/>
        </w:rPr>
        <w:t xml:space="preserve"> furono due figli di maestro Andrea (cui sarà presumibilmente spettato il ruolo dei due gemelli plautini) e alcuni loro compagni. L’indicazione della provenienza </w:t>
      </w:r>
      <w:r w:rsidR="00650F9D">
        <w:rPr>
          <w:rFonts w:ascii="Times New Roman" w:hAnsi="Times New Roman" w:cs="Times New Roman"/>
          <w:sz w:val="24"/>
          <w:szCs w:val="24"/>
        </w:rPr>
        <w:t xml:space="preserve">degli interpreti </w:t>
      </w:r>
      <w:r>
        <w:rPr>
          <w:rFonts w:ascii="Times New Roman" w:hAnsi="Times New Roman" w:cs="Times New Roman"/>
          <w:sz w:val="24"/>
          <w:szCs w:val="24"/>
        </w:rPr>
        <w:t>da una scuola riconduce, anche in quest’occasione, l’esercizio della recitazione dei testi di Plauto a un ambito segnato da una pedagogia umanistica simile a quella promossa dai letterati pomponiani;</w:t>
      </w:r>
      <w:r>
        <w:rPr>
          <w:rStyle w:val="Rimandonotaapidipagina"/>
          <w:rFonts w:ascii="Times New Roman" w:hAnsi="Times New Roman" w:cs="Times New Roman"/>
          <w:sz w:val="24"/>
          <w:szCs w:val="24"/>
        </w:rPr>
        <w:footnoteReference w:id="895"/>
      </w:r>
      <w:r>
        <w:rPr>
          <w:rFonts w:ascii="Times New Roman" w:hAnsi="Times New Roman" w:cs="Times New Roman"/>
          <w:sz w:val="24"/>
          <w:szCs w:val="24"/>
        </w:rPr>
        <w:t xml:space="preserve"> e si può forse proporre l’identificazione del </w:t>
      </w:r>
      <w:r w:rsidRPr="00BD7DE0">
        <w:rPr>
          <w:rFonts w:ascii="Times New Roman" w:hAnsi="Times New Roman" w:cs="Times New Roman"/>
          <w:i/>
          <w:sz w:val="24"/>
          <w:szCs w:val="24"/>
        </w:rPr>
        <w:t>Magister Andrea</w:t>
      </w:r>
      <w:r>
        <w:rPr>
          <w:rFonts w:ascii="Times New Roman" w:hAnsi="Times New Roman" w:cs="Times New Roman"/>
          <w:sz w:val="24"/>
          <w:szCs w:val="24"/>
        </w:rPr>
        <w:t xml:space="preserve"> indicato da Burcardo quale padre di due recitanti e forse, velatamente, quale organizzatore della messinscena – proprio con uno di loro: </w:t>
      </w:r>
      <w:bookmarkStart w:id="536" w:name="_Hlk536016195"/>
      <w:r>
        <w:rPr>
          <w:rFonts w:ascii="Times New Roman" w:hAnsi="Times New Roman" w:cs="Times New Roman"/>
          <w:sz w:val="24"/>
          <w:szCs w:val="24"/>
        </w:rPr>
        <w:t>Andrea Fulvio, detto Sabino</w:t>
      </w:r>
      <w:bookmarkEnd w:id="536"/>
      <w:r>
        <w:rPr>
          <w:rFonts w:ascii="Times New Roman" w:hAnsi="Times New Roman" w:cs="Times New Roman"/>
          <w:sz w:val="24"/>
          <w:szCs w:val="24"/>
        </w:rPr>
        <w:t xml:space="preserve">, umanista laziale, discepolo del Leto e maestro regionario nel rione romano di S. Eustachio. Gli scarsi dati biografici relativi a questo cultore di antichità invitano alla cautela, ma nella cerchia dei pomponiani su cui è giunta documentazione il Sabino risulta il solo a portare il nome di Andrea, ad aver svolto l’attività didattica in favore di rampolli della aristocrazia romana, ad avere avuto figli e a essersi cimentato persino nella composizione di una </w:t>
      </w:r>
      <w:r w:rsidRPr="00C63E84">
        <w:rPr>
          <w:rFonts w:ascii="Times New Roman" w:hAnsi="Times New Roman" w:cs="Times New Roman"/>
          <w:i/>
          <w:sz w:val="24"/>
          <w:szCs w:val="24"/>
        </w:rPr>
        <w:t>Aegloga de ortu Seruatoris</w:t>
      </w:r>
      <w:r>
        <w:rPr>
          <w:rFonts w:ascii="Times New Roman" w:hAnsi="Times New Roman" w:cs="Times New Roman"/>
          <w:sz w:val="24"/>
          <w:szCs w:val="24"/>
        </w:rPr>
        <w:t xml:space="preserve"> offerta nel 1514 a papa Leone X, possibile conferma del suo interesse per il teatro.</w:t>
      </w:r>
      <w:r>
        <w:rPr>
          <w:rStyle w:val="Rimandonotaapidipagina"/>
          <w:rFonts w:ascii="Times New Roman" w:hAnsi="Times New Roman" w:cs="Times New Roman"/>
          <w:sz w:val="24"/>
          <w:szCs w:val="24"/>
        </w:rPr>
        <w:footnoteReference w:id="896"/>
      </w:r>
      <w:r>
        <w:rPr>
          <w:rFonts w:ascii="Times New Roman" w:hAnsi="Times New Roman" w:cs="Times New Roman"/>
          <w:sz w:val="24"/>
          <w:szCs w:val="24"/>
        </w:rPr>
        <w:t xml:space="preserve">  </w:t>
      </w:r>
    </w:p>
    <w:p w14:paraId="47EE2FC2"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Burcardo registrò inoltre l’uso nei due spettacoli di costumi all’antica, specificando come quelli dell’egloga fossero stati confezionati in parte in pelliccia per richiamare l’appartenenza dei personaggi al mondo pastorale. Nulla disse invece sull’impiego d’apparati scenici, che credo non fossero dunque presenti. Del resto, dieci anni più tardi, il 2 gennaio 1503, per le nozze di Lucrezia Borgia con Alfonso d’Este si assistette nuovamente negli appartamenti di Alessandro VI a un allestimento dei </w:t>
      </w:r>
      <w:r w:rsidRPr="00DA5AC7">
        <w:rPr>
          <w:rFonts w:ascii="Times New Roman" w:hAnsi="Times New Roman" w:cs="Times New Roman"/>
          <w:i/>
          <w:sz w:val="24"/>
          <w:szCs w:val="24"/>
        </w:rPr>
        <w:t>Menaechmi</w:t>
      </w:r>
      <w:r>
        <w:rPr>
          <w:rFonts w:ascii="Times New Roman" w:hAnsi="Times New Roman" w:cs="Times New Roman"/>
          <w:sz w:val="24"/>
          <w:szCs w:val="24"/>
        </w:rPr>
        <w:t xml:space="preserve">, senza «scena alcuna». Così lo descrissero </w:t>
      </w:r>
      <w:bookmarkStart w:id="537" w:name="_Hlk536016335"/>
      <w:r>
        <w:rPr>
          <w:rFonts w:ascii="Times New Roman" w:hAnsi="Times New Roman" w:cs="Times New Roman"/>
          <w:sz w:val="24"/>
          <w:szCs w:val="24"/>
        </w:rPr>
        <w:t xml:space="preserve">Gerardo Saraceni </w:t>
      </w:r>
      <w:bookmarkEnd w:id="537"/>
      <w:r>
        <w:rPr>
          <w:rFonts w:ascii="Times New Roman" w:hAnsi="Times New Roman" w:cs="Times New Roman"/>
          <w:sz w:val="24"/>
          <w:szCs w:val="24"/>
        </w:rPr>
        <w:t xml:space="preserve">e </w:t>
      </w:r>
      <w:bookmarkStart w:id="538" w:name="_Hlk536016392"/>
      <w:r>
        <w:rPr>
          <w:rFonts w:ascii="Times New Roman" w:hAnsi="Times New Roman" w:cs="Times New Roman"/>
          <w:sz w:val="24"/>
          <w:szCs w:val="24"/>
        </w:rPr>
        <w:t>Gianluca Castellini da Pontremoli</w:t>
      </w:r>
      <w:bookmarkEnd w:id="538"/>
      <w:r>
        <w:rPr>
          <w:rFonts w:ascii="Times New Roman" w:hAnsi="Times New Roman" w:cs="Times New Roman"/>
          <w:sz w:val="24"/>
          <w:szCs w:val="24"/>
        </w:rPr>
        <w:t>, due giuristi inviati da Ercole d’Este per discutere il contratto nuziale:</w:t>
      </w:r>
    </w:p>
    <w:p w14:paraId="17AB125A"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 </w:t>
      </w:r>
    </w:p>
    <w:p w14:paraId="18EBB740" w14:textId="77777777" w:rsidR="00395702" w:rsidRPr="00257D51" w:rsidRDefault="00395702" w:rsidP="00395702">
      <w:pPr>
        <w:pStyle w:val="Nessunaspaziatura"/>
        <w:spacing w:line="360" w:lineRule="auto"/>
        <w:ind w:left="567" w:right="851" w:firstLine="397"/>
        <w:jc w:val="both"/>
        <w:rPr>
          <w:rFonts w:ascii="Times New Roman" w:hAnsi="Times New Roman" w:cs="Times New Roman"/>
          <w:sz w:val="20"/>
          <w:szCs w:val="20"/>
        </w:rPr>
      </w:pPr>
      <w:r w:rsidRPr="00257D51">
        <w:rPr>
          <w:rFonts w:ascii="Times New Roman" w:hAnsi="Times New Roman" w:cs="Times New Roman"/>
          <w:sz w:val="20"/>
          <w:szCs w:val="20"/>
        </w:rPr>
        <w:t>Questa nocte in la camera de nostro signore è stata recitata la comedia de Menechino et con bona de quellui ch’havea la persona del servo, et del parasito, et similmente del scorto, et de la dona de Menechino, ma li menechini non dixero cum multa gratia, erano senza maschare et non gli era scena alcuna perché la camera non era capace. Et in quello loco dove Menechino fu preso per ordine del socero credendo che’l fosse impacito cridando che li fosse facto violentia, dixe essere maraviglia, che se usassero tale violentie sospite Cesare, Jove propitio, et votivo Hercule.</w:t>
      </w:r>
      <w:r>
        <w:rPr>
          <w:rStyle w:val="Rimandonotaapidipagina"/>
          <w:rFonts w:ascii="Times New Roman" w:hAnsi="Times New Roman" w:cs="Times New Roman"/>
        </w:rPr>
        <w:footnoteReference w:id="897"/>
      </w:r>
    </w:p>
    <w:p w14:paraId="25E1E0B4"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p>
    <w:p w14:paraId="657613AF"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r>
        <w:rPr>
          <w:rFonts w:ascii="Times New Roman" w:hAnsi="Times New Roman" w:cs="Times New Roman"/>
          <w:sz w:val="24"/>
          <w:szCs w:val="24"/>
        </w:rPr>
        <w:t>Il più sintetico cenno alla recita dato dal Prete da Correggio, «In questa sera s’è fato una comedia latina», e il fatto che, come riferi</w:t>
      </w:r>
      <w:r w:rsidR="002A3A67">
        <w:rPr>
          <w:rFonts w:ascii="Times New Roman" w:hAnsi="Times New Roman" w:cs="Times New Roman"/>
          <w:sz w:val="24"/>
          <w:szCs w:val="24"/>
        </w:rPr>
        <w:t>ro</w:t>
      </w:r>
      <w:r>
        <w:rPr>
          <w:rFonts w:ascii="Times New Roman" w:hAnsi="Times New Roman" w:cs="Times New Roman"/>
          <w:sz w:val="24"/>
          <w:szCs w:val="24"/>
        </w:rPr>
        <w:t xml:space="preserve">no Saraceni e Castellini, a questa seguì una rappresentazione allegorica «in verso heroico» sul tema della vittoria della Virtù sulla Fortuna, composta da un altro pomponiano, </w:t>
      </w:r>
      <w:bookmarkStart w:id="539" w:name="_Hlk536016491"/>
      <w:r>
        <w:rPr>
          <w:rFonts w:ascii="Times New Roman" w:hAnsi="Times New Roman" w:cs="Times New Roman"/>
          <w:sz w:val="24"/>
          <w:szCs w:val="24"/>
        </w:rPr>
        <w:t>Fausto Capodiferro</w:t>
      </w:r>
      <w:bookmarkEnd w:id="539"/>
      <w:r>
        <w:rPr>
          <w:rFonts w:ascii="Times New Roman" w:hAnsi="Times New Roman" w:cs="Times New Roman"/>
          <w:sz w:val="24"/>
          <w:szCs w:val="24"/>
        </w:rPr>
        <w:t>, lascia ricondurre ancora all’ambito delle esibizioni pubbliche degli allievi delle scuole di umanità la performance, nella quale l’abilità degli interpreti nel recitare versi latini sarà stata probabilmente il fulcro dello spettacolo.</w:t>
      </w:r>
      <w:r>
        <w:rPr>
          <w:rStyle w:val="Rimandonotaapidipagina"/>
          <w:rFonts w:ascii="Times New Roman" w:hAnsi="Times New Roman" w:cs="Times New Roman"/>
          <w:sz w:val="24"/>
          <w:szCs w:val="24"/>
        </w:rPr>
        <w:footnoteReference w:id="898"/>
      </w:r>
      <w:r>
        <w:rPr>
          <w:rFonts w:ascii="Times New Roman" w:hAnsi="Times New Roman" w:cs="Times New Roman"/>
          <w:sz w:val="24"/>
          <w:szCs w:val="24"/>
        </w:rPr>
        <w:t xml:space="preserve"> </w:t>
      </w:r>
    </w:p>
    <w:p w14:paraId="7DDE068C"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Inserita nella festa della corte papale la rappresentazione all’antica dei pomponiani si spogliava delle sperimentali soluzioni </w:t>
      </w:r>
      <w:r w:rsidR="007531AF">
        <w:rPr>
          <w:rFonts w:ascii="Times New Roman" w:hAnsi="Times New Roman" w:cs="Times New Roman"/>
          <w:sz w:val="24"/>
          <w:szCs w:val="24"/>
        </w:rPr>
        <w:t xml:space="preserve">allestitorie </w:t>
      </w:r>
      <w:r>
        <w:rPr>
          <w:rFonts w:ascii="Times New Roman" w:hAnsi="Times New Roman" w:cs="Times New Roman"/>
          <w:sz w:val="24"/>
          <w:szCs w:val="24"/>
        </w:rPr>
        <w:t>di cui aveva beneficiato negli anni del protettorato di Raffaele Riario – il quale nel 1499, dopo che i suoi rapporti con papa Borgia si erano incrinati aveva lasciato l’Urbe tras</w:t>
      </w:r>
      <w:r w:rsidR="007531AF">
        <w:rPr>
          <w:rFonts w:ascii="Times New Roman" w:hAnsi="Times New Roman" w:cs="Times New Roman"/>
          <w:sz w:val="24"/>
          <w:szCs w:val="24"/>
        </w:rPr>
        <w:t>f</w:t>
      </w:r>
      <w:r>
        <w:rPr>
          <w:rFonts w:ascii="Times New Roman" w:hAnsi="Times New Roman" w:cs="Times New Roman"/>
          <w:sz w:val="24"/>
          <w:szCs w:val="24"/>
        </w:rPr>
        <w:t>erendosi alla corte di Luigi XII in Francia –</w:t>
      </w:r>
      <w:r w:rsidR="003C5AD8">
        <w:rPr>
          <w:rStyle w:val="Rimandonotaapidipagina"/>
          <w:rFonts w:ascii="Times New Roman" w:hAnsi="Times New Roman" w:cs="Times New Roman"/>
          <w:sz w:val="24"/>
          <w:szCs w:val="24"/>
        </w:rPr>
        <w:footnoteReference w:id="899"/>
      </w:r>
      <w:r w:rsidR="003C5AD8">
        <w:rPr>
          <w:rFonts w:ascii="Times New Roman" w:hAnsi="Times New Roman" w:cs="Times New Roman"/>
          <w:sz w:val="24"/>
          <w:szCs w:val="24"/>
        </w:rPr>
        <w:t xml:space="preserve"> </w:t>
      </w:r>
      <w:r>
        <w:rPr>
          <w:rFonts w:ascii="Times New Roman" w:hAnsi="Times New Roman" w:cs="Times New Roman"/>
          <w:sz w:val="24"/>
          <w:szCs w:val="24"/>
        </w:rPr>
        <w:t xml:space="preserve">mantenendo le forme di uno spettacolo erudito ma poco appariscente e scarsamente dilettevole, come si intuisce dalle lettere degli ambasciatrori che registrarono l’insofferenza di Alessandro VI per le recite.   </w:t>
      </w:r>
    </w:p>
    <w:p w14:paraId="49AE313B"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r w:rsidRPr="00EC1853">
        <w:rPr>
          <w:rFonts w:ascii="Times New Roman" w:hAnsi="Times New Roman" w:cs="Times New Roman"/>
          <w:sz w:val="24"/>
          <w:szCs w:val="24"/>
        </w:rPr>
        <w:t>Differente fu il clima che c</w:t>
      </w:r>
      <w:r>
        <w:rPr>
          <w:rFonts w:ascii="Times New Roman" w:hAnsi="Times New Roman" w:cs="Times New Roman"/>
          <w:sz w:val="24"/>
          <w:szCs w:val="24"/>
        </w:rPr>
        <w:t>aratterizzò</w:t>
      </w:r>
      <w:r w:rsidRPr="00EC1853">
        <w:rPr>
          <w:rFonts w:ascii="Times New Roman" w:hAnsi="Times New Roman" w:cs="Times New Roman"/>
          <w:sz w:val="24"/>
          <w:szCs w:val="24"/>
        </w:rPr>
        <w:t xml:space="preserve"> </w:t>
      </w:r>
      <w:r>
        <w:rPr>
          <w:rFonts w:ascii="Times New Roman" w:hAnsi="Times New Roman" w:cs="Times New Roman"/>
          <w:sz w:val="24"/>
          <w:szCs w:val="24"/>
        </w:rPr>
        <w:t>gl</w:t>
      </w:r>
      <w:r w:rsidRPr="00EC1853">
        <w:rPr>
          <w:rFonts w:ascii="Times New Roman" w:hAnsi="Times New Roman" w:cs="Times New Roman"/>
          <w:sz w:val="24"/>
          <w:szCs w:val="24"/>
        </w:rPr>
        <w:t>i allestimenti di commedie plautine presso la corte</w:t>
      </w:r>
      <w:r>
        <w:rPr>
          <w:rFonts w:ascii="Times New Roman" w:hAnsi="Times New Roman" w:cs="Times New Roman"/>
          <w:sz w:val="24"/>
          <w:szCs w:val="24"/>
        </w:rPr>
        <w:t xml:space="preserve"> estense.</w:t>
      </w:r>
      <w:r w:rsidRPr="00EC1853">
        <w:rPr>
          <w:rFonts w:ascii="Times New Roman" w:hAnsi="Times New Roman" w:cs="Times New Roman"/>
          <w:sz w:val="24"/>
          <w:szCs w:val="24"/>
        </w:rPr>
        <w:t xml:space="preserve"> </w:t>
      </w:r>
      <w:r w:rsidRPr="00006CF5">
        <w:rPr>
          <w:rFonts w:ascii="Times New Roman" w:hAnsi="Times New Roman" w:cs="Times New Roman"/>
          <w:sz w:val="24"/>
          <w:szCs w:val="24"/>
        </w:rPr>
        <w:t>Le recite ferraresi, rispetto a quelle fiorentine e romane contraddistinte da interessi filologici, furono spettacoli fondamentalmente cortigiani, conformi al gusto di Ercole I, le cui scelte, se da un lato favorirono la composizione di volgarizzamenti in poesia fedeli ai testi del Sarsinate, non di meno accolsero, dall’altro, le soluzioni più varie offerte dalla scenotecnica contemporanea, come l’adattamento degli ingegni brunelleschiani operato da Giovanni Bianchini per rappresentare la calata dal cielo di Giove nell’</w:t>
      </w:r>
      <w:r w:rsidRPr="00006CF5">
        <w:rPr>
          <w:rFonts w:ascii="Times New Roman" w:hAnsi="Times New Roman" w:cs="Times New Roman"/>
          <w:i/>
          <w:sz w:val="24"/>
          <w:szCs w:val="24"/>
        </w:rPr>
        <w:t>Anfitrione</w:t>
      </w:r>
      <w:r w:rsidRPr="00006CF5">
        <w:rPr>
          <w:rFonts w:ascii="Times New Roman" w:hAnsi="Times New Roman" w:cs="Times New Roman"/>
          <w:sz w:val="24"/>
          <w:szCs w:val="24"/>
        </w:rPr>
        <w:t>.</w:t>
      </w:r>
    </w:p>
    <w:p w14:paraId="3AA36E63" w14:textId="77777777" w:rsidR="00395702" w:rsidRDefault="00395702" w:rsidP="00395702">
      <w:pPr>
        <w:pStyle w:val="Nessunaspaziatura"/>
        <w:spacing w:line="360" w:lineRule="auto"/>
        <w:ind w:firstLine="397"/>
        <w:jc w:val="both"/>
        <w:rPr>
          <w:rFonts w:ascii="Times New Roman" w:hAnsi="Times New Roman" w:cs="Times New Roman"/>
          <w:sz w:val="24"/>
          <w:szCs w:val="24"/>
          <w:shd w:val="clear" w:color="auto" w:fill="F9F9F9"/>
        </w:rPr>
      </w:pPr>
      <w:r w:rsidRPr="00EC1853">
        <w:rPr>
          <w:rFonts w:ascii="Times New Roman" w:hAnsi="Times New Roman" w:cs="Times New Roman"/>
          <w:sz w:val="24"/>
          <w:szCs w:val="24"/>
        </w:rPr>
        <w:t>A inaugurare la stagione dei festival ferraresi, che per più di vent’anni segnò in maniera pressoché esclusiva la cultura teatrale della città</w:t>
      </w:r>
      <w:r>
        <w:rPr>
          <w:rFonts w:ascii="Times New Roman" w:hAnsi="Times New Roman" w:cs="Times New Roman"/>
          <w:sz w:val="24"/>
          <w:szCs w:val="24"/>
        </w:rPr>
        <w:t xml:space="preserve"> – soprattutto durante i festeggiamenti per il Carnevale –</w:t>
      </w:r>
      <w:r w:rsidRPr="00EC1853">
        <w:rPr>
          <w:rFonts w:ascii="Times New Roman" w:hAnsi="Times New Roman" w:cs="Times New Roman"/>
          <w:sz w:val="24"/>
          <w:szCs w:val="24"/>
        </w:rPr>
        <w:t xml:space="preserve">, fu la messinscena </w:t>
      </w:r>
      <w:r w:rsidRPr="00D44325">
        <w:rPr>
          <w:rFonts w:ascii="Times New Roman" w:hAnsi="Times New Roman" w:cs="Times New Roman"/>
          <w:sz w:val="24"/>
          <w:szCs w:val="24"/>
        </w:rPr>
        <w:t xml:space="preserve">dei </w:t>
      </w:r>
      <w:r w:rsidRPr="00D44325">
        <w:rPr>
          <w:rFonts w:ascii="Times New Roman" w:hAnsi="Times New Roman" w:cs="Times New Roman"/>
          <w:i/>
          <w:sz w:val="24"/>
          <w:szCs w:val="24"/>
        </w:rPr>
        <w:t>Menaechmi</w:t>
      </w:r>
      <w:r w:rsidRPr="00D44325">
        <w:rPr>
          <w:rFonts w:ascii="Times New Roman" w:hAnsi="Times New Roman" w:cs="Times New Roman"/>
          <w:sz w:val="24"/>
          <w:szCs w:val="24"/>
        </w:rPr>
        <w:t xml:space="preserve"> nel corso delle feste per il fidanzamento di Isabella d’Este e Francesco Gonzaga, il 25 gennaio 1486, descritta così dallo Zambotti:</w:t>
      </w:r>
    </w:p>
    <w:p w14:paraId="2ACEB085"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p>
    <w:p w14:paraId="5656AF03" w14:textId="77777777" w:rsidR="00395702" w:rsidRPr="00ED37CC" w:rsidRDefault="00395702" w:rsidP="00395702">
      <w:pPr>
        <w:pStyle w:val="Nessunaspaziatura"/>
        <w:spacing w:line="360" w:lineRule="auto"/>
        <w:ind w:left="567" w:right="851" w:firstLine="397"/>
        <w:jc w:val="both"/>
        <w:rPr>
          <w:rFonts w:ascii="Times New Roman" w:hAnsi="Times New Roman" w:cs="Times New Roman"/>
          <w:sz w:val="20"/>
          <w:szCs w:val="20"/>
        </w:rPr>
      </w:pPr>
      <w:r w:rsidRPr="00ED37CC">
        <w:rPr>
          <w:rFonts w:ascii="Times New Roman" w:hAnsi="Times New Roman" w:cs="Times New Roman"/>
          <w:sz w:val="20"/>
          <w:szCs w:val="20"/>
        </w:rPr>
        <w:t xml:space="preserve">Fu recitata la comedia di </w:t>
      </w:r>
      <w:r w:rsidRPr="000A54D5">
        <w:rPr>
          <w:rFonts w:ascii="Times New Roman" w:hAnsi="Times New Roman" w:cs="Times New Roman"/>
          <w:i/>
          <w:sz w:val="20"/>
          <w:szCs w:val="20"/>
        </w:rPr>
        <w:t>Menichini</w:t>
      </w:r>
      <w:r w:rsidRPr="00ED37CC">
        <w:rPr>
          <w:rFonts w:ascii="Times New Roman" w:hAnsi="Times New Roman" w:cs="Times New Roman"/>
          <w:sz w:val="20"/>
          <w:szCs w:val="20"/>
        </w:rPr>
        <w:t>, che fu beletissima e piacevole, in lo cortile novo de la Corte ducale, suxo uno tribunale novo in forma de una citade de asse con caxe depinte, dove vene dui de una similitudine vestiti, ma uno ne vene in una galea con vela de longinque parte, e dispotòno assay qual de loro era il vero Menechino, intervenendoge il ma</w:t>
      </w:r>
      <w:r>
        <w:rPr>
          <w:rFonts w:ascii="Times New Roman" w:hAnsi="Times New Roman" w:cs="Times New Roman"/>
          <w:sz w:val="20"/>
          <w:szCs w:val="20"/>
        </w:rPr>
        <w:t>r</w:t>
      </w:r>
      <w:r w:rsidRPr="00ED37CC">
        <w:rPr>
          <w:rFonts w:ascii="Times New Roman" w:hAnsi="Times New Roman" w:cs="Times New Roman"/>
          <w:sz w:val="20"/>
          <w:szCs w:val="20"/>
        </w:rPr>
        <w:t>ito e mog</w:t>
      </w:r>
      <w:r>
        <w:rPr>
          <w:rFonts w:ascii="Times New Roman" w:hAnsi="Times New Roman" w:cs="Times New Roman"/>
          <w:sz w:val="20"/>
          <w:szCs w:val="20"/>
        </w:rPr>
        <w:t>l</w:t>
      </w:r>
      <w:r w:rsidRPr="00ED37CC">
        <w:rPr>
          <w:rFonts w:ascii="Times New Roman" w:hAnsi="Times New Roman" w:cs="Times New Roman"/>
          <w:sz w:val="20"/>
          <w:szCs w:val="20"/>
        </w:rPr>
        <w:t>ie, balie, meretrice e schiave con molte deceptione. E lo duca e lo marchese con la duchessa, con li altri zentilhomini, stavano a vedere suxo uno tribunale de verso la Capella de la corte, perché da l’altro lado erano li representanti. E durò insino a l’</w:t>
      </w:r>
      <w:r>
        <w:rPr>
          <w:rFonts w:ascii="Times New Roman" w:hAnsi="Times New Roman" w:cs="Times New Roman"/>
          <w:sz w:val="20"/>
          <w:szCs w:val="20"/>
        </w:rPr>
        <w:t>A</w:t>
      </w:r>
      <w:r w:rsidRPr="00ED37CC">
        <w:rPr>
          <w:rFonts w:ascii="Times New Roman" w:hAnsi="Times New Roman" w:cs="Times New Roman"/>
          <w:sz w:val="20"/>
          <w:szCs w:val="20"/>
        </w:rPr>
        <w:t>vemaria, zoè 4 hore, e infine fu facto fogo in uno arboro o zirandola, che in uno medesmo tempo butò più razi de foco in aere, alti, con gram strido e vampa stupendissima. E così cum letitia, applauso e commendatione se finì la comedia, dove intervene de le persone dexemilia a vedere con taciturnità.</w:t>
      </w:r>
      <w:r w:rsidR="00AC6A02">
        <w:rPr>
          <w:rStyle w:val="Rimandonotaapidipagina"/>
          <w:rFonts w:ascii="Times New Roman" w:hAnsi="Times New Roman" w:cs="Times New Roman"/>
          <w:sz w:val="20"/>
          <w:szCs w:val="20"/>
        </w:rPr>
        <w:footnoteReference w:id="900"/>
      </w:r>
      <w:r w:rsidRPr="00ED37CC">
        <w:rPr>
          <w:rFonts w:ascii="Times New Roman" w:hAnsi="Times New Roman" w:cs="Times New Roman"/>
          <w:sz w:val="20"/>
          <w:szCs w:val="20"/>
        </w:rPr>
        <w:t xml:space="preserve"> </w:t>
      </w:r>
    </w:p>
    <w:p w14:paraId="5684F7FB" w14:textId="77777777" w:rsidR="00395702" w:rsidRDefault="00395702" w:rsidP="00395702">
      <w:pPr>
        <w:pStyle w:val="Nessunaspaziatura"/>
        <w:spacing w:line="360" w:lineRule="auto"/>
        <w:ind w:firstLine="397"/>
        <w:jc w:val="both"/>
        <w:rPr>
          <w:rFonts w:ascii="Times New Roman" w:hAnsi="Times New Roman" w:cs="Times New Roman"/>
          <w:sz w:val="24"/>
          <w:szCs w:val="24"/>
        </w:rPr>
      </w:pPr>
    </w:p>
    <w:p w14:paraId="462A359E" w14:textId="77777777" w:rsidR="00395702" w:rsidRPr="00EC1853" w:rsidRDefault="00395702" w:rsidP="00395702">
      <w:pPr>
        <w:pStyle w:val="Nessunaspaziatura"/>
        <w:spacing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 ospitare la rappresentazione fu il cortile del palazzo ducale: l’apparato scenico occupò il lato parallelo all’attuale via di Cortevecchia </w:t>
      </w:r>
      <w:r w:rsidR="003B7D08">
        <w:rPr>
          <w:rFonts w:ascii="Times New Roman" w:hAnsi="Times New Roman" w:cs="Times New Roman"/>
          <w:sz w:val="24"/>
          <w:szCs w:val="24"/>
        </w:rPr>
        <w:t>mentr</w:t>
      </w:r>
      <w:r>
        <w:rPr>
          <w:rFonts w:ascii="Times New Roman" w:hAnsi="Times New Roman" w:cs="Times New Roman"/>
          <w:sz w:val="24"/>
          <w:szCs w:val="24"/>
        </w:rPr>
        <w:t>e quello opposto, sotto la cappella</w:t>
      </w:r>
      <w:r w:rsidR="00AF5E14">
        <w:rPr>
          <w:rFonts w:ascii="Times New Roman" w:hAnsi="Times New Roman" w:cs="Times New Roman"/>
          <w:sz w:val="24"/>
          <w:szCs w:val="24"/>
        </w:rPr>
        <w:t xml:space="preserve"> di Santa Maria della Corte</w:t>
      </w:r>
      <w:r>
        <w:rPr>
          <w:rFonts w:ascii="Times New Roman" w:hAnsi="Times New Roman" w:cs="Times New Roman"/>
          <w:sz w:val="24"/>
          <w:szCs w:val="24"/>
        </w:rPr>
        <w:t xml:space="preserve">, fu riservato al palco dei principi. Riguardo al medesimo evento, il </w:t>
      </w:r>
      <w:r w:rsidRPr="00E92FC1">
        <w:rPr>
          <w:rFonts w:ascii="Times New Roman" w:hAnsi="Times New Roman" w:cs="Times New Roman"/>
          <w:i/>
          <w:sz w:val="24"/>
          <w:szCs w:val="24"/>
        </w:rPr>
        <w:t>Diario ferrarese</w:t>
      </w:r>
      <w:r>
        <w:rPr>
          <w:rFonts w:ascii="Times New Roman" w:hAnsi="Times New Roman" w:cs="Times New Roman"/>
          <w:sz w:val="24"/>
          <w:szCs w:val="24"/>
        </w:rPr>
        <w:t xml:space="preserve"> riferì la presenza di «caxe V merlade con una f</w:t>
      </w:r>
      <w:r w:rsidR="003C5AD8">
        <w:rPr>
          <w:rFonts w:ascii="Times New Roman" w:hAnsi="Times New Roman" w:cs="Times New Roman"/>
          <w:sz w:val="24"/>
          <w:szCs w:val="24"/>
        </w:rPr>
        <w:t>i</w:t>
      </w:r>
      <w:r>
        <w:rPr>
          <w:rFonts w:ascii="Times New Roman" w:hAnsi="Times New Roman" w:cs="Times New Roman"/>
          <w:sz w:val="24"/>
          <w:szCs w:val="24"/>
        </w:rPr>
        <w:t>nestra et uso per ciascuna poste suxo uno tribunale», che Ugo Caleffini indicò globalmente con il termine «citade». Le caratteristiche di questa scena ferrarese, impiegata continuativamente negli spettacoli all’antica degli sposalizi estensi fino al 1503, sono state efficacemente sintetizzate da Ludovico Zorzi in questi termini: «Essa consisteva in un certo numero di case (da un minimo di quattro a un massimo di cinque), disposte in linea di fila rispetto al palcoscenico, sullo zoccolo del quale erano dipinte delle mura merlate, che concludevano funziona</w:t>
      </w:r>
      <w:r w:rsidR="00163BB6">
        <w:rPr>
          <w:rFonts w:ascii="Times New Roman" w:hAnsi="Times New Roman" w:cs="Times New Roman"/>
          <w:sz w:val="24"/>
          <w:szCs w:val="24"/>
        </w:rPr>
        <w:t>l</w:t>
      </w:r>
      <w:r>
        <w:rPr>
          <w:rFonts w:ascii="Times New Roman" w:hAnsi="Times New Roman" w:cs="Times New Roman"/>
          <w:sz w:val="24"/>
          <w:szCs w:val="24"/>
        </w:rPr>
        <w:t>mente (i merli sporgenti avranno potuto occultare dei lumi di ribalta) la forma allusiva della veduta urbana».</w:t>
      </w:r>
      <w:r>
        <w:rPr>
          <w:rStyle w:val="Rimandonotaapidipagina"/>
          <w:rFonts w:ascii="Times New Roman" w:hAnsi="Times New Roman" w:cs="Times New Roman"/>
          <w:sz w:val="24"/>
          <w:szCs w:val="24"/>
        </w:rPr>
        <w:footnoteReference w:id="901"/>
      </w:r>
      <w:r>
        <w:rPr>
          <w:rFonts w:ascii="Times New Roman" w:hAnsi="Times New Roman" w:cs="Times New Roman"/>
          <w:sz w:val="24"/>
          <w:szCs w:val="24"/>
        </w:rPr>
        <w:t xml:space="preserve">    </w:t>
      </w:r>
    </w:p>
    <w:p w14:paraId="5C57DBA4"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 Se è giocoforza constatare come non sia pervenuta alcuna notizia su chi sovraintese all’allestimento di questi </w:t>
      </w:r>
      <w:r w:rsidRPr="004147E8">
        <w:rPr>
          <w:rFonts w:ascii="Times New Roman" w:hAnsi="Times New Roman" w:cs="Times New Roman"/>
          <w:i/>
          <w:sz w:val="24"/>
          <w:szCs w:val="24"/>
        </w:rPr>
        <w:t>Menaechmi</w:t>
      </w:r>
      <w:r>
        <w:rPr>
          <w:rFonts w:ascii="Times New Roman" w:hAnsi="Times New Roman" w:cs="Times New Roman"/>
          <w:sz w:val="24"/>
          <w:szCs w:val="24"/>
        </w:rPr>
        <w:t xml:space="preserve"> e alla preparazione del loro apparato scenico e come non sia possibile indicare con sicurezza quale volgarizzamento plautino composto dai poeti di corte fosse stato impiegato nel 1486,</w:t>
      </w:r>
      <w:r>
        <w:rPr>
          <w:rStyle w:val="Rimandonotaapidipagina"/>
          <w:rFonts w:ascii="Times New Roman" w:hAnsi="Times New Roman" w:cs="Times New Roman"/>
          <w:sz w:val="24"/>
          <w:szCs w:val="24"/>
        </w:rPr>
        <w:footnoteReference w:id="902"/>
      </w:r>
      <w:r>
        <w:rPr>
          <w:rFonts w:ascii="Times New Roman" w:hAnsi="Times New Roman" w:cs="Times New Roman"/>
          <w:sz w:val="24"/>
          <w:szCs w:val="24"/>
        </w:rPr>
        <w:t xml:space="preserve"> le note del Caleffini permettono invece di dire qualcosa in più sulla recitazione degli interpreti, i quali «erano travestiti [li homeni], in mascara, che in rima vulgariter in canto disseno tuti li versi de la dicta commedia».</w:t>
      </w:r>
      <w:r>
        <w:rPr>
          <w:rStyle w:val="Rimandonotaapidipagina"/>
          <w:rFonts w:ascii="Times New Roman" w:hAnsi="Times New Roman" w:cs="Times New Roman"/>
          <w:sz w:val="24"/>
          <w:szCs w:val="24"/>
        </w:rPr>
        <w:footnoteReference w:id="903"/>
      </w:r>
      <w:r>
        <w:rPr>
          <w:rFonts w:ascii="Times New Roman" w:hAnsi="Times New Roman" w:cs="Times New Roman"/>
          <w:sz w:val="24"/>
          <w:szCs w:val="24"/>
        </w:rPr>
        <w:t xml:space="preserve"> Nella “festa”, introdotta dalle melodie di pifferi e tromboni, la musica e il canto ebbero pertanto un ruolo fondamentale, sebbene, come osservato da Clelia Faletti, non fossero previsti intermezzi musicali o danzati oltre al brano strumentale di apertura – che richiamò l’attenzione degli spettatori –</w:t>
      </w:r>
      <w:r w:rsidR="00163BB6">
        <w:rPr>
          <w:rFonts w:ascii="Times New Roman" w:hAnsi="Times New Roman" w:cs="Times New Roman"/>
          <w:sz w:val="24"/>
          <w:szCs w:val="24"/>
        </w:rPr>
        <w:t xml:space="preserve"> e</w:t>
      </w:r>
      <w:r>
        <w:rPr>
          <w:rFonts w:ascii="Times New Roman" w:hAnsi="Times New Roman" w:cs="Times New Roman"/>
          <w:sz w:val="24"/>
          <w:szCs w:val="24"/>
        </w:rPr>
        <w:t xml:space="preserve"> </w:t>
      </w:r>
      <w:r w:rsidR="00105C74">
        <w:rPr>
          <w:rFonts w:ascii="Times New Roman" w:hAnsi="Times New Roman" w:cs="Times New Roman"/>
          <w:sz w:val="24"/>
          <w:szCs w:val="24"/>
        </w:rPr>
        <w:t xml:space="preserve">a quello che segnalò </w:t>
      </w:r>
      <w:r>
        <w:rPr>
          <w:rFonts w:ascii="Times New Roman" w:hAnsi="Times New Roman" w:cs="Times New Roman"/>
          <w:sz w:val="24"/>
          <w:szCs w:val="24"/>
        </w:rPr>
        <w:t>l’ingresso della nave di Menechino.</w:t>
      </w:r>
      <w:r>
        <w:rPr>
          <w:rStyle w:val="Rimandonotaapidipagina"/>
          <w:rFonts w:ascii="Times New Roman" w:hAnsi="Times New Roman" w:cs="Times New Roman"/>
          <w:sz w:val="24"/>
          <w:szCs w:val="24"/>
        </w:rPr>
        <w:footnoteReference w:id="904"/>
      </w:r>
      <w:r>
        <w:rPr>
          <w:rFonts w:ascii="Times New Roman" w:hAnsi="Times New Roman" w:cs="Times New Roman"/>
          <w:sz w:val="24"/>
          <w:szCs w:val="24"/>
        </w:rPr>
        <w:t xml:space="preserve"> Questi elementi, insieme alla scelta di fare indossare maschere ai recitanti, mi sembrano tuttavia capaci di marcare una notevole differenziazione tipologica rispetto alle produzioni teatrali della corte pontificia. A Ferrara, la vocazione teatrale dei testi di Plauto fu esaltata dai volgarizzamenti dei poeti e dalle scene apparate degli artisti di Ercole I, come nelle feste dell’anno succesivo per il matrimonio di Annibale Bentivoglio e Lucrezia d’Este, con le due recite (25 gennaio e 5 febbraio 1487) dell’</w:t>
      </w:r>
      <w:r w:rsidRPr="005E3C7D">
        <w:rPr>
          <w:rFonts w:ascii="Times New Roman" w:hAnsi="Times New Roman" w:cs="Times New Roman"/>
          <w:i/>
          <w:sz w:val="24"/>
          <w:szCs w:val="24"/>
        </w:rPr>
        <w:t>Anfitrione</w:t>
      </w:r>
      <w:r>
        <w:rPr>
          <w:rFonts w:ascii="Times New Roman" w:hAnsi="Times New Roman" w:cs="Times New Roman"/>
          <w:sz w:val="24"/>
          <w:szCs w:val="24"/>
        </w:rPr>
        <w:t xml:space="preserve"> tradotto da Pandolfo Collenuccio, per le quali si hanno informazioni più precise sull’identità degli interpreti – tutti scelti tra i cortigiani del duca –, e degli apparatori delle scene: Geronimo del Bruttura fu Sosia, </w:t>
      </w:r>
      <w:bookmarkStart w:id="540" w:name="_Hlk536017218"/>
      <w:r w:rsidRPr="00E1093E">
        <w:rPr>
          <w:rFonts w:ascii="Times New Roman" w:hAnsi="Times New Roman" w:cs="Times New Roman"/>
          <w:sz w:val="24"/>
          <w:szCs w:val="24"/>
        </w:rPr>
        <w:t xml:space="preserve">Antonio Tebaldeo </w:t>
      </w:r>
      <w:bookmarkEnd w:id="540"/>
      <w:r w:rsidRPr="00E1093E">
        <w:rPr>
          <w:rFonts w:ascii="Times New Roman" w:hAnsi="Times New Roman" w:cs="Times New Roman"/>
          <w:sz w:val="24"/>
          <w:szCs w:val="24"/>
        </w:rPr>
        <w:t xml:space="preserve">Anﬁtrione, </w:t>
      </w:r>
      <w:bookmarkStart w:id="541" w:name="_Hlk536017258"/>
      <w:r w:rsidRPr="00E1093E">
        <w:rPr>
          <w:rFonts w:ascii="Times New Roman" w:hAnsi="Times New Roman" w:cs="Times New Roman"/>
          <w:sz w:val="24"/>
          <w:szCs w:val="24"/>
        </w:rPr>
        <w:t xml:space="preserve">Nicolò Tossico </w:t>
      </w:r>
      <w:bookmarkEnd w:id="541"/>
      <w:r w:rsidRPr="00E1093E">
        <w:rPr>
          <w:rFonts w:ascii="Times New Roman" w:hAnsi="Times New Roman" w:cs="Times New Roman"/>
          <w:sz w:val="24"/>
          <w:szCs w:val="24"/>
        </w:rPr>
        <w:t xml:space="preserve">Alcmena, </w:t>
      </w:r>
      <w:bookmarkStart w:id="542" w:name="_Hlk536017315"/>
      <w:r w:rsidRPr="00E1093E">
        <w:rPr>
          <w:rFonts w:ascii="Times New Roman" w:hAnsi="Times New Roman" w:cs="Times New Roman"/>
          <w:sz w:val="24"/>
          <w:szCs w:val="24"/>
        </w:rPr>
        <w:t>Giovanni Pencaro</w:t>
      </w:r>
      <w:bookmarkEnd w:id="542"/>
      <w:r w:rsidRPr="00E1093E">
        <w:rPr>
          <w:rFonts w:ascii="Times New Roman" w:hAnsi="Times New Roman" w:cs="Times New Roman"/>
          <w:sz w:val="24"/>
          <w:szCs w:val="24"/>
        </w:rPr>
        <w:t xml:space="preserve"> Mercurio, Francesco, ﬁglio di Libanoro de’ Bonomelli</w:t>
      </w:r>
      <w:r w:rsidR="00241DAE">
        <w:rPr>
          <w:rFonts w:ascii="Times New Roman" w:hAnsi="Times New Roman" w:cs="Times New Roman"/>
          <w:sz w:val="24"/>
          <w:szCs w:val="24"/>
        </w:rPr>
        <w:t>,</w:t>
      </w:r>
      <w:r w:rsidRPr="00E1093E">
        <w:rPr>
          <w:rFonts w:ascii="Times New Roman" w:hAnsi="Times New Roman" w:cs="Times New Roman"/>
          <w:sz w:val="24"/>
          <w:szCs w:val="24"/>
        </w:rPr>
        <w:t xml:space="preserve"> Giove.</w:t>
      </w:r>
      <w:r>
        <w:rPr>
          <w:rStyle w:val="Rimandonotaapidipagina"/>
          <w:rFonts w:ascii="Times New Roman" w:hAnsi="Times New Roman" w:cs="Times New Roman"/>
          <w:sz w:val="24"/>
          <w:szCs w:val="24"/>
        </w:rPr>
        <w:footnoteReference w:id="905"/>
      </w:r>
      <w:r>
        <w:rPr>
          <w:rFonts w:ascii="Times New Roman" w:hAnsi="Times New Roman" w:cs="Times New Roman"/>
          <w:sz w:val="24"/>
          <w:szCs w:val="24"/>
        </w:rPr>
        <w:t xml:space="preserve"> </w:t>
      </w:r>
    </w:p>
    <w:p w14:paraId="31921C56"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 cortile di palazzo ducale – questa volta sormontato da un velario e dove il 21 gennaio fu messo in scena il </w:t>
      </w:r>
      <w:r w:rsidRPr="00B65CF9">
        <w:rPr>
          <w:rFonts w:ascii="Times New Roman" w:hAnsi="Times New Roman" w:cs="Times New Roman"/>
          <w:i/>
          <w:sz w:val="24"/>
          <w:szCs w:val="24"/>
        </w:rPr>
        <w:t>Cefalo</w:t>
      </w:r>
      <w:r>
        <w:rPr>
          <w:rFonts w:ascii="Times New Roman" w:hAnsi="Times New Roman" w:cs="Times New Roman"/>
          <w:sz w:val="24"/>
          <w:szCs w:val="24"/>
        </w:rPr>
        <w:t xml:space="preserve"> di Niccolò da Correggio offerto per le concomitanti nozze di Niccolò Contrari e Beatrice Rangoni – fu riproposta la disposizione del palco con la scena di città ferrarese, per la cui realizzazione sono documentati pagamenti a Giovanni Bianchini.</w:t>
      </w:r>
      <w:r>
        <w:rPr>
          <w:rStyle w:val="Rimandonotaapidipagina"/>
          <w:rFonts w:ascii="Times New Roman" w:hAnsi="Times New Roman" w:cs="Times New Roman"/>
          <w:sz w:val="24"/>
          <w:szCs w:val="24"/>
        </w:rPr>
        <w:footnoteReference w:id="906"/>
      </w:r>
      <w:r>
        <w:rPr>
          <w:rFonts w:ascii="Times New Roman" w:hAnsi="Times New Roman" w:cs="Times New Roman"/>
          <w:sz w:val="24"/>
          <w:szCs w:val="24"/>
        </w:rPr>
        <w:t xml:space="preserve"> A lui e ai suoi collaboratori si dovette probabilmente anche la disposizione del «celo alto a uno cantone verso la torre de l’arlogio con lampade che ardevano a li lochi debiti de drio de tele negre subtile e radiaveno in modo in modo de stelle; e ge herano fanzuli picoli vestiti de biancho in forma de li pianeti».</w:t>
      </w:r>
      <w:r>
        <w:rPr>
          <w:rStyle w:val="Rimandonotaapidipagina"/>
          <w:rFonts w:ascii="Times New Roman" w:hAnsi="Times New Roman" w:cs="Times New Roman"/>
          <w:sz w:val="24"/>
          <w:szCs w:val="24"/>
        </w:rPr>
        <w:footnoteReference w:id="907"/>
      </w:r>
      <w:r>
        <w:rPr>
          <w:rFonts w:ascii="Times New Roman" w:hAnsi="Times New Roman" w:cs="Times New Roman"/>
          <w:sz w:val="24"/>
          <w:szCs w:val="24"/>
        </w:rPr>
        <w:t xml:space="preserve"> Zambotti segnalò l’apertura di quest’ingegno fra le meraviglie dello spettacolo, facendone precedere la descrizione dalle parole «fra li acti furno facte alchune feste». Nell’allestimento cortigiano estense, la messa in funzione di questo «paradixo», così definito anche nel </w:t>
      </w:r>
      <w:r w:rsidRPr="00F323FB">
        <w:rPr>
          <w:rFonts w:ascii="Times New Roman" w:hAnsi="Times New Roman" w:cs="Times New Roman"/>
          <w:i/>
          <w:sz w:val="24"/>
          <w:szCs w:val="24"/>
        </w:rPr>
        <w:t>Diario ferrarese</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08"/>
      </w:r>
      <w:r>
        <w:rPr>
          <w:rFonts w:ascii="Times New Roman" w:hAnsi="Times New Roman" w:cs="Times New Roman"/>
          <w:sz w:val="24"/>
          <w:szCs w:val="24"/>
        </w:rPr>
        <w:t xml:space="preserve"> fu percepita quindi come un intermezzo, sebbene inserita nella drammaturgia plautina e funzionale all’apparizione conclusiva di Giove per chiedere ad Anfitrione il perdono dell’infedeltà di Alcmena. L’intervento del </w:t>
      </w:r>
      <w:r w:rsidRPr="003C35D7">
        <w:rPr>
          <w:rFonts w:ascii="Times New Roman" w:hAnsi="Times New Roman" w:cs="Times New Roman"/>
          <w:i/>
          <w:sz w:val="24"/>
          <w:szCs w:val="24"/>
        </w:rPr>
        <w:t>deus ex machina</w:t>
      </w:r>
      <w:r>
        <w:rPr>
          <w:rFonts w:ascii="Times New Roman" w:hAnsi="Times New Roman" w:cs="Times New Roman"/>
          <w:sz w:val="24"/>
          <w:szCs w:val="24"/>
        </w:rPr>
        <w:t xml:space="preserve"> sul palco estense chiamò inoltre sulla scena le rappresentazioni delle dodici fatiche di Ercole, che omaggiarono, alla maniera d’intermezzo conclusivo, le virtù del principe mecenate nel contesto delle nozze di sua figlia.  </w:t>
      </w:r>
    </w:p>
    <w:p w14:paraId="4D55EF73"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Altre tre commedie classiche furono allestite in onore del matrimonio tra Anna Sforza e Alfonso I d’Este. Il 13 febbraio 1491, questa volta nella Sala Grande del palazzo ducale, andarono in scena i </w:t>
      </w:r>
      <w:r w:rsidRPr="00184428">
        <w:rPr>
          <w:rFonts w:ascii="Times New Roman" w:hAnsi="Times New Roman" w:cs="Times New Roman"/>
          <w:i/>
          <w:sz w:val="24"/>
          <w:szCs w:val="24"/>
        </w:rPr>
        <w:t>Menaechmi</w:t>
      </w:r>
      <w:r>
        <w:rPr>
          <w:rFonts w:ascii="Times New Roman" w:hAnsi="Times New Roman" w:cs="Times New Roman"/>
          <w:sz w:val="24"/>
          <w:szCs w:val="24"/>
        </w:rPr>
        <w:t>, il 14 febbraio l’</w:t>
      </w:r>
      <w:r w:rsidRPr="00184428">
        <w:rPr>
          <w:rFonts w:ascii="Times New Roman" w:hAnsi="Times New Roman" w:cs="Times New Roman"/>
          <w:i/>
          <w:sz w:val="24"/>
          <w:szCs w:val="24"/>
        </w:rPr>
        <w:t>Andria</w:t>
      </w:r>
      <w:r>
        <w:rPr>
          <w:rFonts w:ascii="Times New Roman" w:hAnsi="Times New Roman" w:cs="Times New Roman"/>
          <w:sz w:val="24"/>
          <w:szCs w:val="24"/>
        </w:rPr>
        <w:t xml:space="preserve"> di Terenzio e il 15 febbraio l’</w:t>
      </w:r>
      <w:r w:rsidRPr="00F6668C">
        <w:rPr>
          <w:rFonts w:ascii="Times New Roman" w:hAnsi="Times New Roman" w:cs="Times New Roman"/>
          <w:i/>
          <w:sz w:val="24"/>
          <w:szCs w:val="24"/>
        </w:rPr>
        <w:t>Anfitrione</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09"/>
      </w:r>
      <w:r>
        <w:rPr>
          <w:rFonts w:ascii="Times New Roman" w:hAnsi="Times New Roman" w:cs="Times New Roman"/>
          <w:sz w:val="24"/>
          <w:szCs w:val="24"/>
        </w:rPr>
        <w:t xml:space="preserve"> </w:t>
      </w:r>
    </w:p>
    <w:p w14:paraId="74CFF14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Ugo Caleffini, riferendosi ai </w:t>
      </w:r>
      <w:r w:rsidRPr="00FC2AF0">
        <w:rPr>
          <w:rFonts w:ascii="Times New Roman" w:hAnsi="Times New Roman" w:cs="Times New Roman"/>
          <w:i/>
          <w:sz w:val="24"/>
          <w:szCs w:val="24"/>
        </w:rPr>
        <w:t>Menaechmi</w:t>
      </w:r>
      <w:r>
        <w:rPr>
          <w:rFonts w:ascii="Times New Roman" w:hAnsi="Times New Roman" w:cs="Times New Roman"/>
          <w:sz w:val="24"/>
          <w:szCs w:val="24"/>
        </w:rPr>
        <w:t xml:space="preserve">, si limitò a specificare come la </w:t>
      </w:r>
      <w:r w:rsidRPr="00D1742D">
        <w:rPr>
          <w:rFonts w:ascii="Times New Roman" w:hAnsi="Times New Roman" w:cs="Times New Roman"/>
          <w:i/>
          <w:sz w:val="24"/>
          <w:szCs w:val="24"/>
        </w:rPr>
        <w:t>Comoedia</w:t>
      </w:r>
      <w:r>
        <w:rPr>
          <w:rFonts w:ascii="Times New Roman" w:hAnsi="Times New Roman" w:cs="Times New Roman"/>
          <w:sz w:val="24"/>
          <w:szCs w:val="24"/>
        </w:rPr>
        <w:t xml:space="preserve"> inscenata fosse stata quella «</w:t>
      </w:r>
      <w:r w:rsidRPr="005C5FD5">
        <w:rPr>
          <w:rFonts w:ascii="Times New Roman" w:hAnsi="Times New Roman" w:cs="Times New Roman"/>
          <w:sz w:val="24"/>
          <w:szCs w:val="24"/>
        </w:rPr>
        <w:t>Che altre fiate fue facta», congedandosi dallo spettacolo con un cenno minimo ma sufficiente a far</w:t>
      </w:r>
      <w:r>
        <w:rPr>
          <w:rFonts w:ascii="Times New Roman" w:hAnsi="Times New Roman" w:cs="Times New Roman"/>
          <w:sz w:val="24"/>
          <w:szCs w:val="24"/>
        </w:rPr>
        <w:t>e</w:t>
      </w:r>
      <w:r w:rsidRPr="005C5FD5">
        <w:rPr>
          <w:rFonts w:ascii="Times New Roman" w:hAnsi="Times New Roman" w:cs="Times New Roman"/>
          <w:sz w:val="24"/>
          <w:szCs w:val="24"/>
        </w:rPr>
        <w:t xml:space="preserve"> comprendere al lettore quanto il titolo plautino fosse ormai noto e consueto per il pubblico degli spettatori della corte.</w:t>
      </w:r>
      <w:r w:rsidRPr="005C5FD5">
        <w:rPr>
          <w:rStyle w:val="Rimandonotaapidipagina"/>
          <w:rFonts w:ascii="Times New Roman" w:hAnsi="Times New Roman" w:cs="Times New Roman"/>
          <w:sz w:val="24"/>
          <w:szCs w:val="24"/>
        </w:rPr>
        <w:footnoteReference w:id="910"/>
      </w:r>
      <w:r w:rsidRPr="005C5FD5">
        <w:rPr>
          <w:rFonts w:ascii="Times New Roman" w:hAnsi="Times New Roman" w:cs="Times New Roman"/>
          <w:sz w:val="24"/>
          <w:szCs w:val="24"/>
        </w:rPr>
        <w:t xml:space="preserve"> Zambo</w:t>
      </w:r>
      <w:r>
        <w:rPr>
          <w:rFonts w:ascii="Times New Roman" w:hAnsi="Times New Roman" w:cs="Times New Roman"/>
          <w:sz w:val="24"/>
          <w:szCs w:val="24"/>
        </w:rPr>
        <w:t>t</w:t>
      </w:r>
      <w:r w:rsidRPr="005C5FD5">
        <w:rPr>
          <w:rFonts w:ascii="Times New Roman" w:hAnsi="Times New Roman" w:cs="Times New Roman"/>
          <w:sz w:val="24"/>
          <w:szCs w:val="24"/>
        </w:rPr>
        <w:t>ti invece pose l’accento sull’inserzione di intermezzi in ciascuna delle recite</w:t>
      </w:r>
      <w:r>
        <w:rPr>
          <w:rFonts w:ascii="Times New Roman" w:hAnsi="Times New Roman" w:cs="Times New Roman"/>
          <w:sz w:val="24"/>
          <w:szCs w:val="24"/>
        </w:rPr>
        <w:t xml:space="preserve"> dello sposalizio</w:t>
      </w:r>
      <w:r w:rsidRPr="005C5FD5">
        <w:rPr>
          <w:rFonts w:ascii="Times New Roman" w:hAnsi="Times New Roman" w:cs="Times New Roman"/>
          <w:sz w:val="24"/>
          <w:szCs w:val="24"/>
        </w:rPr>
        <w:t xml:space="preserve">: se nei </w:t>
      </w:r>
      <w:r w:rsidRPr="005C5FD5">
        <w:rPr>
          <w:rFonts w:ascii="Times New Roman" w:hAnsi="Times New Roman" w:cs="Times New Roman"/>
          <w:i/>
          <w:sz w:val="24"/>
          <w:szCs w:val="24"/>
        </w:rPr>
        <w:t>Menaechmi</w:t>
      </w:r>
      <w:r w:rsidRPr="005C5FD5">
        <w:rPr>
          <w:rFonts w:ascii="Times New Roman" w:hAnsi="Times New Roman" w:cs="Times New Roman"/>
          <w:sz w:val="24"/>
          <w:szCs w:val="24"/>
        </w:rPr>
        <w:t xml:space="preserve"> egli indicò genericamente le «feste</w:t>
      </w:r>
      <w:r w:rsidRPr="00945CBB">
        <w:rPr>
          <w:rFonts w:ascii="Times New Roman" w:hAnsi="Times New Roman" w:cs="Times New Roman"/>
          <w:sz w:val="24"/>
          <w:szCs w:val="24"/>
        </w:rPr>
        <w:t xml:space="preserve"> intermedie a li acti, de più raxone, belle e piacevole</w:t>
      </w:r>
      <w:r>
        <w:rPr>
          <w:rFonts w:ascii="Times New Roman" w:hAnsi="Times New Roman" w:cs="Times New Roman"/>
          <w:sz w:val="24"/>
          <w:szCs w:val="24"/>
        </w:rPr>
        <w:t>», registrò più puntualmente come agli atti dell’</w:t>
      </w:r>
      <w:r w:rsidRPr="00FC2AF0">
        <w:rPr>
          <w:rFonts w:ascii="Times New Roman" w:hAnsi="Times New Roman" w:cs="Times New Roman"/>
          <w:i/>
          <w:sz w:val="24"/>
          <w:szCs w:val="24"/>
        </w:rPr>
        <w:t>Andria</w:t>
      </w:r>
      <w:r>
        <w:rPr>
          <w:rFonts w:ascii="Times New Roman" w:hAnsi="Times New Roman" w:cs="Times New Roman"/>
          <w:sz w:val="24"/>
          <w:szCs w:val="24"/>
        </w:rPr>
        <w:t xml:space="preserve"> si accompagnassero «</w:t>
      </w:r>
      <w:r w:rsidRPr="00945CBB">
        <w:rPr>
          <w:rFonts w:ascii="Times New Roman" w:hAnsi="Times New Roman" w:cs="Times New Roman"/>
          <w:sz w:val="24"/>
          <w:szCs w:val="24"/>
        </w:rPr>
        <w:t>altre demonstratione de nimphe e homini salvadegi</w:t>
      </w:r>
      <w:r>
        <w:rPr>
          <w:rFonts w:ascii="Times New Roman" w:hAnsi="Times New Roman" w:cs="Times New Roman"/>
          <w:sz w:val="24"/>
          <w:szCs w:val="24"/>
        </w:rPr>
        <w:t>» e come nel corso dell’</w:t>
      </w:r>
      <w:r w:rsidRPr="006B55F3">
        <w:rPr>
          <w:rFonts w:ascii="Times New Roman" w:hAnsi="Times New Roman" w:cs="Times New Roman"/>
          <w:i/>
          <w:sz w:val="24"/>
          <w:szCs w:val="24"/>
        </w:rPr>
        <w:t>Anfitrione</w:t>
      </w:r>
      <w:r>
        <w:rPr>
          <w:rFonts w:ascii="Times New Roman" w:hAnsi="Times New Roman" w:cs="Times New Roman"/>
          <w:sz w:val="24"/>
          <w:szCs w:val="24"/>
        </w:rPr>
        <w:t xml:space="preserve"> «</w:t>
      </w:r>
      <w:r w:rsidRPr="00856D7C">
        <w:rPr>
          <w:rFonts w:ascii="Times New Roman" w:hAnsi="Times New Roman" w:cs="Times New Roman"/>
          <w:sz w:val="24"/>
          <w:szCs w:val="24"/>
        </w:rPr>
        <w:t>uno celo se aprì in tondo in la sumitade de la sala, dove herano li pianeti e soni e canti anzelici, con altre feste intermedie a tuti li acti, beatissime</w:t>
      </w:r>
      <w:r>
        <w:rPr>
          <w:rFonts w:ascii="Times New Roman" w:hAnsi="Times New Roman" w:cs="Times New Roman"/>
          <w:sz w:val="24"/>
          <w:szCs w:val="24"/>
        </w:rPr>
        <w:t>»</w:t>
      </w:r>
      <w:r w:rsidRPr="00856D7C">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11"/>
      </w:r>
    </w:p>
    <w:p w14:paraId="68693811"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Più che sul caso di riuso dell’ingegno del paradiso,</w:t>
      </w:r>
      <w:r>
        <w:rPr>
          <w:rStyle w:val="Rimandonotaapidipagina"/>
          <w:rFonts w:ascii="Times New Roman" w:hAnsi="Times New Roman" w:cs="Times New Roman"/>
          <w:sz w:val="24"/>
          <w:szCs w:val="24"/>
        </w:rPr>
        <w:footnoteReference w:id="912"/>
      </w:r>
      <w:r>
        <w:rPr>
          <w:rFonts w:ascii="Times New Roman" w:hAnsi="Times New Roman" w:cs="Times New Roman"/>
          <w:sz w:val="24"/>
          <w:szCs w:val="24"/>
        </w:rPr>
        <w:t xml:space="preserve"> credo allora che nell’episodio spettacolare estense del 1491 l’attenzione vada fermata sulla crescente importanza assunta dagli intermezzi, come fecero gli ambasciatori milanesi Hermes Maria Sforza e Giovanni Francesco Sanseverino descrivendo al duca di Milano la rappresentazione del 13 febbraio: </w:t>
      </w:r>
    </w:p>
    <w:p w14:paraId="2798D266"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2CCC4DF3"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r>
        <w:rPr>
          <w:rFonts w:ascii="Times New Roman" w:hAnsi="Times New Roman" w:cs="Times New Roman"/>
          <w:sz w:val="20"/>
          <w:szCs w:val="20"/>
        </w:rPr>
        <w:t>S</w:t>
      </w:r>
      <w:r w:rsidRPr="0031163F">
        <w:rPr>
          <w:rFonts w:ascii="Times New Roman" w:hAnsi="Times New Roman" w:cs="Times New Roman"/>
          <w:sz w:val="20"/>
          <w:szCs w:val="20"/>
        </w:rPr>
        <w:t>e incominciò epsa comedia et fu rapresentata con tanto modo et gratia che da tutti fu commendata. Se fecino dentro tre intermesse molto belle; la prima fu de certi che feceno una morescha con le topie in mano; la secunda fu Apolo con la lira che cantò alcuni versi eligi et dreto lui erano le nove muse quale cantarono alcune canzone col l</w:t>
      </w:r>
      <w:r>
        <w:rPr>
          <w:rFonts w:ascii="Times New Roman" w:hAnsi="Times New Roman" w:cs="Times New Roman"/>
          <w:sz w:val="20"/>
          <w:szCs w:val="20"/>
        </w:rPr>
        <w:t>e</w:t>
      </w:r>
      <w:r w:rsidRPr="0031163F">
        <w:rPr>
          <w:rFonts w:ascii="Times New Roman" w:hAnsi="Times New Roman" w:cs="Times New Roman"/>
          <w:sz w:val="20"/>
          <w:szCs w:val="20"/>
        </w:rPr>
        <w:t xml:space="preserve">guto, con tanta concordantia et suavità de voce che non se porria dire meglio; la </w:t>
      </w:r>
      <w:r w:rsidR="00843FBA">
        <w:rPr>
          <w:rFonts w:ascii="Times New Roman" w:hAnsi="Times New Roman" w:cs="Times New Roman"/>
          <w:sz w:val="20"/>
          <w:szCs w:val="20"/>
        </w:rPr>
        <w:t>t</w:t>
      </w:r>
      <w:r w:rsidRPr="0031163F">
        <w:rPr>
          <w:rFonts w:ascii="Times New Roman" w:hAnsi="Times New Roman" w:cs="Times New Roman"/>
          <w:sz w:val="20"/>
          <w:szCs w:val="20"/>
        </w:rPr>
        <w:t>erza furono certi vestiti pur ornatamente in forma de villani, che avevano in mane zappe, vanghe, badili, ventolari et rast</w:t>
      </w:r>
      <w:r w:rsidR="00843FBA">
        <w:rPr>
          <w:rFonts w:ascii="Times New Roman" w:hAnsi="Times New Roman" w:cs="Times New Roman"/>
          <w:sz w:val="20"/>
          <w:szCs w:val="20"/>
        </w:rPr>
        <w:t>r</w:t>
      </w:r>
      <w:r w:rsidRPr="0031163F">
        <w:rPr>
          <w:rFonts w:ascii="Times New Roman" w:hAnsi="Times New Roman" w:cs="Times New Roman"/>
          <w:sz w:val="20"/>
          <w:szCs w:val="20"/>
        </w:rPr>
        <w:t>elli, quali al sono d’uno tamborino fecino un’altra morescha, mo zugando fra loro ad scrima, mo lavorando et sempre batevano el tempo; poi nel partire se deteno su le spalle per modo che feceno ridere ogniuno.</w:t>
      </w:r>
      <w:r>
        <w:rPr>
          <w:rStyle w:val="Rimandonotaapidipagina"/>
          <w:rFonts w:ascii="Times New Roman" w:hAnsi="Times New Roman" w:cs="Times New Roman"/>
        </w:rPr>
        <w:footnoteReference w:id="913"/>
      </w:r>
      <w:r w:rsidRPr="0031163F">
        <w:rPr>
          <w:rFonts w:ascii="Times New Roman" w:hAnsi="Times New Roman" w:cs="Times New Roman"/>
          <w:sz w:val="20"/>
          <w:szCs w:val="20"/>
        </w:rPr>
        <w:t xml:space="preserve"> </w:t>
      </w:r>
    </w:p>
    <w:p w14:paraId="34D73447" w14:textId="77777777" w:rsidR="00395702" w:rsidRDefault="00395702" w:rsidP="00395702">
      <w:pPr>
        <w:tabs>
          <w:tab w:val="left" w:pos="8364"/>
        </w:tabs>
        <w:spacing w:after="0" w:line="360" w:lineRule="auto"/>
        <w:ind w:left="567" w:right="851" w:firstLine="397"/>
        <w:jc w:val="both"/>
        <w:rPr>
          <w:rFonts w:ascii="Times New Roman" w:hAnsi="Times New Roman" w:cs="Times New Roman"/>
          <w:sz w:val="20"/>
          <w:szCs w:val="20"/>
        </w:rPr>
      </w:pPr>
    </w:p>
    <w:p w14:paraId="3EFD48D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 primo e nel terzo intermezzo dei </w:t>
      </w:r>
      <w:r w:rsidRPr="007F2F9C">
        <w:rPr>
          <w:rFonts w:ascii="Times New Roman" w:hAnsi="Times New Roman" w:cs="Times New Roman"/>
          <w:i/>
          <w:sz w:val="24"/>
          <w:szCs w:val="24"/>
        </w:rPr>
        <w:t>Menaechmi</w:t>
      </w:r>
      <w:r>
        <w:rPr>
          <w:rFonts w:ascii="Times New Roman" w:hAnsi="Times New Roman" w:cs="Times New Roman"/>
          <w:sz w:val="24"/>
          <w:szCs w:val="24"/>
        </w:rPr>
        <w:t xml:space="preserve"> furono quindi eseguite due moresche, nelle quali i danzatori si presentarono la prima volta con fiaccole in mano e la seconda con attrezzi adatti a mimare il lavoro dei campi, proponendo una pantomima dal soggetto simile a quello visto nel maggio del 1475 per le coreografie dei compagni di Roboam in onore del signore di Pesaro. </w:t>
      </w:r>
    </w:p>
    <w:p w14:paraId="15DFE05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L’intermezzo centrale fu invece dedicato alla bellezza del canto di Apollo, che si accompagnò con la lira, e delle muse, che suonarono armonie con dei liuti. A fronte di una totale assenza di indicazioni sulle modalità di recitazione degli interpreti delle commedie, apprendiamo dunque come la musica e la danza fossero state le protagoniste delle “intermesse” ferraresi. </w:t>
      </w:r>
    </w:p>
    <w:p w14:paraId="48ADE542"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Nelle </w:t>
      </w:r>
      <w:r w:rsidRPr="00B75032">
        <w:rPr>
          <w:rFonts w:ascii="Times New Roman" w:hAnsi="Times New Roman" w:cs="Times New Roman"/>
          <w:i/>
          <w:sz w:val="24"/>
          <w:szCs w:val="24"/>
        </w:rPr>
        <w:t>Croniche</w:t>
      </w:r>
      <w:r>
        <w:rPr>
          <w:rFonts w:ascii="Times New Roman" w:hAnsi="Times New Roman" w:cs="Times New Roman"/>
          <w:sz w:val="24"/>
          <w:szCs w:val="24"/>
        </w:rPr>
        <w:t xml:space="preserve"> di Caleffini si legge ancora che, il 14 febbraio 1491, sempre nella sala grande del palazzo ducale, «se cantò per alcuni canturi mascarati de messer Zoanne di Bentivoglio».</w:t>
      </w:r>
      <w:r>
        <w:rPr>
          <w:rStyle w:val="Rimandonotaapidipagina"/>
          <w:rFonts w:ascii="Times New Roman" w:hAnsi="Times New Roman" w:cs="Times New Roman"/>
          <w:sz w:val="24"/>
          <w:szCs w:val="24"/>
        </w:rPr>
        <w:footnoteReference w:id="914"/>
      </w:r>
      <w:r>
        <w:rPr>
          <w:rFonts w:ascii="Times New Roman" w:hAnsi="Times New Roman" w:cs="Times New Roman"/>
          <w:sz w:val="24"/>
          <w:szCs w:val="24"/>
        </w:rPr>
        <w:t xml:space="preserve"> La notizia, confermando il ruolo eminente della musica nella festa cortigiana, pare rimarcare tanto l’importanza della circolazione di cantori e musici nel contesto della festa nuziale, quanto la possibilità di impiego della sala destinata alle rappresentazioni teatrali per le più diverse necessità cerimoniali e spettacolari della festa, come, ad esempio, le danze e la mostra dei castelli e animali «de zucharo mazicho» della colazione del 15 febbraio 1491, </w:t>
      </w:r>
      <w:r w:rsidR="00843FBA">
        <w:rPr>
          <w:rFonts w:ascii="Times New Roman" w:hAnsi="Times New Roman" w:cs="Times New Roman"/>
          <w:sz w:val="24"/>
          <w:szCs w:val="24"/>
        </w:rPr>
        <w:t xml:space="preserve">martedì </w:t>
      </w:r>
      <w:r>
        <w:rPr>
          <w:rFonts w:ascii="Times New Roman" w:hAnsi="Times New Roman" w:cs="Times New Roman"/>
          <w:sz w:val="24"/>
          <w:szCs w:val="24"/>
        </w:rPr>
        <w:t>di Carnevale, il cui ingresso pomposo fu scandito dagli ordini di Ercole d’Este in persona «in capo de la scala de marmoro cum uno bastone in mane, como è dicto, ad ciò che ogn</w:t>
      </w:r>
      <w:r w:rsidR="00843FBA">
        <w:rPr>
          <w:rFonts w:ascii="Times New Roman" w:hAnsi="Times New Roman" w:cs="Times New Roman"/>
          <w:sz w:val="24"/>
          <w:szCs w:val="24"/>
        </w:rPr>
        <w:t>i</w:t>
      </w:r>
      <w:r>
        <w:rPr>
          <w:rFonts w:ascii="Times New Roman" w:hAnsi="Times New Roman" w:cs="Times New Roman"/>
          <w:sz w:val="24"/>
          <w:szCs w:val="24"/>
        </w:rPr>
        <w:t xml:space="preserve"> cossa andasse col suo ordine».</w:t>
      </w:r>
      <w:r>
        <w:rPr>
          <w:rStyle w:val="Rimandonotaapidipagina"/>
          <w:rFonts w:ascii="Times New Roman" w:hAnsi="Times New Roman" w:cs="Times New Roman"/>
          <w:sz w:val="24"/>
          <w:szCs w:val="24"/>
        </w:rPr>
        <w:footnoteReference w:id="915"/>
      </w:r>
      <w:r>
        <w:rPr>
          <w:rFonts w:ascii="Times New Roman" w:hAnsi="Times New Roman" w:cs="Times New Roman"/>
          <w:sz w:val="24"/>
          <w:szCs w:val="24"/>
        </w:rPr>
        <w:t xml:space="preserve">   </w:t>
      </w:r>
    </w:p>
    <w:p w14:paraId="524100A6" w14:textId="77777777" w:rsidR="004243E6"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Una soluzione organizzativa differente fu scelta nel febbraio del 1502. Nei giorni dello sposalizio</w:t>
      </w:r>
      <w:r w:rsidRPr="00B735E8">
        <w:rPr>
          <w:rFonts w:ascii="Times New Roman" w:hAnsi="Times New Roman" w:cs="Times New Roman"/>
          <w:sz w:val="24"/>
          <w:szCs w:val="24"/>
        </w:rPr>
        <w:t xml:space="preserve"> </w:t>
      </w:r>
      <w:r>
        <w:rPr>
          <w:rFonts w:ascii="Times New Roman" w:hAnsi="Times New Roman" w:cs="Times New Roman"/>
          <w:sz w:val="24"/>
          <w:szCs w:val="24"/>
        </w:rPr>
        <w:t xml:space="preserve">di Lucrezia Borgia gli interpreti delle </w:t>
      </w:r>
      <w:r w:rsidRPr="00EC56E1">
        <w:rPr>
          <w:rFonts w:ascii="Times New Roman" w:hAnsi="Times New Roman" w:cs="Times New Roman"/>
          <w:i/>
          <w:sz w:val="24"/>
          <w:szCs w:val="24"/>
        </w:rPr>
        <w:t>Comoediae</w:t>
      </w:r>
      <w:r>
        <w:rPr>
          <w:rFonts w:ascii="Times New Roman" w:hAnsi="Times New Roman" w:cs="Times New Roman"/>
          <w:sz w:val="24"/>
          <w:szCs w:val="24"/>
        </w:rPr>
        <w:t xml:space="preserve"> si esibirono in un luogo riservato solamente alle rappresentazioni teatrali:</w:t>
      </w:r>
      <w:r w:rsidRPr="0068096C">
        <w:rPr>
          <w:rFonts w:ascii="Times New Roman" w:hAnsi="Times New Roman" w:cs="Times New Roman"/>
          <w:sz w:val="24"/>
          <w:szCs w:val="24"/>
        </w:rPr>
        <w:t xml:space="preserve"> </w:t>
      </w:r>
      <w:r>
        <w:rPr>
          <w:rFonts w:ascii="Times New Roman" w:hAnsi="Times New Roman" w:cs="Times New Roman"/>
          <w:sz w:val="24"/>
          <w:szCs w:val="24"/>
        </w:rPr>
        <w:t>la Sala delle udienze del Palazzo della Ragione,</w:t>
      </w:r>
      <w:r w:rsidRPr="0068096C">
        <w:rPr>
          <w:rStyle w:val="Rimandonotaapidipagina"/>
          <w:rFonts w:ascii="Times New Roman" w:hAnsi="Times New Roman" w:cs="Times New Roman"/>
          <w:sz w:val="24"/>
          <w:szCs w:val="24"/>
        </w:rPr>
        <w:t xml:space="preserve"> </w:t>
      </w:r>
      <w:r>
        <w:rPr>
          <w:rStyle w:val="Rimandonotaapidipagina"/>
          <w:rFonts w:ascii="Times New Roman" w:hAnsi="Times New Roman" w:cs="Times New Roman"/>
          <w:sz w:val="24"/>
          <w:szCs w:val="24"/>
        </w:rPr>
        <w:footnoteReference w:id="916"/>
      </w:r>
      <w:r>
        <w:rPr>
          <w:rFonts w:ascii="Times New Roman" w:hAnsi="Times New Roman" w:cs="Times New Roman"/>
          <w:sz w:val="24"/>
          <w:szCs w:val="24"/>
        </w:rPr>
        <w:t xml:space="preserve"> fornita di un palco collocato su uno dei lati maggiori per la scena, «</w:t>
      </w:r>
      <w:r w:rsidRPr="000C17B9">
        <w:rPr>
          <w:rFonts w:ascii="Times New Roman" w:hAnsi="Times New Roman" w:cs="Times New Roman"/>
          <w:sz w:val="24"/>
          <w:szCs w:val="24"/>
        </w:rPr>
        <w:t>longa pedi centoquarantasei e larga quarantasei (58,40 x 18,40 m.)</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17"/>
      </w:r>
      <w:r>
        <w:rPr>
          <w:rFonts w:ascii="Times New Roman" w:hAnsi="Times New Roman" w:cs="Times New Roman"/>
          <w:sz w:val="24"/>
          <w:szCs w:val="24"/>
        </w:rPr>
        <w:t xml:space="preserve"> e di gradinate sugli altri tre lati per gli spettatori provenienti dalle corti estere. Al centro della sala furono preparati i seggi d’onore per le dame e per i gentiluomini del duca, i quali assistettero il 3 febbraio alla messinscena dell’</w:t>
      </w:r>
      <w:r w:rsidRPr="00302015">
        <w:rPr>
          <w:rFonts w:ascii="Times New Roman" w:hAnsi="Times New Roman" w:cs="Times New Roman"/>
          <w:i/>
          <w:sz w:val="24"/>
          <w:szCs w:val="24"/>
        </w:rPr>
        <w:t>Epidico</w:t>
      </w:r>
      <w:r>
        <w:rPr>
          <w:rFonts w:ascii="Times New Roman" w:hAnsi="Times New Roman" w:cs="Times New Roman"/>
          <w:sz w:val="24"/>
          <w:szCs w:val="24"/>
        </w:rPr>
        <w:t xml:space="preserve">; il 4 a quella delle </w:t>
      </w:r>
      <w:r w:rsidRPr="00E56B5F">
        <w:rPr>
          <w:rFonts w:ascii="Times New Roman" w:hAnsi="Times New Roman" w:cs="Times New Roman"/>
          <w:i/>
          <w:sz w:val="24"/>
          <w:szCs w:val="24"/>
        </w:rPr>
        <w:t>Bacchidi</w:t>
      </w:r>
      <w:r>
        <w:rPr>
          <w:rFonts w:ascii="Times New Roman" w:hAnsi="Times New Roman" w:cs="Times New Roman"/>
          <w:sz w:val="24"/>
          <w:szCs w:val="24"/>
        </w:rPr>
        <w:t xml:space="preserve">, il 5 del </w:t>
      </w:r>
      <w:r w:rsidRPr="00E56B5F">
        <w:rPr>
          <w:rFonts w:ascii="Times New Roman" w:hAnsi="Times New Roman" w:cs="Times New Roman"/>
          <w:i/>
          <w:sz w:val="24"/>
          <w:szCs w:val="24"/>
        </w:rPr>
        <w:t>Miles Gloriosus</w:t>
      </w:r>
      <w:r>
        <w:rPr>
          <w:rFonts w:ascii="Times New Roman" w:hAnsi="Times New Roman" w:cs="Times New Roman"/>
          <w:sz w:val="24"/>
          <w:szCs w:val="24"/>
        </w:rPr>
        <w:t>, il 6 dell’</w:t>
      </w:r>
      <w:r w:rsidRPr="00E56B5F">
        <w:rPr>
          <w:rFonts w:ascii="Times New Roman" w:hAnsi="Times New Roman" w:cs="Times New Roman"/>
          <w:i/>
          <w:sz w:val="24"/>
          <w:szCs w:val="24"/>
        </w:rPr>
        <w:t>Asinaria</w:t>
      </w:r>
      <w:r>
        <w:rPr>
          <w:rFonts w:ascii="Times New Roman" w:hAnsi="Times New Roman" w:cs="Times New Roman"/>
          <w:sz w:val="24"/>
          <w:szCs w:val="24"/>
        </w:rPr>
        <w:t xml:space="preserve"> e l’8 della </w:t>
      </w:r>
      <w:r w:rsidRPr="00E56B5F">
        <w:rPr>
          <w:rFonts w:ascii="Times New Roman" w:hAnsi="Times New Roman" w:cs="Times New Roman"/>
          <w:i/>
          <w:sz w:val="24"/>
          <w:szCs w:val="24"/>
        </w:rPr>
        <w:t>Casina</w:t>
      </w:r>
      <w:r>
        <w:rPr>
          <w:rFonts w:ascii="Times New Roman" w:hAnsi="Times New Roman" w:cs="Times New Roman"/>
          <w:sz w:val="24"/>
          <w:szCs w:val="24"/>
        </w:rPr>
        <w:t xml:space="preserve">. </w:t>
      </w:r>
    </w:p>
    <w:p w14:paraId="22C2BAD2"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La sera del 3 febbraio, precedentemente al primo spettacolo, nella Sala grande del palazzo ducale, destinata alle danze, un attore nei panni di Plauto recitò innanzi agli invitati gli argomenti delle commedie, mentre i loro interpreti mascherati sfilarono indossando i 110 costumi confezionati per le rappresentazioni.</w:t>
      </w:r>
    </w:p>
    <w:p w14:paraId="2385CDF4"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Due resoconti dettagliati delle recite si leggono nella </w:t>
      </w:r>
      <w:r w:rsidRPr="001E0E9D">
        <w:rPr>
          <w:rFonts w:ascii="Times New Roman" w:hAnsi="Times New Roman" w:cs="Times New Roman"/>
          <w:i/>
          <w:sz w:val="24"/>
          <w:szCs w:val="24"/>
        </w:rPr>
        <w:t>Memoria</w:t>
      </w:r>
      <w:r>
        <w:rPr>
          <w:rFonts w:ascii="Times New Roman" w:hAnsi="Times New Roman" w:cs="Times New Roman"/>
          <w:sz w:val="24"/>
          <w:szCs w:val="24"/>
        </w:rPr>
        <w:t xml:space="preserve"> di Niccolò Cagnolo e nei </w:t>
      </w:r>
      <w:r w:rsidRPr="0045796C">
        <w:rPr>
          <w:rFonts w:ascii="Times New Roman" w:hAnsi="Times New Roman" w:cs="Times New Roman"/>
          <w:i/>
          <w:sz w:val="24"/>
          <w:szCs w:val="24"/>
        </w:rPr>
        <w:t>Diarii</w:t>
      </w:r>
      <w:r>
        <w:rPr>
          <w:rFonts w:ascii="Times New Roman" w:hAnsi="Times New Roman" w:cs="Times New Roman"/>
          <w:sz w:val="24"/>
          <w:szCs w:val="24"/>
        </w:rPr>
        <w:t xml:space="preserve"> di Marin Sanuto, ricchi d’informazioni sulle musiche e sulle moresche che fecero da intermezzi alle commedie. Se </w:t>
      </w:r>
      <w:r w:rsidRPr="00677999">
        <w:rPr>
          <w:rFonts w:ascii="Times New Roman" w:hAnsi="Times New Roman" w:cs="Times New Roman"/>
          <w:sz w:val="24"/>
          <w:szCs w:val="24"/>
        </w:rPr>
        <w:t>nell’</w:t>
      </w:r>
      <w:r w:rsidRPr="00677999">
        <w:rPr>
          <w:rFonts w:ascii="Times New Roman" w:hAnsi="Times New Roman" w:cs="Times New Roman"/>
          <w:i/>
          <w:sz w:val="24"/>
          <w:szCs w:val="24"/>
        </w:rPr>
        <w:t>Ordine di le pompe e spectaculi di le noze de madona Lucretia Borgia</w:t>
      </w:r>
      <w:r>
        <w:rPr>
          <w:rFonts w:ascii="Times New Roman" w:hAnsi="Times New Roman" w:cs="Times New Roman"/>
          <w:sz w:val="24"/>
          <w:szCs w:val="24"/>
        </w:rPr>
        <w:t xml:space="preserve"> Sanuto non accen</w:t>
      </w:r>
      <w:r w:rsidR="00816947">
        <w:rPr>
          <w:rFonts w:ascii="Times New Roman" w:hAnsi="Times New Roman" w:cs="Times New Roman"/>
          <w:sz w:val="24"/>
          <w:szCs w:val="24"/>
        </w:rPr>
        <w:t>n</w:t>
      </w:r>
      <w:r>
        <w:rPr>
          <w:rFonts w:ascii="Times New Roman" w:hAnsi="Times New Roman" w:cs="Times New Roman"/>
          <w:sz w:val="24"/>
          <w:szCs w:val="24"/>
        </w:rPr>
        <w:t>ò alle modalità interpretative del testo plautino,</w:t>
      </w:r>
      <w:r>
        <w:rPr>
          <w:rStyle w:val="Rimandonotaapidipagina"/>
          <w:rFonts w:ascii="Times New Roman" w:hAnsi="Times New Roman" w:cs="Times New Roman"/>
          <w:sz w:val="24"/>
          <w:szCs w:val="24"/>
        </w:rPr>
        <w:footnoteReference w:id="918"/>
      </w:r>
      <w:r>
        <w:rPr>
          <w:rFonts w:ascii="Times New Roman" w:hAnsi="Times New Roman" w:cs="Times New Roman"/>
          <w:sz w:val="24"/>
          <w:szCs w:val="24"/>
        </w:rPr>
        <w:t xml:space="preserve"> il Cagnolo ebbe cura di descrivere i «</w:t>
      </w:r>
      <w:r w:rsidRPr="00767C9A">
        <w:rPr>
          <w:rFonts w:ascii="Times New Roman" w:hAnsi="Times New Roman" w:cs="Times New Roman"/>
          <w:sz w:val="24"/>
          <w:szCs w:val="24"/>
        </w:rPr>
        <w:t>recitati notandi in versi volgari</w:t>
      </w:r>
      <w:r>
        <w:rPr>
          <w:rFonts w:ascii="Times New Roman" w:hAnsi="Times New Roman" w:cs="Times New Roman"/>
          <w:sz w:val="24"/>
          <w:szCs w:val="24"/>
        </w:rPr>
        <w:t>» del primo atto dell’</w:t>
      </w:r>
      <w:r w:rsidRPr="0045796C">
        <w:rPr>
          <w:rFonts w:ascii="Times New Roman" w:hAnsi="Times New Roman" w:cs="Times New Roman"/>
          <w:i/>
          <w:sz w:val="24"/>
          <w:szCs w:val="24"/>
        </w:rPr>
        <w:t>Epidico</w:t>
      </w:r>
      <w:r>
        <w:rPr>
          <w:rFonts w:ascii="Times New Roman" w:hAnsi="Times New Roman" w:cs="Times New Roman"/>
          <w:sz w:val="24"/>
          <w:szCs w:val="24"/>
        </w:rPr>
        <w:t>, lo sca</w:t>
      </w:r>
      <w:r w:rsidR="00816947">
        <w:rPr>
          <w:rFonts w:ascii="Times New Roman" w:hAnsi="Times New Roman" w:cs="Times New Roman"/>
          <w:sz w:val="24"/>
          <w:szCs w:val="24"/>
        </w:rPr>
        <w:t>m</w:t>
      </w:r>
      <w:r>
        <w:rPr>
          <w:rFonts w:ascii="Times New Roman" w:hAnsi="Times New Roman" w:cs="Times New Roman"/>
          <w:sz w:val="24"/>
          <w:szCs w:val="24"/>
        </w:rPr>
        <w:t>bio di battute «</w:t>
      </w:r>
      <w:r w:rsidRPr="0045796C">
        <w:rPr>
          <w:rFonts w:ascii="Times New Roman" w:hAnsi="Times New Roman" w:cs="Times New Roman"/>
          <w:sz w:val="24"/>
          <w:szCs w:val="24"/>
        </w:rPr>
        <w:t>con dialogo ornatissimo fra loro, parlando or lieti or tristi e desperati, secondo occurreva ne li sugeti</w:t>
      </w:r>
      <w:r>
        <w:rPr>
          <w:rFonts w:ascii="Times New Roman" w:hAnsi="Times New Roman" w:cs="Times New Roman"/>
          <w:sz w:val="24"/>
          <w:szCs w:val="24"/>
        </w:rPr>
        <w:t>» dell’atto secondo, seguito da «</w:t>
      </w:r>
      <w:r w:rsidRPr="00677999">
        <w:rPr>
          <w:rFonts w:ascii="Times New Roman" w:hAnsi="Times New Roman" w:cs="Times New Roman"/>
          <w:sz w:val="24"/>
          <w:szCs w:val="24"/>
        </w:rPr>
        <w:t>la terza parte de la comedia con parlari astuti, callidi e prompti pur in rima</w:t>
      </w:r>
      <w:r>
        <w:rPr>
          <w:rFonts w:ascii="Times New Roman" w:hAnsi="Times New Roman" w:cs="Times New Roman"/>
          <w:sz w:val="24"/>
          <w:szCs w:val="24"/>
        </w:rPr>
        <w:t xml:space="preserve">» e dalla quarta con «belli e ornati recitati in gran contexe»; del </w:t>
      </w:r>
      <w:r w:rsidRPr="007D7861">
        <w:rPr>
          <w:rFonts w:ascii="Times New Roman" w:hAnsi="Times New Roman" w:cs="Times New Roman"/>
          <w:i/>
          <w:sz w:val="24"/>
          <w:szCs w:val="24"/>
        </w:rPr>
        <w:t>Miles gloriosus</w:t>
      </w:r>
      <w:r>
        <w:rPr>
          <w:rFonts w:ascii="Times New Roman" w:hAnsi="Times New Roman" w:cs="Times New Roman"/>
          <w:sz w:val="24"/>
          <w:szCs w:val="24"/>
        </w:rPr>
        <w:t xml:space="preserve"> lodò «i recitati ornati e notandi» e diede solo sfuggenti osservazioni sulla recitazione delle </w:t>
      </w:r>
      <w:r w:rsidRPr="00B054C6">
        <w:rPr>
          <w:rFonts w:ascii="Times New Roman" w:hAnsi="Times New Roman" w:cs="Times New Roman"/>
          <w:i/>
          <w:sz w:val="24"/>
          <w:szCs w:val="24"/>
        </w:rPr>
        <w:t>Bacchidi</w:t>
      </w:r>
      <w:r>
        <w:rPr>
          <w:rFonts w:ascii="Times New Roman" w:hAnsi="Times New Roman" w:cs="Times New Roman"/>
          <w:sz w:val="24"/>
          <w:szCs w:val="24"/>
        </w:rPr>
        <w:t>, dell’</w:t>
      </w:r>
      <w:r w:rsidRPr="00B054C6">
        <w:rPr>
          <w:rFonts w:ascii="Times New Roman" w:hAnsi="Times New Roman" w:cs="Times New Roman"/>
          <w:i/>
          <w:sz w:val="24"/>
          <w:szCs w:val="24"/>
        </w:rPr>
        <w:t>Asinaria</w:t>
      </w:r>
      <w:r>
        <w:rPr>
          <w:rFonts w:ascii="Times New Roman" w:hAnsi="Times New Roman" w:cs="Times New Roman"/>
          <w:sz w:val="24"/>
          <w:szCs w:val="24"/>
        </w:rPr>
        <w:t xml:space="preserve"> e della </w:t>
      </w:r>
      <w:r w:rsidRPr="00B054C6">
        <w:rPr>
          <w:rFonts w:ascii="Times New Roman" w:hAnsi="Times New Roman" w:cs="Times New Roman"/>
          <w:i/>
          <w:sz w:val="24"/>
          <w:szCs w:val="24"/>
        </w:rPr>
        <w:t>Casina</w:t>
      </w:r>
      <w:r>
        <w:rPr>
          <w:rFonts w:ascii="Times New Roman" w:hAnsi="Times New Roman" w:cs="Times New Roman"/>
          <w:sz w:val="24"/>
          <w:szCs w:val="24"/>
        </w:rPr>
        <w:t xml:space="preserve">. </w:t>
      </w:r>
    </w:p>
    <w:p w14:paraId="5F3ABDF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La parsimonia del relatore nell’accostare l’aggettivo “notando” al</w:t>
      </w:r>
      <w:r w:rsidR="00816947">
        <w:rPr>
          <w:rFonts w:ascii="Times New Roman" w:hAnsi="Times New Roman" w:cs="Times New Roman"/>
          <w:sz w:val="24"/>
          <w:szCs w:val="24"/>
        </w:rPr>
        <w:t>la</w:t>
      </w:r>
      <w:r>
        <w:rPr>
          <w:rFonts w:ascii="Times New Roman" w:hAnsi="Times New Roman" w:cs="Times New Roman"/>
          <w:sz w:val="24"/>
          <w:szCs w:val="24"/>
        </w:rPr>
        <w:t xml:space="preserve"> recita</w:t>
      </w:r>
      <w:r w:rsidR="00816947">
        <w:rPr>
          <w:rFonts w:ascii="Times New Roman" w:hAnsi="Times New Roman" w:cs="Times New Roman"/>
          <w:sz w:val="24"/>
          <w:szCs w:val="24"/>
        </w:rPr>
        <w:t>zione</w:t>
      </w:r>
      <w:r>
        <w:rPr>
          <w:rFonts w:ascii="Times New Roman" w:hAnsi="Times New Roman" w:cs="Times New Roman"/>
          <w:sz w:val="24"/>
          <w:szCs w:val="24"/>
        </w:rPr>
        <w:t xml:space="preserve"> dei personaggi delle commedie credo alluda a una forma di declamazione intonata</w:t>
      </w:r>
      <w:r w:rsidR="004243E6">
        <w:rPr>
          <w:rFonts w:ascii="Times New Roman" w:hAnsi="Times New Roman" w:cs="Times New Roman"/>
          <w:sz w:val="24"/>
          <w:szCs w:val="24"/>
        </w:rPr>
        <w:t>, ossia con le note</w:t>
      </w:r>
      <w:r>
        <w:rPr>
          <w:rFonts w:ascii="Times New Roman" w:hAnsi="Times New Roman" w:cs="Times New Roman"/>
          <w:sz w:val="24"/>
          <w:szCs w:val="24"/>
        </w:rPr>
        <w:t xml:space="preserve"> – almeno di alcune sezioni del testo drammaturgico – che avrebbe consentito ai dialoghi di apparire «in canto», probabilmente come la messinscena dei </w:t>
      </w:r>
      <w:r w:rsidRPr="00761734">
        <w:rPr>
          <w:rFonts w:ascii="Times New Roman" w:hAnsi="Times New Roman" w:cs="Times New Roman"/>
          <w:i/>
          <w:sz w:val="24"/>
          <w:szCs w:val="24"/>
        </w:rPr>
        <w:t>Menaechmi</w:t>
      </w:r>
      <w:r>
        <w:rPr>
          <w:rFonts w:ascii="Times New Roman" w:hAnsi="Times New Roman" w:cs="Times New Roman"/>
          <w:sz w:val="24"/>
          <w:szCs w:val="24"/>
        </w:rPr>
        <w:t xml:space="preserve"> del 1486. Ciò p</w:t>
      </w:r>
      <w:r w:rsidR="004243E6">
        <w:rPr>
          <w:rFonts w:ascii="Times New Roman" w:hAnsi="Times New Roman" w:cs="Times New Roman"/>
          <w:sz w:val="24"/>
          <w:szCs w:val="24"/>
        </w:rPr>
        <w:t>otrebbe essere</w:t>
      </w:r>
      <w:r>
        <w:rPr>
          <w:rFonts w:ascii="Times New Roman" w:hAnsi="Times New Roman" w:cs="Times New Roman"/>
          <w:sz w:val="24"/>
          <w:szCs w:val="24"/>
        </w:rPr>
        <w:t xml:space="preserve"> forse confermato da un’ulteriore testimonianza sull’evento. Nel recensire l’</w:t>
      </w:r>
      <w:r w:rsidRPr="008D7F84">
        <w:rPr>
          <w:rFonts w:ascii="Times New Roman" w:hAnsi="Times New Roman" w:cs="Times New Roman"/>
          <w:i/>
          <w:sz w:val="24"/>
          <w:szCs w:val="24"/>
        </w:rPr>
        <w:t>Epidico</w:t>
      </w:r>
      <w:r>
        <w:rPr>
          <w:rFonts w:ascii="Times New Roman" w:hAnsi="Times New Roman" w:cs="Times New Roman"/>
          <w:sz w:val="24"/>
          <w:szCs w:val="24"/>
        </w:rPr>
        <w:t xml:space="preserve"> per Francesco Gonzaga Isabella d’Este scrisse che «</w:t>
      </w:r>
      <w:r w:rsidRPr="006F223D">
        <w:rPr>
          <w:rFonts w:ascii="Times New Roman" w:hAnsi="Times New Roman" w:cs="Times New Roman"/>
          <w:sz w:val="24"/>
          <w:szCs w:val="24"/>
        </w:rPr>
        <w:t>de voci et versi non fu già bello, ma le moresche che fra li acti furono facte, comparsero molto bene et cum grande galanteria</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19"/>
      </w:r>
      <w:r>
        <w:rPr>
          <w:rFonts w:ascii="Times New Roman" w:hAnsi="Times New Roman" w:cs="Times New Roman"/>
          <w:sz w:val="24"/>
          <w:szCs w:val="24"/>
        </w:rPr>
        <w:t xml:space="preserve"> indicando la presenza negli atti di interpreti poco stimabili per le loro capacità vocali, che si può pensare si fossero cimentati nel canto di alcuni dei versi plautini.</w:t>
      </w:r>
      <w:r w:rsidR="00830DA8">
        <w:rPr>
          <w:rFonts w:ascii="Times New Roman" w:hAnsi="Times New Roman" w:cs="Times New Roman"/>
          <w:sz w:val="24"/>
          <w:szCs w:val="24"/>
        </w:rPr>
        <w:t xml:space="preserve"> Contrariamente, sarebbe difficile ipotizzare che la marchesa di Mantova si fosse voluta soffermare esclusivamente sulle “voci” con cui gli attori pronunciarono i dialoghi, senza scrivere nulla dei loro gesti e dei loro movimenti.</w:t>
      </w:r>
      <w:r>
        <w:rPr>
          <w:rFonts w:ascii="Times New Roman" w:hAnsi="Times New Roman" w:cs="Times New Roman"/>
          <w:sz w:val="24"/>
          <w:szCs w:val="24"/>
        </w:rPr>
        <w:t xml:space="preserve"> I relatori della festa prestarono p</w:t>
      </w:r>
      <w:r w:rsidR="009871D6">
        <w:rPr>
          <w:rFonts w:ascii="Times New Roman" w:hAnsi="Times New Roman" w:cs="Times New Roman"/>
          <w:sz w:val="24"/>
          <w:szCs w:val="24"/>
        </w:rPr>
        <w:t>urtroppo</w:t>
      </w:r>
      <w:r>
        <w:rPr>
          <w:rFonts w:ascii="Times New Roman" w:hAnsi="Times New Roman" w:cs="Times New Roman"/>
          <w:sz w:val="24"/>
          <w:szCs w:val="24"/>
        </w:rPr>
        <w:t xml:space="preserve"> poco interesse allo svolgimento delle commedie e dedicarono </w:t>
      </w:r>
      <w:r w:rsidR="009871D6">
        <w:rPr>
          <w:rFonts w:ascii="Times New Roman" w:hAnsi="Times New Roman" w:cs="Times New Roman"/>
          <w:sz w:val="24"/>
          <w:szCs w:val="24"/>
        </w:rPr>
        <w:t xml:space="preserve">invece </w:t>
      </w:r>
      <w:r>
        <w:rPr>
          <w:rFonts w:ascii="Times New Roman" w:hAnsi="Times New Roman" w:cs="Times New Roman"/>
          <w:sz w:val="24"/>
          <w:szCs w:val="24"/>
        </w:rPr>
        <w:t>descrizioni più dettagliate ai loro intermezzi</w:t>
      </w:r>
      <w:r w:rsidR="00830DA8">
        <w:rPr>
          <w:rFonts w:ascii="Times New Roman" w:hAnsi="Times New Roman" w:cs="Times New Roman"/>
          <w:sz w:val="24"/>
          <w:szCs w:val="24"/>
        </w:rPr>
        <w:t>, che risultarono, come affermato anche da Isabella, ben pù interessanti</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20"/>
      </w:r>
      <w:r>
        <w:rPr>
          <w:rFonts w:ascii="Times New Roman" w:hAnsi="Times New Roman" w:cs="Times New Roman"/>
          <w:sz w:val="24"/>
          <w:szCs w:val="24"/>
        </w:rPr>
        <w:t xml:space="preserve"> </w:t>
      </w:r>
    </w:p>
    <w:p w14:paraId="6B959825"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 procedere alla presentazione dello svolgimento della prima commedia Cagnolo affermò che, terminato il primo atto, i personaggi si ritirarono nelle sei case della scena, dalle quali uscirono i ballerini protagonisti dei cinque intermezzi:  </w:t>
      </w:r>
    </w:p>
    <w:p w14:paraId="64FABC39"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0213CF6C" w14:textId="77777777" w:rsidR="00395702" w:rsidRPr="00B72067" w:rsidRDefault="00395702" w:rsidP="00395702">
      <w:pPr>
        <w:tabs>
          <w:tab w:val="left" w:pos="8364"/>
        </w:tabs>
        <w:spacing w:after="0" w:line="360" w:lineRule="auto"/>
        <w:ind w:left="567" w:right="567" w:firstLine="397"/>
        <w:jc w:val="both"/>
        <w:rPr>
          <w:rFonts w:ascii="Times New Roman" w:hAnsi="Times New Roman" w:cs="Times New Roman"/>
          <w:sz w:val="20"/>
          <w:szCs w:val="20"/>
        </w:rPr>
      </w:pPr>
      <w:r w:rsidRPr="00B72067">
        <w:rPr>
          <w:rFonts w:ascii="Times New Roman" w:hAnsi="Times New Roman" w:cs="Times New Roman"/>
          <w:sz w:val="20"/>
          <w:szCs w:val="20"/>
        </w:rPr>
        <w:t>E apparechiate cinque bellissime moresche dentro dicte camere, ne venne fora una ad homo per homo con grandissima gracia insino al numero de dece, armati de arme facte a la anticha, parte con ronchoni e parte con maze e spade da doe mane, cintilo e uno pugnaleto per uno, con movementi tuti acomodati a uno tempo, e in su il proscenio, che hera davanti a di</w:t>
      </w:r>
      <w:r w:rsidR="00412A4D">
        <w:rPr>
          <w:rFonts w:ascii="Times New Roman" w:hAnsi="Times New Roman" w:cs="Times New Roman"/>
          <w:sz w:val="20"/>
          <w:szCs w:val="20"/>
        </w:rPr>
        <w:t>c</w:t>
      </w:r>
      <w:r w:rsidRPr="00B72067">
        <w:rPr>
          <w:rFonts w:ascii="Times New Roman" w:hAnsi="Times New Roman" w:cs="Times New Roman"/>
          <w:sz w:val="20"/>
          <w:szCs w:val="20"/>
        </w:rPr>
        <w:t>te camare, longo circha braza quaranta e largo cinque, balòrno in acti a la morescha al son de tamburini, e subito cusì balando menavano le mano l'uno contro l'altro con celere movitione che paria se volesseno amazare tuti, con botte a tempo de mano o pedi, senza alchuna differentia conformi al sono. Rotto che hebbeno di</w:t>
      </w:r>
      <w:r w:rsidR="00412A4D">
        <w:rPr>
          <w:rFonts w:ascii="Times New Roman" w:hAnsi="Times New Roman" w:cs="Times New Roman"/>
          <w:sz w:val="20"/>
          <w:szCs w:val="20"/>
        </w:rPr>
        <w:t>c</w:t>
      </w:r>
      <w:r w:rsidRPr="00B72067">
        <w:rPr>
          <w:rFonts w:ascii="Times New Roman" w:hAnsi="Times New Roman" w:cs="Times New Roman"/>
          <w:sz w:val="20"/>
          <w:szCs w:val="20"/>
        </w:rPr>
        <w:t>te arme sive ronche, missero mano per le spade, menandosi colpi di punta e roversi contra l'uno e l'altro, con grandissima dexterità e agilità de persona, pur facendo la morescha, e in un tempo lassorno cadere dicte spade e pigliorno li pugnaliti l'uno contra l'altro, a le strecte menandosi galiardamente, e poi la mità de loro in uno momento caderno in terra come morti, e li altri sopra con li pugnali, se rexeno prexoni e, levati in piedi, gè ligorno le mane drieto e cusì introrno in camera.</w:t>
      </w:r>
      <w:r>
        <w:rPr>
          <w:rStyle w:val="Rimandonotaapidipagina"/>
          <w:rFonts w:ascii="Times New Roman" w:hAnsi="Times New Roman" w:cs="Times New Roman"/>
        </w:rPr>
        <w:footnoteReference w:id="921"/>
      </w:r>
    </w:p>
    <w:p w14:paraId="4D09074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6E67F1C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Il primo intermezzo fu dunque una moresca nella quale i danzatori, in costumi e armi all’antica, mimarono sul “</w:t>
      </w:r>
      <w:r w:rsidRPr="007E3810">
        <w:rPr>
          <w:rFonts w:ascii="Times New Roman" w:hAnsi="Times New Roman" w:cs="Times New Roman"/>
          <w:sz w:val="24"/>
          <w:szCs w:val="24"/>
        </w:rPr>
        <w:t>proscenio</w:t>
      </w:r>
      <w:r>
        <w:rPr>
          <w:rFonts w:ascii="Times New Roman" w:hAnsi="Times New Roman" w:cs="Times New Roman"/>
          <w:sz w:val="24"/>
          <w:szCs w:val="24"/>
        </w:rPr>
        <w:t>” un duello, fronteggiandosi con ronche, quindi con spade e, infine, con pugnali. Il successivo intervento coreutico ebbe un</w:t>
      </w:r>
      <w:r w:rsidR="00377074">
        <w:rPr>
          <w:rFonts w:ascii="Times New Roman" w:hAnsi="Times New Roman" w:cs="Times New Roman"/>
          <w:sz w:val="24"/>
          <w:szCs w:val="24"/>
        </w:rPr>
        <w:t xml:space="preserve">o svolgimanto </w:t>
      </w:r>
      <w:r>
        <w:rPr>
          <w:rFonts w:ascii="Times New Roman" w:hAnsi="Times New Roman" w:cs="Times New Roman"/>
          <w:sz w:val="24"/>
          <w:szCs w:val="24"/>
        </w:rPr>
        <w:t>simile, con lo scontro tra dieci fanti armati di ronche, i quali, prima di sfidarsi a contesa, fecero la mostra delle loro divise sfilando al suono dei tamburi.</w:t>
      </w:r>
    </w:p>
    <w:p w14:paraId="24B238E1"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Il terzo intermezzo – «de una musica», come scrisse Sanuto – previde invece l’arrivo in scena di «</w:t>
      </w:r>
      <w:r w:rsidRPr="00EE038D">
        <w:rPr>
          <w:rFonts w:ascii="Times New Roman" w:hAnsi="Times New Roman" w:cs="Times New Roman"/>
          <w:sz w:val="24"/>
          <w:szCs w:val="24"/>
        </w:rPr>
        <w:t>uno caro menato da un cavalo in forma de unicorno, conducto da una gioveneta, sopra il quale herano alligati ad uno troncho alchuni homini, e quatro cantarini con uno leuto, tuti coperti su dicto caro circondati da alchuni arboselli. Quali poi forno disligati da dicta damixella e usciti fecero la morescha</w:t>
      </w:r>
      <w:r>
        <w:rPr>
          <w:rFonts w:ascii="Times New Roman" w:hAnsi="Times New Roman" w:cs="Times New Roman"/>
          <w:sz w:val="24"/>
          <w:szCs w:val="24"/>
        </w:rPr>
        <w:t xml:space="preserve"> </w:t>
      </w:r>
      <w:r w:rsidRPr="00EE038D">
        <w:rPr>
          <w:rFonts w:ascii="Times New Roman" w:hAnsi="Times New Roman" w:cs="Times New Roman"/>
          <w:sz w:val="24"/>
          <w:szCs w:val="24"/>
        </w:rPr>
        <w:t>cantando quelli quatro canzone belissime</w:t>
      </w:r>
      <w:r>
        <w:rPr>
          <w:rFonts w:ascii="Times New Roman" w:hAnsi="Times New Roman" w:cs="Times New Roman"/>
          <w:sz w:val="24"/>
          <w:szCs w:val="24"/>
        </w:rPr>
        <w:t>»</w:t>
      </w:r>
      <w:r w:rsidRPr="00EE038D">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22"/>
      </w:r>
    </w:p>
    <w:p w14:paraId="643CD964"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Dieci mori danzarono </w:t>
      </w:r>
      <w:r w:rsidR="00412A4D">
        <w:rPr>
          <w:rFonts w:ascii="Times New Roman" w:hAnsi="Times New Roman" w:cs="Times New Roman"/>
          <w:sz w:val="24"/>
          <w:szCs w:val="24"/>
        </w:rPr>
        <w:t xml:space="preserve">la quarta moresca </w:t>
      </w:r>
      <w:r>
        <w:rPr>
          <w:rFonts w:ascii="Times New Roman" w:hAnsi="Times New Roman" w:cs="Times New Roman"/>
          <w:sz w:val="24"/>
          <w:szCs w:val="24"/>
        </w:rPr>
        <w:t>tenendo in bocca dei candelotti, dopo la quale, f</w:t>
      </w:r>
      <w:r w:rsidR="00412A4D">
        <w:rPr>
          <w:rFonts w:ascii="Times New Roman" w:hAnsi="Times New Roman" w:cs="Times New Roman"/>
          <w:sz w:val="24"/>
          <w:szCs w:val="24"/>
        </w:rPr>
        <w:t>i</w:t>
      </w:r>
      <w:r>
        <w:rPr>
          <w:rFonts w:ascii="Times New Roman" w:hAnsi="Times New Roman" w:cs="Times New Roman"/>
          <w:sz w:val="24"/>
          <w:szCs w:val="24"/>
        </w:rPr>
        <w:t>nito il quinto atto:</w:t>
      </w:r>
    </w:p>
    <w:p w14:paraId="0D6CC06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201CDDB2" w14:textId="77777777" w:rsidR="00395702" w:rsidRDefault="00395702" w:rsidP="00395702">
      <w:pPr>
        <w:tabs>
          <w:tab w:val="left" w:pos="8364"/>
        </w:tabs>
        <w:spacing w:after="0" w:line="360" w:lineRule="auto"/>
        <w:ind w:left="567" w:right="566" w:firstLine="397"/>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0"/>
          <w:szCs w:val="20"/>
        </w:rPr>
        <w:t>S</w:t>
      </w:r>
      <w:r w:rsidRPr="00240AC9">
        <w:rPr>
          <w:rFonts w:ascii="Times New Roman" w:hAnsi="Times New Roman" w:cs="Times New Roman"/>
          <w:sz w:val="20"/>
          <w:szCs w:val="20"/>
        </w:rPr>
        <w:t>e apresentò la quinta morescha con dece vestiti ad una galante fogia, con belle penne in testa e in mano una asta grossa, in cima de la quale hera uno gran focho, qual tenevano da man dritta apogiata sul pede dritto, venendo 14 fora ad uno. E poi tuti con moti a tempo balavano a la morescha e poi, adirati l'uno contra l'altro, con di</w:t>
      </w:r>
      <w:r w:rsidR="00FA6235">
        <w:rPr>
          <w:rFonts w:ascii="Times New Roman" w:hAnsi="Times New Roman" w:cs="Times New Roman"/>
          <w:sz w:val="20"/>
          <w:szCs w:val="20"/>
        </w:rPr>
        <w:t>c</w:t>
      </w:r>
      <w:r w:rsidRPr="00240AC9">
        <w:rPr>
          <w:rFonts w:ascii="Times New Roman" w:hAnsi="Times New Roman" w:cs="Times New Roman"/>
          <w:sz w:val="20"/>
          <w:szCs w:val="20"/>
        </w:rPr>
        <w:t>te aste e foci se cocevano animosamente e cum gran desteritade. Intrati dentro, uno de la di</w:t>
      </w:r>
      <w:r w:rsidR="00FA6235">
        <w:rPr>
          <w:rFonts w:ascii="Times New Roman" w:hAnsi="Times New Roman" w:cs="Times New Roman"/>
          <w:sz w:val="20"/>
          <w:szCs w:val="20"/>
        </w:rPr>
        <w:t>c</w:t>
      </w:r>
      <w:r w:rsidRPr="00240AC9">
        <w:rPr>
          <w:rFonts w:ascii="Times New Roman" w:hAnsi="Times New Roman" w:cs="Times New Roman"/>
          <w:sz w:val="20"/>
          <w:szCs w:val="20"/>
        </w:rPr>
        <w:t>ta comedia fece uno belissimo ragionamento in rima a laude de di</w:t>
      </w:r>
      <w:r w:rsidR="00FA6235">
        <w:rPr>
          <w:rFonts w:ascii="Times New Roman" w:hAnsi="Times New Roman" w:cs="Times New Roman"/>
          <w:sz w:val="20"/>
          <w:szCs w:val="20"/>
        </w:rPr>
        <w:t>c</w:t>
      </w:r>
      <w:r w:rsidRPr="00240AC9">
        <w:rPr>
          <w:rFonts w:ascii="Times New Roman" w:hAnsi="Times New Roman" w:cs="Times New Roman"/>
          <w:sz w:val="20"/>
          <w:szCs w:val="20"/>
        </w:rPr>
        <w:t>ta comedia a li astanti. E poi fu facta un'altra belissima morescha con le persone molto dextre e agile su le gambe. E già herano sonate le quatro hore avanti se partisseno da dicti spectaculi dignissimi</w:t>
      </w:r>
      <w:r w:rsidRPr="00343E43">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23"/>
      </w:r>
    </w:p>
    <w:p w14:paraId="0E71BFB2"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3CD3D4D3"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Dalle parole dei cronisti emerge chiaramente il carattere guerresco </w:t>
      </w:r>
      <w:r w:rsidR="001C7C1E">
        <w:rPr>
          <w:rFonts w:ascii="Times New Roman" w:hAnsi="Times New Roman" w:cs="Times New Roman"/>
          <w:sz w:val="24"/>
          <w:szCs w:val="24"/>
        </w:rPr>
        <w:t xml:space="preserve">delle danze dello spettacolo </w:t>
      </w:r>
      <w:r>
        <w:rPr>
          <w:rFonts w:ascii="Times New Roman" w:hAnsi="Times New Roman" w:cs="Times New Roman"/>
          <w:sz w:val="24"/>
          <w:szCs w:val="24"/>
        </w:rPr>
        <w:t xml:space="preserve">– tipico, del resto, della moresca –, esaltato dall’alternanza delle armi di fattura </w:t>
      </w:r>
      <w:r w:rsidR="001C7C1E">
        <w:rPr>
          <w:rFonts w:ascii="Times New Roman" w:hAnsi="Times New Roman" w:cs="Times New Roman"/>
          <w:sz w:val="24"/>
          <w:szCs w:val="24"/>
        </w:rPr>
        <w:t xml:space="preserve">diversa </w:t>
      </w:r>
      <w:r>
        <w:rPr>
          <w:rFonts w:ascii="Times New Roman" w:hAnsi="Times New Roman" w:cs="Times New Roman"/>
          <w:sz w:val="24"/>
          <w:szCs w:val="24"/>
        </w:rPr>
        <w:t>sfoderate e dalle esibizioni con fiaccole dei danzatori, che sottolinearono la loro agilità nell’esecuzione delle coreografie. Cagnolo e Sanuto non colsero nessi narrativi o tematici tra i soggetti dei cinque intermezzi ed è probabile che non ve ne fosse alcuno, come conferma il fatto che il segretario dell’ambasciatore francese non avesse riconosciuto</w:t>
      </w:r>
      <w:r w:rsidR="00FA6235">
        <w:rPr>
          <w:rFonts w:ascii="Times New Roman" w:hAnsi="Times New Roman" w:cs="Times New Roman"/>
          <w:sz w:val="24"/>
          <w:szCs w:val="24"/>
        </w:rPr>
        <w:t>,</w:t>
      </w:r>
      <w:r>
        <w:rPr>
          <w:rFonts w:ascii="Times New Roman" w:hAnsi="Times New Roman" w:cs="Times New Roman"/>
          <w:sz w:val="24"/>
          <w:szCs w:val="24"/>
        </w:rPr>
        <w:t xml:space="preserve"> nella fanciulla che guidava il carro trainato da</w:t>
      </w:r>
      <w:r w:rsidR="00FA6235">
        <w:rPr>
          <w:rFonts w:ascii="Times New Roman" w:hAnsi="Times New Roman" w:cs="Times New Roman"/>
          <w:sz w:val="24"/>
          <w:szCs w:val="24"/>
        </w:rPr>
        <w:t>ll’</w:t>
      </w:r>
      <w:r>
        <w:rPr>
          <w:rFonts w:ascii="Times New Roman" w:hAnsi="Times New Roman" w:cs="Times New Roman"/>
          <w:sz w:val="24"/>
          <w:szCs w:val="24"/>
        </w:rPr>
        <w:t>unicorn</w:t>
      </w:r>
      <w:r w:rsidR="00FA6235">
        <w:rPr>
          <w:rFonts w:ascii="Times New Roman" w:hAnsi="Times New Roman" w:cs="Times New Roman"/>
          <w:sz w:val="24"/>
          <w:szCs w:val="24"/>
        </w:rPr>
        <w:t>o,</w:t>
      </w:r>
      <w:r>
        <w:rPr>
          <w:rFonts w:ascii="Times New Roman" w:hAnsi="Times New Roman" w:cs="Times New Roman"/>
          <w:sz w:val="24"/>
          <w:szCs w:val="24"/>
        </w:rPr>
        <w:t xml:space="preserve"> l’allegoria della Pudicizia trionfante sui musici innamorati, dato essenziale per individuare possibili succe</w:t>
      </w:r>
      <w:r w:rsidR="00FA6235">
        <w:rPr>
          <w:rFonts w:ascii="Times New Roman" w:hAnsi="Times New Roman" w:cs="Times New Roman"/>
          <w:sz w:val="24"/>
          <w:szCs w:val="24"/>
        </w:rPr>
        <w:t>s</w:t>
      </w:r>
      <w:r>
        <w:rPr>
          <w:rFonts w:ascii="Times New Roman" w:hAnsi="Times New Roman" w:cs="Times New Roman"/>
          <w:sz w:val="24"/>
          <w:szCs w:val="24"/>
        </w:rPr>
        <w:t xml:space="preserve">sivi sviluppi narrativi. </w:t>
      </w:r>
    </w:p>
    <w:p w14:paraId="25986F3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Musica, ballo e abilità pirotecniche furono al centro anche degli intermezzi delle successive rappresentazioni plautine. Il 5 febbraio 1502 Isabella d’Este inviò a suo marito una missiva con la descrizione della recita dell</w:t>
      </w:r>
      <w:r w:rsidR="00FA6235">
        <w:rPr>
          <w:rFonts w:ascii="Times New Roman" w:hAnsi="Times New Roman" w:cs="Times New Roman"/>
          <w:sz w:val="24"/>
          <w:szCs w:val="24"/>
        </w:rPr>
        <w:t>e</w:t>
      </w:r>
      <w:r>
        <w:rPr>
          <w:rFonts w:ascii="Times New Roman" w:hAnsi="Times New Roman" w:cs="Times New Roman"/>
          <w:sz w:val="24"/>
          <w:szCs w:val="24"/>
        </w:rPr>
        <w:t xml:space="preserve"> </w:t>
      </w:r>
      <w:r w:rsidRPr="00117CDA">
        <w:rPr>
          <w:rFonts w:ascii="Times New Roman" w:hAnsi="Times New Roman" w:cs="Times New Roman"/>
          <w:i/>
          <w:sz w:val="24"/>
          <w:szCs w:val="24"/>
        </w:rPr>
        <w:t>Bacchidi</w:t>
      </w:r>
      <w:r>
        <w:rPr>
          <w:rFonts w:ascii="Times New Roman" w:hAnsi="Times New Roman" w:cs="Times New Roman"/>
          <w:sz w:val="24"/>
          <w:szCs w:val="24"/>
        </w:rPr>
        <w:t>, svoltasi la sera precedente, nella quale «due moresche solamente furono tramezate», l’una dopo il secondo atto e l’altra al termine del quarto, mentre a conclusione della commedia «non gli fu se non sbadacchi et querelle de li spettatori, perhocch</w:t>
      </w:r>
      <w:r w:rsidR="00FA6235">
        <w:rPr>
          <w:rFonts w:ascii="Times New Roman" w:hAnsi="Times New Roman" w:cs="Times New Roman"/>
          <w:sz w:val="24"/>
          <w:szCs w:val="24"/>
        </w:rPr>
        <w:t>é</w:t>
      </w:r>
      <w:r>
        <w:rPr>
          <w:rFonts w:ascii="Times New Roman" w:hAnsi="Times New Roman" w:cs="Times New Roman"/>
          <w:sz w:val="24"/>
          <w:szCs w:val="24"/>
        </w:rPr>
        <w:t xml:space="preserve"> erano quattro hore e meza».</w:t>
      </w:r>
      <w:r>
        <w:rPr>
          <w:rStyle w:val="Rimandonotaapidipagina"/>
          <w:rFonts w:ascii="Times New Roman" w:hAnsi="Times New Roman" w:cs="Times New Roman"/>
          <w:sz w:val="24"/>
          <w:szCs w:val="24"/>
        </w:rPr>
        <w:footnoteReference w:id="924"/>
      </w:r>
      <w:r>
        <w:rPr>
          <w:rFonts w:ascii="Times New Roman" w:hAnsi="Times New Roman" w:cs="Times New Roman"/>
          <w:sz w:val="24"/>
          <w:szCs w:val="24"/>
        </w:rPr>
        <w:t xml:space="preserve"> Se Sanuto e Cagnolo non fanno cenni alla noia dei presenti, le loro osservazioni sullo svolgimento dello spettacolo non si discostano da quelle della marchesa di Mantova e riguardo agli intermezzi confermano come nel primo dieci danzatori in costume color carne</w:t>
      </w:r>
      <w:r w:rsidRPr="004D7B54">
        <w:rPr>
          <w:rFonts w:ascii="Times New Roman" w:hAnsi="Times New Roman" w:cs="Times New Roman"/>
          <w:sz w:val="24"/>
          <w:szCs w:val="24"/>
        </w:rPr>
        <w:t xml:space="preserve"> </w:t>
      </w:r>
      <w:r>
        <w:rPr>
          <w:rFonts w:ascii="Times New Roman" w:hAnsi="Times New Roman" w:cs="Times New Roman"/>
          <w:sz w:val="24"/>
          <w:szCs w:val="24"/>
        </w:rPr>
        <w:t xml:space="preserve">abbellito da un velo sottile, così da sembrare nudi, si fossero presentati in scena ciascuno con un copricapo argentato e con una cornucopia da cui guizzava fuoco. Insieme a loro giunse un drago all’inseguimento di una fanciulla, prontamente difesa da un cavaliere, il quale domò il mostro e lo legò, consentendo alla giovane di ricongiungersi al suo amato. </w:t>
      </w:r>
    </w:p>
    <w:p w14:paraId="63EFF656"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Nella seconda moresca, invece, dodici matti, vestiti con un’ampia camicia e con le calze sulla testa, danzarono per</w:t>
      </w:r>
      <w:r w:rsidR="009F7DAD">
        <w:rPr>
          <w:rFonts w:ascii="Times New Roman" w:hAnsi="Times New Roman" w:cs="Times New Roman"/>
          <w:sz w:val="24"/>
          <w:szCs w:val="24"/>
        </w:rPr>
        <w:t>c</w:t>
      </w:r>
      <w:r>
        <w:rPr>
          <w:rFonts w:ascii="Times New Roman" w:hAnsi="Times New Roman" w:cs="Times New Roman"/>
          <w:sz w:val="24"/>
          <w:szCs w:val="24"/>
        </w:rPr>
        <w:t>uotendosi reciprocamente con delle vesciche sgonfie, le quali simboleggiavano la loro testa vuota.</w:t>
      </w:r>
      <w:r>
        <w:rPr>
          <w:rStyle w:val="Rimandonotaapidipagina"/>
          <w:rFonts w:ascii="Times New Roman" w:hAnsi="Times New Roman" w:cs="Times New Roman"/>
          <w:sz w:val="24"/>
          <w:szCs w:val="24"/>
        </w:rPr>
        <w:footnoteReference w:id="925"/>
      </w:r>
    </w:p>
    <w:p w14:paraId="07CA1B29"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Anche gli atti della terza commedia, il </w:t>
      </w:r>
      <w:r w:rsidRPr="00700DE2">
        <w:rPr>
          <w:rFonts w:ascii="Times New Roman" w:hAnsi="Times New Roman" w:cs="Times New Roman"/>
          <w:i/>
          <w:sz w:val="24"/>
          <w:szCs w:val="24"/>
        </w:rPr>
        <w:t>Miles gloriosus</w:t>
      </w:r>
      <w:r>
        <w:rPr>
          <w:rFonts w:ascii="Times New Roman" w:hAnsi="Times New Roman" w:cs="Times New Roman"/>
          <w:sz w:val="24"/>
          <w:szCs w:val="24"/>
        </w:rPr>
        <w:t xml:space="preserve">, furono scanditi da tre moresche: </w:t>
      </w:r>
    </w:p>
    <w:p w14:paraId="6F80A62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3573BB41" w14:textId="77777777" w:rsidR="00395702" w:rsidRPr="00711B02" w:rsidRDefault="00395702" w:rsidP="00395702">
      <w:pPr>
        <w:tabs>
          <w:tab w:val="left" w:pos="8364"/>
        </w:tabs>
        <w:spacing w:after="0" w:line="360" w:lineRule="auto"/>
        <w:ind w:left="567" w:right="566" w:firstLine="397"/>
        <w:jc w:val="both"/>
        <w:rPr>
          <w:rFonts w:ascii="Times New Roman" w:hAnsi="Times New Roman" w:cs="Times New Roman"/>
          <w:sz w:val="20"/>
          <w:szCs w:val="20"/>
        </w:rPr>
      </w:pPr>
      <w:r w:rsidRPr="00711B02">
        <w:rPr>
          <w:rFonts w:ascii="Times New Roman" w:hAnsi="Times New Roman" w:cs="Times New Roman"/>
          <w:sz w:val="20"/>
          <w:szCs w:val="20"/>
        </w:rPr>
        <w:t>Ne la prima ussì Am</w:t>
      </w:r>
      <w:r>
        <w:rPr>
          <w:rFonts w:ascii="Times New Roman" w:hAnsi="Times New Roman" w:cs="Times New Roman"/>
          <w:sz w:val="20"/>
          <w:szCs w:val="20"/>
        </w:rPr>
        <w:t>o</w:t>
      </w:r>
      <w:r w:rsidRPr="00711B02">
        <w:rPr>
          <w:rFonts w:ascii="Times New Roman" w:hAnsi="Times New Roman" w:cs="Times New Roman"/>
          <w:sz w:val="20"/>
          <w:szCs w:val="20"/>
        </w:rPr>
        <w:t>re e, passeggiando e saetando per la scena, recitò alcuni versi. Dietro gli uscirono 12 homeni, coperti de stagno, taliati, carichi de candeloti accesi, con spechi, in testa uno ballone forato et cossì in mano pur pieni de candeloti, che fu bel spectaculo.</w:t>
      </w:r>
      <w:r>
        <w:rPr>
          <w:rStyle w:val="Rimandonotaapidipagina"/>
          <w:rFonts w:ascii="Times New Roman" w:hAnsi="Times New Roman" w:cs="Times New Roman"/>
        </w:rPr>
        <w:footnoteReference w:id="926"/>
      </w:r>
      <w:r w:rsidRPr="00711B02">
        <w:rPr>
          <w:rFonts w:ascii="Times New Roman" w:hAnsi="Times New Roman" w:cs="Times New Roman"/>
          <w:sz w:val="20"/>
          <w:szCs w:val="20"/>
        </w:rPr>
        <w:t xml:space="preserve"> </w:t>
      </w:r>
    </w:p>
    <w:p w14:paraId="33E37B5D"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p>
    <w:p w14:paraId="390074F4"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Questa cronaca di Sanuto precisa la fattura dei costumi dei ballerini, il cui effetto scenico fu «</w:t>
      </w:r>
      <w:r w:rsidRPr="00191024">
        <w:rPr>
          <w:rFonts w:ascii="Times New Roman" w:hAnsi="Times New Roman" w:cs="Times New Roman"/>
          <w:i/>
          <w:sz w:val="24"/>
          <w:szCs w:val="24"/>
        </w:rPr>
        <w:t>taliter</w:t>
      </w:r>
      <w:r w:rsidRPr="00700DE2">
        <w:rPr>
          <w:rFonts w:ascii="Times New Roman" w:hAnsi="Times New Roman" w:cs="Times New Roman"/>
          <w:sz w:val="24"/>
          <w:szCs w:val="24"/>
        </w:rPr>
        <w:t xml:space="preserve"> che parea che tuti ardessero</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27"/>
      </w:r>
      <w:r>
        <w:rPr>
          <w:rFonts w:ascii="Times New Roman" w:hAnsi="Times New Roman" w:cs="Times New Roman"/>
          <w:sz w:val="24"/>
          <w:szCs w:val="24"/>
        </w:rPr>
        <w:t xml:space="preserve"> erano ricoperti di inserti di stagno e vi erano applicati piccoli specchi per riflettere le fiamme dei candelotti posti nei candelabri sferici che ci</w:t>
      </w:r>
      <w:r w:rsidR="005B0343">
        <w:rPr>
          <w:rFonts w:ascii="Times New Roman" w:hAnsi="Times New Roman" w:cs="Times New Roman"/>
          <w:sz w:val="24"/>
          <w:szCs w:val="24"/>
        </w:rPr>
        <w:t>a</w:t>
      </w:r>
      <w:r>
        <w:rPr>
          <w:rFonts w:ascii="Times New Roman" w:hAnsi="Times New Roman" w:cs="Times New Roman"/>
          <w:sz w:val="24"/>
          <w:szCs w:val="24"/>
        </w:rPr>
        <w:t>scun interp</w:t>
      </w:r>
      <w:r w:rsidR="005B0343">
        <w:rPr>
          <w:rFonts w:ascii="Times New Roman" w:hAnsi="Times New Roman" w:cs="Times New Roman"/>
          <w:sz w:val="24"/>
          <w:szCs w:val="24"/>
        </w:rPr>
        <w:t>r</w:t>
      </w:r>
      <w:r>
        <w:rPr>
          <w:rFonts w:ascii="Times New Roman" w:hAnsi="Times New Roman" w:cs="Times New Roman"/>
          <w:sz w:val="24"/>
          <w:szCs w:val="24"/>
        </w:rPr>
        <w:t>ete reggeva tra le mani e sulla testa. Si può facilmente supporre che i dodici danzatori dovessero rappresent</w:t>
      </w:r>
      <w:r w:rsidR="001573B1">
        <w:rPr>
          <w:rFonts w:ascii="Times New Roman" w:hAnsi="Times New Roman" w:cs="Times New Roman"/>
          <w:sz w:val="24"/>
          <w:szCs w:val="24"/>
        </w:rPr>
        <w:t>a</w:t>
      </w:r>
      <w:r>
        <w:rPr>
          <w:rFonts w:ascii="Times New Roman" w:hAnsi="Times New Roman" w:cs="Times New Roman"/>
          <w:sz w:val="24"/>
          <w:szCs w:val="24"/>
        </w:rPr>
        <w:t xml:space="preserve">re gli innamorati infiammati dalla passione amorosa e che il soggetto del loro ballo fosse stato chiarito dai versi declamati da Cupido all’inizio dell’intermezzo, sebbene il componimento poetico non sia pervenuto. </w:t>
      </w:r>
    </w:p>
    <w:p w14:paraId="61938A22"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Nella seconda moresca, dodici figuranti si presentarono invece vestiti da becchi ed eseguirono una coreografia guidati da un</w:t>
      </w:r>
      <w:r w:rsidR="007A205F">
        <w:rPr>
          <w:rFonts w:ascii="Times New Roman" w:hAnsi="Times New Roman" w:cs="Times New Roman"/>
          <w:sz w:val="24"/>
          <w:szCs w:val="24"/>
        </w:rPr>
        <w:t xml:space="preserve"> pastore</w:t>
      </w:r>
      <w:r>
        <w:rPr>
          <w:rFonts w:ascii="Times New Roman" w:hAnsi="Times New Roman" w:cs="Times New Roman"/>
          <w:sz w:val="24"/>
          <w:szCs w:val="24"/>
        </w:rPr>
        <w:t xml:space="preserve">. Nella terza, infine, gli interpreti ballarono abbigliati con uno </w:t>
      </w:r>
      <w:r w:rsidR="00663E04">
        <w:rPr>
          <w:rFonts w:ascii="Times New Roman" w:hAnsi="Times New Roman" w:cs="Times New Roman"/>
          <w:sz w:val="24"/>
          <w:szCs w:val="24"/>
        </w:rPr>
        <w:t xml:space="preserve">giubbone </w:t>
      </w:r>
      <w:r>
        <w:rPr>
          <w:rFonts w:ascii="Times New Roman" w:hAnsi="Times New Roman" w:cs="Times New Roman"/>
          <w:sz w:val="24"/>
          <w:szCs w:val="24"/>
        </w:rPr>
        <w:t>di broccato bianco e dorato, mimando una lotta con frecce e poi con dei pugnali.</w:t>
      </w:r>
      <w:r>
        <w:rPr>
          <w:rStyle w:val="Rimandonotaapidipagina"/>
          <w:rFonts w:ascii="Times New Roman" w:hAnsi="Times New Roman" w:cs="Times New Roman"/>
          <w:sz w:val="24"/>
          <w:szCs w:val="24"/>
        </w:rPr>
        <w:footnoteReference w:id="928"/>
      </w:r>
      <w:r>
        <w:rPr>
          <w:rFonts w:ascii="Times New Roman" w:hAnsi="Times New Roman" w:cs="Times New Roman"/>
          <w:sz w:val="24"/>
          <w:szCs w:val="24"/>
        </w:rPr>
        <w:t xml:space="preserve"> </w:t>
      </w:r>
    </w:p>
    <w:p w14:paraId="74271DDA"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Il 6 febbraio 1502 anche l’</w:t>
      </w:r>
      <w:r w:rsidRPr="000C76A1">
        <w:rPr>
          <w:rFonts w:ascii="Times New Roman" w:hAnsi="Times New Roman" w:cs="Times New Roman"/>
          <w:i/>
          <w:sz w:val="24"/>
          <w:szCs w:val="24"/>
        </w:rPr>
        <w:t>Asinaria</w:t>
      </w:r>
      <w:r>
        <w:rPr>
          <w:rFonts w:ascii="Times New Roman" w:hAnsi="Times New Roman" w:cs="Times New Roman"/>
          <w:sz w:val="24"/>
          <w:szCs w:val="24"/>
        </w:rPr>
        <w:t xml:space="preserve"> andò in scena con intermezzi musicali e danzati. Il primo, prestando fede al resoconto di Sanuto, richiese l’ingresso sulla scena di dieci uomini selvaggi, i quali, compiuti alcuni balli e udito un suono di corni, si nascosero temendo l’arrivo di cacciatori. All’apparizione</w:t>
      </w:r>
      <w:r w:rsidR="00F45EE3">
        <w:rPr>
          <w:rFonts w:ascii="Times New Roman" w:hAnsi="Times New Roman" w:cs="Times New Roman"/>
          <w:sz w:val="24"/>
          <w:szCs w:val="24"/>
        </w:rPr>
        <w:t>,</w:t>
      </w:r>
      <w:r>
        <w:rPr>
          <w:rFonts w:ascii="Times New Roman" w:hAnsi="Times New Roman" w:cs="Times New Roman"/>
          <w:sz w:val="24"/>
          <w:szCs w:val="24"/>
        </w:rPr>
        <w:t xml:space="preserve"> invece</w:t>
      </w:r>
      <w:r w:rsidR="00F45EE3">
        <w:rPr>
          <w:rFonts w:ascii="Times New Roman" w:hAnsi="Times New Roman" w:cs="Times New Roman"/>
          <w:sz w:val="24"/>
          <w:szCs w:val="24"/>
        </w:rPr>
        <w:t>,</w:t>
      </w:r>
      <w:r>
        <w:rPr>
          <w:rFonts w:ascii="Times New Roman" w:hAnsi="Times New Roman" w:cs="Times New Roman"/>
          <w:sz w:val="24"/>
          <w:szCs w:val="24"/>
        </w:rPr>
        <w:t xml:space="preserve"> di conigli e uccellini</w:t>
      </w:r>
      <w:r w:rsidR="00F45EE3">
        <w:rPr>
          <w:rFonts w:ascii="Times New Roman" w:hAnsi="Times New Roman" w:cs="Times New Roman"/>
          <w:sz w:val="24"/>
          <w:szCs w:val="24"/>
        </w:rPr>
        <w:t>,</w:t>
      </w:r>
      <w:r>
        <w:rPr>
          <w:rFonts w:ascii="Times New Roman" w:hAnsi="Times New Roman" w:cs="Times New Roman"/>
          <w:sz w:val="24"/>
          <w:szCs w:val="24"/>
        </w:rPr>
        <w:t xml:space="preserve"> ricomparvero per dare loro la caccia</w:t>
      </w:r>
      <w:r w:rsidR="00F45EE3">
        <w:rPr>
          <w:rFonts w:ascii="Times New Roman" w:hAnsi="Times New Roman" w:cs="Times New Roman"/>
          <w:sz w:val="24"/>
          <w:szCs w:val="24"/>
        </w:rPr>
        <w:t>,</w:t>
      </w:r>
      <w:r>
        <w:rPr>
          <w:rFonts w:ascii="Times New Roman" w:hAnsi="Times New Roman" w:cs="Times New Roman"/>
          <w:sz w:val="24"/>
          <w:szCs w:val="24"/>
        </w:rPr>
        <w:t xml:space="preserve"> finch</w:t>
      </w:r>
      <w:r w:rsidR="005B0343">
        <w:rPr>
          <w:rFonts w:ascii="Times New Roman" w:hAnsi="Times New Roman" w:cs="Times New Roman"/>
          <w:sz w:val="24"/>
          <w:szCs w:val="24"/>
        </w:rPr>
        <w:t>é</w:t>
      </w:r>
      <w:r>
        <w:rPr>
          <w:rFonts w:ascii="Times New Roman" w:hAnsi="Times New Roman" w:cs="Times New Roman"/>
          <w:sz w:val="24"/>
          <w:szCs w:val="24"/>
        </w:rPr>
        <w:t xml:space="preserve"> un secondo squillo dei corni li fece nuovamente correre al riparo. Vendendo però giungere sul palco soltanto dei caprioli i selvaggi li cacciarono con dei bastoni, ma un terzo squillo richiamò ancora la loro attenzione segnalando la venuta di due danzatori vestiti l’uno da pantera e l’altro da leone. Lottando contro le fiere quattro ballerini le accerchiarono e altri quattro salirono sulle spalle dei primi formando una specie di gabbia, trascinando poi fuori scena le </w:t>
      </w:r>
      <w:r w:rsidR="007A205F">
        <w:rPr>
          <w:rFonts w:ascii="Times New Roman" w:hAnsi="Times New Roman" w:cs="Times New Roman"/>
          <w:sz w:val="24"/>
          <w:szCs w:val="24"/>
        </w:rPr>
        <w:t xml:space="preserve">belve </w:t>
      </w:r>
      <w:r>
        <w:rPr>
          <w:rFonts w:ascii="Times New Roman" w:hAnsi="Times New Roman" w:cs="Times New Roman"/>
          <w:sz w:val="24"/>
          <w:szCs w:val="24"/>
        </w:rPr>
        <w:t xml:space="preserve">per lasciare spazio all’atto successivo della commedia. </w:t>
      </w:r>
    </w:p>
    <w:p w14:paraId="1BB13CC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Protagonisti del secondo intermezzo fur</w:t>
      </w:r>
      <w:r w:rsidR="005B0343">
        <w:rPr>
          <w:rFonts w:ascii="Times New Roman" w:hAnsi="Times New Roman" w:cs="Times New Roman"/>
          <w:sz w:val="24"/>
          <w:szCs w:val="24"/>
        </w:rPr>
        <w:t>o</w:t>
      </w:r>
      <w:r>
        <w:rPr>
          <w:rFonts w:ascii="Times New Roman" w:hAnsi="Times New Roman" w:cs="Times New Roman"/>
          <w:sz w:val="24"/>
          <w:szCs w:val="24"/>
        </w:rPr>
        <w:t>no invece otto musici eccellenti provenie</w:t>
      </w:r>
      <w:r w:rsidR="005B0343">
        <w:rPr>
          <w:rFonts w:ascii="Times New Roman" w:hAnsi="Times New Roman" w:cs="Times New Roman"/>
          <w:sz w:val="24"/>
          <w:szCs w:val="24"/>
        </w:rPr>
        <w:t>n</w:t>
      </w:r>
      <w:r>
        <w:rPr>
          <w:rFonts w:ascii="Times New Roman" w:hAnsi="Times New Roman" w:cs="Times New Roman"/>
          <w:sz w:val="24"/>
          <w:szCs w:val="24"/>
        </w:rPr>
        <w:t xml:space="preserve">ti dalla corte di Mantova, tra i quali Sanuto riconobbe i celebri frottolisti </w:t>
      </w:r>
      <w:bookmarkStart w:id="544" w:name="_Hlk536017678"/>
      <w:r w:rsidRPr="00E64F36">
        <w:rPr>
          <w:rFonts w:ascii="Times New Roman" w:hAnsi="Times New Roman" w:cs="Times New Roman"/>
          <w:sz w:val="24"/>
          <w:szCs w:val="24"/>
        </w:rPr>
        <w:t xml:space="preserve">Bartolomeo Tromboncino </w:t>
      </w:r>
      <w:bookmarkEnd w:id="544"/>
      <w:r w:rsidRPr="00E64F36">
        <w:rPr>
          <w:rFonts w:ascii="Times New Roman" w:hAnsi="Times New Roman" w:cs="Times New Roman"/>
          <w:sz w:val="24"/>
          <w:szCs w:val="24"/>
        </w:rPr>
        <w:t xml:space="preserve">e </w:t>
      </w:r>
      <w:bookmarkStart w:id="545" w:name="_Hlk536017733"/>
      <w:r w:rsidRPr="00E64F36">
        <w:rPr>
          <w:rFonts w:ascii="Times New Roman" w:hAnsi="Times New Roman" w:cs="Times New Roman"/>
          <w:sz w:val="24"/>
          <w:szCs w:val="24"/>
        </w:rPr>
        <w:t>Paolo e Paola Poccino</w:t>
      </w:r>
      <w:bookmarkEnd w:id="545"/>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29"/>
      </w:r>
      <w:r>
        <w:rPr>
          <w:rFonts w:ascii="Times New Roman" w:hAnsi="Times New Roman" w:cs="Times New Roman"/>
          <w:sz w:val="24"/>
          <w:szCs w:val="24"/>
        </w:rPr>
        <w:t xml:space="preserve"> A questo seguì un altro atto e quindi una moresca sul tradizionale tema dei lavori agricoli: dodici danzatori con zappe e utensili mimarono l’aratura del terreno, quindi un secondo gruppo di contadini, atti</w:t>
      </w:r>
      <w:r w:rsidR="005B0343">
        <w:rPr>
          <w:rFonts w:ascii="Times New Roman" w:hAnsi="Times New Roman" w:cs="Times New Roman"/>
          <w:sz w:val="24"/>
          <w:szCs w:val="24"/>
        </w:rPr>
        <w:t>n</w:t>
      </w:r>
      <w:r>
        <w:rPr>
          <w:rFonts w:ascii="Times New Roman" w:hAnsi="Times New Roman" w:cs="Times New Roman"/>
          <w:sz w:val="24"/>
          <w:szCs w:val="24"/>
        </w:rPr>
        <w:t>gendo a ceste piene di «oro stagnolo minutissimamente tagliato»,</w:t>
      </w:r>
      <w:r>
        <w:rPr>
          <w:rStyle w:val="Rimandonotaapidipagina"/>
          <w:rFonts w:ascii="Times New Roman" w:hAnsi="Times New Roman" w:cs="Times New Roman"/>
          <w:sz w:val="24"/>
          <w:szCs w:val="24"/>
        </w:rPr>
        <w:footnoteReference w:id="930"/>
      </w:r>
      <w:r>
        <w:rPr>
          <w:rFonts w:ascii="Times New Roman" w:hAnsi="Times New Roman" w:cs="Times New Roman"/>
          <w:sz w:val="24"/>
          <w:szCs w:val="24"/>
        </w:rPr>
        <w:t xml:space="preserve"> sparse sottilissime lamine dorate per rappresentare una semina beneaugurale. Alcune villanelle giunsero allora con canestri pieni di focacce, dolciumi e fiaschi di vino per rifocillare i braccianti, insieme ai quali eseguirono poi una piva, dopo di che «</w:t>
      </w:r>
      <w:r w:rsidRPr="00CB5AD4">
        <w:rPr>
          <w:rFonts w:ascii="Times New Roman" w:hAnsi="Times New Roman" w:cs="Times New Roman"/>
          <w:sz w:val="24"/>
          <w:szCs w:val="24"/>
        </w:rPr>
        <w:t>presentata la quarta parte de la comedia et facti tuti li acti con gran piacere, laudata l'opera per il parasita, li signori pilgiorno camino verso sua maxone cum la illustrissima spoxa</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31"/>
      </w:r>
      <w:r>
        <w:rPr>
          <w:rFonts w:ascii="Times New Roman" w:hAnsi="Times New Roman" w:cs="Times New Roman"/>
          <w:sz w:val="24"/>
          <w:szCs w:val="24"/>
        </w:rPr>
        <w:t xml:space="preserve">  </w:t>
      </w:r>
    </w:p>
    <w:p w14:paraId="7975F050"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Nella rappresentazione dell</w:t>
      </w:r>
      <w:r w:rsidR="007A205F">
        <w:rPr>
          <w:rFonts w:ascii="Times New Roman" w:hAnsi="Times New Roman" w:cs="Times New Roman"/>
          <w:sz w:val="24"/>
          <w:szCs w:val="24"/>
        </w:rPr>
        <w:t>a</w:t>
      </w:r>
      <w:r>
        <w:rPr>
          <w:rFonts w:ascii="Times New Roman" w:hAnsi="Times New Roman" w:cs="Times New Roman"/>
          <w:sz w:val="24"/>
          <w:szCs w:val="24"/>
        </w:rPr>
        <w:t xml:space="preserve"> </w:t>
      </w:r>
      <w:r w:rsidRPr="007869B9">
        <w:rPr>
          <w:rFonts w:ascii="Times New Roman" w:hAnsi="Times New Roman" w:cs="Times New Roman"/>
          <w:i/>
          <w:sz w:val="24"/>
          <w:szCs w:val="24"/>
        </w:rPr>
        <w:t>Casina</w:t>
      </w:r>
      <w:r>
        <w:rPr>
          <w:rFonts w:ascii="Times New Roman" w:hAnsi="Times New Roman" w:cs="Times New Roman"/>
          <w:sz w:val="24"/>
          <w:szCs w:val="24"/>
        </w:rPr>
        <w:t xml:space="preserve"> il progressivo prevalere dell’importanza degli intermezzi sugli atti della commedia divenne esplicito, con il susseguirsi di ben sei interventi musicali e coreutici. Una barzelletta in lode degli sposi, intonata dal Tr</w:t>
      </w:r>
      <w:r w:rsidR="005B0343">
        <w:rPr>
          <w:rFonts w:ascii="Times New Roman" w:hAnsi="Times New Roman" w:cs="Times New Roman"/>
          <w:sz w:val="24"/>
          <w:szCs w:val="24"/>
        </w:rPr>
        <w:t>o</w:t>
      </w:r>
      <w:r>
        <w:rPr>
          <w:rFonts w:ascii="Times New Roman" w:hAnsi="Times New Roman" w:cs="Times New Roman"/>
          <w:sz w:val="24"/>
          <w:szCs w:val="24"/>
        </w:rPr>
        <w:t xml:space="preserve">mboncino, fu preposta al primo atto della commedia, finito il quale una fanciulla </w:t>
      </w:r>
      <w:r w:rsidR="0028436C">
        <w:rPr>
          <w:rFonts w:ascii="Times New Roman" w:hAnsi="Times New Roman" w:cs="Times New Roman"/>
          <w:sz w:val="24"/>
          <w:szCs w:val="24"/>
        </w:rPr>
        <w:t xml:space="preserve">abbigliata </w:t>
      </w:r>
      <w:r>
        <w:rPr>
          <w:rFonts w:ascii="Times New Roman" w:hAnsi="Times New Roman" w:cs="Times New Roman"/>
          <w:sz w:val="24"/>
          <w:szCs w:val="24"/>
        </w:rPr>
        <w:t>alla francese danzò al suono di un tamburino seguita da dieci giovani con la divisa bianca e rossa di Alfonso d’Este, i quali impugnavano degli archi con il motto «Amore non vuole». La giovane tolse ai danzatori gli archi e questi, sdegnati, uscirono dal palco per rito</w:t>
      </w:r>
      <w:r w:rsidR="005B0343">
        <w:rPr>
          <w:rFonts w:ascii="Times New Roman" w:hAnsi="Times New Roman" w:cs="Times New Roman"/>
          <w:sz w:val="24"/>
          <w:szCs w:val="24"/>
        </w:rPr>
        <w:t>r</w:t>
      </w:r>
      <w:r>
        <w:rPr>
          <w:rFonts w:ascii="Times New Roman" w:hAnsi="Times New Roman" w:cs="Times New Roman"/>
          <w:sz w:val="24"/>
          <w:szCs w:val="24"/>
        </w:rPr>
        <w:t>nare con dei dardi con cui ferirla. La comparsa di Cupido saettante salvò però la fanciulla, che uscì dalla scena. «Da poi, levati e partiti questi, immediate venne una musica di barbari mantuani, che cantò una frotola di speranza».</w:t>
      </w:r>
      <w:r>
        <w:rPr>
          <w:rStyle w:val="Rimandonotaapidipagina"/>
          <w:rFonts w:ascii="Times New Roman" w:hAnsi="Times New Roman" w:cs="Times New Roman"/>
          <w:sz w:val="24"/>
          <w:szCs w:val="24"/>
        </w:rPr>
        <w:footnoteReference w:id="932"/>
      </w:r>
      <w:r>
        <w:rPr>
          <w:rFonts w:ascii="Times New Roman" w:hAnsi="Times New Roman" w:cs="Times New Roman"/>
          <w:sz w:val="24"/>
          <w:szCs w:val="24"/>
        </w:rPr>
        <w:t xml:space="preserve">  </w:t>
      </w:r>
    </w:p>
    <w:p w14:paraId="3C913296"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A conclusione del secondo atto sei uomini selvaggi fecero rotolare sul proscenio una sfera che si aprì, mostrando al suo interno le virtù cardinali che eseguirono una canzone. Dopo il terzo atto si esibì invece nel canto alla viola lo stesso sposo insieme ad altri cinque suonatori di viola. </w:t>
      </w:r>
    </w:p>
    <w:p w14:paraId="294E7258"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Nel quinto intermezzo si assistette alla moresca di dodici ballerini vestiti alla tedesca con delle alabarde e infine, nel sesto, a un’altra moresca interpretata da dodici giovani con torce nelle mani. </w:t>
      </w:r>
    </w:p>
    <w:p w14:paraId="4185693E"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 xml:space="preserve">Il fatto che gli intermezzi della </w:t>
      </w:r>
      <w:r w:rsidRPr="00423C9E">
        <w:rPr>
          <w:rFonts w:ascii="Times New Roman" w:hAnsi="Times New Roman" w:cs="Times New Roman"/>
          <w:i/>
          <w:sz w:val="24"/>
          <w:szCs w:val="24"/>
        </w:rPr>
        <w:t>Casina</w:t>
      </w:r>
      <w:r>
        <w:rPr>
          <w:rFonts w:ascii="Times New Roman" w:hAnsi="Times New Roman" w:cs="Times New Roman"/>
          <w:sz w:val="24"/>
          <w:szCs w:val="24"/>
        </w:rPr>
        <w:t xml:space="preserve"> si apri</w:t>
      </w:r>
      <w:r w:rsidR="001C7C1E">
        <w:rPr>
          <w:rFonts w:ascii="Times New Roman" w:hAnsi="Times New Roman" w:cs="Times New Roman"/>
          <w:sz w:val="24"/>
          <w:szCs w:val="24"/>
        </w:rPr>
        <w:t>sse</w:t>
      </w:r>
      <w:r>
        <w:rPr>
          <w:rFonts w:ascii="Times New Roman" w:hAnsi="Times New Roman" w:cs="Times New Roman"/>
          <w:sz w:val="24"/>
          <w:szCs w:val="24"/>
        </w:rPr>
        <w:t>ro con la barzelletta del Tromboncino in onore dei coniugi per proseguire con la danza dei giovani vestiti alla divisa dello sposo privati dalla bella fanciulla dell’insegna «Amor non vuole» lascia intravedere un tenue intreccio narrativo in grado di collegare almeno i primi quattro momenti musicali della recita: dopo il canto del frottolista veronese dedicato all’eccellenza delle nozze Borgia-d’Este la prima moresca avrebbe mostrato il potere di Amore, vincitore degli uomini del duca</w:t>
      </w:r>
      <w:r w:rsidR="00DB62E6">
        <w:rPr>
          <w:rFonts w:ascii="Times New Roman" w:hAnsi="Times New Roman" w:cs="Times New Roman"/>
          <w:sz w:val="24"/>
          <w:szCs w:val="24"/>
        </w:rPr>
        <w:t>. Quest’ultimo,</w:t>
      </w:r>
      <w:r>
        <w:rPr>
          <w:rFonts w:ascii="Times New Roman" w:hAnsi="Times New Roman" w:cs="Times New Roman"/>
          <w:sz w:val="24"/>
          <w:szCs w:val="24"/>
        </w:rPr>
        <w:t xml:space="preserve"> consigliato dal canto delle Virtù del terzo intermezzo, si sarebbe deciso a dichiar</w:t>
      </w:r>
      <w:r w:rsidR="005B0343">
        <w:rPr>
          <w:rFonts w:ascii="Times New Roman" w:hAnsi="Times New Roman" w:cs="Times New Roman"/>
          <w:sz w:val="24"/>
          <w:szCs w:val="24"/>
        </w:rPr>
        <w:t>ar</w:t>
      </w:r>
      <w:r>
        <w:rPr>
          <w:rFonts w:ascii="Times New Roman" w:hAnsi="Times New Roman" w:cs="Times New Roman"/>
          <w:sz w:val="24"/>
          <w:szCs w:val="24"/>
        </w:rPr>
        <w:t xml:space="preserve">si vinto dal dio, intonando egli stesso le sue lodi accompagnandosi alla viola. </w:t>
      </w:r>
    </w:p>
    <w:p w14:paraId="3623501B" w14:textId="77777777" w:rsidR="00395702" w:rsidRDefault="00395702" w:rsidP="00395702">
      <w:pPr>
        <w:tabs>
          <w:tab w:val="left" w:pos="8364"/>
        </w:tabs>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L’assenza di ulteriori prove, oltre alle descrizioni citate, che convalidino questa ipotesi permette però di esprimersi con sicurezza soltanto sulla sperimentalità dell’organi</w:t>
      </w:r>
      <w:r w:rsidR="005B0343">
        <w:rPr>
          <w:rFonts w:ascii="Times New Roman" w:hAnsi="Times New Roman" w:cs="Times New Roman"/>
          <w:sz w:val="24"/>
          <w:szCs w:val="24"/>
        </w:rPr>
        <w:t>z</w:t>
      </w:r>
      <w:r>
        <w:rPr>
          <w:rFonts w:ascii="Times New Roman" w:hAnsi="Times New Roman" w:cs="Times New Roman"/>
          <w:sz w:val="24"/>
          <w:szCs w:val="24"/>
        </w:rPr>
        <w:t xml:space="preserve">zazione degli spettacoli teatrali della festa nuziale, stimolante occasione d’incontro tra musici e maestri della scena delle corti di Mantova e di Ferrara, i quali diedero mostra della finezza delle espressioni musicali e coreutiche in esse coltivate, comprendendo nelle loro esibizioni lo stesso futuro duca di Ferrara.   </w:t>
      </w:r>
    </w:p>
    <w:p w14:paraId="03C4FAD2" w14:textId="77777777" w:rsidR="00395702" w:rsidRDefault="00395702">
      <w:pPr>
        <w:spacing w:line="259" w:lineRule="auto"/>
        <w:rPr>
          <w:rFonts w:ascii="Times New Roman" w:eastAsia="Times New Roman" w:hAnsi="Times New Roman" w:cs="Times New Roman"/>
          <w:sz w:val="24"/>
          <w:szCs w:val="24"/>
          <w:lang w:eastAsia="it-IT"/>
        </w:rPr>
      </w:pPr>
    </w:p>
    <w:p w14:paraId="36D70A0E" w14:textId="77777777" w:rsidR="00D22C4C" w:rsidRPr="00096909" w:rsidRDefault="00D22C4C" w:rsidP="00D22C4C">
      <w:pPr>
        <w:pStyle w:val="PreformattatoHTML"/>
        <w:spacing w:line="360" w:lineRule="auto"/>
        <w:ind w:firstLine="397"/>
        <w:jc w:val="both"/>
        <w:rPr>
          <w:rFonts w:ascii="Times New Roman" w:hAnsi="Times New Roman" w:cs="Times New Roman"/>
          <w:sz w:val="24"/>
          <w:szCs w:val="24"/>
        </w:rPr>
      </w:pPr>
    </w:p>
    <w:p w14:paraId="72A984AA" w14:textId="77777777" w:rsidR="00D22C4C" w:rsidRPr="00096909" w:rsidRDefault="00D22C4C" w:rsidP="000A28D9">
      <w:pPr>
        <w:spacing w:after="0" w:line="360" w:lineRule="auto"/>
        <w:ind w:firstLine="397"/>
        <w:jc w:val="both"/>
        <w:rPr>
          <w:rFonts w:ascii="Times New Roman" w:hAnsi="Times New Roman" w:cs="Times New Roman"/>
          <w:sz w:val="24"/>
          <w:szCs w:val="24"/>
          <w:lang w:eastAsia="it-IT"/>
        </w:rPr>
      </w:pPr>
    </w:p>
    <w:p w14:paraId="6C5355D5" w14:textId="77777777" w:rsidR="000A28D9" w:rsidRPr="00096909" w:rsidRDefault="000A28D9" w:rsidP="00BD3461">
      <w:pPr>
        <w:spacing w:after="0" w:line="360" w:lineRule="auto"/>
        <w:ind w:firstLine="397"/>
        <w:jc w:val="both"/>
        <w:rPr>
          <w:rFonts w:ascii="Times New Roman" w:hAnsi="Times New Roman" w:cs="Times New Roman"/>
          <w:sz w:val="24"/>
          <w:szCs w:val="24"/>
        </w:rPr>
      </w:pPr>
    </w:p>
    <w:p w14:paraId="5410B1C2" w14:textId="77777777" w:rsidR="00BD3461" w:rsidRDefault="00BD3461" w:rsidP="00817DB5">
      <w:pPr>
        <w:spacing w:after="0" w:line="360" w:lineRule="auto"/>
        <w:ind w:right="-1" w:firstLine="397"/>
        <w:jc w:val="both"/>
        <w:rPr>
          <w:rFonts w:ascii="Times New Roman" w:hAnsi="Times New Roman" w:cs="Times New Roman"/>
          <w:sz w:val="24"/>
          <w:szCs w:val="24"/>
        </w:rPr>
      </w:pPr>
    </w:p>
    <w:p w14:paraId="1F80302D" w14:textId="77777777" w:rsidR="00817DB5" w:rsidRPr="00096909" w:rsidRDefault="00817DB5" w:rsidP="009E2D8D">
      <w:pPr>
        <w:spacing w:after="0" w:line="360" w:lineRule="auto"/>
        <w:ind w:firstLine="397"/>
        <w:jc w:val="both"/>
        <w:rPr>
          <w:rFonts w:ascii="Times New Roman" w:hAnsi="Times New Roman" w:cs="Times New Roman"/>
          <w:sz w:val="24"/>
          <w:szCs w:val="24"/>
        </w:rPr>
      </w:pPr>
    </w:p>
    <w:p w14:paraId="13C4F9E1" w14:textId="77777777" w:rsidR="009E2D8D" w:rsidRDefault="009E2D8D" w:rsidP="009E2D8D">
      <w:pPr>
        <w:tabs>
          <w:tab w:val="left" w:pos="567"/>
        </w:tabs>
        <w:spacing w:after="0" w:line="360" w:lineRule="auto"/>
        <w:ind w:left="-142" w:right="-1" w:firstLine="397"/>
        <w:jc w:val="both"/>
        <w:rPr>
          <w:rFonts w:ascii="Times New Roman" w:hAnsi="Times New Roman" w:cs="Times New Roman"/>
          <w:sz w:val="24"/>
          <w:szCs w:val="24"/>
        </w:rPr>
      </w:pPr>
    </w:p>
    <w:p w14:paraId="06B2E3D0" w14:textId="77777777" w:rsidR="001711E9" w:rsidRDefault="001711E9">
      <w:pPr>
        <w:spacing w:line="259" w:lineRule="auto"/>
        <w:rPr>
          <w:rFonts w:ascii="Times New Roman" w:hAnsi="Times New Roman" w:cs="Times New Roman"/>
          <w:sz w:val="24"/>
          <w:szCs w:val="24"/>
        </w:rPr>
      </w:pPr>
      <w:r>
        <w:rPr>
          <w:rFonts w:ascii="Times New Roman" w:hAnsi="Times New Roman" w:cs="Times New Roman"/>
          <w:sz w:val="24"/>
          <w:szCs w:val="24"/>
        </w:rPr>
        <w:br w:type="page"/>
      </w:r>
    </w:p>
    <w:p w14:paraId="17DA6973" w14:textId="77777777" w:rsidR="00A34A9F" w:rsidRDefault="00A34A9F">
      <w:pPr>
        <w:spacing w:line="259" w:lineRule="auto"/>
        <w:rPr>
          <w:rFonts w:ascii="Times New Roman" w:eastAsiaTheme="minorEastAsia" w:hAnsi="Times New Roman" w:cs="Times New Roman"/>
          <w:smallCaps/>
          <w:sz w:val="24"/>
          <w:szCs w:val="24"/>
        </w:rPr>
      </w:pPr>
      <w:r>
        <w:br w:type="page"/>
      </w:r>
    </w:p>
    <w:p w14:paraId="310C0DCF" w14:textId="77777777" w:rsidR="00E15276" w:rsidRDefault="001711E9" w:rsidP="004830D7">
      <w:pPr>
        <w:pStyle w:val="Titolocapitolo"/>
      </w:pPr>
      <w:r>
        <w:t>Conclusioni</w:t>
      </w:r>
    </w:p>
    <w:p w14:paraId="367A9E68" w14:textId="77777777" w:rsidR="004830D7" w:rsidRDefault="004830D7" w:rsidP="004830D7">
      <w:pPr>
        <w:pStyle w:val="Titolocapitolo"/>
      </w:pPr>
    </w:p>
    <w:p w14:paraId="191BDE51" w14:textId="77777777" w:rsidR="006169BF" w:rsidRDefault="006169BF" w:rsidP="004830D7">
      <w:pPr>
        <w:pStyle w:val="Titolocapitolo"/>
      </w:pPr>
    </w:p>
    <w:p w14:paraId="5D2C776E" w14:textId="77777777" w:rsidR="00110916" w:rsidRDefault="00B66940" w:rsidP="0052379F">
      <w:pPr>
        <w:pStyle w:val="Titolocapitolo"/>
        <w:ind w:firstLine="0"/>
        <w:jc w:val="both"/>
        <w:rPr>
          <w:smallCaps w:val="0"/>
        </w:rPr>
      </w:pPr>
      <w:r>
        <w:rPr>
          <w:smallCaps w:val="0"/>
        </w:rPr>
        <w:t xml:space="preserve">Lo studio delle vicende </w:t>
      </w:r>
      <w:r w:rsidR="0098509F">
        <w:rPr>
          <w:smallCaps w:val="0"/>
        </w:rPr>
        <w:t xml:space="preserve">editoriali </w:t>
      </w:r>
      <w:r>
        <w:rPr>
          <w:smallCaps w:val="0"/>
        </w:rPr>
        <w:t>degli incunaboli</w:t>
      </w:r>
      <w:r w:rsidR="00540D21">
        <w:rPr>
          <w:smallCaps w:val="0"/>
        </w:rPr>
        <w:t xml:space="preserve"> a</w:t>
      </w:r>
      <w:r>
        <w:rPr>
          <w:smallCaps w:val="0"/>
        </w:rPr>
        <w:t>i</w:t>
      </w:r>
      <w:r w:rsidR="00540D21">
        <w:rPr>
          <w:smallCaps w:val="0"/>
        </w:rPr>
        <w:t xml:space="preserve"> quali</w:t>
      </w:r>
      <w:r w:rsidR="004637E0">
        <w:rPr>
          <w:smallCaps w:val="0"/>
        </w:rPr>
        <w:t xml:space="preserve"> </w:t>
      </w:r>
      <w:r w:rsidR="00110916">
        <w:rPr>
          <w:smallCaps w:val="0"/>
        </w:rPr>
        <w:t>fu</w:t>
      </w:r>
      <w:r w:rsidR="00351986">
        <w:rPr>
          <w:smallCaps w:val="0"/>
        </w:rPr>
        <w:t>rono</w:t>
      </w:r>
      <w:r w:rsidR="00110916">
        <w:rPr>
          <w:smallCaps w:val="0"/>
        </w:rPr>
        <w:t xml:space="preserve"> affidat</w:t>
      </w:r>
      <w:r w:rsidR="00351986">
        <w:rPr>
          <w:smallCaps w:val="0"/>
        </w:rPr>
        <w:t>i</w:t>
      </w:r>
      <w:r w:rsidR="00110916">
        <w:rPr>
          <w:smallCaps w:val="0"/>
        </w:rPr>
        <w:t xml:space="preserve"> </w:t>
      </w:r>
      <w:r>
        <w:rPr>
          <w:smallCaps w:val="0"/>
        </w:rPr>
        <w:t xml:space="preserve">il ricordo </w:t>
      </w:r>
      <w:r w:rsidR="008147E6">
        <w:rPr>
          <w:smallCaps w:val="0"/>
        </w:rPr>
        <w:t>e l’esaltazione de</w:t>
      </w:r>
      <w:r w:rsidR="00110916">
        <w:rPr>
          <w:smallCaps w:val="0"/>
        </w:rPr>
        <w:t>lle nozze</w:t>
      </w:r>
      <w:r w:rsidR="00F43F62">
        <w:rPr>
          <w:smallCaps w:val="0"/>
        </w:rPr>
        <w:t xml:space="preserve"> </w:t>
      </w:r>
      <w:r w:rsidR="00110916">
        <w:rPr>
          <w:smallCaps w:val="0"/>
        </w:rPr>
        <w:t>de</w:t>
      </w:r>
      <w:r w:rsidR="000049F4">
        <w:rPr>
          <w:smallCaps w:val="0"/>
        </w:rPr>
        <w:t xml:space="preserve">i signori del Rinascimento </w:t>
      </w:r>
      <w:r w:rsidR="008147E6">
        <w:rPr>
          <w:smallCaps w:val="0"/>
        </w:rPr>
        <w:t xml:space="preserve">ha permesso </w:t>
      </w:r>
      <w:r w:rsidR="003508B9">
        <w:rPr>
          <w:smallCaps w:val="0"/>
        </w:rPr>
        <w:t xml:space="preserve">di comprendere meglio la complessità del processo di comunicazione </w:t>
      </w:r>
      <w:r w:rsidR="00EC1496">
        <w:rPr>
          <w:smallCaps w:val="0"/>
        </w:rPr>
        <w:t xml:space="preserve">al quale </w:t>
      </w:r>
      <w:r w:rsidR="003508B9">
        <w:rPr>
          <w:smallCaps w:val="0"/>
        </w:rPr>
        <w:t xml:space="preserve">miravano le celebrazioni dinastiche. </w:t>
      </w:r>
    </w:p>
    <w:p w14:paraId="0DEEA509" w14:textId="77777777" w:rsidR="000756B3" w:rsidRDefault="003508B9" w:rsidP="00485279">
      <w:pPr>
        <w:pStyle w:val="Titolocapitolo"/>
        <w:jc w:val="both"/>
        <w:rPr>
          <w:smallCaps w:val="0"/>
        </w:rPr>
      </w:pPr>
      <w:r>
        <w:rPr>
          <w:smallCaps w:val="0"/>
        </w:rPr>
        <w:t xml:space="preserve">Nel tempo della festa la città </w:t>
      </w:r>
      <w:r w:rsidR="00EC1496">
        <w:rPr>
          <w:smallCaps w:val="0"/>
        </w:rPr>
        <w:t xml:space="preserve">riluceva </w:t>
      </w:r>
      <w:r>
        <w:rPr>
          <w:smallCaps w:val="0"/>
        </w:rPr>
        <w:t xml:space="preserve">della magnificenza del principe, abbellendosi </w:t>
      </w:r>
      <w:r w:rsidR="00535EEC">
        <w:rPr>
          <w:smallCaps w:val="0"/>
        </w:rPr>
        <w:t>con</w:t>
      </w:r>
      <w:r>
        <w:rPr>
          <w:smallCaps w:val="0"/>
        </w:rPr>
        <w:t xml:space="preserve"> addobbi e apparati effimeri progettati dalla fantasia di poeti e artisti, risuonando delle armonie dei musici e popolandosi delle esibizioni di recitanti, buffoni e funa</w:t>
      </w:r>
      <w:r w:rsidR="004114A3">
        <w:rPr>
          <w:smallCaps w:val="0"/>
        </w:rPr>
        <w:t>m</w:t>
      </w:r>
      <w:r>
        <w:rPr>
          <w:smallCaps w:val="0"/>
        </w:rPr>
        <w:t xml:space="preserve">boli invitati per l’occasione. </w:t>
      </w:r>
      <w:r w:rsidR="00110916">
        <w:rPr>
          <w:smallCaps w:val="0"/>
        </w:rPr>
        <w:t xml:space="preserve">Il popolo di </w:t>
      </w:r>
      <w:r w:rsidR="00C8303D">
        <w:rPr>
          <w:smallCaps w:val="0"/>
        </w:rPr>
        <w:t xml:space="preserve">Pesaro, </w:t>
      </w:r>
      <w:r w:rsidR="00110916">
        <w:rPr>
          <w:smallCaps w:val="0"/>
        </w:rPr>
        <w:t xml:space="preserve">di </w:t>
      </w:r>
      <w:r w:rsidR="00C8303D">
        <w:rPr>
          <w:smallCaps w:val="0"/>
        </w:rPr>
        <w:t xml:space="preserve">Bologna e </w:t>
      </w:r>
      <w:r w:rsidR="00110916">
        <w:rPr>
          <w:smallCaps w:val="0"/>
        </w:rPr>
        <w:t xml:space="preserve">di </w:t>
      </w:r>
      <w:r w:rsidR="00C8303D">
        <w:rPr>
          <w:smallCaps w:val="0"/>
        </w:rPr>
        <w:t>Milano</w:t>
      </w:r>
      <w:r w:rsidR="00C665CF">
        <w:rPr>
          <w:smallCaps w:val="0"/>
        </w:rPr>
        <w:t>,</w:t>
      </w:r>
      <w:r w:rsidR="00C8303D">
        <w:rPr>
          <w:smallCaps w:val="0"/>
        </w:rPr>
        <w:t xml:space="preserve"> nelle prose e nelle poesie dei letterati d</w:t>
      </w:r>
      <w:r w:rsidR="00535EEC">
        <w:rPr>
          <w:smallCaps w:val="0"/>
        </w:rPr>
        <w:t>e</w:t>
      </w:r>
      <w:r w:rsidR="00C8303D">
        <w:rPr>
          <w:smallCaps w:val="0"/>
        </w:rPr>
        <w:t>gli Sforza e d</w:t>
      </w:r>
      <w:r w:rsidR="00535EEC">
        <w:rPr>
          <w:smallCaps w:val="0"/>
        </w:rPr>
        <w:t>e</w:t>
      </w:r>
      <w:r w:rsidR="00C8303D">
        <w:rPr>
          <w:smallCaps w:val="0"/>
        </w:rPr>
        <w:t>i Bentivoglio</w:t>
      </w:r>
      <w:r w:rsidR="008C5C85">
        <w:rPr>
          <w:smallCaps w:val="0"/>
        </w:rPr>
        <w:t>,</w:t>
      </w:r>
      <w:r w:rsidR="00C8303D">
        <w:rPr>
          <w:smallCaps w:val="0"/>
        </w:rPr>
        <w:t xml:space="preserve"> partecipava alla gioia degli sposalizi, manifestando la</w:t>
      </w:r>
      <w:r w:rsidR="00110916">
        <w:rPr>
          <w:smallCaps w:val="0"/>
        </w:rPr>
        <w:t xml:space="preserve"> propria</w:t>
      </w:r>
      <w:r w:rsidR="00437E3A">
        <w:rPr>
          <w:smallCaps w:val="0"/>
        </w:rPr>
        <w:t xml:space="preserve"> letizia </w:t>
      </w:r>
      <w:r w:rsidR="00110916">
        <w:rPr>
          <w:smallCaps w:val="0"/>
        </w:rPr>
        <w:t>per il fatto di essere</w:t>
      </w:r>
      <w:r w:rsidR="008647A3">
        <w:rPr>
          <w:smallCaps w:val="0"/>
        </w:rPr>
        <w:t xml:space="preserve"> prediletto d</w:t>
      </w:r>
      <w:r w:rsidR="00535EEC">
        <w:rPr>
          <w:smallCaps w:val="0"/>
        </w:rPr>
        <w:t>a</w:t>
      </w:r>
      <w:r w:rsidR="008647A3">
        <w:rPr>
          <w:smallCaps w:val="0"/>
        </w:rPr>
        <w:t xml:space="preserve"> </w:t>
      </w:r>
      <w:r w:rsidR="00535EEC">
        <w:rPr>
          <w:smallCaps w:val="0"/>
        </w:rPr>
        <w:t>governanti</w:t>
      </w:r>
      <w:r w:rsidR="00110916">
        <w:rPr>
          <w:smallCaps w:val="0"/>
        </w:rPr>
        <w:t xml:space="preserve"> potenti e</w:t>
      </w:r>
      <w:r w:rsidR="00535EEC">
        <w:rPr>
          <w:smallCaps w:val="0"/>
        </w:rPr>
        <w:t xml:space="preserve"> capaci di </w:t>
      </w:r>
      <w:r w:rsidR="008C5C85">
        <w:rPr>
          <w:smallCaps w:val="0"/>
        </w:rPr>
        <w:t xml:space="preserve">dotare </w:t>
      </w:r>
      <w:r w:rsidR="004637E0">
        <w:rPr>
          <w:smallCaps w:val="0"/>
        </w:rPr>
        <w:t xml:space="preserve">queste </w:t>
      </w:r>
      <w:r w:rsidR="008C5C85">
        <w:rPr>
          <w:smallCaps w:val="0"/>
        </w:rPr>
        <w:t xml:space="preserve">capitali di </w:t>
      </w:r>
      <w:r w:rsidR="00535EEC">
        <w:rPr>
          <w:smallCaps w:val="0"/>
        </w:rPr>
        <w:t>magnifiche opere pubbliche: strade e piazze nuovamente pavimentate, cattedrali monumentali, effic</w:t>
      </w:r>
      <w:r w:rsidR="004114A3">
        <w:rPr>
          <w:smallCaps w:val="0"/>
        </w:rPr>
        <w:t>i</w:t>
      </w:r>
      <w:r w:rsidR="00535EEC">
        <w:rPr>
          <w:smallCaps w:val="0"/>
        </w:rPr>
        <w:t xml:space="preserve">enti ospedali, rocche e fortini per la difesa dai nemici. </w:t>
      </w:r>
    </w:p>
    <w:p w14:paraId="173DF73B" w14:textId="77777777" w:rsidR="004830D7" w:rsidRDefault="00110916" w:rsidP="00B66940">
      <w:pPr>
        <w:pStyle w:val="Titolocapitolo"/>
        <w:jc w:val="both"/>
        <w:rPr>
          <w:smallCaps w:val="0"/>
        </w:rPr>
      </w:pPr>
      <w:r>
        <w:rPr>
          <w:smallCaps w:val="0"/>
        </w:rPr>
        <w:t>Viaggiando da una città all’altra dell’Italia del secolo XV, l</w:t>
      </w:r>
      <w:r w:rsidR="003379B8">
        <w:rPr>
          <w:smallCaps w:val="0"/>
        </w:rPr>
        <w:t>e pubblicazioni</w:t>
      </w:r>
      <w:r w:rsidR="00DF5B2D">
        <w:rPr>
          <w:smallCaps w:val="0"/>
        </w:rPr>
        <w:t xml:space="preserve"> </w:t>
      </w:r>
      <w:r w:rsidR="00535EEC">
        <w:rPr>
          <w:smallCaps w:val="0"/>
        </w:rPr>
        <w:t>per nozze</w:t>
      </w:r>
      <w:r w:rsidR="00437E3A">
        <w:rPr>
          <w:smallCaps w:val="0"/>
        </w:rPr>
        <w:t xml:space="preserve"> davano notizia degli effetti del buon governo del principe</w:t>
      </w:r>
      <w:r w:rsidR="00EC1496">
        <w:rPr>
          <w:smallCaps w:val="0"/>
        </w:rPr>
        <w:t>,</w:t>
      </w:r>
      <w:r w:rsidR="00437E3A">
        <w:rPr>
          <w:smallCaps w:val="0"/>
        </w:rPr>
        <w:t xml:space="preserve"> e i codici </w:t>
      </w:r>
      <w:r w:rsidR="008C5C85">
        <w:rPr>
          <w:smallCaps w:val="0"/>
        </w:rPr>
        <w:t xml:space="preserve">preziosi </w:t>
      </w:r>
      <w:r w:rsidR="003379B8">
        <w:rPr>
          <w:smallCaps w:val="0"/>
        </w:rPr>
        <w:t>da lui</w:t>
      </w:r>
      <w:r w:rsidR="00437E3A">
        <w:rPr>
          <w:smallCaps w:val="0"/>
        </w:rPr>
        <w:t xml:space="preserve"> </w:t>
      </w:r>
      <w:r w:rsidR="00413027">
        <w:rPr>
          <w:smallCaps w:val="0"/>
        </w:rPr>
        <w:t xml:space="preserve">donati </w:t>
      </w:r>
      <w:r w:rsidR="000565F2">
        <w:rPr>
          <w:smallCaps w:val="0"/>
        </w:rPr>
        <w:t>a</w:t>
      </w:r>
      <w:r w:rsidR="00437E3A">
        <w:rPr>
          <w:smallCaps w:val="0"/>
        </w:rPr>
        <w:t xml:space="preserve"> nobili alleati informavano l’aristocrazia europea del gusto aggiornato della </w:t>
      </w:r>
      <w:r w:rsidR="000756B3">
        <w:rPr>
          <w:smallCaps w:val="0"/>
        </w:rPr>
        <w:t xml:space="preserve">sua </w:t>
      </w:r>
      <w:r w:rsidR="00437E3A">
        <w:rPr>
          <w:smallCaps w:val="0"/>
        </w:rPr>
        <w:t xml:space="preserve">corte in quanto a feste e </w:t>
      </w:r>
      <w:r>
        <w:rPr>
          <w:smallCaps w:val="0"/>
        </w:rPr>
        <w:t>divertimenti</w:t>
      </w:r>
      <w:r w:rsidR="000756B3">
        <w:rPr>
          <w:smallCaps w:val="0"/>
        </w:rPr>
        <w:t xml:space="preserve">, trovando posto </w:t>
      </w:r>
      <w:r w:rsidR="003379B8">
        <w:rPr>
          <w:smallCaps w:val="0"/>
        </w:rPr>
        <w:t xml:space="preserve">infine </w:t>
      </w:r>
      <w:r w:rsidR="00657215">
        <w:rPr>
          <w:smallCaps w:val="0"/>
        </w:rPr>
        <w:t>su</w:t>
      </w:r>
      <w:r w:rsidR="000756B3">
        <w:rPr>
          <w:smallCaps w:val="0"/>
        </w:rPr>
        <w:t>gli scaffalli delle biblioteche per ricordare come un savio mecenate potesse risplendere grazie</w:t>
      </w:r>
      <w:r w:rsidR="004637E0">
        <w:rPr>
          <w:smallCaps w:val="0"/>
        </w:rPr>
        <w:t xml:space="preserve"> al fasto degli spettacoli,</w:t>
      </w:r>
      <w:r w:rsidR="000756B3">
        <w:rPr>
          <w:smallCaps w:val="0"/>
        </w:rPr>
        <w:t xml:space="preserve"> alle belle lettere di dotti umanisti e all</w:t>
      </w:r>
      <w:r w:rsidR="00657215">
        <w:rPr>
          <w:smallCaps w:val="0"/>
        </w:rPr>
        <w:t>’oro, alle porpore e a</w:t>
      </w:r>
      <w:r w:rsidR="006D10F8">
        <w:rPr>
          <w:smallCaps w:val="0"/>
        </w:rPr>
        <w:t>i</w:t>
      </w:r>
      <w:r w:rsidR="00657215">
        <w:rPr>
          <w:smallCaps w:val="0"/>
        </w:rPr>
        <w:t xml:space="preserve"> cobalt</w:t>
      </w:r>
      <w:r w:rsidR="006D10F8">
        <w:rPr>
          <w:smallCaps w:val="0"/>
        </w:rPr>
        <w:t>i</w:t>
      </w:r>
      <w:r w:rsidR="00657215">
        <w:rPr>
          <w:smallCaps w:val="0"/>
        </w:rPr>
        <w:t xml:space="preserve"> delle illustrazioni dei più raffinati miniatori. </w:t>
      </w:r>
      <w:r w:rsidR="00437E3A">
        <w:rPr>
          <w:smallCaps w:val="0"/>
        </w:rPr>
        <w:t xml:space="preserve">  </w:t>
      </w:r>
      <w:r w:rsidR="00535EEC">
        <w:rPr>
          <w:smallCaps w:val="0"/>
        </w:rPr>
        <w:t xml:space="preserve">  </w:t>
      </w:r>
    </w:p>
    <w:p w14:paraId="3F42454F" w14:textId="77777777" w:rsidR="001214AF" w:rsidRDefault="00413027" w:rsidP="00B66940">
      <w:pPr>
        <w:pStyle w:val="Titolocapitolo"/>
        <w:jc w:val="both"/>
        <w:rPr>
          <w:smallCaps w:val="0"/>
        </w:rPr>
      </w:pPr>
      <w:r>
        <w:rPr>
          <w:smallCaps w:val="0"/>
        </w:rPr>
        <w:t xml:space="preserve">Si può </w:t>
      </w:r>
      <w:r w:rsidR="003379B8">
        <w:rPr>
          <w:smallCaps w:val="0"/>
        </w:rPr>
        <w:t xml:space="preserve">pensare che le rotte dei cerretani </w:t>
      </w:r>
      <w:r w:rsidR="005D5FCE">
        <w:rPr>
          <w:smallCaps w:val="0"/>
        </w:rPr>
        <w:t xml:space="preserve">che cercarono di vendere </w:t>
      </w:r>
      <w:r w:rsidR="00451392">
        <w:rPr>
          <w:smallCaps w:val="0"/>
        </w:rPr>
        <w:t xml:space="preserve">qualcuno degli incunaboli con le descrizioni dei festeggiamenti </w:t>
      </w:r>
      <w:r w:rsidR="005D5FCE">
        <w:rPr>
          <w:smallCaps w:val="0"/>
        </w:rPr>
        <w:t xml:space="preserve">alle fiere cittadine e i percorsi con cui gli ambasciatori fecero ritorno alle corti di provenienza recando </w:t>
      </w:r>
      <w:r w:rsidR="00110916">
        <w:rPr>
          <w:smallCaps w:val="0"/>
        </w:rPr>
        <w:t xml:space="preserve">ai loro signori </w:t>
      </w:r>
      <w:r w:rsidR="00451392">
        <w:rPr>
          <w:smallCaps w:val="0"/>
        </w:rPr>
        <w:t xml:space="preserve">gli opuscoli commemorativi </w:t>
      </w:r>
      <w:r w:rsidR="005D5FCE">
        <w:rPr>
          <w:smallCaps w:val="0"/>
        </w:rPr>
        <w:t>fossero</w:t>
      </w:r>
      <w:r w:rsidR="00762324">
        <w:rPr>
          <w:smallCaps w:val="0"/>
        </w:rPr>
        <w:t>,</w:t>
      </w:r>
      <w:r w:rsidR="005D5FCE">
        <w:rPr>
          <w:smallCaps w:val="0"/>
        </w:rPr>
        <w:t xml:space="preserve"> in fondo</w:t>
      </w:r>
      <w:r w:rsidR="00762324">
        <w:rPr>
          <w:smallCaps w:val="0"/>
        </w:rPr>
        <w:t>,</w:t>
      </w:r>
      <w:r w:rsidR="005D5FCE">
        <w:rPr>
          <w:smallCaps w:val="0"/>
        </w:rPr>
        <w:t xml:space="preserve"> le stesse vie con </w:t>
      </w:r>
      <w:r w:rsidR="000565F2">
        <w:rPr>
          <w:smallCaps w:val="0"/>
        </w:rPr>
        <w:t xml:space="preserve">le quali </w:t>
      </w:r>
      <w:r w:rsidR="005D5FCE">
        <w:rPr>
          <w:smallCaps w:val="0"/>
        </w:rPr>
        <w:t xml:space="preserve">i musici di Isabella d’Este raggiunsero Ferrara per esibirsi </w:t>
      </w:r>
      <w:r w:rsidR="000565F2">
        <w:rPr>
          <w:smallCaps w:val="0"/>
        </w:rPr>
        <w:t>alla presenza di</w:t>
      </w:r>
      <w:r w:rsidR="00762324">
        <w:rPr>
          <w:smallCaps w:val="0"/>
        </w:rPr>
        <w:t xml:space="preserve"> Lucrezia Borgia, o le strade battute d</w:t>
      </w:r>
      <w:r w:rsidR="00603D4C">
        <w:rPr>
          <w:smallCaps w:val="0"/>
        </w:rPr>
        <w:t xml:space="preserve">a Lorenzo Lavagnolo per giungere a Milano quale coreografo per </w:t>
      </w:r>
      <w:r w:rsidR="000565F2">
        <w:rPr>
          <w:smallCaps w:val="0"/>
        </w:rPr>
        <w:t>il matrimonio</w:t>
      </w:r>
      <w:r w:rsidR="00603D4C">
        <w:rPr>
          <w:smallCaps w:val="0"/>
        </w:rPr>
        <w:t xml:space="preserve"> di Beatrice d’Este</w:t>
      </w:r>
      <w:r w:rsidR="00451392">
        <w:rPr>
          <w:smallCaps w:val="0"/>
        </w:rPr>
        <w:t xml:space="preserve"> o</w:t>
      </w:r>
      <w:r w:rsidR="000565F2">
        <w:rPr>
          <w:smallCaps w:val="0"/>
        </w:rPr>
        <w:t xml:space="preserve"> </w:t>
      </w:r>
      <w:r w:rsidR="00603D4C">
        <w:rPr>
          <w:smallCaps w:val="0"/>
        </w:rPr>
        <w:t>dagli apparatori fiorentini</w:t>
      </w:r>
      <w:r w:rsidR="00885EB4">
        <w:rPr>
          <w:smallCaps w:val="0"/>
        </w:rPr>
        <w:t>,</w:t>
      </w:r>
      <w:r w:rsidR="00603D4C">
        <w:rPr>
          <w:smallCaps w:val="0"/>
        </w:rPr>
        <w:t xml:space="preserve"> convocati a Roma da Pietro Riario per curare le sacre rappresentazioni</w:t>
      </w:r>
      <w:r w:rsidR="00762324">
        <w:rPr>
          <w:smallCaps w:val="0"/>
        </w:rPr>
        <w:t xml:space="preserve"> </w:t>
      </w:r>
      <w:r w:rsidR="00603D4C">
        <w:rPr>
          <w:smallCaps w:val="0"/>
        </w:rPr>
        <w:t xml:space="preserve">presentate a Eleonora d’Aragona. </w:t>
      </w:r>
    </w:p>
    <w:p w14:paraId="6C69CE59" w14:textId="77777777" w:rsidR="003379B8" w:rsidRDefault="00C77585" w:rsidP="00B66940">
      <w:pPr>
        <w:pStyle w:val="Titolocapitolo"/>
        <w:jc w:val="both"/>
        <w:rPr>
          <w:smallCaps w:val="0"/>
        </w:rPr>
      </w:pPr>
      <w:r>
        <w:rPr>
          <w:smallCaps w:val="0"/>
        </w:rPr>
        <w:t>Se così fosse si potrebbe</w:t>
      </w:r>
      <w:r w:rsidR="00351986">
        <w:rPr>
          <w:smallCaps w:val="0"/>
        </w:rPr>
        <w:t>ro</w:t>
      </w:r>
      <w:r>
        <w:rPr>
          <w:smallCaps w:val="0"/>
        </w:rPr>
        <w:t xml:space="preserve"> allora additare tre direzioni di ricerca su cui </w:t>
      </w:r>
      <w:r w:rsidR="00220216">
        <w:rPr>
          <w:smallCaps w:val="0"/>
        </w:rPr>
        <w:t xml:space="preserve">muovere </w:t>
      </w:r>
      <w:r>
        <w:rPr>
          <w:smallCaps w:val="0"/>
        </w:rPr>
        <w:t>i passi di nuove indagini sulla geografia e sulla storia del</w:t>
      </w:r>
      <w:r w:rsidR="00220216">
        <w:rPr>
          <w:smallCaps w:val="0"/>
        </w:rPr>
        <w:t xml:space="preserve"> teatro </w:t>
      </w:r>
      <w:r w:rsidR="00F43F62">
        <w:rPr>
          <w:smallCaps w:val="0"/>
        </w:rPr>
        <w:t>nell’I</w:t>
      </w:r>
      <w:r>
        <w:rPr>
          <w:smallCaps w:val="0"/>
        </w:rPr>
        <w:t>talia del Rinascimento</w:t>
      </w:r>
      <w:r w:rsidR="00220216">
        <w:rPr>
          <w:smallCaps w:val="0"/>
        </w:rPr>
        <w:t>,</w:t>
      </w:r>
      <w:r w:rsidR="00F75E18">
        <w:rPr>
          <w:smallCaps w:val="0"/>
        </w:rPr>
        <w:t xml:space="preserve"> interessate a cogli</w:t>
      </w:r>
      <w:r w:rsidR="00220216">
        <w:rPr>
          <w:smallCaps w:val="0"/>
        </w:rPr>
        <w:t xml:space="preserve">ere come </w:t>
      </w:r>
      <w:r w:rsidR="006F4DC5">
        <w:rPr>
          <w:smallCaps w:val="0"/>
        </w:rPr>
        <w:t xml:space="preserve">nel Quattrocento </w:t>
      </w:r>
      <w:r w:rsidR="00220216">
        <w:rPr>
          <w:smallCaps w:val="0"/>
        </w:rPr>
        <w:t xml:space="preserve">circolassero le notizie </w:t>
      </w:r>
      <w:r w:rsidR="006F4DC5">
        <w:rPr>
          <w:smallCaps w:val="0"/>
        </w:rPr>
        <w:t xml:space="preserve">sugli </w:t>
      </w:r>
      <w:r w:rsidR="00220216">
        <w:rPr>
          <w:smallCaps w:val="0"/>
        </w:rPr>
        <w:t>spettacol</w:t>
      </w:r>
      <w:r w:rsidR="006F4DC5">
        <w:rPr>
          <w:smallCaps w:val="0"/>
        </w:rPr>
        <w:t>i</w:t>
      </w:r>
      <w:r w:rsidR="00220216">
        <w:rPr>
          <w:smallCaps w:val="0"/>
        </w:rPr>
        <w:t xml:space="preserve"> e come si diffondessero le professionalità e le abilità necessarie a realizzarl</w:t>
      </w:r>
      <w:r w:rsidR="006F4DC5">
        <w:rPr>
          <w:smallCaps w:val="0"/>
        </w:rPr>
        <w:t>i</w:t>
      </w:r>
      <w:r>
        <w:rPr>
          <w:smallCaps w:val="0"/>
        </w:rPr>
        <w:t xml:space="preserve">.  </w:t>
      </w:r>
    </w:p>
    <w:p w14:paraId="321E26B1" w14:textId="77777777" w:rsidR="00885EB4" w:rsidRDefault="00C4283B" w:rsidP="00B66940">
      <w:pPr>
        <w:pStyle w:val="Titolocapitolo"/>
        <w:jc w:val="both"/>
        <w:rPr>
          <w:smallCaps w:val="0"/>
        </w:rPr>
      </w:pPr>
      <w:r>
        <w:rPr>
          <w:smallCaps w:val="0"/>
        </w:rPr>
        <w:t>La prima direzione, procedendo dal Nord al Sud, potrebbe indagare le affin</w:t>
      </w:r>
      <w:r w:rsidR="00B17D05">
        <w:rPr>
          <w:smallCaps w:val="0"/>
        </w:rPr>
        <w:t>i</w:t>
      </w:r>
      <w:r>
        <w:rPr>
          <w:smallCaps w:val="0"/>
        </w:rPr>
        <w:t xml:space="preserve">tà tra le tipologie celebrative degli sposalizi dei principi italiani e quelle elaborate nel Quattrocento dalle corti di Francia e </w:t>
      </w:r>
      <w:r w:rsidR="00DE6706">
        <w:rPr>
          <w:smallCaps w:val="0"/>
        </w:rPr>
        <w:t xml:space="preserve">di </w:t>
      </w:r>
      <w:r>
        <w:rPr>
          <w:smallCaps w:val="0"/>
        </w:rPr>
        <w:t>Borgogna</w:t>
      </w:r>
      <w:r w:rsidR="009A5A97">
        <w:rPr>
          <w:smallCaps w:val="0"/>
        </w:rPr>
        <w:t>, su</w:t>
      </w:r>
      <w:r w:rsidR="00B17D05">
        <w:rPr>
          <w:smallCaps w:val="0"/>
        </w:rPr>
        <w:t>l</w:t>
      </w:r>
      <w:r w:rsidR="009A5A97">
        <w:rPr>
          <w:smallCaps w:val="0"/>
        </w:rPr>
        <w:t>le quali giungevano periodicamente informazioni nel nostro Paese</w:t>
      </w:r>
      <w:r w:rsidR="007D7E1D">
        <w:rPr>
          <w:smallCaps w:val="0"/>
        </w:rPr>
        <w:t xml:space="preserve">. </w:t>
      </w:r>
    </w:p>
    <w:p w14:paraId="49BF1F9A" w14:textId="77777777" w:rsidR="00B17D05" w:rsidRDefault="004637E0" w:rsidP="00B66940">
      <w:pPr>
        <w:pStyle w:val="Titolocapitolo"/>
        <w:jc w:val="both"/>
        <w:rPr>
          <w:smallCaps w:val="0"/>
        </w:rPr>
      </w:pPr>
      <w:r>
        <w:rPr>
          <w:smallCaps w:val="0"/>
        </w:rPr>
        <w:t>I</w:t>
      </w:r>
      <w:r w:rsidR="007D7E1D">
        <w:rPr>
          <w:smallCaps w:val="0"/>
        </w:rPr>
        <w:t>l fascino d</w:t>
      </w:r>
      <w:r w:rsidR="00B46A30">
        <w:rPr>
          <w:smallCaps w:val="0"/>
        </w:rPr>
        <w:t>e</w:t>
      </w:r>
      <w:r w:rsidR="007D7E1D">
        <w:rPr>
          <w:smallCaps w:val="0"/>
        </w:rPr>
        <w:t xml:space="preserve">lla </w:t>
      </w:r>
      <w:r w:rsidR="00B46A30">
        <w:rPr>
          <w:smallCaps w:val="0"/>
        </w:rPr>
        <w:t>festa</w:t>
      </w:r>
      <w:r w:rsidR="007D7E1D">
        <w:rPr>
          <w:smallCaps w:val="0"/>
        </w:rPr>
        <w:t xml:space="preserve"> </w:t>
      </w:r>
      <w:r w:rsidR="00B46A30">
        <w:rPr>
          <w:smallCaps w:val="0"/>
        </w:rPr>
        <w:t>n</w:t>
      </w:r>
      <w:r w:rsidR="00220216">
        <w:rPr>
          <w:smallCaps w:val="0"/>
        </w:rPr>
        <w:t>u</w:t>
      </w:r>
      <w:r w:rsidR="00B46A30">
        <w:rPr>
          <w:smallCaps w:val="0"/>
        </w:rPr>
        <w:t>z</w:t>
      </w:r>
      <w:r w:rsidR="00220216">
        <w:rPr>
          <w:smallCaps w:val="0"/>
        </w:rPr>
        <w:t>iale</w:t>
      </w:r>
      <w:r w:rsidR="00B46A30">
        <w:rPr>
          <w:smallCaps w:val="0"/>
        </w:rPr>
        <w:t xml:space="preserve"> di </w:t>
      </w:r>
      <w:r w:rsidR="007D7E1D">
        <w:rPr>
          <w:smallCaps w:val="0"/>
        </w:rPr>
        <w:t>Carlo il Temerario</w:t>
      </w:r>
      <w:r w:rsidR="00B46A30">
        <w:rPr>
          <w:smallCaps w:val="0"/>
        </w:rPr>
        <w:t xml:space="preserve"> e</w:t>
      </w:r>
      <w:r w:rsidR="00DE6706">
        <w:rPr>
          <w:smallCaps w:val="0"/>
        </w:rPr>
        <w:t xml:space="preserve"> </w:t>
      </w:r>
      <w:bookmarkStart w:id="546" w:name="_Hlk536018117"/>
      <w:r w:rsidR="00B46A30">
        <w:rPr>
          <w:smallCaps w:val="0"/>
        </w:rPr>
        <w:t>Margherita di York</w:t>
      </w:r>
      <w:bookmarkEnd w:id="546"/>
      <w:r w:rsidR="009A5A97">
        <w:rPr>
          <w:smallCaps w:val="0"/>
        </w:rPr>
        <w:t>,</w:t>
      </w:r>
      <w:r w:rsidR="00B46A30">
        <w:rPr>
          <w:smallCaps w:val="0"/>
        </w:rPr>
        <w:t xml:space="preserve"> svoltasi a Bruges nel luglio del 1468</w:t>
      </w:r>
      <w:r w:rsidR="009A5A97">
        <w:rPr>
          <w:smallCaps w:val="0"/>
        </w:rPr>
        <w:t>,</w:t>
      </w:r>
      <w:r w:rsidR="00B46A30">
        <w:rPr>
          <w:smallCaps w:val="0"/>
        </w:rPr>
        <w:t xml:space="preserve"> </w:t>
      </w:r>
      <w:r>
        <w:rPr>
          <w:smallCaps w:val="0"/>
        </w:rPr>
        <w:t xml:space="preserve">per esempio, </w:t>
      </w:r>
      <w:r w:rsidR="00B46A30">
        <w:rPr>
          <w:smallCaps w:val="0"/>
        </w:rPr>
        <w:t xml:space="preserve">raggiunse </w:t>
      </w:r>
      <w:r w:rsidR="00DE6706">
        <w:rPr>
          <w:smallCaps w:val="0"/>
        </w:rPr>
        <w:t xml:space="preserve">presto </w:t>
      </w:r>
      <w:r w:rsidR="00B46A30">
        <w:rPr>
          <w:smallCaps w:val="0"/>
        </w:rPr>
        <w:t>l’Italia</w:t>
      </w:r>
      <w:r>
        <w:rPr>
          <w:smallCaps w:val="0"/>
        </w:rPr>
        <w:t>,</w:t>
      </w:r>
      <w:r w:rsidR="00B46A30">
        <w:rPr>
          <w:smallCaps w:val="0"/>
        </w:rPr>
        <w:t xml:space="preserve"> grazie a</w:t>
      </w:r>
      <w:r w:rsidR="006F4DC5">
        <w:rPr>
          <w:smallCaps w:val="0"/>
        </w:rPr>
        <w:t xml:space="preserve">i resoconti </w:t>
      </w:r>
      <w:r w:rsidR="00232DFB">
        <w:rPr>
          <w:smallCaps w:val="0"/>
        </w:rPr>
        <w:t>inviat</w:t>
      </w:r>
      <w:r w:rsidR="006F4DC5">
        <w:rPr>
          <w:smallCaps w:val="0"/>
        </w:rPr>
        <w:t>i</w:t>
      </w:r>
      <w:r w:rsidR="00232DFB">
        <w:rPr>
          <w:smallCaps w:val="0"/>
        </w:rPr>
        <w:t xml:space="preserve"> dagli ambasciatori </w:t>
      </w:r>
      <w:r w:rsidR="00605BC8">
        <w:rPr>
          <w:smallCaps w:val="0"/>
        </w:rPr>
        <w:t>presenti in rappresentanza del duca di Milano, del re di Napoli e della Repubblica di Venezia.</w:t>
      </w:r>
      <w:r w:rsidR="00DE6706">
        <w:rPr>
          <w:rStyle w:val="Rimandonotaapidipagina"/>
          <w:smallCaps w:val="0"/>
        </w:rPr>
        <w:footnoteReference w:id="933"/>
      </w:r>
      <w:r w:rsidR="00B55FC8">
        <w:rPr>
          <w:smallCaps w:val="0"/>
        </w:rPr>
        <w:t xml:space="preserve"> Agli storici </w:t>
      </w:r>
      <w:r w:rsidR="00B55FC8" w:rsidRPr="00B55FC8">
        <w:rPr>
          <w:smallCaps w:val="0"/>
        </w:rPr>
        <w:t xml:space="preserve">Olivier de la Marche e </w:t>
      </w:r>
      <w:bookmarkStart w:id="547" w:name="_Hlk536018211"/>
      <w:r w:rsidR="00B55FC8" w:rsidRPr="00B55FC8">
        <w:rPr>
          <w:smallCaps w:val="0"/>
        </w:rPr>
        <w:t>Jean de Haynin</w:t>
      </w:r>
      <w:r w:rsidR="00B55FC8">
        <w:rPr>
          <w:smallCaps w:val="0"/>
        </w:rPr>
        <w:t xml:space="preserve"> </w:t>
      </w:r>
      <w:bookmarkEnd w:id="547"/>
      <w:r w:rsidR="00B55FC8">
        <w:rPr>
          <w:smallCaps w:val="0"/>
        </w:rPr>
        <w:t xml:space="preserve">furono </w:t>
      </w:r>
      <w:r w:rsidR="00885EB4">
        <w:rPr>
          <w:smallCaps w:val="0"/>
        </w:rPr>
        <w:t xml:space="preserve">richieste </w:t>
      </w:r>
      <w:r w:rsidR="00B55FC8">
        <w:rPr>
          <w:smallCaps w:val="0"/>
        </w:rPr>
        <w:t xml:space="preserve">immediatamente descrizioni ufficiali delle cerimonie, dei banchetti, dei tornei organizzati per l’occasione, e </w:t>
      </w:r>
      <w:r>
        <w:rPr>
          <w:smallCaps w:val="0"/>
        </w:rPr>
        <w:t xml:space="preserve">i registri </w:t>
      </w:r>
      <w:r w:rsidR="00B55FC8">
        <w:rPr>
          <w:smallCaps w:val="0"/>
        </w:rPr>
        <w:t>dell</w:t>
      </w:r>
      <w:r w:rsidR="00205CD8">
        <w:rPr>
          <w:smallCaps w:val="0"/>
        </w:rPr>
        <w:t>a cancelleria ducale</w:t>
      </w:r>
      <w:r w:rsidR="001214AF">
        <w:rPr>
          <w:smallCaps w:val="0"/>
        </w:rPr>
        <w:t xml:space="preserve"> </w:t>
      </w:r>
      <w:r w:rsidR="00205CD8">
        <w:rPr>
          <w:smallCaps w:val="0"/>
        </w:rPr>
        <w:t>registrarono</w:t>
      </w:r>
      <w:r>
        <w:rPr>
          <w:smallCaps w:val="0"/>
        </w:rPr>
        <w:t>,</w:t>
      </w:r>
      <w:r w:rsidR="00205CD8">
        <w:rPr>
          <w:smallCaps w:val="0"/>
        </w:rPr>
        <w:t xml:space="preserve"> nei mesi precedenti </w:t>
      </w:r>
      <w:r w:rsidR="001F5032">
        <w:rPr>
          <w:smallCaps w:val="0"/>
        </w:rPr>
        <w:t>i</w:t>
      </w:r>
      <w:r w:rsidR="00205CD8">
        <w:rPr>
          <w:smallCaps w:val="0"/>
        </w:rPr>
        <w:t>l matrimonio</w:t>
      </w:r>
      <w:r>
        <w:rPr>
          <w:smallCaps w:val="0"/>
        </w:rPr>
        <w:t>, spese per</w:t>
      </w:r>
      <w:r w:rsidR="00205CD8">
        <w:rPr>
          <w:smallCaps w:val="0"/>
        </w:rPr>
        <w:t xml:space="preserve"> l’acquisto di considerevoli quantità di inchiostri, penne, pergamene, spago e materiali scrittori utili a </w:t>
      </w:r>
      <w:r w:rsidR="00B17D05">
        <w:rPr>
          <w:smallCaps w:val="0"/>
        </w:rPr>
        <w:t xml:space="preserve">confezionare </w:t>
      </w:r>
      <w:r w:rsidR="00205CD8">
        <w:rPr>
          <w:smallCaps w:val="0"/>
        </w:rPr>
        <w:t>copie dei resoconti</w:t>
      </w:r>
      <w:r>
        <w:rPr>
          <w:smallCaps w:val="0"/>
        </w:rPr>
        <w:t xml:space="preserve"> delle feste</w:t>
      </w:r>
      <w:r w:rsidR="00205CD8">
        <w:rPr>
          <w:smallCaps w:val="0"/>
        </w:rPr>
        <w:t xml:space="preserve"> </w:t>
      </w:r>
      <w:r w:rsidR="00B17D05">
        <w:rPr>
          <w:smallCaps w:val="0"/>
        </w:rPr>
        <w:t xml:space="preserve">per </w:t>
      </w:r>
      <w:r w:rsidR="00205CD8">
        <w:rPr>
          <w:smallCaps w:val="0"/>
        </w:rPr>
        <w:t>i potenti alleati del duca</w:t>
      </w:r>
      <w:r w:rsidR="00B51F60">
        <w:rPr>
          <w:smallCaps w:val="0"/>
        </w:rPr>
        <w:t xml:space="preserve"> – indizio di un desiderio di far circolare </w:t>
      </w:r>
      <w:r w:rsidR="00B17D05">
        <w:rPr>
          <w:smallCaps w:val="0"/>
        </w:rPr>
        <w:t>un</w:t>
      </w:r>
      <w:r>
        <w:rPr>
          <w:smallCaps w:val="0"/>
        </w:rPr>
        <w:t>a relazione</w:t>
      </w:r>
      <w:r w:rsidR="00B17D05">
        <w:rPr>
          <w:smallCaps w:val="0"/>
        </w:rPr>
        <w:t xml:space="preserve"> degli eventi che di lì a breve </w:t>
      </w:r>
      <w:r>
        <w:rPr>
          <w:smallCaps w:val="0"/>
        </w:rPr>
        <w:t xml:space="preserve">avrebbe portato </w:t>
      </w:r>
      <w:r w:rsidR="00B17D05">
        <w:rPr>
          <w:smallCaps w:val="0"/>
        </w:rPr>
        <w:t>intraprendenti cortigiani a sperimentare le possibilità comunicative offerte dalla stampa</w:t>
      </w:r>
      <w:r w:rsidR="00205CD8">
        <w:rPr>
          <w:smallCaps w:val="0"/>
        </w:rPr>
        <w:t>.</w:t>
      </w:r>
      <w:r w:rsidR="00544866">
        <w:rPr>
          <w:rStyle w:val="Rimandonotaapidipagina"/>
          <w:smallCaps w:val="0"/>
        </w:rPr>
        <w:footnoteReference w:id="934"/>
      </w:r>
      <w:r w:rsidR="00205CD8">
        <w:rPr>
          <w:smallCaps w:val="0"/>
        </w:rPr>
        <w:t xml:space="preserve"> </w:t>
      </w:r>
    </w:p>
    <w:p w14:paraId="442C45D7" w14:textId="77777777" w:rsidR="001214AF" w:rsidRDefault="009E2AAF" w:rsidP="00B66940">
      <w:pPr>
        <w:pStyle w:val="Titolocapitolo"/>
        <w:jc w:val="both"/>
        <w:rPr>
          <w:smallCaps w:val="0"/>
        </w:rPr>
      </w:pPr>
      <w:r>
        <w:rPr>
          <w:smallCaps w:val="0"/>
        </w:rPr>
        <w:t xml:space="preserve">I testi </w:t>
      </w:r>
      <w:r w:rsidR="00B51F60">
        <w:rPr>
          <w:smallCaps w:val="0"/>
        </w:rPr>
        <w:t xml:space="preserve">dei due letterati </w:t>
      </w:r>
      <w:r w:rsidR="00B17D05">
        <w:rPr>
          <w:smallCaps w:val="0"/>
        </w:rPr>
        <w:t xml:space="preserve">borgognoni </w:t>
      </w:r>
      <w:r>
        <w:rPr>
          <w:smallCaps w:val="0"/>
        </w:rPr>
        <w:t>riferiscono di come i</w:t>
      </w:r>
      <w:r w:rsidRPr="009E2AAF">
        <w:rPr>
          <w:smallCaps w:val="0"/>
        </w:rPr>
        <w:t>l chiostro</w:t>
      </w:r>
      <w:r>
        <w:rPr>
          <w:smallCaps w:val="0"/>
        </w:rPr>
        <w:t xml:space="preserve"> del locale convento</w:t>
      </w:r>
      <w:r w:rsidRPr="009E2AAF">
        <w:rPr>
          <w:smallCaps w:val="0"/>
        </w:rPr>
        <w:t xml:space="preserve"> delle carmelitane f</w:t>
      </w:r>
      <w:r>
        <w:rPr>
          <w:smallCaps w:val="0"/>
        </w:rPr>
        <w:t>osse stato</w:t>
      </w:r>
      <w:r w:rsidRPr="009E2AAF">
        <w:rPr>
          <w:smallCaps w:val="0"/>
        </w:rPr>
        <w:t xml:space="preserve"> mutato in alloggio per gli ospiti</w:t>
      </w:r>
      <w:r>
        <w:rPr>
          <w:smallCaps w:val="0"/>
        </w:rPr>
        <w:t>,</w:t>
      </w:r>
      <w:r w:rsidRPr="009E2AAF">
        <w:rPr>
          <w:smallCaps w:val="0"/>
        </w:rPr>
        <w:t xml:space="preserve"> con una cucina e delle camere provvisorie</w:t>
      </w:r>
      <w:r>
        <w:rPr>
          <w:smallCaps w:val="0"/>
        </w:rPr>
        <w:t>, e di come l</w:t>
      </w:r>
      <w:r w:rsidRPr="009E2AAF">
        <w:rPr>
          <w:smallCaps w:val="0"/>
        </w:rPr>
        <w:t>’interno della chiesa di Notre Dame</w:t>
      </w:r>
      <w:r>
        <w:rPr>
          <w:smallCaps w:val="0"/>
        </w:rPr>
        <w:t>, scelta per la messa sponsale, fosse stato</w:t>
      </w:r>
      <w:r w:rsidRPr="009E2AAF">
        <w:rPr>
          <w:smallCaps w:val="0"/>
        </w:rPr>
        <w:t xml:space="preserve"> restaurato e </w:t>
      </w:r>
      <w:r>
        <w:rPr>
          <w:smallCaps w:val="0"/>
        </w:rPr>
        <w:t>munito di</w:t>
      </w:r>
      <w:r w:rsidRPr="009E2AAF">
        <w:rPr>
          <w:smallCaps w:val="0"/>
        </w:rPr>
        <w:t xml:space="preserve"> </w:t>
      </w:r>
      <w:r>
        <w:rPr>
          <w:smallCaps w:val="0"/>
        </w:rPr>
        <w:t>palchi</w:t>
      </w:r>
      <w:r w:rsidRPr="009E2AAF">
        <w:rPr>
          <w:smallCaps w:val="0"/>
        </w:rPr>
        <w:t xml:space="preserve"> in legno </w:t>
      </w:r>
      <w:r>
        <w:rPr>
          <w:smallCaps w:val="0"/>
        </w:rPr>
        <w:t xml:space="preserve">per </w:t>
      </w:r>
      <w:r w:rsidR="007D21EA">
        <w:rPr>
          <w:smallCaps w:val="0"/>
        </w:rPr>
        <w:t xml:space="preserve">permettere agli invitati di </w:t>
      </w:r>
      <w:r>
        <w:rPr>
          <w:smallCaps w:val="0"/>
        </w:rPr>
        <w:t xml:space="preserve">assistere al rito </w:t>
      </w:r>
      <w:r w:rsidRPr="009E2AAF">
        <w:rPr>
          <w:smallCaps w:val="0"/>
        </w:rPr>
        <w:t xml:space="preserve">e </w:t>
      </w:r>
      <w:r>
        <w:rPr>
          <w:smallCaps w:val="0"/>
        </w:rPr>
        <w:t>di</w:t>
      </w:r>
      <w:r w:rsidRPr="009E2AAF">
        <w:rPr>
          <w:smallCaps w:val="0"/>
        </w:rPr>
        <w:t xml:space="preserve"> </w:t>
      </w:r>
      <w:r>
        <w:rPr>
          <w:smallCaps w:val="0"/>
        </w:rPr>
        <w:t xml:space="preserve">un </w:t>
      </w:r>
      <w:r w:rsidRPr="009E2AAF">
        <w:rPr>
          <w:smallCaps w:val="0"/>
        </w:rPr>
        <w:t>apparato pe</w:t>
      </w:r>
      <w:r w:rsidR="007D21EA">
        <w:rPr>
          <w:smallCaps w:val="0"/>
        </w:rPr>
        <w:t>r</w:t>
      </w:r>
      <w:r w:rsidRPr="009E2AAF">
        <w:rPr>
          <w:smallCaps w:val="0"/>
        </w:rPr>
        <w:t xml:space="preserve"> l’ostensione di reliqui</w:t>
      </w:r>
      <w:r w:rsidR="000D2B7F">
        <w:rPr>
          <w:smallCaps w:val="0"/>
        </w:rPr>
        <w:t>ari</w:t>
      </w:r>
      <w:r w:rsidRPr="009E2AAF">
        <w:rPr>
          <w:smallCaps w:val="0"/>
        </w:rPr>
        <w:t xml:space="preserve"> e candelieri</w:t>
      </w:r>
      <w:r w:rsidR="000D2B7F">
        <w:rPr>
          <w:smallCaps w:val="0"/>
        </w:rPr>
        <w:t xml:space="preserve"> d’oro e d’argento. </w:t>
      </w:r>
      <w:r w:rsidR="007B1FED">
        <w:rPr>
          <w:smallCaps w:val="0"/>
        </w:rPr>
        <w:t>A queste attenzioni ornamentali</w:t>
      </w:r>
      <w:r w:rsidR="001214AF">
        <w:rPr>
          <w:smallCaps w:val="0"/>
        </w:rPr>
        <w:t>,</w:t>
      </w:r>
      <w:r w:rsidR="007B1FED">
        <w:rPr>
          <w:smallCaps w:val="0"/>
        </w:rPr>
        <w:t xml:space="preserve"> che richiamano quelle analizzate in riferimento alle feste italiane, si deve aggiungere il fatto che a Bruges,</w:t>
      </w:r>
      <w:r w:rsidR="000D2B7F">
        <w:rPr>
          <w:smallCaps w:val="0"/>
        </w:rPr>
        <w:t xml:space="preserve"> in quelle giornate di festa</w:t>
      </w:r>
      <w:r w:rsidR="007B1FED">
        <w:rPr>
          <w:smallCaps w:val="0"/>
        </w:rPr>
        <w:t xml:space="preserve">, </w:t>
      </w:r>
      <w:r w:rsidR="000D2B7F">
        <w:rPr>
          <w:smallCaps w:val="0"/>
        </w:rPr>
        <w:t xml:space="preserve">furono </w:t>
      </w:r>
      <w:r w:rsidR="00885EB4">
        <w:rPr>
          <w:smallCaps w:val="0"/>
        </w:rPr>
        <w:t>imb</w:t>
      </w:r>
      <w:r w:rsidR="005B74DC">
        <w:rPr>
          <w:smallCaps w:val="0"/>
        </w:rPr>
        <w:t>a</w:t>
      </w:r>
      <w:r w:rsidR="00885EB4">
        <w:rPr>
          <w:smallCaps w:val="0"/>
        </w:rPr>
        <w:t xml:space="preserve">nditi </w:t>
      </w:r>
      <w:r w:rsidR="007B1FED">
        <w:rPr>
          <w:smallCaps w:val="0"/>
        </w:rPr>
        <w:t>tre banchetti a</w:t>
      </w:r>
      <w:r w:rsidR="005B74DC">
        <w:rPr>
          <w:smallCaps w:val="0"/>
        </w:rPr>
        <w:t>l</w:t>
      </w:r>
      <w:r w:rsidR="007B1FED">
        <w:rPr>
          <w:smallCaps w:val="0"/>
        </w:rPr>
        <w:t xml:space="preserve">lietati da </w:t>
      </w:r>
      <w:r w:rsidR="007B1FED" w:rsidRPr="006369CB">
        <w:rPr>
          <w:i/>
          <w:smallCaps w:val="0"/>
        </w:rPr>
        <w:t>entremets</w:t>
      </w:r>
      <w:r w:rsidR="007B1FED">
        <w:rPr>
          <w:smallCaps w:val="0"/>
        </w:rPr>
        <w:t xml:space="preserve"> sul tema delle fatiche di Ercole, soggetto mitologico che, come visto</w:t>
      </w:r>
      <w:r w:rsidR="00EE0CEB">
        <w:rPr>
          <w:smallCaps w:val="0"/>
        </w:rPr>
        <w:t xml:space="preserve"> precedentemente</w:t>
      </w:r>
      <w:r w:rsidR="007B1FED">
        <w:rPr>
          <w:smallCaps w:val="0"/>
        </w:rPr>
        <w:t xml:space="preserve">, gli apparatori </w:t>
      </w:r>
      <w:r w:rsidR="006F4DC5">
        <w:rPr>
          <w:smallCaps w:val="0"/>
        </w:rPr>
        <w:t xml:space="preserve">italiani </w:t>
      </w:r>
      <w:r w:rsidR="007B1FED">
        <w:rPr>
          <w:smallCaps w:val="0"/>
        </w:rPr>
        <w:t>dei recevimenti seppero bene adattare alle esigenze comunicative dei principi.</w:t>
      </w:r>
      <w:r w:rsidR="00F40C33">
        <w:rPr>
          <w:smallCaps w:val="0"/>
        </w:rPr>
        <w:t xml:space="preserve"> </w:t>
      </w:r>
    </w:p>
    <w:p w14:paraId="71801C59" w14:textId="77777777" w:rsidR="00E3044B" w:rsidRDefault="00F40C33" w:rsidP="00B66940">
      <w:pPr>
        <w:pStyle w:val="Titolocapitolo"/>
        <w:jc w:val="both"/>
        <w:rPr>
          <w:smallCaps w:val="0"/>
        </w:rPr>
      </w:pPr>
      <w:r>
        <w:rPr>
          <w:smallCaps w:val="0"/>
        </w:rPr>
        <w:t>Una ricerca che consideri come l</w:t>
      </w:r>
      <w:r w:rsidR="006F4DC5">
        <w:rPr>
          <w:smallCaps w:val="0"/>
        </w:rPr>
        <w:t xml:space="preserve">e </w:t>
      </w:r>
      <w:r>
        <w:rPr>
          <w:smallCaps w:val="0"/>
        </w:rPr>
        <w:t xml:space="preserve">informazioni </w:t>
      </w:r>
      <w:r w:rsidR="00885EB4">
        <w:rPr>
          <w:smallCaps w:val="0"/>
        </w:rPr>
        <w:t xml:space="preserve">sugli intrattenimenti </w:t>
      </w:r>
      <w:r>
        <w:rPr>
          <w:smallCaps w:val="0"/>
        </w:rPr>
        <w:t>cortigian</w:t>
      </w:r>
      <w:r w:rsidR="00885EB4">
        <w:rPr>
          <w:smallCaps w:val="0"/>
        </w:rPr>
        <w:t>i</w:t>
      </w:r>
      <w:r>
        <w:rPr>
          <w:smallCaps w:val="0"/>
        </w:rPr>
        <w:t xml:space="preserve"> promoss</w:t>
      </w:r>
      <w:r w:rsidR="00885EB4">
        <w:rPr>
          <w:smallCaps w:val="0"/>
        </w:rPr>
        <w:t>i</w:t>
      </w:r>
      <w:r>
        <w:rPr>
          <w:smallCaps w:val="0"/>
        </w:rPr>
        <w:t xml:space="preserve"> da Carlo il Temerario potesse</w:t>
      </w:r>
      <w:r w:rsidR="005C40EA">
        <w:rPr>
          <w:smallCaps w:val="0"/>
        </w:rPr>
        <w:t>ro</w:t>
      </w:r>
      <w:r>
        <w:rPr>
          <w:smallCaps w:val="0"/>
        </w:rPr>
        <w:t xml:space="preserve"> avere influenzato la progettazione delle celebrazioni dinastiche italiane aiuterà a definire</w:t>
      </w:r>
      <w:r w:rsidR="00220216">
        <w:rPr>
          <w:smallCaps w:val="0"/>
        </w:rPr>
        <w:t xml:space="preserve"> con maggior precisione</w:t>
      </w:r>
      <w:r>
        <w:rPr>
          <w:smallCaps w:val="0"/>
        </w:rPr>
        <w:t xml:space="preserve"> i debiti </w:t>
      </w:r>
      <w:r w:rsidR="00DA3A41">
        <w:rPr>
          <w:smallCaps w:val="0"/>
        </w:rPr>
        <w:t xml:space="preserve">contratti </w:t>
      </w:r>
      <w:r>
        <w:rPr>
          <w:smallCaps w:val="0"/>
        </w:rPr>
        <w:t>d</w:t>
      </w:r>
      <w:r w:rsidR="00DA3A41">
        <w:rPr>
          <w:smallCaps w:val="0"/>
        </w:rPr>
        <w:t>a</w:t>
      </w:r>
      <w:r>
        <w:rPr>
          <w:smallCaps w:val="0"/>
        </w:rPr>
        <w:t>lla cultura</w:t>
      </w:r>
      <w:r w:rsidR="00220216">
        <w:rPr>
          <w:smallCaps w:val="0"/>
        </w:rPr>
        <w:t xml:space="preserve"> dell’Italia</w:t>
      </w:r>
      <w:r>
        <w:rPr>
          <w:smallCaps w:val="0"/>
        </w:rPr>
        <w:t xml:space="preserve"> rinascimentale con </w:t>
      </w:r>
      <w:r w:rsidR="001214AF">
        <w:rPr>
          <w:smallCaps w:val="0"/>
        </w:rPr>
        <w:t>quella</w:t>
      </w:r>
      <w:r>
        <w:rPr>
          <w:smallCaps w:val="0"/>
        </w:rPr>
        <w:t xml:space="preserve"> borgognona, già in parte indagati nel campo delle arti figurative</w:t>
      </w:r>
      <w:r w:rsidR="00F70D7A">
        <w:rPr>
          <w:smallCaps w:val="0"/>
        </w:rPr>
        <w:t xml:space="preserve"> e della musica, ma ancora inesplorati per quanto </w:t>
      </w:r>
      <w:r w:rsidR="006F4DC5">
        <w:rPr>
          <w:smallCaps w:val="0"/>
        </w:rPr>
        <w:t xml:space="preserve">riguarda </w:t>
      </w:r>
      <w:r w:rsidR="00F70D7A">
        <w:rPr>
          <w:smallCaps w:val="0"/>
        </w:rPr>
        <w:t xml:space="preserve">l’ambito dello spettacolo. </w:t>
      </w:r>
    </w:p>
    <w:p w14:paraId="5ACC7AF7" w14:textId="77777777" w:rsidR="00B65217" w:rsidRDefault="003D1A66" w:rsidP="003A7435">
      <w:pPr>
        <w:spacing w:after="0" w:line="360" w:lineRule="auto"/>
        <w:ind w:firstLine="397"/>
        <w:jc w:val="both"/>
        <w:rPr>
          <w:smallCaps/>
        </w:rPr>
      </w:pPr>
      <w:r>
        <w:rPr>
          <w:rFonts w:ascii="Times New Roman" w:hAnsi="Times New Roman" w:cs="Times New Roman"/>
          <w:sz w:val="24"/>
        </w:rPr>
        <w:t xml:space="preserve">Un analogo discorso potrebbe essere impostato considerando le relazioni coeve </w:t>
      </w:r>
      <w:r w:rsidR="006F4DC5">
        <w:rPr>
          <w:rFonts w:ascii="Times New Roman" w:hAnsi="Times New Roman" w:cs="Times New Roman"/>
          <w:sz w:val="24"/>
        </w:rPr>
        <w:t xml:space="preserve">dei principi italiani </w:t>
      </w:r>
      <w:r>
        <w:rPr>
          <w:rFonts w:ascii="Times New Roman" w:hAnsi="Times New Roman" w:cs="Times New Roman"/>
          <w:sz w:val="24"/>
        </w:rPr>
        <w:t>con la corte di Francia. S</w:t>
      </w:r>
      <w:r w:rsidR="0030177B" w:rsidRPr="00B65217">
        <w:rPr>
          <w:rFonts w:ascii="Times New Roman" w:hAnsi="Times New Roman" w:cs="Times New Roman"/>
          <w:sz w:val="24"/>
        </w:rPr>
        <w:t>i è detto</w:t>
      </w:r>
      <w:r w:rsidR="004637E0" w:rsidRPr="00B65217">
        <w:rPr>
          <w:rFonts w:ascii="Times New Roman" w:hAnsi="Times New Roman" w:cs="Times New Roman"/>
          <w:sz w:val="24"/>
        </w:rPr>
        <w:t xml:space="preserve"> </w:t>
      </w:r>
      <w:r w:rsidR="00885EB4">
        <w:rPr>
          <w:rFonts w:ascii="Times New Roman" w:hAnsi="Times New Roman" w:cs="Times New Roman"/>
          <w:sz w:val="24"/>
        </w:rPr>
        <w:t xml:space="preserve">di come le recite </w:t>
      </w:r>
      <w:r w:rsidR="0030177B" w:rsidRPr="00B65217">
        <w:rPr>
          <w:rFonts w:ascii="Times New Roman" w:hAnsi="Times New Roman" w:cs="Times New Roman"/>
          <w:sz w:val="24"/>
        </w:rPr>
        <w:t>de</w:t>
      </w:r>
      <w:r w:rsidR="00885EB4">
        <w:rPr>
          <w:rFonts w:ascii="Times New Roman" w:hAnsi="Times New Roman" w:cs="Times New Roman"/>
          <w:sz w:val="24"/>
        </w:rPr>
        <w:t>i</w:t>
      </w:r>
      <w:r w:rsidR="0030177B" w:rsidRPr="00B65217">
        <w:rPr>
          <w:rFonts w:ascii="Times New Roman" w:hAnsi="Times New Roman" w:cs="Times New Roman"/>
          <w:sz w:val="24"/>
        </w:rPr>
        <w:t xml:space="preserve"> </w:t>
      </w:r>
      <w:r w:rsidR="00FD2279">
        <w:rPr>
          <w:rFonts w:ascii="Times New Roman" w:hAnsi="Times New Roman" w:cs="Times New Roman"/>
          <w:i/>
          <w:sz w:val="24"/>
        </w:rPr>
        <w:t>m</w:t>
      </w:r>
      <w:r w:rsidR="0030177B" w:rsidRPr="00B65217">
        <w:rPr>
          <w:rFonts w:ascii="Times New Roman" w:hAnsi="Times New Roman" w:cs="Times New Roman"/>
          <w:i/>
          <w:sz w:val="24"/>
        </w:rPr>
        <w:t>ystères</w:t>
      </w:r>
      <w:r w:rsidR="001B2C72" w:rsidRPr="00B65217">
        <w:rPr>
          <w:rFonts w:ascii="Times New Roman" w:hAnsi="Times New Roman" w:cs="Times New Roman"/>
          <w:sz w:val="24"/>
        </w:rPr>
        <w:t xml:space="preserve"> </w:t>
      </w:r>
      <w:r w:rsidR="0030177B" w:rsidRPr="00B65217">
        <w:rPr>
          <w:rFonts w:ascii="Times New Roman" w:hAnsi="Times New Roman" w:cs="Times New Roman"/>
          <w:sz w:val="24"/>
        </w:rPr>
        <w:t>frances</w:t>
      </w:r>
      <w:r w:rsidR="00885EB4">
        <w:rPr>
          <w:rFonts w:ascii="Times New Roman" w:hAnsi="Times New Roman" w:cs="Times New Roman"/>
          <w:sz w:val="24"/>
        </w:rPr>
        <w:t>i</w:t>
      </w:r>
      <w:r w:rsidR="0030177B" w:rsidRPr="00B65217">
        <w:rPr>
          <w:rFonts w:ascii="Times New Roman" w:hAnsi="Times New Roman" w:cs="Times New Roman"/>
          <w:sz w:val="24"/>
        </w:rPr>
        <w:t xml:space="preserve"> e</w:t>
      </w:r>
      <w:r w:rsidR="00B65217">
        <w:rPr>
          <w:rFonts w:ascii="Times New Roman" w:hAnsi="Times New Roman" w:cs="Times New Roman"/>
          <w:sz w:val="24"/>
        </w:rPr>
        <w:t xml:space="preserve"> la conoscenza</w:t>
      </w:r>
      <w:r w:rsidR="0030177B" w:rsidRPr="00B65217">
        <w:rPr>
          <w:rFonts w:ascii="Times New Roman" w:hAnsi="Times New Roman" w:cs="Times New Roman"/>
          <w:sz w:val="24"/>
        </w:rPr>
        <w:t xml:space="preserve"> delle </w:t>
      </w:r>
      <w:r w:rsidR="001B2C72" w:rsidRPr="00B65217">
        <w:rPr>
          <w:rFonts w:ascii="Times New Roman" w:hAnsi="Times New Roman" w:cs="Times New Roman"/>
          <w:sz w:val="24"/>
        </w:rPr>
        <w:t xml:space="preserve">tecniche costruttive degli ingegni delle </w:t>
      </w:r>
      <w:r w:rsidR="00885EB4">
        <w:rPr>
          <w:rFonts w:ascii="Times New Roman" w:hAnsi="Times New Roman" w:cs="Times New Roman"/>
          <w:sz w:val="24"/>
        </w:rPr>
        <w:t>loro</w:t>
      </w:r>
      <w:r w:rsidR="0030177B" w:rsidRPr="00B65217">
        <w:rPr>
          <w:rFonts w:ascii="Times New Roman" w:hAnsi="Times New Roman" w:cs="Times New Roman"/>
          <w:sz w:val="24"/>
        </w:rPr>
        <w:t xml:space="preserve"> </w:t>
      </w:r>
      <w:r w:rsidR="001B2C72" w:rsidRPr="00B65217">
        <w:rPr>
          <w:rFonts w:ascii="Times New Roman" w:hAnsi="Times New Roman" w:cs="Times New Roman"/>
          <w:i/>
          <w:sz w:val="24"/>
        </w:rPr>
        <w:t>bo</w:t>
      </w:r>
      <w:r w:rsidR="00EA7BA3" w:rsidRPr="00B65217">
        <w:rPr>
          <w:rFonts w:ascii="Times New Roman" w:hAnsi="Times New Roman" w:cs="Times New Roman"/>
          <w:i/>
          <w:sz w:val="24"/>
        </w:rPr>
        <w:t>uches d’Enfer</w:t>
      </w:r>
      <w:r w:rsidR="00EA7BA3" w:rsidRPr="00B65217">
        <w:rPr>
          <w:rFonts w:ascii="Times New Roman" w:hAnsi="Times New Roman" w:cs="Times New Roman"/>
          <w:sz w:val="24"/>
        </w:rPr>
        <w:t xml:space="preserve"> </w:t>
      </w:r>
      <w:r w:rsidR="001B2C72" w:rsidRPr="00B65217">
        <w:rPr>
          <w:rFonts w:ascii="Times New Roman" w:hAnsi="Times New Roman" w:cs="Times New Roman"/>
          <w:sz w:val="24"/>
        </w:rPr>
        <w:t>avesse</w:t>
      </w:r>
      <w:r w:rsidR="00114193">
        <w:rPr>
          <w:rFonts w:ascii="Times New Roman" w:hAnsi="Times New Roman" w:cs="Times New Roman"/>
          <w:sz w:val="24"/>
        </w:rPr>
        <w:t>ro</w:t>
      </w:r>
      <w:r w:rsidR="0030177B" w:rsidRPr="00B65217">
        <w:rPr>
          <w:rFonts w:ascii="Times New Roman" w:hAnsi="Times New Roman" w:cs="Times New Roman"/>
          <w:sz w:val="24"/>
        </w:rPr>
        <w:t xml:space="preserve"> probabilmente</w:t>
      </w:r>
      <w:r w:rsidR="001B2C72" w:rsidRPr="00B65217">
        <w:rPr>
          <w:rFonts w:ascii="Times New Roman" w:hAnsi="Times New Roman" w:cs="Times New Roman"/>
          <w:sz w:val="24"/>
        </w:rPr>
        <w:t xml:space="preserve"> ispirato</w:t>
      </w:r>
      <w:r w:rsidR="0030177B" w:rsidRPr="00B65217">
        <w:rPr>
          <w:rFonts w:ascii="Times New Roman" w:hAnsi="Times New Roman" w:cs="Times New Roman"/>
          <w:sz w:val="24"/>
        </w:rPr>
        <w:t xml:space="preserve"> le </w:t>
      </w:r>
      <w:r w:rsidR="000B4A5D">
        <w:rPr>
          <w:rFonts w:ascii="Times New Roman" w:hAnsi="Times New Roman" w:cs="Times New Roman"/>
          <w:sz w:val="24"/>
        </w:rPr>
        <w:t xml:space="preserve">soluzioni sceniche delle </w:t>
      </w:r>
      <w:r w:rsidR="0030177B" w:rsidRPr="00B65217">
        <w:rPr>
          <w:rFonts w:ascii="Times New Roman" w:hAnsi="Times New Roman" w:cs="Times New Roman"/>
          <w:i/>
          <w:sz w:val="24"/>
        </w:rPr>
        <w:t>Passioni</w:t>
      </w:r>
      <w:r w:rsidR="0030177B" w:rsidRPr="00B65217">
        <w:rPr>
          <w:rFonts w:ascii="Times New Roman" w:hAnsi="Times New Roman" w:cs="Times New Roman"/>
          <w:sz w:val="24"/>
        </w:rPr>
        <w:t xml:space="preserve"> ferraresi del 1481 e del 1489 volute da Ercole I d’Este, e </w:t>
      </w:r>
      <w:r w:rsidR="000B4A5D">
        <w:rPr>
          <w:rFonts w:ascii="Times New Roman" w:hAnsi="Times New Roman" w:cs="Times New Roman"/>
          <w:sz w:val="24"/>
        </w:rPr>
        <w:t xml:space="preserve">forse anche </w:t>
      </w:r>
      <w:r w:rsidR="0030177B" w:rsidRPr="00B65217">
        <w:rPr>
          <w:rFonts w:ascii="Times New Roman" w:hAnsi="Times New Roman" w:cs="Times New Roman"/>
          <w:sz w:val="24"/>
        </w:rPr>
        <w:t>le fauci d</w:t>
      </w:r>
      <w:r w:rsidR="000B4A5D">
        <w:rPr>
          <w:rFonts w:ascii="Times New Roman" w:hAnsi="Times New Roman" w:cs="Times New Roman"/>
          <w:sz w:val="24"/>
        </w:rPr>
        <w:t>el</w:t>
      </w:r>
      <w:r w:rsidR="0030177B" w:rsidRPr="00B65217">
        <w:rPr>
          <w:rFonts w:ascii="Times New Roman" w:hAnsi="Times New Roman" w:cs="Times New Roman"/>
          <w:sz w:val="24"/>
        </w:rPr>
        <w:t xml:space="preserve"> mostro infernale </w:t>
      </w:r>
      <w:r w:rsidR="000B4A5D">
        <w:rPr>
          <w:rFonts w:ascii="Times New Roman" w:hAnsi="Times New Roman" w:cs="Times New Roman"/>
          <w:sz w:val="24"/>
        </w:rPr>
        <w:t xml:space="preserve">che </w:t>
      </w:r>
      <w:r w:rsidR="0030177B" w:rsidRPr="00B65217">
        <w:rPr>
          <w:rFonts w:ascii="Times New Roman" w:hAnsi="Times New Roman" w:cs="Times New Roman"/>
          <w:sz w:val="24"/>
        </w:rPr>
        <w:t>si spalancaro</w:t>
      </w:r>
      <w:r w:rsidR="00DA3A41">
        <w:rPr>
          <w:rFonts w:ascii="Times New Roman" w:hAnsi="Times New Roman" w:cs="Times New Roman"/>
          <w:sz w:val="24"/>
        </w:rPr>
        <w:t>no</w:t>
      </w:r>
      <w:r w:rsidR="0030177B" w:rsidRPr="00B65217">
        <w:rPr>
          <w:rFonts w:ascii="Times New Roman" w:hAnsi="Times New Roman" w:cs="Times New Roman"/>
          <w:sz w:val="24"/>
        </w:rPr>
        <w:t xml:space="preserve"> per inghiottire Erodiade nella </w:t>
      </w:r>
      <w:r w:rsidR="00B65217" w:rsidRPr="00B65217">
        <w:rPr>
          <w:rFonts w:ascii="Times New Roman" w:hAnsi="Times New Roman" w:cs="Times New Roman"/>
          <w:sz w:val="24"/>
        </w:rPr>
        <w:t xml:space="preserve">sacra </w:t>
      </w:r>
      <w:r w:rsidR="0030177B" w:rsidRPr="00B65217">
        <w:rPr>
          <w:rFonts w:ascii="Times New Roman" w:hAnsi="Times New Roman" w:cs="Times New Roman"/>
          <w:sz w:val="24"/>
        </w:rPr>
        <w:t>rappresentazione organizzata a Casteldurante per lo sposalizio di Elisabetta Gonzaga</w:t>
      </w:r>
      <w:r w:rsidR="0030177B" w:rsidRPr="00B65217">
        <w:t>.</w:t>
      </w:r>
      <w:r w:rsidR="0030177B">
        <w:rPr>
          <w:smallCaps/>
        </w:rPr>
        <w:t xml:space="preserve"> </w:t>
      </w:r>
    </w:p>
    <w:p w14:paraId="719640A7" w14:textId="77777777" w:rsidR="00335C2C" w:rsidRDefault="00B65217" w:rsidP="003A7435">
      <w:pPr>
        <w:spacing w:after="0" w:line="360" w:lineRule="auto"/>
        <w:ind w:firstLine="397"/>
        <w:jc w:val="both"/>
        <w:rPr>
          <w:rFonts w:ascii="Times New Roman" w:hAnsi="Times New Roman" w:cs="Times New Roman"/>
          <w:sz w:val="24"/>
          <w:szCs w:val="24"/>
        </w:rPr>
      </w:pPr>
      <w:r w:rsidRPr="002470A5">
        <w:rPr>
          <w:rFonts w:ascii="Times New Roman" w:hAnsi="Times New Roman" w:cs="Times New Roman"/>
          <w:sz w:val="24"/>
          <w:szCs w:val="24"/>
        </w:rPr>
        <w:t xml:space="preserve">La </w:t>
      </w:r>
      <w:r>
        <w:rPr>
          <w:rFonts w:ascii="Times New Roman" w:hAnsi="Times New Roman" w:cs="Times New Roman"/>
          <w:sz w:val="24"/>
          <w:szCs w:val="24"/>
        </w:rPr>
        <w:t xml:space="preserve">presenza </w:t>
      </w:r>
      <w:r w:rsidRPr="002470A5">
        <w:rPr>
          <w:rFonts w:ascii="Times New Roman" w:hAnsi="Times New Roman" w:cs="Times New Roman"/>
          <w:sz w:val="24"/>
          <w:szCs w:val="24"/>
        </w:rPr>
        <w:t xml:space="preserve">di </w:t>
      </w:r>
      <w:r>
        <w:rPr>
          <w:rFonts w:ascii="Times New Roman" w:hAnsi="Times New Roman" w:cs="Times New Roman"/>
          <w:sz w:val="24"/>
          <w:szCs w:val="24"/>
        </w:rPr>
        <w:t>allestimenti</w:t>
      </w:r>
      <w:r w:rsidRPr="002470A5">
        <w:rPr>
          <w:rFonts w:ascii="Times New Roman" w:hAnsi="Times New Roman" w:cs="Times New Roman"/>
          <w:sz w:val="24"/>
          <w:szCs w:val="24"/>
        </w:rPr>
        <w:t xml:space="preserve"> teatrali </w:t>
      </w:r>
      <w:r w:rsidR="000B4A5D">
        <w:rPr>
          <w:rFonts w:ascii="Times New Roman" w:hAnsi="Times New Roman" w:cs="Times New Roman"/>
          <w:sz w:val="24"/>
          <w:szCs w:val="24"/>
        </w:rPr>
        <w:t>ispirati</w:t>
      </w:r>
      <w:r w:rsidRPr="002470A5">
        <w:rPr>
          <w:rFonts w:ascii="Times New Roman" w:hAnsi="Times New Roman" w:cs="Times New Roman"/>
          <w:sz w:val="24"/>
          <w:szCs w:val="24"/>
        </w:rPr>
        <w:t xml:space="preserve"> ai </w:t>
      </w:r>
      <w:r w:rsidRPr="002470A5">
        <w:rPr>
          <w:rFonts w:ascii="Times New Roman" w:hAnsi="Times New Roman" w:cs="Times New Roman"/>
          <w:i/>
          <w:sz w:val="24"/>
          <w:szCs w:val="24"/>
        </w:rPr>
        <w:t>mystères</w:t>
      </w:r>
      <w:r w:rsidRPr="002470A5">
        <w:rPr>
          <w:rFonts w:ascii="Times New Roman" w:hAnsi="Times New Roman" w:cs="Times New Roman"/>
          <w:sz w:val="24"/>
          <w:szCs w:val="24"/>
        </w:rPr>
        <w:t xml:space="preserve"> nell’Italia del Nord</w:t>
      </w:r>
      <w:r>
        <w:rPr>
          <w:rFonts w:ascii="Times New Roman" w:hAnsi="Times New Roman" w:cs="Times New Roman"/>
          <w:sz w:val="24"/>
          <w:szCs w:val="24"/>
        </w:rPr>
        <w:t xml:space="preserve"> </w:t>
      </w:r>
      <w:r w:rsidR="007439B4">
        <w:rPr>
          <w:rFonts w:ascii="Times New Roman" w:hAnsi="Times New Roman" w:cs="Times New Roman"/>
          <w:sz w:val="24"/>
          <w:szCs w:val="24"/>
        </w:rPr>
        <w:t>ne</w:t>
      </w:r>
      <w:r>
        <w:rPr>
          <w:rFonts w:ascii="Times New Roman" w:hAnsi="Times New Roman" w:cs="Times New Roman"/>
          <w:sz w:val="24"/>
          <w:szCs w:val="24"/>
        </w:rPr>
        <w:t xml:space="preserve">l </w:t>
      </w:r>
      <w:r w:rsidRPr="002470A5">
        <w:rPr>
          <w:rFonts w:ascii="Times New Roman" w:hAnsi="Times New Roman" w:cs="Times New Roman"/>
          <w:sz w:val="24"/>
          <w:szCs w:val="24"/>
        </w:rPr>
        <w:t>XV</w:t>
      </w:r>
      <w:r>
        <w:rPr>
          <w:rFonts w:ascii="Times New Roman" w:hAnsi="Times New Roman" w:cs="Times New Roman"/>
          <w:sz w:val="24"/>
          <w:szCs w:val="24"/>
        </w:rPr>
        <w:t xml:space="preserve"> </w:t>
      </w:r>
      <w:r w:rsidRPr="002470A5">
        <w:rPr>
          <w:rFonts w:ascii="Times New Roman" w:hAnsi="Times New Roman" w:cs="Times New Roman"/>
          <w:sz w:val="24"/>
          <w:szCs w:val="24"/>
        </w:rPr>
        <w:t>secolo</w:t>
      </w:r>
      <w:r w:rsidRPr="00C516A0">
        <w:rPr>
          <w:rFonts w:ascii="Times New Roman" w:hAnsi="Times New Roman" w:cs="Times New Roman"/>
          <w:sz w:val="24"/>
          <w:szCs w:val="24"/>
        </w:rPr>
        <w:t xml:space="preserve"> </w:t>
      </w:r>
      <w:r>
        <w:rPr>
          <w:rFonts w:ascii="Times New Roman" w:hAnsi="Times New Roman" w:cs="Times New Roman"/>
          <w:sz w:val="24"/>
          <w:szCs w:val="24"/>
        </w:rPr>
        <w:t xml:space="preserve">– quali le </w:t>
      </w:r>
      <w:r w:rsidRPr="00C516A0">
        <w:rPr>
          <w:rFonts w:ascii="Times New Roman" w:hAnsi="Times New Roman" w:cs="Times New Roman"/>
          <w:i/>
          <w:sz w:val="24"/>
          <w:szCs w:val="24"/>
        </w:rPr>
        <w:t>Passioni</w:t>
      </w:r>
      <w:r>
        <w:rPr>
          <w:rFonts w:ascii="Times New Roman" w:hAnsi="Times New Roman" w:cs="Times New Roman"/>
          <w:sz w:val="24"/>
          <w:szCs w:val="24"/>
        </w:rPr>
        <w:t xml:space="preserve"> di Pinerolo (1467), di Cuneo (1477), di</w:t>
      </w:r>
      <w:r w:rsidRPr="002470A5">
        <w:rPr>
          <w:rFonts w:ascii="Times New Roman" w:hAnsi="Times New Roman" w:cs="Times New Roman"/>
          <w:sz w:val="24"/>
          <w:szCs w:val="24"/>
        </w:rPr>
        <w:t xml:space="preserve"> </w:t>
      </w:r>
      <w:r>
        <w:rPr>
          <w:rFonts w:ascii="Times New Roman" w:hAnsi="Times New Roman" w:cs="Times New Roman"/>
          <w:sz w:val="24"/>
          <w:szCs w:val="24"/>
        </w:rPr>
        <w:t xml:space="preserve">Barge (1464) e di Revello (1481) – </w:t>
      </w:r>
      <w:r w:rsidRPr="002470A5">
        <w:rPr>
          <w:rFonts w:ascii="Times New Roman" w:hAnsi="Times New Roman" w:cs="Times New Roman"/>
          <w:sz w:val="24"/>
          <w:szCs w:val="24"/>
        </w:rPr>
        <w:t xml:space="preserve">è fatto noto agli storici dello spettacolo. </w:t>
      </w:r>
      <w:r w:rsidR="007439B4">
        <w:rPr>
          <w:rFonts w:ascii="Times New Roman" w:hAnsi="Times New Roman" w:cs="Times New Roman"/>
          <w:sz w:val="24"/>
          <w:szCs w:val="24"/>
        </w:rPr>
        <w:t>N</w:t>
      </w:r>
      <w:r w:rsidRPr="002B2488">
        <w:rPr>
          <w:rFonts w:ascii="Times New Roman" w:hAnsi="Times New Roman" w:cs="Times New Roman"/>
          <w:sz w:val="24"/>
          <w:szCs w:val="24"/>
        </w:rPr>
        <w:t xml:space="preserve">on sono ancora state studiate </w:t>
      </w:r>
      <w:r w:rsidR="007439B4">
        <w:rPr>
          <w:rFonts w:ascii="Times New Roman" w:hAnsi="Times New Roman" w:cs="Times New Roman"/>
          <w:sz w:val="24"/>
          <w:szCs w:val="24"/>
        </w:rPr>
        <w:t xml:space="preserve">però </w:t>
      </w:r>
      <w:r w:rsidRPr="002B2488">
        <w:rPr>
          <w:rFonts w:ascii="Times New Roman" w:hAnsi="Times New Roman" w:cs="Times New Roman"/>
          <w:sz w:val="24"/>
          <w:szCs w:val="24"/>
        </w:rPr>
        <w:t xml:space="preserve">con precisione la drammaturgia e la scenotecnica degli spettacoli caratterizzati da riferimenti alla cultura teatrale d’Oltralpe su cui si possiede documentazione; e non sono stati definiti quali rapporti tra </w:t>
      </w:r>
      <w:r w:rsidR="000B4A5D" w:rsidRPr="002B2488">
        <w:rPr>
          <w:rFonts w:ascii="Times New Roman" w:hAnsi="Times New Roman" w:cs="Times New Roman"/>
          <w:sz w:val="24"/>
          <w:szCs w:val="24"/>
        </w:rPr>
        <w:t xml:space="preserve">le corti </w:t>
      </w:r>
      <w:r w:rsidRPr="002B2488">
        <w:rPr>
          <w:rFonts w:ascii="Times New Roman" w:hAnsi="Times New Roman" w:cs="Times New Roman"/>
          <w:sz w:val="24"/>
          <w:szCs w:val="24"/>
        </w:rPr>
        <w:t>d</w:t>
      </w:r>
      <w:r w:rsidR="000B4A5D" w:rsidRPr="002B2488">
        <w:rPr>
          <w:rFonts w:ascii="Times New Roman" w:hAnsi="Times New Roman" w:cs="Times New Roman"/>
          <w:sz w:val="24"/>
          <w:szCs w:val="24"/>
        </w:rPr>
        <w:t>i</w:t>
      </w:r>
      <w:r w:rsidRPr="002B2488">
        <w:rPr>
          <w:rFonts w:ascii="Times New Roman" w:hAnsi="Times New Roman" w:cs="Times New Roman"/>
          <w:sz w:val="24"/>
          <w:szCs w:val="24"/>
        </w:rPr>
        <w:t xml:space="preserve"> Francia e dell’Italia del Nord potessero</w:t>
      </w:r>
      <w:r w:rsidR="00335C2C">
        <w:rPr>
          <w:rFonts w:ascii="Times New Roman" w:hAnsi="Times New Roman" w:cs="Times New Roman"/>
          <w:sz w:val="24"/>
          <w:szCs w:val="24"/>
        </w:rPr>
        <w:t xml:space="preserve"> aver</w:t>
      </w:r>
      <w:r w:rsidRPr="002B2488">
        <w:rPr>
          <w:rFonts w:ascii="Times New Roman" w:hAnsi="Times New Roman" w:cs="Times New Roman"/>
          <w:sz w:val="24"/>
          <w:szCs w:val="24"/>
        </w:rPr>
        <w:t xml:space="preserve"> determina</w:t>
      </w:r>
      <w:r w:rsidR="00335C2C">
        <w:rPr>
          <w:rFonts w:ascii="Times New Roman" w:hAnsi="Times New Roman" w:cs="Times New Roman"/>
          <w:sz w:val="24"/>
          <w:szCs w:val="24"/>
        </w:rPr>
        <w:t>to</w:t>
      </w:r>
      <w:r w:rsidRPr="002B2488">
        <w:rPr>
          <w:rFonts w:ascii="Times New Roman" w:hAnsi="Times New Roman" w:cs="Times New Roman"/>
          <w:sz w:val="24"/>
          <w:szCs w:val="24"/>
        </w:rPr>
        <w:t xml:space="preserve"> lo scambio d</w:t>
      </w:r>
      <w:r w:rsidR="000B4A5D" w:rsidRPr="002B2488">
        <w:rPr>
          <w:rFonts w:ascii="Times New Roman" w:hAnsi="Times New Roman" w:cs="Times New Roman"/>
          <w:sz w:val="24"/>
          <w:szCs w:val="24"/>
        </w:rPr>
        <w:t>’</w:t>
      </w:r>
      <w:r w:rsidRPr="002B2488">
        <w:rPr>
          <w:rFonts w:ascii="Times New Roman" w:hAnsi="Times New Roman" w:cs="Times New Roman"/>
          <w:sz w:val="24"/>
          <w:szCs w:val="24"/>
        </w:rPr>
        <w:t>informazioni sulle modalità d</w:t>
      </w:r>
      <w:r w:rsidR="00A21C5D" w:rsidRPr="002B2488">
        <w:rPr>
          <w:rFonts w:ascii="Times New Roman" w:hAnsi="Times New Roman" w:cs="Times New Roman"/>
          <w:sz w:val="24"/>
          <w:szCs w:val="24"/>
        </w:rPr>
        <w:t>egli</w:t>
      </w:r>
      <w:r w:rsidRPr="002B2488">
        <w:rPr>
          <w:rFonts w:ascii="Times New Roman" w:hAnsi="Times New Roman" w:cs="Times New Roman"/>
          <w:sz w:val="24"/>
          <w:szCs w:val="24"/>
        </w:rPr>
        <w:t xml:space="preserve"> allestiment</w:t>
      </w:r>
      <w:r w:rsidR="00A21C5D" w:rsidRPr="002B2488">
        <w:rPr>
          <w:rFonts w:ascii="Times New Roman" w:hAnsi="Times New Roman" w:cs="Times New Roman"/>
          <w:sz w:val="24"/>
          <w:szCs w:val="24"/>
        </w:rPr>
        <w:t>i scenici</w:t>
      </w:r>
      <w:r w:rsidRPr="002B2488">
        <w:rPr>
          <w:rFonts w:ascii="Times New Roman" w:hAnsi="Times New Roman" w:cs="Times New Roman"/>
          <w:sz w:val="24"/>
          <w:szCs w:val="24"/>
        </w:rPr>
        <w:t xml:space="preserve"> diffus</w:t>
      </w:r>
      <w:r w:rsidR="00A21C5D" w:rsidRPr="002B2488">
        <w:rPr>
          <w:rFonts w:ascii="Times New Roman" w:hAnsi="Times New Roman" w:cs="Times New Roman"/>
          <w:sz w:val="24"/>
          <w:szCs w:val="24"/>
        </w:rPr>
        <w:t>i</w:t>
      </w:r>
      <w:r w:rsidRPr="002B2488">
        <w:rPr>
          <w:rFonts w:ascii="Times New Roman" w:hAnsi="Times New Roman" w:cs="Times New Roman"/>
          <w:sz w:val="24"/>
          <w:szCs w:val="24"/>
        </w:rPr>
        <w:t xml:space="preserve"> in Francia per rappresentare il dramma della vita di Cristo.</w:t>
      </w:r>
      <w:r w:rsidR="00FD2279">
        <w:rPr>
          <w:rStyle w:val="Rimandonotaapidipagina"/>
          <w:rFonts w:ascii="Times New Roman" w:hAnsi="Times New Roman" w:cs="Times New Roman"/>
          <w:sz w:val="24"/>
          <w:szCs w:val="24"/>
        </w:rPr>
        <w:footnoteReference w:id="935"/>
      </w:r>
      <w:r w:rsidR="00A21C5D" w:rsidRPr="002B2488">
        <w:rPr>
          <w:rFonts w:ascii="Times New Roman" w:hAnsi="Times New Roman" w:cs="Times New Roman"/>
          <w:sz w:val="24"/>
          <w:szCs w:val="24"/>
        </w:rPr>
        <w:t xml:space="preserve">  </w:t>
      </w:r>
    </w:p>
    <w:p w14:paraId="2C3B283A" w14:textId="77777777" w:rsidR="00B65217" w:rsidRPr="002470A5" w:rsidRDefault="007439B4" w:rsidP="003A7435">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Sulla base della bibliografia consultata e delle ricerche archivistiche condotte per questa tesi, c</w:t>
      </w:r>
      <w:r w:rsidR="00A21C5D" w:rsidRPr="002B2488">
        <w:rPr>
          <w:rFonts w:ascii="Times New Roman" w:hAnsi="Times New Roman" w:cs="Times New Roman"/>
          <w:sz w:val="24"/>
          <w:szCs w:val="24"/>
        </w:rPr>
        <w:t>redo che notizie su</w:t>
      </w:r>
      <w:r w:rsidR="00E12C76">
        <w:rPr>
          <w:rFonts w:ascii="Times New Roman" w:hAnsi="Times New Roman" w:cs="Times New Roman"/>
          <w:sz w:val="24"/>
          <w:szCs w:val="24"/>
        </w:rPr>
        <w:t xml:space="preserve"> tale</w:t>
      </w:r>
      <w:r w:rsidR="00A21C5D" w:rsidRPr="002B2488">
        <w:rPr>
          <w:rFonts w:ascii="Times New Roman" w:hAnsi="Times New Roman" w:cs="Times New Roman"/>
          <w:sz w:val="24"/>
          <w:szCs w:val="24"/>
        </w:rPr>
        <w:t xml:space="preserve"> cultura performativa di soggetto sacro si possano reperire attraverso lo spoglio delle missive </w:t>
      </w:r>
      <w:r w:rsidR="00335C2C">
        <w:rPr>
          <w:rFonts w:ascii="Times New Roman" w:hAnsi="Times New Roman" w:cs="Times New Roman"/>
          <w:sz w:val="24"/>
          <w:szCs w:val="24"/>
        </w:rPr>
        <w:t>inviate</w:t>
      </w:r>
      <w:r w:rsidR="00A21C5D" w:rsidRPr="002B2488">
        <w:rPr>
          <w:rFonts w:ascii="Times New Roman" w:hAnsi="Times New Roman" w:cs="Times New Roman"/>
          <w:sz w:val="24"/>
          <w:szCs w:val="24"/>
        </w:rPr>
        <w:t xml:space="preserve"> </w:t>
      </w:r>
      <w:r w:rsidR="00335C2C">
        <w:rPr>
          <w:rFonts w:ascii="Times New Roman" w:hAnsi="Times New Roman" w:cs="Times New Roman"/>
          <w:sz w:val="24"/>
          <w:szCs w:val="24"/>
        </w:rPr>
        <w:t>dal</w:t>
      </w:r>
      <w:r w:rsidR="00A21C5D" w:rsidRPr="002B2488">
        <w:rPr>
          <w:rFonts w:ascii="Times New Roman" w:hAnsi="Times New Roman" w:cs="Times New Roman"/>
          <w:sz w:val="24"/>
          <w:szCs w:val="24"/>
        </w:rPr>
        <w:t xml:space="preserve">le cancellerie delle corti di Francia </w:t>
      </w:r>
      <w:r w:rsidR="00335C2C">
        <w:rPr>
          <w:rFonts w:ascii="Times New Roman" w:hAnsi="Times New Roman" w:cs="Times New Roman"/>
          <w:sz w:val="24"/>
          <w:szCs w:val="24"/>
        </w:rPr>
        <w:t>ai</w:t>
      </w:r>
      <w:r w:rsidR="00A21C5D" w:rsidRPr="002B2488">
        <w:rPr>
          <w:rFonts w:ascii="Times New Roman" w:hAnsi="Times New Roman" w:cs="Times New Roman"/>
          <w:sz w:val="24"/>
          <w:szCs w:val="24"/>
        </w:rPr>
        <w:t xml:space="preserve"> marches</w:t>
      </w:r>
      <w:r w:rsidR="00335C2C">
        <w:rPr>
          <w:rFonts w:ascii="Times New Roman" w:hAnsi="Times New Roman" w:cs="Times New Roman"/>
          <w:sz w:val="24"/>
          <w:szCs w:val="24"/>
        </w:rPr>
        <w:t>i</w:t>
      </w:r>
      <w:r w:rsidR="00A21C5D" w:rsidRPr="002B2488">
        <w:rPr>
          <w:rFonts w:ascii="Times New Roman" w:hAnsi="Times New Roman" w:cs="Times New Roman"/>
          <w:sz w:val="24"/>
          <w:szCs w:val="24"/>
        </w:rPr>
        <w:t xml:space="preserve"> di Saluzzo, </w:t>
      </w:r>
      <w:r w:rsidR="00335C2C">
        <w:rPr>
          <w:rFonts w:ascii="Times New Roman" w:hAnsi="Times New Roman" w:cs="Times New Roman"/>
          <w:sz w:val="24"/>
          <w:szCs w:val="24"/>
        </w:rPr>
        <w:t>ai</w:t>
      </w:r>
      <w:r w:rsidR="00A21C5D" w:rsidRPr="002B2488">
        <w:rPr>
          <w:rFonts w:ascii="Times New Roman" w:hAnsi="Times New Roman" w:cs="Times New Roman"/>
          <w:sz w:val="24"/>
          <w:szCs w:val="24"/>
        </w:rPr>
        <w:t xml:space="preserve"> duc</w:t>
      </w:r>
      <w:r w:rsidR="00335C2C">
        <w:rPr>
          <w:rFonts w:ascii="Times New Roman" w:hAnsi="Times New Roman" w:cs="Times New Roman"/>
          <w:sz w:val="24"/>
          <w:szCs w:val="24"/>
        </w:rPr>
        <w:t>hi</w:t>
      </w:r>
      <w:r w:rsidR="00A21C5D" w:rsidRPr="002B2488">
        <w:rPr>
          <w:rFonts w:ascii="Times New Roman" w:hAnsi="Times New Roman" w:cs="Times New Roman"/>
          <w:sz w:val="24"/>
          <w:szCs w:val="24"/>
        </w:rPr>
        <w:t xml:space="preserve"> di Savoia, e </w:t>
      </w:r>
      <w:r w:rsidR="00335C2C">
        <w:rPr>
          <w:rFonts w:ascii="Times New Roman" w:hAnsi="Times New Roman" w:cs="Times New Roman"/>
          <w:sz w:val="24"/>
          <w:szCs w:val="24"/>
        </w:rPr>
        <w:t>ai</w:t>
      </w:r>
      <w:r w:rsidR="00A21C5D" w:rsidRPr="002B2488">
        <w:rPr>
          <w:rFonts w:ascii="Times New Roman" w:hAnsi="Times New Roman" w:cs="Times New Roman"/>
          <w:sz w:val="24"/>
          <w:szCs w:val="24"/>
        </w:rPr>
        <w:t xml:space="preserve"> du</w:t>
      </w:r>
      <w:r w:rsidR="003A7435">
        <w:rPr>
          <w:rFonts w:ascii="Times New Roman" w:hAnsi="Times New Roman" w:cs="Times New Roman"/>
          <w:sz w:val="24"/>
          <w:szCs w:val="24"/>
        </w:rPr>
        <w:t>chi</w:t>
      </w:r>
      <w:r w:rsidR="00A21C5D" w:rsidRPr="002B2488">
        <w:rPr>
          <w:rFonts w:ascii="Times New Roman" w:hAnsi="Times New Roman" w:cs="Times New Roman"/>
          <w:sz w:val="24"/>
          <w:szCs w:val="24"/>
        </w:rPr>
        <w:t xml:space="preserve"> di Milano </w:t>
      </w:r>
      <w:r w:rsidR="003A7435">
        <w:rPr>
          <w:rFonts w:ascii="Times New Roman" w:hAnsi="Times New Roman" w:cs="Times New Roman"/>
          <w:sz w:val="24"/>
          <w:szCs w:val="24"/>
        </w:rPr>
        <w:t>nel</w:t>
      </w:r>
      <w:r w:rsidR="00A21C5D" w:rsidRPr="002B2488">
        <w:rPr>
          <w:rFonts w:ascii="Times New Roman" w:hAnsi="Times New Roman" w:cs="Times New Roman"/>
          <w:sz w:val="24"/>
          <w:szCs w:val="24"/>
        </w:rPr>
        <w:t>la seconda metà del Quattrocento, e che forse proprio i dispacci</w:t>
      </w:r>
      <w:r w:rsidR="00A21C5D">
        <w:rPr>
          <w:rFonts w:ascii="Times New Roman" w:hAnsi="Times New Roman" w:cs="Times New Roman"/>
          <w:sz w:val="24"/>
          <w:szCs w:val="24"/>
        </w:rPr>
        <w:t xml:space="preserve"> con i resoconti delle splendide</w:t>
      </w:r>
      <w:r w:rsidR="00335C2C">
        <w:rPr>
          <w:rFonts w:ascii="Times New Roman" w:hAnsi="Times New Roman" w:cs="Times New Roman"/>
          <w:sz w:val="24"/>
          <w:szCs w:val="24"/>
        </w:rPr>
        <w:t xml:space="preserve"> </w:t>
      </w:r>
      <w:r w:rsidR="00A21C5D">
        <w:rPr>
          <w:rFonts w:ascii="Times New Roman" w:hAnsi="Times New Roman" w:cs="Times New Roman"/>
          <w:sz w:val="24"/>
          <w:szCs w:val="24"/>
        </w:rPr>
        <w:t xml:space="preserve">feste </w:t>
      </w:r>
      <w:r w:rsidR="00335C2C">
        <w:rPr>
          <w:rFonts w:ascii="Times New Roman" w:hAnsi="Times New Roman" w:cs="Times New Roman"/>
          <w:sz w:val="24"/>
          <w:szCs w:val="24"/>
        </w:rPr>
        <w:t xml:space="preserve">dinastiche </w:t>
      </w:r>
      <w:r w:rsidR="00A21C5D">
        <w:rPr>
          <w:rFonts w:ascii="Times New Roman" w:hAnsi="Times New Roman" w:cs="Times New Roman"/>
          <w:sz w:val="24"/>
          <w:szCs w:val="24"/>
        </w:rPr>
        <w:t>dei Valois</w:t>
      </w:r>
      <w:r w:rsidR="00335C2C">
        <w:rPr>
          <w:rFonts w:ascii="Times New Roman" w:hAnsi="Times New Roman" w:cs="Times New Roman"/>
          <w:sz w:val="24"/>
          <w:szCs w:val="24"/>
        </w:rPr>
        <w:t xml:space="preserve"> possano contenere informazioni su </w:t>
      </w:r>
      <w:r w:rsidR="00E12C76">
        <w:rPr>
          <w:rFonts w:ascii="Times New Roman" w:hAnsi="Times New Roman" w:cs="Times New Roman"/>
          <w:sz w:val="24"/>
          <w:szCs w:val="24"/>
        </w:rPr>
        <w:t xml:space="preserve">questo </w:t>
      </w:r>
      <w:r w:rsidR="00114193">
        <w:rPr>
          <w:rFonts w:ascii="Times New Roman" w:hAnsi="Times New Roman" w:cs="Times New Roman"/>
          <w:sz w:val="24"/>
          <w:szCs w:val="24"/>
        </w:rPr>
        <w:t>argomento</w:t>
      </w:r>
      <w:r w:rsidR="00335C2C">
        <w:rPr>
          <w:rFonts w:ascii="Times New Roman" w:hAnsi="Times New Roman" w:cs="Times New Roman"/>
          <w:sz w:val="24"/>
          <w:szCs w:val="24"/>
        </w:rPr>
        <w:t xml:space="preserve">.  </w:t>
      </w:r>
      <w:r w:rsidR="00A21C5D">
        <w:rPr>
          <w:rFonts w:ascii="Times New Roman" w:hAnsi="Times New Roman" w:cs="Times New Roman"/>
          <w:sz w:val="24"/>
          <w:szCs w:val="24"/>
        </w:rPr>
        <w:t xml:space="preserve"> </w:t>
      </w:r>
      <w:r w:rsidR="00B65217" w:rsidRPr="002470A5">
        <w:rPr>
          <w:rFonts w:ascii="Times New Roman" w:hAnsi="Times New Roman" w:cs="Times New Roman"/>
          <w:sz w:val="24"/>
          <w:szCs w:val="24"/>
        </w:rPr>
        <w:t xml:space="preserve"> </w:t>
      </w:r>
    </w:p>
    <w:p w14:paraId="7482FFBA" w14:textId="77777777" w:rsidR="00C4283B" w:rsidRDefault="00887612" w:rsidP="00437DF0">
      <w:pPr>
        <w:pStyle w:val="Titolocapitolo"/>
        <w:jc w:val="both"/>
        <w:rPr>
          <w:smallCaps w:val="0"/>
        </w:rPr>
      </w:pPr>
      <w:r>
        <w:rPr>
          <w:smallCaps w:val="0"/>
        </w:rPr>
        <w:t>La seconda direzione</w:t>
      </w:r>
      <w:r w:rsidR="00114193">
        <w:rPr>
          <w:smallCaps w:val="0"/>
        </w:rPr>
        <w:t xml:space="preserve"> di ricerca</w:t>
      </w:r>
      <w:r>
        <w:rPr>
          <w:smallCaps w:val="0"/>
        </w:rPr>
        <w:t>, muovendo</w:t>
      </w:r>
      <w:r w:rsidR="00114193">
        <w:rPr>
          <w:smallCaps w:val="0"/>
        </w:rPr>
        <w:t xml:space="preserve"> invece</w:t>
      </w:r>
      <w:r>
        <w:rPr>
          <w:smallCaps w:val="0"/>
        </w:rPr>
        <w:t xml:space="preserve"> da</w:t>
      </w:r>
      <w:r w:rsidR="00D12ABA">
        <w:rPr>
          <w:smallCaps w:val="0"/>
        </w:rPr>
        <w:t xml:space="preserve"> Firenze verso le corti</w:t>
      </w:r>
      <w:r>
        <w:rPr>
          <w:smallCaps w:val="0"/>
        </w:rPr>
        <w:t xml:space="preserve">, </w:t>
      </w:r>
      <w:r w:rsidR="00697A89">
        <w:rPr>
          <w:smallCaps w:val="0"/>
        </w:rPr>
        <w:t>potrebbe indagare gli spostamenti dei maestri della scena rinascimentale fiorentina che seppero esportare</w:t>
      </w:r>
      <w:r w:rsidR="004248A4">
        <w:rPr>
          <w:smallCaps w:val="0"/>
        </w:rPr>
        <w:t xml:space="preserve"> la drammaturgia della sacra rappresentazione e la scenotecnica brunelleschiana adattandole al</w:t>
      </w:r>
      <w:r w:rsidR="00697A89">
        <w:rPr>
          <w:smallCaps w:val="0"/>
        </w:rPr>
        <w:t xml:space="preserve"> contesto delle feste de</w:t>
      </w:r>
      <w:r w:rsidR="00D12ABA">
        <w:rPr>
          <w:smallCaps w:val="0"/>
        </w:rPr>
        <w:t xml:space="preserve">i principati </w:t>
      </w:r>
      <w:r w:rsidR="00697A89">
        <w:rPr>
          <w:smallCaps w:val="0"/>
        </w:rPr>
        <w:t>italian</w:t>
      </w:r>
      <w:r w:rsidR="00D12ABA">
        <w:rPr>
          <w:smallCaps w:val="0"/>
        </w:rPr>
        <w:t>i</w:t>
      </w:r>
      <w:r w:rsidR="00697A89">
        <w:rPr>
          <w:smallCaps w:val="0"/>
        </w:rPr>
        <w:t xml:space="preserve"> del Quattrocento</w:t>
      </w:r>
      <w:r w:rsidR="004248A4">
        <w:rPr>
          <w:smallCaps w:val="0"/>
        </w:rPr>
        <w:t xml:space="preserve">. </w:t>
      </w:r>
      <w:r w:rsidR="00E12C76">
        <w:rPr>
          <w:smallCaps w:val="0"/>
        </w:rPr>
        <w:t>In queste pagine</w:t>
      </w:r>
      <w:r w:rsidR="004248A4">
        <w:rPr>
          <w:smallCaps w:val="0"/>
        </w:rPr>
        <w:t xml:space="preserve"> si è tentato di </w:t>
      </w:r>
      <w:r w:rsidR="00F13F87">
        <w:rPr>
          <w:smallCaps w:val="0"/>
        </w:rPr>
        <w:t>fare luce su</w:t>
      </w:r>
      <w:r w:rsidR="007A76CB">
        <w:rPr>
          <w:smallCaps w:val="0"/>
        </w:rPr>
        <w:t>l</w:t>
      </w:r>
      <w:r w:rsidR="00D30B40">
        <w:rPr>
          <w:smallCaps w:val="0"/>
        </w:rPr>
        <w:t>la centralità del</w:t>
      </w:r>
      <w:r w:rsidR="007A76CB">
        <w:rPr>
          <w:smallCaps w:val="0"/>
        </w:rPr>
        <w:t xml:space="preserve"> loro apporto alla progettazione degli eventi spettacolari d</w:t>
      </w:r>
      <w:r w:rsidR="004248A4">
        <w:rPr>
          <w:smallCaps w:val="0"/>
        </w:rPr>
        <w:t>e</w:t>
      </w:r>
      <w:r w:rsidR="007A76CB">
        <w:rPr>
          <w:smallCaps w:val="0"/>
        </w:rPr>
        <w:t>i</w:t>
      </w:r>
      <w:r w:rsidR="004248A4">
        <w:rPr>
          <w:smallCaps w:val="0"/>
        </w:rPr>
        <w:t xml:space="preserve"> più importanti </w:t>
      </w:r>
      <w:r w:rsidR="008A65DA">
        <w:rPr>
          <w:smallCaps w:val="0"/>
        </w:rPr>
        <w:t xml:space="preserve">sposalizi </w:t>
      </w:r>
      <w:r w:rsidR="00CC1D5C">
        <w:rPr>
          <w:smallCaps w:val="0"/>
        </w:rPr>
        <w:t>nel</w:t>
      </w:r>
      <w:r w:rsidR="008A65DA">
        <w:rPr>
          <w:smallCaps w:val="0"/>
        </w:rPr>
        <w:t>l’età degli incunaboli</w:t>
      </w:r>
      <w:r w:rsidR="00C774A0">
        <w:rPr>
          <w:smallCaps w:val="0"/>
        </w:rPr>
        <w:t>.</w:t>
      </w:r>
      <w:r w:rsidR="008A65DA">
        <w:rPr>
          <w:smallCaps w:val="0"/>
        </w:rPr>
        <w:t xml:space="preserve"> </w:t>
      </w:r>
      <w:r w:rsidR="00CC1D5C">
        <w:rPr>
          <w:smallCaps w:val="0"/>
        </w:rPr>
        <w:t xml:space="preserve">Altri studi </w:t>
      </w:r>
      <w:r w:rsidR="007A76CB">
        <w:rPr>
          <w:smallCaps w:val="0"/>
        </w:rPr>
        <w:t>su</w:t>
      </w:r>
      <w:r w:rsidR="00CC1D5C">
        <w:rPr>
          <w:smallCaps w:val="0"/>
        </w:rPr>
        <w:t xml:space="preserve">l ruolo giocato </w:t>
      </w:r>
      <w:r w:rsidR="008A65DA">
        <w:rPr>
          <w:smallCaps w:val="0"/>
        </w:rPr>
        <w:t>d</w:t>
      </w:r>
      <w:r w:rsidR="00CC1D5C">
        <w:rPr>
          <w:smallCaps w:val="0"/>
        </w:rPr>
        <w:t>a</w:t>
      </w:r>
      <w:r w:rsidR="008A65DA">
        <w:rPr>
          <w:smallCaps w:val="0"/>
        </w:rPr>
        <w:t xml:space="preserve">lle colonie di mercanti di Firenze residenti all’estero </w:t>
      </w:r>
      <w:r w:rsidR="00E12C76">
        <w:rPr>
          <w:smallCaps w:val="0"/>
        </w:rPr>
        <w:t xml:space="preserve">che invitarono </w:t>
      </w:r>
      <w:r w:rsidR="008A65DA">
        <w:rPr>
          <w:smallCaps w:val="0"/>
        </w:rPr>
        <w:t>gli apparatori d</w:t>
      </w:r>
      <w:r w:rsidR="00E12C76">
        <w:rPr>
          <w:smallCaps w:val="0"/>
        </w:rPr>
        <w:t>egli</w:t>
      </w:r>
      <w:r w:rsidR="008A65DA">
        <w:rPr>
          <w:smallCaps w:val="0"/>
        </w:rPr>
        <w:t xml:space="preserve"> spettacoli </w:t>
      </w:r>
      <w:r w:rsidR="00CC1D5C">
        <w:rPr>
          <w:smallCaps w:val="0"/>
        </w:rPr>
        <w:t xml:space="preserve">tradizionali della loro città </w:t>
      </w:r>
      <w:r w:rsidR="00F13F87">
        <w:rPr>
          <w:smallCaps w:val="0"/>
        </w:rPr>
        <w:t xml:space="preserve">in altri centri </w:t>
      </w:r>
      <w:r w:rsidR="00CC1D5C">
        <w:rPr>
          <w:smallCaps w:val="0"/>
        </w:rPr>
        <w:t>– si pensi alle spese sostenute</w:t>
      </w:r>
      <w:r w:rsidR="00F97D70">
        <w:rPr>
          <w:smallCaps w:val="0"/>
        </w:rPr>
        <w:t xml:space="preserve"> dalla Nazione fiorentina</w:t>
      </w:r>
      <w:r w:rsidR="00CC1D5C">
        <w:rPr>
          <w:smallCaps w:val="0"/>
        </w:rPr>
        <w:t xml:space="preserve"> per i carri del trionf</w:t>
      </w:r>
      <w:r w:rsidR="007A76CB">
        <w:rPr>
          <w:smallCaps w:val="0"/>
        </w:rPr>
        <w:t>o</w:t>
      </w:r>
      <w:r w:rsidR="00CC1D5C">
        <w:rPr>
          <w:smallCaps w:val="0"/>
        </w:rPr>
        <w:t xml:space="preserve"> di Alfonso il Magnanimo e dell’ingresso napole</w:t>
      </w:r>
      <w:r w:rsidR="00437DF0">
        <w:rPr>
          <w:smallCaps w:val="0"/>
        </w:rPr>
        <w:t>t</w:t>
      </w:r>
      <w:r w:rsidR="00CC1D5C">
        <w:rPr>
          <w:smallCaps w:val="0"/>
        </w:rPr>
        <w:t xml:space="preserve">ano di Giovanna d’Aragona – credo possano </w:t>
      </w:r>
      <w:r w:rsidR="00F13F87">
        <w:rPr>
          <w:smallCaps w:val="0"/>
        </w:rPr>
        <w:t xml:space="preserve">meglio </w:t>
      </w:r>
      <w:r w:rsidR="00437DF0">
        <w:rPr>
          <w:smallCaps w:val="0"/>
        </w:rPr>
        <w:t xml:space="preserve">illuminare </w:t>
      </w:r>
      <w:r w:rsidR="00CC1D5C">
        <w:rPr>
          <w:smallCaps w:val="0"/>
        </w:rPr>
        <w:t>la rete di relazioni che favorì la circolazione d</w:t>
      </w:r>
      <w:r w:rsidR="007A76CB">
        <w:rPr>
          <w:smallCaps w:val="0"/>
        </w:rPr>
        <w:t>i queste</w:t>
      </w:r>
      <w:r w:rsidR="00CC1D5C">
        <w:rPr>
          <w:smallCaps w:val="0"/>
        </w:rPr>
        <w:t xml:space="preserve"> mest</w:t>
      </w:r>
      <w:r w:rsidR="007A76CB">
        <w:rPr>
          <w:smallCaps w:val="0"/>
        </w:rPr>
        <w:t>ranze</w:t>
      </w:r>
      <w:r w:rsidR="00E12C76">
        <w:rPr>
          <w:smallCaps w:val="0"/>
        </w:rPr>
        <w:t xml:space="preserve"> e competenze teatrali</w:t>
      </w:r>
      <w:r w:rsidR="00CC1D5C">
        <w:rPr>
          <w:smallCaps w:val="0"/>
        </w:rPr>
        <w:t xml:space="preserve"> nell’Italia dell’epoca.</w:t>
      </w:r>
      <w:r w:rsidR="00DF1F3A">
        <w:rPr>
          <w:rStyle w:val="Rimandonotaapidipagina"/>
          <w:smallCaps w:val="0"/>
        </w:rPr>
        <w:footnoteReference w:id="936"/>
      </w:r>
      <w:r w:rsidR="00F97D70">
        <w:rPr>
          <w:smallCaps w:val="0"/>
        </w:rPr>
        <w:t xml:space="preserve"> </w:t>
      </w:r>
    </w:p>
    <w:p w14:paraId="6099676C" w14:textId="77777777" w:rsidR="00F97D70" w:rsidRDefault="00F97D70" w:rsidP="00B66940">
      <w:pPr>
        <w:pStyle w:val="Titolocapitolo"/>
        <w:jc w:val="both"/>
        <w:rPr>
          <w:smallCaps w:val="0"/>
        </w:rPr>
      </w:pPr>
      <w:r>
        <w:rPr>
          <w:smallCaps w:val="0"/>
        </w:rPr>
        <w:t>Infine, considerando come gli ingressi trionfali delle spose</w:t>
      </w:r>
      <w:r w:rsidR="00E12C76">
        <w:rPr>
          <w:smallCaps w:val="0"/>
        </w:rPr>
        <w:t xml:space="preserve"> congiungessero </w:t>
      </w:r>
      <w:r w:rsidR="00484621">
        <w:rPr>
          <w:smallCaps w:val="0"/>
        </w:rPr>
        <w:t xml:space="preserve">i destini dei principi e dei sudditi </w:t>
      </w:r>
      <w:r>
        <w:rPr>
          <w:smallCaps w:val="0"/>
        </w:rPr>
        <w:t>in un rit</w:t>
      </w:r>
      <w:r w:rsidR="00210572">
        <w:rPr>
          <w:smallCaps w:val="0"/>
        </w:rPr>
        <w:t>uale</w:t>
      </w:r>
      <w:r w:rsidR="007109CF">
        <w:rPr>
          <w:smallCaps w:val="0"/>
        </w:rPr>
        <w:t xml:space="preserve"> lustrale e</w:t>
      </w:r>
      <w:r>
        <w:rPr>
          <w:smallCaps w:val="0"/>
        </w:rPr>
        <w:t xml:space="preserve"> di passaggio</w:t>
      </w:r>
      <w:r w:rsidR="00484621">
        <w:rPr>
          <w:smallCaps w:val="0"/>
        </w:rPr>
        <w:t xml:space="preserve"> – regolato da norme litugiche</w:t>
      </w:r>
      <w:r w:rsidR="00D12ABA">
        <w:rPr>
          <w:smallCaps w:val="0"/>
        </w:rPr>
        <w:t xml:space="preserve"> </w:t>
      </w:r>
      <w:r w:rsidR="00437DF0">
        <w:rPr>
          <w:smallCaps w:val="0"/>
        </w:rPr>
        <w:t xml:space="preserve">predisposte </w:t>
      </w:r>
      <w:r w:rsidR="00D12ABA">
        <w:rPr>
          <w:smallCaps w:val="0"/>
        </w:rPr>
        <w:t>dall’autorità ecclesiastica</w:t>
      </w:r>
      <w:r w:rsidR="00484621">
        <w:rPr>
          <w:smallCaps w:val="0"/>
        </w:rPr>
        <w:t xml:space="preserve"> eppure ispirato alle memorie antiquarie della cerimonialità romana</w:t>
      </w:r>
      <w:r w:rsidR="00D12ABA">
        <w:rPr>
          <w:smallCaps w:val="0"/>
        </w:rPr>
        <w:t xml:space="preserve"> –</w:t>
      </w:r>
      <w:r w:rsidR="00FC275E">
        <w:rPr>
          <w:smallCaps w:val="0"/>
        </w:rPr>
        <w:t xml:space="preserve"> penso sia opportuno valutare in quale maniera nella festa nuziale la presenza degli dèi e degli eroi del mondo antico volesse elevare il profilo</w:t>
      </w:r>
      <w:r w:rsidR="002C63C8">
        <w:rPr>
          <w:smallCaps w:val="0"/>
        </w:rPr>
        <w:t xml:space="preserve"> degli sposi</w:t>
      </w:r>
      <w:r w:rsidR="00FC275E">
        <w:rPr>
          <w:smallCaps w:val="0"/>
        </w:rPr>
        <w:t>. La comparsa delle Virtù e delle Grazie, il canto di Orfeo, l’esempio d</w:t>
      </w:r>
      <w:r w:rsidR="00E12C76">
        <w:rPr>
          <w:smallCaps w:val="0"/>
        </w:rPr>
        <w:t>i</w:t>
      </w:r>
      <w:r w:rsidR="00FC275E">
        <w:rPr>
          <w:smallCaps w:val="0"/>
        </w:rPr>
        <w:t xml:space="preserve"> tenacia e d</w:t>
      </w:r>
      <w:r w:rsidR="00E12C76">
        <w:rPr>
          <w:smallCaps w:val="0"/>
        </w:rPr>
        <w:t>i</w:t>
      </w:r>
      <w:r w:rsidR="00FC275E">
        <w:rPr>
          <w:smallCaps w:val="0"/>
        </w:rPr>
        <w:t xml:space="preserve"> forza</w:t>
      </w:r>
      <w:r w:rsidR="007109CF">
        <w:rPr>
          <w:smallCaps w:val="0"/>
        </w:rPr>
        <w:t xml:space="preserve"> incarnato</w:t>
      </w:r>
      <w:r w:rsidR="00FC275E">
        <w:rPr>
          <w:smallCaps w:val="0"/>
        </w:rPr>
        <w:t xml:space="preserve"> d</w:t>
      </w:r>
      <w:r w:rsidR="007109CF">
        <w:rPr>
          <w:smallCaps w:val="0"/>
        </w:rPr>
        <w:t>a</w:t>
      </w:r>
      <w:r w:rsidR="00FC275E">
        <w:rPr>
          <w:smallCaps w:val="0"/>
        </w:rPr>
        <w:t xml:space="preserve"> Eracle</w:t>
      </w:r>
      <w:r w:rsidR="007109CF">
        <w:rPr>
          <w:smallCaps w:val="0"/>
        </w:rPr>
        <w:t xml:space="preserve"> e da Giasone</w:t>
      </w:r>
      <w:r w:rsidR="00872A9A">
        <w:rPr>
          <w:smallCaps w:val="0"/>
        </w:rPr>
        <w:t>,</w:t>
      </w:r>
      <w:r w:rsidR="007109CF">
        <w:rPr>
          <w:smallCaps w:val="0"/>
        </w:rPr>
        <w:t xml:space="preserve"> </w:t>
      </w:r>
      <w:r w:rsidR="00210572">
        <w:rPr>
          <w:smallCaps w:val="0"/>
        </w:rPr>
        <w:t>associan</w:t>
      </w:r>
      <w:r w:rsidR="00366C36">
        <w:rPr>
          <w:smallCaps w:val="0"/>
        </w:rPr>
        <w:t>d</w:t>
      </w:r>
      <w:r w:rsidR="00210572">
        <w:rPr>
          <w:smallCaps w:val="0"/>
        </w:rPr>
        <w:t>o i</w:t>
      </w:r>
      <w:r w:rsidR="002C63C8">
        <w:rPr>
          <w:smallCaps w:val="0"/>
        </w:rPr>
        <w:t xml:space="preserve"> festeggiati</w:t>
      </w:r>
      <w:r w:rsidR="00210572">
        <w:rPr>
          <w:smallCaps w:val="0"/>
        </w:rPr>
        <w:t xml:space="preserve"> al consorzio </w:t>
      </w:r>
      <w:r w:rsidR="00366C36">
        <w:rPr>
          <w:smallCaps w:val="0"/>
        </w:rPr>
        <w:t xml:space="preserve">dei </w:t>
      </w:r>
      <w:r w:rsidR="00210572">
        <w:rPr>
          <w:smallCaps w:val="0"/>
        </w:rPr>
        <w:t>fortunati eroi</w:t>
      </w:r>
      <w:r w:rsidR="00366C36">
        <w:rPr>
          <w:smallCaps w:val="0"/>
        </w:rPr>
        <w:t>, trasformavano</w:t>
      </w:r>
      <w:r w:rsidR="003022AB">
        <w:rPr>
          <w:smallCaps w:val="0"/>
        </w:rPr>
        <w:t xml:space="preserve"> la Milano degli Sforza, la Bologna dei Bentivoglio, la Ferrara degli Este </w:t>
      </w:r>
      <w:r w:rsidR="005D6ECC">
        <w:rPr>
          <w:smallCaps w:val="0"/>
        </w:rPr>
        <w:t xml:space="preserve">nella Roma delle antiche glorie imperiali. Questo </w:t>
      </w:r>
      <w:r w:rsidR="00022FFB">
        <w:rPr>
          <w:smallCaps w:val="0"/>
        </w:rPr>
        <w:t xml:space="preserve">mutamento </w:t>
      </w:r>
      <w:r w:rsidR="005D6ECC">
        <w:rPr>
          <w:smallCaps w:val="0"/>
        </w:rPr>
        <w:t>prodigioso</w:t>
      </w:r>
      <w:r w:rsidR="00022FFB">
        <w:rPr>
          <w:smallCaps w:val="0"/>
        </w:rPr>
        <w:t xml:space="preserve"> e latore di messaggi politici e ideologici</w:t>
      </w:r>
      <w:r w:rsidR="005D6ECC">
        <w:rPr>
          <w:smallCaps w:val="0"/>
        </w:rPr>
        <w:t>, cant</w:t>
      </w:r>
      <w:r w:rsidR="00484621">
        <w:rPr>
          <w:smallCaps w:val="0"/>
        </w:rPr>
        <w:t>ato</w:t>
      </w:r>
      <w:r w:rsidR="005D6ECC">
        <w:rPr>
          <w:smallCaps w:val="0"/>
        </w:rPr>
        <w:t xml:space="preserve"> dai versi di Naldo Naldi o dalle eleganti prose di Stefano Dolcino</w:t>
      </w:r>
      <w:r w:rsidR="00D46288">
        <w:rPr>
          <w:smallCaps w:val="0"/>
        </w:rPr>
        <w:t xml:space="preserve">, </w:t>
      </w:r>
      <w:r w:rsidR="00BE64AF">
        <w:rPr>
          <w:smallCaps w:val="0"/>
        </w:rPr>
        <w:t xml:space="preserve">aveva </w:t>
      </w:r>
      <w:r w:rsidR="00E12C76">
        <w:rPr>
          <w:smallCaps w:val="0"/>
        </w:rPr>
        <w:t xml:space="preserve">la </w:t>
      </w:r>
      <w:r w:rsidR="00BE64AF">
        <w:rPr>
          <w:smallCaps w:val="0"/>
        </w:rPr>
        <w:t xml:space="preserve">durata </w:t>
      </w:r>
      <w:r w:rsidR="00E12C76">
        <w:rPr>
          <w:smallCaps w:val="0"/>
        </w:rPr>
        <w:t xml:space="preserve">momentanea </w:t>
      </w:r>
      <w:r w:rsidR="00BE64AF">
        <w:rPr>
          <w:smallCaps w:val="0"/>
        </w:rPr>
        <w:t>di una festa</w:t>
      </w:r>
      <w:r w:rsidR="002C63C8">
        <w:rPr>
          <w:smallCaps w:val="0"/>
        </w:rPr>
        <w:t>, destinata a</w:t>
      </w:r>
      <w:r w:rsidR="00BE64AF">
        <w:rPr>
          <w:smallCaps w:val="0"/>
        </w:rPr>
        <w:t xml:space="preserve"> diven</w:t>
      </w:r>
      <w:r w:rsidR="002C63C8">
        <w:rPr>
          <w:smallCaps w:val="0"/>
        </w:rPr>
        <w:t>ire</w:t>
      </w:r>
      <w:r w:rsidR="00BE64AF">
        <w:rPr>
          <w:smallCaps w:val="0"/>
        </w:rPr>
        <w:t xml:space="preserve"> eterna sol</w:t>
      </w:r>
      <w:r w:rsidR="002C63C8">
        <w:rPr>
          <w:smallCaps w:val="0"/>
        </w:rPr>
        <w:t>o</w:t>
      </w:r>
      <w:r w:rsidR="00BE64AF">
        <w:rPr>
          <w:smallCaps w:val="0"/>
        </w:rPr>
        <w:t xml:space="preserve"> nelle opere letterarie conservate nella biblioteca del principe.</w:t>
      </w:r>
    </w:p>
    <w:p w14:paraId="782186F4" w14:textId="77777777" w:rsidR="00BE64AF" w:rsidRDefault="00BE64AF" w:rsidP="00B66940">
      <w:pPr>
        <w:pStyle w:val="Titolocapitolo"/>
        <w:jc w:val="both"/>
        <w:rPr>
          <w:smallCaps w:val="0"/>
        </w:rPr>
      </w:pPr>
      <w:r w:rsidRPr="00BE64AF">
        <w:rPr>
          <w:smallCaps w:val="0"/>
        </w:rPr>
        <w:t xml:space="preserve">La schedatura sistematica delle immagini e delle allegorie ricorrenti </w:t>
      </w:r>
      <w:r w:rsidR="00DF611C">
        <w:rPr>
          <w:smallCaps w:val="0"/>
        </w:rPr>
        <w:t>nelle</w:t>
      </w:r>
      <w:r w:rsidRPr="00BE64AF">
        <w:rPr>
          <w:smallCaps w:val="0"/>
        </w:rPr>
        <w:t xml:space="preserve"> feste</w:t>
      </w:r>
      <w:r w:rsidR="00DF611C">
        <w:rPr>
          <w:smallCaps w:val="0"/>
        </w:rPr>
        <w:t xml:space="preserve"> dinastiche</w:t>
      </w:r>
      <w:r w:rsidR="00E12C76">
        <w:rPr>
          <w:smallCaps w:val="0"/>
        </w:rPr>
        <w:t xml:space="preserve"> – capaci di</w:t>
      </w:r>
      <w:r w:rsidR="005F5119">
        <w:rPr>
          <w:smallCaps w:val="0"/>
        </w:rPr>
        <w:t xml:space="preserve"> </w:t>
      </w:r>
      <w:r w:rsidR="00022FFB">
        <w:rPr>
          <w:smallCaps w:val="0"/>
        </w:rPr>
        <w:t xml:space="preserve">rappresentare visivamente </w:t>
      </w:r>
      <w:r w:rsidR="005F5119">
        <w:rPr>
          <w:smallCaps w:val="0"/>
        </w:rPr>
        <w:t>i</w:t>
      </w:r>
      <w:r w:rsidR="005F5119" w:rsidRPr="005F5119">
        <w:rPr>
          <w:smallCaps w:val="0"/>
        </w:rPr>
        <w:t xml:space="preserve">l potere </w:t>
      </w:r>
      <w:r w:rsidR="005F5119">
        <w:rPr>
          <w:smallCaps w:val="0"/>
        </w:rPr>
        <w:t xml:space="preserve">del principe </w:t>
      </w:r>
      <w:r w:rsidR="005F5119" w:rsidRPr="005F5119">
        <w:rPr>
          <w:smallCaps w:val="0"/>
        </w:rPr>
        <w:t>sul</w:t>
      </w:r>
      <w:r w:rsidR="00022FFB">
        <w:rPr>
          <w:smallCaps w:val="0"/>
        </w:rPr>
        <w:t>la città</w:t>
      </w:r>
      <w:r w:rsidR="005F5119" w:rsidRPr="005F5119">
        <w:rPr>
          <w:smallCaps w:val="0"/>
        </w:rPr>
        <w:t xml:space="preserve"> e i suoi rapporti con le potenze alleate e rivali</w:t>
      </w:r>
      <w:r w:rsidR="00E12C76">
        <w:rPr>
          <w:smallCaps w:val="0"/>
        </w:rPr>
        <w:t xml:space="preserve"> </w:t>
      </w:r>
      <w:r w:rsidR="005F5119">
        <w:rPr>
          <w:smallCaps w:val="0"/>
        </w:rPr>
        <w:t>–</w:t>
      </w:r>
      <w:r w:rsidRPr="00BE64AF">
        <w:rPr>
          <w:smallCaps w:val="0"/>
        </w:rPr>
        <w:t xml:space="preserve"> p</w:t>
      </w:r>
      <w:r w:rsidR="00DF611C">
        <w:rPr>
          <w:smallCaps w:val="0"/>
        </w:rPr>
        <w:t>otrebbe</w:t>
      </w:r>
      <w:r w:rsidRPr="00BE64AF">
        <w:rPr>
          <w:smallCaps w:val="0"/>
        </w:rPr>
        <w:t xml:space="preserve"> allora rendere disponibile una ricca serie di dati utili alla comprensione della cultura figurativa</w:t>
      </w:r>
      <w:r w:rsidR="005F5119">
        <w:rPr>
          <w:smallCaps w:val="0"/>
        </w:rPr>
        <w:t xml:space="preserve"> e teatrale</w:t>
      </w:r>
      <w:r w:rsidRPr="00BE64AF">
        <w:rPr>
          <w:smallCaps w:val="0"/>
        </w:rPr>
        <w:t xml:space="preserve"> del Rinascimento, e l’indagine sul loro significato, operata grazie ai metodi dell’iconologia e dell</w:t>
      </w:r>
      <w:r w:rsidR="00DF611C">
        <w:rPr>
          <w:smallCaps w:val="0"/>
        </w:rPr>
        <w:t>’</w:t>
      </w:r>
      <w:r w:rsidRPr="00BE64AF">
        <w:rPr>
          <w:smallCaps w:val="0"/>
        </w:rPr>
        <w:t xml:space="preserve">iconografia, </w:t>
      </w:r>
      <w:r w:rsidR="00DF611C">
        <w:rPr>
          <w:smallCaps w:val="0"/>
        </w:rPr>
        <w:t>potrebbe fornire</w:t>
      </w:r>
      <w:r w:rsidRPr="00BE64AF">
        <w:rPr>
          <w:smallCaps w:val="0"/>
        </w:rPr>
        <w:t xml:space="preserve"> agli studiosi di diverse discipline artistiche </w:t>
      </w:r>
      <w:r w:rsidR="00DF611C">
        <w:rPr>
          <w:smallCaps w:val="0"/>
        </w:rPr>
        <w:t>chiavi di lettura nuove per</w:t>
      </w:r>
      <w:r w:rsidRPr="00BE64AF">
        <w:rPr>
          <w:smallCaps w:val="0"/>
        </w:rPr>
        <w:t xml:space="preserve"> decifrare le modalità con cui il mondo dell’umanesimo si avv</w:t>
      </w:r>
      <w:r w:rsidR="00DF611C">
        <w:rPr>
          <w:smallCaps w:val="0"/>
        </w:rPr>
        <w:t>iò</w:t>
      </w:r>
      <w:r w:rsidRPr="00BE64AF">
        <w:rPr>
          <w:smallCaps w:val="0"/>
        </w:rPr>
        <w:t xml:space="preserve"> per le vie di quella che Aby Warburg definì la Rinascita del paganesimo antico.</w:t>
      </w:r>
      <w:r w:rsidR="002C63C8">
        <w:rPr>
          <w:smallCaps w:val="0"/>
        </w:rPr>
        <w:t xml:space="preserve"> </w:t>
      </w:r>
    </w:p>
    <w:p w14:paraId="39432DFC" w14:textId="77777777" w:rsidR="00DB7397" w:rsidRDefault="006D4846" w:rsidP="00B66940">
      <w:pPr>
        <w:pStyle w:val="Titolocapitolo"/>
        <w:jc w:val="both"/>
        <w:rPr>
          <w:smallCaps w:val="0"/>
        </w:rPr>
      </w:pPr>
      <w:r>
        <w:rPr>
          <w:smallCaps w:val="0"/>
        </w:rPr>
        <w:t>Sarà op</w:t>
      </w:r>
      <w:r w:rsidR="00AC2968">
        <w:rPr>
          <w:smallCaps w:val="0"/>
        </w:rPr>
        <w:t>p</w:t>
      </w:r>
      <w:r>
        <w:rPr>
          <w:smallCaps w:val="0"/>
        </w:rPr>
        <w:t>ortuno considerare la cultura letteraria</w:t>
      </w:r>
      <w:r w:rsidRPr="006D4846">
        <w:rPr>
          <w:smallCaps w:val="0"/>
        </w:rPr>
        <w:t xml:space="preserve"> </w:t>
      </w:r>
      <w:r>
        <w:rPr>
          <w:smallCaps w:val="0"/>
        </w:rPr>
        <w:t>delle corti in cui fu elaborata questa mitopoiesi delle celebrazioni, sondabile grazie agli inventari delle biblioteche principesche di cui abbiamo ragionato</w:t>
      </w:r>
      <w:r w:rsidR="00022FFB">
        <w:rPr>
          <w:smallCaps w:val="0"/>
        </w:rPr>
        <w:t xml:space="preserve"> in queste pagine</w:t>
      </w:r>
      <w:r>
        <w:rPr>
          <w:smallCaps w:val="0"/>
        </w:rPr>
        <w:t xml:space="preserve">. Dall’effimero della festa all’eterno della letteratura potrebbe </w:t>
      </w:r>
      <w:r w:rsidR="00022FFB">
        <w:rPr>
          <w:smallCaps w:val="0"/>
        </w:rPr>
        <w:t xml:space="preserve">allora </w:t>
      </w:r>
      <w:r w:rsidR="009B1753">
        <w:rPr>
          <w:smallCaps w:val="0"/>
        </w:rPr>
        <w:t xml:space="preserve">avviarsi </w:t>
      </w:r>
      <w:r>
        <w:rPr>
          <w:smallCaps w:val="0"/>
        </w:rPr>
        <w:t>quest</w:t>
      </w:r>
      <w:r w:rsidR="00022FFB">
        <w:rPr>
          <w:smallCaps w:val="0"/>
        </w:rPr>
        <w:t>a</w:t>
      </w:r>
      <w:r>
        <w:rPr>
          <w:smallCaps w:val="0"/>
        </w:rPr>
        <w:t xml:space="preserve"> terz</w:t>
      </w:r>
      <w:r w:rsidR="00022FFB">
        <w:rPr>
          <w:smallCaps w:val="0"/>
        </w:rPr>
        <w:t>a</w:t>
      </w:r>
      <w:r>
        <w:rPr>
          <w:smallCaps w:val="0"/>
        </w:rPr>
        <w:t xml:space="preserve"> </w:t>
      </w:r>
      <w:r w:rsidR="00022FFB">
        <w:rPr>
          <w:smallCaps w:val="0"/>
        </w:rPr>
        <w:t>direzione</w:t>
      </w:r>
      <w:r>
        <w:rPr>
          <w:smallCaps w:val="0"/>
        </w:rPr>
        <w:t xml:space="preserve"> di ricerca</w:t>
      </w:r>
      <w:r w:rsidR="00143DFA">
        <w:rPr>
          <w:smallCaps w:val="0"/>
        </w:rPr>
        <w:t xml:space="preserve">, che </w:t>
      </w:r>
      <w:r w:rsidR="00437DF0">
        <w:rPr>
          <w:smallCaps w:val="0"/>
        </w:rPr>
        <w:t xml:space="preserve">spiegherà </w:t>
      </w:r>
      <w:r w:rsidR="00143DFA">
        <w:rPr>
          <w:smallCaps w:val="0"/>
        </w:rPr>
        <w:t>come il meccanismo di significazione de</w:t>
      </w:r>
      <w:r w:rsidR="00384983">
        <w:rPr>
          <w:smallCaps w:val="0"/>
        </w:rPr>
        <w:t xml:space="preserve">i festeggiamenti </w:t>
      </w:r>
      <w:r w:rsidR="00143DFA">
        <w:rPr>
          <w:smallCaps w:val="0"/>
        </w:rPr>
        <w:t xml:space="preserve">nuziali e dei loro intrattenimenti poggiasse su memorie letterarie, </w:t>
      </w:r>
      <w:r w:rsidR="00084924">
        <w:rPr>
          <w:smallCaps w:val="0"/>
        </w:rPr>
        <w:t xml:space="preserve">su </w:t>
      </w:r>
      <w:r w:rsidR="00143DFA">
        <w:rPr>
          <w:smallCaps w:val="0"/>
        </w:rPr>
        <w:t xml:space="preserve">dottrine neoplatoniche, </w:t>
      </w:r>
      <w:r w:rsidR="00084924">
        <w:rPr>
          <w:smallCaps w:val="0"/>
        </w:rPr>
        <w:t xml:space="preserve">su </w:t>
      </w:r>
      <w:r w:rsidR="00143DFA">
        <w:rPr>
          <w:smallCaps w:val="0"/>
        </w:rPr>
        <w:t xml:space="preserve">obiettivi di comunicazione politica </w:t>
      </w:r>
      <w:r w:rsidR="009B1753">
        <w:rPr>
          <w:smallCaps w:val="0"/>
        </w:rPr>
        <w:t>e sull’ideale</w:t>
      </w:r>
      <w:r w:rsidR="00AC2968">
        <w:rPr>
          <w:smallCaps w:val="0"/>
        </w:rPr>
        <w:t xml:space="preserve"> e</w:t>
      </w:r>
      <w:r w:rsidR="009B1753">
        <w:rPr>
          <w:smallCaps w:val="0"/>
        </w:rPr>
        <w:t xml:space="preserve"> impossibile ritorno a un passato leggendario</w:t>
      </w:r>
      <w:r w:rsidR="00AC2968">
        <w:rPr>
          <w:smallCaps w:val="0"/>
        </w:rPr>
        <w:t>. Suggestioni</w:t>
      </w:r>
      <w:r w:rsidR="00CF33B1">
        <w:rPr>
          <w:smallCaps w:val="0"/>
        </w:rPr>
        <w:t>,</w:t>
      </w:r>
      <w:r w:rsidR="009B1753">
        <w:rPr>
          <w:smallCaps w:val="0"/>
        </w:rPr>
        <w:t xml:space="preserve"> </w:t>
      </w:r>
      <w:r w:rsidR="00143DFA">
        <w:rPr>
          <w:smallCaps w:val="0"/>
        </w:rPr>
        <w:t xml:space="preserve">capaci di incantare lo spettatore </w:t>
      </w:r>
      <w:r w:rsidR="009B1753">
        <w:rPr>
          <w:smallCaps w:val="0"/>
        </w:rPr>
        <w:t>rinascimentale</w:t>
      </w:r>
      <w:r w:rsidR="00084924">
        <w:rPr>
          <w:smallCaps w:val="0"/>
        </w:rPr>
        <w:t xml:space="preserve"> </w:t>
      </w:r>
      <w:r w:rsidR="009B1753">
        <w:rPr>
          <w:smallCaps w:val="0"/>
        </w:rPr>
        <w:t>e l’odierno lettore d</w:t>
      </w:r>
      <w:r w:rsidR="00AC2968">
        <w:rPr>
          <w:smallCaps w:val="0"/>
        </w:rPr>
        <w:t>e</w:t>
      </w:r>
      <w:r w:rsidR="009B1753">
        <w:rPr>
          <w:smallCaps w:val="0"/>
        </w:rPr>
        <w:t xml:space="preserve">i fragili libretti per nozze di cui si è cercato di scrivere la storia. </w:t>
      </w:r>
    </w:p>
    <w:p w14:paraId="6147F363" w14:textId="77777777" w:rsidR="00B92BCD" w:rsidRDefault="00B92BCD">
      <w:pPr>
        <w:spacing w:line="259" w:lineRule="auto"/>
        <w:rPr>
          <w:rFonts w:ascii="Times New Roman" w:eastAsiaTheme="minorEastAsia" w:hAnsi="Times New Roman" w:cs="Times New Roman"/>
          <w:sz w:val="24"/>
          <w:szCs w:val="24"/>
        </w:rPr>
      </w:pPr>
      <w:r>
        <w:rPr>
          <w:smallCaps/>
        </w:rPr>
        <w:br w:type="page"/>
      </w:r>
    </w:p>
    <w:p w14:paraId="20510AD0" w14:textId="77777777" w:rsidR="00CA3AC6" w:rsidRDefault="00CA3AC6" w:rsidP="00B92BCD">
      <w:pPr>
        <w:spacing w:line="259" w:lineRule="auto"/>
        <w:jc w:val="center"/>
        <w:rPr>
          <w:rFonts w:ascii="Times New Roman" w:hAnsi="Times New Roman" w:cs="Times New Roman"/>
          <w:smallCaps/>
          <w:sz w:val="72"/>
          <w:szCs w:val="72"/>
        </w:rPr>
      </w:pPr>
    </w:p>
    <w:p w14:paraId="60188BFA" w14:textId="77777777" w:rsidR="00B92BCD" w:rsidRDefault="00B92BCD" w:rsidP="00B92BCD">
      <w:pPr>
        <w:spacing w:line="259" w:lineRule="auto"/>
        <w:jc w:val="center"/>
        <w:rPr>
          <w:rFonts w:ascii="Times New Roman" w:hAnsi="Times New Roman" w:cs="Times New Roman"/>
          <w:smallCaps/>
          <w:sz w:val="28"/>
          <w:szCs w:val="28"/>
        </w:rPr>
      </w:pPr>
      <w:r>
        <w:rPr>
          <w:rFonts w:ascii="Times New Roman" w:hAnsi="Times New Roman" w:cs="Times New Roman"/>
          <w:smallCaps/>
          <w:sz w:val="72"/>
          <w:szCs w:val="72"/>
        </w:rPr>
        <w:t>Appendici</w:t>
      </w:r>
      <w:r>
        <w:rPr>
          <w:rFonts w:ascii="Times New Roman" w:hAnsi="Times New Roman" w:cs="Times New Roman"/>
          <w:smallCaps/>
          <w:sz w:val="28"/>
          <w:szCs w:val="28"/>
        </w:rPr>
        <w:br w:type="page"/>
      </w:r>
    </w:p>
    <w:p w14:paraId="28BEDB6D" w14:textId="77777777" w:rsidR="00A34A9F" w:rsidRDefault="00A34A9F">
      <w:pPr>
        <w:spacing w:line="259" w:lineRule="auto"/>
        <w:rPr>
          <w:rFonts w:ascii="Times New Roman" w:eastAsiaTheme="minorEastAsia" w:hAnsi="Times New Roman" w:cs="Times New Roman"/>
          <w:smallCaps/>
          <w:sz w:val="24"/>
          <w:szCs w:val="24"/>
        </w:rPr>
      </w:pPr>
      <w:r>
        <w:br w:type="page"/>
      </w:r>
    </w:p>
    <w:p w14:paraId="3CF4A3C3" w14:textId="77777777" w:rsidR="00B92BCD" w:rsidRPr="00096909" w:rsidRDefault="00B92BCD" w:rsidP="00B92BCD">
      <w:pPr>
        <w:pStyle w:val="Titolocapitolo"/>
      </w:pPr>
      <w:r w:rsidRPr="00096909">
        <w:t xml:space="preserve">Appendice I. </w:t>
      </w:r>
    </w:p>
    <w:p w14:paraId="103B4E67" w14:textId="77777777" w:rsidR="00B92BCD" w:rsidRPr="00096909" w:rsidRDefault="00B92BCD" w:rsidP="00B92BCD">
      <w:pPr>
        <w:pStyle w:val="Titolocapitolo"/>
      </w:pPr>
      <w:r w:rsidRPr="00096909">
        <w:t>Catalogo degli incunaboli italiani editi per nozze.</w:t>
      </w:r>
    </w:p>
    <w:p w14:paraId="4E3B81BC" w14:textId="77777777" w:rsidR="00B92BCD" w:rsidRDefault="00B92BCD" w:rsidP="00B92BCD">
      <w:pPr>
        <w:pStyle w:val="Nessunaspaziatura"/>
        <w:spacing w:line="360" w:lineRule="auto"/>
        <w:jc w:val="both"/>
        <w:rPr>
          <w:rFonts w:ascii="Times New Roman" w:hAnsi="Times New Roman" w:cs="Times New Roman"/>
          <w:smallCaps/>
          <w:sz w:val="24"/>
          <w:szCs w:val="24"/>
        </w:rPr>
      </w:pPr>
    </w:p>
    <w:p w14:paraId="5BECEB9A" w14:textId="77777777" w:rsidR="00B92BCD" w:rsidRPr="00096909" w:rsidRDefault="00B92BCD" w:rsidP="00B92BCD">
      <w:pPr>
        <w:pStyle w:val="Nessunaspaziatura"/>
        <w:spacing w:line="360" w:lineRule="auto"/>
        <w:jc w:val="both"/>
        <w:rPr>
          <w:rFonts w:ascii="Times New Roman" w:hAnsi="Times New Roman" w:cs="Times New Roman"/>
          <w:smallCaps/>
          <w:sz w:val="24"/>
          <w:szCs w:val="24"/>
        </w:rPr>
      </w:pPr>
    </w:p>
    <w:p w14:paraId="2B1758C6" w14:textId="77777777" w:rsidR="00B92BCD" w:rsidRPr="00096909" w:rsidRDefault="00B92BCD" w:rsidP="00B92BCD">
      <w:pPr>
        <w:pStyle w:val="Nessunaspaziatura"/>
        <w:spacing w:line="360" w:lineRule="auto"/>
        <w:jc w:val="both"/>
        <w:rPr>
          <w:rFonts w:ascii="Times New Roman" w:hAnsi="Times New Roman" w:cs="Times New Roman"/>
          <w:sz w:val="24"/>
          <w:szCs w:val="24"/>
        </w:rPr>
      </w:pPr>
      <w:r w:rsidRPr="00096909">
        <w:rPr>
          <w:rFonts w:ascii="Times New Roman" w:hAnsi="Times New Roman" w:cs="Times New Roman"/>
          <w:smallCaps/>
          <w:sz w:val="24"/>
          <w:szCs w:val="24"/>
        </w:rPr>
        <w:t>scheda 1] Naldus, Naldi</w:t>
      </w:r>
      <w:r w:rsidRPr="00096909">
        <w:rPr>
          <w:rFonts w:ascii="Times New Roman" w:hAnsi="Times New Roman" w:cs="Times New Roman"/>
          <w:sz w:val="24"/>
          <w:szCs w:val="24"/>
        </w:rPr>
        <w:t>.</w:t>
      </w:r>
      <w:r w:rsidRPr="00096909">
        <w:rPr>
          <w:rFonts w:ascii="Times New Roman" w:hAnsi="Times New Roman" w:cs="Times New Roman"/>
          <w:i/>
          <w:sz w:val="24"/>
          <w:szCs w:val="24"/>
        </w:rPr>
        <w:t xml:space="preserve"> Hexametrum carmen de ludicro hastatorum equitum certamine ad Iulianum Medicen clarissimum certaminis victorem</w:t>
      </w:r>
      <w:r w:rsidRPr="00096909">
        <w:rPr>
          <w:rFonts w:ascii="Times New Roman" w:hAnsi="Times New Roman" w:cs="Times New Roman"/>
          <w:sz w:val="24"/>
          <w:szCs w:val="24"/>
        </w:rPr>
        <w:t>.</w:t>
      </w:r>
    </w:p>
    <w:p w14:paraId="39B57800" w14:textId="77777777" w:rsidR="00B92BCD" w:rsidRPr="00096909" w:rsidRDefault="00B92BCD" w:rsidP="00B92BCD">
      <w:pPr>
        <w:pStyle w:val="Nessunaspaziatura"/>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[Firenze, Francesco di Dino, dopo il 29 gennaio 1475].  </w:t>
      </w:r>
    </w:p>
    <w:p w14:paraId="01C96A33" w14:textId="77777777" w:rsidR="00B92BCD" w:rsidRPr="00096909" w:rsidRDefault="00B92BCD" w:rsidP="00B92BCD">
      <w:pPr>
        <w:pStyle w:val="Nessunaspaziatura"/>
        <w:spacing w:line="360" w:lineRule="auto"/>
        <w:rPr>
          <w:rFonts w:ascii="Times New Roman" w:hAnsi="Times New Roman" w:cs="Times New Roman"/>
          <w:sz w:val="24"/>
          <w:szCs w:val="24"/>
        </w:rPr>
      </w:pPr>
    </w:p>
    <w:p w14:paraId="26FBE3F8"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In 4</w:t>
      </w:r>
      <w:r w:rsidRPr="00096909">
        <w:rPr>
          <w:rFonts w:ascii="Times New Roman" w:hAnsi="Times New Roman" w:cs="Times New Roman"/>
          <w:sz w:val="24"/>
          <w:szCs w:val="24"/>
          <w:vertAlign w:val="superscript"/>
        </w:rPr>
        <w:t>0</w:t>
      </w:r>
      <w:r w:rsidRPr="00096909">
        <w:rPr>
          <w:rFonts w:ascii="Times New Roman" w:hAnsi="Times New Roman" w:cs="Times New Roman"/>
          <w:sz w:val="24"/>
          <w:szCs w:val="24"/>
        </w:rPr>
        <w:t>, rom., testo a piena pagina, specchio di pagina 140,00 x 90,00 mm; cc. [10], fascicolatura a</w:t>
      </w:r>
      <w:r w:rsidRPr="00096909">
        <w:rPr>
          <w:rFonts w:ascii="Times New Roman" w:hAnsi="Times New Roman" w:cs="Times New Roman"/>
          <w:sz w:val="24"/>
          <w:szCs w:val="24"/>
          <w:vertAlign w:val="superscript"/>
        </w:rPr>
        <w:t>10</w:t>
      </w:r>
      <w:r w:rsidRPr="00096909">
        <w:rPr>
          <w:rFonts w:ascii="Times New Roman" w:hAnsi="Times New Roman" w:cs="Times New Roman"/>
          <w:sz w:val="24"/>
          <w:szCs w:val="24"/>
        </w:rPr>
        <w:t>.</w:t>
      </w:r>
    </w:p>
    <w:p w14:paraId="286578D7"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57D98F1E"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r w:rsidRPr="00096909">
        <w:rPr>
          <w:rFonts w:ascii="Times New Roman" w:hAnsi="Times New Roman" w:cs="Times New Roman"/>
          <w:sz w:val="24"/>
          <w:szCs w:val="24"/>
        </w:rPr>
        <w:t xml:space="preserve">IGI 6765. GW M2579. </w:t>
      </w:r>
    </w:p>
    <w:p w14:paraId="505468E2"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51489106"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67F074BC"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r w:rsidRPr="00096909">
        <w:rPr>
          <w:rFonts w:ascii="Times New Roman" w:hAnsi="Times New Roman" w:cs="Times New Roman"/>
          <w:b/>
          <w:sz w:val="24"/>
          <w:szCs w:val="24"/>
        </w:rPr>
        <w:t xml:space="preserve">Contenuto </w:t>
      </w:r>
    </w:p>
    <w:p w14:paraId="0EBB3D2C"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p>
    <w:p w14:paraId="4026718A"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a1r: NALDI Naldii elegum carmen ad eruditissimum || Petrum medicen Laurentii filium. || (Incipit) Carmina: quod medices nimiu[m] puer ipse fuisses […]   </w:t>
      </w:r>
    </w:p>
    <w:p w14:paraId="1DDE8996"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a1v: (Explicit) Quam peperere simul robur: &amp; ingenium. || NALDI naldii hexametrum carme[n] de ludicro || hastatorum equitum certamine ad Iulianum || Medicen clarissimum certaminis victorem. || (Incipit) Semper: ut ante mihi meritis [per]gra[n]dibus in vos […] </w:t>
      </w:r>
    </w:p>
    <w:p w14:paraId="7D50F9C8"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A c. a10v: (Explicit) Substulit: &amp; medicos auxit virtute triumphos. || FINIS. </w:t>
      </w:r>
    </w:p>
    <w:p w14:paraId="268B7A00"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w:t>
      </w:r>
    </w:p>
    <w:p w14:paraId="4FD40DB8"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p>
    <w:p w14:paraId="151F1CC5"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r w:rsidRPr="00096909">
        <w:rPr>
          <w:rFonts w:ascii="Times New Roman" w:hAnsi="Times New Roman" w:cs="Times New Roman"/>
          <w:b/>
          <w:sz w:val="24"/>
          <w:szCs w:val="24"/>
        </w:rPr>
        <w:t>Esemplare esaminato</w:t>
      </w:r>
    </w:p>
    <w:p w14:paraId="659F6BA2"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2FF11D4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Parigi, Biblioteca Nazionale di Francia, RES-K-748 (2). Esemplare in ottimo stato di conservazione. Legatura in cartoncino grigio con rivestimento in carta opaca giallastra. Margine superiore assai rifilato. L’incunabolo è stato legato con altre tre edizioni italiane del sec. XV. È preceduto da N. Naldi </w:t>
      </w:r>
      <w:r w:rsidRPr="00096909">
        <w:rPr>
          <w:rFonts w:ascii="Times New Roman" w:hAnsi="Times New Roman" w:cs="Times New Roman"/>
          <w:i/>
          <w:sz w:val="24"/>
          <w:szCs w:val="24"/>
        </w:rPr>
        <w:t>Carmen nuptiale</w:t>
      </w:r>
      <w:r w:rsidRPr="00096909">
        <w:rPr>
          <w:rFonts w:ascii="Times New Roman" w:hAnsi="Times New Roman" w:cs="Times New Roman"/>
          <w:sz w:val="24"/>
          <w:szCs w:val="24"/>
        </w:rPr>
        <w:t xml:space="preserve">. È seguito da F. Beroaldo, </w:t>
      </w:r>
      <w:r w:rsidRPr="00096909">
        <w:rPr>
          <w:rFonts w:ascii="Times New Roman" w:hAnsi="Times New Roman" w:cs="Times New Roman"/>
          <w:i/>
          <w:sz w:val="24"/>
          <w:szCs w:val="24"/>
        </w:rPr>
        <w:t>Nuptiae Bentivolorum</w:t>
      </w:r>
      <w:r w:rsidRPr="00096909">
        <w:rPr>
          <w:rFonts w:ascii="Times New Roman" w:hAnsi="Times New Roman" w:cs="Times New Roman"/>
          <w:sz w:val="24"/>
          <w:szCs w:val="24"/>
        </w:rPr>
        <w:t xml:space="preserve">; G. Petroboni, </w:t>
      </w:r>
      <w:r w:rsidRPr="00096909">
        <w:rPr>
          <w:rFonts w:ascii="Times New Roman" w:hAnsi="Times New Roman" w:cs="Times New Roman"/>
          <w:i/>
          <w:sz w:val="24"/>
          <w:szCs w:val="24"/>
        </w:rPr>
        <w:t>Bentivola</w:t>
      </w:r>
      <w:r w:rsidRPr="00096909">
        <w:rPr>
          <w:rFonts w:ascii="Times New Roman" w:hAnsi="Times New Roman" w:cs="Times New Roman"/>
          <w:sz w:val="24"/>
          <w:szCs w:val="24"/>
        </w:rPr>
        <w:t xml:space="preserve">. Alla c. a1 r. si legge tra parentesi tonde la cifra 2 indicante che l’opuscolo è il secondo del volume. </w:t>
      </w:r>
    </w:p>
    <w:p w14:paraId="4FFD67E3" w14:textId="77777777" w:rsidR="00B92BCD" w:rsidRPr="00096909" w:rsidRDefault="00B92BCD" w:rsidP="00B92BCD">
      <w:pPr>
        <w:spacing w:after="0" w:line="360" w:lineRule="auto"/>
        <w:jc w:val="both"/>
        <w:rPr>
          <w:sz w:val="24"/>
          <w:szCs w:val="24"/>
        </w:rPr>
      </w:pPr>
      <w:r w:rsidRPr="00096909">
        <w:rPr>
          <w:rFonts w:ascii="Times New Roman" w:hAnsi="Times New Roman" w:cs="Times New Roman"/>
          <w:sz w:val="24"/>
          <w:szCs w:val="24"/>
        </w:rPr>
        <w:t xml:space="preserve">Dimensioni esemplare 190,80 x 130,70 mm.; margini larghi. Rare annotazioni manoscritte in inchiostro nero. </w:t>
      </w:r>
    </w:p>
    <w:p w14:paraId="47875EA9" w14:textId="77777777" w:rsidR="00B92BCD" w:rsidRPr="00B92BCD" w:rsidRDefault="00B92BCD" w:rsidP="00247D1A">
      <w:pPr>
        <w:spacing w:line="259" w:lineRule="auto"/>
        <w:jc w:val="both"/>
      </w:pPr>
      <w:r w:rsidRPr="00FD3DC7">
        <w:rPr>
          <w:rFonts w:ascii="Times New Roman" w:hAnsi="Times New Roman" w:cs="Times New Roman"/>
          <w:smallCaps/>
          <w:sz w:val="24"/>
          <w:szCs w:val="24"/>
        </w:rPr>
        <w:t>scheda 2] Naldus, Naldi</w:t>
      </w:r>
      <w:r w:rsidRPr="00FD3DC7">
        <w:rPr>
          <w:rFonts w:ascii="Times New Roman" w:hAnsi="Times New Roman" w:cs="Times New Roman"/>
          <w:sz w:val="24"/>
          <w:szCs w:val="24"/>
        </w:rPr>
        <w:t xml:space="preserve">. </w:t>
      </w:r>
      <w:r w:rsidRPr="00FD3DC7">
        <w:rPr>
          <w:rFonts w:ascii="Times New Roman" w:hAnsi="Times New Roman" w:cs="Times New Roman"/>
          <w:i/>
          <w:sz w:val="24"/>
          <w:szCs w:val="24"/>
        </w:rPr>
        <w:t>Elegia in septem stellas errantes sub humana specie per urbem Florentinam curribus a Laurentio Medice patriae patre duci iussas more triumphantium.</w:t>
      </w:r>
    </w:p>
    <w:p w14:paraId="2F474227" w14:textId="77777777" w:rsidR="00B92BCD" w:rsidRPr="00FD3DC7" w:rsidRDefault="00B92BCD" w:rsidP="00B92BCD">
      <w:pPr>
        <w:jc w:val="both"/>
        <w:rPr>
          <w:rFonts w:ascii="Times New Roman" w:hAnsi="Times New Roman" w:cs="Times New Roman"/>
          <w:sz w:val="24"/>
          <w:szCs w:val="24"/>
        </w:rPr>
      </w:pPr>
      <w:r w:rsidRPr="00FD3DC7">
        <w:rPr>
          <w:rFonts w:ascii="Times New Roman" w:hAnsi="Times New Roman" w:cs="Times New Roman"/>
          <w:sz w:val="24"/>
          <w:szCs w:val="24"/>
        </w:rPr>
        <w:t xml:space="preserve">[Firenze, Francesco di Dino, dopo febbraio 1490] </w:t>
      </w:r>
    </w:p>
    <w:p w14:paraId="5BC193F4" w14:textId="77777777" w:rsidR="00B92BCD" w:rsidRPr="00FD3DC7" w:rsidRDefault="00B92BCD" w:rsidP="00B92BCD">
      <w:pPr>
        <w:pStyle w:val="Nessunaspaziatura"/>
        <w:spacing w:line="360" w:lineRule="auto"/>
        <w:ind w:firstLine="397"/>
        <w:jc w:val="both"/>
        <w:rPr>
          <w:rFonts w:ascii="Times New Roman" w:hAnsi="Times New Roman" w:cs="Times New Roman"/>
          <w:sz w:val="24"/>
          <w:szCs w:val="24"/>
        </w:rPr>
      </w:pPr>
      <w:r w:rsidRPr="00FD3DC7">
        <w:rPr>
          <w:rFonts w:ascii="Times New Roman" w:hAnsi="Times New Roman" w:cs="Times New Roman"/>
          <w:sz w:val="24"/>
          <w:szCs w:val="24"/>
        </w:rPr>
        <w:t>In 4</w:t>
      </w:r>
      <w:r w:rsidRPr="00FD3DC7">
        <w:rPr>
          <w:rFonts w:ascii="Times New Roman" w:hAnsi="Times New Roman" w:cs="Times New Roman"/>
          <w:sz w:val="24"/>
          <w:szCs w:val="24"/>
          <w:vertAlign w:val="superscript"/>
        </w:rPr>
        <w:t>0</w:t>
      </w:r>
      <w:r w:rsidRPr="00FD3DC7">
        <w:rPr>
          <w:rFonts w:ascii="Times New Roman" w:hAnsi="Times New Roman" w:cs="Times New Roman"/>
          <w:sz w:val="24"/>
          <w:szCs w:val="24"/>
        </w:rPr>
        <w:t xml:space="preserve">, rom., testo a piena pagina, specchio di </w:t>
      </w:r>
      <w:r w:rsidRPr="00DE43C6">
        <w:rPr>
          <w:rFonts w:ascii="Times New Roman" w:hAnsi="Times New Roman" w:cs="Times New Roman"/>
          <w:sz w:val="24"/>
          <w:szCs w:val="24"/>
        </w:rPr>
        <w:t>pagina 150,00 x 92,00</w:t>
      </w:r>
      <w:r w:rsidRPr="00FD3DC7">
        <w:rPr>
          <w:rFonts w:ascii="Times New Roman" w:hAnsi="Times New Roman" w:cs="Times New Roman"/>
          <w:sz w:val="24"/>
          <w:szCs w:val="24"/>
        </w:rPr>
        <w:t xml:space="preserve"> mm; cc. [</w:t>
      </w:r>
      <w:r>
        <w:rPr>
          <w:rFonts w:ascii="Times New Roman" w:hAnsi="Times New Roman" w:cs="Times New Roman"/>
          <w:sz w:val="24"/>
          <w:szCs w:val="24"/>
        </w:rPr>
        <w:t>6</w:t>
      </w:r>
      <w:r w:rsidRPr="00FD3DC7">
        <w:rPr>
          <w:rFonts w:ascii="Times New Roman" w:hAnsi="Times New Roman" w:cs="Times New Roman"/>
          <w:sz w:val="24"/>
          <w:szCs w:val="24"/>
        </w:rPr>
        <w:t>], fascicolatura a</w:t>
      </w:r>
      <w:r>
        <w:rPr>
          <w:rFonts w:ascii="Times New Roman" w:hAnsi="Times New Roman" w:cs="Times New Roman"/>
          <w:sz w:val="24"/>
          <w:szCs w:val="24"/>
          <w:vertAlign w:val="superscript"/>
        </w:rPr>
        <w:t>6</w:t>
      </w:r>
      <w:r w:rsidRPr="00FD3DC7">
        <w:rPr>
          <w:rFonts w:ascii="Times New Roman" w:hAnsi="Times New Roman" w:cs="Times New Roman"/>
          <w:sz w:val="24"/>
          <w:szCs w:val="24"/>
        </w:rPr>
        <w:t>.</w:t>
      </w:r>
    </w:p>
    <w:p w14:paraId="2C55E3EA" w14:textId="77777777" w:rsidR="00B92BCD" w:rsidRDefault="00B92BCD" w:rsidP="00B92BCD">
      <w:pPr>
        <w:ind w:firstLine="397"/>
        <w:jc w:val="both"/>
      </w:pPr>
    </w:p>
    <w:p w14:paraId="76154D8A" w14:textId="77777777" w:rsidR="00B92BCD" w:rsidRDefault="00B92BCD" w:rsidP="00B92BCD">
      <w:pPr>
        <w:ind w:firstLine="397"/>
        <w:jc w:val="both"/>
        <w:rPr>
          <w:rFonts w:ascii="Times New Roman" w:hAnsi="Times New Roman" w:cs="Times New Roman"/>
          <w:sz w:val="24"/>
          <w:szCs w:val="24"/>
        </w:rPr>
      </w:pPr>
      <w:r w:rsidRPr="00573454">
        <w:rPr>
          <w:rFonts w:ascii="Times New Roman" w:hAnsi="Times New Roman" w:cs="Times New Roman"/>
          <w:sz w:val="24"/>
          <w:szCs w:val="24"/>
        </w:rPr>
        <w:t>IGI 6766. H 11672 (I).</w:t>
      </w:r>
    </w:p>
    <w:p w14:paraId="2A4C968E" w14:textId="77777777" w:rsidR="00B92BCD" w:rsidRDefault="00B92BCD" w:rsidP="00B92BCD">
      <w:pPr>
        <w:ind w:firstLine="397"/>
        <w:jc w:val="both"/>
      </w:pPr>
    </w:p>
    <w:p w14:paraId="57387CF5"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r w:rsidRPr="00096909">
        <w:rPr>
          <w:rFonts w:ascii="Times New Roman" w:hAnsi="Times New Roman" w:cs="Times New Roman"/>
          <w:b/>
          <w:sz w:val="24"/>
          <w:szCs w:val="24"/>
        </w:rPr>
        <w:t xml:space="preserve">Contenuto </w:t>
      </w:r>
    </w:p>
    <w:p w14:paraId="2D1EA5C3"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p>
    <w:p w14:paraId="0BC9ECC1"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a</w:t>
      </w:r>
      <w:r>
        <w:rPr>
          <w:rFonts w:ascii="Times New Roman" w:hAnsi="Times New Roman" w:cs="Times New Roman"/>
          <w:sz w:val="24"/>
          <w:szCs w:val="24"/>
        </w:rPr>
        <w:t>2</w:t>
      </w:r>
      <w:r w:rsidRPr="00096909">
        <w:rPr>
          <w:rFonts w:ascii="Times New Roman" w:hAnsi="Times New Roman" w:cs="Times New Roman"/>
          <w:sz w:val="24"/>
          <w:szCs w:val="24"/>
        </w:rPr>
        <w:t xml:space="preserve">r: NALDI </w:t>
      </w:r>
      <w:r>
        <w:rPr>
          <w:rFonts w:ascii="Times New Roman" w:hAnsi="Times New Roman" w:cs="Times New Roman"/>
          <w:sz w:val="24"/>
          <w:szCs w:val="24"/>
        </w:rPr>
        <w:t>NALDII ELEGIA IN SEP</w:t>
      </w:r>
      <w:r w:rsidRPr="00096909">
        <w:rPr>
          <w:rFonts w:ascii="Times New Roman" w:hAnsi="Times New Roman" w:cs="Times New Roman"/>
          <w:sz w:val="24"/>
          <w:szCs w:val="24"/>
        </w:rPr>
        <w:t xml:space="preserve"> || </w:t>
      </w:r>
      <w:r>
        <w:rPr>
          <w:rFonts w:ascii="Times New Roman" w:hAnsi="Times New Roman" w:cs="Times New Roman"/>
          <w:sz w:val="24"/>
          <w:szCs w:val="24"/>
        </w:rPr>
        <w:t>TEM STELLAS ERRANTES SUB</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 HUMANA SPECIE PER URBEM || FLORENTINAM CURRIBUS A || LAURENTIO MEDICE PATRIAE || PATREDUCI IUSSAS MORE TRI || UMPHANTIUM</w:t>
      </w:r>
      <w:r w:rsidRPr="00096909">
        <w:rPr>
          <w:rFonts w:ascii="Times New Roman" w:hAnsi="Times New Roman" w:cs="Times New Roman"/>
          <w:sz w:val="24"/>
          <w:szCs w:val="24"/>
        </w:rPr>
        <w:t xml:space="preserve"> (Incipit) </w:t>
      </w:r>
      <w:r>
        <w:rPr>
          <w:rFonts w:ascii="Times New Roman" w:hAnsi="Times New Roman" w:cs="Times New Roman"/>
          <w:sz w:val="24"/>
          <w:szCs w:val="24"/>
        </w:rPr>
        <w:t>Mirari genus antiquum: quae viderat olim</w:t>
      </w:r>
      <w:r w:rsidRPr="00096909">
        <w:rPr>
          <w:rFonts w:ascii="Times New Roman" w:hAnsi="Times New Roman" w:cs="Times New Roman"/>
          <w:sz w:val="24"/>
          <w:szCs w:val="24"/>
        </w:rPr>
        <w:t xml:space="preserve"> […]   </w:t>
      </w:r>
    </w:p>
    <w:p w14:paraId="5C8C6374" w14:textId="77777777" w:rsidR="00B92BCD" w:rsidRPr="00096909" w:rsidRDefault="00B92BCD" w:rsidP="00B92BCD">
      <w:pPr>
        <w:ind w:firstLine="397"/>
        <w:jc w:val="both"/>
      </w:pPr>
      <w:r w:rsidRPr="00096909">
        <w:rPr>
          <w:rFonts w:ascii="Times New Roman" w:hAnsi="Times New Roman" w:cs="Times New Roman"/>
          <w:sz w:val="24"/>
          <w:szCs w:val="24"/>
        </w:rPr>
        <w:t>A c. a</w:t>
      </w:r>
      <w:r>
        <w:rPr>
          <w:rFonts w:ascii="Times New Roman" w:hAnsi="Times New Roman" w:cs="Times New Roman"/>
          <w:sz w:val="24"/>
          <w:szCs w:val="24"/>
        </w:rPr>
        <w:t>6r</w:t>
      </w:r>
      <w:r w:rsidRPr="00096909">
        <w:rPr>
          <w:rFonts w:ascii="Times New Roman" w:hAnsi="Times New Roman" w:cs="Times New Roman"/>
          <w:sz w:val="24"/>
          <w:szCs w:val="24"/>
        </w:rPr>
        <w:t xml:space="preserve">: (Explicit) </w:t>
      </w:r>
      <w:r>
        <w:rPr>
          <w:rFonts w:ascii="Times New Roman" w:hAnsi="Times New Roman" w:cs="Times New Roman"/>
          <w:sz w:val="24"/>
          <w:szCs w:val="24"/>
        </w:rPr>
        <w:t>Vedimus in terris astra superna sequi. FINIS.</w:t>
      </w:r>
    </w:p>
    <w:p w14:paraId="10D053F4" w14:textId="77777777" w:rsidR="00B92BCD" w:rsidRPr="00096909" w:rsidRDefault="00B92BCD" w:rsidP="00B92BCD">
      <w:pPr>
        <w:jc w:val="both"/>
      </w:pPr>
    </w:p>
    <w:p w14:paraId="23315FF4" w14:textId="77777777" w:rsidR="00B92BCD" w:rsidRDefault="00B92BCD" w:rsidP="00B92BCD">
      <w:pPr>
        <w:jc w:val="both"/>
      </w:pPr>
    </w:p>
    <w:p w14:paraId="383AE2D7"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r w:rsidRPr="00096909">
        <w:rPr>
          <w:rFonts w:ascii="Times New Roman" w:hAnsi="Times New Roman" w:cs="Times New Roman"/>
          <w:b/>
          <w:sz w:val="24"/>
          <w:szCs w:val="24"/>
        </w:rPr>
        <w:t>Esemplare esaminato</w:t>
      </w:r>
    </w:p>
    <w:p w14:paraId="461D2BB8"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682314F9" w14:textId="77777777" w:rsidR="00B92BCD" w:rsidRPr="00096909" w:rsidRDefault="00B92BCD" w:rsidP="00B92B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Firenze</w:t>
      </w:r>
      <w:r w:rsidRPr="00096909">
        <w:rPr>
          <w:rFonts w:ascii="Times New Roman" w:hAnsi="Times New Roman" w:cs="Times New Roman"/>
          <w:sz w:val="24"/>
          <w:szCs w:val="24"/>
        </w:rPr>
        <w:t xml:space="preserve">, Biblioteca </w:t>
      </w:r>
      <w:r>
        <w:rPr>
          <w:rFonts w:ascii="Times New Roman" w:hAnsi="Times New Roman" w:cs="Times New Roman"/>
          <w:sz w:val="24"/>
          <w:szCs w:val="24"/>
        </w:rPr>
        <w:t>Riccardiana</w:t>
      </w:r>
      <w:r w:rsidRPr="00096909">
        <w:rPr>
          <w:rFonts w:ascii="Times New Roman" w:hAnsi="Times New Roman" w:cs="Times New Roman"/>
          <w:sz w:val="24"/>
          <w:szCs w:val="24"/>
        </w:rPr>
        <w:t xml:space="preserve">, </w:t>
      </w:r>
      <w:r>
        <w:rPr>
          <w:rFonts w:ascii="Times New Roman" w:hAnsi="Times New Roman" w:cs="Times New Roman"/>
          <w:sz w:val="24"/>
          <w:szCs w:val="24"/>
        </w:rPr>
        <w:t>ER 572</w:t>
      </w:r>
      <w:r w:rsidRPr="00096909">
        <w:rPr>
          <w:rFonts w:ascii="Times New Roman" w:hAnsi="Times New Roman" w:cs="Times New Roman"/>
          <w:sz w:val="24"/>
          <w:szCs w:val="24"/>
        </w:rPr>
        <w:t xml:space="preserve">. Esemplare in </w:t>
      </w:r>
      <w:r>
        <w:rPr>
          <w:rFonts w:ascii="Times New Roman" w:hAnsi="Times New Roman" w:cs="Times New Roman"/>
          <w:sz w:val="24"/>
          <w:szCs w:val="24"/>
        </w:rPr>
        <w:t>buono</w:t>
      </w:r>
      <w:r w:rsidRPr="00096909">
        <w:rPr>
          <w:rFonts w:ascii="Times New Roman" w:hAnsi="Times New Roman" w:cs="Times New Roman"/>
          <w:sz w:val="24"/>
          <w:szCs w:val="24"/>
        </w:rPr>
        <w:t xml:space="preserve"> stato di conservazione</w:t>
      </w:r>
      <w:r>
        <w:rPr>
          <w:rFonts w:ascii="Times New Roman" w:hAnsi="Times New Roman" w:cs="Times New Roman"/>
          <w:sz w:val="24"/>
          <w:szCs w:val="24"/>
        </w:rPr>
        <w:t>; alcune gore d’acqua</w:t>
      </w:r>
      <w:r w:rsidRPr="00096909">
        <w:rPr>
          <w:rFonts w:ascii="Times New Roman" w:hAnsi="Times New Roman" w:cs="Times New Roman"/>
          <w:sz w:val="24"/>
          <w:szCs w:val="24"/>
        </w:rPr>
        <w:t xml:space="preserve">. Legatura in cartoncino rivestimento in carta </w:t>
      </w:r>
      <w:r>
        <w:rPr>
          <w:rFonts w:ascii="Times New Roman" w:hAnsi="Times New Roman" w:cs="Times New Roman"/>
          <w:sz w:val="24"/>
          <w:szCs w:val="24"/>
        </w:rPr>
        <w:t>rossa puntinata di grigio</w:t>
      </w:r>
      <w:r w:rsidRPr="00096909">
        <w:rPr>
          <w:rFonts w:ascii="Times New Roman" w:hAnsi="Times New Roman" w:cs="Times New Roman"/>
          <w:sz w:val="24"/>
          <w:szCs w:val="24"/>
        </w:rPr>
        <w:t>.</w:t>
      </w:r>
      <w:r>
        <w:rPr>
          <w:rFonts w:ascii="Times New Roman" w:hAnsi="Times New Roman" w:cs="Times New Roman"/>
          <w:sz w:val="24"/>
          <w:szCs w:val="24"/>
        </w:rPr>
        <w:t xml:space="preserve"> Tre carte di guardia. L’interno del piatto anteriore reca l’etichetta con la segnatura dellaBiblioteca Riccardiana e, a matita, i titoli delle due edizioni legate. </w:t>
      </w:r>
      <w:r w:rsidRPr="00096909">
        <w:rPr>
          <w:rFonts w:ascii="Times New Roman" w:hAnsi="Times New Roman" w:cs="Times New Roman"/>
          <w:sz w:val="24"/>
          <w:szCs w:val="24"/>
        </w:rPr>
        <w:t xml:space="preserve"> Margine superiore </w:t>
      </w:r>
      <w:r>
        <w:rPr>
          <w:rFonts w:ascii="Times New Roman" w:hAnsi="Times New Roman" w:cs="Times New Roman"/>
          <w:sz w:val="24"/>
          <w:szCs w:val="24"/>
        </w:rPr>
        <w:t>molto</w:t>
      </w:r>
      <w:r w:rsidRPr="00096909">
        <w:rPr>
          <w:rFonts w:ascii="Times New Roman" w:hAnsi="Times New Roman" w:cs="Times New Roman"/>
          <w:sz w:val="24"/>
          <w:szCs w:val="24"/>
        </w:rPr>
        <w:t xml:space="preserve"> rifilato. L’incunabolo è stato </w:t>
      </w:r>
      <w:r>
        <w:rPr>
          <w:rFonts w:ascii="Times New Roman" w:hAnsi="Times New Roman" w:cs="Times New Roman"/>
          <w:sz w:val="24"/>
          <w:szCs w:val="24"/>
        </w:rPr>
        <w:t>ri</w:t>
      </w:r>
      <w:r w:rsidRPr="00096909">
        <w:rPr>
          <w:rFonts w:ascii="Times New Roman" w:hAnsi="Times New Roman" w:cs="Times New Roman"/>
          <w:sz w:val="24"/>
          <w:szCs w:val="24"/>
        </w:rPr>
        <w:t xml:space="preserve">legato con </w:t>
      </w:r>
      <w:r>
        <w:rPr>
          <w:rFonts w:ascii="Times New Roman" w:hAnsi="Times New Roman" w:cs="Times New Roman"/>
          <w:sz w:val="24"/>
          <w:szCs w:val="24"/>
        </w:rPr>
        <w:t>un’</w:t>
      </w:r>
      <w:r w:rsidRPr="00096909">
        <w:rPr>
          <w:rFonts w:ascii="Times New Roman" w:hAnsi="Times New Roman" w:cs="Times New Roman"/>
          <w:sz w:val="24"/>
          <w:szCs w:val="24"/>
        </w:rPr>
        <w:t>altr</w:t>
      </w:r>
      <w:r>
        <w:rPr>
          <w:rFonts w:ascii="Times New Roman" w:hAnsi="Times New Roman" w:cs="Times New Roman"/>
          <w:sz w:val="24"/>
          <w:szCs w:val="24"/>
        </w:rPr>
        <w:t>a</w:t>
      </w:r>
      <w:r w:rsidRPr="00096909">
        <w:rPr>
          <w:rFonts w:ascii="Times New Roman" w:hAnsi="Times New Roman" w:cs="Times New Roman"/>
          <w:sz w:val="24"/>
          <w:szCs w:val="24"/>
        </w:rPr>
        <w:t xml:space="preserve"> edizion</w:t>
      </w:r>
      <w:r>
        <w:rPr>
          <w:rFonts w:ascii="Times New Roman" w:hAnsi="Times New Roman" w:cs="Times New Roman"/>
          <w:sz w:val="24"/>
          <w:szCs w:val="24"/>
        </w:rPr>
        <w:t>e</w:t>
      </w:r>
      <w:r w:rsidRPr="00096909">
        <w:rPr>
          <w:rFonts w:ascii="Times New Roman" w:hAnsi="Times New Roman" w:cs="Times New Roman"/>
          <w:sz w:val="24"/>
          <w:szCs w:val="24"/>
        </w:rPr>
        <w:t xml:space="preserve"> del sec. XV</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è</w:t>
      </w:r>
      <w:r w:rsidRPr="00096909">
        <w:rPr>
          <w:rFonts w:ascii="Times New Roman" w:hAnsi="Times New Roman" w:cs="Times New Roman"/>
          <w:sz w:val="24"/>
          <w:szCs w:val="24"/>
        </w:rPr>
        <w:t xml:space="preserve"> </w:t>
      </w:r>
      <w:r>
        <w:rPr>
          <w:rFonts w:ascii="Times New Roman" w:hAnsi="Times New Roman" w:cs="Times New Roman"/>
          <w:sz w:val="24"/>
          <w:szCs w:val="24"/>
        </w:rPr>
        <w:t>seguito</w:t>
      </w:r>
      <w:r w:rsidRPr="00096909">
        <w:rPr>
          <w:rFonts w:ascii="Times New Roman" w:hAnsi="Times New Roman" w:cs="Times New Roman"/>
          <w:sz w:val="24"/>
          <w:szCs w:val="24"/>
        </w:rPr>
        <w:t xml:space="preserve"> da </w:t>
      </w:r>
      <w:r>
        <w:rPr>
          <w:rFonts w:ascii="Times New Roman" w:hAnsi="Times New Roman" w:cs="Times New Roman"/>
          <w:sz w:val="24"/>
          <w:szCs w:val="24"/>
        </w:rPr>
        <w:t>P. Collenucius,</w:t>
      </w:r>
      <w:r w:rsidRPr="00096909">
        <w:rPr>
          <w:rFonts w:ascii="Times New Roman" w:hAnsi="Times New Roman" w:cs="Times New Roman"/>
          <w:sz w:val="24"/>
          <w:szCs w:val="24"/>
        </w:rPr>
        <w:t xml:space="preserve"> </w:t>
      </w:r>
      <w:r>
        <w:rPr>
          <w:rFonts w:ascii="Times New Roman" w:hAnsi="Times New Roman" w:cs="Times New Roman"/>
          <w:i/>
          <w:sz w:val="24"/>
          <w:szCs w:val="24"/>
        </w:rPr>
        <w:t>In praetura sua panegyrica</w:t>
      </w:r>
      <w:r w:rsidRPr="00096909">
        <w:rPr>
          <w:rFonts w:ascii="Times New Roman" w:hAnsi="Times New Roman" w:cs="Times New Roman"/>
          <w:sz w:val="24"/>
          <w:szCs w:val="24"/>
        </w:rPr>
        <w:t xml:space="preserve">. </w:t>
      </w:r>
    </w:p>
    <w:p w14:paraId="24E87A36" w14:textId="77777777" w:rsidR="00B92BCD" w:rsidRPr="00096909" w:rsidRDefault="00B92BCD" w:rsidP="00B92BCD">
      <w:pPr>
        <w:spacing w:line="360" w:lineRule="auto"/>
        <w:jc w:val="both"/>
      </w:pPr>
      <w:r w:rsidRPr="00096909">
        <w:rPr>
          <w:rFonts w:ascii="Times New Roman" w:hAnsi="Times New Roman" w:cs="Times New Roman"/>
          <w:sz w:val="24"/>
          <w:szCs w:val="24"/>
        </w:rPr>
        <w:t xml:space="preserve">Dimensioni esemplare </w:t>
      </w:r>
      <w:r>
        <w:rPr>
          <w:rFonts w:ascii="Times New Roman" w:hAnsi="Times New Roman" w:cs="Times New Roman"/>
          <w:sz w:val="24"/>
          <w:szCs w:val="24"/>
        </w:rPr>
        <w:t>250</w:t>
      </w:r>
      <w:r w:rsidRPr="00096909">
        <w:rPr>
          <w:rFonts w:ascii="Times New Roman" w:hAnsi="Times New Roman" w:cs="Times New Roman"/>
          <w:sz w:val="24"/>
          <w:szCs w:val="24"/>
        </w:rPr>
        <w:t>,</w:t>
      </w:r>
      <w:r>
        <w:rPr>
          <w:rFonts w:ascii="Times New Roman" w:hAnsi="Times New Roman" w:cs="Times New Roman"/>
          <w:sz w:val="24"/>
          <w:szCs w:val="24"/>
        </w:rPr>
        <w:t>0</w:t>
      </w:r>
      <w:r w:rsidRPr="00096909">
        <w:rPr>
          <w:rFonts w:ascii="Times New Roman" w:hAnsi="Times New Roman" w:cs="Times New Roman"/>
          <w:sz w:val="24"/>
          <w:szCs w:val="24"/>
        </w:rPr>
        <w:t>0 x 130</w:t>
      </w:r>
      <w:r>
        <w:rPr>
          <w:rFonts w:ascii="Times New Roman" w:hAnsi="Times New Roman" w:cs="Times New Roman"/>
          <w:sz w:val="24"/>
          <w:szCs w:val="24"/>
        </w:rPr>
        <w:t>,80</w:t>
      </w:r>
      <w:r w:rsidRPr="00096909">
        <w:rPr>
          <w:rFonts w:ascii="Times New Roman" w:hAnsi="Times New Roman" w:cs="Times New Roman"/>
          <w:sz w:val="24"/>
          <w:szCs w:val="24"/>
        </w:rPr>
        <w:t xml:space="preserve"> mm.; margini larghi.</w:t>
      </w:r>
      <w:r>
        <w:rPr>
          <w:rFonts w:ascii="Times New Roman" w:hAnsi="Times New Roman" w:cs="Times New Roman"/>
          <w:sz w:val="24"/>
          <w:szCs w:val="24"/>
        </w:rPr>
        <w:t xml:space="preserve"> Nessuna</w:t>
      </w:r>
      <w:r w:rsidRPr="00096909">
        <w:rPr>
          <w:rFonts w:ascii="Times New Roman" w:hAnsi="Times New Roman" w:cs="Times New Roman"/>
          <w:sz w:val="24"/>
          <w:szCs w:val="24"/>
        </w:rPr>
        <w:t xml:space="preserve"> annotazion</w:t>
      </w:r>
      <w:r>
        <w:rPr>
          <w:rFonts w:ascii="Times New Roman" w:hAnsi="Times New Roman" w:cs="Times New Roman"/>
          <w:sz w:val="24"/>
          <w:szCs w:val="24"/>
        </w:rPr>
        <w:t>e</w:t>
      </w:r>
      <w:r w:rsidRPr="00096909">
        <w:rPr>
          <w:rFonts w:ascii="Times New Roman" w:hAnsi="Times New Roman" w:cs="Times New Roman"/>
          <w:sz w:val="24"/>
          <w:szCs w:val="24"/>
        </w:rPr>
        <w:t xml:space="preserve"> manoscritt</w:t>
      </w:r>
      <w:r>
        <w:rPr>
          <w:rFonts w:ascii="Times New Roman" w:hAnsi="Times New Roman" w:cs="Times New Roman"/>
          <w:sz w:val="24"/>
          <w:szCs w:val="24"/>
        </w:rPr>
        <w:t>a.</w:t>
      </w:r>
      <w:r w:rsidRPr="00096909">
        <w:rPr>
          <w:rFonts w:ascii="Times New Roman" w:hAnsi="Times New Roman" w:cs="Times New Roman"/>
          <w:sz w:val="24"/>
          <w:szCs w:val="24"/>
        </w:rPr>
        <w:t xml:space="preserve"> </w:t>
      </w:r>
      <w:r>
        <w:rPr>
          <w:rFonts w:ascii="Times New Roman" w:hAnsi="Times New Roman" w:cs="Times New Roman"/>
          <w:sz w:val="24"/>
          <w:szCs w:val="24"/>
        </w:rPr>
        <w:t xml:space="preserve">Bianca la prima carta. </w:t>
      </w:r>
    </w:p>
    <w:p w14:paraId="05A536B9" w14:textId="77777777" w:rsidR="00B92BCD" w:rsidRPr="00096909" w:rsidRDefault="00B92BCD" w:rsidP="00B92BCD">
      <w:pPr>
        <w:jc w:val="both"/>
      </w:pPr>
    </w:p>
    <w:p w14:paraId="2E31072A" w14:textId="77777777" w:rsidR="00B92BCD" w:rsidRPr="00096909" w:rsidRDefault="00B92BCD" w:rsidP="00B92BCD">
      <w:pPr>
        <w:jc w:val="both"/>
      </w:pPr>
    </w:p>
    <w:p w14:paraId="29EC9353" w14:textId="77777777" w:rsidR="00B92BCD" w:rsidRPr="00096909" w:rsidRDefault="00B92BCD" w:rsidP="00B92BCD">
      <w:pPr>
        <w:jc w:val="both"/>
      </w:pPr>
    </w:p>
    <w:p w14:paraId="73DCB26A" w14:textId="77777777" w:rsidR="00B92BCD" w:rsidRPr="00096909" w:rsidRDefault="00B92BCD" w:rsidP="00B92BCD">
      <w:pPr>
        <w:jc w:val="both"/>
      </w:pPr>
    </w:p>
    <w:p w14:paraId="74B56F7C" w14:textId="77777777" w:rsidR="00B92BCD" w:rsidRPr="00096909" w:rsidRDefault="00B92BCD" w:rsidP="00B92BCD">
      <w:pPr>
        <w:jc w:val="both"/>
      </w:pPr>
    </w:p>
    <w:p w14:paraId="6F82E64C" w14:textId="77777777" w:rsidR="00B92BCD" w:rsidRPr="00096909" w:rsidRDefault="00B92BCD" w:rsidP="00B92BCD">
      <w:pPr>
        <w:jc w:val="both"/>
      </w:pPr>
    </w:p>
    <w:p w14:paraId="0BC9F45D" w14:textId="77777777" w:rsidR="00B92BCD" w:rsidRPr="00096909" w:rsidRDefault="00B92BCD" w:rsidP="00247D1A">
      <w:pPr>
        <w:spacing w:line="259" w:lineRule="auto"/>
        <w:jc w:val="both"/>
      </w:pPr>
      <w:r w:rsidRPr="00096909">
        <w:rPr>
          <w:rFonts w:ascii="Times New Roman" w:hAnsi="Times New Roman" w:cs="Times New Roman"/>
          <w:smallCaps/>
          <w:sz w:val="24"/>
          <w:szCs w:val="24"/>
        </w:rPr>
        <w:t xml:space="preserve">scheda 3] Anonimo, </w:t>
      </w:r>
      <w:r w:rsidRPr="00096909">
        <w:rPr>
          <w:rFonts w:ascii="Times New Roman" w:hAnsi="Times New Roman" w:cs="Times New Roman"/>
          <w:i/>
          <w:sz w:val="24"/>
          <w:szCs w:val="24"/>
        </w:rPr>
        <w:t>Ordine de le noze de lo Illustrissimo Signor misir Costantio Sfortia de Aragonia et de la Illustrissima Madona Camilla de Aragonia sua consorte nel anno 1475</w:t>
      </w:r>
      <w:r w:rsidRPr="00096909">
        <w:rPr>
          <w:rFonts w:ascii="Times New Roman" w:hAnsi="Times New Roman" w:cs="Times New Roman"/>
          <w:sz w:val="24"/>
          <w:szCs w:val="24"/>
        </w:rPr>
        <w:t xml:space="preserve">. </w:t>
      </w:r>
    </w:p>
    <w:p w14:paraId="5DB045E9" w14:textId="77777777" w:rsidR="00B92BCD" w:rsidRPr="00096909" w:rsidRDefault="00B92BCD" w:rsidP="00B92BCD">
      <w:pPr>
        <w:pStyle w:val="Nessunaspaziatura"/>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Vicenza, Hermannus Liechtenstein, 9 Novembre 1475.  </w:t>
      </w:r>
    </w:p>
    <w:p w14:paraId="4E76E957" w14:textId="77777777" w:rsidR="00B92BCD" w:rsidRPr="00096909" w:rsidRDefault="00B92BCD" w:rsidP="00B92BCD">
      <w:pPr>
        <w:pStyle w:val="Nessunaspaziatura"/>
        <w:spacing w:line="360" w:lineRule="auto"/>
        <w:rPr>
          <w:rFonts w:ascii="Times New Roman" w:hAnsi="Times New Roman" w:cs="Times New Roman"/>
          <w:sz w:val="24"/>
          <w:szCs w:val="24"/>
        </w:rPr>
      </w:pPr>
    </w:p>
    <w:p w14:paraId="42E28573"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In 4</w:t>
      </w:r>
      <w:r w:rsidRPr="00096909">
        <w:rPr>
          <w:rFonts w:ascii="Times New Roman" w:hAnsi="Times New Roman" w:cs="Times New Roman"/>
          <w:sz w:val="24"/>
          <w:szCs w:val="24"/>
          <w:vertAlign w:val="superscript"/>
        </w:rPr>
        <w:t>0</w:t>
      </w:r>
      <w:r w:rsidRPr="00096909">
        <w:rPr>
          <w:rFonts w:ascii="Times New Roman" w:hAnsi="Times New Roman" w:cs="Times New Roman"/>
          <w:sz w:val="24"/>
          <w:szCs w:val="24"/>
        </w:rPr>
        <w:t>, rom., testo a piena pagina, specchio di pagina 140,00 x 90,60 mm; cc. [42], fascicolatura a (mutilo della prima carta) -e</w:t>
      </w:r>
      <w:r w:rsidRPr="00096909">
        <w:rPr>
          <w:rFonts w:ascii="Times New Roman" w:hAnsi="Times New Roman" w:cs="Times New Roman"/>
          <w:sz w:val="24"/>
          <w:szCs w:val="24"/>
          <w:vertAlign w:val="superscript"/>
        </w:rPr>
        <w:t>8</w:t>
      </w:r>
      <w:r w:rsidRPr="00096909">
        <w:rPr>
          <w:rFonts w:ascii="Times New Roman" w:hAnsi="Times New Roman" w:cs="Times New Roman"/>
          <w:sz w:val="24"/>
          <w:szCs w:val="24"/>
        </w:rPr>
        <w:t>, f</w:t>
      </w:r>
      <w:r w:rsidRPr="00096909">
        <w:rPr>
          <w:rFonts w:ascii="Times New Roman" w:hAnsi="Times New Roman" w:cs="Times New Roman"/>
          <w:sz w:val="24"/>
          <w:szCs w:val="24"/>
          <w:vertAlign w:val="superscript"/>
        </w:rPr>
        <w:t>4</w:t>
      </w:r>
      <w:r w:rsidRPr="00096909">
        <w:rPr>
          <w:rFonts w:ascii="Times New Roman" w:hAnsi="Times New Roman" w:cs="Times New Roman"/>
          <w:sz w:val="24"/>
          <w:szCs w:val="24"/>
        </w:rPr>
        <w:t xml:space="preserve"> (mutilo dell’ultima carta). Presenza di capilettera impressi. Marcatura degli interventi recitati dalle divinità presenti al banchetto con nomi maiuscoli e centrati nella pagina. </w:t>
      </w:r>
    </w:p>
    <w:p w14:paraId="07265443"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647B4CC1"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r w:rsidRPr="00096909">
        <w:rPr>
          <w:rFonts w:ascii="Times New Roman" w:hAnsi="Times New Roman" w:cs="Times New Roman"/>
          <w:sz w:val="24"/>
          <w:szCs w:val="24"/>
        </w:rPr>
        <w:t>Goff O88. H 12062</w:t>
      </w:r>
      <w:r w:rsidR="006C613D">
        <w:rPr>
          <w:rFonts w:ascii="Times New Roman" w:hAnsi="Times New Roman" w:cs="Times New Roman"/>
          <w:sz w:val="24"/>
          <w:szCs w:val="24"/>
        </w:rPr>
        <w:t>.</w:t>
      </w:r>
      <w:r w:rsidRPr="00096909">
        <w:rPr>
          <w:rFonts w:ascii="Times New Roman" w:hAnsi="Times New Roman" w:cs="Times New Roman"/>
          <w:sz w:val="24"/>
          <w:szCs w:val="24"/>
        </w:rPr>
        <w:t xml:space="preserve"> IGI 7025. Pr 7140. BMC VII 1035. GW M41940.</w:t>
      </w:r>
    </w:p>
    <w:p w14:paraId="693C6DB7"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4E49EB02"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04C98A4A"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r w:rsidRPr="00096909">
        <w:rPr>
          <w:rFonts w:ascii="Times New Roman" w:hAnsi="Times New Roman" w:cs="Times New Roman"/>
          <w:b/>
          <w:sz w:val="24"/>
          <w:szCs w:val="24"/>
        </w:rPr>
        <w:t xml:space="preserve">Contenuto </w:t>
      </w:r>
    </w:p>
    <w:p w14:paraId="42CAF533" w14:textId="77777777" w:rsidR="00B92BCD" w:rsidRPr="00096909" w:rsidRDefault="00B92BCD" w:rsidP="00B92BCD">
      <w:pPr>
        <w:pStyle w:val="Nessunaspaziatura"/>
        <w:spacing w:line="360" w:lineRule="auto"/>
        <w:jc w:val="both"/>
        <w:rPr>
          <w:rFonts w:ascii="Times New Roman" w:hAnsi="Times New Roman" w:cs="Times New Roman"/>
          <w:sz w:val="24"/>
          <w:szCs w:val="24"/>
        </w:rPr>
      </w:pPr>
    </w:p>
    <w:p w14:paraId="7F2D87D4"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a1r: In q[ue]sto picolo libretto se co[n]tiene leadmira[n]de magnifice[n]tie e stupe[n]dissimi aparati || (Explicit) Facti alhor p[er] Co[n]stantio e p[er] Camilla.</w:t>
      </w:r>
    </w:p>
    <w:p w14:paraId="10C0DC36"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A c. a2r: Ordine de le noze de lo Illustrissimo Signor || misir Costantio Sfortia de Aragonia: et de la || Illustrissima Madona Camilla de Aragonia || sua consorte nel anno 1475. a dì infrascripto || (Incipit) Essendo la Illustrissima Madona Camilla </w:t>
      </w:r>
      <w:r w:rsidRPr="00096909">
        <w:rPr>
          <w:rFonts w:ascii="Times New Roman" w:hAnsi="Times New Roman" w:cs="Times New Roman"/>
          <w:sz w:val="24"/>
          <w:szCs w:val="24"/>
          <w:lang w:val="en-US"/>
        </w:rPr>
        <w:t>[…].</w:t>
      </w:r>
    </w:p>
    <w:p w14:paraId="51CCB166"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A c. c7r: (Explicit) instrumenti de leticia. || </w:t>
      </w:r>
      <w:r w:rsidRPr="00096909">
        <w:rPr>
          <w:rFonts w:ascii="Times New Roman" w:hAnsi="Times New Roman" w:cs="Times New Roman"/>
          <w:sz w:val="24"/>
          <w:szCs w:val="24"/>
        </w:rPr>
        <w:t>Domenica adi. xxviii. del dicto. || (Incipit) Domenica maitina che era el di determi[n]ato al spo[n]salicio […].</w:t>
      </w:r>
    </w:p>
    <w:p w14:paraId="34BE6F38"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c8r: (Explicit) domenega passarono. || LUNEDI ADI 29 DEL DICTO || (Incipit) Lune di poi che ciascuno hebbe disnato […].</w:t>
      </w:r>
    </w:p>
    <w:p w14:paraId="08BD9708"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e6v: (Explicit) el di sequente una triumphante giostra. || MARTEDI ADI 30 DEL DICTO || (Incipit) Venuto el martedi dedicato ala giostra […]. </w:t>
      </w:r>
    </w:p>
    <w:p w14:paraId="6C57BFA8"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f3r: (Explilicit) cum la regale cum queste lettere || LETITIAE CONIUGALI || (Incipit) Et de questi denari dono […].</w:t>
      </w:r>
    </w:p>
    <w:p w14:paraId="7D60813F"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f3v: (Explicit) li quali dio conserve i[n] perpetua felicitate. || AMEN || His Hymeneus adest letissima turba deu[m]q[ue] || Co[n]nubium foveant: deliciis faveant. || [colophon] Ab Hermano Levilapide Coloniensi Triumphi Hymeneii || illustris principis pisaurie[n]sis liber insignis accuratissime i[m]pres || sus est Vicentie: Anno domini. M.CCCC.LXXV. die no || na Novembris. </w:t>
      </w:r>
    </w:p>
    <w:p w14:paraId="7A4B3968"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p>
    <w:p w14:paraId="32E63DCC"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r w:rsidRPr="00096909">
        <w:rPr>
          <w:rFonts w:ascii="Times New Roman" w:hAnsi="Times New Roman" w:cs="Times New Roman"/>
          <w:b/>
          <w:sz w:val="24"/>
          <w:szCs w:val="24"/>
        </w:rPr>
        <w:t>Esemplare esaminato</w:t>
      </w:r>
    </w:p>
    <w:p w14:paraId="45DD8E0E"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5F9F8BD8"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Parigi, Biblioteca Nazionale di Francia, RES-K-800. Esemplare in buono stato di conservazione. Legatura in cartoncino grigio con rivestimento in carta con testo su due colonne in umanistica corsiva (probabilmente un testo di diritto). Carte di guardia. Alla c. a2 r. si trova il timbro ad inchiostro rosso della Biblioteca Nazionale di Francia. </w:t>
      </w:r>
    </w:p>
    <w:p w14:paraId="06C4D8BB" w14:textId="77777777" w:rsidR="00B92BCD" w:rsidRPr="00096909" w:rsidRDefault="00B92BCD" w:rsidP="00B92BCD">
      <w:pPr>
        <w:spacing w:after="0" w:line="360" w:lineRule="auto"/>
        <w:jc w:val="both"/>
        <w:rPr>
          <w:sz w:val="24"/>
          <w:szCs w:val="24"/>
        </w:rPr>
      </w:pPr>
      <w:r w:rsidRPr="00096909">
        <w:rPr>
          <w:rFonts w:ascii="Times New Roman" w:hAnsi="Times New Roman" w:cs="Times New Roman"/>
          <w:sz w:val="24"/>
          <w:szCs w:val="24"/>
        </w:rPr>
        <w:t xml:space="preserve">Dimensioni esemplare 190,20 x 130,10 mm.; margini larghi. A c. e1 v. rozzo disegno a matita di un uomo di profilo con ampio cappello. </w:t>
      </w:r>
    </w:p>
    <w:p w14:paraId="48BB29B1" w14:textId="77777777" w:rsidR="00B92BCD" w:rsidRPr="00096909" w:rsidRDefault="00B92BCD" w:rsidP="00B92BCD">
      <w:pPr>
        <w:jc w:val="both"/>
      </w:pPr>
    </w:p>
    <w:p w14:paraId="4F3B4823" w14:textId="77777777" w:rsidR="00B92BCD" w:rsidRPr="00096909" w:rsidRDefault="00B92BCD" w:rsidP="00B92BCD">
      <w:pPr>
        <w:jc w:val="both"/>
      </w:pPr>
    </w:p>
    <w:p w14:paraId="304B4294" w14:textId="77777777" w:rsidR="00B92BCD" w:rsidRPr="00096909" w:rsidRDefault="00B92BCD" w:rsidP="005426B1">
      <w:pPr>
        <w:spacing w:line="259" w:lineRule="auto"/>
        <w:jc w:val="both"/>
      </w:pPr>
      <w:r w:rsidRPr="00096909">
        <w:br w:type="page"/>
      </w:r>
      <w:r w:rsidRPr="00096909">
        <w:rPr>
          <w:rFonts w:ascii="Times New Roman" w:hAnsi="Times New Roman" w:cs="Times New Roman"/>
          <w:smallCaps/>
          <w:sz w:val="24"/>
          <w:szCs w:val="24"/>
        </w:rPr>
        <w:t>scheda 4] Naldus, Naldi</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Nuptiae domini Hanibalis Bentivoli</w:t>
      </w:r>
      <w:r w:rsidRPr="00096909">
        <w:rPr>
          <w:rFonts w:ascii="Times New Roman" w:hAnsi="Times New Roman" w:cs="Times New Roman"/>
          <w:sz w:val="24"/>
          <w:szCs w:val="24"/>
        </w:rPr>
        <w:t xml:space="preserve">. [Con:] </w:t>
      </w:r>
      <w:r w:rsidRPr="00096909">
        <w:rPr>
          <w:rFonts w:ascii="Times New Roman" w:hAnsi="Times New Roman" w:cs="Times New Roman"/>
          <w:smallCaps/>
          <w:sz w:val="24"/>
          <w:szCs w:val="24"/>
        </w:rPr>
        <w:t>Idem</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Epistola</w:t>
      </w:r>
      <w:r w:rsidRPr="00096909">
        <w:rPr>
          <w:rFonts w:ascii="Times New Roman" w:hAnsi="Times New Roman" w:cs="Times New Roman"/>
          <w:sz w:val="24"/>
          <w:szCs w:val="24"/>
        </w:rPr>
        <w:t xml:space="preserve"> a Giovanni Bentivoglio; </w:t>
      </w:r>
      <w:r w:rsidRPr="00096909">
        <w:rPr>
          <w:rFonts w:ascii="Times New Roman" w:hAnsi="Times New Roman" w:cs="Times New Roman"/>
          <w:i/>
          <w:sz w:val="24"/>
          <w:szCs w:val="24"/>
        </w:rPr>
        <w:t>Elegia ad Hanibalem Bentivolum</w:t>
      </w:r>
      <w:r w:rsidRPr="00096909">
        <w:rPr>
          <w:rFonts w:ascii="Times New Roman" w:hAnsi="Times New Roman" w:cs="Times New Roman"/>
          <w:sz w:val="24"/>
          <w:szCs w:val="24"/>
        </w:rPr>
        <w:t>.</w:t>
      </w:r>
    </w:p>
    <w:p w14:paraId="5245F5C4" w14:textId="77777777" w:rsidR="00B92BCD" w:rsidRPr="00096909" w:rsidRDefault="00B92BCD" w:rsidP="00B92BCD">
      <w:pPr>
        <w:pStyle w:val="Nessunaspaziatura"/>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[Firenze, Francesco di Dino, dopo 1 luglio 1487].  </w:t>
      </w:r>
    </w:p>
    <w:p w14:paraId="60F23D6A" w14:textId="77777777" w:rsidR="00B92BCD" w:rsidRPr="00096909" w:rsidRDefault="00B92BCD" w:rsidP="00B92BCD">
      <w:pPr>
        <w:pStyle w:val="Nessunaspaziatura"/>
        <w:spacing w:line="360" w:lineRule="auto"/>
        <w:rPr>
          <w:rFonts w:ascii="Times New Roman" w:hAnsi="Times New Roman" w:cs="Times New Roman"/>
          <w:sz w:val="24"/>
          <w:szCs w:val="24"/>
        </w:rPr>
      </w:pPr>
    </w:p>
    <w:p w14:paraId="482AE3D9"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In 4</w:t>
      </w:r>
      <w:r w:rsidRPr="00096909">
        <w:rPr>
          <w:rFonts w:ascii="Times New Roman" w:hAnsi="Times New Roman" w:cs="Times New Roman"/>
          <w:sz w:val="24"/>
          <w:szCs w:val="24"/>
          <w:vertAlign w:val="superscript"/>
        </w:rPr>
        <w:t>0</w:t>
      </w:r>
      <w:r w:rsidRPr="00096909">
        <w:rPr>
          <w:rFonts w:ascii="Times New Roman" w:hAnsi="Times New Roman" w:cs="Times New Roman"/>
          <w:sz w:val="24"/>
          <w:szCs w:val="24"/>
        </w:rPr>
        <w:t>, rom., testo a piena pagina, specchio di pagina 140,00 x 90,00 mm; cc. [28], fascicolatura a-c</w:t>
      </w:r>
      <w:r w:rsidRPr="00096909">
        <w:rPr>
          <w:rFonts w:ascii="Times New Roman" w:hAnsi="Times New Roman" w:cs="Times New Roman"/>
          <w:sz w:val="24"/>
          <w:szCs w:val="24"/>
          <w:vertAlign w:val="superscript"/>
        </w:rPr>
        <w:t>8</w:t>
      </w:r>
      <w:r w:rsidRPr="00096909">
        <w:rPr>
          <w:rFonts w:ascii="Times New Roman" w:hAnsi="Times New Roman" w:cs="Times New Roman"/>
          <w:sz w:val="24"/>
          <w:szCs w:val="24"/>
        </w:rPr>
        <w:t>, d</w:t>
      </w:r>
      <w:r w:rsidRPr="00096909">
        <w:rPr>
          <w:rFonts w:ascii="Times New Roman" w:hAnsi="Times New Roman" w:cs="Times New Roman"/>
          <w:sz w:val="24"/>
          <w:szCs w:val="24"/>
          <w:vertAlign w:val="superscript"/>
        </w:rPr>
        <w:t>4</w:t>
      </w:r>
      <w:r w:rsidRPr="00096909">
        <w:rPr>
          <w:rFonts w:ascii="Times New Roman" w:hAnsi="Times New Roman" w:cs="Times New Roman"/>
          <w:sz w:val="24"/>
          <w:szCs w:val="24"/>
        </w:rPr>
        <w:t>.</w:t>
      </w:r>
    </w:p>
    <w:p w14:paraId="3073DB97"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67BC0EF0"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r w:rsidRPr="00096909">
        <w:rPr>
          <w:rFonts w:ascii="Times New Roman" w:hAnsi="Times New Roman" w:cs="Times New Roman"/>
          <w:sz w:val="24"/>
          <w:szCs w:val="24"/>
        </w:rPr>
        <w:t xml:space="preserve">IGI 6767. Pr 6343. BMC VI 633. </w:t>
      </w:r>
    </w:p>
    <w:p w14:paraId="3495FA49"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78AF87FA"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01006A46"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r w:rsidRPr="00096909">
        <w:rPr>
          <w:rFonts w:ascii="Times New Roman" w:hAnsi="Times New Roman" w:cs="Times New Roman"/>
          <w:b/>
          <w:sz w:val="24"/>
          <w:szCs w:val="24"/>
        </w:rPr>
        <w:t xml:space="preserve">Contenuto </w:t>
      </w:r>
    </w:p>
    <w:p w14:paraId="07F9BB00"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p>
    <w:p w14:paraId="1287B1FD"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[a1] r: [frontespizio] Nuptiae domini Hannibalis ben || tivoli Illu[stris] principis filii. </w:t>
      </w:r>
    </w:p>
    <w:p w14:paraId="7AC404B8"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A c. a2r: Naldi Naldii Florentini Car || me[n] nuptiale Ad Ill[ustres] Principes Ioannem atque || Hanibalem bentivolos. || (Incipit) Musa fave ceptis. non hic fera bella gigantum </w:t>
      </w:r>
      <w:r w:rsidRPr="00096909">
        <w:rPr>
          <w:rFonts w:ascii="Times New Roman" w:hAnsi="Times New Roman" w:cs="Times New Roman"/>
          <w:sz w:val="24"/>
          <w:szCs w:val="24"/>
          <w:lang w:val="en-US"/>
        </w:rPr>
        <w:t>[…].</w:t>
      </w:r>
    </w:p>
    <w:p w14:paraId="4CF60C2E"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A c. c2r: (Explicit) Carmibus superant quae refere[n]da meis. || </w:t>
      </w:r>
      <w:r w:rsidRPr="00096909">
        <w:rPr>
          <w:rFonts w:ascii="Times New Roman" w:hAnsi="Times New Roman" w:cs="Times New Roman"/>
          <w:sz w:val="24"/>
          <w:szCs w:val="24"/>
        </w:rPr>
        <w:t>CERTAMEN equitum hastatorum. || (Incipit) Cum superi plures dederint grandive Ioanni […].</w:t>
      </w:r>
    </w:p>
    <w:p w14:paraId="163E1036"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c7r: (Explicit) Et grave quod fuerat levius fecisset in omnes. || EPITHALAMION in Hanibalem || atque Lucretia bentivolos.</w:t>
      </w:r>
    </w:p>
    <w:p w14:paraId="6600B6BD"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c7v: (Incipit) Quis sonus o dive nostras pervenit ad aures […]. </w:t>
      </w:r>
    </w:p>
    <w:p w14:paraId="446F69AB"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d2r: (Explicit) Tanta sit: &amp; tantos possit mihi ferre favores.</w:t>
      </w:r>
    </w:p>
    <w:p w14:paraId="0135AC60"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d2v: NALDUS naldius Ha[n]nibali bentivolo Ill[ustrissimo] Io || hannis filio. (Incipit) Cum ad quinto kalendas […].</w:t>
      </w:r>
    </w:p>
    <w:p w14:paraId="03229DE5"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d3r: (Explicit) Vale ac me || ama. Florentiae Kalendis iuliis. Mcccclxxxvii. || NALDI naldii elegia ad Ha[n]nibale[m] bentivolum. || (Incipit) Obfessa lygures dum pellis ab arce feroces. […]. </w:t>
      </w:r>
    </w:p>
    <w:p w14:paraId="62100473"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d4r: (Explicit) Quae bona sit verbis illa precata meis. || Finis. </w:t>
      </w:r>
    </w:p>
    <w:p w14:paraId="1B87A634"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p>
    <w:p w14:paraId="3DFFCBC4"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r w:rsidRPr="00096909">
        <w:rPr>
          <w:rFonts w:ascii="Times New Roman" w:hAnsi="Times New Roman" w:cs="Times New Roman"/>
          <w:b/>
          <w:sz w:val="24"/>
          <w:szCs w:val="24"/>
        </w:rPr>
        <w:t>Esemplare esaminato</w:t>
      </w:r>
    </w:p>
    <w:p w14:paraId="193904DC"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3B7C198E"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Parigi, Biblioteca Nazionale di Francia, RES-K-748 (1). Esemplare in ottimo stato di conservazione. Legatura in cartoncino grigio con rivestimento in carta opaca giallastra. L’incunabolo è stato legato con altre tre edizioni italiane del sec. XV. È seguito da N. Naldi, </w:t>
      </w:r>
      <w:r w:rsidRPr="00096909">
        <w:rPr>
          <w:rFonts w:ascii="Times New Roman" w:hAnsi="Times New Roman" w:cs="Times New Roman"/>
          <w:i/>
          <w:sz w:val="24"/>
          <w:szCs w:val="24"/>
        </w:rPr>
        <w:t>Hastiludium</w:t>
      </w:r>
      <w:r w:rsidRPr="00096909">
        <w:rPr>
          <w:rFonts w:ascii="Times New Roman" w:hAnsi="Times New Roman" w:cs="Times New Roman"/>
          <w:sz w:val="24"/>
          <w:szCs w:val="24"/>
        </w:rPr>
        <w:t xml:space="preserve">; F. Beroaldo, </w:t>
      </w:r>
      <w:r w:rsidRPr="00096909">
        <w:rPr>
          <w:rFonts w:ascii="Times New Roman" w:hAnsi="Times New Roman" w:cs="Times New Roman"/>
          <w:i/>
          <w:sz w:val="24"/>
          <w:szCs w:val="24"/>
        </w:rPr>
        <w:t>Nuptiae Bentivolorum</w:t>
      </w:r>
      <w:r w:rsidRPr="00096909">
        <w:rPr>
          <w:rFonts w:ascii="Times New Roman" w:hAnsi="Times New Roman" w:cs="Times New Roman"/>
          <w:sz w:val="24"/>
          <w:szCs w:val="24"/>
        </w:rPr>
        <w:t xml:space="preserve">; G. Petroboni, </w:t>
      </w:r>
      <w:r w:rsidRPr="00096909">
        <w:rPr>
          <w:rFonts w:ascii="Times New Roman" w:hAnsi="Times New Roman" w:cs="Times New Roman"/>
          <w:i/>
          <w:sz w:val="24"/>
          <w:szCs w:val="24"/>
        </w:rPr>
        <w:t>Bentivola</w:t>
      </w:r>
      <w:r w:rsidRPr="00096909">
        <w:rPr>
          <w:rFonts w:ascii="Times New Roman" w:hAnsi="Times New Roman" w:cs="Times New Roman"/>
          <w:sz w:val="24"/>
          <w:szCs w:val="24"/>
        </w:rPr>
        <w:t xml:space="preserve">. Alla c. [a1] r. si legge tra parentesi tonde la cifra 1 indicante che l’opuscolo è il primo del volume. Sulla stessa c. a1 r. si trova il timbro ad inchiostro rosso della </w:t>
      </w:r>
      <w:r w:rsidRPr="00096909">
        <w:rPr>
          <w:rFonts w:ascii="Times New Roman" w:hAnsi="Times New Roman" w:cs="Times New Roman"/>
          <w:i/>
          <w:sz w:val="24"/>
          <w:szCs w:val="24"/>
        </w:rPr>
        <w:t>Bibliotecae Regiae</w:t>
      </w:r>
      <w:r w:rsidRPr="00096909">
        <w:rPr>
          <w:rFonts w:ascii="Times New Roman" w:hAnsi="Times New Roman" w:cs="Times New Roman"/>
          <w:sz w:val="24"/>
          <w:szCs w:val="24"/>
        </w:rPr>
        <w:t xml:space="preserve"> di Francia. </w:t>
      </w:r>
    </w:p>
    <w:p w14:paraId="22ED27D1" w14:textId="77777777" w:rsidR="00B92BCD" w:rsidRPr="00096909" w:rsidRDefault="00B92BCD" w:rsidP="00B92BCD">
      <w:pPr>
        <w:spacing w:after="0" w:line="360" w:lineRule="auto"/>
        <w:jc w:val="both"/>
        <w:rPr>
          <w:sz w:val="24"/>
          <w:szCs w:val="24"/>
        </w:rPr>
      </w:pPr>
      <w:r w:rsidRPr="00096909">
        <w:rPr>
          <w:rFonts w:ascii="Times New Roman" w:hAnsi="Times New Roman" w:cs="Times New Roman"/>
          <w:sz w:val="24"/>
          <w:szCs w:val="24"/>
        </w:rPr>
        <w:t xml:space="preserve">Dimensioni esemplare 190,80 x 130,70 mm.; margini larghi. Rare annotazioni manoscritte in inchiostro nero. </w:t>
      </w:r>
    </w:p>
    <w:p w14:paraId="7F1D3E7C" w14:textId="77777777" w:rsidR="00B92BCD" w:rsidRPr="00096909" w:rsidRDefault="00B92BCD" w:rsidP="00B92BCD">
      <w:pPr>
        <w:rPr>
          <w:sz w:val="24"/>
          <w:szCs w:val="24"/>
        </w:rPr>
      </w:pPr>
    </w:p>
    <w:p w14:paraId="1FF318C7" w14:textId="77777777" w:rsidR="00B92BCD" w:rsidRPr="00096909" w:rsidRDefault="00B92BCD" w:rsidP="00B92BCD"/>
    <w:p w14:paraId="4C0A5C57" w14:textId="77777777" w:rsidR="00B92BCD" w:rsidRPr="00096909" w:rsidRDefault="00B92BCD" w:rsidP="00B92BCD">
      <w:pPr>
        <w:jc w:val="both"/>
      </w:pPr>
    </w:p>
    <w:p w14:paraId="44854B79" w14:textId="77777777" w:rsidR="00B92BCD" w:rsidRPr="00096909" w:rsidRDefault="00B92BCD" w:rsidP="00B92BCD">
      <w:pPr>
        <w:jc w:val="both"/>
      </w:pPr>
    </w:p>
    <w:p w14:paraId="48AD40F1" w14:textId="77777777" w:rsidR="00B92BCD" w:rsidRPr="00096909" w:rsidRDefault="00B92BCD" w:rsidP="00B92BCD">
      <w:pPr>
        <w:jc w:val="both"/>
      </w:pPr>
    </w:p>
    <w:p w14:paraId="39A12B2D" w14:textId="77777777" w:rsidR="00B92BCD" w:rsidRPr="00096909" w:rsidRDefault="00B92BCD" w:rsidP="00B92BCD">
      <w:pPr>
        <w:jc w:val="both"/>
      </w:pPr>
    </w:p>
    <w:p w14:paraId="77023E14" w14:textId="77777777" w:rsidR="00B92BCD" w:rsidRPr="00096909" w:rsidRDefault="00B92BCD" w:rsidP="00B92BCD">
      <w:pPr>
        <w:jc w:val="both"/>
      </w:pPr>
    </w:p>
    <w:p w14:paraId="2C147237" w14:textId="77777777" w:rsidR="00B92BCD" w:rsidRPr="00096909" w:rsidRDefault="00B92BCD" w:rsidP="00B92BCD">
      <w:pPr>
        <w:jc w:val="both"/>
      </w:pPr>
    </w:p>
    <w:p w14:paraId="276E5FA7" w14:textId="77777777" w:rsidR="00B92BCD" w:rsidRPr="00096909" w:rsidRDefault="00B92BCD" w:rsidP="00B92BCD">
      <w:pPr>
        <w:jc w:val="both"/>
      </w:pPr>
    </w:p>
    <w:p w14:paraId="505861EF" w14:textId="77777777" w:rsidR="00B92BCD" w:rsidRPr="00096909" w:rsidRDefault="00B92BCD" w:rsidP="00B92BCD">
      <w:pPr>
        <w:jc w:val="both"/>
      </w:pPr>
    </w:p>
    <w:p w14:paraId="69B1E69D" w14:textId="77777777" w:rsidR="00B92BCD" w:rsidRPr="00096909" w:rsidRDefault="00B92BCD" w:rsidP="00B92BCD">
      <w:pPr>
        <w:jc w:val="both"/>
      </w:pPr>
    </w:p>
    <w:p w14:paraId="68E8F83D" w14:textId="77777777" w:rsidR="00B92BCD" w:rsidRPr="00096909" w:rsidRDefault="00B92BCD" w:rsidP="00B92BCD">
      <w:pPr>
        <w:jc w:val="both"/>
      </w:pPr>
    </w:p>
    <w:p w14:paraId="4C8828E1" w14:textId="77777777" w:rsidR="00B92BCD" w:rsidRPr="00096909" w:rsidRDefault="00B92BCD" w:rsidP="00B92BCD">
      <w:pPr>
        <w:jc w:val="both"/>
      </w:pPr>
    </w:p>
    <w:p w14:paraId="1E952F16" w14:textId="77777777" w:rsidR="00B92BCD" w:rsidRPr="00096909" w:rsidRDefault="00B92BCD" w:rsidP="00B92BCD">
      <w:pPr>
        <w:jc w:val="both"/>
      </w:pPr>
    </w:p>
    <w:p w14:paraId="5C3C0F52" w14:textId="77777777" w:rsidR="00B92BCD" w:rsidRPr="00096909" w:rsidRDefault="00B92BCD" w:rsidP="00B92BCD">
      <w:pPr>
        <w:jc w:val="both"/>
      </w:pPr>
    </w:p>
    <w:p w14:paraId="07249CB3" w14:textId="77777777" w:rsidR="00B92BCD" w:rsidRPr="00096909" w:rsidRDefault="00B92BCD" w:rsidP="00B92BCD">
      <w:pPr>
        <w:jc w:val="both"/>
      </w:pPr>
    </w:p>
    <w:p w14:paraId="229C45B0" w14:textId="77777777" w:rsidR="00B92BCD" w:rsidRPr="00096909" w:rsidRDefault="00B92BCD" w:rsidP="00B92BCD">
      <w:pPr>
        <w:jc w:val="both"/>
      </w:pPr>
    </w:p>
    <w:p w14:paraId="602A2F6D" w14:textId="77777777" w:rsidR="00B92BCD" w:rsidRPr="00096909" w:rsidRDefault="00B92BCD" w:rsidP="00B92BCD">
      <w:pPr>
        <w:jc w:val="both"/>
      </w:pPr>
      <w:r w:rsidRPr="00096909">
        <w:br w:type="page"/>
      </w:r>
    </w:p>
    <w:p w14:paraId="4D6A552B" w14:textId="77777777" w:rsidR="00B92BCD" w:rsidRPr="00096909" w:rsidRDefault="00B92BCD" w:rsidP="00B92BCD">
      <w:pPr>
        <w:pStyle w:val="Nessunaspaziatura"/>
        <w:spacing w:line="360" w:lineRule="auto"/>
        <w:jc w:val="both"/>
        <w:rPr>
          <w:rFonts w:ascii="Times New Roman" w:hAnsi="Times New Roman" w:cs="Times New Roman"/>
          <w:sz w:val="24"/>
          <w:szCs w:val="24"/>
        </w:rPr>
      </w:pPr>
      <w:r w:rsidRPr="00096909">
        <w:rPr>
          <w:rFonts w:ascii="Times New Roman" w:hAnsi="Times New Roman" w:cs="Times New Roman"/>
          <w:smallCaps/>
          <w:sz w:val="24"/>
          <w:szCs w:val="24"/>
        </w:rPr>
        <w:t>scheda 5] Beroaldus, Philippus</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Nuptiae Bentivolorum</w:t>
      </w:r>
      <w:r w:rsidRPr="00096909">
        <w:rPr>
          <w:rFonts w:ascii="Times New Roman" w:hAnsi="Times New Roman" w:cs="Times New Roman"/>
          <w:sz w:val="24"/>
          <w:szCs w:val="24"/>
        </w:rPr>
        <w:t xml:space="preserve">. [Con:] </w:t>
      </w:r>
      <w:r w:rsidRPr="00096909">
        <w:rPr>
          <w:rFonts w:ascii="Times New Roman" w:hAnsi="Times New Roman" w:cs="Times New Roman"/>
          <w:smallCaps/>
          <w:sz w:val="24"/>
          <w:szCs w:val="24"/>
        </w:rPr>
        <w:t>Idem</w:t>
      </w:r>
      <w:r w:rsidRPr="00096909">
        <w:rPr>
          <w:rFonts w:ascii="Times New Roman" w:hAnsi="Times New Roman" w:cs="Times New Roman"/>
          <w:sz w:val="24"/>
          <w:szCs w:val="24"/>
        </w:rPr>
        <w:t xml:space="preserve">, lettere ed endecasillabi. </w:t>
      </w:r>
    </w:p>
    <w:p w14:paraId="03523408" w14:textId="77777777" w:rsidR="00B92BCD" w:rsidRPr="00096909" w:rsidRDefault="00B92BCD" w:rsidP="00B92BCD">
      <w:pPr>
        <w:pStyle w:val="Nessunaspaziatura"/>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[Bologna, Pasquino Fontanesi, dopo 28 gennaio 1487].  </w:t>
      </w:r>
    </w:p>
    <w:p w14:paraId="03A2CF7B" w14:textId="77777777" w:rsidR="00B92BCD" w:rsidRPr="00096909" w:rsidRDefault="00B92BCD" w:rsidP="00B92BCD">
      <w:pPr>
        <w:pStyle w:val="Nessunaspaziatura"/>
        <w:spacing w:line="360" w:lineRule="auto"/>
        <w:rPr>
          <w:rFonts w:ascii="Times New Roman" w:hAnsi="Times New Roman" w:cs="Times New Roman"/>
          <w:sz w:val="24"/>
          <w:szCs w:val="24"/>
        </w:rPr>
      </w:pPr>
    </w:p>
    <w:p w14:paraId="17FE5A7C"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In 4</w:t>
      </w:r>
      <w:r w:rsidRPr="00096909">
        <w:rPr>
          <w:rFonts w:ascii="Times New Roman" w:hAnsi="Times New Roman" w:cs="Times New Roman"/>
          <w:sz w:val="24"/>
          <w:szCs w:val="24"/>
          <w:vertAlign w:val="superscript"/>
        </w:rPr>
        <w:t>0</w:t>
      </w:r>
      <w:r w:rsidRPr="00096909">
        <w:rPr>
          <w:rFonts w:ascii="Times New Roman" w:hAnsi="Times New Roman" w:cs="Times New Roman"/>
          <w:sz w:val="24"/>
          <w:szCs w:val="24"/>
        </w:rPr>
        <w:t>, got., testo a piena pagina, specchio di pagina 130,70 x 80,50 mm; rientri a destra alla prima riga di ogni testo, cc. [10], fascicolatura a</w:t>
      </w:r>
      <w:r w:rsidRPr="00096909">
        <w:rPr>
          <w:rFonts w:ascii="Times New Roman" w:hAnsi="Times New Roman" w:cs="Times New Roman"/>
          <w:sz w:val="24"/>
          <w:szCs w:val="24"/>
          <w:vertAlign w:val="superscript"/>
        </w:rPr>
        <w:t>10</w:t>
      </w:r>
      <w:r w:rsidRPr="00096909">
        <w:rPr>
          <w:rFonts w:ascii="Times New Roman" w:hAnsi="Times New Roman" w:cs="Times New Roman"/>
          <w:sz w:val="24"/>
          <w:szCs w:val="24"/>
        </w:rPr>
        <w:t>.</w:t>
      </w:r>
    </w:p>
    <w:p w14:paraId="13E20562"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60F529A0"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r w:rsidRPr="00096909">
        <w:rPr>
          <w:rFonts w:ascii="Times New Roman" w:hAnsi="Times New Roman" w:cs="Times New Roman"/>
          <w:sz w:val="24"/>
          <w:szCs w:val="24"/>
        </w:rPr>
        <w:t xml:space="preserve">GW 4140. H 2978. IGI 1599. </w:t>
      </w:r>
    </w:p>
    <w:p w14:paraId="384AB6FB"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255A80DE"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1C0E9BA5"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r w:rsidRPr="00096909">
        <w:rPr>
          <w:rFonts w:ascii="Times New Roman" w:hAnsi="Times New Roman" w:cs="Times New Roman"/>
          <w:b/>
          <w:sz w:val="24"/>
          <w:szCs w:val="24"/>
        </w:rPr>
        <w:t xml:space="preserve">Contenuto </w:t>
      </w:r>
    </w:p>
    <w:p w14:paraId="7775B7FE"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p>
    <w:p w14:paraId="7A208E2C"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a1r: Ad Magnificu[m] et ornatissimu[m] virum Bartholomeu[m] || chalcu[m] Ducale[m] secretariu[m] Philipi Beroaldi b[o]n[oniensis] ep[isto]la. || (Incipit) Opusculum de nuptiis Bentivoloru[m]: quod nuper […].</w:t>
      </w:r>
    </w:p>
    <w:p w14:paraId="4DFB1469"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A c. a1v: (Explicit) Per totidem scripta e[st] hec mihi pompa vies. || Philipi beroaldi bononie[n]sis nuptiae bentivolor[um] || (Incipit) Bene bentivolorum multos iam annos bononie </w:t>
      </w:r>
      <w:r w:rsidRPr="00096909">
        <w:rPr>
          <w:rFonts w:ascii="Times New Roman" w:hAnsi="Times New Roman" w:cs="Times New Roman"/>
          <w:sz w:val="24"/>
          <w:szCs w:val="24"/>
          <w:lang w:val="en-US"/>
        </w:rPr>
        <w:t>[…].</w:t>
      </w:r>
    </w:p>
    <w:p w14:paraId="344AE5AC"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A c. a9v: (Explicit) cu[m] metelli felicitate largiantur. || </w:t>
      </w:r>
      <w:r w:rsidRPr="00096909">
        <w:rPr>
          <w:rFonts w:ascii="Times New Roman" w:hAnsi="Times New Roman" w:cs="Times New Roman"/>
          <w:sz w:val="24"/>
          <w:szCs w:val="24"/>
        </w:rPr>
        <w:t>Eiusdem Endecasillabon. || (Incipit) Quo tu quo properas recens libelle […]</w:t>
      </w:r>
    </w:p>
    <w:p w14:paraId="3859D60B"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a10r: (Explicit) Iam quo properas recens libelle. || FINIS. </w:t>
      </w:r>
    </w:p>
    <w:p w14:paraId="697546AD"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p>
    <w:p w14:paraId="53253D27"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p>
    <w:p w14:paraId="56A7E6FF"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r w:rsidRPr="00096909">
        <w:rPr>
          <w:rFonts w:ascii="Times New Roman" w:hAnsi="Times New Roman" w:cs="Times New Roman"/>
          <w:b/>
          <w:sz w:val="24"/>
          <w:szCs w:val="24"/>
        </w:rPr>
        <w:t>Esemplare esaminato</w:t>
      </w:r>
    </w:p>
    <w:p w14:paraId="025598B6"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28D029F4"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Parigi, Biblioteca Nazionale di Francia, RES-K-748 (3). Esemplare in discreto stato di conservazione. Legatura in cartoncino grigio con rivestimento in carta opaca giallastra. L’incunabolo è stato legato con altre tre edizioni italiane del sec. XV. È preceduto da N. Naldi, </w:t>
      </w:r>
      <w:r w:rsidRPr="00096909">
        <w:rPr>
          <w:rFonts w:ascii="Times New Roman" w:hAnsi="Times New Roman" w:cs="Times New Roman"/>
          <w:i/>
          <w:sz w:val="24"/>
          <w:szCs w:val="24"/>
        </w:rPr>
        <w:t>Carmen Nuptiale</w:t>
      </w:r>
      <w:r w:rsidRPr="00096909">
        <w:rPr>
          <w:rFonts w:ascii="Times New Roman" w:hAnsi="Times New Roman" w:cs="Times New Roman"/>
          <w:sz w:val="24"/>
          <w:szCs w:val="24"/>
        </w:rPr>
        <w:t xml:space="preserve"> e N. Naldi, </w:t>
      </w:r>
      <w:r w:rsidRPr="00096909">
        <w:rPr>
          <w:rFonts w:ascii="Times New Roman" w:hAnsi="Times New Roman" w:cs="Times New Roman"/>
          <w:i/>
          <w:sz w:val="24"/>
          <w:szCs w:val="24"/>
        </w:rPr>
        <w:t>Hastiludium</w:t>
      </w:r>
      <w:r w:rsidRPr="00096909">
        <w:rPr>
          <w:rFonts w:ascii="Times New Roman" w:hAnsi="Times New Roman" w:cs="Times New Roman"/>
          <w:sz w:val="24"/>
          <w:szCs w:val="24"/>
        </w:rPr>
        <w:t xml:space="preserve">; è seguito da G. Petroboni, </w:t>
      </w:r>
      <w:r w:rsidRPr="00096909">
        <w:rPr>
          <w:rFonts w:ascii="Times New Roman" w:hAnsi="Times New Roman" w:cs="Times New Roman"/>
          <w:i/>
          <w:sz w:val="24"/>
          <w:szCs w:val="24"/>
        </w:rPr>
        <w:t>Bentivola</w:t>
      </w:r>
      <w:r w:rsidRPr="00096909">
        <w:rPr>
          <w:rFonts w:ascii="Times New Roman" w:hAnsi="Times New Roman" w:cs="Times New Roman"/>
          <w:sz w:val="24"/>
          <w:szCs w:val="24"/>
        </w:rPr>
        <w:t xml:space="preserve">. In calce alla c. a1 r. si legge tra parentesi tonde la cifra 3 indicante che l’opuscolo è il terzo nel volume. Sulla stessa c. a1 r. si trovano anche i riferimenti bibliografici a Pell. e H scritti a matita. </w:t>
      </w:r>
    </w:p>
    <w:p w14:paraId="54E63315"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Dimensioni esemplare 190,80 x 130,70 mm; margini larghi ma tagliati. Presenza di annotazioni manoscritte in inchiostro nero al recto e al verso di ogni carta. Si tratta di rilievi sul lessico dell’autore e segnalazione dei nomi dei personaggi storici citati.</w:t>
      </w:r>
    </w:p>
    <w:p w14:paraId="1E429B60" w14:textId="77777777" w:rsidR="00B92BCD" w:rsidRPr="00096909" w:rsidRDefault="00B92BCD" w:rsidP="00B92BCD">
      <w:pPr>
        <w:jc w:val="both"/>
      </w:pPr>
    </w:p>
    <w:p w14:paraId="7C4F772E" w14:textId="77777777" w:rsidR="00B92BCD" w:rsidRPr="00096909" w:rsidRDefault="00B92BCD" w:rsidP="00B92BCD">
      <w:pPr>
        <w:jc w:val="both"/>
      </w:pPr>
      <w:r w:rsidRPr="00096909">
        <w:rPr>
          <w:rFonts w:ascii="Times New Roman" w:hAnsi="Times New Roman" w:cs="Times New Roman"/>
          <w:smallCaps/>
          <w:sz w:val="24"/>
          <w:szCs w:val="24"/>
        </w:rPr>
        <w:t>scheda 6] Salimbeni, Angelus Michael</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Epithalamium pro nuotiali pompa Hannibalis Bentivolii et Lucretiae Estensis</w:t>
      </w:r>
      <w:r w:rsidRPr="00096909">
        <w:rPr>
          <w:rFonts w:ascii="Times New Roman" w:hAnsi="Times New Roman" w:cs="Times New Roman"/>
          <w:sz w:val="24"/>
          <w:szCs w:val="24"/>
        </w:rPr>
        <w:t xml:space="preserve">. [Con:] </w:t>
      </w:r>
      <w:r w:rsidRPr="00096909">
        <w:rPr>
          <w:rFonts w:ascii="Times New Roman" w:hAnsi="Times New Roman" w:cs="Times New Roman"/>
          <w:smallCaps/>
          <w:sz w:val="24"/>
          <w:szCs w:val="24"/>
        </w:rPr>
        <w:t>Idem</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Ad libellum</w:t>
      </w:r>
      <w:r w:rsidRPr="00096909">
        <w:rPr>
          <w:rFonts w:ascii="Times New Roman" w:hAnsi="Times New Roman" w:cs="Times New Roman"/>
          <w:sz w:val="24"/>
          <w:szCs w:val="24"/>
        </w:rPr>
        <w:t xml:space="preserve">. </w:t>
      </w:r>
    </w:p>
    <w:p w14:paraId="0F9C2097" w14:textId="77777777" w:rsidR="00B92BCD" w:rsidRPr="00096909" w:rsidRDefault="00B92BCD" w:rsidP="00B92BCD">
      <w:pPr>
        <w:pStyle w:val="Nessunaspaziatura"/>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[Bologna, Francesco de’ Benedetti, dopo il 2 febbraio 1487].  </w:t>
      </w:r>
    </w:p>
    <w:p w14:paraId="739B0483" w14:textId="77777777" w:rsidR="00B92BCD" w:rsidRPr="00096909" w:rsidRDefault="00B92BCD" w:rsidP="00B92BCD">
      <w:pPr>
        <w:pStyle w:val="Nessunaspaziatura"/>
        <w:spacing w:line="360" w:lineRule="auto"/>
        <w:rPr>
          <w:rFonts w:ascii="Times New Roman" w:hAnsi="Times New Roman" w:cs="Times New Roman"/>
          <w:sz w:val="24"/>
          <w:szCs w:val="24"/>
        </w:rPr>
      </w:pPr>
    </w:p>
    <w:p w14:paraId="1D09169E"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In 4</w:t>
      </w:r>
      <w:r w:rsidRPr="00096909">
        <w:rPr>
          <w:rFonts w:ascii="Times New Roman" w:hAnsi="Times New Roman" w:cs="Times New Roman"/>
          <w:sz w:val="24"/>
          <w:szCs w:val="24"/>
          <w:vertAlign w:val="superscript"/>
        </w:rPr>
        <w:t>0</w:t>
      </w:r>
      <w:r w:rsidRPr="00096909">
        <w:rPr>
          <w:rFonts w:ascii="Times New Roman" w:hAnsi="Times New Roman" w:cs="Times New Roman"/>
          <w:sz w:val="24"/>
          <w:szCs w:val="24"/>
        </w:rPr>
        <w:t>, got., testo a piena pagina disposto in colonna singola, quattro spazi per capilettera privi di lettere guida, specchio di pagina 140,20 x 70,20 mm; lieve sporgenza a sinistra per la prima lettera di ogni ottava, cc. [50], fascicolatura a-e</w:t>
      </w:r>
      <w:r w:rsidRPr="00096909">
        <w:rPr>
          <w:rFonts w:ascii="Times New Roman" w:hAnsi="Times New Roman" w:cs="Times New Roman"/>
          <w:sz w:val="24"/>
          <w:szCs w:val="24"/>
          <w:vertAlign w:val="superscript"/>
        </w:rPr>
        <w:t>8</w:t>
      </w:r>
      <w:r w:rsidRPr="00096909">
        <w:rPr>
          <w:rFonts w:ascii="Times New Roman" w:hAnsi="Times New Roman" w:cs="Times New Roman"/>
          <w:sz w:val="24"/>
          <w:szCs w:val="24"/>
        </w:rPr>
        <w:t>, f</w:t>
      </w:r>
      <w:r w:rsidRPr="00096909">
        <w:rPr>
          <w:rFonts w:ascii="Times New Roman" w:hAnsi="Times New Roman" w:cs="Times New Roman"/>
          <w:sz w:val="24"/>
          <w:szCs w:val="24"/>
          <w:vertAlign w:val="superscript"/>
        </w:rPr>
        <w:t>10</w:t>
      </w:r>
      <w:r w:rsidRPr="00096909">
        <w:rPr>
          <w:rFonts w:ascii="Times New Roman" w:hAnsi="Times New Roman" w:cs="Times New Roman"/>
          <w:sz w:val="24"/>
          <w:szCs w:val="24"/>
        </w:rPr>
        <w:t>.</w:t>
      </w:r>
    </w:p>
    <w:p w14:paraId="00B57D26" w14:textId="77777777" w:rsidR="00B92BCD" w:rsidRPr="00096909" w:rsidRDefault="00B92BCD" w:rsidP="00B92BCD"/>
    <w:p w14:paraId="4D8ED4CC"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r w:rsidRPr="00096909">
        <w:rPr>
          <w:rFonts w:ascii="Times New Roman" w:hAnsi="Times New Roman" w:cs="Times New Roman"/>
          <w:sz w:val="24"/>
          <w:szCs w:val="24"/>
        </w:rPr>
        <w:t xml:space="preserve">GW M 41201. IGI 8523. </w:t>
      </w:r>
    </w:p>
    <w:p w14:paraId="7B868693"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72E5B35B"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711E90EF"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r w:rsidRPr="00096909">
        <w:rPr>
          <w:rFonts w:ascii="Times New Roman" w:hAnsi="Times New Roman" w:cs="Times New Roman"/>
          <w:b/>
          <w:sz w:val="24"/>
          <w:szCs w:val="24"/>
        </w:rPr>
        <w:t xml:space="preserve">Contenuto </w:t>
      </w:r>
    </w:p>
    <w:p w14:paraId="3CAB09CD"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p>
    <w:p w14:paraId="08A3C362"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a2r: Angeli Michaelis Selimbeni Bononiensis || Epithalamium pro nuptiali pompa Magnifici B[ononiae] Hannibalis nati Illust[rissimi] principis B[ononiae] Joa[n]nis || Bentivoli Laurentio Medices Viro magni || fico et in omni vitae colore serenissimo Dicatum. || (Incipit) E indarno tempro calamo che scriva […].</w:t>
      </w:r>
    </w:p>
    <w:p w14:paraId="0D8B4C23"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f10r: (Explicit) Ti pone a l[’]ombra d[’]un sacrato Lauro || AD LIBELLUM || (Incipit) Florentis patriae moneo </w:t>
      </w:r>
      <w:r w:rsidRPr="00096909">
        <w:rPr>
          <w:rFonts w:ascii="Times New Roman" w:hAnsi="Times New Roman" w:cs="Times New Roman"/>
          <w:sz w:val="24"/>
          <w:szCs w:val="24"/>
          <w:lang w:val="en-US"/>
        </w:rPr>
        <w:t>[…] || (Explicit) Est tibi sub placida fronte parata quies. ||</w:t>
      </w:r>
      <w:r w:rsidRPr="00096909">
        <w:rPr>
          <w:rFonts w:ascii="Times New Roman" w:hAnsi="Times New Roman" w:cs="Times New Roman"/>
          <w:sz w:val="24"/>
          <w:szCs w:val="24"/>
        </w:rPr>
        <w:t xml:space="preserve"> FINIS.</w:t>
      </w:r>
    </w:p>
    <w:p w14:paraId="33F4A3C5"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lang w:val="en-US"/>
        </w:rPr>
      </w:pPr>
    </w:p>
    <w:p w14:paraId="4B3B9A3A"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lang w:val="en-US"/>
        </w:rPr>
      </w:pPr>
    </w:p>
    <w:p w14:paraId="48987EDB"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r w:rsidRPr="00096909">
        <w:rPr>
          <w:rFonts w:ascii="Times New Roman" w:hAnsi="Times New Roman" w:cs="Times New Roman"/>
          <w:b/>
          <w:sz w:val="24"/>
          <w:szCs w:val="24"/>
        </w:rPr>
        <w:t>Esemplare esaminato</w:t>
      </w:r>
    </w:p>
    <w:p w14:paraId="1D4784F5"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5BC465F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Firenze, Biblioteca Nazionale Centrale, P. 7.6. Esemplare in discreto stato di conservazione. Legatura in cartoncino grigio con rivestimento in carta blu con fantasia a cerchi azzurri e verdi. Mancanti le carte [1, 8, 9].</w:t>
      </w:r>
    </w:p>
    <w:p w14:paraId="1888D96D"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Dimensioni esemplare 190,00 x 120,70 mm; margini larghi ma tagliati. Presenza di annotazioni manoscritte di due mani diverse, del secolo XIX, in inchiostro nero e matita al recto e al verso della carta di guardia con appunti sulla storia dell’edizione. </w:t>
      </w:r>
    </w:p>
    <w:p w14:paraId="5509E783" w14:textId="77777777" w:rsidR="00B92BCD" w:rsidRPr="00096909" w:rsidRDefault="00B92BCD" w:rsidP="00B92BCD">
      <w:pPr>
        <w:spacing w:after="0"/>
        <w:jc w:val="both"/>
        <w:rPr>
          <w:sz w:val="24"/>
          <w:szCs w:val="24"/>
        </w:rPr>
      </w:pPr>
    </w:p>
    <w:p w14:paraId="78038047" w14:textId="77777777" w:rsidR="00B92BCD" w:rsidRPr="00096909" w:rsidRDefault="00B92BCD" w:rsidP="00B92BCD">
      <w:pPr>
        <w:spacing w:after="0"/>
        <w:jc w:val="both"/>
        <w:rPr>
          <w:sz w:val="24"/>
          <w:szCs w:val="24"/>
        </w:rPr>
      </w:pPr>
    </w:p>
    <w:p w14:paraId="395D0F04" w14:textId="77777777" w:rsidR="00B92BCD" w:rsidRPr="00096909" w:rsidRDefault="00B92BCD" w:rsidP="00B92BCD">
      <w:pPr>
        <w:spacing w:after="0"/>
        <w:jc w:val="both"/>
        <w:rPr>
          <w:sz w:val="24"/>
          <w:szCs w:val="24"/>
        </w:rPr>
      </w:pPr>
    </w:p>
    <w:p w14:paraId="4215E398" w14:textId="77777777" w:rsidR="00B92BCD" w:rsidRPr="00096909" w:rsidRDefault="00B92BCD" w:rsidP="00B92BCD">
      <w:pPr>
        <w:spacing w:after="0"/>
        <w:jc w:val="both"/>
        <w:rPr>
          <w:sz w:val="24"/>
          <w:szCs w:val="24"/>
        </w:rPr>
      </w:pPr>
    </w:p>
    <w:p w14:paraId="5CC92192" w14:textId="77777777" w:rsidR="00B92BCD" w:rsidRPr="00096909" w:rsidRDefault="00B92BCD" w:rsidP="00B92BCD">
      <w:pPr>
        <w:spacing w:after="0"/>
        <w:jc w:val="both"/>
        <w:rPr>
          <w:sz w:val="24"/>
          <w:szCs w:val="24"/>
        </w:rPr>
      </w:pPr>
      <w:r w:rsidRPr="00096909">
        <w:rPr>
          <w:sz w:val="24"/>
          <w:szCs w:val="24"/>
        </w:rPr>
        <w:br w:type="page"/>
      </w:r>
      <w:r w:rsidRPr="00096909">
        <w:rPr>
          <w:rFonts w:ascii="Times New Roman" w:hAnsi="Times New Roman" w:cs="Times New Roman"/>
          <w:smallCaps/>
          <w:sz w:val="24"/>
          <w:szCs w:val="24"/>
        </w:rPr>
        <w:t>scheda 7] Dulcinus, Stephanus</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Nuptiae Illustrissimi Ducis Mediolani</w:t>
      </w:r>
      <w:r w:rsidRPr="00096909">
        <w:rPr>
          <w:rFonts w:ascii="Times New Roman" w:hAnsi="Times New Roman" w:cs="Times New Roman"/>
          <w:sz w:val="24"/>
          <w:szCs w:val="24"/>
        </w:rPr>
        <w:t xml:space="preserve">. Con lettere di Stefano Dolcino, Giovanni Antonio Corvini, Bonifacio Bembo. </w:t>
      </w:r>
    </w:p>
    <w:p w14:paraId="2B19D8B3" w14:textId="77777777" w:rsidR="00B92BCD" w:rsidRPr="00096909" w:rsidRDefault="00B92BCD" w:rsidP="00B92BCD">
      <w:pPr>
        <w:pStyle w:val="Nessunaspaziatura"/>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Milano, Antonio Zarotto, ed. Giovanni Antonio Corvini, Id. Apr. [13 IV] 1489. </w:t>
      </w:r>
    </w:p>
    <w:p w14:paraId="199B0BC5" w14:textId="77777777" w:rsidR="00B92BCD" w:rsidRPr="00096909" w:rsidRDefault="00B92BCD" w:rsidP="00B92BCD">
      <w:pPr>
        <w:pStyle w:val="Nessunaspaziatura"/>
        <w:spacing w:line="360" w:lineRule="auto"/>
        <w:rPr>
          <w:rFonts w:ascii="Times New Roman" w:hAnsi="Times New Roman" w:cs="Times New Roman"/>
          <w:sz w:val="24"/>
          <w:szCs w:val="24"/>
        </w:rPr>
      </w:pPr>
    </w:p>
    <w:p w14:paraId="6C1F35A4"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In 4</w:t>
      </w:r>
      <w:r w:rsidRPr="00096909">
        <w:rPr>
          <w:rFonts w:ascii="Times New Roman" w:hAnsi="Times New Roman" w:cs="Times New Roman"/>
          <w:sz w:val="24"/>
          <w:szCs w:val="24"/>
          <w:vertAlign w:val="superscript"/>
        </w:rPr>
        <w:t>0</w:t>
      </w:r>
      <w:r w:rsidRPr="00096909">
        <w:rPr>
          <w:rFonts w:ascii="Times New Roman" w:hAnsi="Times New Roman" w:cs="Times New Roman"/>
          <w:sz w:val="24"/>
          <w:szCs w:val="24"/>
        </w:rPr>
        <w:t>, rom., testo a piena pagina, specchio di pagina 130,40 x 80,80 mm; presenza di lettere guida per capilettera, cc. [14], presenza di cartulazione manoscritta, fascicolatura a</w:t>
      </w:r>
      <w:r w:rsidRPr="00096909">
        <w:rPr>
          <w:rFonts w:ascii="Times New Roman" w:hAnsi="Times New Roman" w:cs="Times New Roman"/>
          <w:sz w:val="24"/>
          <w:szCs w:val="24"/>
          <w:vertAlign w:val="superscript"/>
        </w:rPr>
        <w:t>8</w:t>
      </w:r>
      <w:r w:rsidRPr="00096909">
        <w:rPr>
          <w:rFonts w:ascii="Times New Roman" w:hAnsi="Times New Roman" w:cs="Times New Roman"/>
          <w:sz w:val="24"/>
          <w:szCs w:val="24"/>
        </w:rPr>
        <w:t>,</w:t>
      </w:r>
      <w:r w:rsidRPr="00096909">
        <w:rPr>
          <w:rFonts w:ascii="Times New Roman" w:hAnsi="Times New Roman" w:cs="Times New Roman"/>
          <w:sz w:val="24"/>
          <w:szCs w:val="24"/>
          <w:vertAlign w:val="superscript"/>
        </w:rPr>
        <w:t xml:space="preserve"> </w:t>
      </w:r>
      <w:r w:rsidRPr="00096909">
        <w:rPr>
          <w:rFonts w:ascii="Times New Roman" w:hAnsi="Times New Roman" w:cs="Times New Roman"/>
          <w:sz w:val="24"/>
          <w:szCs w:val="24"/>
        </w:rPr>
        <w:t>b</w:t>
      </w:r>
      <w:r w:rsidRPr="00096909">
        <w:rPr>
          <w:rFonts w:ascii="Times New Roman" w:hAnsi="Times New Roman" w:cs="Times New Roman"/>
          <w:sz w:val="24"/>
          <w:szCs w:val="24"/>
          <w:vertAlign w:val="superscript"/>
        </w:rPr>
        <w:t>6</w:t>
      </w:r>
      <w:r w:rsidRPr="00096909">
        <w:rPr>
          <w:rFonts w:ascii="Times New Roman" w:hAnsi="Times New Roman" w:cs="Times New Roman"/>
          <w:sz w:val="24"/>
          <w:szCs w:val="24"/>
        </w:rPr>
        <w:t>.</w:t>
      </w:r>
    </w:p>
    <w:p w14:paraId="0459D3CF"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051F702A"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r w:rsidRPr="00096909">
        <w:rPr>
          <w:rFonts w:ascii="Times New Roman" w:hAnsi="Times New Roman" w:cs="Times New Roman"/>
          <w:sz w:val="24"/>
          <w:szCs w:val="24"/>
        </w:rPr>
        <w:t>H 6414; GW 9064; BMC VI, 721; IGI 3586; GOFF D 367.</w:t>
      </w:r>
    </w:p>
    <w:p w14:paraId="221EA512"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0CAF64A8"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3FB52E97"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r w:rsidRPr="00096909">
        <w:rPr>
          <w:rFonts w:ascii="Times New Roman" w:hAnsi="Times New Roman" w:cs="Times New Roman"/>
          <w:b/>
          <w:sz w:val="24"/>
          <w:szCs w:val="24"/>
        </w:rPr>
        <w:t xml:space="preserve">Contenuto </w:t>
      </w:r>
    </w:p>
    <w:p w14:paraId="24C91B1E" w14:textId="77777777" w:rsidR="00B92BCD" w:rsidRPr="00096909" w:rsidRDefault="00B92BCD" w:rsidP="00B92BCD">
      <w:pPr>
        <w:pStyle w:val="Nessunaspaziatura"/>
        <w:spacing w:line="360" w:lineRule="auto"/>
        <w:ind w:firstLine="709"/>
        <w:rPr>
          <w:rFonts w:ascii="Times New Roman" w:hAnsi="Times New Roman" w:cs="Times New Roman"/>
          <w:b/>
          <w:sz w:val="24"/>
          <w:szCs w:val="24"/>
        </w:rPr>
      </w:pPr>
    </w:p>
    <w:p w14:paraId="52221395"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a1r: Nuptiae Illustrissimi Ducis Mediolani. || P. Stephanus Dulcinus Scalae Canonicus Nicolao || Lucaro Rhetori Cremonensi. S[alutem]. (Incipit) Invidisti mihi Nicolae credo audiens qua || les nuptias […].</w:t>
      </w:r>
    </w:p>
    <w:p w14:paraId="00561220"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A c. a2r: (Explicit) altiora quaedam de Principis origine op || pido quam breviter repetamus. </w:t>
      </w:r>
      <w:r w:rsidRPr="00096909">
        <w:rPr>
          <w:rFonts w:ascii="Times New Roman" w:hAnsi="Times New Roman" w:cs="Times New Roman"/>
          <w:sz w:val="24"/>
          <w:szCs w:val="24"/>
          <w:lang w:val="en-US"/>
        </w:rPr>
        <w:t>|| De Vicecomitum Genealogia || (Incipit) Longobardorum reges […].</w:t>
      </w:r>
    </w:p>
    <w:p w14:paraId="010204AF"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lang w:val="en-US"/>
        </w:rPr>
        <w:t>A c. a4r: (Explicit) &amp; sanguinis parilitas confirmet[ur].</w:t>
      </w:r>
      <w:r w:rsidRPr="00096909">
        <w:rPr>
          <w:rFonts w:ascii="Times New Roman" w:hAnsi="Times New Roman" w:cs="Times New Roman"/>
          <w:sz w:val="24"/>
          <w:szCs w:val="24"/>
        </w:rPr>
        <w:t xml:space="preserve"> || De Templo Mediolanensi. || (Incipit) Templi descritionem hoc loco aggrederer […]. </w:t>
      </w:r>
    </w:p>
    <w:p w14:paraId="457A63C0"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a7r: (Explicit) Ga || leacius Sextus optata felicitate perficiat. || De Aedificio ante templum Rotundo. || (Incipit) Ante templi frontispicium […].</w:t>
      </w:r>
    </w:p>
    <w:p w14:paraId="03518B1E"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a7v: (Explicit) non multum a vestro Baptisterio absimilis. || De Arcu Triumphali. || (Incipit) In inferiori parte fori […]. </w:t>
      </w:r>
    </w:p>
    <w:p w14:paraId="6A52A5D5"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A c. a8r: De spacio inter templum et arcum colu[m]nato. </w:t>
      </w:r>
      <w:r w:rsidRPr="00096909">
        <w:rPr>
          <w:rFonts w:ascii="Times New Roman" w:hAnsi="Times New Roman" w:cs="Times New Roman"/>
          <w:sz w:val="24"/>
          <w:szCs w:val="24"/>
          <w:lang w:val="en-US"/>
        </w:rPr>
        <w:t>|| (Incipit) Ab isto arcu […]. (Explicit) urbis luxus repressit. || De arcis apparatu. || (Incipit) Sed iam in regum Thronum penetremus.</w:t>
      </w:r>
    </w:p>
    <w:p w14:paraId="7FB0D576"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a8v: (Explicit) Magnificentia[m] || explicemus. || De Lecti genialis ornamento. || (Incipit) Vereor ne si sacri liminis […]. </w:t>
      </w:r>
    </w:p>
    <w:p w14:paraId="3DFA1517"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b1r: (Explicit) palam attestabitur. || De variaru[m] Tegume[n]tis &amp; festo urbis ornatu. || (Incipit) Portam arcis egredientes […]. </w:t>
      </w:r>
    </w:p>
    <w:p w14:paraId="3E07EBB2"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b2r: (Explicit) Manducos fuisse putamus. </w:t>
      </w:r>
    </w:p>
    <w:p w14:paraId="50E9EB6C"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b2v: De Sacerdotum &amp; Militum Pompa. || (Incipit) Solemni nuptiar[um] die […]. (Explicit) ominia trepidaba[n]t. || De Principis Egressu &amp; Comitatu. || (Incipit) His summo mane ita p[re]paratis […].</w:t>
      </w:r>
    </w:p>
    <w:p w14:paraId="38F96D52"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b3v: (Explicit) et lauro historialem varietatem distinguentibus. || De altari &amp; eius ornamento. || (Incipit) Altare quinque cubitis a terra […].</w:t>
      </w:r>
    </w:p>
    <w:p w14:paraId="53E3A985"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A c. b4r: (Explicit) in admiratione[m] || attraxerunt. </w:t>
      </w:r>
      <w:r w:rsidRPr="00096909">
        <w:rPr>
          <w:rFonts w:ascii="Times New Roman" w:hAnsi="Times New Roman" w:cs="Times New Roman"/>
          <w:sz w:val="24"/>
          <w:szCs w:val="24"/>
        </w:rPr>
        <w:t>|| De Pontificali Missa || (Incipit) Cum igitur electi […] (Explicit) Sponsam sponso concinnavit. || De his q[ui] auro equestri donati su[n]t &amp; spectator[um] numero. || (Incipit) Nec mora duo […].</w:t>
      </w:r>
    </w:p>
    <w:p w14:paraId="5FEB3F23"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b4v: (Explicit) et Mediolani mira omnia. || De Ducis nostri felicitate. || (Incipit) Unum e multis […]. (Explicit) redunt spectacula mane. || De Mediolani &amp; Nuptiarum laudibus. || (Incipit) Mediolanum non ut ex veterum libris […]. (Explicit) invidia facile princeps.</w:t>
      </w:r>
    </w:p>
    <w:p w14:paraId="5EE20A2A"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b5r: De Nuptiarum excellentia. || (Incipit) Nuptiarum splendorem […] (Explicit) adimplere non dedignantur. || Epilogus. || (Incipit) Haec sunt Nicolae optime […]</w:t>
      </w:r>
    </w:p>
    <w:p w14:paraId="20ACCF0B"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b5v: (Explicit) Data Mediol[ani] X. Kl[alendae] Martii. 1489. || Iohann Antonius Corvinus. P. Stepha[n]o Dulcino Canonico Me || diolanesi S[alutem] Plurimum] D[icit]. || (Incipit) Vidi suavissime Stephane […].</w:t>
      </w:r>
    </w:p>
    <w:p w14:paraId="208F8E0C"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b6r: (Explicit) ut facis || mutuo dilige Mediolani pridie. Kl. Martii. 1489. || [</w:t>
      </w:r>
      <w:r w:rsidRPr="00096909">
        <w:rPr>
          <w:rFonts w:ascii="Times New Roman" w:hAnsi="Times New Roman" w:cs="Times New Roman"/>
          <w:i/>
          <w:sz w:val="24"/>
          <w:szCs w:val="24"/>
        </w:rPr>
        <w:t>colophon</w:t>
      </w:r>
      <w:r w:rsidRPr="00096909">
        <w:rPr>
          <w:rFonts w:ascii="Times New Roman" w:hAnsi="Times New Roman" w:cs="Times New Roman"/>
          <w:sz w:val="24"/>
          <w:szCs w:val="24"/>
        </w:rPr>
        <w:t xml:space="preserve">] Opera &amp; impensa Spectabilis Viri D. Io. Antonii || Corvini de Arretio: vir i[n] hac arte ingeniosissimus. || Antonius. Zarotus Parmensis i[m]pressit Mediolani. || M. cccc l xxxviiii. Idibus Aprilibus. </w:t>
      </w:r>
    </w:p>
    <w:p w14:paraId="3E492CEA"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p>
    <w:p w14:paraId="184CDC96"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p>
    <w:p w14:paraId="57B71638"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r w:rsidRPr="00096909">
        <w:rPr>
          <w:rFonts w:ascii="Times New Roman" w:hAnsi="Times New Roman" w:cs="Times New Roman"/>
          <w:b/>
          <w:sz w:val="24"/>
          <w:szCs w:val="24"/>
        </w:rPr>
        <w:t>Esemplare esaminato</w:t>
      </w:r>
    </w:p>
    <w:p w14:paraId="25DC573C"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110B5A10" w14:textId="77777777" w:rsidR="00B92BCD" w:rsidRPr="00096909" w:rsidRDefault="00B92BCD" w:rsidP="00B92BCD">
      <w:pPr>
        <w:spacing w:line="360" w:lineRule="auto"/>
        <w:jc w:val="both"/>
        <w:rPr>
          <w:sz w:val="24"/>
          <w:szCs w:val="24"/>
        </w:rPr>
      </w:pPr>
      <w:r w:rsidRPr="00096909">
        <w:rPr>
          <w:rFonts w:ascii="Times New Roman" w:hAnsi="Times New Roman" w:cs="Times New Roman"/>
          <w:sz w:val="24"/>
          <w:szCs w:val="24"/>
        </w:rPr>
        <w:t>Milano, Biblioteca Nazionale Braidense, AM. X. 79. Esemplare in buono stato di conservazione. Legatura in cartoncino rosso con iscrizione dorata recante al dorso nome dell’autore e anno di pubblicazione. Segnatura della biblioteca al recto del primo foglio di guardia; dimensioni esemplare 190,50 x 140,00 mm; margini larghi.</w:t>
      </w:r>
    </w:p>
    <w:p w14:paraId="7B8AD34D" w14:textId="77777777" w:rsidR="00B92BCD" w:rsidRPr="00096909" w:rsidRDefault="00B92BCD" w:rsidP="00B92BCD">
      <w:pPr>
        <w:spacing w:after="0"/>
        <w:jc w:val="both"/>
        <w:rPr>
          <w:sz w:val="24"/>
          <w:szCs w:val="24"/>
        </w:rPr>
      </w:pPr>
    </w:p>
    <w:p w14:paraId="17D939B8" w14:textId="77777777" w:rsidR="00B92BCD" w:rsidRPr="00096909" w:rsidRDefault="00B92BCD" w:rsidP="00B92BCD">
      <w:pPr>
        <w:spacing w:line="259" w:lineRule="auto"/>
      </w:pPr>
      <w:r w:rsidRPr="00096909">
        <w:br w:type="page"/>
      </w:r>
    </w:p>
    <w:p w14:paraId="03880E5B" w14:textId="77777777" w:rsidR="00B92BCD" w:rsidRPr="00096909" w:rsidRDefault="00B92BCD" w:rsidP="00B92BCD">
      <w:pPr>
        <w:jc w:val="both"/>
      </w:pPr>
      <w:r w:rsidRPr="00096909">
        <w:rPr>
          <w:rFonts w:ascii="Times New Roman" w:hAnsi="Times New Roman" w:cs="Times New Roman"/>
          <w:smallCaps/>
          <w:sz w:val="24"/>
          <w:szCs w:val="24"/>
        </w:rPr>
        <w:t>scheda 8] Taccone, Baldassarre</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Coronazione e sposalizio di Bianca Maria Sforza.</w:t>
      </w:r>
    </w:p>
    <w:p w14:paraId="159B699D" w14:textId="77777777" w:rsidR="00B92BCD" w:rsidRPr="00096909" w:rsidRDefault="00B92BCD" w:rsidP="00B92BCD">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Milano, Leonhard Pachel, 1493.</w:t>
      </w:r>
    </w:p>
    <w:p w14:paraId="062F7A7D" w14:textId="77777777" w:rsidR="00B92BCD" w:rsidRPr="00096909" w:rsidRDefault="00B92BCD" w:rsidP="00B92BCD">
      <w:pPr>
        <w:pStyle w:val="Nessunaspaziatura"/>
        <w:spacing w:line="360" w:lineRule="auto"/>
        <w:rPr>
          <w:rFonts w:ascii="Times New Roman" w:hAnsi="Times New Roman" w:cs="Times New Roman"/>
          <w:sz w:val="24"/>
          <w:szCs w:val="24"/>
        </w:rPr>
      </w:pPr>
    </w:p>
    <w:p w14:paraId="667AC7B4"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r w:rsidRPr="00096909">
        <w:rPr>
          <w:rFonts w:ascii="Times New Roman" w:hAnsi="Times New Roman" w:cs="Times New Roman"/>
          <w:sz w:val="24"/>
          <w:szCs w:val="24"/>
        </w:rPr>
        <w:t>In 4</w:t>
      </w:r>
      <w:r w:rsidRPr="00096909">
        <w:rPr>
          <w:rFonts w:ascii="Times New Roman" w:hAnsi="Times New Roman" w:cs="Times New Roman"/>
          <w:sz w:val="24"/>
          <w:szCs w:val="24"/>
          <w:vertAlign w:val="superscript"/>
        </w:rPr>
        <w:t>0</w:t>
      </w:r>
      <w:r w:rsidRPr="00096909">
        <w:rPr>
          <w:rFonts w:ascii="Times New Roman" w:hAnsi="Times New Roman" w:cs="Times New Roman"/>
          <w:sz w:val="24"/>
          <w:szCs w:val="24"/>
        </w:rPr>
        <w:t>, rom., testo a piena pagina, specchio di pagina 150.30 x 80,20 mm; cc. 18, fascicolatura a – c</w:t>
      </w:r>
      <w:r w:rsidRPr="00096909">
        <w:rPr>
          <w:rFonts w:ascii="Times New Roman" w:hAnsi="Times New Roman" w:cs="Times New Roman"/>
          <w:sz w:val="24"/>
          <w:szCs w:val="24"/>
          <w:vertAlign w:val="superscript"/>
        </w:rPr>
        <w:t>6</w:t>
      </w:r>
      <w:r w:rsidRPr="00096909">
        <w:rPr>
          <w:rFonts w:ascii="Times New Roman" w:hAnsi="Times New Roman" w:cs="Times New Roman"/>
          <w:sz w:val="24"/>
          <w:szCs w:val="24"/>
        </w:rPr>
        <w:t>. (La c. b3 è stata erroneamente inserita all’interno del fascicolo c)</w:t>
      </w:r>
    </w:p>
    <w:p w14:paraId="0F4C2A5F"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r w:rsidRPr="00096909">
        <w:rPr>
          <w:rFonts w:ascii="Times New Roman" w:hAnsi="Times New Roman" w:cs="Times New Roman"/>
          <w:sz w:val="24"/>
          <w:szCs w:val="24"/>
        </w:rPr>
        <w:t xml:space="preserve"> </w:t>
      </w:r>
    </w:p>
    <w:p w14:paraId="78023A27"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r w:rsidRPr="00096909">
        <w:rPr>
          <w:rFonts w:ascii="Times New Roman" w:hAnsi="Times New Roman" w:cs="Times New Roman"/>
          <w:sz w:val="24"/>
          <w:szCs w:val="24"/>
        </w:rPr>
        <w:t>H 15216; R VI, 163; IGI 9254.</w:t>
      </w:r>
    </w:p>
    <w:p w14:paraId="087DDA7D"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5F33ABAD" w14:textId="77777777" w:rsidR="00B92BCD" w:rsidRPr="00096909" w:rsidRDefault="00B92BCD" w:rsidP="00B92BCD">
      <w:pPr>
        <w:pStyle w:val="Nessunaspaziatura"/>
        <w:spacing w:line="360" w:lineRule="auto"/>
        <w:ind w:firstLine="709"/>
        <w:rPr>
          <w:rFonts w:ascii="Times New Roman" w:hAnsi="Times New Roman" w:cs="Times New Roman"/>
          <w:sz w:val="24"/>
          <w:szCs w:val="24"/>
        </w:rPr>
      </w:pPr>
    </w:p>
    <w:p w14:paraId="5C4DE383" w14:textId="77777777" w:rsidR="00B92BCD" w:rsidRPr="00096909" w:rsidRDefault="00B92BCD" w:rsidP="00B92BCD">
      <w:pPr>
        <w:spacing w:line="360" w:lineRule="auto"/>
        <w:ind w:firstLine="709"/>
        <w:jc w:val="both"/>
        <w:rPr>
          <w:rFonts w:ascii="Times New Roman" w:hAnsi="Times New Roman" w:cs="Times New Roman"/>
          <w:b/>
          <w:sz w:val="24"/>
          <w:szCs w:val="24"/>
        </w:rPr>
      </w:pPr>
      <w:r w:rsidRPr="00096909">
        <w:rPr>
          <w:rFonts w:ascii="Times New Roman" w:hAnsi="Times New Roman" w:cs="Times New Roman"/>
          <w:b/>
          <w:sz w:val="24"/>
          <w:szCs w:val="24"/>
        </w:rPr>
        <w:t>Contenuto</w:t>
      </w:r>
    </w:p>
    <w:p w14:paraId="331E065C"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A c. a1v: Coronatione e sponsalitio de la serenissima Re || gina .M. Bianca. MA. SF. Augusta al Illustris || simo S. Lodovico. SF. Visconte Duca de Bar || ri per Baldassarre Taccone Alexandrino ca[n]cel || leri composta. </w:t>
      </w:r>
    </w:p>
    <w:p w14:paraId="21E6D53C"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a2r: (Incipit) Per dir de quello excelso immortal angue || che tutto el mondo di sua gloria avampa […].</w:t>
      </w:r>
    </w:p>
    <w:p w14:paraId="2F8F2229"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c8r: (Explicit) me come un altro del maldire ingrasseno. (Incipit) Al signore Lodovico principe solemnissimo […] (Explicit) Ecco con quanta providentia el Moro || col pastore e San Marco si raccolse || per mantenire Italia for daffanno. || (Incipit) Eiusdem auctoris Tetrasticon || Sforciadae exultent o[mn]es sub principe Mauro || Nomen avis: vitae restituitq[ue] patrem || Nexuit Augusto consanguinitate Nepotem || (Explicit) Quae res non ullo tempore nota fuit. || [colophon] Imp[re]ssit Leonardu[s] pachel.M.cccc.lxxxxiii.</w:t>
      </w:r>
    </w:p>
    <w:p w14:paraId="211E3DB0"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203144A8"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1D23B1F5"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r w:rsidRPr="00096909">
        <w:rPr>
          <w:rFonts w:ascii="Times New Roman" w:hAnsi="Times New Roman" w:cs="Times New Roman"/>
          <w:b/>
          <w:sz w:val="24"/>
          <w:szCs w:val="24"/>
        </w:rPr>
        <w:t>Esemplare esaminato</w:t>
      </w:r>
    </w:p>
    <w:p w14:paraId="7D6EBE12"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1C7EAFFA"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Milano, Biblioteca Nazionale Braidense, AM. IX. 35. Esemplare in buono stato di conservazione. Si trova all’interno di una raccolta miscellanea contenente anche Philelphus, </w:t>
      </w:r>
      <w:r w:rsidRPr="00096909">
        <w:rPr>
          <w:rFonts w:ascii="Times New Roman" w:hAnsi="Times New Roman" w:cs="Times New Roman"/>
          <w:i/>
          <w:sz w:val="24"/>
          <w:szCs w:val="24"/>
        </w:rPr>
        <w:t>Orationes</w:t>
      </w:r>
      <w:r w:rsidRPr="00096909">
        <w:rPr>
          <w:rFonts w:ascii="Times New Roman" w:hAnsi="Times New Roman" w:cs="Times New Roman"/>
          <w:sz w:val="24"/>
          <w:szCs w:val="24"/>
        </w:rPr>
        <w:t xml:space="preserve">, s. n. t; Lucanus, </w:t>
      </w:r>
      <w:r w:rsidRPr="00096909">
        <w:rPr>
          <w:rFonts w:ascii="Times New Roman" w:hAnsi="Times New Roman" w:cs="Times New Roman"/>
          <w:i/>
          <w:sz w:val="24"/>
          <w:szCs w:val="24"/>
        </w:rPr>
        <w:t>Deploratio illustrissimae Beatricis</w:t>
      </w:r>
      <w:r w:rsidRPr="00096909">
        <w:rPr>
          <w:rFonts w:ascii="Times New Roman" w:hAnsi="Times New Roman" w:cs="Times New Roman"/>
          <w:sz w:val="24"/>
          <w:szCs w:val="24"/>
        </w:rPr>
        <w:t xml:space="preserve">, s.n. t; Biffius, </w:t>
      </w:r>
      <w:r w:rsidRPr="00096909">
        <w:rPr>
          <w:rFonts w:ascii="Times New Roman" w:hAnsi="Times New Roman" w:cs="Times New Roman"/>
          <w:i/>
          <w:sz w:val="24"/>
          <w:szCs w:val="24"/>
        </w:rPr>
        <w:t>Ad illustrissimum Ludovicum Sfortiam carmen</w:t>
      </w:r>
      <w:r w:rsidRPr="00096909">
        <w:rPr>
          <w:rFonts w:ascii="Times New Roman" w:hAnsi="Times New Roman" w:cs="Times New Roman"/>
          <w:sz w:val="24"/>
          <w:szCs w:val="24"/>
        </w:rPr>
        <w:t xml:space="preserve">, Milano, Zarotto 1493; Biffius, </w:t>
      </w:r>
      <w:r w:rsidRPr="00096909">
        <w:rPr>
          <w:rFonts w:ascii="Times New Roman" w:hAnsi="Times New Roman" w:cs="Times New Roman"/>
          <w:i/>
          <w:sz w:val="24"/>
          <w:szCs w:val="24"/>
        </w:rPr>
        <w:t>Parcarum Promantheusis in die natali illustrissimi principi Ludovici</w:t>
      </w:r>
      <w:r w:rsidRPr="00096909">
        <w:rPr>
          <w:rFonts w:ascii="Times New Roman" w:hAnsi="Times New Roman" w:cs="Times New Roman"/>
          <w:sz w:val="24"/>
          <w:szCs w:val="24"/>
        </w:rPr>
        <w:t>, Milano, Zarotto, s. a.</w:t>
      </w:r>
    </w:p>
    <w:p w14:paraId="4331D1FA"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Legatura in cartonato; carte guardia; titolo al dorso </w:t>
      </w:r>
      <w:r w:rsidRPr="00096909">
        <w:rPr>
          <w:rFonts w:ascii="Times New Roman" w:hAnsi="Times New Roman" w:cs="Times New Roman"/>
          <w:i/>
          <w:sz w:val="24"/>
          <w:szCs w:val="24"/>
        </w:rPr>
        <w:t>Miscellanea</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edizioni milanesi secolo XV</w:t>
      </w:r>
      <w:r w:rsidRPr="00096909">
        <w:rPr>
          <w:rFonts w:ascii="Times New Roman" w:hAnsi="Times New Roman" w:cs="Times New Roman"/>
          <w:sz w:val="24"/>
          <w:szCs w:val="24"/>
        </w:rPr>
        <w:t>; impresso il marchio della Braidense; Segnatura attuale e segnatura antica; dimensioni esemplare 190,90 x 130,80 mm. La c. b</w:t>
      </w:r>
      <w:r w:rsidRPr="00096909">
        <w:rPr>
          <w:rFonts w:ascii="Times New Roman" w:hAnsi="Times New Roman" w:cs="Times New Roman"/>
          <w:sz w:val="24"/>
          <w:szCs w:val="24"/>
          <w:vertAlign w:val="superscript"/>
        </w:rPr>
        <w:t>3</w:t>
      </w:r>
      <w:r w:rsidRPr="00096909">
        <w:rPr>
          <w:rFonts w:ascii="Times New Roman" w:hAnsi="Times New Roman" w:cs="Times New Roman"/>
          <w:sz w:val="24"/>
          <w:szCs w:val="24"/>
        </w:rPr>
        <w:t xml:space="preserve"> è stata erroneamente inserita all’interno del fascicolo c.</w:t>
      </w:r>
    </w:p>
    <w:p w14:paraId="69513A96" w14:textId="77777777" w:rsidR="00B92BCD" w:rsidRPr="00096909" w:rsidRDefault="00B92BCD" w:rsidP="00B92BCD">
      <w:pPr>
        <w:jc w:val="both"/>
      </w:pPr>
      <w:r w:rsidRPr="00096909">
        <w:rPr>
          <w:rFonts w:ascii="Times New Roman" w:hAnsi="Times New Roman" w:cs="Times New Roman"/>
          <w:smallCaps/>
          <w:sz w:val="24"/>
          <w:szCs w:val="24"/>
        </w:rPr>
        <w:t>scheda 9] Lazaronus, Petrus</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 xml:space="preserve">Epithalamium in nuptiis Blancae Mariae Sfortiae cum Maximiliano Romanorum rege. </w:t>
      </w:r>
    </w:p>
    <w:p w14:paraId="6C41735E" w14:textId="77777777" w:rsidR="00B92BCD" w:rsidRPr="00096909" w:rsidRDefault="00B92BCD" w:rsidP="00B92BCD">
      <w:pPr>
        <w:pStyle w:val="Nessunaspaziatura"/>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Milano, Antonio Zarotto, 1 X 1494. </w:t>
      </w:r>
    </w:p>
    <w:p w14:paraId="25F3C60D" w14:textId="77777777" w:rsidR="00B92BCD" w:rsidRPr="00096909" w:rsidRDefault="00B92BCD" w:rsidP="00B92BCD">
      <w:pPr>
        <w:pStyle w:val="Nessunaspaziatura"/>
        <w:spacing w:line="360" w:lineRule="auto"/>
        <w:jc w:val="both"/>
        <w:rPr>
          <w:rFonts w:ascii="Times New Roman" w:hAnsi="Times New Roman" w:cs="Times New Roman"/>
          <w:sz w:val="24"/>
          <w:szCs w:val="24"/>
        </w:rPr>
      </w:pPr>
    </w:p>
    <w:p w14:paraId="14019F97"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In 4</w:t>
      </w:r>
      <w:r w:rsidRPr="00096909">
        <w:rPr>
          <w:rFonts w:ascii="Times New Roman" w:hAnsi="Times New Roman" w:cs="Times New Roman"/>
          <w:sz w:val="24"/>
          <w:szCs w:val="24"/>
          <w:vertAlign w:val="superscript"/>
        </w:rPr>
        <w:t>0</w:t>
      </w:r>
      <w:r w:rsidRPr="00096909">
        <w:rPr>
          <w:rFonts w:ascii="Times New Roman" w:hAnsi="Times New Roman" w:cs="Times New Roman"/>
          <w:sz w:val="24"/>
          <w:szCs w:val="24"/>
        </w:rPr>
        <w:t>, rom, testo a piena pagina, specchio di pagina 150,30 x 90,20 mm; presenza di lettere guida per capilettera, cc. 8, fascicolatura a</w:t>
      </w:r>
      <w:r w:rsidRPr="00096909">
        <w:rPr>
          <w:rFonts w:ascii="Times New Roman" w:hAnsi="Times New Roman" w:cs="Times New Roman"/>
          <w:sz w:val="24"/>
          <w:szCs w:val="24"/>
          <w:vertAlign w:val="superscript"/>
        </w:rPr>
        <w:t>8</w:t>
      </w:r>
      <w:r w:rsidRPr="00096909">
        <w:rPr>
          <w:rFonts w:ascii="Times New Roman" w:hAnsi="Times New Roman" w:cs="Times New Roman"/>
          <w:sz w:val="24"/>
          <w:szCs w:val="24"/>
        </w:rPr>
        <w:t>. Presenza di marginalia a stampa.</w:t>
      </w:r>
    </w:p>
    <w:p w14:paraId="1D54268B" w14:textId="77777777" w:rsidR="00B92BCD" w:rsidRPr="00096909" w:rsidRDefault="00B92BCD" w:rsidP="00B92BCD">
      <w:pPr>
        <w:pStyle w:val="Nessunaspaziatura"/>
        <w:ind w:firstLine="709"/>
        <w:jc w:val="both"/>
        <w:rPr>
          <w:rFonts w:ascii="Times New Roman" w:hAnsi="Times New Roman" w:cs="Times New Roman"/>
          <w:sz w:val="24"/>
          <w:szCs w:val="24"/>
        </w:rPr>
      </w:pPr>
    </w:p>
    <w:p w14:paraId="40576F4C" w14:textId="77777777" w:rsidR="00B92BCD" w:rsidRPr="00096909" w:rsidRDefault="00B92BCD" w:rsidP="00B92BCD">
      <w:pPr>
        <w:pStyle w:val="Nessunaspaziatura"/>
        <w:ind w:firstLine="709"/>
        <w:jc w:val="both"/>
        <w:rPr>
          <w:rFonts w:ascii="Times New Roman" w:hAnsi="Times New Roman" w:cs="Times New Roman"/>
          <w:sz w:val="24"/>
          <w:szCs w:val="24"/>
        </w:rPr>
      </w:pPr>
      <w:r w:rsidRPr="00096909">
        <w:rPr>
          <w:rFonts w:ascii="Times New Roman" w:hAnsi="Times New Roman" w:cs="Times New Roman"/>
          <w:sz w:val="24"/>
          <w:szCs w:val="24"/>
        </w:rPr>
        <w:t xml:space="preserve">H 9966; R VI, 92; IGI 5709. </w:t>
      </w:r>
    </w:p>
    <w:p w14:paraId="7555976A" w14:textId="77777777" w:rsidR="00B92BCD" w:rsidRPr="00096909" w:rsidRDefault="00B92BCD" w:rsidP="00B92BCD">
      <w:pPr>
        <w:pStyle w:val="Nessunaspaziatura"/>
        <w:ind w:firstLine="709"/>
        <w:jc w:val="both"/>
        <w:rPr>
          <w:rFonts w:ascii="Times New Roman" w:hAnsi="Times New Roman" w:cs="Times New Roman"/>
          <w:sz w:val="24"/>
          <w:szCs w:val="24"/>
        </w:rPr>
      </w:pPr>
    </w:p>
    <w:p w14:paraId="6F9EB16B" w14:textId="77777777" w:rsidR="00B92BCD" w:rsidRPr="00096909" w:rsidRDefault="00B92BCD" w:rsidP="00B92BCD">
      <w:pPr>
        <w:pStyle w:val="Nessunaspaziatura"/>
        <w:ind w:firstLine="709"/>
        <w:jc w:val="both"/>
        <w:rPr>
          <w:rFonts w:ascii="Times New Roman" w:hAnsi="Times New Roman" w:cs="Times New Roman"/>
          <w:b/>
          <w:sz w:val="24"/>
          <w:szCs w:val="24"/>
        </w:rPr>
      </w:pPr>
    </w:p>
    <w:p w14:paraId="36095613" w14:textId="77777777" w:rsidR="00B92BCD" w:rsidRPr="00096909" w:rsidRDefault="00B92BCD" w:rsidP="00B92BCD">
      <w:pPr>
        <w:pStyle w:val="Nessunaspaziatura"/>
        <w:ind w:firstLine="709"/>
        <w:jc w:val="both"/>
        <w:rPr>
          <w:rFonts w:ascii="Times New Roman" w:hAnsi="Times New Roman" w:cs="Times New Roman"/>
          <w:b/>
          <w:sz w:val="24"/>
          <w:szCs w:val="24"/>
        </w:rPr>
      </w:pPr>
    </w:p>
    <w:p w14:paraId="1F37E8A7" w14:textId="77777777" w:rsidR="00B92BCD" w:rsidRPr="00096909" w:rsidRDefault="00B92BCD" w:rsidP="00B92BCD">
      <w:pPr>
        <w:pStyle w:val="Nessunaspaziatura"/>
        <w:ind w:firstLine="709"/>
        <w:jc w:val="both"/>
        <w:rPr>
          <w:rFonts w:ascii="Times New Roman" w:hAnsi="Times New Roman" w:cs="Times New Roman"/>
          <w:b/>
          <w:sz w:val="24"/>
          <w:szCs w:val="24"/>
        </w:rPr>
      </w:pPr>
      <w:r w:rsidRPr="00096909">
        <w:rPr>
          <w:rFonts w:ascii="Times New Roman" w:hAnsi="Times New Roman" w:cs="Times New Roman"/>
          <w:b/>
          <w:sz w:val="24"/>
          <w:szCs w:val="24"/>
        </w:rPr>
        <w:t xml:space="preserve">Contenuto </w:t>
      </w:r>
    </w:p>
    <w:p w14:paraId="3EE508AA" w14:textId="77777777" w:rsidR="00B92BCD" w:rsidRPr="00096909" w:rsidRDefault="00B92BCD" w:rsidP="00B92BCD">
      <w:pPr>
        <w:ind w:firstLine="709"/>
        <w:jc w:val="both"/>
        <w:rPr>
          <w:rFonts w:ascii="Times New Roman" w:hAnsi="Times New Roman" w:cs="Times New Roman"/>
          <w:b/>
          <w:sz w:val="24"/>
          <w:szCs w:val="24"/>
        </w:rPr>
      </w:pPr>
    </w:p>
    <w:p w14:paraId="738A2BDC"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a1r: Serenissimo romano rum Regi Invictissimoq[ue] Imperatori || designato Maximiliano: Petrus Lazaronus artis oratoriae || in ticinensi gymnasio publicus lector S. P. D. (Incipit) || Iuxta rerum magnitudinem […] (Explicit) ex eo gradus accessuros.</w:t>
      </w:r>
    </w:p>
    <w:p w14:paraId="16C1896A"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a1v: De nuptiis Imperatoriae Maiestatis. (Incipit) || Supremo venere gradu connubia musae || Exornanda mihi: cantus afferte sonoros. […].</w:t>
      </w:r>
    </w:p>
    <w:p w14:paraId="19C16FF7"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r w:rsidRPr="00096909">
        <w:rPr>
          <w:rFonts w:ascii="Times New Roman" w:hAnsi="Times New Roman" w:cs="Times New Roman"/>
          <w:sz w:val="24"/>
          <w:szCs w:val="24"/>
        </w:rPr>
        <w:t>a c. a8v: (Explicit) romano ferte secondo || Successus regno: &amp; regem servata merentem. || [</w:t>
      </w:r>
      <w:r w:rsidRPr="00096909">
        <w:rPr>
          <w:rFonts w:ascii="Times New Roman" w:hAnsi="Times New Roman" w:cs="Times New Roman"/>
          <w:i/>
          <w:sz w:val="24"/>
          <w:szCs w:val="24"/>
        </w:rPr>
        <w:t>colophon</w:t>
      </w:r>
      <w:r w:rsidRPr="00096909">
        <w:rPr>
          <w:rFonts w:ascii="Times New Roman" w:hAnsi="Times New Roman" w:cs="Times New Roman"/>
          <w:sz w:val="24"/>
          <w:szCs w:val="24"/>
        </w:rPr>
        <w:t xml:space="preserve">] Impressum Mediolani Per Antoniu[m] Zarotum Parmensem || Anno Do[mini] M.CCCC.LXXXXIIII. Die Primo Octobris. </w:t>
      </w:r>
    </w:p>
    <w:p w14:paraId="2CF12302"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39D8DA1F"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4F349B4C" w14:textId="77777777" w:rsidR="00B92BCD" w:rsidRPr="00096909" w:rsidRDefault="00B92BCD" w:rsidP="00B92BCD">
      <w:pPr>
        <w:pStyle w:val="Nessunaspaziatura"/>
        <w:spacing w:line="360" w:lineRule="auto"/>
        <w:ind w:firstLine="709"/>
        <w:jc w:val="both"/>
        <w:rPr>
          <w:rFonts w:ascii="Times New Roman" w:hAnsi="Times New Roman" w:cs="Times New Roman"/>
          <w:b/>
          <w:sz w:val="24"/>
          <w:szCs w:val="24"/>
        </w:rPr>
      </w:pPr>
      <w:r w:rsidRPr="00096909">
        <w:rPr>
          <w:rFonts w:ascii="Times New Roman" w:hAnsi="Times New Roman" w:cs="Times New Roman"/>
          <w:b/>
          <w:sz w:val="24"/>
          <w:szCs w:val="24"/>
        </w:rPr>
        <w:t>Esemplare esaminato</w:t>
      </w:r>
    </w:p>
    <w:p w14:paraId="303689C1" w14:textId="77777777" w:rsidR="00B92BCD" w:rsidRPr="00096909" w:rsidRDefault="00B92BCD" w:rsidP="00B92BCD">
      <w:pPr>
        <w:pStyle w:val="Nessunaspaziatura"/>
        <w:spacing w:line="360" w:lineRule="auto"/>
        <w:ind w:firstLine="709"/>
        <w:jc w:val="both"/>
        <w:rPr>
          <w:rFonts w:ascii="Times New Roman" w:hAnsi="Times New Roman" w:cs="Times New Roman"/>
          <w:sz w:val="24"/>
          <w:szCs w:val="24"/>
        </w:rPr>
      </w:pPr>
    </w:p>
    <w:p w14:paraId="374F6E1B" w14:textId="77777777" w:rsidR="00B92BCD" w:rsidRPr="00096909" w:rsidRDefault="00B92BCD" w:rsidP="00B92BCD">
      <w:pPr>
        <w:spacing w:line="360" w:lineRule="auto"/>
        <w:jc w:val="both"/>
      </w:pPr>
      <w:r w:rsidRPr="00096909">
        <w:rPr>
          <w:rFonts w:ascii="Times New Roman" w:hAnsi="Times New Roman" w:cs="Times New Roman"/>
          <w:sz w:val="24"/>
          <w:szCs w:val="24"/>
        </w:rPr>
        <w:t>Milano, Biblioteca Nazionale Braidense, AM. IX. 16. Esemplare in buono stato di conservazione. Legatura in cartoncino grigio con etichetta recante segnatura della biblioteca al dorso. Carte di guardia; dimensioni esemplare 190,90 x 140,50 mm; margini poco tagliati e mal rifiniti.</w:t>
      </w:r>
    </w:p>
    <w:p w14:paraId="7D3FD619" w14:textId="77777777" w:rsidR="00B92BCD" w:rsidRPr="00096909" w:rsidRDefault="00B92BCD" w:rsidP="00B92BCD">
      <w:pPr>
        <w:tabs>
          <w:tab w:val="left" w:pos="9071"/>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w:t>
      </w:r>
    </w:p>
    <w:p w14:paraId="15058A8D" w14:textId="77777777" w:rsidR="00B92BCD" w:rsidRPr="00096909" w:rsidRDefault="00B92BCD" w:rsidP="00B92BCD">
      <w:pPr>
        <w:tabs>
          <w:tab w:val="left" w:pos="9072"/>
        </w:tabs>
        <w:spacing w:after="0" w:line="360" w:lineRule="auto"/>
        <w:ind w:right="567"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 </w:t>
      </w:r>
    </w:p>
    <w:p w14:paraId="10A0F44E" w14:textId="77777777" w:rsidR="00B92BCD" w:rsidRPr="00096909" w:rsidRDefault="00B92BCD" w:rsidP="00B92BCD">
      <w:pPr>
        <w:tabs>
          <w:tab w:val="left" w:pos="9072"/>
        </w:tabs>
        <w:spacing w:after="0" w:line="360" w:lineRule="auto"/>
        <w:ind w:right="566"/>
        <w:jc w:val="both"/>
        <w:rPr>
          <w:rFonts w:ascii="Times New Roman" w:hAnsi="Times New Roman" w:cs="Times New Roman"/>
          <w:sz w:val="24"/>
          <w:szCs w:val="24"/>
        </w:rPr>
      </w:pPr>
    </w:p>
    <w:p w14:paraId="09C906D7" w14:textId="77777777" w:rsidR="00B92BCD" w:rsidRPr="00096909" w:rsidRDefault="00B92BCD" w:rsidP="00B92BCD"/>
    <w:p w14:paraId="001829EB" w14:textId="77777777" w:rsidR="00B92BCD" w:rsidRPr="00096909" w:rsidRDefault="00B92BCD" w:rsidP="00B92BCD">
      <w:pPr>
        <w:spacing w:line="259" w:lineRule="auto"/>
        <w:rPr>
          <w:rFonts w:ascii="Times New Roman" w:hAnsi="Times New Roman" w:cs="Times New Roman"/>
          <w:sz w:val="24"/>
          <w:szCs w:val="24"/>
        </w:rPr>
      </w:pPr>
      <w:r w:rsidRPr="00096909">
        <w:rPr>
          <w:rFonts w:ascii="Times New Roman" w:hAnsi="Times New Roman" w:cs="Times New Roman"/>
          <w:sz w:val="24"/>
          <w:szCs w:val="24"/>
        </w:rPr>
        <w:br w:type="page"/>
      </w:r>
    </w:p>
    <w:p w14:paraId="3A0CDE9C" w14:textId="77777777" w:rsidR="00B92BCD" w:rsidRPr="00096909" w:rsidRDefault="00B92BCD" w:rsidP="00B92BCD">
      <w:pPr>
        <w:pStyle w:val="Titolocapitolo"/>
      </w:pPr>
      <w:r w:rsidRPr="00096909">
        <w:t>Appendice II.</w:t>
      </w:r>
    </w:p>
    <w:p w14:paraId="1AC4D008" w14:textId="77777777" w:rsidR="00B92BCD" w:rsidRPr="00096909" w:rsidRDefault="00B92BCD" w:rsidP="00B92BCD">
      <w:pPr>
        <w:pStyle w:val="Titolocapitolo"/>
      </w:pPr>
      <w:r w:rsidRPr="00096909">
        <w:t xml:space="preserve">Edizione delle </w:t>
      </w:r>
      <w:r w:rsidRPr="00096909">
        <w:rPr>
          <w:i/>
        </w:rPr>
        <w:t>Nuptiae Illustrissimi Ducis Mediolani</w:t>
      </w:r>
      <w:r w:rsidRPr="00096909">
        <w:t xml:space="preserve"> di Stefano Dolcino.</w:t>
      </w:r>
    </w:p>
    <w:p w14:paraId="0B6D7D5B" w14:textId="77777777" w:rsidR="00B92BCD" w:rsidRPr="00096909" w:rsidRDefault="00B92BCD" w:rsidP="00B92BCD">
      <w:pPr>
        <w:spacing w:line="360" w:lineRule="auto"/>
        <w:jc w:val="center"/>
        <w:rPr>
          <w:rFonts w:ascii="Times New Roman" w:hAnsi="Times New Roman" w:cs="Times New Roman"/>
          <w:sz w:val="24"/>
          <w:szCs w:val="24"/>
        </w:rPr>
      </w:pPr>
    </w:p>
    <w:p w14:paraId="026EB340" w14:textId="77777777" w:rsidR="00B92BCD" w:rsidRPr="00096909" w:rsidRDefault="00B92BCD" w:rsidP="00B92BCD">
      <w:pPr>
        <w:spacing w:line="360" w:lineRule="auto"/>
        <w:jc w:val="center"/>
        <w:rPr>
          <w:rFonts w:ascii="Times New Roman" w:hAnsi="Times New Roman" w:cs="Times New Roman"/>
          <w:sz w:val="24"/>
          <w:szCs w:val="24"/>
        </w:rPr>
      </w:pPr>
      <w:r w:rsidRPr="00096909">
        <w:rPr>
          <w:rFonts w:ascii="Times New Roman" w:hAnsi="Times New Roman" w:cs="Times New Roman"/>
          <w:sz w:val="24"/>
          <w:szCs w:val="24"/>
        </w:rPr>
        <w:t>Stephanus Dulcinus</w:t>
      </w:r>
    </w:p>
    <w:p w14:paraId="6BDF51A6" w14:textId="77777777" w:rsidR="00B92BCD" w:rsidRPr="00096909" w:rsidRDefault="00B92BCD" w:rsidP="00B92BCD">
      <w:pPr>
        <w:spacing w:line="360" w:lineRule="auto"/>
        <w:jc w:val="center"/>
        <w:rPr>
          <w:rFonts w:ascii="Times New Roman" w:hAnsi="Times New Roman" w:cs="Times New Roman"/>
          <w:sz w:val="24"/>
          <w:szCs w:val="24"/>
        </w:rPr>
      </w:pPr>
      <w:r w:rsidRPr="00096909">
        <w:rPr>
          <w:rFonts w:ascii="Times New Roman" w:hAnsi="Times New Roman" w:cs="Times New Roman"/>
          <w:sz w:val="24"/>
          <w:szCs w:val="24"/>
        </w:rPr>
        <w:t>Nuptiae Illustrissimi Ducis Mediolani.</w:t>
      </w:r>
      <w:r w:rsidRPr="00096909">
        <w:rPr>
          <w:rStyle w:val="Rimandonotaapidipagina"/>
          <w:rFonts w:ascii="Times New Roman" w:hAnsi="Times New Roman" w:cs="Times New Roman"/>
          <w:sz w:val="24"/>
          <w:szCs w:val="24"/>
        </w:rPr>
        <w:footnoteReference w:id="937"/>
      </w:r>
    </w:p>
    <w:p w14:paraId="714C3E5F" w14:textId="77777777" w:rsidR="00B92BCD" w:rsidRPr="00096909" w:rsidRDefault="00B92BCD" w:rsidP="00B92BCD">
      <w:pPr>
        <w:spacing w:line="360" w:lineRule="auto"/>
        <w:rPr>
          <w:rFonts w:ascii="Times New Roman" w:hAnsi="Times New Roman" w:cs="Times New Roman"/>
          <w:sz w:val="24"/>
          <w:szCs w:val="24"/>
        </w:rPr>
      </w:pPr>
    </w:p>
    <w:p w14:paraId="1501B707" w14:textId="77777777" w:rsidR="00B92BCD" w:rsidRPr="00096909" w:rsidRDefault="00B92BCD" w:rsidP="00B92BCD">
      <w:pPr>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I. Pater Stephanus Dulcinius, Scalae Canonicus, Nicolao Lucaro </w:t>
      </w:r>
      <w:r>
        <w:rPr>
          <w:rFonts w:ascii="Times New Roman" w:hAnsi="Times New Roman" w:cs="Times New Roman"/>
          <w:sz w:val="24"/>
          <w:szCs w:val="24"/>
        </w:rPr>
        <w:t>R</w:t>
      </w:r>
      <w:r w:rsidRPr="00096909">
        <w:rPr>
          <w:rFonts w:ascii="Times New Roman" w:hAnsi="Times New Roman" w:cs="Times New Roman"/>
          <w:sz w:val="24"/>
          <w:szCs w:val="24"/>
        </w:rPr>
        <w:t xml:space="preserve">hetori </w:t>
      </w:r>
      <w:r>
        <w:rPr>
          <w:rFonts w:ascii="Times New Roman" w:hAnsi="Times New Roman" w:cs="Times New Roman"/>
          <w:sz w:val="24"/>
          <w:szCs w:val="24"/>
        </w:rPr>
        <w:t>C</w:t>
      </w:r>
      <w:r w:rsidRPr="00096909">
        <w:rPr>
          <w:rFonts w:ascii="Times New Roman" w:hAnsi="Times New Roman" w:cs="Times New Roman"/>
          <w:sz w:val="24"/>
          <w:szCs w:val="24"/>
        </w:rPr>
        <w:t>remonensi Salutem.</w:t>
      </w:r>
    </w:p>
    <w:p w14:paraId="7DD74C66"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[1] Invidisti mihi Nicolae, credo, audiens quales nuptias his diebus Mediolani celebravimus. Sed magis invidebis cum pompae totius ordinem perscripsero; quam si ita mente concipere posses quemadmodum ego spectavi, non dubium est quod Psychae sorores</w:t>
      </w:r>
      <w:r w:rsidRPr="00096909">
        <w:rPr>
          <w:rStyle w:val="Rimandonotaapidipagina"/>
          <w:rFonts w:ascii="Times New Roman" w:hAnsi="Times New Roman" w:cs="Times New Roman"/>
          <w:sz w:val="24"/>
          <w:szCs w:val="24"/>
        </w:rPr>
        <w:footnoteReference w:id="938"/>
      </w:r>
      <w:r w:rsidRPr="00096909">
        <w:rPr>
          <w:rFonts w:ascii="Times New Roman" w:hAnsi="Times New Roman" w:cs="Times New Roman"/>
          <w:sz w:val="24"/>
          <w:szCs w:val="24"/>
        </w:rPr>
        <w:t xml:space="preserve"> aut Cecropis filiam</w:t>
      </w:r>
      <w:r w:rsidRPr="00096909">
        <w:rPr>
          <w:rStyle w:val="Rimandonotaapidipagina"/>
          <w:rFonts w:ascii="Times New Roman" w:hAnsi="Times New Roman" w:cs="Times New Roman"/>
          <w:sz w:val="24"/>
          <w:szCs w:val="24"/>
        </w:rPr>
        <w:footnoteReference w:id="939"/>
      </w:r>
      <w:r w:rsidRPr="00096909">
        <w:rPr>
          <w:rFonts w:ascii="Times New Roman" w:hAnsi="Times New Roman" w:cs="Times New Roman"/>
          <w:sz w:val="24"/>
          <w:szCs w:val="24"/>
        </w:rPr>
        <w:t xml:space="preserve"> invidia superares, qui tanta voluptate carueris, qua nos permulti incredibile gaudium sentimus. </w:t>
      </w:r>
    </w:p>
    <w:p w14:paraId="479AE27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Quamobrem, ut laetitiae huius magnitudo sit omnibus qui tam raro spectaculo interesse recusarunt invidiae augumentum, rerum series velut in tabula tibi depingetur. In his autem, si oscurior ero, non mihi sed materiae imputabis, quae externis vocabulis plurimum enarranda fuit.</w:t>
      </w:r>
      <w:r w:rsidRPr="00096909">
        <w:rPr>
          <w:rStyle w:val="Rimandonotaapidipagina"/>
          <w:rFonts w:ascii="Times New Roman" w:hAnsi="Times New Roman" w:cs="Times New Roman"/>
          <w:sz w:val="24"/>
          <w:szCs w:val="24"/>
        </w:rPr>
        <w:footnoteReference w:id="940"/>
      </w:r>
      <w:r w:rsidRPr="00096909">
        <w:rPr>
          <w:rFonts w:ascii="Times New Roman" w:hAnsi="Times New Roman" w:cs="Times New Roman"/>
          <w:sz w:val="24"/>
          <w:szCs w:val="24"/>
        </w:rPr>
        <w:t xml:space="preserve"> Poteris fortasse et imperitiae meae ascribere, qui nostris verbis rem explicare non potui. Verum eadem nota Plinium sugillabis in Laurentis et Thuscorum descriptione perplexum;</w:t>
      </w:r>
      <w:r w:rsidRPr="00096909">
        <w:rPr>
          <w:rStyle w:val="Rimandonotaapidipagina"/>
          <w:rFonts w:ascii="Times New Roman" w:hAnsi="Times New Roman" w:cs="Times New Roman"/>
          <w:sz w:val="24"/>
          <w:szCs w:val="24"/>
        </w:rPr>
        <w:footnoteReference w:id="941"/>
      </w:r>
      <w:r w:rsidRPr="00096909">
        <w:rPr>
          <w:rFonts w:ascii="Times New Roman" w:hAnsi="Times New Roman" w:cs="Times New Roman"/>
          <w:sz w:val="24"/>
          <w:szCs w:val="24"/>
        </w:rPr>
        <w:t xml:space="preserve"> et Varro simul taxabitur, qui </w:t>
      </w:r>
      <w:r w:rsidRPr="00096909">
        <w:rPr>
          <w:rFonts w:ascii="Times New Roman" w:hAnsi="Times New Roman" w:cs="Times New Roman"/>
          <w:i/>
          <w:sz w:val="24"/>
          <w:szCs w:val="24"/>
        </w:rPr>
        <w:t>Ornitrophia</w:t>
      </w:r>
      <w:r w:rsidRPr="00096909">
        <w:rPr>
          <w:rFonts w:ascii="Times New Roman" w:hAnsi="Times New Roman" w:cs="Times New Roman"/>
          <w:sz w:val="24"/>
          <w:szCs w:val="24"/>
        </w:rPr>
        <w:t xml:space="preserve"> verbis exoticis condidit.</w:t>
      </w:r>
      <w:r w:rsidRPr="00096909">
        <w:rPr>
          <w:rStyle w:val="Rimandonotaapidipagina"/>
          <w:rFonts w:ascii="Times New Roman" w:hAnsi="Times New Roman" w:cs="Times New Roman"/>
          <w:sz w:val="24"/>
          <w:szCs w:val="24"/>
        </w:rPr>
        <w:footnoteReference w:id="942"/>
      </w:r>
      <w:r w:rsidRPr="00096909">
        <w:rPr>
          <w:rFonts w:ascii="Times New Roman" w:hAnsi="Times New Roman" w:cs="Times New Roman"/>
          <w:sz w:val="24"/>
          <w:szCs w:val="24"/>
        </w:rPr>
        <w:t xml:space="preserve"> Iosephi</w:t>
      </w:r>
      <w:r w:rsidRPr="00096909">
        <w:rPr>
          <w:rStyle w:val="Rimandonotaapidipagina"/>
          <w:rFonts w:ascii="Times New Roman" w:hAnsi="Times New Roman" w:cs="Times New Roman"/>
          <w:sz w:val="24"/>
          <w:szCs w:val="24"/>
        </w:rPr>
        <w:footnoteReference w:id="943"/>
      </w:r>
      <w:r w:rsidRPr="00096909">
        <w:rPr>
          <w:rFonts w:ascii="Times New Roman" w:hAnsi="Times New Roman" w:cs="Times New Roman"/>
          <w:sz w:val="24"/>
          <w:szCs w:val="24"/>
        </w:rPr>
        <w:t xml:space="preserve"> et Aristeae</w:t>
      </w:r>
      <w:r w:rsidRPr="00096909">
        <w:rPr>
          <w:rStyle w:val="Rimandonotaapidipagina"/>
          <w:rFonts w:ascii="Times New Roman" w:hAnsi="Times New Roman" w:cs="Times New Roman"/>
          <w:sz w:val="24"/>
          <w:szCs w:val="24"/>
        </w:rPr>
        <w:footnoteReference w:id="944"/>
      </w:r>
      <w:r w:rsidRPr="00096909">
        <w:rPr>
          <w:rFonts w:ascii="Times New Roman" w:hAnsi="Times New Roman" w:cs="Times New Roman"/>
          <w:sz w:val="24"/>
          <w:szCs w:val="24"/>
        </w:rPr>
        <w:t xml:space="preserve"> interpretes in Hierosolimitano templo sacrisque vasis explicandis idem fecisse videmus; et Vitruvius architectonicae epistatas vocabulis durioribus instruit. Quid igitur nos, sues Boetii, faceremus, quibus nova nomina confingere non licet et ab antiquis prodita vix intelligimus?</w:t>
      </w:r>
      <w:r w:rsidRPr="00096909">
        <w:rPr>
          <w:rStyle w:val="TestonotaapidipaginaCarattere"/>
          <w:rFonts w:ascii="Times New Roman" w:hAnsi="Times New Roman" w:cs="Times New Roman"/>
          <w:sz w:val="24"/>
          <w:szCs w:val="24"/>
        </w:rPr>
        <w:t xml:space="preserve"> </w:t>
      </w:r>
      <w:r w:rsidRPr="00096909">
        <w:rPr>
          <w:rStyle w:val="Rimandonotaapidipagina"/>
          <w:rFonts w:ascii="Times New Roman" w:hAnsi="Times New Roman" w:cs="Times New Roman"/>
          <w:sz w:val="24"/>
          <w:szCs w:val="24"/>
        </w:rPr>
        <w:footnoteReference w:id="945"/>
      </w:r>
      <w:r w:rsidRPr="00096909">
        <w:rPr>
          <w:rFonts w:ascii="Times New Roman" w:hAnsi="Times New Roman" w:cs="Times New Roman"/>
          <w:sz w:val="24"/>
          <w:szCs w:val="24"/>
        </w:rPr>
        <w:t xml:space="preserve"> </w:t>
      </w:r>
    </w:p>
    <w:p w14:paraId="1BEF8B96"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[2] Scylleorum latratibus canum et sevienti vitilitigatorum freto scalmi et clavi insolentes incautius obiecimus, qui infoelici ingenio honestis laboribus furtim insidiantur, neque aliquid praeter contumelias in medium afferunt. Latrocinali enim audacia in laudabilem aliorum industriam lividos dentes exertant. In ea, quae sua arrogantia contenti nunquam didicerunt, virulentam linguam vibrant. </w:t>
      </w:r>
      <w:r w:rsidRPr="00096909">
        <w:rPr>
          <w:rFonts w:ascii="Times New Roman" w:hAnsi="Times New Roman" w:cs="Times New Roman"/>
          <w:sz w:val="24"/>
          <w:szCs w:val="24"/>
          <w:lang w:val="en-US"/>
        </w:rPr>
        <w:t>Echideno pectore mellitis fructibus tabificum fel evomunt. Circa singula verba obganniunt, in structuram invehuntur, in sensus constrepunt, ingeniorum foecunditatem damnant, omnia denique sterilitatis propriae conscii conturbant. Nulli rei mea sententia magis similes quam coccygi,</w:t>
      </w:r>
      <w:r w:rsidRPr="00096909">
        <w:rPr>
          <w:rStyle w:val="Rimandonotaapidipagina"/>
          <w:rFonts w:ascii="Times New Roman" w:hAnsi="Times New Roman" w:cs="Times New Roman"/>
          <w:sz w:val="24"/>
          <w:szCs w:val="24"/>
        </w:rPr>
        <w:footnoteReference w:id="946"/>
      </w:r>
      <w:r w:rsidRPr="00096909">
        <w:rPr>
          <w:rFonts w:ascii="Times New Roman" w:hAnsi="Times New Roman" w:cs="Times New Roman"/>
          <w:sz w:val="24"/>
          <w:szCs w:val="24"/>
          <w:lang w:val="en-US"/>
        </w:rPr>
        <w:t xml:space="preserve"> qui in alieno nidulo nitide educatus et non suis cibis dapsile saginatus, in conplumantes nutricis pullos ipsamque nutricem invisum rorum avide armat atque omnes, adulterinus et ingratus alumnus, crudeli alvo tandem sepelit. </w:t>
      </w:r>
    </w:p>
    <w:p w14:paraId="4FCAB97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[3] Sed id genus dira monstra Ulysseis auribus pertranseamus. Feralium noctuarum in auspicatissimi comites in aeternis tenebris stridendo timide delitescant, cum scarabeis </w:t>
      </w:r>
      <w:r w:rsidRPr="00096909">
        <w:rPr>
          <w:rFonts w:ascii="Times New Roman" w:hAnsi="Times New Roman" w:cs="Times New Roman"/>
          <w:sz w:val="24"/>
          <w:szCs w:val="24"/>
        </w:rPr>
        <w:t xml:space="preserve">scapham inusitatas merces afferentem </w:t>
      </w:r>
      <w:r w:rsidRPr="00096909">
        <w:rPr>
          <w:rFonts w:ascii="Times New Roman" w:hAnsi="Times New Roman" w:cs="Times New Roman"/>
          <w:sz w:val="24"/>
          <w:szCs w:val="24"/>
          <w:lang w:val="en-US"/>
        </w:rPr>
        <w:t>maledicentiae stercus et cum talpis terrae operta semper erranda misere rimaturi.</w:t>
      </w:r>
      <w:r w:rsidRPr="00096909">
        <w:rPr>
          <w:rStyle w:val="TestonotaapidipaginaCarattere"/>
          <w:rFonts w:ascii="Times New Roman" w:hAnsi="Times New Roman" w:cs="Times New Roman"/>
          <w:sz w:val="24"/>
          <w:szCs w:val="24"/>
        </w:rPr>
        <w:t xml:space="preserve"> </w:t>
      </w:r>
      <w:r w:rsidRPr="00096909">
        <w:rPr>
          <w:rStyle w:val="Rimandonotaapidipagina"/>
          <w:rFonts w:ascii="Times New Roman" w:hAnsi="Times New Roman" w:cs="Times New Roman"/>
          <w:sz w:val="24"/>
          <w:szCs w:val="24"/>
        </w:rPr>
        <w:footnoteReference w:id="947"/>
      </w:r>
      <w:r w:rsidRPr="00096909">
        <w:rPr>
          <w:rFonts w:ascii="Times New Roman" w:hAnsi="Times New Roman" w:cs="Times New Roman"/>
          <w:sz w:val="24"/>
          <w:szCs w:val="24"/>
          <w:lang w:val="en-US"/>
        </w:rPr>
        <w:t xml:space="preserve"> Nos, Nicolae doctissime, ignavum hoc pervicaxque pecus ad foenum virulentam ruminandum remittentes, exercendi in re nova ingenii causa, et quid in veram palaestram, aliquando possemus periclitandarum gratia virium, anteludia isthaec tibi edidimus, in quibus si non omnes luctae numeros implebimus, si pyctilia arma ex praescripto non tractabuntur, hoc est, si non ea ominium rerum proprietate concta designabimus, qua fortasse volebas, non temere damnabis, sed laboris difficultati et nostrorum temporum fato, quibus meliora perierunt (nisi audaciae meae mavis) non odiosus censor assignabis. </w:t>
      </w:r>
      <w:r w:rsidRPr="00096909">
        <w:rPr>
          <w:rFonts w:ascii="Times New Roman" w:hAnsi="Times New Roman" w:cs="Times New Roman"/>
          <w:sz w:val="24"/>
          <w:szCs w:val="24"/>
        </w:rPr>
        <w:t>Hic namque aliqua significantius dicenda, multa mutanda, plura obelo transfigenda,</w:t>
      </w:r>
      <w:r w:rsidRPr="00096909">
        <w:rPr>
          <w:rStyle w:val="Rimandonotaapidipagina"/>
          <w:rFonts w:ascii="Times New Roman" w:hAnsi="Times New Roman" w:cs="Times New Roman"/>
          <w:sz w:val="24"/>
          <w:szCs w:val="24"/>
        </w:rPr>
        <w:footnoteReference w:id="948"/>
      </w:r>
      <w:r w:rsidRPr="00096909">
        <w:rPr>
          <w:rFonts w:ascii="Times New Roman" w:hAnsi="Times New Roman" w:cs="Times New Roman"/>
          <w:sz w:val="24"/>
          <w:szCs w:val="24"/>
        </w:rPr>
        <w:t xml:space="preserve">  plurima, imo omnia, una litura tollenda. Et iam, ut olim Augusti Aiax in spongiam incubuissent,</w:t>
      </w:r>
      <w:r w:rsidRPr="00096909">
        <w:rPr>
          <w:rStyle w:val="Rimandonotaapidipagina"/>
          <w:rFonts w:ascii="Times New Roman" w:hAnsi="Times New Roman" w:cs="Times New Roman"/>
          <w:sz w:val="24"/>
          <w:szCs w:val="24"/>
        </w:rPr>
        <w:footnoteReference w:id="949"/>
      </w:r>
      <w:r w:rsidRPr="00096909">
        <w:rPr>
          <w:rFonts w:ascii="Times New Roman" w:hAnsi="Times New Roman" w:cs="Times New Roman"/>
          <w:sz w:val="24"/>
          <w:szCs w:val="24"/>
        </w:rPr>
        <w:t xml:space="preserve">  nisi limae tuae sanam castigationem prestolaremur. Quare ad te unum e paucis haec tamquam aedificii formulam mittimus, quae ingenii tui examine pensitata, tuo etiam stilo et amoenis eloquatiae floribus melius exornata in hominum manus devenire non reformident. </w:t>
      </w:r>
    </w:p>
    <w:p w14:paraId="2F3A822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Sed iam praefari desinentes altiora quaedam de Principis origine oppido quam breviter repetamus.  </w:t>
      </w:r>
    </w:p>
    <w:p w14:paraId="72A08755" w14:textId="77777777" w:rsidR="00B92BCD" w:rsidRPr="00096909" w:rsidRDefault="00B92BCD" w:rsidP="00B92BCD">
      <w:pPr>
        <w:spacing w:line="360" w:lineRule="auto"/>
        <w:jc w:val="both"/>
        <w:rPr>
          <w:rFonts w:ascii="Times New Roman" w:hAnsi="Times New Roman" w:cs="Times New Roman"/>
          <w:sz w:val="24"/>
          <w:szCs w:val="24"/>
        </w:rPr>
      </w:pPr>
    </w:p>
    <w:p w14:paraId="1374AE4F"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II. De Vicecomitum Genealogia.</w:t>
      </w:r>
    </w:p>
    <w:p w14:paraId="7E4FCBD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Longobardorum reges, qui ducentis annis Italiam tenuerunt, potentissimae Vicecomitum gentis auctores fuisse notius arbitror quam a me in praesentia dicatur. Extant enim vetustissimi Annales, et in hoc consentiunt ex recentioribus Blondus in </w:t>
      </w:r>
      <w:r w:rsidRPr="00096909">
        <w:rPr>
          <w:rFonts w:ascii="Times New Roman" w:hAnsi="Times New Roman" w:cs="Times New Roman"/>
          <w:i/>
          <w:sz w:val="24"/>
          <w:szCs w:val="24"/>
        </w:rPr>
        <w:t>Decadibus</w:t>
      </w:r>
      <w:r w:rsidRPr="00096909">
        <w:rPr>
          <w:rStyle w:val="Rimandonotaapidipagina"/>
          <w:rFonts w:ascii="Times New Roman" w:hAnsi="Times New Roman" w:cs="Times New Roman"/>
          <w:sz w:val="24"/>
          <w:szCs w:val="24"/>
        </w:rPr>
        <w:footnoteReference w:id="950"/>
      </w:r>
      <w:r w:rsidRPr="00096909">
        <w:rPr>
          <w:rFonts w:ascii="Times New Roman" w:hAnsi="Times New Roman" w:cs="Times New Roman"/>
          <w:sz w:val="24"/>
          <w:szCs w:val="24"/>
        </w:rPr>
        <w:t xml:space="preserve"> et Candidus in </w:t>
      </w:r>
      <w:r w:rsidRPr="00096909">
        <w:rPr>
          <w:rFonts w:ascii="Times New Roman" w:hAnsi="Times New Roman" w:cs="Times New Roman"/>
          <w:i/>
          <w:sz w:val="24"/>
          <w:szCs w:val="24"/>
        </w:rPr>
        <w:t>Panaegyrico</w:t>
      </w:r>
      <w:r w:rsidRPr="00096909">
        <w:rPr>
          <w:rFonts w:ascii="Times New Roman" w:hAnsi="Times New Roman" w:cs="Times New Roman"/>
          <w:sz w:val="24"/>
          <w:szCs w:val="24"/>
        </w:rPr>
        <w:t>.</w:t>
      </w:r>
      <w:r w:rsidRPr="00096909">
        <w:rPr>
          <w:rStyle w:val="Rimandonotaapidipagina"/>
          <w:rFonts w:ascii="Times New Roman" w:hAnsi="Times New Roman" w:cs="Times New Roman"/>
          <w:sz w:val="24"/>
          <w:szCs w:val="24"/>
        </w:rPr>
        <w:footnoteReference w:id="951"/>
      </w:r>
      <w:r w:rsidRPr="00096909">
        <w:rPr>
          <w:rFonts w:ascii="Times New Roman" w:hAnsi="Times New Roman" w:cs="Times New Roman"/>
          <w:sz w:val="24"/>
          <w:szCs w:val="24"/>
        </w:rPr>
        <w:t xml:space="preserve"> Georgius quoque Merula Alexandrinus Luculentam a condito Mediolano in haec tempora historiam contexuit.</w:t>
      </w:r>
      <w:r w:rsidRPr="00096909">
        <w:rPr>
          <w:rStyle w:val="Rimandonotaapidipagina"/>
          <w:rFonts w:ascii="Times New Roman" w:hAnsi="Times New Roman" w:cs="Times New Roman"/>
          <w:sz w:val="24"/>
          <w:szCs w:val="24"/>
        </w:rPr>
        <w:footnoteReference w:id="952"/>
      </w:r>
      <w:r w:rsidRPr="00096909">
        <w:rPr>
          <w:rFonts w:ascii="Times New Roman" w:hAnsi="Times New Roman" w:cs="Times New Roman"/>
          <w:sz w:val="24"/>
          <w:szCs w:val="24"/>
        </w:rPr>
        <w:t xml:space="preserve"> Quapropter, cum apud istos Vicecomitum Antiquitas satis appareat, brevitati studentes eorum origines, stemmata, triumphos, trophaea, titulos, res per totam Europam gestas omittemus. Quod ad hanc rem attinet, Matthaeum viris antiquis comparandum dumtaxat nominaturi, a quo ducentorum annorum serie familia haec perpetuis successoribus dominatur. Nec in singulorum factis immorabimur, qui omnes praeclarissimi fuerunt, sed nuda nomina percurremus. </w:t>
      </w:r>
    </w:p>
    <w:p w14:paraId="564CBBD8"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Matthaeo igitur quinque fuere filii: Galeacius, Marcus, Luchinus, Ioannes, Stephanus. Pulsis secundo Turrianis Matthaeus in patriam revertitur, dein moriens Galeacio filio dicionem reliquit. Ex quo natus est Accius, iuvenis strenuus, qui post mortem patris regnavit. Accio nepoti successit Luchinus. Luchino fratri Ioannes Archiepiscopus. Ambo superior Matthaeo geniti, Galeacii, Marci et Stephani fraters. </w:t>
      </w:r>
    </w:p>
    <w:p w14:paraId="58CF304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[3] Archiepiscopus autem, decedens a redemptione nostra quinquagesimo quarto anno supra millessimum trecentessimum octavuo Idus November, Imperium tribus nepotibus Stephani ex Valentina Auria Genuensi filiis tripartitur: Matthaeo iuniori, Galeacio, Barnabae, quem Barnabouem vulgo appelant. </w:t>
      </w:r>
    </w:p>
    <w:p w14:paraId="1F7CC3D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[4] Matthaeo sublato, pariter regnarunt Barnabas et Galeacius, utique tum aliis implerisque tum in edificando summi, urbes nostras turribus atque arcibus munierunt, templa erexerunt, Mediolani pulcherrimas arces habuerunt. Ad Portam romanam Barnabas, qui etiam nostram Scalam in ruinis Turrianarum aedium MCCCLXXVIII aedificavit, ad portam Iovis Galeacius. </w:t>
      </w:r>
    </w:p>
    <w:p w14:paraId="10725FC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[5] Hic unicum filium genuit: Ioannem Galeacium, qui Comes Virtutum primo appellatus, Barnabam expulit. Paulo post a Vincislao Boemiae rege, Romanorum Imperatore, Anno Christi Millesimo trecentesimo nonagessimosexto. 4. Nonas Octobris primus Mediolani Dux nuncupatur. Hic ex Elysabella regis Franciae Accium tulit, qui puer moritur, et ex Catarina, altera </w:t>
      </w:r>
      <w:r>
        <w:rPr>
          <w:rFonts w:ascii="Times New Roman" w:hAnsi="Times New Roman" w:cs="Times New Roman"/>
          <w:sz w:val="24"/>
          <w:szCs w:val="24"/>
        </w:rPr>
        <w:t>u</w:t>
      </w:r>
      <w:r w:rsidRPr="00096909">
        <w:rPr>
          <w:rFonts w:ascii="Times New Roman" w:hAnsi="Times New Roman" w:cs="Times New Roman"/>
          <w:sz w:val="24"/>
          <w:szCs w:val="24"/>
        </w:rPr>
        <w:t xml:space="preserve">xore, patrui Barnabae filia, Ioannem Mariam Secundum et Philippum Mariam tercium </w:t>
      </w:r>
      <w:r>
        <w:rPr>
          <w:rFonts w:ascii="Times New Roman" w:hAnsi="Times New Roman" w:cs="Times New Roman"/>
          <w:sz w:val="24"/>
          <w:szCs w:val="24"/>
        </w:rPr>
        <w:t>d</w:t>
      </w:r>
      <w:r w:rsidRPr="00096909">
        <w:rPr>
          <w:rFonts w:ascii="Times New Roman" w:hAnsi="Times New Roman" w:cs="Times New Roman"/>
          <w:sz w:val="24"/>
          <w:szCs w:val="24"/>
        </w:rPr>
        <w:t xml:space="preserve">ucem genuit. </w:t>
      </w:r>
    </w:p>
    <w:p w14:paraId="0ED1507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Omnes fere christianos principes affinitate contingit Vicecomitum sanguis, quibus maxima Italiae pars paruit, et meliora adhuc habemus. Secus Alpes Bergomum, Brixia, Verona, Vicentia, Patavium, Bassanum, Bellunnum, Feltrum; trans Adduam Crema oppidum. Secundum Padum Cremona, Papia; trans Ticinum Novaria, Vercellae, Salassi; et sub Alpinae gentes, quae Pedemontanae vocantur, inter Padum et Apoeninum Alba Pompeia, Monsuicus, Clarascum, Cherium. Hasta Colonia, Tanari fluminis oppida, castella, et vici, Alexandria Merulae praeceptoris mei natale solum, quo plurimum gloriatur. Forum fulvii nunc Valentium, Augusta Bacienorum. Secus Apoeninum Derthona, Vicus Iriae (vulgo Viqueria), Placentia, Bobium in Alpibus, Parma, Regium Lepidi, Bononia, Lugum. Trans Apoeninum in Ethruria Pisae, Luca, Sena, Asisium, Perusia, Firmum, Picenum. Insubres, qui Alpibus, duplici Lacu verbano er Lario, tum Ticino Addua, Pado fluminibus clauduntur, quorum civitates Mediolanum, Comum, Laus Pompeia, Papia.</w:t>
      </w:r>
    </w:p>
    <w:p w14:paraId="0F09237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Genuae et omni Ligusticae orae Vicecomites imperarunt: Savonam, quae et Vada Sabacia, Albingauno, Intemilio, et omnino occidentali atque orientali plaga addita, aliaque, quae ad nuptias festinans praetermitto, loca possederunt. </w:t>
      </w:r>
    </w:p>
    <w:p w14:paraId="6CA2B9E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[6] Caeso Ioanni Mariae fratri, post graves motus et perniciosa bella rebellantibus populis excitata, eiecto Astore Barnabae filio, Philippus Maria successit, cuius unica filia Blanca Maria multorum filiorum virtutes adimplevit. Nam, ut alia taceam quibus sexum transgressa, immortalem famam sibi peperit, in hoc uno eius foelicitatem ostendemus quod inclytum patrem, divum maritum, magnanimum filium cum scoeptro vidit, ac filios et nepotes in eodem regno successores reliquit. Nulla igitur lampido Lacedaemonia, nulla Agrippina Romana, quae principum filiae, uxores, matres fuerunt, Blanca superat, cum istas, hoc foelicitatis generem ipsa adaequaverit alias etiam virtutum gloria post se longe reliquerit. Ipsum hoc attestatur disticon: «Tris Italos proceres terris ego Blanca latinis. Regnantes habui filia, nupta, parens».</w:t>
      </w:r>
      <w:r w:rsidRPr="00096909">
        <w:rPr>
          <w:rStyle w:val="Rimandonotaapidipagina"/>
          <w:rFonts w:ascii="Times New Roman" w:hAnsi="Times New Roman" w:cs="Times New Roman"/>
          <w:sz w:val="24"/>
          <w:szCs w:val="24"/>
        </w:rPr>
        <w:footnoteReference w:id="953"/>
      </w:r>
    </w:p>
    <w:p w14:paraId="39C3217F"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[7] Francisco Sfortiae, viro quem Scipioni et Caesari rebus gestis compares, pulcherrimum istud imperium detulit, de quo eo pauciora dicam, quoniam et prosa et volsa oratione numerosisque comentariis iam celebratur. In urbe multa et </w:t>
      </w:r>
      <w:r>
        <w:rPr>
          <w:rFonts w:ascii="Times New Roman" w:hAnsi="Times New Roman" w:cs="Times New Roman"/>
          <w:sz w:val="24"/>
          <w:szCs w:val="24"/>
        </w:rPr>
        <w:t>m</w:t>
      </w:r>
      <w:r w:rsidRPr="00096909">
        <w:rPr>
          <w:rFonts w:ascii="Times New Roman" w:hAnsi="Times New Roman" w:cs="Times New Roman"/>
          <w:sz w:val="24"/>
          <w:szCs w:val="24"/>
        </w:rPr>
        <w:t xml:space="preserve">agnifica aedificia partim coepta exornavit, partim a fondamentis extruxit; inter quae Morbonia, sive Xenodochion, quod isti hospitale vocant, ubi olim Barnabae arces fuerunt, et quod </w:t>
      </w:r>
      <w:r>
        <w:rPr>
          <w:rFonts w:ascii="Times New Roman" w:hAnsi="Times New Roman" w:cs="Times New Roman"/>
          <w:sz w:val="24"/>
          <w:szCs w:val="24"/>
        </w:rPr>
        <w:t>g</w:t>
      </w:r>
      <w:r w:rsidRPr="00096909">
        <w:rPr>
          <w:rFonts w:ascii="Times New Roman" w:hAnsi="Times New Roman" w:cs="Times New Roman"/>
          <w:sz w:val="24"/>
          <w:szCs w:val="24"/>
        </w:rPr>
        <w:t xml:space="preserve">igantum opus appelles Iovis Arx, in veteris area instaurata, miraculum visentibus afferunt. </w:t>
      </w:r>
    </w:p>
    <w:p w14:paraId="0DE8D6BD"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Xenodochii eius, quod nunc est perfectum, positio dodecagona crucem amplam figurat. Hinc et hinc infirmorum lecti centum quatuordecim. Quaternae hypaethrae cum magnificentissimis cellis, diversoriisque ornatissimis, duplici quadratae porticus ordine undique muniuntur. Medianae, subdialesque areae, herbis et arbusculis virentes. Capacissima porticus pulcherrima simul et amoenissima, quae exterius </w:t>
      </w:r>
      <w:r>
        <w:rPr>
          <w:rFonts w:ascii="Times New Roman" w:hAnsi="Times New Roman" w:cs="Times New Roman"/>
          <w:sz w:val="24"/>
          <w:szCs w:val="24"/>
          <w:lang w:val="en-US"/>
        </w:rPr>
        <w:t>x</w:t>
      </w:r>
      <w:r w:rsidRPr="00096909">
        <w:rPr>
          <w:rFonts w:ascii="Times New Roman" w:hAnsi="Times New Roman" w:cs="Times New Roman"/>
          <w:sz w:val="24"/>
          <w:szCs w:val="24"/>
          <w:lang w:val="en-US"/>
        </w:rPr>
        <w:t xml:space="preserve">enodochion undique amplectitur columnis marmoreis effulta. Caetera coctili </w:t>
      </w:r>
      <w:r>
        <w:rPr>
          <w:rFonts w:ascii="Times New Roman" w:hAnsi="Times New Roman" w:cs="Times New Roman"/>
          <w:sz w:val="24"/>
          <w:szCs w:val="24"/>
          <w:lang w:val="en-US"/>
        </w:rPr>
        <w:t>l</w:t>
      </w:r>
      <w:r w:rsidRPr="00096909">
        <w:rPr>
          <w:rFonts w:ascii="Times New Roman" w:hAnsi="Times New Roman" w:cs="Times New Roman"/>
          <w:sz w:val="24"/>
          <w:szCs w:val="24"/>
          <w:lang w:val="en-US"/>
        </w:rPr>
        <w:t xml:space="preserve">apide semilaterumque colligatione in aeternam consurgunt firmitatem. </w:t>
      </w:r>
    </w:p>
    <w:p w14:paraId="3882BCB8"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Arx autem ipsa, praeter immensas ex marmore turres columnasque et angulorum </w:t>
      </w:r>
      <w:r>
        <w:rPr>
          <w:rFonts w:ascii="Times New Roman" w:hAnsi="Times New Roman" w:cs="Times New Roman"/>
          <w:sz w:val="24"/>
          <w:szCs w:val="24"/>
          <w:lang w:val="en-US"/>
        </w:rPr>
        <w:t>a</w:t>
      </w:r>
      <w:r w:rsidRPr="00096909">
        <w:rPr>
          <w:rFonts w:ascii="Times New Roman" w:hAnsi="Times New Roman" w:cs="Times New Roman"/>
          <w:sz w:val="24"/>
          <w:szCs w:val="24"/>
          <w:lang w:val="en-US"/>
        </w:rPr>
        <w:t xml:space="preserve">lyses, latericia structura coagmentatur, utriusque igitur operis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arietes, cubicula, conclavia, cellarum omne genus. Hypogaea, camerae, moenia, propugnacula, armamentaria, latericia, ut non magis mirandam domum Mausoli Regis Cariae existimem, quae muros habuit latericios omni cemento firmiores, quibus inter septem orbis spectacula connumeratur. </w:t>
      </w:r>
    </w:p>
    <w:p w14:paraId="0A8EB132"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[8] Ex Francisco et Blanca natus est Galeacius Quintus Dux, principis Sponsi pater. Nati et alii quos totidem semideos heroasve iure dixeris: Philippus, Sforcia Lodovicus, Ascanius, Octavianus, Galeacius, Sforcia, Octavianus fato perfuncti. Reliqui superstites, quorum Philippus secessum urbanis negociis praeponens quieti se tradidit. Ascanius, Sacrosanctae Sedis Apostolicae Cardinalis, consilii maturitate animique invicti prudentia altiora meretur. </w:t>
      </w:r>
      <w:r w:rsidRPr="00096909">
        <w:rPr>
          <w:rFonts w:ascii="Times New Roman" w:hAnsi="Times New Roman" w:cs="Times New Roman"/>
          <w:sz w:val="24"/>
          <w:szCs w:val="24"/>
        </w:rPr>
        <w:t xml:space="preserve">Lodovicus regni huius conservator et columen dulcissimi nepotis, inter tot bellorum aestus temporumque difficultates constantissimus, ut Spartano verbo utar. Prodicus, omnia per totam Italiam pacata, omnia Insubribus tuta, miro foelicitatis successu reddidit. Hippolites sororis quae Alphonso duci calabrum nupserat, filiam, Ferdinandi Neapolitani regis neptem, Ioanni Galeacio in matrimonium ex utriusque regni commodo faustis avibus iungi procuravit. </w:t>
      </w:r>
    </w:p>
    <w:p w14:paraId="1F30702E"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[9] Sed vide quam pulchra vicissitudine tempora in se recurrant, redint grataque rerum series denuo revertatur. Magnum profecto istud foelicitatis argumentum, neque haec sine numine divum eveniunt:</w:t>
      </w:r>
      <w:r w:rsidRPr="00096909">
        <w:rPr>
          <w:rStyle w:val="Rimandonotaapidipagina"/>
          <w:rFonts w:ascii="Times New Roman" w:hAnsi="Times New Roman" w:cs="Times New Roman"/>
          <w:sz w:val="24"/>
          <w:szCs w:val="24"/>
        </w:rPr>
        <w:footnoteReference w:id="954"/>
      </w:r>
      <w:r w:rsidRPr="00096909">
        <w:rPr>
          <w:rFonts w:ascii="Times New Roman" w:hAnsi="Times New Roman" w:cs="Times New Roman"/>
          <w:sz w:val="24"/>
          <w:szCs w:val="24"/>
        </w:rPr>
        <w:t xml:space="preserve"> quod tam socio ordine nunc cuncta sibi conveniunt. Dux enim, qui istius dignitatis titulus primus iniit, Ioannes Galeacius, appellatus est Galeacii filius, qui Elysabellam Francorum Regis filiam uxorem duxit, deinde consanguineam. At noster quoque Ioannes Galeacius cognominatur Galeacii filius, et Elysabellam, Neapolis aliquando – ut ominor – regis filiam, nunc neptem, coniugii et consanguinitatis consortem habet. Nec solum gentilium suorum cognomines cum illis certant, sed in hoc etiam superare contenderunt, ut quod alteri in duabus uxoribus olim obtigit nunc in una et nominis et sanguinis parilitas confirmetur. </w:t>
      </w:r>
    </w:p>
    <w:p w14:paraId="204C6436" w14:textId="77777777" w:rsidR="00B92BCD" w:rsidRPr="00096909" w:rsidRDefault="00B92BCD" w:rsidP="00B92BCD">
      <w:pPr>
        <w:spacing w:line="360" w:lineRule="auto"/>
        <w:jc w:val="both"/>
        <w:rPr>
          <w:rFonts w:ascii="Times New Roman" w:hAnsi="Times New Roman" w:cs="Times New Roman"/>
          <w:sz w:val="24"/>
          <w:szCs w:val="24"/>
        </w:rPr>
      </w:pPr>
    </w:p>
    <w:p w14:paraId="2DAD3ABE"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III. De templo Mediolanensi.</w:t>
      </w:r>
    </w:p>
    <w:p w14:paraId="69B35DA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Templi descriptionem hoc loco aggrederer: nisi et opus imperfectum esset, et pro admirabili eius decore, praestantioribus ingeniis post me relinquerem, qui tantam rerum Diathesin, tot pecuniarum impendia, tot etiam annorum perpetuos labores convenienti dictione significent. Quare, imbecillitatis meae conscius, pauciora perstringam. </w:t>
      </w:r>
    </w:p>
    <w:p w14:paraId="211D506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Templi aedificationem incoepit Ioannes Galeacius, virtutum Comes, qui postea primus Mediolani Dux fuit, in regione orientalis portae, anno post Christi nativitatem millesimo trecentessimo octogessimo septimo, Quinto nonas Maii, ubi olim Beati Blasii vetus templum fuit. Sed, ut subiacens forum capacius esset, vetustissimam et multa religione venerandam Teclae virgini dicatam aedem demoliri, eadem non longe a priore instaurant. Vetera donaria, sacrae immagine, Galdini corpus, Chrismi α et ω, clavusque quem Deus homo affixus cruci salutifero cruore inspersit, ex hoc veteri in novum templum reverenter transportatur. </w:t>
      </w:r>
    </w:p>
    <w:p w14:paraId="7CA131E3"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[2] Aedes ab occidente in orientem porrecta, duobus brachiis ad Septentrionem et Austrum intercurrentibus, humani corporis supinam ac patentem figuram exprimere videtur. Altitudo ab imo pavimento ad summos arcus cubitorum est octogintatrium; latitudini nonagintasex tribuentes; longitudinem usque ad veteris templi frontem habent. Cum opus ad perfectionem perductum fuerit longius producetur; nunc introeuntibus a sinistra centumseptuagintasex cubitorum est, a dextra autem centumnonagintaduorum. Huic quadragintaocto, illi sexaginta quatuor longitudini desunt, ut aequa ducentorumquadraginta cubitorum sit mensura. </w:t>
      </w:r>
    </w:p>
    <w:p w14:paraId="4F03C873"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Non deerunt fortasse qui huius aedificii rationem subtilius indagantes multa a me hoc loco pratermissa conquerantur, quod verum esse ingenue fateor, et me id consulto fecisse nec etiam diffiteor. Sciebam enim opus esse imperfectum paratosque nasutos nebulones, qui quod non intelligunt stolide derident. Iccirco, ne tamquam improbus Aleator, qui ut vincat non cessat perdere, aleae huius fortunam totiens subirem, stilum retraxi.</w:t>
      </w:r>
      <w:r w:rsidRPr="00096909">
        <w:rPr>
          <w:rStyle w:val="Rimandonotaapidipagina"/>
          <w:rFonts w:ascii="Times New Roman" w:hAnsi="Times New Roman" w:cs="Times New Roman"/>
          <w:sz w:val="24"/>
          <w:szCs w:val="24"/>
        </w:rPr>
        <w:footnoteReference w:id="955"/>
      </w:r>
      <w:r w:rsidRPr="00096909">
        <w:rPr>
          <w:rFonts w:ascii="Times New Roman" w:hAnsi="Times New Roman" w:cs="Times New Roman"/>
          <w:sz w:val="24"/>
          <w:szCs w:val="24"/>
        </w:rPr>
        <w:t xml:space="preserve"> Ne tamen rem penitus neglexisse aut esurientes Zoylos nimium timuisse videamur, quale futurum sit templum docentes, Mathematica ratione, si placet, Nicolae breviter absolvemus. </w:t>
      </w:r>
    </w:p>
    <w:p w14:paraId="5F2DCEB3"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[3] Opus in tetragono centumvigintiocto cubitis quoquoversus lato perficitur. Haec autem est duorum brachiorum, quae supra nominavi, latitudo, quorum frontibus amplissimae portae aperiuntur. Eadem etiam a terra ad fornicem, qui coeterorum altissimus tugurium appellatur, altitudo. In hac figura quadrilatera tres trigoni fondantur, quorum primus deductis lineis a centro parietum quibus totum corpus cingitur, altiori arcuum puncto (quos arcus navim vocant) nonagintasex cubitis quoquoversus terminatur. Reliqui ab extrema brachiorum expansione, quae ut dixi est cubitorum centumvigintiocto altius educuntur alter tugurium, alter laternam acuto angulo designat.</w:t>
      </w:r>
    </w:p>
    <w:p w14:paraId="7B5F8A95"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Intercurrens linea per Tetragoni et Triangulorum centrum altiores angulos intersecat, quam isti aedificii animam appellant. Hanc animam non qualitate discreta, sed continua, vel, ut apertius dicam, non numerorum ratiocinantibus comprehendere possumus, sed linea ad perpendiculum ducta demonstratur. </w:t>
      </w:r>
      <w:r w:rsidRPr="00096909">
        <w:rPr>
          <w:rFonts w:ascii="Times New Roman" w:hAnsi="Times New Roman" w:cs="Times New Roman"/>
          <w:sz w:val="24"/>
          <w:szCs w:val="24"/>
          <w:lang w:val="en-US"/>
        </w:rPr>
        <w:t>Erit ergo huius lineae totius corporis animae mensura, id quod est radix 6912, videlicet cubiti octogintatres usque in octogintaquatuor. Cubitum autem ubique intelligo eam mensuram quam nostri mensores brachium dicunt et haec primi Trianguli finis navis altitudo. Anima vero Tugurii usque in terram (verbis namque quae nunc apud architectos in usu sunt utendum existimo) est eadem, sed productior perpendicularis linea, qua secundus Triangulus clauditur. Haec henbit in se radicem. 12288 quem numerum efficient cubiti centumdecem.</w:t>
      </w:r>
    </w:p>
    <w:p w14:paraId="1B546301"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Altitudinem autem lanternae (ita vocant summam supra tugurium pyramidem), quam eadem tercii trianguli sectrix Euthygrama dividit, a pavimento usque ad altissimam pilam metiendo dignoscimus ex radice 21504, quae cubitos circiter centumquadragintasex comprehendit. Et haec futura est summa templi altitudo. </w:t>
      </w:r>
    </w:p>
    <w:p w14:paraId="0F66CDFF"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[4] Tugurium ipsum, quod propter immensa saxorum pondera magnam in opere isto affert difficultatem, octagonum erit ab uno angulo ad alium cubitos decem et novem capiens, qui octies multiplicati centumquinquagintaduo redduntur. </w:t>
      </w:r>
    </w:p>
    <w:p w14:paraId="75F95EB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Templum praeterea tetrastylon est, quaternos columnarum habens ordines et quinos fornicum emicyclos. Altiores igitur columnae, quibus primi fornices incumbunt, cubitorum sunt quinquagintasex. </w:t>
      </w:r>
      <w:r w:rsidRPr="00096909">
        <w:rPr>
          <w:rFonts w:ascii="Times New Roman" w:hAnsi="Times New Roman" w:cs="Times New Roman"/>
          <w:sz w:val="24"/>
          <w:szCs w:val="24"/>
        </w:rPr>
        <w:t xml:space="preserve">Medianae quadragintaduorum. Ultimae vigintiocto. Longitudo, latitudo, altitudo ut paulo ante perdiximus.  </w:t>
      </w:r>
    </w:p>
    <w:p w14:paraId="7AB288D5"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Tota haec moles, non ut antiquitus incrustata albariove opere aut rectorio illita, sed lapide candidissimo cementisque sectilibus, quae per lacum verbanum marmorarii huc advehunt pressim solida. </w:t>
      </w:r>
    </w:p>
    <w:p w14:paraId="2E38602C"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Eadem infra terram fundamentorum perfunditas, quae in coelum altitudo. Fundamenta ipsa latissima festucationibus consolidata. </w:t>
      </w:r>
      <w:r w:rsidRPr="00096909">
        <w:rPr>
          <w:rFonts w:ascii="Times New Roman" w:hAnsi="Times New Roman" w:cs="Times New Roman"/>
          <w:sz w:val="24"/>
          <w:szCs w:val="24"/>
          <w:lang w:val="en-US"/>
        </w:rPr>
        <w:t>Per scannulos gradusque ad stylobatas basiumque crepidines columnae educuntur, angulis octo semirotundis structiles. Tres supra quadraginta erectae suum onus iam sustinent, ad operis consumationem undecim deesse dicuntur, quarum iacta fundamenta vidimus. Praeter eas quae parietibus et angulis pro adiumento insertae aequis intercolumniis sua etiam ornamenta habent. Marmorei parietes columnarum Symetrie correspondent. Fenestrarum latera et crebrae exteriorum pilarum prominentiae marmoreis statuis forinsecus exornantur. Pares etiam circum pulcherrima columnarum epistilia intrinsecus collocatae. Et ne fortasse operosam hanc columnarum descriptionem superfluam aut vulgarem arbitreris, unaquaeque XIII cubitos in ambitu complectitur, et in singulas antequam examussim perficiantur, octo millia aureorum numum impenduntur. Compara igitur istis antiquarum ornamenta columnarum, Plintides, Scapos, Spiras, Thoros, Trochilos, Astragalos, Retractationes, Ecphoras, Syntaxes, Volutas, Cimacia,</w:t>
      </w:r>
      <w:r w:rsidRPr="00096909">
        <w:rPr>
          <w:rStyle w:val="Rimandonotaapidipagina"/>
          <w:rFonts w:ascii="Times New Roman" w:hAnsi="Times New Roman" w:cs="Times New Roman"/>
          <w:sz w:val="24"/>
          <w:szCs w:val="24"/>
        </w:rPr>
        <w:footnoteReference w:id="956"/>
      </w:r>
      <w:r w:rsidRPr="00096909">
        <w:rPr>
          <w:rFonts w:ascii="Times New Roman" w:hAnsi="Times New Roman" w:cs="Times New Roman"/>
          <w:sz w:val="24"/>
          <w:szCs w:val="24"/>
          <w:lang w:val="en-US"/>
        </w:rPr>
        <w:t xml:space="preserve"> Zophoros, Denticulos, Corsas, Metocas, Simas, Acroteria. Adde etiam diversitates illas quas capitulorum et modulorum commensus distinguit Corinthiam, Doricam, Ionicam, Tuscanicam, Atticam. Accedant quoque aedium sacrarum ratiocinatores: Doricarum severitas, Corintiarum deliciae, Ionicarum temperamentum, et cum nostris signis signa sua conferant graeci Atlantes anellos, Cariatidas stolatas,</w:t>
      </w:r>
      <w:r w:rsidRPr="00096909">
        <w:rPr>
          <w:rStyle w:val="Rimandonotaapidipagina"/>
          <w:rFonts w:ascii="Times New Roman" w:hAnsi="Times New Roman" w:cs="Times New Roman"/>
          <w:sz w:val="24"/>
          <w:szCs w:val="24"/>
        </w:rPr>
        <w:footnoteReference w:id="957"/>
      </w:r>
      <w:r w:rsidRPr="00096909">
        <w:rPr>
          <w:rFonts w:ascii="Times New Roman" w:hAnsi="Times New Roman" w:cs="Times New Roman"/>
          <w:sz w:val="24"/>
          <w:szCs w:val="24"/>
          <w:lang w:val="en-US"/>
        </w:rPr>
        <w:t xml:space="preserve"> Persicas bracatas,</w:t>
      </w:r>
      <w:r w:rsidRPr="00096909">
        <w:rPr>
          <w:rStyle w:val="Rimandonotaapidipagina"/>
          <w:rFonts w:ascii="Times New Roman" w:hAnsi="Times New Roman" w:cs="Times New Roman"/>
          <w:sz w:val="24"/>
          <w:szCs w:val="24"/>
        </w:rPr>
        <w:footnoteReference w:id="958"/>
      </w:r>
      <w:r w:rsidRPr="00096909">
        <w:rPr>
          <w:rFonts w:ascii="Times New Roman" w:hAnsi="Times New Roman" w:cs="Times New Roman"/>
          <w:sz w:val="24"/>
          <w:szCs w:val="24"/>
          <w:lang w:val="en-US"/>
        </w:rPr>
        <w:t xml:space="preserve"> et cum istis numerentur striatae, intortae, leves, angulares columnae, non tamen, Medius Fidius, omnia haec nostrarum precio antetulerim, quae et materiei firmitudine, et nova venustatis </w:t>
      </w:r>
      <w:r>
        <w:rPr>
          <w:rFonts w:ascii="Times New Roman" w:hAnsi="Times New Roman" w:cs="Times New Roman"/>
          <w:sz w:val="24"/>
          <w:szCs w:val="24"/>
          <w:lang w:val="en-US"/>
        </w:rPr>
        <w:t>e</w:t>
      </w:r>
      <w:r w:rsidRPr="00096909">
        <w:rPr>
          <w:rFonts w:ascii="Times New Roman" w:hAnsi="Times New Roman" w:cs="Times New Roman"/>
          <w:sz w:val="24"/>
          <w:szCs w:val="24"/>
          <w:lang w:val="en-US"/>
        </w:rPr>
        <w:t xml:space="preserve">urithmia cum ornatiquitate certare possunt. </w:t>
      </w:r>
    </w:p>
    <w:p w14:paraId="43CE3726"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Templi frontem quam posteri videbunt geminae turres utrinque defendent, tercentum cubitis in caelum minaturae. Sed quod nostro tempore sub aspectu est a longe contemplanti marmoreus mons existimabitur, si ingrediaris sylva columnarum offerri videbitur. </w:t>
      </w:r>
    </w:p>
    <w:p w14:paraId="59268B5D"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[5] Mirum est quantum ars ingenium valeat, quicquid cupias minutum etiam quodcumque latomi tibi excudent. Mirabantur antiqui caristium lapidem qui pectebatur, nebaturque et in mantilium usum contexebatur. At cur non magis miremur nostrorum ingenia temporum omnia ex durissimo marmore deducentium? Nam, ut maiora opera silentio involvam, </w:t>
      </w:r>
      <w:r>
        <w:rPr>
          <w:rFonts w:ascii="Times New Roman" w:hAnsi="Times New Roman" w:cs="Times New Roman"/>
          <w:sz w:val="24"/>
          <w:szCs w:val="24"/>
          <w:lang w:val="en-US"/>
        </w:rPr>
        <w:t>s</w:t>
      </w:r>
      <w:r w:rsidRPr="00096909">
        <w:rPr>
          <w:rFonts w:ascii="Times New Roman" w:hAnsi="Times New Roman" w:cs="Times New Roman"/>
          <w:sz w:val="24"/>
          <w:szCs w:val="24"/>
          <w:lang w:val="en-US"/>
        </w:rPr>
        <w:t xml:space="preserve">culptorum coelo saxea duricies in luxuriantes ramos, crispantes flosculos, lancinata solia, ramosos frutices, pendentes Corymbos usque adeo attenuatur, ut non ex lapide sed ex lentescente caera efficta haec existimes. Statuas ex marmore faciunt </w:t>
      </w:r>
      <w:r>
        <w:rPr>
          <w:rFonts w:ascii="Times New Roman" w:hAnsi="Times New Roman" w:cs="Times New Roman"/>
          <w:sz w:val="24"/>
          <w:szCs w:val="24"/>
          <w:lang w:val="en-US"/>
        </w:rPr>
        <w:t>a</w:t>
      </w:r>
      <w:r w:rsidRPr="00096909">
        <w:rPr>
          <w:rFonts w:ascii="Times New Roman" w:hAnsi="Times New Roman" w:cs="Times New Roman"/>
          <w:sz w:val="24"/>
          <w:szCs w:val="24"/>
          <w:lang w:val="en-US"/>
        </w:rPr>
        <w:t xml:space="preserve">chilleas, </w:t>
      </w:r>
      <w:r>
        <w:rPr>
          <w:rFonts w:ascii="Times New Roman" w:hAnsi="Times New Roman" w:cs="Times New Roman"/>
          <w:sz w:val="24"/>
          <w:szCs w:val="24"/>
          <w:lang w:val="en-US"/>
        </w:rPr>
        <w:t>t</w:t>
      </w:r>
      <w:r w:rsidRPr="00096909">
        <w:rPr>
          <w:rFonts w:ascii="Times New Roman" w:hAnsi="Times New Roman" w:cs="Times New Roman"/>
          <w:sz w:val="24"/>
          <w:szCs w:val="24"/>
          <w:lang w:val="en-US"/>
        </w:rPr>
        <w:t xml:space="preserve">horacatas, </w:t>
      </w:r>
      <w:r>
        <w:rPr>
          <w:rFonts w:ascii="Times New Roman" w:hAnsi="Times New Roman" w:cs="Times New Roman"/>
          <w:sz w:val="24"/>
          <w:szCs w:val="24"/>
          <w:lang w:val="en-US"/>
        </w:rPr>
        <w:t>e</w:t>
      </w:r>
      <w:r w:rsidRPr="00096909">
        <w:rPr>
          <w:rFonts w:ascii="Times New Roman" w:hAnsi="Times New Roman" w:cs="Times New Roman"/>
          <w:sz w:val="24"/>
          <w:szCs w:val="24"/>
          <w:lang w:val="en-US"/>
        </w:rPr>
        <w:t xml:space="preserve">questres,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edestres, </w:t>
      </w:r>
      <w:r>
        <w:rPr>
          <w:rFonts w:ascii="Times New Roman" w:hAnsi="Times New Roman" w:cs="Times New Roman"/>
          <w:sz w:val="24"/>
          <w:szCs w:val="24"/>
          <w:lang w:val="en-US"/>
        </w:rPr>
        <w:t>t</w:t>
      </w:r>
      <w:r w:rsidRPr="00096909">
        <w:rPr>
          <w:rFonts w:ascii="Times New Roman" w:hAnsi="Times New Roman" w:cs="Times New Roman"/>
          <w:sz w:val="24"/>
          <w:szCs w:val="24"/>
          <w:lang w:val="en-US"/>
        </w:rPr>
        <w:t xml:space="preserve">ogatas, </w:t>
      </w:r>
      <w:r>
        <w:rPr>
          <w:rFonts w:ascii="Times New Roman" w:hAnsi="Times New Roman" w:cs="Times New Roman"/>
          <w:sz w:val="24"/>
          <w:szCs w:val="24"/>
          <w:lang w:val="en-US"/>
        </w:rPr>
        <w:t>n</w:t>
      </w:r>
      <w:r w:rsidRPr="00096909">
        <w:rPr>
          <w:rFonts w:ascii="Times New Roman" w:hAnsi="Times New Roman" w:cs="Times New Roman"/>
          <w:sz w:val="24"/>
          <w:szCs w:val="24"/>
          <w:lang w:val="en-US"/>
        </w:rPr>
        <w:t>udas, quae suis filis et liniamentorum proportionibus spirare videntur. Quales puto fuisse eorum qui in his sculpendis primi claruisse produntur, Cretensium, Dipoeni et Scyli,</w:t>
      </w:r>
      <w:r w:rsidRPr="00096909">
        <w:rPr>
          <w:rStyle w:val="Rimandonotaapidipagina"/>
          <w:rFonts w:ascii="Times New Roman" w:hAnsi="Times New Roman" w:cs="Times New Roman"/>
          <w:sz w:val="24"/>
          <w:szCs w:val="24"/>
        </w:rPr>
        <w:footnoteReference w:id="959"/>
      </w:r>
      <w:r w:rsidRPr="00096909">
        <w:rPr>
          <w:rFonts w:ascii="Times New Roman" w:hAnsi="Times New Roman" w:cs="Times New Roman"/>
          <w:sz w:val="24"/>
          <w:szCs w:val="24"/>
          <w:lang w:val="en-US"/>
        </w:rPr>
        <w:t xml:space="preserve"> et qui ante eos fuerunt </w:t>
      </w:r>
      <w:r>
        <w:rPr>
          <w:rFonts w:ascii="Times New Roman" w:hAnsi="Times New Roman" w:cs="Times New Roman"/>
          <w:sz w:val="24"/>
          <w:szCs w:val="24"/>
          <w:lang w:val="en-US"/>
        </w:rPr>
        <w:t>C</w:t>
      </w:r>
      <w:r w:rsidRPr="00096909">
        <w:rPr>
          <w:rFonts w:ascii="Times New Roman" w:hAnsi="Times New Roman" w:cs="Times New Roman"/>
          <w:sz w:val="24"/>
          <w:szCs w:val="24"/>
          <w:lang w:val="en-US"/>
        </w:rPr>
        <w:t>hiorum, Malae, et Miciadis, Anthermique, cuius marmorum officinis nobilitata est posteritas.</w:t>
      </w:r>
      <w:r w:rsidRPr="00096909">
        <w:rPr>
          <w:rStyle w:val="Rimandonotaapidipagina"/>
          <w:rFonts w:ascii="Times New Roman" w:hAnsi="Times New Roman" w:cs="Times New Roman"/>
          <w:sz w:val="24"/>
          <w:szCs w:val="24"/>
        </w:rPr>
        <w:footnoteReference w:id="960"/>
      </w:r>
      <w:r w:rsidRPr="00096909">
        <w:rPr>
          <w:rFonts w:ascii="Times New Roman" w:hAnsi="Times New Roman" w:cs="Times New Roman"/>
          <w:sz w:val="24"/>
          <w:szCs w:val="24"/>
          <w:lang w:val="en-US"/>
        </w:rPr>
        <w:t xml:space="preserve"> Sed ad minutiora revertamur. Quot (qui olim marmor fuerant) errantes nodos, radiatas rotas, recurrentes grypos, implicitos Triangulorum, quadrangulorumque reflexus, quibus ampli fenestrarum orbes intexti exornantur ex marmore veluti ex funibus intorquentur. Nec unquam a labore cessatur, sed eduras cotes ad libellam cominuentium. Cementorum scabriciem regula levigantium, marmora ferta aqua et harena secantium, saxa ingentia ductariis funibus sublevantium, rudentes trocleas celoniis aut vectibus volventium, machinas tractorias erigentium, phalas et pontes sublicis, et festucis catenatim compingentium multitudine cuncta fervent. Singulis annis lapidicidis, statuariis, carpentariis, fabris, aliisque opificibus, supra xxx librarum millia, ut ex adversaria architectorum, et ex ephimeridibus Epistatarum cognovimus, absumuntur. </w:t>
      </w:r>
    </w:p>
    <w:p w14:paraId="36BD517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[6] Occurrat hoc loco aliquis. Non est vetus aedificandi mos iste, nulla antiqui operis hic sunt peristyla, nullae </w:t>
      </w:r>
      <w:r>
        <w:rPr>
          <w:rFonts w:ascii="Times New Roman" w:hAnsi="Times New Roman" w:cs="Times New Roman"/>
          <w:sz w:val="24"/>
          <w:szCs w:val="24"/>
          <w:lang w:val="en-US"/>
        </w:rPr>
        <w:t>a</w:t>
      </w:r>
      <w:r w:rsidRPr="00096909">
        <w:rPr>
          <w:rFonts w:ascii="Times New Roman" w:hAnsi="Times New Roman" w:cs="Times New Roman"/>
          <w:sz w:val="24"/>
          <w:szCs w:val="24"/>
          <w:lang w:val="en-US"/>
        </w:rPr>
        <w:t xml:space="preserve">ntes, non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rostylon habet, nec in </w:t>
      </w:r>
      <w:r>
        <w:rPr>
          <w:rFonts w:ascii="Times New Roman" w:hAnsi="Times New Roman" w:cs="Times New Roman"/>
          <w:sz w:val="24"/>
          <w:szCs w:val="24"/>
          <w:lang w:val="en-US"/>
        </w:rPr>
        <w:t>d</w:t>
      </w:r>
      <w:r w:rsidRPr="00096909">
        <w:rPr>
          <w:rFonts w:ascii="Times New Roman" w:hAnsi="Times New Roman" w:cs="Times New Roman"/>
          <w:sz w:val="24"/>
          <w:szCs w:val="24"/>
          <w:lang w:val="en-US"/>
        </w:rPr>
        <w:t xml:space="preserve">ypteron expanditur; neque ex illis quinque generibus dispositionem recipit ut, aut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ignostylos, aut </w:t>
      </w:r>
      <w:r>
        <w:rPr>
          <w:rFonts w:ascii="Times New Roman" w:hAnsi="Times New Roman" w:cs="Times New Roman"/>
          <w:sz w:val="24"/>
          <w:szCs w:val="24"/>
          <w:lang w:val="en-US"/>
        </w:rPr>
        <w:t>d</w:t>
      </w:r>
      <w:r w:rsidRPr="00096909">
        <w:rPr>
          <w:rFonts w:ascii="Times New Roman" w:hAnsi="Times New Roman" w:cs="Times New Roman"/>
          <w:sz w:val="24"/>
          <w:szCs w:val="24"/>
          <w:lang w:val="en-US"/>
        </w:rPr>
        <w:t xml:space="preserve">iastylos, aut </w:t>
      </w:r>
      <w:r>
        <w:rPr>
          <w:rFonts w:ascii="Times New Roman" w:hAnsi="Times New Roman" w:cs="Times New Roman"/>
          <w:sz w:val="24"/>
          <w:szCs w:val="24"/>
          <w:lang w:val="en-US"/>
        </w:rPr>
        <w:t>e</w:t>
      </w:r>
      <w:r w:rsidRPr="00096909">
        <w:rPr>
          <w:rFonts w:ascii="Times New Roman" w:hAnsi="Times New Roman" w:cs="Times New Roman"/>
          <w:sz w:val="24"/>
          <w:szCs w:val="24"/>
          <w:lang w:val="en-US"/>
        </w:rPr>
        <w:t xml:space="preserve">nterostylos, aut </w:t>
      </w:r>
      <w:r>
        <w:rPr>
          <w:rFonts w:ascii="Times New Roman" w:hAnsi="Times New Roman" w:cs="Times New Roman"/>
          <w:sz w:val="24"/>
          <w:szCs w:val="24"/>
          <w:lang w:val="en-US"/>
        </w:rPr>
        <w:t>a</w:t>
      </w:r>
      <w:r w:rsidRPr="00096909">
        <w:rPr>
          <w:rFonts w:ascii="Times New Roman" w:hAnsi="Times New Roman" w:cs="Times New Roman"/>
          <w:sz w:val="24"/>
          <w:szCs w:val="24"/>
          <w:lang w:val="en-US"/>
        </w:rPr>
        <w:t xml:space="preserve">reostylos, aut </w:t>
      </w:r>
      <w:r>
        <w:rPr>
          <w:rFonts w:ascii="Times New Roman" w:hAnsi="Times New Roman" w:cs="Times New Roman"/>
          <w:sz w:val="24"/>
          <w:szCs w:val="24"/>
          <w:lang w:val="en-US"/>
        </w:rPr>
        <w:t>e</w:t>
      </w:r>
      <w:r w:rsidRPr="00096909">
        <w:rPr>
          <w:rFonts w:ascii="Times New Roman" w:hAnsi="Times New Roman" w:cs="Times New Roman"/>
          <w:sz w:val="24"/>
          <w:szCs w:val="24"/>
          <w:lang w:val="en-US"/>
        </w:rPr>
        <w:t xml:space="preserve">ustylos a dispositarum ordinibus columnarum appelletur. Non etiam gradationibus ascenditur, nec </w:t>
      </w:r>
      <w:r>
        <w:rPr>
          <w:rFonts w:ascii="Times New Roman" w:hAnsi="Times New Roman" w:cs="Times New Roman"/>
          <w:sz w:val="24"/>
          <w:szCs w:val="24"/>
          <w:lang w:val="en-US"/>
        </w:rPr>
        <w:t>a</w:t>
      </w:r>
      <w:r w:rsidRPr="00096909">
        <w:rPr>
          <w:rFonts w:ascii="Times New Roman" w:hAnsi="Times New Roman" w:cs="Times New Roman"/>
          <w:sz w:val="24"/>
          <w:szCs w:val="24"/>
          <w:lang w:val="en-US"/>
        </w:rPr>
        <w:t xml:space="preserve">mphistyli ambitu circuitur. Haec omnia, non inficior, habet nihilominus cerebrum columnarum ornatum et in binas utrinque effunditur alas. </w:t>
      </w:r>
      <w:r w:rsidRPr="00096909">
        <w:rPr>
          <w:rFonts w:ascii="Times New Roman" w:hAnsi="Times New Roman" w:cs="Times New Roman"/>
          <w:sz w:val="24"/>
          <w:szCs w:val="24"/>
        </w:rPr>
        <w:t>Tanta praeterea est pecuniarum impensa, tanta rerum omnium convenientia, tanta artis huius novae excellentia, ut nihil vetustum reperias cui hoc tempore iure comparetur, sed ipsum pro dignitate descrivere divinum potius esset quam humanum. Nemo enim quale sit cogitatione imaginari, si non viderit, nemo scriptura, quae sit intus et foris pulchritudo explicare possit, et ego quo tam partem vix attigi. Quare de mole inenarrabili penitus tacere quam pauca dicere satius putabam. Sed res nata, ut aliquid summa manu enotarem consilium meum pervertit et, quod verbum est vetus, supra crepidam ascendere necessitas coegit.</w:t>
      </w:r>
      <w:r w:rsidRPr="00096909">
        <w:rPr>
          <w:rStyle w:val="Rimandonotaapidipagina"/>
          <w:rFonts w:ascii="Times New Roman" w:hAnsi="Times New Roman" w:cs="Times New Roman"/>
          <w:sz w:val="24"/>
          <w:szCs w:val="24"/>
        </w:rPr>
        <w:footnoteReference w:id="961"/>
      </w:r>
    </w:p>
    <w:p w14:paraId="17EB248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[7] Nec minor est venerandorum flaminum admiratio, qui ad cerimonias et res divinas quottidie conveniunt. Centum namque sacerdotes sacerdotiis opulentim ministerio deputantur. Archipresbyter, </w:t>
      </w:r>
      <w:r>
        <w:rPr>
          <w:rFonts w:ascii="Times New Roman" w:hAnsi="Times New Roman" w:cs="Times New Roman"/>
          <w:sz w:val="24"/>
          <w:szCs w:val="24"/>
        </w:rPr>
        <w:t>p</w:t>
      </w:r>
      <w:r w:rsidRPr="00096909">
        <w:rPr>
          <w:rFonts w:ascii="Times New Roman" w:hAnsi="Times New Roman" w:cs="Times New Roman"/>
          <w:sz w:val="24"/>
          <w:szCs w:val="24"/>
        </w:rPr>
        <w:t xml:space="preserve">repositus, </w:t>
      </w:r>
      <w:r>
        <w:rPr>
          <w:rFonts w:ascii="Times New Roman" w:hAnsi="Times New Roman" w:cs="Times New Roman"/>
          <w:sz w:val="24"/>
          <w:szCs w:val="24"/>
        </w:rPr>
        <w:t>a</w:t>
      </w:r>
      <w:r w:rsidRPr="00096909">
        <w:rPr>
          <w:rFonts w:ascii="Times New Roman" w:hAnsi="Times New Roman" w:cs="Times New Roman"/>
          <w:sz w:val="24"/>
          <w:szCs w:val="24"/>
        </w:rPr>
        <w:t xml:space="preserve">rchidiaconus, </w:t>
      </w:r>
      <w:r>
        <w:rPr>
          <w:rFonts w:ascii="Times New Roman" w:hAnsi="Times New Roman" w:cs="Times New Roman"/>
          <w:sz w:val="24"/>
          <w:szCs w:val="24"/>
        </w:rPr>
        <w:t>p</w:t>
      </w:r>
      <w:r w:rsidRPr="00096909">
        <w:rPr>
          <w:rFonts w:ascii="Times New Roman" w:hAnsi="Times New Roman" w:cs="Times New Roman"/>
          <w:sz w:val="24"/>
          <w:szCs w:val="24"/>
        </w:rPr>
        <w:t xml:space="preserve">rimicyrii duo, </w:t>
      </w:r>
      <w:r>
        <w:rPr>
          <w:rFonts w:ascii="Times New Roman" w:hAnsi="Times New Roman" w:cs="Times New Roman"/>
          <w:sz w:val="24"/>
          <w:szCs w:val="24"/>
        </w:rPr>
        <w:t>t</w:t>
      </w:r>
      <w:r w:rsidRPr="00096909">
        <w:rPr>
          <w:rFonts w:ascii="Times New Roman" w:hAnsi="Times New Roman" w:cs="Times New Roman"/>
          <w:sz w:val="24"/>
          <w:szCs w:val="24"/>
        </w:rPr>
        <w:t xml:space="preserve">actici, quos ordinarios vocant, </w:t>
      </w:r>
      <w:r>
        <w:rPr>
          <w:rFonts w:ascii="Times New Roman" w:hAnsi="Times New Roman" w:cs="Times New Roman"/>
          <w:sz w:val="24"/>
          <w:szCs w:val="24"/>
        </w:rPr>
        <w:t>d</w:t>
      </w:r>
      <w:r w:rsidRPr="00096909">
        <w:rPr>
          <w:rFonts w:ascii="Times New Roman" w:hAnsi="Times New Roman" w:cs="Times New Roman"/>
          <w:sz w:val="24"/>
          <w:szCs w:val="24"/>
        </w:rPr>
        <w:t xml:space="preserve">ecumani, </w:t>
      </w:r>
      <w:r>
        <w:rPr>
          <w:rFonts w:ascii="Times New Roman" w:hAnsi="Times New Roman" w:cs="Times New Roman"/>
          <w:sz w:val="24"/>
          <w:szCs w:val="24"/>
        </w:rPr>
        <w:t>n</w:t>
      </w:r>
      <w:r w:rsidRPr="00096909">
        <w:rPr>
          <w:rFonts w:ascii="Times New Roman" w:hAnsi="Times New Roman" w:cs="Times New Roman"/>
          <w:sz w:val="24"/>
          <w:szCs w:val="24"/>
        </w:rPr>
        <w:t xml:space="preserve">otarii, </w:t>
      </w:r>
      <w:r>
        <w:rPr>
          <w:rFonts w:ascii="Times New Roman" w:hAnsi="Times New Roman" w:cs="Times New Roman"/>
          <w:sz w:val="24"/>
          <w:szCs w:val="24"/>
        </w:rPr>
        <w:t>m</w:t>
      </w:r>
      <w:r w:rsidRPr="00096909">
        <w:rPr>
          <w:rFonts w:ascii="Times New Roman" w:hAnsi="Times New Roman" w:cs="Times New Roman"/>
          <w:sz w:val="24"/>
          <w:szCs w:val="24"/>
        </w:rPr>
        <w:t xml:space="preserve">azaconii, quibus supplicatio num cantus, et laetaniarum preces, funerumquoque naeniae inprimis procurantur. Anagnostae, </w:t>
      </w:r>
      <w:r>
        <w:rPr>
          <w:rFonts w:ascii="Times New Roman" w:hAnsi="Times New Roman" w:cs="Times New Roman"/>
          <w:sz w:val="24"/>
          <w:szCs w:val="24"/>
        </w:rPr>
        <w:t>p</w:t>
      </w:r>
      <w:r w:rsidRPr="00096909">
        <w:rPr>
          <w:rFonts w:ascii="Times New Roman" w:hAnsi="Times New Roman" w:cs="Times New Roman"/>
          <w:sz w:val="24"/>
          <w:szCs w:val="24"/>
        </w:rPr>
        <w:t xml:space="preserve">honasci, </w:t>
      </w:r>
      <w:r>
        <w:rPr>
          <w:rFonts w:ascii="Times New Roman" w:hAnsi="Times New Roman" w:cs="Times New Roman"/>
          <w:sz w:val="24"/>
          <w:szCs w:val="24"/>
        </w:rPr>
        <w:t>o</w:t>
      </w:r>
      <w:r w:rsidRPr="00096909">
        <w:rPr>
          <w:rFonts w:ascii="Times New Roman" w:hAnsi="Times New Roman" w:cs="Times New Roman"/>
          <w:sz w:val="24"/>
          <w:szCs w:val="24"/>
        </w:rPr>
        <w:t xml:space="preserve">bedientiarii, </w:t>
      </w:r>
      <w:r>
        <w:rPr>
          <w:rFonts w:ascii="Times New Roman" w:hAnsi="Times New Roman" w:cs="Times New Roman"/>
          <w:sz w:val="24"/>
          <w:szCs w:val="24"/>
        </w:rPr>
        <w:t>c</w:t>
      </w:r>
      <w:r w:rsidRPr="00096909">
        <w:rPr>
          <w:rFonts w:ascii="Times New Roman" w:hAnsi="Times New Roman" w:cs="Times New Roman"/>
          <w:sz w:val="24"/>
          <w:szCs w:val="24"/>
        </w:rPr>
        <w:t xml:space="preserve">ustodes, quorum primus </w:t>
      </w:r>
      <w:r>
        <w:rPr>
          <w:rFonts w:ascii="Times New Roman" w:hAnsi="Times New Roman" w:cs="Times New Roman"/>
          <w:sz w:val="24"/>
          <w:szCs w:val="24"/>
        </w:rPr>
        <w:t>c</w:t>
      </w:r>
      <w:r w:rsidRPr="00096909">
        <w:rPr>
          <w:rFonts w:ascii="Times New Roman" w:hAnsi="Times New Roman" w:cs="Times New Roman"/>
          <w:sz w:val="24"/>
          <w:szCs w:val="24"/>
        </w:rPr>
        <w:t xml:space="preserve">imeliarcha cui thesaurorum cura et eorum quae graeci τα κειμηλία dicunt demandatur. Aeditui, pueri, utriusque sexus phanatici senes, qui ex ritu veteri panem et vinum in sacrificio offerunt. Omnium praeterea collegiorum diversi hintus partitaque officiorum munia. Omnibus praesidet </w:t>
      </w:r>
      <w:r>
        <w:rPr>
          <w:rFonts w:ascii="Times New Roman" w:hAnsi="Times New Roman" w:cs="Times New Roman"/>
          <w:sz w:val="24"/>
          <w:szCs w:val="24"/>
        </w:rPr>
        <w:t>a</w:t>
      </w:r>
      <w:r w:rsidRPr="00096909">
        <w:rPr>
          <w:rFonts w:ascii="Times New Roman" w:hAnsi="Times New Roman" w:cs="Times New Roman"/>
          <w:sz w:val="24"/>
          <w:szCs w:val="24"/>
        </w:rPr>
        <w:t xml:space="preserve">rchiepiscopus, multarum civitatum pastor. Is est Guidoantonius Arcimboldus, nuperrime electus, qui sanguinis nobilitate, fidei experimento, multarum rerum usu bonis gratus est principibus. His omnibus argenteorum aureorumque vasorum, ac rerum sacrarum preciosa supellex respondet. Haec igitur sit templi Mediolanensis pro tempore brevis descriptio, quod ut olim Ioannes Galeacius primus inchoavit, ita Ioannes Galeacius Sextus optata foelicitate perficiat. </w:t>
      </w:r>
    </w:p>
    <w:p w14:paraId="32E58199" w14:textId="77777777" w:rsidR="00B92BCD" w:rsidRPr="00096909" w:rsidRDefault="00B92BCD" w:rsidP="00B92BCD">
      <w:pPr>
        <w:spacing w:line="360" w:lineRule="auto"/>
        <w:jc w:val="both"/>
        <w:rPr>
          <w:rFonts w:ascii="Times New Roman" w:hAnsi="Times New Roman" w:cs="Times New Roman"/>
          <w:sz w:val="24"/>
          <w:szCs w:val="24"/>
        </w:rPr>
      </w:pPr>
    </w:p>
    <w:p w14:paraId="29A99EA7"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IV. De aedificio ante templum rotundo.</w:t>
      </w:r>
    </w:p>
    <w:p w14:paraId="6B383EDD"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Ante templi frontispicium amphitheatrali orbe portam magnam vestiens lignea testudo primum spectantibus miraculum prebuit. Haec, columnarum octostylio sustentata, fastigiato fornice veteris templi pinaculum adaequabat. Columnarum forma quasi triquetra exangularis firmissima basi exurgens sex passuum latitudine antiqua opera imitabatur. Testudinis huius, quam modo Prothyron, modo Pronaon, nonnunquam Sphaeristerion diversis de causis nominabo, unaquaeque columna quaternis loculamentis emula veritatis signa capiebat, quae sub nomine illustrium foeminarum duo et triginta fuere forma et habitu muliebri cum peculiaribus armis et eulogiis faberrime expolita. Columnarum </w:t>
      </w:r>
      <w:r>
        <w:rPr>
          <w:rFonts w:ascii="Times New Roman" w:hAnsi="Times New Roman" w:cs="Times New Roman"/>
          <w:sz w:val="24"/>
          <w:szCs w:val="24"/>
        </w:rPr>
        <w:t>e</w:t>
      </w:r>
      <w:r w:rsidRPr="00096909">
        <w:rPr>
          <w:rFonts w:ascii="Times New Roman" w:hAnsi="Times New Roman" w:cs="Times New Roman"/>
          <w:sz w:val="24"/>
          <w:szCs w:val="24"/>
        </w:rPr>
        <w:t xml:space="preserve">pistylia, quibus testudinea moles inniteretur, fortissimi arcus connectebant, sub quorum singulis ingentes rotae binis iuvenibus superliminari fultis versabantur. Ex virenti hedera superficie et radii; Modioli autem et </w:t>
      </w:r>
      <w:r>
        <w:rPr>
          <w:rFonts w:ascii="Times New Roman" w:hAnsi="Times New Roman" w:cs="Times New Roman"/>
          <w:sz w:val="24"/>
          <w:szCs w:val="24"/>
        </w:rPr>
        <w:t>t</w:t>
      </w:r>
      <w:r w:rsidRPr="00096909">
        <w:rPr>
          <w:rFonts w:ascii="Times New Roman" w:hAnsi="Times New Roman" w:cs="Times New Roman"/>
          <w:sz w:val="24"/>
          <w:szCs w:val="24"/>
        </w:rPr>
        <w:t xml:space="preserve">ympanum ex auro refulgebant. </w:t>
      </w:r>
    </w:p>
    <w:p w14:paraId="67D08816"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In arcuum dorso secundum </w:t>
      </w:r>
      <w:r>
        <w:rPr>
          <w:rFonts w:ascii="Times New Roman" w:hAnsi="Times New Roman" w:cs="Times New Roman"/>
          <w:sz w:val="24"/>
          <w:szCs w:val="24"/>
        </w:rPr>
        <w:t>c</w:t>
      </w:r>
      <w:r w:rsidRPr="00096909">
        <w:rPr>
          <w:rFonts w:ascii="Times New Roman" w:hAnsi="Times New Roman" w:cs="Times New Roman"/>
          <w:sz w:val="24"/>
          <w:szCs w:val="24"/>
        </w:rPr>
        <w:t xml:space="preserve">oronida deambulatorius </w:t>
      </w:r>
      <w:r>
        <w:rPr>
          <w:rFonts w:ascii="Times New Roman" w:hAnsi="Times New Roman" w:cs="Times New Roman"/>
          <w:sz w:val="24"/>
          <w:szCs w:val="24"/>
        </w:rPr>
        <w:t>t</w:t>
      </w:r>
      <w:r w:rsidRPr="00096909">
        <w:rPr>
          <w:rFonts w:ascii="Times New Roman" w:hAnsi="Times New Roman" w:cs="Times New Roman"/>
          <w:sz w:val="24"/>
          <w:szCs w:val="24"/>
        </w:rPr>
        <w:t xml:space="preserve">yrsis relinquitur, </w:t>
      </w:r>
      <w:r>
        <w:rPr>
          <w:rFonts w:ascii="Times New Roman" w:hAnsi="Times New Roman" w:cs="Times New Roman"/>
          <w:sz w:val="24"/>
          <w:szCs w:val="24"/>
        </w:rPr>
        <w:t>s</w:t>
      </w:r>
      <w:r w:rsidRPr="00096909">
        <w:rPr>
          <w:rFonts w:ascii="Times New Roman" w:hAnsi="Times New Roman" w:cs="Times New Roman"/>
          <w:sz w:val="24"/>
          <w:szCs w:val="24"/>
        </w:rPr>
        <w:t xml:space="preserve">exque cubitalibus columnellis extrinsecus quasi cancellis munitus. Supra hunc simile aliud </w:t>
      </w:r>
      <w:r>
        <w:rPr>
          <w:rFonts w:ascii="Times New Roman" w:hAnsi="Times New Roman" w:cs="Times New Roman"/>
          <w:sz w:val="24"/>
          <w:szCs w:val="24"/>
        </w:rPr>
        <w:t>p</w:t>
      </w:r>
      <w:r w:rsidRPr="00096909">
        <w:rPr>
          <w:rFonts w:ascii="Times New Roman" w:hAnsi="Times New Roman" w:cs="Times New Roman"/>
          <w:sz w:val="24"/>
          <w:szCs w:val="24"/>
        </w:rPr>
        <w:t xml:space="preserve">rocestrion, per quod ad fastigium ascensus erat. Ex ambobus in forum prospectus, et circum machinae coronam via facilis. Ab hoc loco in metatam figuram apex fastigiari incipit, usque adeo in altum progrediens ut altitudine templo par sit. Tholi rotundus vertex, columnata triplicis ordinis pyramide coronatur, totum aedificium </w:t>
      </w:r>
      <w:r>
        <w:rPr>
          <w:rFonts w:ascii="Times New Roman" w:hAnsi="Times New Roman" w:cs="Times New Roman"/>
          <w:sz w:val="24"/>
          <w:szCs w:val="24"/>
        </w:rPr>
        <w:t>i</w:t>
      </w:r>
      <w:r w:rsidRPr="00096909">
        <w:rPr>
          <w:rFonts w:ascii="Times New Roman" w:hAnsi="Times New Roman" w:cs="Times New Roman"/>
          <w:sz w:val="24"/>
          <w:szCs w:val="24"/>
        </w:rPr>
        <w:t xml:space="preserve">unipero tectum pumbleis siphonculis epluebat. </w:t>
      </w:r>
    </w:p>
    <w:p w14:paraId="4601B21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Sed ne, dum in hoc nimium versor molestus tibi fiam, opusque explicare cupiens me totum implicem, exemplo agetur: </w:t>
      </w:r>
      <w:r>
        <w:rPr>
          <w:rFonts w:ascii="Times New Roman" w:hAnsi="Times New Roman" w:cs="Times New Roman"/>
          <w:sz w:val="24"/>
          <w:szCs w:val="24"/>
        </w:rPr>
        <w:t>d</w:t>
      </w:r>
      <w:r w:rsidRPr="00096909">
        <w:rPr>
          <w:rFonts w:ascii="Times New Roman" w:hAnsi="Times New Roman" w:cs="Times New Roman"/>
          <w:sz w:val="24"/>
          <w:szCs w:val="24"/>
        </w:rPr>
        <w:t xml:space="preserve">elubrum Divi Laurentii quod Mediolanenses Tugurium appellant, fuit istius aedificii exceptis ornamentis archetypon. Ipsa testudo non multum a vestro baptisterio absimilis.    </w:t>
      </w:r>
    </w:p>
    <w:p w14:paraId="4A1A3775" w14:textId="77777777" w:rsidR="00B92BCD" w:rsidRPr="00096909" w:rsidRDefault="00B92BCD" w:rsidP="00B92BCD">
      <w:pPr>
        <w:spacing w:line="360" w:lineRule="auto"/>
        <w:jc w:val="both"/>
        <w:rPr>
          <w:rFonts w:ascii="Times New Roman" w:hAnsi="Times New Roman" w:cs="Times New Roman"/>
          <w:sz w:val="24"/>
          <w:szCs w:val="24"/>
        </w:rPr>
      </w:pPr>
    </w:p>
    <w:p w14:paraId="6ACE5D31"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V. De arcu Triumphali.</w:t>
      </w:r>
    </w:p>
    <w:p w14:paraId="09DA0AE7" w14:textId="77777777" w:rsidR="00B92BCD" w:rsidRPr="00096909" w:rsidRDefault="00B92BCD" w:rsidP="00B92BCD">
      <w:pPr>
        <w:spacing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In inferiori parte fori, quae cum Curia terminatur, arcum triumphalem erexerunt, trino portarum fornice superbum, harum media maior et editior, reliquae pulchritudine pares, magnitudine inferiores. Antiquorum instar triumphantium, bellis, exuviis, victoriis, insignes quidquid noster strenui Franciscus Sfortia in Samnitibus gessit, quidquid egregii Venetis prestitit, quidquid Magnifici pro Mediolanensibus fecit pulchro ordine expressum visebatur. </w:t>
      </w:r>
      <w:r w:rsidRPr="00096909">
        <w:rPr>
          <w:rFonts w:ascii="Times New Roman" w:hAnsi="Times New Roman" w:cs="Times New Roman"/>
          <w:sz w:val="24"/>
          <w:szCs w:val="24"/>
          <w:lang w:val="en-US"/>
        </w:rPr>
        <w:t xml:space="preserve">Hinc Aquilae auxiliaris, illinc ad Caravagium victor, inde Placentiae populator. </w:t>
      </w:r>
      <w:r w:rsidRPr="00096909">
        <w:rPr>
          <w:rFonts w:ascii="Times New Roman" w:hAnsi="Times New Roman" w:cs="Times New Roman"/>
          <w:sz w:val="24"/>
          <w:szCs w:val="24"/>
        </w:rPr>
        <w:t xml:space="preserve">In alia parte Blancam Mariam astantibus pronubis annulo coniugalis fidei Cremonae subarrabat. Vide res quanto populi favore, urbem hanc ingrediens regni habenis, et contumacis Genuae sceptro tandem sit potitus. Iocundus profecto nobis Sforcianae virtutis intuitus, peregrinis etiam admiratio. </w:t>
      </w:r>
      <w:r w:rsidRPr="00096909">
        <w:rPr>
          <w:rFonts w:ascii="Times New Roman" w:hAnsi="Times New Roman" w:cs="Times New Roman"/>
          <w:sz w:val="24"/>
          <w:szCs w:val="24"/>
          <w:lang w:val="en-US"/>
        </w:rPr>
        <w:t>Arcus sumitatem Imperii vexilla, laterum extremitates cum Trophoeis opima spolia decorabant.</w:t>
      </w:r>
    </w:p>
    <w:p w14:paraId="0CE0FB31" w14:textId="77777777" w:rsidR="00B92BCD" w:rsidRPr="00096909" w:rsidRDefault="00B92BCD" w:rsidP="00B92BCD">
      <w:pPr>
        <w:spacing w:line="360" w:lineRule="auto"/>
        <w:jc w:val="both"/>
        <w:rPr>
          <w:rFonts w:ascii="Times New Roman" w:hAnsi="Times New Roman" w:cs="Times New Roman"/>
          <w:sz w:val="24"/>
          <w:szCs w:val="24"/>
          <w:lang w:val="en-US"/>
        </w:rPr>
      </w:pPr>
    </w:p>
    <w:p w14:paraId="2E112DEA" w14:textId="77777777" w:rsidR="00B92BCD" w:rsidRPr="00096909" w:rsidRDefault="00B92BCD" w:rsidP="00B92BCD">
      <w:pPr>
        <w:spacing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VI. De Spacio inter Templum et arcum columnato. </w:t>
      </w:r>
    </w:p>
    <w:p w14:paraId="641B3CCD"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Ab isto arcu usque ad Pronai rotunditatem, quam descripsimus, intersticium hederaceis myrtheisque columnis undique inclusum amaenissimae cuiusdam ambulationis gestationisque molissimae vicem praestabat. Xysti alicuius aut paradromidis speciem frequens viriditas referre videbatur.</w:t>
      </w:r>
      <w:r w:rsidRPr="00096909">
        <w:rPr>
          <w:rStyle w:val="Rimandonotaapidipagina"/>
          <w:rFonts w:ascii="Times New Roman" w:hAnsi="Times New Roman" w:cs="Times New Roman"/>
          <w:sz w:val="24"/>
          <w:szCs w:val="24"/>
        </w:rPr>
        <w:footnoteReference w:id="962"/>
      </w:r>
      <w:r w:rsidRPr="00096909">
        <w:rPr>
          <w:rFonts w:ascii="Times New Roman" w:hAnsi="Times New Roman" w:cs="Times New Roman"/>
          <w:sz w:val="24"/>
          <w:szCs w:val="24"/>
          <w:lang w:val="en-US"/>
        </w:rPr>
        <w:t xml:space="preserve"> Viridantes columnas ex eodem virore signis dependentibus in diametrum curvati arcus superne colligabant. </w:t>
      </w:r>
    </w:p>
    <w:p w14:paraId="03F879AA"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Sed, ut laxius forum pateret, circumforaneae institorum tabernae ammotae, conducta salsamentariorum tentoria evulsa, suburbanae mulieres, cupedinarii, olitores cum scrutis suis, et obsoniis, et hortensibus exturbati. Perticis et longuriis quibus irruentis turbae impetus reiceretur. Interpositis ab omnibus enim curatum est ut his nuptiis nihil deesse videretur, quae et si </w:t>
      </w:r>
      <w:r>
        <w:rPr>
          <w:rFonts w:ascii="Times New Roman" w:hAnsi="Times New Roman" w:cs="Times New Roman"/>
          <w:sz w:val="24"/>
          <w:szCs w:val="24"/>
          <w:lang w:val="en-US"/>
        </w:rPr>
        <w:t>m</w:t>
      </w:r>
      <w:r w:rsidRPr="00096909">
        <w:rPr>
          <w:rFonts w:ascii="Times New Roman" w:hAnsi="Times New Roman" w:cs="Times New Roman"/>
          <w:sz w:val="24"/>
          <w:szCs w:val="24"/>
          <w:lang w:val="en-US"/>
        </w:rPr>
        <w:t xml:space="preserve">agnificentissimae, recentibusque annalium monumentis dignae fuerunt. Hyppolites tamen obitus, quam Blancae matris exemplar et Elysabellae filiae exemplum hoc anno Neapoli ammissam adhuc pullati lugemus, comunem laeticiam, immodicosque urbis luxus repressit. </w:t>
      </w:r>
    </w:p>
    <w:p w14:paraId="6E602587" w14:textId="77777777" w:rsidR="00B92BCD" w:rsidRPr="00096909" w:rsidRDefault="00B92BCD" w:rsidP="00B92BCD">
      <w:pPr>
        <w:spacing w:line="360" w:lineRule="auto"/>
        <w:jc w:val="both"/>
        <w:rPr>
          <w:rFonts w:ascii="Times New Roman" w:hAnsi="Times New Roman" w:cs="Times New Roman"/>
          <w:sz w:val="24"/>
          <w:szCs w:val="24"/>
          <w:lang w:val="en-US"/>
        </w:rPr>
      </w:pPr>
    </w:p>
    <w:p w14:paraId="798CA3C6" w14:textId="77777777" w:rsidR="00B92BCD" w:rsidRPr="00096909" w:rsidRDefault="00B92BCD" w:rsidP="00B92BCD">
      <w:pPr>
        <w:spacing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VII. De Arcis apparatu.</w:t>
      </w:r>
    </w:p>
    <w:p w14:paraId="2373ED53"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Sed iam in regum Thronum penetremus. </w:t>
      </w:r>
      <w:r w:rsidRPr="00096909">
        <w:rPr>
          <w:rFonts w:ascii="Times New Roman" w:hAnsi="Times New Roman" w:cs="Times New Roman"/>
          <w:sz w:val="24"/>
          <w:szCs w:val="24"/>
        </w:rPr>
        <w:t xml:space="preserve">In arce Iovis, quae Divorum principum est sedes, penitior aula Palatium illud grande descendentibus prima genialis diei signa patefecit. Huius enim areae forma quadrangularis est, duplici coenaculo a tribus lateribus circumsepta. Triplinhii muri mira altitudine sublimes </w:t>
      </w:r>
      <w:r>
        <w:rPr>
          <w:rFonts w:ascii="Times New Roman" w:hAnsi="Times New Roman" w:cs="Times New Roman"/>
          <w:sz w:val="24"/>
          <w:szCs w:val="24"/>
        </w:rPr>
        <w:t>m</w:t>
      </w:r>
      <w:r w:rsidRPr="00096909">
        <w:rPr>
          <w:rFonts w:ascii="Times New Roman" w:hAnsi="Times New Roman" w:cs="Times New Roman"/>
          <w:sz w:val="24"/>
          <w:szCs w:val="24"/>
        </w:rPr>
        <w:t xml:space="preserve">edii fascia </w:t>
      </w:r>
      <w:r>
        <w:rPr>
          <w:rFonts w:ascii="Times New Roman" w:hAnsi="Times New Roman" w:cs="Times New Roman"/>
          <w:sz w:val="24"/>
          <w:szCs w:val="24"/>
        </w:rPr>
        <w:t>c</w:t>
      </w:r>
      <w:r w:rsidRPr="00096909">
        <w:rPr>
          <w:rFonts w:ascii="Times New Roman" w:hAnsi="Times New Roman" w:cs="Times New Roman"/>
          <w:sz w:val="24"/>
          <w:szCs w:val="24"/>
        </w:rPr>
        <w:t xml:space="preserve">yanea duobus cubitis lata inter Ecphoras circumvestiti. </w:t>
      </w:r>
    </w:p>
    <w:p w14:paraId="31644F83"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Hanc fasciam varii centaurorum Deorumque sylvestrium lusus implent. Supra infraque </w:t>
      </w:r>
      <w:r>
        <w:rPr>
          <w:rFonts w:ascii="Times New Roman" w:hAnsi="Times New Roman" w:cs="Times New Roman"/>
          <w:sz w:val="24"/>
          <w:szCs w:val="24"/>
        </w:rPr>
        <w:t>i</w:t>
      </w:r>
      <w:r w:rsidRPr="00096909">
        <w:rPr>
          <w:rFonts w:ascii="Times New Roman" w:hAnsi="Times New Roman" w:cs="Times New Roman"/>
          <w:sz w:val="24"/>
          <w:szCs w:val="24"/>
        </w:rPr>
        <w:t xml:space="preserve">uniperi torquibus, hederarum coronamentis, et lauri plectis restium more inter se implicitarum frondenti gyro totum ambitum cingentibus. Ab his ducalis potentiae et subditarum civitatum in hederarum spirulis corruscantia insignia dependebant. Ad caput vero capacis Areae supra proiecturae praecintionem binae </w:t>
      </w:r>
      <w:r>
        <w:rPr>
          <w:rFonts w:ascii="Times New Roman" w:hAnsi="Times New Roman" w:cs="Times New Roman"/>
          <w:sz w:val="24"/>
          <w:szCs w:val="24"/>
        </w:rPr>
        <w:t>a</w:t>
      </w:r>
      <w:r w:rsidRPr="00096909">
        <w:rPr>
          <w:rFonts w:ascii="Times New Roman" w:hAnsi="Times New Roman" w:cs="Times New Roman"/>
          <w:sz w:val="24"/>
          <w:szCs w:val="24"/>
        </w:rPr>
        <w:t xml:space="preserve">quilae totidemque viperae coronis radiamtibus servientes in orbiculatis Trichis demittebantur. </w:t>
      </w:r>
    </w:p>
    <w:p w14:paraId="704B1D91"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Quartum latus, temporaria porticu alia omnia superante, desinentis muri utrunque linbum eodem tenore continuabat. Ex Iunipero tamquam ex marmore stantes columnae frondeos fornices </w:t>
      </w:r>
      <w:r>
        <w:rPr>
          <w:rFonts w:ascii="Times New Roman" w:hAnsi="Times New Roman" w:cs="Times New Roman"/>
          <w:sz w:val="24"/>
          <w:szCs w:val="24"/>
        </w:rPr>
        <w:t>c</w:t>
      </w:r>
      <w:r w:rsidRPr="00096909">
        <w:rPr>
          <w:rFonts w:ascii="Times New Roman" w:hAnsi="Times New Roman" w:cs="Times New Roman"/>
          <w:sz w:val="24"/>
          <w:szCs w:val="24"/>
        </w:rPr>
        <w:t xml:space="preserve">orymbiseris </w:t>
      </w:r>
      <w:r>
        <w:rPr>
          <w:rFonts w:ascii="Times New Roman" w:hAnsi="Times New Roman" w:cs="Times New Roman"/>
          <w:sz w:val="24"/>
          <w:szCs w:val="24"/>
        </w:rPr>
        <w:t>c</w:t>
      </w:r>
      <w:r w:rsidRPr="00096909">
        <w:rPr>
          <w:rFonts w:ascii="Times New Roman" w:hAnsi="Times New Roman" w:cs="Times New Roman"/>
          <w:sz w:val="24"/>
          <w:szCs w:val="24"/>
        </w:rPr>
        <w:t xml:space="preserve">apitulis sustinebant, eo artificio concamerati et auro intercrepitante rasiles ut nulla foliorum asperitas, nulla ramorum inter se connexorum inconcinnitas artis pretium imminueret. Putares haec vel ita nata vel pictorum penicillo ellaborata. Sub hoc, quasi quodam </w:t>
      </w:r>
      <w:r>
        <w:rPr>
          <w:rFonts w:ascii="Times New Roman" w:hAnsi="Times New Roman" w:cs="Times New Roman"/>
          <w:sz w:val="24"/>
          <w:szCs w:val="24"/>
        </w:rPr>
        <w:t>t</w:t>
      </w:r>
      <w:r w:rsidRPr="00096909">
        <w:rPr>
          <w:rFonts w:ascii="Times New Roman" w:hAnsi="Times New Roman" w:cs="Times New Roman"/>
          <w:sz w:val="24"/>
          <w:szCs w:val="24"/>
        </w:rPr>
        <w:t xml:space="preserve">opiario opere, principalis </w:t>
      </w:r>
      <w:r>
        <w:rPr>
          <w:rFonts w:ascii="Times New Roman" w:hAnsi="Times New Roman" w:cs="Times New Roman"/>
          <w:sz w:val="24"/>
          <w:szCs w:val="24"/>
        </w:rPr>
        <w:t>p</w:t>
      </w:r>
      <w:r w:rsidRPr="00096909">
        <w:rPr>
          <w:rFonts w:ascii="Times New Roman" w:hAnsi="Times New Roman" w:cs="Times New Roman"/>
          <w:sz w:val="24"/>
          <w:szCs w:val="24"/>
        </w:rPr>
        <w:t xml:space="preserve">ompa equis insidens ad arcis portam tecta perveniebat. </w:t>
      </w:r>
    </w:p>
    <w:p w14:paraId="0CBA40B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Sed antequam arcem egrediamur coniugalis thalami Magnificentiam explicemus. </w:t>
      </w:r>
    </w:p>
    <w:p w14:paraId="605225EA" w14:textId="77777777" w:rsidR="00B92BCD" w:rsidRPr="00096909" w:rsidRDefault="00B92BCD" w:rsidP="00B92BCD">
      <w:pPr>
        <w:spacing w:line="360" w:lineRule="auto"/>
        <w:jc w:val="both"/>
        <w:rPr>
          <w:rFonts w:ascii="Times New Roman" w:hAnsi="Times New Roman" w:cs="Times New Roman"/>
          <w:sz w:val="24"/>
          <w:szCs w:val="24"/>
        </w:rPr>
      </w:pPr>
    </w:p>
    <w:p w14:paraId="4A8575FF"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VIII. De Lecti genialis ornamento.</w:t>
      </w:r>
    </w:p>
    <w:p w14:paraId="7D0C985E"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Vereor ne si sacri liminis </w:t>
      </w:r>
      <w:r>
        <w:rPr>
          <w:rFonts w:ascii="Times New Roman" w:hAnsi="Times New Roman" w:cs="Times New Roman"/>
          <w:sz w:val="24"/>
          <w:szCs w:val="24"/>
        </w:rPr>
        <w:t>a</w:t>
      </w:r>
      <w:r w:rsidRPr="00096909">
        <w:rPr>
          <w:rFonts w:ascii="Times New Roman" w:hAnsi="Times New Roman" w:cs="Times New Roman"/>
          <w:sz w:val="24"/>
          <w:szCs w:val="24"/>
        </w:rPr>
        <w:t xml:space="preserve">dyta prophanus ingredior, id mihi eveniat quod </w:t>
      </w:r>
      <w:r>
        <w:rPr>
          <w:rFonts w:ascii="Times New Roman" w:hAnsi="Times New Roman" w:cs="Times New Roman"/>
          <w:sz w:val="24"/>
          <w:szCs w:val="24"/>
        </w:rPr>
        <w:t>t</w:t>
      </w:r>
      <w:r w:rsidRPr="00096909">
        <w:rPr>
          <w:rFonts w:ascii="Times New Roman" w:hAnsi="Times New Roman" w:cs="Times New Roman"/>
          <w:sz w:val="24"/>
          <w:szCs w:val="24"/>
        </w:rPr>
        <w:t xml:space="preserve">emerario Acteoni, et </w:t>
      </w:r>
      <w:r>
        <w:rPr>
          <w:rFonts w:ascii="Times New Roman" w:hAnsi="Times New Roman" w:cs="Times New Roman"/>
          <w:sz w:val="24"/>
          <w:szCs w:val="24"/>
        </w:rPr>
        <w:t>l</w:t>
      </w:r>
      <w:r w:rsidRPr="00096909">
        <w:rPr>
          <w:rFonts w:ascii="Times New Roman" w:hAnsi="Times New Roman" w:cs="Times New Roman"/>
          <w:sz w:val="24"/>
          <w:szCs w:val="24"/>
        </w:rPr>
        <w:t xml:space="preserve">ocutuleio Tantalo evenisse </w:t>
      </w:r>
      <w:r>
        <w:rPr>
          <w:rFonts w:ascii="Times New Roman" w:hAnsi="Times New Roman" w:cs="Times New Roman"/>
          <w:sz w:val="24"/>
          <w:szCs w:val="24"/>
        </w:rPr>
        <w:t>p</w:t>
      </w:r>
      <w:r w:rsidRPr="00096909">
        <w:rPr>
          <w:rFonts w:ascii="Times New Roman" w:hAnsi="Times New Roman" w:cs="Times New Roman"/>
          <w:sz w:val="24"/>
          <w:szCs w:val="24"/>
        </w:rPr>
        <w:t xml:space="preserve">oetae fabulantur; quorum alter ad nudam Dianam accedere ausus, in </w:t>
      </w:r>
      <w:r>
        <w:rPr>
          <w:rFonts w:ascii="Times New Roman" w:hAnsi="Times New Roman" w:cs="Times New Roman"/>
          <w:sz w:val="24"/>
          <w:szCs w:val="24"/>
        </w:rPr>
        <w:t>c</w:t>
      </w:r>
      <w:r w:rsidRPr="00096909">
        <w:rPr>
          <w:rFonts w:ascii="Times New Roman" w:hAnsi="Times New Roman" w:cs="Times New Roman"/>
          <w:sz w:val="24"/>
          <w:szCs w:val="24"/>
        </w:rPr>
        <w:t>ervum deformatus, e vernaculis canibus discerptus famigeratur;</w:t>
      </w:r>
      <w:r w:rsidRPr="00096909">
        <w:rPr>
          <w:rStyle w:val="Rimandonotaapidipagina"/>
          <w:rFonts w:ascii="Times New Roman" w:hAnsi="Times New Roman" w:cs="Times New Roman"/>
          <w:sz w:val="24"/>
          <w:szCs w:val="24"/>
        </w:rPr>
        <w:footnoteReference w:id="963"/>
      </w:r>
      <w:r w:rsidRPr="00096909">
        <w:rPr>
          <w:rFonts w:ascii="Times New Roman" w:hAnsi="Times New Roman" w:cs="Times New Roman"/>
          <w:sz w:val="24"/>
          <w:szCs w:val="24"/>
        </w:rPr>
        <w:t xml:space="preserve">  alterum autem, ob Iovis retecta arcana, inter divitias egentem fugitivi pomorum odores et fallaces undarum haustus poenitenda lingua frustantur.</w:t>
      </w:r>
      <w:r w:rsidRPr="00096909">
        <w:rPr>
          <w:rStyle w:val="Rimandonotaapidipagina"/>
          <w:rFonts w:ascii="Times New Roman" w:hAnsi="Times New Roman" w:cs="Times New Roman"/>
          <w:sz w:val="24"/>
          <w:szCs w:val="24"/>
        </w:rPr>
        <w:footnoteReference w:id="964"/>
      </w:r>
      <w:r w:rsidRPr="00096909">
        <w:rPr>
          <w:rFonts w:ascii="Times New Roman" w:hAnsi="Times New Roman" w:cs="Times New Roman"/>
          <w:sz w:val="24"/>
          <w:szCs w:val="24"/>
        </w:rPr>
        <w:t xml:space="preserve">  </w:t>
      </w:r>
    </w:p>
    <w:p w14:paraId="673E3B18"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At tamen cum omnes Vicecomitis et Sforcianae gentis </w:t>
      </w:r>
      <w:r>
        <w:rPr>
          <w:rFonts w:ascii="Times New Roman" w:hAnsi="Times New Roman" w:cs="Times New Roman"/>
          <w:sz w:val="24"/>
          <w:szCs w:val="24"/>
        </w:rPr>
        <w:t>l</w:t>
      </w:r>
      <w:r w:rsidRPr="00096909">
        <w:rPr>
          <w:rFonts w:ascii="Times New Roman" w:hAnsi="Times New Roman" w:cs="Times New Roman"/>
          <w:sz w:val="24"/>
          <w:szCs w:val="24"/>
        </w:rPr>
        <w:t xml:space="preserve">iberalitatem immo paternam affectionem in civitates populosque suos eam esse cognoscant, ut non solum intra aurea tecta recipiamur, sed in praecordiorum penitis amabiliter reconditi cum </w:t>
      </w:r>
      <w:r>
        <w:rPr>
          <w:rFonts w:ascii="Times New Roman" w:hAnsi="Times New Roman" w:cs="Times New Roman"/>
          <w:sz w:val="24"/>
          <w:szCs w:val="24"/>
        </w:rPr>
        <w:t>p</w:t>
      </w:r>
      <w:r w:rsidRPr="00096909">
        <w:rPr>
          <w:rFonts w:ascii="Times New Roman" w:hAnsi="Times New Roman" w:cs="Times New Roman"/>
          <w:sz w:val="24"/>
          <w:szCs w:val="24"/>
        </w:rPr>
        <w:t>rincipibus nostris communem spiritum hauriamus.</w:t>
      </w:r>
    </w:p>
    <w:p w14:paraId="596DE5C1"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Nihil dubitabo penitioris </w:t>
      </w:r>
      <w:r>
        <w:rPr>
          <w:rFonts w:ascii="Times New Roman" w:hAnsi="Times New Roman" w:cs="Times New Roman"/>
          <w:sz w:val="24"/>
          <w:szCs w:val="24"/>
        </w:rPr>
        <w:t>g</w:t>
      </w:r>
      <w:r w:rsidRPr="00096909">
        <w:rPr>
          <w:rFonts w:ascii="Times New Roman" w:hAnsi="Times New Roman" w:cs="Times New Roman"/>
          <w:sz w:val="24"/>
          <w:szCs w:val="24"/>
        </w:rPr>
        <w:t xml:space="preserve">enaecei atque </w:t>
      </w:r>
      <w:r>
        <w:rPr>
          <w:rFonts w:ascii="Times New Roman" w:hAnsi="Times New Roman" w:cs="Times New Roman"/>
          <w:sz w:val="24"/>
          <w:szCs w:val="24"/>
        </w:rPr>
        <w:t>g</w:t>
      </w:r>
      <w:r w:rsidRPr="00096909">
        <w:rPr>
          <w:rFonts w:ascii="Times New Roman" w:hAnsi="Times New Roman" w:cs="Times New Roman"/>
          <w:sz w:val="24"/>
          <w:szCs w:val="24"/>
        </w:rPr>
        <w:t xml:space="preserve">enialis </w:t>
      </w:r>
      <w:r>
        <w:rPr>
          <w:rFonts w:ascii="Times New Roman" w:hAnsi="Times New Roman" w:cs="Times New Roman"/>
          <w:sz w:val="24"/>
          <w:szCs w:val="24"/>
        </w:rPr>
        <w:t>t</w:t>
      </w:r>
      <w:r w:rsidRPr="00096909">
        <w:rPr>
          <w:rFonts w:ascii="Times New Roman" w:hAnsi="Times New Roman" w:cs="Times New Roman"/>
          <w:sz w:val="24"/>
          <w:szCs w:val="24"/>
        </w:rPr>
        <w:t xml:space="preserve">halami regios ornatus carptim prodere. Dialis arcis </w:t>
      </w:r>
      <w:r>
        <w:rPr>
          <w:rFonts w:ascii="Times New Roman" w:hAnsi="Times New Roman" w:cs="Times New Roman"/>
          <w:sz w:val="24"/>
          <w:szCs w:val="24"/>
        </w:rPr>
        <w:t>t</w:t>
      </w:r>
      <w:r w:rsidRPr="00096909">
        <w:rPr>
          <w:rFonts w:ascii="Times New Roman" w:hAnsi="Times New Roman" w:cs="Times New Roman"/>
          <w:sz w:val="24"/>
          <w:szCs w:val="24"/>
        </w:rPr>
        <w:t xml:space="preserve">riclinia, </w:t>
      </w:r>
      <w:r>
        <w:rPr>
          <w:rFonts w:ascii="Times New Roman" w:hAnsi="Times New Roman" w:cs="Times New Roman"/>
          <w:sz w:val="24"/>
          <w:szCs w:val="24"/>
        </w:rPr>
        <w:t>c</w:t>
      </w:r>
      <w:r w:rsidRPr="00096909">
        <w:rPr>
          <w:rFonts w:ascii="Times New Roman" w:hAnsi="Times New Roman" w:cs="Times New Roman"/>
          <w:sz w:val="24"/>
          <w:szCs w:val="24"/>
        </w:rPr>
        <w:t xml:space="preserve">oenacula, cubicula singula non percorram, nec per omnes </w:t>
      </w:r>
      <w:r>
        <w:rPr>
          <w:rFonts w:ascii="Times New Roman" w:hAnsi="Times New Roman" w:cs="Times New Roman"/>
          <w:sz w:val="24"/>
          <w:szCs w:val="24"/>
        </w:rPr>
        <w:t>o</w:t>
      </w:r>
      <w:r w:rsidRPr="00096909">
        <w:rPr>
          <w:rFonts w:ascii="Times New Roman" w:hAnsi="Times New Roman" w:cs="Times New Roman"/>
          <w:sz w:val="24"/>
          <w:szCs w:val="24"/>
        </w:rPr>
        <w:t xml:space="preserve">ecos, </w:t>
      </w:r>
      <w:r>
        <w:rPr>
          <w:rFonts w:ascii="Times New Roman" w:hAnsi="Times New Roman" w:cs="Times New Roman"/>
          <w:sz w:val="24"/>
          <w:szCs w:val="24"/>
        </w:rPr>
        <w:t>p</w:t>
      </w:r>
      <w:r w:rsidRPr="00096909">
        <w:rPr>
          <w:rFonts w:ascii="Times New Roman" w:hAnsi="Times New Roman" w:cs="Times New Roman"/>
          <w:sz w:val="24"/>
          <w:szCs w:val="24"/>
        </w:rPr>
        <w:t xml:space="preserve">rocoetosque ancipitem vulgum admittam. Sed post Prothalamorum excubias, coniugalem Pastada verecunde introspiciens tantum reserabo. </w:t>
      </w:r>
    </w:p>
    <w:p w14:paraId="6813F56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Beati igitur thalami parietes undique, et </w:t>
      </w:r>
      <w:r>
        <w:rPr>
          <w:rFonts w:ascii="Times New Roman" w:hAnsi="Times New Roman" w:cs="Times New Roman"/>
          <w:sz w:val="24"/>
          <w:szCs w:val="24"/>
        </w:rPr>
        <w:t>m</w:t>
      </w:r>
      <w:r w:rsidRPr="00096909">
        <w:rPr>
          <w:rFonts w:ascii="Times New Roman" w:hAnsi="Times New Roman" w:cs="Times New Roman"/>
          <w:sz w:val="24"/>
          <w:szCs w:val="24"/>
        </w:rPr>
        <w:t xml:space="preserve">utuli, et cum trabibus laquearia, auro, picturisque superba. Thorum nobilem plana latitudine extensum vellum sericum superne inumbrabat. </w:t>
      </w:r>
    </w:p>
    <w:p w14:paraId="60B9630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Tota velli latitudo exuberanter punicea in </w:t>
      </w:r>
      <w:r>
        <w:rPr>
          <w:rFonts w:ascii="Times New Roman" w:hAnsi="Times New Roman" w:cs="Times New Roman"/>
          <w:sz w:val="24"/>
          <w:szCs w:val="24"/>
        </w:rPr>
        <w:t>m</w:t>
      </w:r>
      <w:r w:rsidRPr="00096909">
        <w:rPr>
          <w:rFonts w:ascii="Times New Roman" w:hAnsi="Times New Roman" w:cs="Times New Roman"/>
          <w:sz w:val="24"/>
          <w:szCs w:val="24"/>
        </w:rPr>
        <w:t xml:space="preserve">editullio victoriae veteris spolium fera radiabat. Is fuit ex unionibus solidus leo, ea magnitudine qua id genus in Sylvis dominatur. In supposito igne, eius uterum micantibus flammis comprehendente geniculans. Erectum, et intecta litterato linteamine galea minax caput, </w:t>
      </w:r>
      <w:r>
        <w:rPr>
          <w:rFonts w:ascii="Times New Roman" w:hAnsi="Times New Roman" w:cs="Times New Roman"/>
          <w:sz w:val="24"/>
          <w:szCs w:val="24"/>
        </w:rPr>
        <w:t>i</w:t>
      </w:r>
      <w:r w:rsidRPr="00096909">
        <w:rPr>
          <w:rFonts w:ascii="Times New Roman" w:hAnsi="Times New Roman" w:cs="Times New Roman"/>
          <w:sz w:val="24"/>
          <w:szCs w:val="24"/>
        </w:rPr>
        <w:t xml:space="preserve">gnitum ramale, </w:t>
      </w:r>
      <w:r>
        <w:rPr>
          <w:rFonts w:ascii="Times New Roman" w:hAnsi="Times New Roman" w:cs="Times New Roman"/>
          <w:sz w:val="24"/>
          <w:szCs w:val="24"/>
        </w:rPr>
        <w:t>u</w:t>
      </w:r>
      <w:r w:rsidRPr="00096909">
        <w:rPr>
          <w:rFonts w:ascii="Times New Roman" w:hAnsi="Times New Roman" w:cs="Times New Roman"/>
          <w:sz w:val="24"/>
          <w:szCs w:val="24"/>
        </w:rPr>
        <w:t xml:space="preserve">rnis cum aqua appensis, caetero corprore recumbens ipse prioribus pedibus gestabat, non auro textus, nec preciosis vel lerum coloribus variatus, sed ex puri roris candentibus bacis dense compositus. Margaritae leo galeatus, margaritae ramus ardens, margaritae hydriae distillantes: omnia margaritis, quasi grandine operta. Iactet iam antiquitas aurea, argenteave fulcra, </w:t>
      </w:r>
      <w:r>
        <w:rPr>
          <w:rFonts w:ascii="Times New Roman" w:hAnsi="Times New Roman" w:cs="Times New Roman"/>
          <w:sz w:val="24"/>
          <w:szCs w:val="24"/>
        </w:rPr>
        <w:t>c</w:t>
      </w:r>
      <w:r w:rsidRPr="00096909">
        <w:rPr>
          <w:rFonts w:ascii="Times New Roman" w:hAnsi="Times New Roman" w:cs="Times New Roman"/>
          <w:sz w:val="24"/>
          <w:szCs w:val="24"/>
        </w:rPr>
        <w:t xml:space="preserve">itreos orbes cum eboreis pedibus ostentet. Admiretur etiam testudinum putamina in laminas ad lectos convestiendos disecta, dum sciat omnia haec thalami nostri milesimam partem non adaequatura. </w:t>
      </w:r>
    </w:p>
    <w:p w14:paraId="4318E6C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Preter </w:t>
      </w:r>
      <w:r>
        <w:rPr>
          <w:rFonts w:ascii="Times New Roman" w:hAnsi="Times New Roman" w:cs="Times New Roman"/>
          <w:sz w:val="24"/>
          <w:szCs w:val="24"/>
        </w:rPr>
        <w:t>l</w:t>
      </w:r>
      <w:r w:rsidRPr="00096909">
        <w:rPr>
          <w:rFonts w:ascii="Times New Roman" w:hAnsi="Times New Roman" w:cs="Times New Roman"/>
          <w:sz w:val="24"/>
          <w:szCs w:val="24"/>
        </w:rPr>
        <w:t xml:space="preserve">eonem reliqua velli aurea unionibus quoque acervatim distinguebatur. A quattuor angulis ad sinuantium solis radiorum imitationem prodeundo intorta flagella medium </w:t>
      </w:r>
      <w:r>
        <w:rPr>
          <w:rFonts w:ascii="Times New Roman" w:hAnsi="Times New Roman" w:cs="Times New Roman"/>
          <w:sz w:val="24"/>
          <w:szCs w:val="24"/>
        </w:rPr>
        <w:t>l</w:t>
      </w:r>
      <w:r w:rsidRPr="00096909">
        <w:rPr>
          <w:rFonts w:ascii="Times New Roman" w:hAnsi="Times New Roman" w:cs="Times New Roman"/>
          <w:sz w:val="24"/>
          <w:szCs w:val="24"/>
        </w:rPr>
        <w:t xml:space="preserve">eonem vibranti claritate percutiebant. In alia parte in flores, in alia in arbores, per totum limbum in flexuosos </w:t>
      </w:r>
      <w:r>
        <w:rPr>
          <w:rFonts w:ascii="Times New Roman" w:hAnsi="Times New Roman" w:cs="Times New Roman"/>
          <w:sz w:val="24"/>
          <w:szCs w:val="24"/>
        </w:rPr>
        <w:t>m</w:t>
      </w:r>
      <w:r w:rsidRPr="00096909">
        <w:rPr>
          <w:rFonts w:ascii="Times New Roman" w:hAnsi="Times New Roman" w:cs="Times New Roman"/>
          <w:sz w:val="24"/>
          <w:szCs w:val="24"/>
        </w:rPr>
        <w:t>aeandros, sinuosumque fluctibus Eurypum undanti ambitu uniones dispositi. Eodem colore mollisimi lecti stragula, sed multipliciori unionum pondere referta principis excellentiae respondebant. Singulos angulos singuli leones ex unionibus facti eodem modo incubabant. In lecti medio omnium maximus non radiis ut superior, sed leonibus cum ICH. HOF. Quod aquam et ignem interpraetantur cristatis circumscriptus. Quinque igitur in hoc stragulo fuere exaluminatorum immenso precio fartim contexti, et unus impendulo operimento, pari aestimatione admirandus.</w:t>
      </w:r>
    </w:p>
    <w:p w14:paraId="2D591A1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[3] Conferat nunc ex curiosis quispiam. M. Lolii quadringenties sextercium, quam summam Paulina Caligulae uxor Margaritis onusta in coenas olim afferebat,</w:t>
      </w:r>
      <w:r w:rsidRPr="00096909">
        <w:rPr>
          <w:rStyle w:val="Rimandonotaapidipagina"/>
          <w:rFonts w:ascii="Times New Roman" w:hAnsi="Times New Roman" w:cs="Times New Roman"/>
          <w:sz w:val="24"/>
          <w:szCs w:val="24"/>
        </w:rPr>
        <w:footnoteReference w:id="965"/>
      </w:r>
      <w:r w:rsidRPr="00096909">
        <w:rPr>
          <w:rFonts w:ascii="Times New Roman" w:hAnsi="Times New Roman" w:cs="Times New Roman"/>
          <w:sz w:val="24"/>
          <w:szCs w:val="24"/>
        </w:rPr>
        <w:t xml:space="preserve">  computetque quinque </w:t>
      </w:r>
      <w:r>
        <w:rPr>
          <w:rFonts w:ascii="Times New Roman" w:hAnsi="Times New Roman" w:cs="Times New Roman"/>
          <w:sz w:val="24"/>
          <w:szCs w:val="24"/>
        </w:rPr>
        <w:t>s</w:t>
      </w:r>
      <w:r w:rsidRPr="00096909">
        <w:rPr>
          <w:rFonts w:ascii="Times New Roman" w:hAnsi="Times New Roman" w:cs="Times New Roman"/>
          <w:sz w:val="24"/>
          <w:szCs w:val="24"/>
        </w:rPr>
        <w:t xml:space="preserve">traguli huius leones, et velli a lacunari dependentis unicum, et </w:t>
      </w:r>
      <w:r>
        <w:rPr>
          <w:rFonts w:ascii="Times New Roman" w:hAnsi="Times New Roman" w:cs="Times New Roman"/>
          <w:sz w:val="24"/>
          <w:szCs w:val="24"/>
        </w:rPr>
        <w:t>i</w:t>
      </w:r>
      <w:r w:rsidRPr="00096909">
        <w:rPr>
          <w:rFonts w:ascii="Times New Roman" w:hAnsi="Times New Roman" w:cs="Times New Roman"/>
          <w:sz w:val="24"/>
          <w:szCs w:val="24"/>
        </w:rPr>
        <w:t xml:space="preserve">tem alium quo ad lecti frontem paries tegebatur, omnes ex unionum contextu factos, addat praeterea tot radios, tot flores, arbores, urnas, ignes, ramos, oras denique ipsas, ex </w:t>
      </w:r>
      <w:r>
        <w:rPr>
          <w:rFonts w:ascii="Times New Roman" w:hAnsi="Times New Roman" w:cs="Times New Roman"/>
          <w:sz w:val="24"/>
          <w:szCs w:val="24"/>
        </w:rPr>
        <w:t>m</w:t>
      </w:r>
      <w:r w:rsidRPr="00096909">
        <w:rPr>
          <w:rFonts w:ascii="Times New Roman" w:hAnsi="Times New Roman" w:cs="Times New Roman"/>
          <w:sz w:val="24"/>
          <w:szCs w:val="24"/>
        </w:rPr>
        <w:t xml:space="preserve">argaritis agminatim consutis fulgentes. Inveniet certe non modo M. Lolii neptem superari, sed nec Thetidem in Thessalia aut Iunonem in Samo talem unquam thalamum habuisse affirmabit. Imo vero Venerem, et Nereidas, quicquid Concharum in toto mari vivit in Elysabellae thorum contulisse palam attestabitur. </w:t>
      </w:r>
    </w:p>
    <w:p w14:paraId="4E4B6D27" w14:textId="77777777" w:rsidR="00B92BCD" w:rsidRPr="00096909" w:rsidRDefault="00B92BCD" w:rsidP="00B92BCD">
      <w:pPr>
        <w:spacing w:line="360" w:lineRule="auto"/>
        <w:jc w:val="both"/>
        <w:rPr>
          <w:rFonts w:ascii="Times New Roman" w:hAnsi="Times New Roman" w:cs="Times New Roman"/>
          <w:sz w:val="24"/>
          <w:szCs w:val="24"/>
        </w:rPr>
      </w:pPr>
    </w:p>
    <w:p w14:paraId="3EA747DC"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IX. De viarum </w:t>
      </w:r>
      <w:r>
        <w:rPr>
          <w:rFonts w:ascii="Times New Roman" w:hAnsi="Times New Roman" w:cs="Times New Roman"/>
          <w:sz w:val="24"/>
          <w:szCs w:val="24"/>
        </w:rPr>
        <w:t>t</w:t>
      </w:r>
      <w:r w:rsidRPr="00096909">
        <w:rPr>
          <w:rFonts w:ascii="Times New Roman" w:hAnsi="Times New Roman" w:cs="Times New Roman"/>
          <w:sz w:val="24"/>
          <w:szCs w:val="24"/>
        </w:rPr>
        <w:t xml:space="preserve">egumentis et festo urbis ornatu.   </w:t>
      </w:r>
    </w:p>
    <w:p w14:paraId="327CA2D5"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Portam Arcis egredientes a thalami deliciis, et a virentis porticus opacitate, alia perpetua umbra excoepit. Haec fuit umbellae aureae gemmata laxitas, quam scientiae, et dignitatis gradu potiores festis pilis subnixam, undique manibus certatim subeundo gestaverunt. </w:t>
      </w:r>
    </w:p>
    <w:p w14:paraId="727F8C0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Ab ista arce templum passibus plus minus mille distat. Totum igitur spacium alibi octo, alibi decem cubitis se se diffundens laneo panno adeo contectum fuit ut omnes vicorum inflexus, speculari lapide aut theatricis velis obductos crederes.</w:t>
      </w:r>
      <w:r w:rsidRPr="00096909">
        <w:rPr>
          <w:rStyle w:val="TestonotaapidipaginaCarattere"/>
          <w:rFonts w:ascii="Times New Roman" w:hAnsi="Times New Roman" w:cs="Times New Roman"/>
          <w:sz w:val="24"/>
          <w:szCs w:val="24"/>
        </w:rPr>
        <w:t xml:space="preserve"> </w:t>
      </w:r>
      <w:r w:rsidRPr="00096909">
        <w:rPr>
          <w:rStyle w:val="Rimandonotaapidipagina"/>
          <w:rFonts w:ascii="Times New Roman" w:hAnsi="Times New Roman" w:cs="Times New Roman"/>
          <w:sz w:val="24"/>
          <w:szCs w:val="24"/>
        </w:rPr>
        <w:footnoteReference w:id="966"/>
      </w:r>
      <w:r w:rsidRPr="00096909">
        <w:rPr>
          <w:rFonts w:ascii="Times New Roman" w:hAnsi="Times New Roman" w:cs="Times New Roman"/>
          <w:sz w:val="24"/>
          <w:szCs w:val="24"/>
        </w:rPr>
        <w:t xml:space="preserve"> Nulla fuit aedium pars, quae inoperta solem admiserit, viae quibus graderentur tapetis intectae: moenia omnia aulaeis convestita, </w:t>
      </w:r>
      <w:r>
        <w:rPr>
          <w:rFonts w:ascii="Times New Roman" w:hAnsi="Times New Roman" w:cs="Times New Roman"/>
          <w:sz w:val="24"/>
          <w:szCs w:val="24"/>
        </w:rPr>
        <w:t>p</w:t>
      </w:r>
      <w:r w:rsidRPr="00096909">
        <w:rPr>
          <w:rFonts w:ascii="Times New Roman" w:hAnsi="Times New Roman" w:cs="Times New Roman"/>
          <w:sz w:val="24"/>
          <w:szCs w:val="24"/>
        </w:rPr>
        <w:t xml:space="preserve">eripetasmatis concta velut incrustata. Nihil privati, nihil quotidiani, omnia sumptuosa, omnia solemni nitore Luxuriantia.  Quid tandem in tanta pictarum vestium, et diversi coloris texturae </w:t>
      </w:r>
      <w:r>
        <w:rPr>
          <w:rFonts w:ascii="Times New Roman" w:hAnsi="Times New Roman" w:cs="Times New Roman"/>
          <w:sz w:val="24"/>
          <w:szCs w:val="24"/>
        </w:rPr>
        <w:t>p</w:t>
      </w:r>
      <w:r w:rsidRPr="00096909">
        <w:rPr>
          <w:rFonts w:ascii="Times New Roman" w:hAnsi="Times New Roman" w:cs="Times New Roman"/>
          <w:sz w:val="24"/>
          <w:szCs w:val="24"/>
        </w:rPr>
        <w:t xml:space="preserve">olymitaria varietate, </w:t>
      </w:r>
      <w:r>
        <w:rPr>
          <w:rFonts w:ascii="Times New Roman" w:hAnsi="Times New Roman" w:cs="Times New Roman"/>
          <w:sz w:val="24"/>
          <w:szCs w:val="24"/>
        </w:rPr>
        <w:t>a</w:t>
      </w:r>
      <w:r w:rsidRPr="00096909">
        <w:rPr>
          <w:rFonts w:ascii="Times New Roman" w:hAnsi="Times New Roman" w:cs="Times New Roman"/>
          <w:sz w:val="24"/>
          <w:szCs w:val="24"/>
        </w:rPr>
        <w:t xml:space="preserve">ntiquorum </w:t>
      </w:r>
      <w:r>
        <w:rPr>
          <w:rFonts w:ascii="Times New Roman" w:hAnsi="Times New Roman" w:cs="Times New Roman"/>
          <w:sz w:val="24"/>
          <w:szCs w:val="24"/>
        </w:rPr>
        <w:t>l</w:t>
      </w:r>
      <w:r w:rsidRPr="00096909">
        <w:rPr>
          <w:rFonts w:ascii="Times New Roman" w:hAnsi="Times New Roman" w:cs="Times New Roman"/>
          <w:sz w:val="24"/>
          <w:szCs w:val="24"/>
        </w:rPr>
        <w:t xml:space="preserve">ithostrata, </w:t>
      </w:r>
      <w:r>
        <w:rPr>
          <w:rFonts w:ascii="Times New Roman" w:hAnsi="Times New Roman" w:cs="Times New Roman"/>
          <w:sz w:val="24"/>
          <w:szCs w:val="24"/>
        </w:rPr>
        <w:t>a</w:t>
      </w:r>
      <w:r w:rsidRPr="00096909">
        <w:rPr>
          <w:rFonts w:ascii="Times New Roman" w:hAnsi="Times New Roman" w:cs="Times New Roman"/>
          <w:sz w:val="24"/>
          <w:szCs w:val="24"/>
        </w:rPr>
        <w:t>sarota,</w:t>
      </w:r>
      <w:r w:rsidRPr="00096909">
        <w:rPr>
          <w:rStyle w:val="Rimandonotaapidipagina"/>
          <w:rFonts w:ascii="Times New Roman" w:hAnsi="Times New Roman" w:cs="Times New Roman"/>
          <w:sz w:val="24"/>
          <w:szCs w:val="24"/>
        </w:rPr>
        <w:footnoteReference w:id="967"/>
      </w:r>
      <w:r w:rsidRPr="00096909">
        <w:rPr>
          <w:rFonts w:ascii="Times New Roman" w:hAnsi="Times New Roman" w:cs="Times New Roman"/>
          <w:sz w:val="24"/>
          <w:szCs w:val="24"/>
        </w:rPr>
        <w:t xml:space="preserve"> </w:t>
      </w:r>
      <w:r>
        <w:rPr>
          <w:rFonts w:ascii="Times New Roman" w:hAnsi="Times New Roman" w:cs="Times New Roman"/>
          <w:sz w:val="24"/>
          <w:szCs w:val="24"/>
        </w:rPr>
        <w:t>t</w:t>
      </w:r>
      <w:r w:rsidRPr="00096909">
        <w:rPr>
          <w:rFonts w:ascii="Times New Roman" w:hAnsi="Times New Roman" w:cs="Times New Roman"/>
          <w:sz w:val="24"/>
          <w:szCs w:val="24"/>
        </w:rPr>
        <w:t xml:space="preserve">essellatave pavimenta, aut quid </w:t>
      </w:r>
      <w:r>
        <w:rPr>
          <w:rFonts w:ascii="Times New Roman" w:hAnsi="Times New Roman" w:cs="Times New Roman"/>
          <w:sz w:val="24"/>
          <w:szCs w:val="24"/>
        </w:rPr>
        <w:t>c</w:t>
      </w:r>
      <w:r w:rsidRPr="00096909">
        <w:rPr>
          <w:rFonts w:ascii="Times New Roman" w:hAnsi="Times New Roman" w:cs="Times New Roman"/>
          <w:sz w:val="24"/>
          <w:szCs w:val="24"/>
        </w:rPr>
        <w:t xml:space="preserve">ameras </w:t>
      </w:r>
      <w:r>
        <w:rPr>
          <w:rFonts w:ascii="Times New Roman" w:hAnsi="Times New Roman" w:cs="Times New Roman"/>
          <w:sz w:val="24"/>
          <w:szCs w:val="24"/>
        </w:rPr>
        <w:t>e</w:t>
      </w:r>
      <w:r w:rsidRPr="00096909">
        <w:rPr>
          <w:rFonts w:ascii="Times New Roman" w:hAnsi="Times New Roman" w:cs="Times New Roman"/>
          <w:sz w:val="24"/>
          <w:szCs w:val="24"/>
        </w:rPr>
        <w:t xml:space="preserve">ncausto, et </w:t>
      </w:r>
      <w:r>
        <w:rPr>
          <w:rFonts w:ascii="Times New Roman" w:hAnsi="Times New Roman" w:cs="Times New Roman"/>
          <w:sz w:val="24"/>
          <w:szCs w:val="24"/>
        </w:rPr>
        <w:t>e</w:t>
      </w:r>
      <w:r w:rsidRPr="00096909">
        <w:rPr>
          <w:rFonts w:ascii="Times New Roman" w:hAnsi="Times New Roman" w:cs="Times New Roman"/>
          <w:sz w:val="24"/>
          <w:szCs w:val="24"/>
        </w:rPr>
        <w:t xml:space="preserve">mblemate vermiculatas admiramur? Praetermitto singulorum fores civium, qui praeter comunes omnibus </w:t>
      </w:r>
      <w:r>
        <w:rPr>
          <w:rFonts w:ascii="Times New Roman" w:hAnsi="Times New Roman" w:cs="Times New Roman"/>
          <w:sz w:val="24"/>
          <w:szCs w:val="24"/>
        </w:rPr>
        <w:t>a</w:t>
      </w:r>
      <w:r w:rsidRPr="00096909">
        <w:rPr>
          <w:rFonts w:ascii="Times New Roman" w:hAnsi="Times New Roman" w:cs="Times New Roman"/>
          <w:sz w:val="24"/>
          <w:szCs w:val="24"/>
        </w:rPr>
        <w:t xml:space="preserve">ttalicas phrigias, </w:t>
      </w:r>
      <w:r>
        <w:rPr>
          <w:rFonts w:ascii="Times New Roman" w:hAnsi="Times New Roman" w:cs="Times New Roman"/>
          <w:sz w:val="24"/>
          <w:szCs w:val="24"/>
        </w:rPr>
        <w:t>a</w:t>
      </w:r>
      <w:r w:rsidRPr="00096909">
        <w:rPr>
          <w:rFonts w:ascii="Times New Roman" w:hAnsi="Times New Roman" w:cs="Times New Roman"/>
          <w:sz w:val="24"/>
          <w:szCs w:val="24"/>
        </w:rPr>
        <w:t xml:space="preserve">lexadrinas, </w:t>
      </w:r>
      <w:r>
        <w:rPr>
          <w:rFonts w:ascii="Times New Roman" w:hAnsi="Times New Roman" w:cs="Times New Roman"/>
          <w:sz w:val="24"/>
          <w:szCs w:val="24"/>
        </w:rPr>
        <w:t>b</w:t>
      </w:r>
      <w:r w:rsidRPr="00096909">
        <w:rPr>
          <w:rFonts w:ascii="Times New Roman" w:hAnsi="Times New Roman" w:cs="Times New Roman"/>
          <w:sz w:val="24"/>
          <w:szCs w:val="24"/>
        </w:rPr>
        <w:t xml:space="preserve">abilonicas vestes, tonsili </w:t>
      </w:r>
      <w:r>
        <w:rPr>
          <w:rFonts w:ascii="Times New Roman" w:hAnsi="Times New Roman" w:cs="Times New Roman"/>
          <w:sz w:val="24"/>
          <w:szCs w:val="24"/>
        </w:rPr>
        <w:t>b</w:t>
      </w:r>
      <w:r w:rsidRPr="00096909">
        <w:rPr>
          <w:rFonts w:ascii="Times New Roman" w:hAnsi="Times New Roman" w:cs="Times New Roman"/>
          <w:sz w:val="24"/>
          <w:szCs w:val="24"/>
        </w:rPr>
        <w:t xml:space="preserve">uxo, </w:t>
      </w:r>
      <w:r>
        <w:rPr>
          <w:rFonts w:ascii="Times New Roman" w:hAnsi="Times New Roman" w:cs="Times New Roman"/>
          <w:sz w:val="24"/>
          <w:szCs w:val="24"/>
        </w:rPr>
        <w:t>i</w:t>
      </w:r>
      <w:r w:rsidRPr="00096909">
        <w:rPr>
          <w:rFonts w:ascii="Times New Roman" w:hAnsi="Times New Roman" w:cs="Times New Roman"/>
          <w:sz w:val="24"/>
          <w:szCs w:val="24"/>
        </w:rPr>
        <w:t xml:space="preserve">ntonsa </w:t>
      </w:r>
      <w:r>
        <w:rPr>
          <w:rFonts w:ascii="Times New Roman" w:hAnsi="Times New Roman" w:cs="Times New Roman"/>
          <w:sz w:val="24"/>
          <w:szCs w:val="24"/>
        </w:rPr>
        <w:t>m</w:t>
      </w:r>
      <w:r w:rsidRPr="00096909">
        <w:rPr>
          <w:rFonts w:ascii="Times New Roman" w:hAnsi="Times New Roman" w:cs="Times New Roman"/>
          <w:sz w:val="24"/>
          <w:szCs w:val="24"/>
        </w:rPr>
        <w:t xml:space="preserve">yrtho, </w:t>
      </w:r>
      <w:r>
        <w:rPr>
          <w:rFonts w:ascii="Times New Roman" w:hAnsi="Times New Roman" w:cs="Times New Roman"/>
          <w:sz w:val="24"/>
          <w:szCs w:val="24"/>
        </w:rPr>
        <w:t>s</w:t>
      </w:r>
      <w:r w:rsidRPr="00096909">
        <w:rPr>
          <w:rFonts w:ascii="Times New Roman" w:hAnsi="Times New Roman" w:cs="Times New Roman"/>
          <w:sz w:val="24"/>
          <w:szCs w:val="24"/>
        </w:rPr>
        <w:t xml:space="preserve">equaci hedera, </w:t>
      </w:r>
      <w:r>
        <w:rPr>
          <w:rFonts w:ascii="Times New Roman" w:hAnsi="Times New Roman" w:cs="Times New Roman"/>
          <w:sz w:val="24"/>
          <w:szCs w:val="24"/>
        </w:rPr>
        <w:t>o</w:t>
      </w:r>
      <w:r w:rsidRPr="00096909">
        <w:rPr>
          <w:rFonts w:ascii="Times New Roman" w:hAnsi="Times New Roman" w:cs="Times New Roman"/>
          <w:sz w:val="24"/>
          <w:szCs w:val="24"/>
        </w:rPr>
        <w:t xml:space="preserve">paca </w:t>
      </w:r>
      <w:r>
        <w:rPr>
          <w:rFonts w:ascii="Times New Roman" w:hAnsi="Times New Roman" w:cs="Times New Roman"/>
          <w:sz w:val="24"/>
          <w:szCs w:val="24"/>
        </w:rPr>
        <w:t>i</w:t>
      </w:r>
      <w:r w:rsidRPr="00096909">
        <w:rPr>
          <w:rFonts w:ascii="Times New Roman" w:hAnsi="Times New Roman" w:cs="Times New Roman"/>
          <w:sz w:val="24"/>
          <w:szCs w:val="24"/>
        </w:rPr>
        <w:t xml:space="preserve">unipero, flaventi oliva, </w:t>
      </w:r>
      <w:r>
        <w:rPr>
          <w:rFonts w:ascii="Times New Roman" w:hAnsi="Times New Roman" w:cs="Times New Roman"/>
          <w:sz w:val="24"/>
          <w:szCs w:val="24"/>
        </w:rPr>
        <w:t>p</w:t>
      </w:r>
      <w:r w:rsidRPr="00096909">
        <w:rPr>
          <w:rFonts w:ascii="Times New Roman" w:hAnsi="Times New Roman" w:cs="Times New Roman"/>
          <w:sz w:val="24"/>
          <w:szCs w:val="24"/>
        </w:rPr>
        <w:t xml:space="preserve">ergulas, </w:t>
      </w:r>
      <w:r>
        <w:rPr>
          <w:rFonts w:ascii="Times New Roman" w:hAnsi="Times New Roman" w:cs="Times New Roman"/>
          <w:sz w:val="24"/>
          <w:szCs w:val="24"/>
        </w:rPr>
        <w:t>t</w:t>
      </w:r>
      <w:r w:rsidRPr="00096909">
        <w:rPr>
          <w:rFonts w:ascii="Times New Roman" w:hAnsi="Times New Roman" w:cs="Times New Roman"/>
          <w:sz w:val="24"/>
          <w:szCs w:val="24"/>
        </w:rPr>
        <w:t xml:space="preserve">opiaria, </w:t>
      </w:r>
      <w:r>
        <w:rPr>
          <w:rFonts w:ascii="Times New Roman" w:hAnsi="Times New Roman" w:cs="Times New Roman"/>
          <w:sz w:val="24"/>
          <w:szCs w:val="24"/>
        </w:rPr>
        <w:t>c</w:t>
      </w:r>
      <w:r w:rsidRPr="00096909">
        <w:rPr>
          <w:rFonts w:ascii="Times New Roman" w:hAnsi="Times New Roman" w:cs="Times New Roman"/>
          <w:sz w:val="24"/>
          <w:szCs w:val="24"/>
        </w:rPr>
        <w:t xml:space="preserve">onopea, sub </w:t>
      </w:r>
      <w:r>
        <w:rPr>
          <w:rFonts w:ascii="Times New Roman" w:hAnsi="Times New Roman" w:cs="Times New Roman"/>
          <w:sz w:val="24"/>
          <w:szCs w:val="24"/>
        </w:rPr>
        <w:t>p</w:t>
      </w:r>
      <w:r w:rsidRPr="00096909">
        <w:rPr>
          <w:rFonts w:ascii="Times New Roman" w:hAnsi="Times New Roman" w:cs="Times New Roman"/>
          <w:sz w:val="24"/>
          <w:szCs w:val="24"/>
        </w:rPr>
        <w:t xml:space="preserve">ropyleis, thyronibus, </w:t>
      </w:r>
      <w:r>
        <w:rPr>
          <w:rFonts w:ascii="Times New Roman" w:hAnsi="Times New Roman" w:cs="Times New Roman"/>
          <w:sz w:val="24"/>
          <w:szCs w:val="24"/>
        </w:rPr>
        <w:t>p</w:t>
      </w:r>
      <w:r w:rsidRPr="00096909">
        <w:rPr>
          <w:rFonts w:ascii="Times New Roman" w:hAnsi="Times New Roman" w:cs="Times New Roman"/>
          <w:sz w:val="24"/>
          <w:szCs w:val="24"/>
        </w:rPr>
        <w:t xml:space="preserve">rodomis, sibi effinxerunt. </w:t>
      </w:r>
    </w:p>
    <w:p w14:paraId="222C1A2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Multis in locis </w:t>
      </w:r>
      <w:r>
        <w:rPr>
          <w:rFonts w:ascii="Times New Roman" w:hAnsi="Times New Roman" w:cs="Times New Roman"/>
          <w:sz w:val="24"/>
          <w:szCs w:val="24"/>
        </w:rPr>
        <w:t>s</w:t>
      </w:r>
      <w:r w:rsidRPr="00096909">
        <w:rPr>
          <w:rFonts w:ascii="Times New Roman" w:hAnsi="Times New Roman" w:cs="Times New Roman"/>
          <w:sz w:val="24"/>
          <w:szCs w:val="24"/>
        </w:rPr>
        <w:t>cansoriae machinae,</w:t>
      </w:r>
      <w:r w:rsidRPr="00096909">
        <w:rPr>
          <w:rStyle w:val="Rimandonotaapidipagina"/>
          <w:rFonts w:ascii="Times New Roman" w:hAnsi="Times New Roman" w:cs="Times New Roman"/>
          <w:sz w:val="24"/>
          <w:szCs w:val="24"/>
        </w:rPr>
        <w:footnoteReference w:id="968"/>
      </w:r>
      <w:r w:rsidRPr="00096909">
        <w:rPr>
          <w:rFonts w:ascii="Times New Roman" w:hAnsi="Times New Roman" w:cs="Times New Roman"/>
          <w:sz w:val="24"/>
          <w:szCs w:val="24"/>
        </w:rPr>
        <w:t xml:space="preserve"> et formae </w:t>
      </w:r>
      <w:r>
        <w:rPr>
          <w:rFonts w:ascii="Times New Roman" w:hAnsi="Times New Roman" w:cs="Times New Roman"/>
          <w:sz w:val="24"/>
          <w:szCs w:val="24"/>
        </w:rPr>
        <w:t>l</w:t>
      </w:r>
      <w:r w:rsidRPr="00096909">
        <w:rPr>
          <w:rFonts w:ascii="Times New Roman" w:hAnsi="Times New Roman" w:cs="Times New Roman"/>
          <w:sz w:val="24"/>
          <w:szCs w:val="24"/>
        </w:rPr>
        <w:t xml:space="preserve">ychnorum </w:t>
      </w:r>
      <w:r>
        <w:rPr>
          <w:rFonts w:ascii="Times New Roman" w:hAnsi="Times New Roman" w:cs="Times New Roman"/>
          <w:sz w:val="24"/>
          <w:szCs w:val="24"/>
        </w:rPr>
        <w:t>p</w:t>
      </w:r>
      <w:r w:rsidRPr="00096909">
        <w:rPr>
          <w:rFonts w:ascii="Times New Roman" w:hAnsi="Times New Roman" w:cs="Times New Roman"/>
          <w:sz w:val="24"/>
          <w:szCs w:val="24"/>
        </w:rPr>
        <w:t>olymixorum pensiles,</w:t>
      </w:r>
      <w:r w:rsidRPr="00096909">
        <w:rPr>
          <w:rStyle w:val="Rimandonotaapidipagina"/>
          <w:rFonts w:ascii="Times New Roman" w:hAnsi="Times New Roman" w:cs="Times New Roman"/>
          <w:sz w:val="24"/>
          <w:szCs w:val="24"/>
        </w:rPr>
        <w:footnoteReference w:id="969"/>
      </w:r>
      <w:r w:rsidRPr="00096909">
        <w:rPr>
          <w:rFonts w:ascii="Times New Roman" w:hAnsi="Times New Roman" w:cs="Times New Roman"/>
          <w:sz w:val="24"/>
          <w:szCs w:val="24"/>
        </w:rPr>
        <w:t xml:space="preserve"> </w:t>
      </w:r>
      <w:r>
        <w:rPr>
          <w:rFonts w:ascii="Times New Roman" w:hAnsi="Times New Roman" w:cs="Times New Roman"/>
          <w:sz w:val="24"/>
          <w:szCs w:val="24"/>
        </w:rPr>
        <w:t>p</w:t>
      </w:r>
      <w:r w:rsidRPr="00096909">
        <w:rPr>
          <w:rFonts w:ascii="Times New Roman" w:hAnsi="Times New Roman" w:cs="Times New Roman"/>
          <w:sz w:val="24"/>
          <w:szCs w:val="24"/>
        </w:rPr>
        <w:t xml:space="preserve">aegamata cantantibus pueris, et varia animalium specie per incrementa cursitantium lasciviebant. </w:t>
      </w:r>
    </w:p>
    <w:p w14:paraId="10F303F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Vidi ego ex ligneis bucinis, tamquam ex copiae cornu, aurum in folia extenuatum volitantesque praeciosi metalli bracteolas ab Acheloo et Nymphis emitti. </w:t>
      </w:r>
      <w:r>
        <w:rPr>
          <w:rFonts w:ascii="Times New Roman" w:hAnsi="Times New Roman" w:cs="Times New Roman"/>
          <w:sz w:val="24"/>
          <w:szCs w:val="24"/>
        </w:rPr>
        <w:t>t</w:t>
      </w:r>
      <w:r w:rsidRPr="00096909">
        <w:rPr>
          <w:rFonts w:ascii="Times New Roman" w:hAnsi="Times New Roman" w:cs="Times New Roman"/>
          <w:sz w:val="24"/>
          <w:szCs w:val="24"/>
        </w:rPr>
        <w:t xml:space="preserve">hure ac gratis odorum halatibus omnia fragrabant; </w:t>
      </w:r>
      <w:r>
        <w:rPr>
          <w:rFonts w:ascii="Times New Roman" w:hAnsi="Times New Roman" w:cs="Times New Roman"/>
          <w:sz w:val="24"/>
          <w:szCs w:val="24"/>
        </w:rPr>
        <w:t>c</w:t>
      </w:r>
      <w:r w:rsidRPr="00096909">
        <w:rPr>
          <w:rFonts w:ascii="Times New Roman" w:hAnsi="Times New Roman" w:cs="Times New Roman"/>
          <w:sz w:val="24"/>
          <w:szCs w:val="24"/>
        </w:rPr>
        <w:t xml:space="preserve">antilenarum mella per festos vicos resonantia praeciosis suffituum fumis principes consalutatos adorarunt. </w:t>
      </w:r>
    </w:p>
    <w:p w14:paraId="55ECA38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[3] Ad avertendum vulgi concursum, deformes ex panno, papyraceisve tegumentis effigies loquaces set ridiculae vagabantur, quae ore immaniter dehiscentes, crepitanti dentium sonitu, anilis ebrietatis vesania spectatores terrebant. Tales apud Romanos in Circensium Pompa Petreias, Cicerias, Manducos fuisse putamus.</w:t>
      </w:r>
      <w:r w:rsidRPr="00096909">
        <w:rPr>
          <w:rStyle w:val="Rimandonotaapidipagina"/>
          <w:rFonts w:ascii="Times New Roman" w:hAnsi="Times New Roman" w:cs="Times New Roman"/>
          <w:sz w:val="24"/>
          <w:szCs w:val="24"/>
        </w:rPr>
        <w:footnoteReference w:id="970"/>
      </w:r>
      <w:r w:rsidRPr="00096909">
        <w:rPr>
          <w:rFonts w:ascii="Times New Roman" w:hAnsi="Times New Roman" w:cs="Times New Roman"/>
          <w:sz w:val="24"/>
          <w:szCs w:val="24"/>
        </w:rPr>
        <w:t xml:space="preserve">  </w:t>
      </w:r>
    </w:p>
    <w:p w14:paraId="724A48BB" w14:textId="77777777" w:rsidR="00B92BCD" w:rsidRPr="00096909" w:rsidRDefault="00B92BCD" w:rsidP="00B92BCD">
      <w:pPr>
        <w:spacing w:line="360" w:lineRule="auto"/>
        <w:jc w:val="both"/>
        <w:rPr>
          <w:rFonts w:ascii="Times New Roman" w:hAnsi="Times New Roman" w:cs="Times New Roman"/>
          <w:sz w:val="24"/>
          <w:szCs w:val="24"/>
        </w:rPr>
      </w:pPr>
    </w:p>
    <w:p w14:paraId="26D53435"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X. De Sacerdotum et Militum Pompa. </w:t>
      </w:r>
    </w:p>
    <w:p w14:paraId="5C409BE9"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[1] Solemni nuptiarum die ex omnibus Coenobiis et venerandis locis sacerdotum collegia omne genus convocata quibus urbs lustraretur. </w:t>
      </w:r>
      <w:r w:rsidRPr="00096909">
        <w:rPr>
          <w:rFonts w:ascii="Times New Roman" w:hAnsi="Times New Roman" w:cs="Times New Roman"/>
          <w:sz w:val="24"/>
          <w:szCs w:val="24"/>
          <w:lang w:val="en-US"/>
        </w:rPr>
        <w:t xml:space="preserve">Supplicationes per totam urbem indictae. Deinde omnes in seriem dispositi cum christianae unitatis vexillo, </w:t>
      </w:r>
      <w:r>
        <w:rPr>
          <w:rFonts w:ascii="Times New Roman" w:hAnsi="Times New Roman" w:cs="Times New Roman"/>
          <w:sz w:val="24"/>
          <w:szCs w:val="24"/>
          <w:lang w:val="en-US"/>
        </w:rPr>
        <w:t>t</w:t>
      </w:r>
      <w:r w:rsidRPr="00096909">
        <w:rPr>
          <w:rFonts w:ascii="Times New Roman" w:hAnsi="Times New Roman" w:cs="Times New Roman"/>
          <w:sz w:val="24"/>
          <w:szCs w:val="24"/>
          <w:lang w:val="en-US"/>
        </w:rPr>
        <w:t xml:space="preserve">hensis, </w:t>
      </w:r>
      <w:r>
        <w:rPr>
          <w:rFonts w:ascii="Times New Roman" w:hAnsi="Times New Roman" w:cs="Times New Roman"/>
          <w:sz w:val="24"/>
          <w:szCs w:val="24"/>
          <w:lang w:val="en-US"/>
        </w:rPr>
        <w:t>i</w:t>
      </w:r>
      <w:r w:rsidRPr="00096909">
        <w:rPr>
          <w:rFonts w:ascii="Times New Roman" w:hAnsi="Times New Roman" w:cs="Times New Roman"/>
          <w:sz w:val="24"/>
          <w:szCs w:val="24"/>
          <w:lang w:val="en-US"/>
        </w:rPr>
        <w:t xml:space="preserve">maginibus, </w:t>
      </w:r>
      <w:r>
        <w:rPr>
          <w:rFonts w:ascii="Times New Roman" w:hAnsi="Times New Roman" w:cs="Times New Roman"/>
          <w:sz w:val="24"/>
          <w:szCs w:val="24"/>
          <w:lang w:val="en-US"/>
        </w:rPr>
        <w:t>c</w:t>
      </w:r>
      <w:r w:rsidRPr="00096909">
        <w:rPr>
          <w:rFonts w:ascii="Times New Roman" w:hAnsi="Times New Roman" w:cs="Times New Roman"/>
          <w:sz w:val="24"/>
          <w:szCs w:val="24"/>
          <w:lang w:val="en-US"/>
        </w:rPr>
        <w:t xml:space="preserve">andelabris, </w:t>
      </w:r>
      <w:r>
        <w:rPr>
          <w:rFonts w:ascii="Times New Roman" w:hAnsi="Times New Roman" w:cs="Times New Roman"/>
          <w:sz w:val="24"/>
          <w:szCs w:val="24"/>
          <w:lang w:val="en-US"/>
        </w:rPr>
        <w:t>l</w:t>
      </w:r>
      <w:r w:rsidRPr="00096909">
        <w:rPr>
          <w:rFonts w:ascii="Times New Roman" w:hAnsi="Times New Roman" w:cs="Times New Roman"/>
          <w:sz w:val="24"/>
          <w:szCs w:val="24"/>
          <w:lang w:val="en-US"/>
        </w:rPr>
        <w:t xml:space="preserve">ibatoriis, </w:t>
      </w:r>
      <w:r>
        <w:rPr>
          <w:rFonts w:ascii="Times New Roman" w:hAnsi="Times New Roman" w:cs="Times New Roman"/>
          <w:sz w:val="24"/>
          <w:szCs w:val="24"/>
          <w:lang w:val="en-US"/>
        </w:rPr>
        <w:t>v</w:t>
      </w:r>
      <w:r w:rsidRPr="00096909">
        <w:rPr>
          <w:rFonts w:ascii="Times New Roman" w:hAnsi="Times New Roman" w:cs="Times New Roman"/>
          <w:sz w:val="24"/>
          <w:szCs w:val="24"/>
          <w:lang w:val="en-US"/>
        </w:rPr>
        <w:t xml:space="preserve">asis argenteis aureisque,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oderibus, et reliquis vestibus sacris ab Arce ad arcum pompam continuarunt. Tanta fuit eo die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ontificum,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rothonotariorum, </w:t>
      </w:r>
      <w:r>
        <w:rPr>
          <w:rFonts w:ascii="Times New Roman" w:hAnsi="Times New Roman" w:cs="Times New Roman"/>
          <w:sz w:val="24"/>
          <w:szCs w:val="24"/>
          <w:lang w:val="en-US"/>
        </w:rPr>
        <w:t>a</w:t>
      </w:r>
      <w:r w:rsidRPr="00096909">
        <w:rPr>
          <w:rFonts w:ascii="Times New Roman" w:hAnsi="Times New Roman" w:cs="Times New Roman"/>
          <w:sz w:val="24"/>
          <w:szCs w:val="24"/>
          <w:lang w:val="en-US"/>
        </w:rPr>
        <w:t xml:space="preserve">bbatum,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astophoiorum, </w:t>
      </w:r>
      <w:r>
        <w:rPr>
          <w:rFonts w:ascii="Times New Roman" w:hAnsi="Times New Roman" w:cs="Times New Roman"/>
          <w:sz w:val="24"/>
          <w:szCs w:val="24"/>
          <w:lang w:val="en-US"/>
        </w:rPr>
        <w:t>s</w:t>
      </w:r>
      <w:r w:rsidRPr="00096909">
        <w:rPr>
          <w:rFonts w:ascii="Times New Roman" w:hAnsi="Times New Roman" w:cs="Times New Roman"/>
          <w:sz w:val="24"/>
          <w:szCs w:val="24"/>
          <w:lang w:val="en-US"/>
        </w:rPr>
        <w:t xml:space="preserve">acerdotum, </w:t>
      </w:r>
      <w:r>
        <w:rPr>
          <w:rFonts w:ascii="Times New Roman" w:hAnsi="Times New Roman" w:cs="Times New Roman"/>
          <w:sz w:val="24"/>
          <w:szCs w:val="24"/>
          <w:lang w:val="en-US"/>
        </w:rPr>
        <w:t>l</w:t>
      </w:r>
      <w:r w:rsidRPr="00096909">
        <w:rPr>
          <w:rFonts w:ascii="Times New Roman" w:hAnsi="Times New Roman" w:cs="Times New Roman"/>
          <w:sz w:val="24"/>
          <w:szCs w:val="24"/>
          <w:lang w:val="en-US"/>
        </w:rPr>
        <w:t xml:space="preserve">evitarum, </w:t>
      </w:r>
      <w:r>
        <w:rPr>
          <w:rFonts w:ascii="Times New Roman" w:hAnsi="Times New Roman" w:cs="Times New Roman"/>
          <w:sz w:val="24"/>
          <w:szCs w:val="24"/>
          <w:lang w:val="en-US"/>
        </w:rPr>
        <w:t>h</w:t>
      </w:r>
      <w:r w:rsidRPr="00096909">
        <w:rPr>
          <w:rFonts w:ascii="Times New Roman" w:hAnsi="Times New Roman" w:cs="Times New Roman"/>
          <w:sz w:val="24"/>
          <w:szCs w:val="24"/>
          <w:lang w:val="en-US"/>
        </w:rPr>
        <w:t xml:space="preserve">ypodiaconorum, religiosorumque aliorum multitudo praetereunte principe </w:t>
      </w:r>
      <w:r w:rsidRPr="00096909">
        <w:rPr>
          <w:rFonts w:ascii="Times New Roman" w:hAnsi="Times New Roman" w:cs="Times New Roman"/>
          <w:i/>
          <w:sz w:val="24"/>
          <w:szCs w:val="24"/>
          <w:lang w:val="en-US"/>
        </w:rPr>
        <w:t>Te Deum laudamus</w:t>
      </w:r>
      <w:r w:rsidRPr="00096909">
        <w:rPr>
          <w:rFonts w:ascii="Times New Roman" w:hAnsi="Times New Roman" w:cs="Times New Roman"/>
          <w:sz w:val="24"/>
          <w:szCs w:val="24"/>
          <w:lang w:val="en-US"/>
        </w:rPr>
        <w:t xml:space="preserve"> alternis concinentium. </w:t>
      </w:r>
    </w:p>
    <w:p w14:paraId="35AA1E8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[2] Ab alia parte eodem ordine dispositi militum ordines,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rincipes, </w:t>
      </w:r>
      <w:r>
        <w:rPr>
          <w:rFonts w:ascii="Times New Roman" w:hAnsi="Times New Roman" w:cs="Times New Roman"/>
          <w:sz w:val="24"/>
          <w:szCs w:val="24"/>
          <w:lang w:val="en-US"/>
        </w:rPr>
        <w:t>h</w:t>
      </w:r>
      <w:r w:rsidRPr="00096909">
        <w:rPr>
          <w:rFonts w:ascii="Times New Roman" w:hAnsi="Times New Roman" w:cs="Times New Roman"/>
          <w:sz w:val="24"/>
          <w:szCs w:val="24"/>
          <w:lang w:val="en-US"/>
        </w:rPr>
        <w:t xml:space="preserve">astati, </w:t>
      </w:r>
      <w:r>
        <w:rPr>
          <w:rFonts w:ascii="Times New Roman" w:hAnsi="Times New Roman" w:cs="Times New Roman"/>
          <w:sz w:val="24"/>
          <w:szCs w:val="24"/>
          <w:lang w:val="en-US"/>
        </w:rPr>
        <w:t>t</w:t>
      </w:r>
      <w:r w:rsidRPr="00096909">
        <w:rPr>
          <w:rFonts w:ascii="Times New Roman" w:hAnsi="Times New Roman" w:cs="Times New Roman"/>
          <w:sz w:val="24"/>
          <w:szCs w:val="24"/>
          <w:lang w:val="en-US"/>
        </w:rPr>
        <w:t xml:space="preserve">riarii, </w:t>
      </w:r>
      <w:r>
        <w:rPr>
          <w:rFonts w:ascii="Times New Roman" w:hAnsi="Times New Roman" w:cs="Times New Roman"/>
          <w:sz w:val="24"/>
          <w:szCs w:val="24"/>
          <w:lang w:val="en-US"/>
        </w:rPr>
        <w:t>f</w:t>
      </w:r>
      <w:r w:rsidRPr="00096909">
        <w:rPr>
          <w:rFonts w:ascii="Times New Roman" w:hAnsi="Times New Roman" w:cs="Times New Roman"/>
          <w:sz w:val="24"/>
          <w:szCs w:val="24"/>
          <w:lang w:val="en-US"/>
        </w:rPr>
        <w:t xml:space="preserve">erentarii, </w:t>
      </w:r>
      <w:r>
        <w:rPr>
          <w:rFonts w:ascii="Times New Roman" w:hAnsi="Times New Roman" w:cs="Times New Roman"/>
          <w:sz w:val="24"/>
          <w:szCs w:val="24"/>
          <w:lang w:val="en-US"/>
        </w:rPr>
        <w:t>a</w:t>
      </w:r>
      <w:r w:rsidRPr="00096909">
        <w:rPr>
          <w:rFonts w:ascii="Times New Roman" w:hAnsi="Times New Roman" w:cs="Times New Roman"/>
          <w:sz w:val="24"/>
          <w:szCs w:val="24"/>
          <w:lang w:val="en-US"/>
        </w:rPr>
        <w:t xml:space="preserve">ntesignani, </w:t>
      </w:r>
      <w:r>
        <w:rPr>
          <w:rFonts w:ascii="Times New Roman" w:hAnsi="Times New Roman" w:cs="Times New Roman"/>
          <w:sz w:val="24"/>
          <w:szCs w:val="24"/>
          <w:lang w:val="en-US"/>
        </w:rPr>
        <w:t>c</w:t>
      </w:r>
      <w:r w:rsidRPr="00096909">
        <w:rPr>
          <w:rFonts w:ascii="Times New Roman" w:hAnsi="Times New Roman" w:cs="Times New Roman"/>
          <w:sz w:val="24"/>
          <w:szCs w:val="24"/>
          <w:lang w:val="en-US"/>
        </w:rPr>
        <w:t xml:space="preserve">enturiones, </w:t>
      </w:r>
      <w:r>
        <w:rPr>
          <w:rFonts w:ascii="Times New Roman" w:hAnsi="Times New Roman" w:cs="Times New Roman"/>
          <w:sz w:val="24"/>
          <w:szCs w:val="24"/>
          <w:lang w:val="en-US"/>
        </w:rPr>
        <w:t>t</w:t>
      </w:r>
      <w:r w:rsidRPr="00096909">
        <w:rPr>
          <w:rFonts w:ascii="Times New Roman" w:hAnsi="Times New Roman" w:cs="Times New Roman"/>
          <w:sz w:val="24"/>
          <w:szCs w:val="24"/>
          <w:lang w:val="en-US"/>
        </w:rPr>
        <w:t xml:space="preserve">ribuni,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rimipili, iaculatores, </w:t>
      </w:r>
      <w:r>
        <w:rPr>
          <w:rFonts w:ascii="Times New Roman" w:hAnsi="Times New Roman" w:cs="Times New Roman"/>
          <w:sz w:val="24"/>
          <w:szCs w:val="24"/>
          <w:lang w:val="en-US"/>
        </w:rPr>
        <w:t>s</w:t>
      </w:r>
      <w:r w:rsidRPr="00096909">
        <w:rPr>
          <w:rFonts w:ascii="Times New Roman" w:hAnsi="Times New Roman" w:cs="Times New Roman"/>
          <w:sz w:val="24"/>
          <w:szCs w:val="24"/>
          <w:lang w:val="en-US"/>
        </w:rPr>
        <w:t xml:space="preserve">agyptarii, </w:t>
      </w:r>
      <w:r>
        <w:rPr>
          <w:rFonts w:ascii="Times New Roman" w:hAnsi="Times New Roman" w:cs="Times New Roman"/>
          <w:sz w:val="24"/>
          <w:szCs w:val="24"/>
          <w:lang w:val="en-US"/>
        </w:rPr>
        <w:t>f</w:t>
      </w:r>
      <w:r w:rsidRPr="00096909">
        <w:rPr>
          <w:rFonts w:ascii="Times New Roman" w:hAnsi="Times New Roman" w:cs="Times New Roman"/>
          <w:sz w:val="24"/>
          <w:szCs w:val="24"/>
          <w:lang w:val="en-US"/>
        </w:rPr>
        <w:t xml:space="preserve">unditores, </w:t>
      </w:r>
      <w:r>
        <w:rPr>
          <w:rFonts w:ascii="Times New Roman" w:hAnsi="Times New Roman" w:cs="Times New Roman"/>
          <w:sz w:val="24"/>
          <w:szCs w:val="24"/>
          <w:lang w:val="en-US"/>
        </w:rPr>
        <w:t>b</w:t>
      </w:r>
      <w:r w:rsidRPr="00096909">
        <w:rPr>
          <w:rFonts w:ascii="Times New Roman" w:hAnsi="Times New Roman" w:cs="Times New Roman"/>
          <w:sz w:val="24"/>
          <w:szCs w:val="24"/>
          <w:lang w:val="en-US"/>
        </w:rPr>
        <w:t xml:space="preserve">alistarii, </w:t>
      </w:r>
      <w:r>
        <w:rPr>
          <w:rFonts w:ascii="Times New Roman" w:hAnsi="Times New Roman" w:cs="Times New Roman"/>
          <w:sz w:val="24"/>
          <w:szCs w:val="24"/>
          <w:lang w:val="en-US"/>
        </w:rPr>
        <w:t>s</w:t>
      </w:r>
      <w:r w:rsidRPr="00096909">
        <w:rPr>
          <w:rFonts w:ascii="Times New Roman" w:hAnsi="Times New Roman" w:cs="Times New Roman"/>
          <w:sz w:val="24"/>
          <w:szCs w:val="24"/>
          <w:lang w:val="en-US"/>
        </w:rPr>
        <w:t xml:space="preserve">corpionarii, </w:t>
      </w:r>
      <w:r>
        <w:rPr>
          <w:rFonts w:ascii="Times New Roman" w:hAnsi="Times New Roman" w:cs="Times New Roman"/>
          <w:sz w:val="24"/>
          <w:szCs w:val="24"/>
          <w:lang w:val="en-US"/>
        </w:rPr>
        <w:t>d</w:t>
      </w:r>
      <w:r w:rsidRPr="00096909">
        <w:rPr>
          <w:rFonts w:ascii="Times New Roman" w:hAnsi="Times New Roman" w:cs="Times New Roman"/>
          <w:sz w:val="24"/>
          <w:szCs w:val="24"/>
          <w:lang w:val="en-US"/>
        </w:rPr>
        <w:t xml:space="preserve">ecuriones, </w:t>
      </w:r>
      <w:r>
        <w:rPr>
          <w:rFonts w:ascii="Times New Roman" w:hAnsi="Times New Roman" w:cs="Times New Roman"/>
          <w:sz w:val="24"/>
          <w:szCs w:val="24"/>
          <w:lang w:val="en-US"/>
        </w:rPr>
        <w:t>v</w:t>
      </w:r>
      <w:r w:rsidRPr="00096909">
        <w:rPr>
          <w:rFonts w:ascii="Times New Roman" w:hAnsi="Times New Roman" w:cs="Times New Roman"/>
          <w:sz w:val="24"/>
          <w:szCs w:val="24"/>
          <w:lang w:val="en-US"/>
        </w:rPr>
        <w:t xml:space="preserve">elites, </w:t>
      </w:r>
      <w:r>
        <w:rPr>
          <w:rFonts w:ascii="Times New Roman" w:hAnsi="Times New Roman" w:cs="Times New Roman"/>
          <w:sz w:val="24"/>
          <w:szCs w:val="24"/>
          <w:lang w:val="en-US"/>
        </w:rPr>
        <w:t>g</w:t>
      </w:r>
      <w:r w:rsidRPr="00096909">
        <w:rPr>
          <w:rFonts w:ascii="Times New Roman" w:hAnsi="Times New Roman" w:cs="Times New Roman"/>
          <w:sz w:val="24"/>
          <w:szCs w:val="24"/>
          <w:lang w:val="en-US"/>
        </w:rPr>
        <w:t xml:space="preserve">raecanico habitu </w:t>
      </w:r>
      <w:r>
        <w:rPr>
          <w:rFonts w:ascii="Times New Roman" w:hAnsi="Times New Roman" w:cs="Times New Roman"/>
          <w:sz w:val="24"/>
          <w:szCs w:val="24"/>
          <w:lang w:val="en-US"/>
        </w:rPr>
        <w:t>s</w:t>
      </w:r>
      <w:r w:rsidRPr="00096909">
        <w:rPr>
          <w:rFonts w:ascii="Times New Roman" w:hAnsi="Times New Roman" w:cs="Times New Roman"/>
          <w:sz w:val="24"/>
          <w:szCs w:val="24"/>
          <w:lang w:val="en-US"/>
        </w:rPr>
        <w:t xml:space="preserve">tratiotae, catafracti equites et scutati ac galeis ocreisque muniti. </w:t>
      </w:r>
      <w:r w:rsidRPr="00096909">
        <w:rPr>
          <w:rFonts w:ascii="Times New Roman" w:hAnsi="Times New Roman" w:cs="Times New Roman"/>
          <w:sz w:val="24"/>
          <w:szCs w:val="24"/>
        </w:rPr>
        <w:t xml:space="preserve">Armorumque horrore tubarumque sonitu omnia trepidabant. </w:t>
      </w:r>
    </w:p>
    <w:p w14:paraId="5A60DAB5" w14:textId="77777777" w:rsidR="00B92BCD" w:rsidRPr="00096909" w:rsidRDefault="00B92BCD" w:rsidP="00B92BCD">
      <w:pPr>
        <w:spacing w:line="360" w:lineRule="auto"/>
        <w:jc w:val="both"/>
        <w:rPr>
          <w:rFonts w:ascii="Times New Roman" w:hAnsi="Times New Roman" w:cs="Times New Roman"/>
          <w:sz w:val="24"/>
          <w:szCs w:val="24"/>
        </w:rPr>
      </w:pPr>
    </w:p>
    <w:p w14:paraId="50B33329"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XI. De Principis Egressu et Comitatu.</w:t>
      </w:r>
    </w:p>
    <w:p w14:paraId="05BE8AD5"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His summo mane ita preparatis, hora circiter </w:t>
      </w:r>
      <w:r>
        <w:rPr>
          <w:rFonts w:ascii="Times New Roman" w:hAnsi="Times New Roman" w:cs="Times New Roman"/>
          <w:sz w:val="24"/>
          <w:szCs w:val="24"/>
        </w:rPr>
        <w:t>s</w:t>
      </w:r>
      <w:r w:rsidRPr="00096909">
        <w:rPr>
          <w:rFonts w:ascii="Times New Roman" w:hAnsi="Times New Roman" w:cs="Times New Roman"/>
          <w:sz w:val="24"/>
          <w:szCs w:val="24"/>
        </w:rPr>
        <w:t xml:space="preserve">exta eius diei quo Virgo Mater Christum Simeoni statuit, Quarto nonas Februarii in phaleratis equis conspicui principes arcis portam egressi obviae umbrellae (ut dixi) umbraculum subeunt. Ante principem </w:t>
      </w:r>
      <w:r>
        <w:rPr>
          <w:rFonts w:ascii="Times New Roman" w:hAnsi="Times New Roman" w:cs="Times New Roman"/>
          <w:sz w:val="24"/>
          <w:szCs w:val="24"/>
        </w:rPr>
        <w:t>i</w:t>
      </w:r>
      <w:r w:rsidRPr="00096909">
        <w:rPr>
          <w:rFonts w:ascii="Times New Roman" w:hAnsi="Times New Roman" w:cs="Times New Roman"/>
          <w:sz w:val="24"/>
          <w:szCs w:val="24"/>
        </w:rPr>
        <w:t xml:space="preserve">nclytus Lodovicus, vultu regio, maturitate senili, ditissima veste et spumanti equo mirabilis incedebat. Princeps ipse aurea clamide margaritarum fulgenti textu bacata et grandi unione ex collo dependente qualem numquam Cleopatram habuisse credimus, cum Elysabella forma et habitu pari, virginum choro subsequente, sub eadem umbellae </w:t>
      </w:r>
      <w:r>
        <w:rPr>
          <w:rFonts w:ascii="Times New Roman" w:hAnsi="Times New Roman" w:cs="Times New Roman"/>
          <w:sz w:val="24"/>
          <w:szCs w:val="24"/>
        </w:rPr>
        <w:t>s</w:t>
      </w:r>
      <w:r w:rsidRPr="00096909">
        <w:rPr>
          <w:rFonts w:ascii="Times New Roman" w:hAnsi="Times New Roman" w:cs="Times New Roman"/>
          <w:sz w:val="24"/>
          <w:szCs w:val="24"/>
        </w:rPr>
        <w:t>cena ferebantur.</w:t>
      </w:r>
    </w:p>
    <w:p w14:paraId="79E0C62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 Imperii gladio, idest Iusticiae oculo praeeunte, Hermes Magnanimi Ducis, generosae indolis frater, caeteraque </w:t>
      </w:r>
      <w:r>
        <w:rPr>
          <w:rFonts w:ascii="Times New Roman" w:hAnsi="Times New Roman" w:cs="Times New Roman"/>
          <w:sz w:val="24"/>
          <w:szCs w:val="24"/>
        </w:rPr>
        <w:t>p</w:t>
      </w:r>
      <w:r w:rsidRPr="00096909">
        <w:rPr>
          <w:rFonts w:ascii="Times New Roman" w:hAnsi="Times New Roman" w:cs="Times New Roman"/>
          <w:sz w:val="24"/>
          <w:szCs w:val="24"/>
        </w:rPr>
        <w:t xml:space="preserve">rocerum, </w:t>
      </w:r>
      <w:r>
        <w:rPr>
          <w:rFonts w:ascii="Times New Roman" w:hAnsi="Times New Roman" w:cs="Times New Roman"/>
          <w:sz w:val="24"/>
          <w:szCs w:val="24"/>
        </w:rPr>
        <w:t>o</w:t>
      </w:r>
      <w:r w:rsidRPr="00096909">
        <w:rPr>
          <w:rFonts w:ascii="Times New Roman" w:hAnsi="Times New Roman" w:cs="Times New Roman"/>
          <w:sz w:val="24"/>
          <w:szCs w:val="24"/>
        </w:rPr>
        <w:t xml:space="preserve">ratorum, </w:t>
      </w:r>
      <w:r>
        <w:rPr>
          <w:rFonts w:ascii="Times New Roman" w:hAnsi="Times New Roman" w:cs="Times New Roman"/>
          <w:sz w:val="24"/>
          <w:szCs w:val="24"/>
        </w:rPr>
        <w:t>r</w:t>
      </w:r>
      <w:r w:rsidRPr="00096909">
        <w:rPr>
          <w:rFonts w:ascii="Times New Roman" w:hAnsi="Times New Roman" w:cs="Times New Roman"/>
          <w:sz w:val="24"/>
          <w:szCs w:val="24"/>
        </w:rPr>
        <w:t xml:space="preserve">egulorum, </w:t>
      </w:r>
      <w:r>
        <w:rPr>
          <w:rFonts w:ascii="Times New Roman" w:hAnsi="Times New Roman" w:cs="Times New Roman"/>
          <w:sz w:val="24"/>
          <w:szCs w:val="24"/>
        </w:rPr>
        <w:t>c</w:t>
      </w:r>
      <w:r w:rsidRPr="00096909">
        <w:rPr>
          <w:rFonts w:ascii="Times New Roman" w:hAnsi="Times New Roman" w:cs="Times New Roman"/>
          <w:sz w:val="24"/>
          <w:szCs w:val="24"/>
        </w:rPr>
        <w:t xml:space="preserve">omitum, </w:t>
      </w:r>
      <w:r>
        <w:rPr>
          <w:rFonts w:ascii="Times New Roman" w:hAnsi="Times New Roman" w:cs="Times New Roman"/>
          <w:sz w:val="24"/>
          <w:szCs w:val="24"/>
        </w:rPr>
        <w:t>m</w:t>
      </w:r>
      <w:r w:rsidRPr="00096909">
        <w:rPr>
          <w:rFonts w:ascii="Times New Roman" w:hAnsi="Times New Roman" w:cs="Times New Roman"/>
          <w:sz w:val="24"/>
          <w:szCs w:val="24"/>
        </w:rPr>
        <w:t xml:space="preserve">archionum, </w:t>
      </w:r>
      <w:r>
        <w:rPr>
          <w:rFonts w:ascii="Times New Roman" w:hAnsi="Times New Roman" w:cs="Times New Roman"/>
          <w:sz w:val="24"/>
          <w:szCs w:val="24"/>
        </w:rPr>
        <w:t>e</w:t>
      </w:r>
      <w:r w:rsidRPr="00096909">
        <w:rPr>
          <w:rFonts w:ascii="Times New Roman" w:hAnsi="Times New Roman" w:cs="Times New Roman"/>
          <w:sz w:val="24"/>
          <w:szCs w:val="24"/>
        </w:rPr>
        <w:t xml:space="preserve">quitum, </w:t>
      </w:r>
      <w:r>
        <w:rPr>
          <w:rFonts w:ascii="Times New Roman" w:hAnsi="Times New Roman" w:cs="Times New Roman"/>
          <w:sz w:val="24"/>
          <w:szCs w:val="24"/>
        </w:rPr>
        <w:t>c</w:t>
      </w:r>
      <w:r w:rsidRPr="00096909">
        <w:rPr>
          <w:rFonts w:ascii="Times New Roman" w:hAnsi="Times New Roman" w:cs="Times New Roman"/>
          <w:sz w:val="24"/>
          <w:szCs w:val="24"/>
        </w:rPr>
        <w:t xml:space="preserve">onsiliariorum, </w:t>
      </w:r>
      <w:r>
        <w:rPr>
          <w:rFonts w:ascii="Times New Roman" w:hAnsi="Times New Roman" w:cs="Times New Roman"/>
          <w:sz w:val="24"/>
          <w:szCs w:val="24"/>
        </w:rPr>
        <w:t>m</w:t>
      </w:r>
      <w:r w:rsidRPr="00096909">
        <w:rPr>
          <w:rFonts w:ascii="Times New Roman" w:hAnsi="Times New Roman" w:cs="Times New Roman"/>
          <w:sz w:val="24"/>
          <w:szCs w:val="24"/>
        </w:rPr>
        <w:t xml:space="preserve">agistratuum, </w:t>
      </w:r>
      <w:r>
        <w:rPr>
          <w:rFonts w:ascii="Times New Roman" w:hAnsi="Times New Roman" w:cs="Times New Roman"/>
          <w:sz w:val="24"/>
          <w:szCs w:val="24"/>
        </w:rPr>
        <w:t>a</w:t>
      </w:r>
      <w:r w:rsidRPr="00096909">
        <w:rPr>
          <w:rFonts w:ascii="Times New Roman" w:hAnsi="Times New Roman" w:cs="Times New Roman"/>
          <w:sz w:val="24"/>
          <w:szCs w:val="24"/>
        </w:rPr>
        <w:t xml:space="preserve">ulicorum multitudo veneranda praecedebat. Longus etiam ordo pone sequebatur. Umbellam hastis pictis pendentem </w:t>
      </w:r>
      <w:r>
        <w:rPr>
          <w:rFonts w:ascii="Times New Roman" w:hAnsi="Times New Roman" w:cs="Times New Roman"/>
          <w:sz w:val="24"/>
          <w:szCs w:val="24"/>
        </w:rPr>
        <w:t>m</w:t>
      </w:r>
      <w:r w:rsidRPr="00096909">
        <w:rPr>
          <w:rFonts w:ascii="Times New Roman" w:hAnsi="Times New Roman" w:cs="Times New Roman"/>
          <w:sz w:val="24"/>
          <w:szCs w:val="24"/>
        </w:rPr>
        <w:t xml:space="preserve">edici </w:t>
      </w:r>
      <w:r>
        <w:rPr>
          <w:rFonts w:ascii="Times New Roman" w:hAnsi="Times New Roman" w:cs="Times New Roman"/>
          <w:sz w:val="24"/>
          <w:szCs w:val="24"/>
        </w:rPr>
        <w:t>s</w:t>
      </w:r>
      <w:r w:rsidRPr="00096909">
        <w:rPr>
          <w:rFonts w:ascii="Times New Roman" w:hAnsi="Times New Roman" w:cs="Times New Roman"/>
          <w:sz w:val="24"/>
          <w:szCs w:val="24"/>
        </w:rPr>
        <w:t xml:space="preserve">olemni </w:t>
      </w:r>
      <w:r>
        <w:rPr>
          <w:rFonts w:ascii="Times New Roman" w:hAnsi="Times New Roman" w:cs="Times New Roman"/>
          <w:sz w:val="24"/>
          <w:szCs w:val="24"/>
        </w:rPr>
        <w:t>p</w:t>
      </w:r>
      <w:r w:rsidRPr="00096909">
        <w:rPr>
          <w:rFonts w:ascii="Times New Roman" w:hAnsi="Times New Roman" w:cs="Times New Roman"/>
          <w:sz w:val="24"/>
          <w:szCs w:val="24"/>
        </w:rPr>
        <w:t xml:space="preserve">eoniae artis habitu ad arcem primi appraehenderunt. </w:t>
      </w:r>
    </w:p>
    <w:p w14:paraId="3F1F7A0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Innumera fuit confluentis concursantisque populi colluvio ut multi in turba sine laxamento pene colliderentur. </w:t>
      </w:r>
      <w:r w:rsidRPr="00096909">
        <w:rPr>
          <w:rFonts w:ascii="Times New Roman" w:hAnsi="Times New Roman" w:cs="Times New Roman"/>
          <w:sz w:val="24"/>
          <w:szCs w:val="24"/>
          <w:lang w:val="en-US"/>
        </w:rPr>
        <w:t xml:space="preserve">Omnes viae ludis, strepitu, plausibus, cantu personabant. </w:t>
      </w:r>
      <w:r w:rsidRPr="00096909">
        <w:rPr>
          <w:rFonts w:ascii="Times New Roman" w:hAnsi="Times New Roman" w:cs="Times New Roman"/>
          <w:sz w:val="24"/>
          <w:szCs w:val="24"/>
        </w:rPr>
        <w:t xml:space="preserve">Organa, tympana, cymbala, sistra, crotala, passim audiebantur. </w:t>
      </w:r>
    </w:p>
    <w:p w14:paraId="359A0623"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Ab ipsa arce usque ad templum omnia loca viris mulieribusque acervatim infessa tabernae, podia, fenestrae, moeniana, officinae, thuaria, tegulae, logia, speculae, hyperthyra, valvae, limina, pendenti, aut semiconspicuo spectatorum fartim occupata. Aditus omnes lacunaria, substillicidia, tecta agminatim constipata.</w:t>
      </w:r>
      <w:r w:rsidRPr="00096909">
        <w:rPr>
          <w:rStyle w:val="Rimandonotaapidipagina"/>
          <w:rFonts w:ascii="Times New Roman" w:hAnsi="Times New Roman" w:cs="Times New Roman"/>
          <w:sz w:val="24"/>
          <w:szCs w:val="24"/>
        </w:rPr>
        <w:footnoteReference w:id="971"/>
      </w:r>
    </w:p>
    <w:p w14:paraId="70EA3624"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[3] Ubi ad arcum faustis acclamationibus perventum est matronae circiter quadrigentae, Insubriae et Liguriae nobilitatis flos, aureis sericisque vestibus fulgentes, auro, gemmis, margaritis, opertae, quas per crines modo in nodum collectos, modo per niveam cervicem et lactea colla diffusos nonnumquam in </w:t>
      </w:r>
      <w:r>
        <w:rPr>
          <w:rFonts w:ascii="Times New Roman" w:hAnsi="Times New Roman" w:cs="Times New Roman"/>
          <w:sz w:val="24"/>
          <w:szCs w:val="24"/>
        </w:rPr>
        <w:t>s</w:t>
      </w:r>
      <w:r w:rsidRPr="00096909">
        <w:rPr>
          <w:rFonts w:ascii="Times New Roman" w:hAnsi="Times New Roman" w:cs="Times New Roman"/>
          <w:sz w:val="24"/>
          <w:szCs w:val="24"/>
        </w:rPr>
        <w:t xml:space="preserve">piram conglobatos decenter distinxerant, omni tunc muliebri mundo augustiores, ex proxima curia obviae Elysabellam reverenter excipiunt </w:t>
      </w:r>
      <w:r>
        <w:rPr>
          <w:rFonts w:ascii="Times New Roman" w:hAnsi="Times New Roman" w:cs="Times New Roman"/>
          <w:sz w:val="24"/>
          <w:szCs w:val="24"/>
        </w:rPr>
        <w:t>r</w:t>
      </w:r>
      <w:r w:rsidRPr="00096909">
        <w:rPr>
          <w:rFonts w:ascii="Times New Roman" w:hAnsi="Times New Roman" w:cs="Times New Roman"/>
          <w:sz w:val="24"/>
          <w:szCs w:val="24"/>
        </w:rPr>
        <w:t xml:space="preserve">eginamque consalutant; deide pulcherrimi agminis media statuentes, dearum coetum nobis repraesentarunt. </w:t>
      </w:r>
    </w:p>
    <w:p w14:paraId="642C0394"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Castam Dianam et </w:t>
      </w:r>
      <w:r>
        <w:rPr>
          <w:rFonts w:ascii="Times New Roman" w:hAnsi="Times New Roman" w:cs="Times New Roman"/>
          <w:sz w:val="24"/>
          <w:szCs w:val="24"/>
        </w:rPr>
        <w:t>n</w:t>
      </w:r>
      <w:r w:rsidRPr="00096909">
        <w:rPr>
          <w:rFonts w:ascii="Times New Roman" w:hAnsi="Times New Roman" w:cs="Times New Roman"/>
          <w:sz w:val="24"/>
          <w:szCs w:val="24"/>
        </w:rPr>
        <w:t xml:space="preserve">ymphas venatoriis saltibus renunciasse, si tam austera aut aream Venerem, cum gratiis et </w:t>
      </w:r>
      <w:r>
        <w:rPr>
          <w:rFonts w:ascii="Times New Roman" w:hAnsi="Times New Roman" w:cs="Times New Roman"/>
          <w:sz w:val="24"/>
          <w:szCs w:val="24"/>
        </w:rPr>
        <w:t>H</w:t>
      </w:r>
      <w:r w:rsidRPr="00096909">
        <w:rPr>
          <w:rFonts w:ascii="Times New Roman" w:hAnsi="Times New Roman" w:cs="Times New Roman"/>
          <w:sz w:val="24"/>
          <w:szCs w:val="24"/>
        </w:rPr>
        <w:t xml:space="preserve">oris renidentibus promicanti nymbo caelum deferisse, si tam lasciva, crederes. Iurisperiti autem in purpura et auro ardentes umbellae Thyrsis manu aprehensis suis pertibus functi sunt.  </w:t>
      </w:r>
    </w:p>
    <w:p w14:paraId="07923264"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Reliqui, ex equis desilire iussi, Francisci gloriam in arcu contemplati, per columnatum septum principes sub Sphaeristeriom deduxerunt, qui pro foribus phani relictis equis summa cum veneration templum ingrediuntur, sub </w:t>
      </w:r>
      <w:r>
        <w:rPr>
          <w:rFonts w:ascii="Times New Roman" w:hAnsi="Times New Roman" w:cs="Times New Roman"/>
          <w:sz w:val="24"/>
          <w:szCs w:val="24"/>
        </w:rPr>
        <w:t>t</w:t>
      </w:r>
      <w:r w:rsidRPr="00096909">
        <w:rPr>
          <w:rFonts w:ascii="Times New Roman" w:hAnsi="Times New Roman" w:cs="Times New Roman"/>
          <w:sz w:val="24"/>
          <w:szCs w:val="24"/>
        </w:rPr>
        <w:t xml:space="preserve">opiario opera quod columnis utriusque XVII pulcherrimis arcuato tractu ab </w:t>
      </w:r>
      <w:r>
        <w:rPr>
          <w:rFonts w:ascii="Times New Roman" w:hAnsi="Times New Roman" w:cs="Times New Roman"/>
          <w:sz w:val="24"/>
          <w:szCs w:val="24"/>
        </w:rPr>
        <w:t>a</w:t>
      </w:r>
      <w:r w:rsidRPr="00096909">
        <w:rPr>
          <w:rFonts w:ascii="Times New Roman" w:hAnsi="Times New Roman" w:cs="Times New Roman"/>
          <w:sz w:val="24"/>
          <w:szCs w:val="24"/>
        </w:rPr>
        <w:t xml:space="preserve">ltaria producebatur, opus visu delectabile, atque arte expolitum, hederis et lauro historialem varietatem distinguentibus. </w:t>
      </w:r>
    </w:p>
    <w:p w14:paraId="0EA3CFD7" w14:textId="77777777" w:rsidR="00B92BCD" w:rsidRPr="00096909" w:rsidRDefault="00B92BCD" w:rsidP="00B92BCD">
      <w:pPr>
        <w:spacing w:line="360" w:lineRule="auto"/>
        <w:jc w:val="both"/>
        <w:rPr>
          <w:rFonts w:ascii="Times New Roman" w:hAnsi="Times New Roman" w:cs="Times New Roman"/>
          <w:sz w:val="24"/>
          <w:szCs w:val="24"/>
        </w:rPr>
      </w:pPr>
    </w:p>
    <w:p w14:paraId="3D6936B5"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XII. De Altaris et eius ornamento.</w:t>
      </w:r>
    </w:p>
    <w:p w14:paraId="0864A229"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[1] Altare quinque cubitis a terra aeductum in ea parte est constructum ubi vetus esse consuevit, inter secundum et tercium colunnarum ordinem, quibus in cyclum positis primus templi fornix sustinetur. </w:t>
      </w:r>
      <w:r w:rsidRPr="00096909">
        <w:rPr>
          <w:rFonts w:ascii="Times New Roman" w:hAnsi="Times New Roman" w:cs="Times New Roman"/>
          <w:sz w:val="24"/>
          <w:szCs w:val="24"/>
          <w:lang w:val="en-US"/>
        </w:rPr>
        <w:t xml:space="preserve">Vetus in aliam partem in penes translatum, </w:t>
      </w:r>
      <w:r>
        <w:rPr>
          <w:rFonts w:ascii="Times New Roman" w:hAnsi="Times New Roman" w:cs="Times New Roman"/>
          <w:sz w:val="24"/>
          <w:szCs w:val="24"/>
          <w:lang w:val="en-US"/>
        </w:rPr>
        <w:t>a</w:t>
      </w:r>
      <w:r w:rsidRPr="00096909">
        <w:rPr>
          <w:rFonts w:ascii="Times New Roman" w:hAnsi="Times New Roman" w:cs="Times New Roman"/>
          <w:sz w:val="24"/>
          <w:szCs w:val="24"/>
          <w:lang w:val="en-US"/>
        </w:rPr>
        <w:t xml:space="preserve">scensus molliter incipiebat a quattuor illis columnis marmoreis, quae magnitudine et robore aliis firmiores anceps templi fastigium, quod tugurium dicitur, olim sustinebant. Ubi multis passibus ad consessum quasi ad Theatridiom ascenderas, plano loco ad duos gradus perveniebatur, quibus leniter superatis exaequato lignei pontis tabulato, alium gradum offendebas, post quem, iterum plana area, ad littus altaris tribus gradibus erat accessus; bina utrisque lectisternia sub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apilionibus aureis principes exceperunt. </w:t>
      </w:r>
    </w:p>
    <w:p w14:paraId="17ADC1A9"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Scalae a tergo quindecim gradibus pavimentum contingentes ministrantibus acolytis serviebant, ad episcopi cerimonias et altaris necessaria, quod opibus tum divinis tum humanis opulentissimum eo die fuit. </w:t>
      </w:r>
    </w:p>
    <w:p w14:paraId="7FEB1DCC" w14:textId="77777777" w:rsidR="00B92BCD" w:rsidRPr="00096909" w:rsidRDefault="00B92BCD" w:rsidP="00B92BCD">
      <w:pPr>
        <w:spacing w:after="0"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lang w:val="en-US"/>
        </w:rPr>
        <w:t xml:space="preserve">[2] Supra altarem suggestus quidam quantum est inter secundas colonnas intercapedinis, gradibus septem maximis in angustum paulatim preminens obtuso angulo </w:t>
      </w:r>
      <w:r>
        <w:rPr>
          <w:rFonts w:ascii="Times New Roman" w:hAnsi="Times New Roman" w:cs="Times New Roman"/>
          <w:sz w:val="24"/>
          <w:szCs w:val="24"/>
          <w:lang w:val="en-US"/>
        </w:rPr>
        <w:t>a</w:t>
      </w:r>
      <w:r w:rsidRPr="00096909">
        <w:rPr>
          <w:rFonts w:ascii="Times New Roman" w:hAnsi="Times New Roman" w:cs="Times New Roman"/>
          <w:sz w:val="24"/>
          <w:szCs w:val="24"/>
          <w:lang w:val="en-US"/>
        </w:rPr>
        <w:t xml:space="preserve">picem acuebat. </w:t>
      </w:r>
      <w:r w:rsidRPr="00096909">
        <w:rPr>
          <w:rFonts w:ascii="Times New Roman" w:hAnsi="Times New Roman" w:cs="Times New Roman"/>
          <w:sz w:val="24"/>
          <w:szCs w:val="24"/>
        </w:rPr>
        <w:t xml:space="preserve">In hoc per loculamenta dispositus, non aerarii </w:t>
      </w:r>
      <w:r>
        <w:rPr>
          <w:rFonts w:ascii="Times New Roman" w:hAnsi="Times New Roman" w:cs="Times New Roman"/>
          <w:sz w:val="24"/>
          <w:szCs w:val="24"/>
        </w:rPr>
        <w:t>t</w:t>
      </w:r>
      <w:r w:rsidRPr="00096909">
        <w:rPr>
          <w:rFonts w:ascii="Times New Roman" w:hAnsi="Times New Roman" w:cs="Times New Roman"/>
          <w:sz w:val="24"/>
          <w:szCs w:val="24"/>
        </w:rPr>
        <w:t xml:space="preserve">hesaurus, non principis nostri publica supellex, sed quicquid cernebatur ex Magnanimi Lodovici privata parsimonia fuit, crateres, phialae, labra, luteres, cantari amphorum, scyphi, chrysendeta, urnae, ex auro obrizo argentoque purissimo miro artificum ingenio fabrefactae. Cristallo, electro, elenchis, ac preciosis annulorum lapidibus gemmatae, argenteis animalium pedibus anaglypha crepidine sustinebantur. Omitto deorum imagines, vasa sacra, </w:t>
      </w:r>
      <w:r>
        <w:rPr>
          <w:rFonts w:ascii="Times New Roman" w:hAnsi="Times New Roman" w:cs="Times New Roman"/>
          <w:sz w:val="24"/>
          <w:szCs w:val="24"/>
        </w:rPr>
        <w:t>c</w:t>
      </w:r>
      <w:r w:rsidRPr="00096909">
        <w:rPr>
          <w:rFonts w:ascii="Times New Roman" w:hAnsi="Times New Roman" w:cs="Times New Roman"/>
          <w:sz w:val="24"/>
          <w:szCs w:val="24"/>
        </w:rPr>
        <w:t xml:space="preserve">andelabra permulta: sexaginta illis contentus, sub quibus singulis quaterni homines ferendo hanellabant, quae tricubitali quadricubitalique altitudine omnes in admirationem attraxerunt. </w:t>
      </w:r>
    </w:p>
    <w:p w14:paraId="79E31E28" w14:textId="77777777" w:rsidR="00B92BCD" w:rsidRPr="00096909" w:rsidRDefault="00B92BCD" w:rsidP="00B92BCD">
      <w:pPr>
        <w:spacing w:line="360" w:lineRule="auto"/>
        <w:jc w:val="both"/>
        <w:rPr>
          <w:rFonts w:ascii="Times New Roman" w:hAnsi="Times New Roman" w:cs="Times New Roman"/>
          <w:sz w:val="24"/>
          <w:szCs w:val="24"/>
        </w:rPr>
      </w:pPr>
    </w:p>
    <w:p w14:paraId="1908D8E6"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XIII. De Pontificali Missa.</w:t>
      </w:r>
    </w:p>
    <w:p w14:paraId="0375A67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Cum igitur electi hic consedissent, Fabricius Marlianus, Episcopus Placentinus, sacrificium de more peregit. Hinc </w:t>
      </w:r>
      <w:r>
        <w:rPr>
          <w:rFonts w:ascii="Times New Roman" w:hAnsi="Times New Roman" w:cs="Times New Roman"/>
          <w:sz w:val="24"/>
          <w:szCs w:val="24"/>
        </w:rPr>
        <w:t>c</w:t>
      </w:r>
      <w:r w:rsidRPr="00096909">
        <w:rPr>
          <w:rFonts w:ascii="Times New Roman" w:hAnsi="Times New Roman" w:cs="Times New Roman"/>
          <w:sz w:val="24"/>
          <w:szCs w:val="24"/>
        </w:rPr>
        <w:t xml:space="preserve">antoribus Gallicis, illinc tubicinum concentu choro exultante, deinde Federicus Sanseverinas, </w:t>
      </w:r>
      <w:r>
        <w:rPr>
          <w:rFonts w:ascii="Times New Roman" w:hAnsi="Times New Roman" w:cs="Times New Roman"/>
          <w:sz w:val="24"/>
          <w:szCs w:val="24"/>
        </w:rPr>
        <w:t>m</w:t>
      </w:r>
      <w:r w:rsidRPr="00096909">
        <w:rPr>
          <w:rFonts w:ascii="Times New Roman" w:hAnsi="Times New Roman" w:cs="Times New Roman"/>
          <w:sz w:val="24"/>
          <w:szCs w:val="24"/>
        </w:rPr>
        <w:t xml:space="preserve">agni Roberti </w:t>
      </w:r>
      <w:r>
        <w:rPr>
          <w:rFonts w:ascii="Times New Roman" w:hAnsi="Times New Roman" w:cs="Times New Roman"/>
          <w:sz w:val="24"/>
          <w:szCs w:val="24"/>
        </w:rPr>
        <w:t>f</w:t>
      </w:r>
      <w:r w:rsidRPr="00096909">
        <w:rPr>
          <w:rFonts w:ascii="Times New Roman" w:hAnsi="Times New Roman" w:cs="Times New Roman"/>
          <w:sz w:val="24"/>
          <w:szCs w:val="24"/>
        </w:rPr>
        <w:t xml:space="preserve">ilius Episcopus Maleacensis, in medium prodiens orationem eleganter exorditur. </w:t>
      </w:r>
    </w:p>
    <w:p w14:paraId="538075A1"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Post perorationem vernaculis verbis caetera transegerunt. A dextra Iohannes Galeacius, a sinistra Elysabella, in medio Dius Lodovicus Hymenea sedulitate virginis manum apprehendens, post sacrosancta annulorum pignora, </w:t>
      </w:r>
      <w:r>
        <w:rPr>
          <w:rFonts w:ascii="Times New Roman" w:hAnsi="Times New Roman" w:cs="Times New Roman"/>
          <w:sz w:val="24"/>
          <w:szCs w:val="24"/>
        </w:rPr>
        <w:t>s</w:t>
      </w:r>
      <w:r w:rsidRPr="00096909">
        <w:rPr>
          <w:rFonts w:ascii="Times New Roman" w:hAnsi="Times New Roman" w:cs="Times New Roman"/>
          <w:sz w:val="24"/>
          <w:szCs w:val="24"/>
        </w:rPr>
        <w:t xml:space="preserve">ponsam sponso concinnavit. </w:t>
      </w:r>
    </w:p>
    <w:p w14:paraId="022D7D21" w14:textId="77777777" w:rsidR="00B92BCD" w:rsidRPr="00096909" w:rsidRDefault="00B92BCD" w:rsidP="00B92BCD">
      <w:pPr>
        <w:spacing w:line="360" w:lineRule="auto"/>
        <w:jc w:val="both"/>
        <w:rPr>
          <w:rFonts w:ascii="Times New Roman" w:hAnsi="Times New Roman" w:cs="Times New Roman"/>
          <w:sz w:val="24"/>
          <w:szCs w:val="24"/>
        </w:rPr>
      </w:pPr>
    </w:p>
    <w:p w14:paraId="26261416"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XIV De his qui auro equestri donati sunt et spectatorum numero. </w:t>
      </w:r>
    </w:p>
    <w:p w14:paraId="1DDD5335"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Nec mora duo prestantissimi viri, iam diu tale decus meriti, Bartholameus Chalcus primus Ducalis Secretarius, et Petrus Bochacini Alamanus Florentinorum Legatus, in equestrem ordinem eliguntur. Parazonio accincti, et aureis Imaginariae militiae insignibus ab Illustrissimo Duce donati. </w:t>
      </w:r>
    </w:p>
    <w:p w14:paraId="4ECDE01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Post haec in arcem redierunt eadem populi frequentia Foelicem reditum suis locis expectante. Censa sunt eorum qui in Speculis et viarum stationibus spectaverunt supra centum millia Ducis comitatum et peregrinos qui innumeri affluxerunt, cum his non supputo, ut illud vere attestari iam possimus, quod Stephanus in </w:t>
      </w:r>
      <w:r w:rsidRPr="0066662B">
        <w:rPr>
          <w:rFonts w:ascii="Times New Roman" w:hAnsi="Times New Roman" w:cs="Times New Roman"/>
          <w:i/>
          <w:sz w:val="24"/>
          <w:szCs w:val="24"/>
          <w:lang w:val="en-US"/>
        </w:rPr>
        <w:t>Ethnicis</w:t>
      </w:r>
      <w:r w:rsidRPr="00096909">
        <w:rPr>
          <w:rFonts w:ascii="Times New Roman" w:hAnsi="Times New Roman" w:cs="Times New Roman"/>
          <w:sz w:val="24"/>
          <w:szCs w:val="24"/>
          <w:lang w:val="en-US"/>
        </w:rPr>
        <w:t xml:space="preserve"> scribit: Μεδιωλάνιον πολυάνθρωπος πόλις.</w:t>
      </w:r>
      <w:r w:rsidRPr="00096909">
        <w:rPr>
          <w:rStyle w:val="Rimandonotaapidipagina"/>
          <w:rFonts w:ascii="Times New Roman" w:hAnsi="Times New Roman" w:cs="Times New Roman"/>
          <w:sz w:val="24"/>
          <w:szCs w:val="24"/>
          <w:lang w:val="en-US"/>
        </w:rPr>
        <w:footnoteReference w:id="972"/>
      </w:r>
      <w:r w:rsidRPr="00096909">
        <w:rPr>
          <w:rFonts w:ascii="Times New Roman" w:hAnsi="Times New Roman" w:cs="Times New Roman"/>
          <w:sz w:val="24"/>
          <w:szCs w:val="24"/>
          <w:lang w:val="en-US"/>
        </w:rPr>
        <w:t xml:space="preserve"> </w:t>
      </w:r>
      <w:r w:rsidRPr="00096909">
        <w:rPr>
          <w:rFonts w:ascii="Times New Roman" w:hAnsi="Times New Roman" w:cs="Times New Roman"/>
          <w:sz w:val="24"/>
          <w:szCs w:val="24"/>
        </w:rPr>
        <w:t>Ausoniique Emistithion impune canere: Et Mediolani mira omnia.</w:t>
      </w:r>
      <w:r w:rsidRPr="00096909">
        <w:rPr>
          <w:rStyle w:val="Rimandonotaapidipagina"/>
          <w:rFonts w:ascii="Times New Roman" w:hAnsi="Times New Roman" w:cs="Times New Roman"/>
          <w:sz w:val="24"/>
          <w:szCs w:val="24"/>
        </w:rPr>
        <w:footnoteReference w:id="973"/>
      </w:r>
      <w:r w:rsidRPr="00096909">
        <w:rPr>
          <w:rFonts w:ascii="Times New Roman" w:hAnsi="Times New Roman" w:cs="Times New Roman"/>
          <w:sz w:val="24"/>
          <w:szCs w:val="24"/>
        </w:rPr>
        <w:t xml:space="preserve"> </w:t>
      </w:r>
    </w:p>
    <w:p w14:paraId="4B1B736E" w14:textId="77777777" w:rsidR="00B92BCD" w:rsidRPr="00096909" w:rsidRDefault="00B92BCD" w:rsidP="00B92BCD">
      <w:pPr>
        <w:spacing w:line="360" w:lineRule="auto"/>
        <w:jc w:val="both"/>
        <w:rPr>
          <w:rFonts w:ascii="Times New Roman" w:hAnsi="Times New Roman" w:cs="Times New Roman"/>
          <w:sz w:val="24"/>
          <w:szCs w:val="24"/>
        </w:rPr>
      </w:pPr>
    </w:p>
    <w:p w14:paraId="772813F5"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XV. De Ducis nostri foelicitate.</w:t>
      </w:r>
    </w:p>
    <w:p w14:paraId="57928567" w14:textId="77777777" w:rsidR="00B92BCD" w:rsidRPr="00096909" w:rsidRDefault="00B92BCD" w:rsidP="00B92BCD">
      <w:pPr>
        <w:spacing w:line="360" w:lineRule="auto"/>
        <w:jc w:val="both"/>
        <w:rPr>
          <w:rFonts w:ascii="Times New Roman" w:hAnsi="Times New Roman" w:cs="Times New Roman"/>
          <w:sz w:val="24"/>
          <w:szCs w:val="24"/>
          <w:lang w:val="en-US"/>
        </w:rPr>
      </w:pPr>
      <w:r w:rsidRPr="00096909">
        <w:rPr>
          <w:rFonts w:ascii="Times New Roman" w:hAnsi="Times New Roman" w:cs="Times New Roman"/>
          <w:sz w:val="24"/>
          <w:szCs w:val="24"/>
        </w:rPr>
        <w:t xml:space="preserve">Unum e multis non pretermittam quod mihi miraculum auget. Diebus quibus ista parabantur tanta fuit pluviarum inundatio ut omnia plenis refluentium aquarum fistulis natarent, compacta opera humore confatiscerent, omniaque dissoluerentur, et usque in noctem illam post cuius tenebras continuo Aurora sereno illuxit, perduravere. Ea deinde claritate pura dies effusit, ut diis quoque has nuptias approbari multi interpretarentur. </w:t>
      </w:r>
      <w:r w:rsidRPr="00096909">
        <w:rPr>
          <w:rFonts w:ascii="Times New Roman" w:hAnsi="Times New Roman" w:cs="Times New Roman"/>
          <w:sz w:val="24"/>
          <w:szCs w:val="24"/>
          <w:lang w:val="en-US"/>
        </w:rPr>
        <w:t xml:space="preserve">Illud de </w:t>
      </w:r>
      <w:r>
        <w:rPr>
          <w:rFonts w:ascii="Times New Roman" w:hAnsi="Times New Roman" w:cs="Times New Roman"/>
          <w:sz w:val="24"/>
          <w:szCs w:val="24"/>
          <w:lang w:val="en-US"/>
        </w:rPr>
        <w:t>p</w:t>
      </w:r>
      <w:r w:rsidRPr="00096909">
        <w:rPr>
          <w:rFonts w:ascii="Times New Roman" w:hAnsi="Times New Roman" w:cs="Times New Roman"/>
          <w:sz w:val="24"/>
          <w:szCs w:val="24"/>
          <w:lang w:val="en-US"/>
        </w:rPr>
        <w:t xml:space="preserve">rincipis </w:t>
      </w:r>
      <w:r>
        <w:rPr>
          <w:rFonts w:ascii="Times New Roman" w:hAnsi="Times New Roman" w:cs="Times New Roman"/>
          <w:sz w:val="24"/>
          <w:szCs w:val="24"/>
          <w:lang w:val="en-US"/>
        </w:rPr>
        <w:t>f</w:t>
      </w:r>
      <w:r w:rsidRPr="00096909">
        <w:rPr>
          <w:rFonts w:ascii="Times New Roman" w:hAnsi="Times New Roman" w:cs="Times New Roman"/>
          <w:sz w:val="24"/>
          <w:szCs w:val="24"/>
          <w:lang w:val="en-US"/>
        </w:rPr>
        <w:t xml:space="preserve">oelicitate usurpantes, </w:t>
      </w:r>
      <w:r>
        <w:rPr>
          <w:rFonts w:ascii="Times New Roman" w:hAnsi="Times New Roman" w:cs="Times New Roman"/>
          <w:sz w:val="24"/>
          <w:szCs w:val="24"/>
          <w:lang w:val="en-US"/>
        </w:rPr>
        <w:t>n</w:t>
      </w:r>
      <w:r w:rsidRPr="00096909">
        <w:rPr>
          <w:rFonts w:ascii="Times New Roman" w:hAnsi="Times New Roman" w:cs="Times New Roman"/>
          <w:sz w:val="24"/>
          <w:szCs w:val="24"/>
          <w:lang w:val="en-US"/>
        </w:rPr>
        <w:t xml:space="preserve">octe pluit tota redeunt spectacula mane. </w:t>
      </w:r>
    </w:p>
    <w:p w14:paraId="2B14B3BC" w14:textId="77777777" w:rsidR="00B92BCD" w:rsidRPr="00096909" w:rsidRDefault="00B92BCD" w:rsidP="00B92BCD">
      <w:pPr>
        <w:spacing w:line="360" w:lineRule="auto"/>
        <w:jc w:val="both"/>
        <w:rPr>
          <w:rFonts w:ascii="Times New Roman" w:hAnsi="Times New Roman" w:cs="Times New Roman"/>
          <w:sz w:val="24"/>
          <w:szCs w:val="24"/>
        </w:rPr>
      </w:pPr>
    </w:p>
    <w:p w14:paraId="543FFBAD"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XVI. De Mediolani et Nuptiarum laudibus. </w:t>
      </w:r>
    </w:p>
    <w:p w14:paraId="35A70785"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Mediolanum, non ut ex veterum libris, et nostrorum temporum gloria coniicio, Diis et hominibus acceptissima est civitas. Haec divitiarum mater et magnorum principum opportuna sedes semper fuit. Non commemoro urbis delicias, agrorum uberes glebas, regionis et bello et pace commoditates, quas Romani Caesares satis ostendunt, qui relicta urbe Latia in hanc tamquam in deliciarum hortum saepissime migraverunt. Hoc fecit Traianus, hoc Adrianus, et subsequentium principum multi alii usque ad Theodosium, qui et ipse Mediolani vixit. Huius filius Honorius, occidui orbis Imperator, Mariam Stiliconis filiam Mediolani duxit uxorem. Sed illas nuptias nostris vix comparaverim in quibus Maximi principes ultro serviverunt, </w:t>
      </w:r>
      <w:r>
        <w:rPr>
          <w:rFonts w:ascii="Times New Roman" w:hAnsi="Times New Roman" w:cs="Times New Roman"/>
          <w:sz w:val="24"/>
          <w:szCs w:val="24"/>
        </w:rPr>
        <w:t>e</w:t>
      </w:r>
      <w:r w:rsidRPr="00096909">
        <w:rPr>
          <w:rFonts w:ascii="Times New Roman" w:hAnsi="Times New Roman" w:cs="Times New Roman"/>
          <w:sz w:val="24"/>
          <w:szCs w:val="24"/>
        </w:rPr>
        <w:t xml:space="preserve">xcellentes Europae potentatus oratores et munera misseunt, universa populi multitudo plausit. Divi Francisci filii affuerunt: Philippus, Iulius, Sforcia, et Dius Lodovicus, omnium principum prudentia et animi magnitudine sine invidia facile princeps. </w:t>
      </w:r>
    </w:p>
    <w:p w14:paraId="63D853D4" w14:textId="77777777" w:rsidR="00B92BCD" w:rsidRPr="00096909" w:rsidRDefault="00B92BCD" w:rsidP="00B92BCD">
      <w:pPr>
        <w:spacing w:line="360" w:lineRule="auto"/>
        <w:jc w:val="both"/>
        <w:rPr>
          <w:rFonts w:ascii="Times New Roman" w:hAnsi="Times New Roman" w:cs="Times New Roman"/>
          <w:sz w:val="24"/>
          <w:szCs w:val="24"/>
        </w:rPr>
      </w:pPr>
    </w:p>
    <w:p w14:paraId="7D14D609"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XVII. De Nuptiarum excellentia.</w:t>
      </w:r>
    </w:p>
    <w:p w14:paraId="2364184C"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Nuptiarum splendorem etiam ostenderunt duo inter Cisalpinos potentissimi: Ioannes Franciscus Palavicinus </w:t>
      </w:r>
      <w:r>
        <w:rPr>
          <w:rFonts w:ascii="Times New Roman" w:hAnsi="Times New Roman" w:cs="Times New Roman"/>
          <w:sz w:val="24"/>
          <w:szCs w:val="24"/>
        </w:rPr>
        <w:t>m</w:t>
      </w:r>
      <w:r w:rsidRPr="00096909">
        <w:rPr>
          <w:rFonts w:ascii="Times New Roman" w:hAnsi="Times New Roman" w:cs="Times New Roman"/>
          <w:sz w:val="24"/>
          <w:szCs w:val="24"/>
        </w:rPr>
        <w:t xml:space="preserve">archio et Ioannes Borrhomeus </w:t>
      </w:r>
      <w:r>
        <w:rPr>
          <w:rFonts w:ascii="Times New Roman" w:hAnsi="Times New Roman" w:cs="Times New Roman"/>
          <w:sz w:val="24"/>
          <w:szCs w:val="24"/>
        </w:rPr>
        <w:t>c</w:t>
      </w:r>
      <w:r w:rsidRPr="00096909">
        <w:rPr>
          <w:rFonts w:ascii="Times New Roman" w:hAnsi="Times New Roman" w:cs="Times New Roman"/>
          <w:sz w:val="24"/>
          <w:szCs w:val="24"/>
        </w:rPr>
        <w:t xml:space="preserve">omes. Hi, dimessis servorum agminibus, quibus alioquin stipati incedere solent, equo longius sequente, ipsi pedites in togis auro textis gemmisque radiantibus, Elysabellae ad frenum quasi </w:t>
      </w:r>
      <w:r>
        <w:rPr>
          <w:rFonts w:ascii="Times New Roman" w:hAnsi="Times New Roman" w:cs="Times New Roman"/>
          <w:sz w:val="24"/>
          <w:szCs w:val="24"/>
        </w:rPr>
        <w:t>p</w:t>
      </w:r>
      <w:r w:rsidRPr="00096909">
        <w:rPr>
          <w:rFonts w:ascii="Times New Roman" w:hAnsi="Times New Roman" w:cs="Times New Roman"/>
          <w:sz w:val="24"/>
          <w:szCs w:val="24"/>
        </w:rPr>
        <w:t xml:space="preserve">aranymphi utrinque astiterunt, totamque viae longitudinem pedibus emensi, in templum introduxerunt. Mira, Hercules, nuptiarum excellentiam, quibus tanti viri famulicium praestare, et pro </w:t>
      </w:r>
      <w:r>
        <w:rPr>
          <w:rFonts w:ascii="Times New Roman" w:hAnsi="Times New Roman" w:cs="Times New Roman"/>
          <w:sz w:val="24"/>
          <w:szCs w:val="24"/>
        </w:rPr>
        <w:t>s</w:t>
      </w:r>
      <w:r w:rsidRPr="00096909">
        <w:rPr>
          <w:rFonts w:ascii="Times New Roman" w:hAnsi="Times New Roman" w:cs="Times New Roman"/>
          <w:sz w:val="24"/>
          <w:szCs w:val="24"/>
        </w:rPr>
        <w:t xml:space="preserve">ponsa lateronis ac satellitis officium adimplere non dedignantur. </w:t>
      </w:r>
    </w:p>
    <w:p w14:paraId="5204ED5B" w14:textId="77777777" w:rsidR="00B92BCD" w:rsidRPr="00096909" w:rsidRDefault="00B92BCD" w:rsidP="00B92BCD">
      <w:pPr>
        <w:spacing w:line="360" w:lineRule="auto"/>
        <w:jc w:val="both"/>
        <w:rPr>
          <w:rFonts w:ascii="Times New Roman" w:hAnsi="Times New Roman" w:cs="Times New Roman"/>
          <w:sz w:val="24"/>
          <w:szCs w:val="24"/>
        </w:rPr>
      </w:pPr>
    </w:p>
    <w:p w14:paraId="22129C6B"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XVIII. Epilogus.</w:t>
      </w:r>
    </w:p>
    <w:p w14:paraId="3F077EF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lang w:val="en-US"/>
        </w:rPr>
        <w:t xml:space="preserve">Haec sunt, Nicolae optime, quae de his nuptiis ad te scribenda putavi. </w:t>
      </w:r>
      <w:r w:rsidRPr="00096909">
        <w:rPr>
          <w:rFonts w:ascii="Times New Roman" w:hAnsi="Times New Roman" w:cs="Times New Roman"/>
          <w:sz w:val="24"/>
          <w:szCs w:val="24"/>
        </w:rPr>
        <w:t xml:space="preserve">Aedificiorum formas, urbis apparatum, populi concursum, Pompae ordinem, Mediolani omni in re Magnificentiam, in haec capita compendiose contrahens, quae tu Rhetorico sermone pro tua facundia latius diffundes. Ego enim sum alterius operis castigatione occupatus, neque haec tam alta tenui stilo temptare ausim. Quibus interfui, quae vidi, ut vera fuerunt, ita simpliciter narravi. Nihil de navigatione ex Neapoli Genuam commemorans, quae fuit Genuensium laeticia et largitas, Quas Derthonae impensas et apparatus fecerit Burguntius Botta in hac re vere Magnificus. Nullum in liberaritatis genus praetermissit, quo suum in principem animum testaretur. Quae Viglebani, et in aliis Insubrii tractus populis officia et congratulationes, quae sociarum civitatum munera qui viderunt litterarum monumentis ipsi mandent. Horum namque singula iustum volumen seorsum scripta conficere possunt. Quali praeterea navium ornatu, qua procerum laeticia, quanto totius urbis applausu ad eam fossam quae arcem manufacta a tergo respicit Elysabellam navi tecta quam Neotericorum alii bucinatoriam alli bucentaurum appellant foeliciter egredientem exceperimus. Epistolaris modus dicere non permetti. </w:t>
      </w:r>
    </w:p>
    <w:p w14:paraId="1D9F08F3"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Mediolanensium etiam conviviorum luxus, reginarumque epularum Adiciales, Saliaresve diversitates, licentiosis poetis, qui forsitan </w:t>
      </w:r>
      <w:r>
        <w:rPr>
          <w:rFonts w:ascii="Times New Roman" w:hAnsi="Times New Roman" w:cs="Times New Roman"/>
          <w:sz w:val="24"/>
          <w:szCs w:val="24"/>
        </w:rPr>
        <w:t>e</w:t>
      </w:r>
      <w:r w:rsidRPr="00096909">
        <w:rPr>
          <w:rFonts w:ascii="Times New Roman" w:hAnsi="Times New Roman" w:cs="Times New Roman"/>
          <w:sz w:val="24"/>
          <w:szCs w:val="24"/>
        </w:rPr>
        <w:t>pithalamia nunc ludunt, musae nostrae diffisi relinquimus. Non est nobis privati ingenii publicos comprehendere sumptus. Vale</w:t>
      </w:r>
      <w:r>
        <w:rPr>
          <w:rFonts w:ascii="Times New Roman" w:hAnsi="Times New Roman" w:cs="Times New Roman"/>
          <w:sz w:val="24"/>
          <w:szCs w:val="24"/>
        </w:rPr>
        <w:t>,</w:t>
      </w:r>
      <w:r w:rsidRPr="00096909">
        <w:rPr>
          <w:rFonts w:ascii="Times New Roman" w:hAnsi="Times New Roman" w:cs="Times New Roman"/>
          <w:sz w:val="24"/>
          <w:szCs w:val="24"/>
        </w:rPr>
        <w:t xml:space="preserve"> </w:t>
      </w:r>
      <w:r>
        <w:rPr>
          <w:rFonts w:ascii="Times New Roman" w:hAnsi="Times New Roman" w:cs="Times New Roman"/>
          <w:sz w:val="24"/>
          <w:szCs w:val="24"/>
        </w:rPr>
        <w:t>v</w:t>
      </w:r>
      <w:r w:rsidRPr="00096909">
        <w:rPr>
          <w:rFonts w:ascii="Times New Roman" w:hAnsi="Times New Roman" w:cs="Times New Roman"/>
          <w:sz w:val="24"/>
          <w:szCs w:val="24"/>
        </w:rPr>
        <w:t xml:space="preserve">ir </w:t>
      </w:r>
      <w:r>
        <w:rPr>
          <w:rFonts w:ascii="Times New Roman" w:hAnsi="Times New Roman" w:cs="Times New Roman"/>
          <w:sz w:val="24"/>
          <w:szCs w:val="24"/>
        </w:rPr>
        <w:t>e</w:t>
      </w:r>
      <w:r w:rsidRPr="00096909">
        <w:rPr>
          <w:rFonts w:ascii="Times New Roman" w:hAnsi="Times New Roman" w:cs="Times New Roman"/>
          <w:sz w:val="24"/>
          <w:szCs w:val="24"/>
        </w:rPr>
        <w:t xml:space="preserve">minentisissime. Data Mediolani X Kalendas Martii 1489. </w:t>
      </w:r>
    </w:p>
    <w:p w14:paraId="79271ABB" w14:textId="77777777" w:rsidR="00B92BCD" w:rsidRPr="00096909" w:rsidRDefault="00B92BCD" w:rsidP="00B92BCD">
      <w:pPr>
        <w:spacing w:line="360" w:lineRule="auto"/>
        <w:jc w:val="both"/>
        <w:rPr>
          <w:rFonts w:ascii="Times New Roman" w:hAnsi="Times New Roman" w:cs="Times New Roman"/>
          <w:sz w:val="24"/>
          <w:szCs w:val="24"/>
        </w:rPr>
      </w:pPr>
    </w:p>
    <w:p w14:paraId="6C396A92"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XIX. Iohannes Antonius Corvinus Patri Stephano Dulcino Canonico Mediolanensi Salutem Plurimum Dicit. </w:t>
      </w:r>
    </w:p>
    <w:p w14:paraId="71BA5FF1"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[1] Vidi</w:t>
      </w:r>
      <w:r>
        <w:rPr>
          <w:rFonts w:ascii="Times New Roman" w:hAnsi="Times New Roman" w:cs="Times New Roman"/>
          <w:sz w:val="24"/>
          <w:szCs w:val="24"/>
        </w:rPr>
        <w:t>,</w:t>
      </w:r>
      <w:r w:rsidRPr="00096909">
        <w:rPr>
          <w:rFonts w:ascii="Times New Roman" w:hAnsi="Times New Roman" w:cs="Times New Roman"/>
          <w:sz w:val="24"/>
          <w:szCs w:val="24"/>
        </w:rPr>
        <w:t xml:space="preserve"> suavissime Stephane, quae tu de magnanimi principis nostri prestantissimis excellentissimisque nuptiis graviter ornateque scripsisti. Quodque inter caetera et admirandum maxime, atque sumopere preclarum est quam eleganter, quam accomodate totam huius rei seriem non descripseris modo, verum est ut ipsemet scribis quasi in tabella depinxeris, ut qui ea legerint non legisse modo, verum et illa oculis conspexisse procul dubio affirmare possint, ita cuncta hac in re gesta miro ordine singulari apertaque rerum descriptione collegisti, et idem dicere qui tua scripta perlegerint, quod </w:t>
      </w:r>
      <w:r>
        <w:rPr>
          <w:rFonts w:ascii="Times New Roman" w:hAnsi="Times New Roman" w:cs="Times New Roman"/>
          <w:sz w:val="24"/>
          <w:szCs w:val="24"/>
        </w:rPr>
        <w:t>c</w:t>
      </w:r>
      <w:r w:rsidRPr="00096909">
        <w:rPr>
          <w:rFonts w:ascii="Times New Roman" w:hAnsi="Times New Roman" w:cs="Times New Roman"/>
          <w:sz w:val="24"/>
          <w:szCs w:val="24"/>
        </w:rPr>
        <w:t>omicus noster poeta Dantes picturam quandam admiratus dixit: «non vidde più di me chi vidde il vero».</w:t>
      </w:r>
      <w:r w:rsidRPr="00096909">
        <w:rPr>
          <w:rStyle w:val="Rimandonotaapidipagina"/>
          <w:rFonts w:ascii="Times New Roman" w:hAnsi="Times New Roman" w:cs="Times New Roman"/>
          <w:sz w:val="24"/>
          <w:szCs w:val="24"/>
        </w:rPr>
        <w:footnoteReference w:id="974"/>
      </w:r>
      <w:r w:rsidRPr="00096909">
        <w:rPr>
          <w:rFonts w:ascii="Times New Roman" w:hAnsi="Times New Roman" w:cs="Times New Roman"/>
          <w:sz w:val="24"/>
          <w:szCs w:val="24"/>
        </w:rPr>
        <w:t xml:space="preserve"> Ita nihilminus vero qui tua scripta perlegerit vidit illud inter caetera mihi quidem non mediocrem admirationem, atque iocunditatem prestitit, quod in aedificii illius mirabilis amphitheatrali orbe constructi descriptione praestitisti nec non </w:t>
      </w:r>
      <w:r>
        <w:rPr>
          <w:rFonts w:ascii="Times New Roman" w:hAnsi="Times New Roman" w:cs="Times New Roman"/>
          <w:sz w:val="24"/>
          <w:szCs w:val="24"/>
        </w:rPr>
        <w:t>a</w:t>
      </w:r>
      <w:r w:rsidRPr="00096909">
        <w:rPr>
          <w:rFonts w:ascii="Times New Roman" w:hAnsi="Times New Roman" w:cs="Times New Roman"/>
          <w:sz w:val="24"/>
          <w:szCs w:val="24"/>
        </w:rPr>
        <w:t xml:space="preserve">rcus triumphalis, dispositionisque regiae Arcis, ac totius viae mirabili ornatu, caeterisque aliis memoratu dignis in his rebus gestis. Quid vicecomitum prosapiam, quid admirabilem templi descriptionem commemoro, quae singula non mediocri vi ingenii, nec vulgari et quotidiana eloquentia, sed ornatissimo scribendi genere, ac vocabulis ad rem accommodatis exquisitissimisque, et si sane difficilioribus summa diligentia singularique studio complexus es, ut vere ego pro me affirmare possim ex ornatissimis scriptis tuis plurima vocabula peregrina, et cognitu profecto digna intellexisse, quae antea mihi et doctoribus forsan incognita extitissent? </w:t>
      </w:r>
    </w:p>
    <w:p w14:paraId="15FF98F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Itaque tuis his ornatissimis scriptis non legentes modo mirifice oblectasti sed, et quod longe prestantius et est, adiuvisti eruditioresque doctrina tua reddidisti. Quamobrem tua hac historia ac ornato et gravi scribendi genere adeo sum delectatus ut mille exemplaribus haec meis impensis imprimi curaverim, grande operae precium aliis quoque hac opera afferri posse arbitratus. </w:t>
      </w:r>
    </w:p>
    <w:p w14:paraId="099BEB5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Perge igitur, ut coepisti, iuvenilem hanc aetatem talibus monumentis excolere nominis tui deternitati et amicorum utilitatibus sulturus, altioraque iam animo volvens et scribere aggrediens. Te nobis in dies et ornatiorem, et laudatiorem presta, quibus ex rebus et carior nobis plurimum tua virtute fies, et pro merito tuo quod maximae urbes praestantissimis ac doctissimis </w:t>
      </w:r>
      <w:r>
        <w:rPr>
          <w:rFonts w:ascii="Times New Roman" w:hAnsi="Times New Roman" w:cs="Times New Roman"/>
          <w:sz w:val="24"/>
          <w:szCs w:val="24"/>
        </w:rPr>
        <w:t>c</w:t>
      </w:r>
      <w:r w:rsidRPr="00096909">
        <w:rPr>
          <w:rFonts w:ascii="Times New Roman" w:hAnsi="Times New Roman" w:cs="Times New Roman"/>
          <w:sz w:val="24"/>
          <w:szCs w:val="24"/>
        </w:rPr>
        <w:t xml:space="preserve">ivibus suis alioquin prestiterunt. Illud est tibi a tua </w:t>
      </w:r>
      <w:r>
        <w:rPr>
          <w:rFonts w:ascii="Times New Roman" w:hAnsi="Times New Roman" w:cs="Times New Roman"/>
          <w:sz w:val="24"/>
          <w:szCs w:val="24"/>
        </w:rPr>
        <w:t>i</w:t>
      </w:r>
      <w:r w:rsidRPr="00096909">
        <w:rPr>
          <w:rFonts w:ascii="Times New Roman" w:hAnsi="Times New Roman" w:cs="Times New Roman"/>
          <w:sz w:val="24"/>
          <w:szCs w:val="24"/>
        </w:rPr>
        <w:t xml:space="preserve">nclyta urbe quandoque concedi posse certe sperabis. Vale, meque ut facis mutuo dilige. Mediolani pridiae KL Martii. 1489. </w:t>
      </w:r>
    </w:p>
    <w:p w14:paraId="3D9F1CA7" w14:textId="77777777" w:rsidR="00B92BCD" w:rsidRPr="00096909" w:rsidRDefault="00B92BCD" w:rsidP="00B92BCD">
      <w:pPr>
        <w:spacing w:line="360" w:lineRule="auto"/>
        <w:rPr>
          <w:rFonts w:ascii="Times New Roman" w:hAnsi="Times New Roman" w:cs="Times New Roman"/>
          <w:sz w:val="24"/>
          <w:szCs w:val="24"/>
        </w:rPr>
      </w:pPr>
    </w:p>
    <w:p w14:paraId="1C1AFC2D" w14:textId="77777777" w:rsidR="00B92BCD" w:rsidRPr="00096909" w:rsidRDefault="00B92BCD" w:rsidP="00B92BCD">
      <w:pPr>
        <w:spacing w:line="360" w:lineRule="auto"/>
        <w:rPr>
          <w:rFonts w:ascii="Times New Roman" w:hAnsi="Times New Roman" w:cs="Times New Roman"/>
          <w:sz w:val="24"/>
          <w:szCs w:val="24"/>
        </w:rPr>
      </w:pPr>
      <w:r w:rsidRPr="00096909">
        <w:rPr>
          <w:rFonts w:ascii="Times New Roman" w:hAnsi="Times New Roman" w:cs="Times New Roman"/>
          <w:sz w:val="24"/>
          <w:szCs w:val="24"/>
        </w:rPr>
        <w:t>XX. Boniphacius Bembus Brixiensis</w:t>
      </w:r>
      <w:r w:rsidRPr="00096909">
        <w:rPr>
          <w:rStyle w:val="Rimandonotaapidipagina"/>
          <w:rFonts w:ascii="Times New Roman" w:hAnsi="Times New Roman" w:cs="Times New Roman"/>
          <w:sz w:val="24"/>
          <w:szCs w:val="24"/>
        </w:rPr>
        <w:footnoteReference w:id="975"/>
      </w:r>
      <w:r w:rsidRPr="00096909">
        <w:rPr>
          <w:rFonts w:ascii="Times New Roman" w:hAnsi="Times New Roman" w:cs="Times New Roman"/>
          <w:sz w:val="24"/>
          <w:szCs w:val="24"/>
        </w:rPr>
        <w:t xml:space="preserve"> </w:t>
      </w:r>
      <w:r w:rsidRPr="00096909">
        <w:rPr>
          <w:rFonts w:ascii="Times New Roman" w:hAnsi="Times New Roman" w:cs="Times New Roman"/>
          <w:sz w:val="24"/>
          <w:szCs w:val="24"/>
        </w:rPr>
        <w:br/>
        <w:t>In Caninum.</w:t>
      </w:r>
    </w:p>
    <w:p w14:paraId="52490517" w14:textId="77777777" w:rsidR="00B92BCD" w:rsidRPr="00096909" w:rsidRDefault="00B92BCD" w:rsidP="00B92BCD">
      <w:pPr>
        <w:spacing w:line="360" w:lineRule="auto"/>
        <w:rPr>
          <w:rFonts w:ascii="Times New Roman" w:hAnsi="Times New Roman" w:cs="Times New Roman"/>
          <w:sz w:val="24"/>
          <w:szCs w:val="24"/>
        </w:rPr>
      </w:pPr>
      <w:r w:rsidRPr="00096909">
        <w:rPr>
          <w:rFonts w:ascii="Times New Roman" w:hAnsi="Times New Roman" w:cs="Times New Roman"/>
          <w:sz w:val="24"/>
          <w:szCs w:val="24"/>
        </w:rPr>
        <w:t>Quod ipse sum si essem Canine quod nollem,</w:t>
      </w:r>
      <w:r w:rsidRPr="00096909">
        <w:rPr>
          <w:rFonts w:ascii="Times New Roman" w:hAnsi="Times New Roman" w:cs="Times New Roman"/>
          <w:sz w:val="24"/>
          <w:szCs w:val="24"/>
        </w:rPr>
        <w:br/>
        <w:t>Edentulusque esses. Canine quod vellem,</w:t>
      </w:r>
      <w:r w:rsidRPr="00096909">
        <w:rPr>
          <w:rFonts w:ascii="Times New Roman" w:hAnsi="Times New Roman" w:cs="Times New Roman"/>
          <w:sz w:val="24"/>
          <w:szCs w:val="24"/>
        </w:rPr>
        <w:br/>
        <w:t>Nec roderes omnia. Canine quod nollem,</w:t>
      </w:r>
      <w:r w:rsidRPr="00096909">
        <w:rPr>
          <w:rFonts w:ascii="Times New Roman" w:hAnsi="Times New Roman" w:cs="Times New Roman"/>
          <w:sz w:val="24"/>
          <w:szCs w:val="24"/>
        </w:rPr>
        <w:br/>
        <w:t>Nec invideres omnibus, quod ut vellem,</w:t>
      </w:r>
      <w:r w:rsidRPr="00096909">
        <w:rPr>
          <w:rFonts w:ascii="Times New Roman" w:hAnsi="Times New Roman" w:cs="Times New Roman"/>
          <w:sz w:val="24"/>
          <w:szCs w:val="24"/>
        </w:rPr>
        <w:br/>
        <w:t xml:space="preserve">Sic te quoque miserabilem magis nollem. </w:t>
      </w:r>
    </w:p>
    <w:p w14:paraId="56552CC7" w14:textId="77777777" w:rsidR="00B92BCD" w:rsidRPr="00096909" w:rsidRDefault="00B92BCD" w:rsidP="00B92BCD">
      <w:pPr>
        <w:spacing w:line="360" w:lineRule="auto"/>
        <w:jc w:val="both"/>
        <w:rPr>
          <w:sz w:val="28"/>
          <w:szCs w:val="28"/>
        </w:rPr>
      </w:pPr>
      <w:r w:rsidRPr="00096909">
        <w:rPr>
          <w:rFonts w:ascii="Times New Roman" w:hAnsi="Times New Roman" w:cs="Times New Roman"/>
          <w:sz w:val="24"/>
          <w:szCs w:val="24"/>
        </w:rPr>
        <w:t>XXI. Opera et impensa Spectabilis Viri Domini Iohanni Antonii Corvini de Aretio vir in hac arte ingeniosissimus Antonius Zarotus Parmensis impressit Mediolani. M.CCCC.LXXXVIIII. Idibus Aprilibus.</w:t>
      </w:r>
      <w:r w:rsidRPr="00096909">
        <w:rPr>
          <w:sz w:val="28"/>
          <w:szCs w:val="28"/>
        </w:rPr>
        <w:t xml:space="preserve"> </w:t>
      </w:r>
    </w:p>
    <w:p w14:paraId="1CA3BDF0" w14:textId="77777777" w:rsidR="00B92BCD" w:rsidRPr="00096909" w:rsidRDefault="00B92BCD" w:rsidP="00B92BCD">
      <w:pPr>
        <w:spacing w:line="360" w:lineRule="auto"/>
        <w:jc w:val="both"/>
        <w:rPr>
          <w:sz w:val="28"/>
          <w:szCs w:val="28"/>
        </w:rPr>
      </w:pPr>
    </w:p>
    <w:p w14:paraId="50BA6C64" w14:textId="77777777" w:rsidR="00B92BCD" w:rsidRPr="00096909" w:rsidRDefault="00B92BCD" w:rsidP="00B92BCD">
      <w:pPr>
        <w:spacing w:line="259" w:lineRule="auto"/>
        <w:rPr>
          <w:sz w:val="28"/>
          <w:szCs w:val="28"/>
        </w:rPr>
      </w:pPr>
      <w:r w:rsidRPr="00096909">
        <w:rPr>
          <w:sz w:val="28"/>
          <w:szCs w:val="28"/>
        </w:rPr>
        <w:br w:type="page"/>
      </w:r>
    </w:p>
    <w:p w14:paraId="1ADD07C1" w14:textId="77777777" w:rsidR="00B92BCD" w:rsidRPr="00096909" w:rsidRDefault="00B92BCD" w:rsidP="00B92BCD">
      <w:pPr>
        <w:spacing w:line="360" w:lineRule="auto"/>
        <w:jc w:val="center"/>
        <w:rPr>
          <w:rFonts w:ascii="Times New Roman" w:hAnsi="Times New Roman" w:cs="Times New Roman"/>
          <w:sz w:val="24"/>
          <w:szCs w:val="24"/>
        </w:rPr>
      </w:pPr>
      <w:r w:rsidRPr="00096909">
        <w:rPr>
          <w:rFonts w:ascii="Times New Roman" w:hAnsi="Times New Roman" w:cs="Times New Roman"/>
          <w:sz w:val="24"/>
          <w:szCs w:val="24"/>
        </w:rPr>
        <w:t>Stefano Dolcino</w:t>
      </w:r>
    </w:p>
    <w:p w14:paraId="2C7F3F45" w14:textId="77777777" w:rsidR="00B92BCD" w:rsidRPr="00096909" w:rsidRDefault="00B92BCD" w:rsidP="00B92BCD">
      <w:pPr>
        <w:spacing w:line="360" w:lineRule="auto"/>
        <w:jc w:val="center"/>
        <w:rPr>
          <w:rFonts w:ascii="Times New Roman" w:hAnsi="Times New Roman" w:cs="Times New Roman"/>
          <w:sz w:val="24"/>
          <w:szCs w:val="24"/>
        </w:rPr>
      </w:pPr>
      <w:r w:rsidRPr="00096909">
        <w:rPr>
          <w:rFonts w:ascii="Times New Roman" w:hAnsi="Times New Roman" w:cs="Times New Roman"/>
          <w:sz w:val="24"/>
          <w:szCs w:val="24"/>
        </w:rPr>
        <w:t>Nozze dell’</w:t>
      </w:r>
      <w:r w:rsidR="008E3DE4">
        <w:rPr>
          <w:rFonts w:ascii="Times New Roman" w:hAnsi="Times New Roman" w:cs="Times New Roman"/>
          <w:sz w:val="24"/>
          <w:szCs w:val="24"/>
        </w:rPr>
        <w:t>i</w:t>
      </w:r>
      <w:r w:rsidRPr="00096909">
        <w:rPr>
          <w:rFonts w:ascii="Times New Roman" w:hAnsi="Times New Roman" w:cs="Times New Roman"/>
          <w:sz w:val="24"/>
          <w:szCs w:val="24"/>
        </w:rPr>
        <w:t>llustrissimo duca di Milano</w:t>
      </w:r>
    </w:p>
    <w:p w14:paraId="28AB10D6" w14:textId="77777777" w:rsidR="00B92BCD" w:rsidRPr="00096909" w:rsidRDefault="00B92BCD" w:rsidP="00B92BCD">
      <w:pPr>
        <w:spacing w:line="360" w:lineRule="auto"/>
        <w:jc w:val="center"/>
        <w:rPr>
          <w:rFonts w:ascii="Times New Roman" w:hAnsi="Times New Roman" w:cs="Times New Roman"/>
          <w:sz w:val="24"/>
          <w:szCs w:val="24"/>
        </w:rPr>
      </w:pPr>
      <w:r w:rsidRPr="00096909">
        <w:rPr>
          <w:rFonts w:ascii="Times New Roman" w:hAnsi="Times New Roman" w:cs="Times New Roman"/>
          <w:sz w:val="24"/>
          <w:szCs w:val="24"/>
        </w:rPr>
        <w:t>Traduzione</w:t>
      </w:r>
    </w:p>
    <w:p w14:paraId="45B1A241" w14:textId="77777777" w:rsidR="00B92BCD" w:rsidRPr="00096909" w:rsidRDefault="00B92BCD" w:rsidP="00B92BCD">
      <w:pPr>
        <w:spacing w:line="360" w:lineRule="auto"/>
        <w:jc w:val="both"/>
        <w:rPr>
          <w:rFonts w:ascii="Times New Roman" w:hAnsi="Times New Roman" w:cs="Times New Roman"/>
          <w:sz w:val="24"/>
          <w:szCs w:val="24"/>
        </w:rPr>
      </w:pPr>
    </w:p>
    <w:p w14:paraId="4AAA8083"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I. Padre Stefano Dolcino, canonico di Santa Maria della Scala, saluta Niccolò Lugari, retore cremonese. </w:t>
      </w:r>
    </w:p>
    <w:p w14:paraId="0A1106D2"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Credo, Nicola, che tu mi abbia invidiato, sentendo qual genere di sposalizi abbiamo celebrato in questi giorni a Milano. Ma mi invidierai ancor di più quando ti avrò descritto l’ordine dell’intera cerimonia. Non vi è dubbio che, se tu potessi ammirarla nella mente allo stesso modo in cui io ne fui spettatore, supereresti in invidia le sorelle di Psiche o la figlia Cecrope, essendo tu privo di quell’ampio piacere per il quale molti di noi hanno sentito una gioia incredibile. </w:t>
      </w:r>
    </w:p>
    <w:p w14:paraId="4A3F68F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Pertanto, affinché la grandezza di questa letizia giunga a tutti coloro che si rifiutarono di essere presenti a uno spettacolo così raro, ritenendolo d’incentivo alla loro invidia, io ti illustrerò, come in un quadro, la sequenza degli eventi. Nel fare ciò, se sarò piuttosto oscuro, non lo imputerai a me ma al soggetto stesso, che ha richiesto diversi vocaboli estranei all’usato per poter essere narrato. Potrai forse accusare anche la mia imperizia, dal momento che non mi sono saputo spiegare con il nostro lessico. Con lo stesso biasimo infatti tratterai Plinio, così complicato nel descrivere Laurento e l’Etruria, e Varrone, che riempì di parole esotiche la sua </w:t>
      </w:r>
      <w:r w:rsidRPr="00096909">
        <w:rPr>
          <w:rFonts w:ascii="Times New Roman" w:hAnsi="Times New Roman" w:cs="Times New Roman"/>
          <w:i/>
          <w:sz w:val="24"/>
          <w:szCs w:val="24"/>
        </w:rPr>
        <w:t>Ornitrophia</w:t>
      </w:r>
      <w:r w:rsidRPr="00096909">
        <w:rPr>
          <w:rFonts w:ascii="Times New Roman" w:hAnsi="Times New Roman" w:cs="Times New Roman"/>
          <w:sz w:val="24"/>
          <w:szCs w:val="24"/>
        </w:rPr>
        <w:t xml:space="preserve">. Vediamo poi come Giuseppe e Aristea fecero lo stesso tentando di descrivere il tempio di Gerusalemme e i vasi sacri; e quanto Vitruvio riempì le sue osservazioni sull’architettura di vocaboli assai difficili. </w:t>
      </w:r>
    </w:p>
    <w:p w14:paraId="7DAB0B9E"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Cosa dunque faremo noi, porci di Boezio, a cui non è concesso inventare nuove parole e che a stento comprendiamo quelle trovate dagli antichi? </w:t>
      </w:r>
    </w:p>
    <w:p w14:paraId="25E9B392"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Non essendo avvezzi al remo e al timone abbiamo abbandonato assai incautamente una nave che trasporta merci rare ai latrati dei cani di Scilla e alla corrente di critici cavillosi, i quali, dotati di scarso ingegno, tendono insidie segretamente alle oneste fatiche e non offrono nient’altro che offese. Essi digrignano i lividi denti contro l’ammirevole impresa altrui con sfacciataggine brigantesca, e vibrano la lingua verso le cose che non hanno mai appreso, paghi della loro arroganza. Infine, dal petto, come quello di Cerbero, vomitano un veleno mortifero insieme ai dolci frutti. Si scagliano quasi contro ogni parola, inveiscono alla struttura, gridano contro il significato, condannano la fecondità degli ingegni, e in conclusione, consci della loro improduttività, alterano ogni cosa. Non vi è, a parer mio, nessun essere più simile a loro del cuculo che, dopo essere stato allevato splendidamente dentro la covata di un altro uccello e nutrito abbondantemente con cibi non suoi, arma il becco crudele contro i piccoli della nutrice, ancora privi di piume, e contro lei stessa, e infine, alunno traditore e ingrato, seppellisce tutti nel nido malefico. </w:t>
      </w:r>
    </w:p>
    <w:p w14:paraId="119AB598"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[3] Ma oltrepassiamo con le orecchie d’Ulisse questo genere d’orridi mostri. Essi, valentissimi alleati delle civette selvatiche, compiono delitti stridendo timidamente tra le tenebre imperscrutabili, e sono sempre pronti a esplorare con gli scarabei lo sterco della maldicenza e con le talpe i pertugi di terra in cui ci si perde continuamente e miseramente. Noi, dottissimo Nicola, che lasciamo questo gregge ignavo e testardo a ruminare fieno velenoso, per allenare l’ingegno in una nuova sfida, così come potremmo fare in una vera palestra spingendo le nostre forze fino all’estremo, abbiamo preparato per te questi esercizi di riscaldamento. Non ci condannerai senza ritegno, se non vi abbiamo inserito tutte le mosse della lotta e non vi abbiamo preso in rassegna tutte le armi dei pugili – come sarebbe stato opportuno –, ma come un censore equo ne ascriverai la causa alla difficoltà dell’opera e alla sorte dei nostri tempi, nei quali le imprese migliori – a meno che tu non preferisca la mia audacia – sono decedute. Qui infatti vi sono alcune cose che andrebbero dette con parole più appropriate, diverse sono da cambiare, molte da segnalare con l’obelo e tantissime, se non proprio tutte, da eliminare con un’unica cancellatura. E già esse sarebbero sprofondate come un tempo l’Aiace di Augusto nella sua armatura, se noi non fossimo in attesa della retta correzione della tua lima. Pertanto, inviamo a te, unico, eletto tra pochissimi, queste pagine, come il progetto di un edificio. Ripensate dalla tua accurata analisi e ornate di splenditi fiori d’eloquenza, grazie al tuo stilo, non temeranno di giungere nelle mani degli uomini.</w:t>
      </w:r>
    </w:p>
    <w:p w14:paraId="77353B9E"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 Ma ora lasciamo di scrivere codesta introduzione e, sebbene brevemente, ricordiamo qualcosa di più elevato in merito ai principi a partire dalla fondazione della città. </w:t>
      </w:r>
    </w:p>
    <w:p w14:paraId="503D0D77" w14:textId="77777777" w:rsidR="00B92BCD" w:rsidRPr="00096909" w:rsidRDefault="00B92BCD" w:rsidP="00B92BCD">
      <w:pPr>
        <w:spacing w:line="360" w:lineRule="auto"/>
        <w:jc w:val="both"/>
        <w:rPr>
          <w:rFonts w:ascii="Times New Roman" w:hAnsi="Times New Roman" w:cs="Times New Roman"/>
          <w:sz w:val="24"/>
          <w:szCs w:val="24"/>
        </w:rPr>
      </w:pPr>
    </w:p>
    <w:p w14:paraId="513A6BD1"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II. Genealogia dei Visconti</w:t>
      </w:r>
    </w:p>
    <w:p w14:paraId="494705BF"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Ritengo sia già abbastanza noto come i re dei Longobardi, i quali detennero il domino dell’Italia per duecento anni, fossero stati i progenitori della stirpe dei Visconti; ciò non verrà dunque illustrato da me in questa sede. Vi sono infatti antichissimi annali che lo attestano, e su questo punto concordano, tra i più recenti, Biondo nelle </w:t>
      </w:r>
      <w:r w:rsidRPr="00096909">
        <w:rPr>
          <w:rFonts w:ascii="Times New Roman" w:hAnsi="Times New Roman" w:cs="Times New Roman"/>
          <w:i/>
          <w:sz w:val="24"/>
          <w:szCs w:val="24"/>
        </w:rPr>
        <w:t>Decadi</w:t>
      </w:r>
      <w:r w:rsidRPr="00096909">
        <w:rPr>
          <w:rFonts w:ascii="Times New Roman" w:hAnsi="Times New Roman" w:cs="Times New Roman"/>
          <w:sz w:val="24"/>
          <w:szCs w:val="24"/>
        </w:rPr>
        <w:t xml:space="preserve"> e Candido nel </w:t>
      </w:r>
      <w:r w:rsidRPr="00096909">
        <w:rPr>
          <w:rFonts w:ascii="Times New Roman" w:hAnsi="Times New Roman" w:cs="Times New Roman"/>
          <w:i/>
          <w:sz w:val="24"/>
          <w:szCs w:val="24"/>
        </w:rPr>
        <w:t>Panegirico</w:t>
      </w:r>
      <w:r w:rsidRPr="00096909">
        <w:rPr>
          <w:rFonts w:ascii="Times New Roman" w:hAnsi="Times New Roman" w:cs="Times New Roman"/>
          <w:sz w:val="24"/>
          <w:szCs w:val="24"/>
        </w:rPr>
        <w:t>. Inoltre l’alessandrino Giorgio Merula ha composto un’eccellente opera storiografica per il periodo dalla fondazione di Milano ai nostri tempi. Poiché grazie a costoro appare dunque con sufficiente chiarezza l’antichità di casa Visconti, noi, che amiamo la brevità, tralasceremo le loro origini, le genealogie, i trionfi, le vittorie, i titoli, le imprese compiute in tutta l’Europa. Per quel che è pertinente alla nostra narrazione, ci limiteremo a citare il solo Matteo Visconti, degno di essere paragonato agli antichi uomini. A partire da lui i successori mantennero il dominio della città per duecento anni. Non ci soffermeremo sulle imprese realizzate da ognuno di essi, tutte del resto piuttosto note, ma ne elencheremo solamente i nomi.</w:t>
      </w:r>
    </w:p>
    <w:p w14:paraId="44B43B8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Matteo, dunque, ebbe cinque figli: Galeazzo, Marco, Luchino, Giovanni, Stefano. Scacciati dalla città i Della Torre per la seconda volta, Matteo fece ritorno in patria e in seguito, morendo, lasciò il potere al figlio Galeazzo. Da questo nacque Azzone, giovane valoroso, che regnò dopo la morte del padre. Al nipote Azzone successe Luchino; e a Luchino suo fratello, l’arcivescovo Giovanni, il più anziano dei figli di Matteo (Galeazzo, Marco e Stefano). </w:t>
      </w:r>
    </w:p>
    <w:p w14:paraId="515CFE1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[3] L’arcivescovo, deceduto alle idi di novembre dell’anno della salute nostra 1354, divise il dominio tra i tre nipoti, nati dalle nozze di Stefano con Valentina Doria: Matteo II, Galeazzo e Barnaba, detto dal popolo Bernabò. </w:t>
      </w:r>
    </w:p>
    <w:p w14:paraId="778C93D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[4] Dopo la morte di Matteo II, Barnaba e Galeazzo regnarono insieme, e furono davvero eccellenti, come in ogni altra cosa, nella promozione delle opere pubbliche. Munirono le nostre città di torri e roccaforti, edificarono templi ed ebbero bellissimi castelli in Milano: Barnaba, che nel 1378 fece anche costruire sulle rovine delle case dei Della Torre la nostra chiesa di Santa Maria della Scala, a Porta Romana, e Galeazzo a Porta Giovia. </w:t>
      </w:r>
    </w:p>
    <w:p w14:paraId="671096FD"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[5] Quest’ultimo ebbe un solo figlio: Giovanni Galeazzo, che per primo venne chiamato conte di Virtù e che scacciò Barnaba. Poco dopo fu nominato primo duca di Milano dall’imperatore Venceslao di Boemia il 13 ottobre 1396. Ebbe un figlio, Azzone, da Elisabetta, figlia del re di Francia, che morì fanciullo, e da Caterina, sua seconda moglie e figlia di Barnaba, generò Giovanni Maria e Filippo Maria, rispettivamente secondo e terzo duca di Milano. </w:t>
      </w:r>
    </w:p>
    <w:p w14:paraId="027D59B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Procurò alleanze alla casa Visconti con quasi tutti i principi cristiani, grazie alle quali conquistò anche la maggior parte dell’Italia, di cui ad oggi ancora possediamo le terre migliori. Lungo le Alpi Bergamo, Brescia, Verona, Vicenza, Padova, Bassano, Belluno, Feltre; oltre l’Adda Crema. Presso il Po Cremona, Pavia; al di là del Ticino Novara, Vercelli e Saluzzo. Delle città appartenenti ai popoli alpini, che sono detti Pedemontani, tra il Po e gli Appennini, Alba, Monsuisco, Clarasco, Cherium. Asti e le città, i castelli e i villaggi nei pressi del fiume Tanaro. Alessandria, città natale del mio maestro, Giorgio Merula, di cui essa tanto si gloria. Il Forum Fulvii, ora Valenza, e Bene Vagienna. Presso gli Appennini Tortona, Vicus Iria, detto anche Viqueria (oggi Voghera), Piacenza, nelle Alpi Bobbio, Parma, Reggio Emilia, Bologna, Lugo. Al di là degli Appennini, in Etruria, Pisa, Lucca, Siena, Assisi, Perugia, Fermo, Piceno. Le città insubri di Milano, Como, Lodi, Pavia, che sono circondate dai due laghi, il Lario e il Verbano, e dai fiumi Ticino Adda e Po. </w:t>
      </w:r>
    </w:p>
    <w:p w14:paraId="1DE80B0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I Visconti dominarono su Genova e su tutta la costa della Liguria: Savona, Vada Sabatia, Albenga, l’area Intemelia e quasi tutte le spiagge della regione dall’oriente all’occidente e altri luoghi ancora, che tralascio per affrettarmi a descrivere le nozze. </w:t>
      </w:r>
    </w:p>
    <w:p w14:paraId="69FC49A3"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[6] Dopo l’uccisione di suo fratello Giovanni Maria e la grave ribellione e le guerre pericolose sorte in seguito alle sommosse popolari, divenne duca, una volta cacciato Astorre, figlio di Barnaba, Filippo Maria, di cui l’unica figlia, Bianca Maria, colmò con il suo valore le virtù che avrebbero dimostrato molti figli maschi. Infatti, tralasciando il resto, essa si sforzò, vincendo i limiti imposti al proprio sesso, di procurarsi fama immortale, mostrando gioia esclusivamente nell’ottenere questo obbiettivo: vedere suo padre invitto, prospero suo marito, eminente suo figlio fregiato dello scettro; e lasciò figli e nipoti quali eredi del regno. Nessuna delle donne Spartane e nessuna Agrippina romana, che furono figlie, o mogli, o madri di principi fu di un tale valore. Bianca, infatti, le supera tutte, poiché le ha raggiunte nella felicità della loro condizione e ha lasciato dopo sé per lungo tempo gloria di virtù. Così attesta questo distico: «Io, Bianca, per tre volte diedi alle terre latine uomini illustri. Quale figlia, sposa e madre ebbi regnanti.»</w:t>
      </w:r>
    </w:p>
    <w:p w14:paraId="0EA1DC3E"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[7] Questo bellissimo regno passò poi a Francesco Sforza, uomo paragonabile per la grandezza delle sue opere a Scipione e a Cesare, del quale io dirò solo poche cose, dal momento che egli è già stato celebrato tanto in prosa quanto in raffinate orazioni, e ancora in numerosi commentarii. In città egli abbellì molti magnifici edifici già incominciati e altri ne fece erigere dalle fondamenta, tra cui il Morbonia, o </w:t>
      </w:r>
      <w:r w:rsidRPr="00096909">
        <w:rPr>
          <w:rFonts w:ascii="Times New Roman" w:hAnsi="Times New Roman" w:cs="Times New Roman"/>
          <w:i/>
          <w:sz w:val="24"/>
          <w:szCs w:val="24"/>
        </w:rPr>
        <w:t>Xenodochion</w:t>
      </w:r>
      <w:r w:rsidRPr="00096909">
        <w:rPr>
          <w:rFonts w:ascii="Times New Roman" w:hAnsi="Times New Roman" w:cs="Times New Roman"/>
          <w:sz w:val="24"/>
          <w:szCs w:val="24"/>
        </w:rPr>
        <w:t xml:space="preserve">, che i cittadini chiamano Ospedale, nel sito ove un tempo sorgevano le dimore di Barnaba, e quella che viene detta anche Opera dei Giganti, ovvero la Rocca di Giove, in un’area antica rimodernata. Edifici che paiono un miracolo a chi li osserva. </w:t>
      </w:r>
    </w:p>
    <w:p w14:paraId="728AEAD2"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pianta a dodici lati di questo ospedale, che ora è stato terminato, disegna una grande croce. Vi trovano posto 114 letti per i malati. I chiostri quadrati sono muniti su ogni lato di un duplice ordine di gallerie scoperte con celle e alloggi confortevoli. Gli spazi centrali e i lati di fondo presentano coperture di piante e erbe verdi. Un ampio portico di colonne in marmo molto bello abbraccia all’esterno il perimetro dell’ospedale. Altre strutture di congiuntura in mattoncini di terracotta si elevano per dare stabilità duratura all’edificio. </w:t>
      </w:r>
    </w:p>
    <w:p w14:paraId="565F724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mole della Rocca invece, oltre che dalle immense torri di marmo, dalle colonne e dai torrioni, è aumentata da costruzioni in laterizio, da cantieri lungo tutte le pareti, da sacelli, stanze e celle di ogni genere: sotterranei, volte, muraglioni, baluardi, arsenali, murature in mattoni, a tal punto che io ritengo che non debba dunque risultare ancora tanto ammirevole la reggia di Mausolo, re di Caria, che ebbe mura di blocchi di marmo più solide di ogni opera in cemento e che viene annoverata tra le sette meraviglie del mondo. </w:t>
      </w:r>
    </w:p>
    <w:p w14:paraId="26AED3BF"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[8] Da Francesco e Bianca nacque Galeazzo, quinto duca di Milano, padre del principe di cui descriviamo le nozze. Gli altri suoi figli potresti proclamarli a buon diritto semidei o eroine. Filippo, Sforza Ludovico, Ascanio, Ottaviano, Galeazzo, Sforza, Ottaviano, morti per disgrazie naturali. Tra gli altri superstiti, Filippo, anteponendo la serenità dell’animo alla politica, si diede al ritiro. Ascanio, cardinale presso la santa sede apostolica, è meritevole invece di incarichi più elevati a ragione della maturità, della costanza del suo animo e della sua prudenza. Ludovico, difensore di questo regno e sostegno del dolcissimo nipote tra i tanti pericoli delle guerre e le difficoltà dei tempi, fu, per usare il lessico degli Spartani, costantissimo. Infaticabile, pacificò tutta l’Italia e la protesse dagli Insubri con mirabile approvazione e per la comune felicità. Procurò di dare in sposa a Gian Galeazzo la figlia di sua sorella, la quale aveva sposato Alfonso, duca di Calabria, nipote di Ferdinando re di Napoli, con vantaggio e letizia di entrambe le casate e con i buoni auspici degli antenati. </w:t>
      </w:r>
    </w:p>
    <w:p w14:paraId="1BFE1FB4"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[9] Mira come in questa lieta occorrenza il tempo riviene e come una grata serie di eventi si ripeta di nuovo. Una ragione di così grande felicità appartiene a quanto ho già detto, e queste vicende non accadono senza il volere degli Dei, poiché tutte sono adeguate tra loro a un ordine propizio. Infatti, il duca che per primo conseguì questo titolo di dignità, Gian Galeazzo, fu chiamato “figlio di Galeazzo”, e trasse in sposa Isabella, figlia del re di Francia, oltre che sua consanguinea. Allo stesso modo, anche il nostro Gian Galeazzo fu chiamato “figlio di Galeazzo” e prende Isabella, figlia di colui che un giorno (come io mi auguro) sarà re di Napoli e ora ne è nipote, come sua consorte, in ragione tanto del loro matrimonio quanto della loro consanguineità. E non solo le due famiglie si scontrano per il primato della nobiltà, ma si sforzano anche di battersi perché la gloria che un tempo toccò in sorte all’uno in due donne diverse, ora in una sola spetti all’altro sia quanto al prestigio del sangue che a quello del nome.   </w:t>
      </w:r>
    </w:p>
    <w:p w14:paraId="7F1303A5" w14:textId="77777777" w:rsidR="00B92BCD" w:rsidRPr="00096909" w:rsidRDefault="00B92BCD" w:rsidP="00B92BCD">
      <w:pPr>
        <w:spacing w:line="360" w:lineRule="auto"/>
        <w:jc w:val="both"/>
        <w:rPr>
          <w:rFonts w:ascii="Times New Roman" w:hAnsi="Times New Roman" w:cs="Times New Roman"/>
          <w:sz w:val="24"/>
          <w:szCs w:val="24"/>
        </w:rPr>
      </w:pPr>
    </w:p>
    <w:p w14:paraId="177FC72E"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III. Il tempio dei milanesi </w:t>
      </w:r>
    </w:p>
    <w:p w14:paraId="1C08FB7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[1] Mi accingo in questa sezione alla descrizione del duomo. Ma poiché tale impresa risulta ancora incompiuta e la sua bellezza è straordinaria, io la lascerò a uomini più dotti e prestanti di me, che siano in grado di riferirne con adeguata orazione la singolarità, il grande esborso di denari richiesto, e tutti i suoi cantieri costantemente attivi. Pertanto, consapevole dei miei limiti, farò cenno solo a pochi argomenti.</w:t>
      </w:r>
    </w:p>
    <w:p w14:paraId="1FA3D036"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L’edificazione del tempio fu avviata da Gian Galeazzo, Conte di Virtù, che successivamente fu il primo duca di Milano, nella regione di Porta Orientale, il giorno 11 maggio dell’anno del Signore 1387, nel luogo dove un tempo sorgeva l’antico tempio del beato Biagio. Affinché la piazza prospiciente fosse più ampia si decise però che fosse abbattuta l’antichissima chiesa dedicata a santa Tecla, venerata con grande rispetto, e di ricostruirla poco distante da quella precedentemente demolita. Da qui furono trasportati nel nuovo tempio gli antichi doni votivi, le statue dei santi, il corpo di san Galdino, i vasi coi crismi e il chiodo che Dio fatto uomo e affisso alla croce bagnò del sangue salutifero. </w:t>
      </w:r>
    </w:p>
    <w:p w14:paraId="6A776222"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Il duomo si protende dall’occidente all’oriente, e con le due braccia rivolte a settentrione e a meridione sembra riprodurre la figura supina di un corpo d’uomo disteso. La sua altezza, dal punto più basso del pavimento a quello più elevato delle volte è di 83 cubiti. In larghezza si estende per 96 e in lunghezza giunge fino alla facciata del tempio antico. Quando l’opera sarà conclusa sarà ancora più lunga; al momento, per coloro che vi accedono, la lunghezza è di 176 cubiti a sinistra e 192 a destra. A questo lato mancano ancora 48 cubiti di lunghezza, all’altro 64, così che la misura corretta risulti di 240 cubiti. </w:t>
      </w:r>
    </w:p>
    <w:p w14:paraId="00FCAD3D"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Non mancherà probabilmente chi passando in esame il progetto di questo edificio con maggior cura si lamenterà delle mie molte omissioni; e che questo sia vero io lo riconosco candidamente, così come non nego di aver fatto ciò intenzionalmente. Sapevo infatti che il mio lavoro era imperfetto e che erano già in agguato i fannulloni criticoni che deridono scioccamente quel che non comprendono. Pertanto, per non subire la sorte di questa sfida come un giocatore d’azzardo sconsiderato che per vincere non si astiene dal perdere, ho ritirato il mio stilo. Tuttavia, affinché non sembri che ci siamo fiaccati nell’impresa o che abbiamo temuto qualche Zoilo baldanzoso, se ne hai piacere, o Nicola, ti spiegheremo brevemente qualcosa circa la struttura futura del tempio secondo le ragioni matematiche che le danno forma. </w:t>
      </w:r>
    </w:p>
    <w:p w14:paraId="788EAC7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[3] La costruzione si sviluppa in un tetragono di 128 cubiti per ogni lato. Tale è dunque la larghezza dei due bracci, dei quali ho già detto prima, sul cui fronte si aprono delle porte immense. Pari è l’altezza dalla terra al soffitto, di cui il punto più alto degli altri viene detto Tugurio. In questa figura quadrilatera sono iscritti tre trigoni, di cui il primo, di 96 cubiti per lato, è definito dalle linee che si fanno partire dal centro delle pareti da cui è racchiuso tutto il complesso e dal punto più alto della volta (detta anche nave). Gli altri due si elevano verso l’alto a partire dalle estremità dei bracci, che come dissi sono di 128 cubiti. L’uno disegna, con l’angolo acuto, il tiburio, l’altro la lanterna. Una linea intercorrente tra il centro del Tetragono e quello dei Trigoni interseca gli angoli più elevati ed è chiamata anima di questo edificio. Questa anima, che non è ripartibile in segmenti ma continua, non sappiamo descriverla attraverso computi matematici, ma viene decodificata grazie ad una linea fatta passare perpendicolarmente ad essa. Pertanto sarà la misura di questa linea quella dell’anima di tutto il corpo, ovvero la radice quadrata di 6912, che corrisponde a una media tra gli 83 e gli 84 cubiti. </w:t>
      </w:r>
    </w:p>
    <w:p w14:paraId="147A3622"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Da tutte le parti, invece, posso determinare l’estensione in cubiti che i nostri ingegneri chiamano braccio, che coincide con il vertice del primo triangolo e l’altezza della nave. </w:t>
      </w:r>
    </w:p>
    <w:p w14:paraId="2F7B7584"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L’anima del Tugurio (mi pare opportuno infatti impiegare il lessico che è in uso presso gli architetti) è sempre la medesima fino alla terra, ma è una linea perpendicolare assai lunga che chiude il secondo triangolo. Questa ha una radice di 12288, corrispondente a 110 cubiti. </w:t>
      </w:r>
    </w:p>
    <w:p w14:paraId="2E582784"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L’altezza della lanterna (così è detta la struttura piramidale che sovrasta il Tiburio), che viene intersecata dalla retta settrice del terzo triangolo, la determiniamo dalla radice di 21504 misurando lo spazio che va dal pavimento fino alla sommità di un altissimo pilastro, pari a circa 146 cubiti. Tale sarà, in definitiva, l’altezza finale del tempio. </w:t>
      </w:r>
    </w:p>
    <w:p w14:paraId="06F0AF46"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[4] Il Tiburio, che a causa del peso immenso dei blocchi di marmo di cui si compone arreca un grande problema a tutto il cantiere, avrà forma ottagonale, e avrà distanza tra un vertice e l’altro di 19 cubiti, che moltiplicati per 8 daranno 197. </w:t>
      </w:r>
    </w:p>
    <w:p w14:paraId="5A80CC5F"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Il tempio è inoltre tetrastilo, dal momento che ha quattro ordini di colonne e cinque navate. Le colonne più alte, su cui poggiano le prime volte, sono di 56 cubiti. Quelle centrali di 42 e le ultime di 28. Abbiamo già detto a sufficienza dell’ampiezza, della lunghezza e dell’altezza di queste.</w:t>
      </w:r>
    </w:p>
    <w:p w14:paraId="1A2D3E58"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L’intera mole non è stata intonacata secondo l’uso antico, o ricoperta di stucchi o trattata con altre tecniche di livellamento, ma è rivestita di pietre candidissime e marmi intagliati, che i marmorari conducono qui tutti interi attraverso il Lago Verbano. </w:t>
      </w:r>
    </w:p>
    <w:p w14:paraId="54BD63AD"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profondità delle fondamenta sotto terra corrisponde all’altezza verso il cielo. Le stesse fondamenta, che sono assai ampie, sono state rese salde per mezzo di livellamenti. Le colonne portanti, che hanno basamenti di otto angoli arrotondati, vengono elevate dalla base fino ai capitelli per mezzo di carrucole e scale. Ne sono state erette 43, che già reggono il loro peso, e ne mancano ancora undici al completamento dell’opera, di cui al momento vediamo già poste le basi, oltre a quelle che sono state inserite a sostegno delle pareti e degli angoli nelle sezioni tra una colonna e l’altra. Le pareti di marmo corrispondono alla simmetria delle colonne. </w:t>
      </w:r>
    </w:p>
    <w:p w14:paraId="00A5B60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All’esterno le coste delle finestre e le diverse prominenze dei pilastri sono ornati di sculture di marmo. Ugualmente belle sono quelle che all’interno sono state collocate attorno all’epistilio. Affinché tu non abbia a stimare inutile o volgare questa laboriosa descrizione delle colonne, sappi che ognuna di esse abbraccia in estensione 13 cubiti e che per la realizzazione di ciascuna vengono versate ottomila monete d’oro. Compara dunque queste con gli ornamenti delle antiche colonne, con i plinti, i fusti, i basamenti, i tori, i trochili, gli astragali, gli sporti, le asimmetrie, le volute, le Cimacie, gli zofori, i denticoli intagliati, le colonne corse, le metoche, le sime, gli acroteri; aggiungi anche quelle diversità che in base alla forma dei capitelli e dei moduli determinano gli stili corinzio, dorico, ionico, tuscanico e attico. Quanti si interessano di edifici sacri vi accostino l’austerità delle colonne doriche, la dolcezza di quelle corinzie, l’equilibrio armonico di quelle ioniche, e pesino i greci mettano pure a confronto le loro statue con le nostre, ovvero con quelle degli anelli d’Atlante, delle cariatidi vestite di leggiadri panni, dei persiani con indosso pantaloni, e con esse vengano incluse le colonne scanalate, quelle tortili, le false e le angolari eppure, in buona fede, io non stimerei di più tutte queste rispetto alle nostre creazioni, che per la robustezza dei materiali e per la nuova bellezza possono competere quanto ad ordine e decoro. </w:t>
      </w:r>
    </w:p>
    <w:p w14:paraId="7045A7C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facciata del tempio che i posteri vedranno sarà sostenuta su entrambi i lati da una coppia di torri che si eleveranno per trecento cubiti verso il cielo. Alla vista di chi lo guarda da lontano ciò che già è stato eretto pare un monte di marmo, ma se vi entrerai ti parrà una selva di colonne. </w:t>
      </w:r>
    </w:p>
    <w:p w14:paraId="3B433B3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[5] È davvero ammirevole quel che l’arte degli ingegneri è in grado di creare e come gli intagliatori sappiano modellare per te qualunque cosa tu desideri, sebbene minuscola. Gli antichi ammiravano la pietra caristia, che riuscivano a pettinare e a filare, al punto da poterla tessere per farne dei mantelli. Ma perché noi non ci stupiamo ancor di più delle abilità sviluppate nei nostri tempi che consentono di trarre qualsiasi cosa dal marmo durissimo? Infatti, per passare sotto silenzio imprese maggiori, dirò che la sapienza degli scultori sa cavare dalla durezza delle pietre rami rigogliosi, corone di fiori ondeggianti, foglie increspate, cespugli ricchi di fronde, grappoli d’edera pendenti così belli e naturali che tu li diresti modellati con cera calda anziché intagliati nella pietra. Essi creano statue nella posa d’Achille, con corazze, a cavallo o appiedate, alcune vestono toghe e altre sono nude. Tutte sembrano vive a chi considera la loro postura, i loro lineamenti e le loro armoniose proporzioni, proprio come ritengo fossero quelle dei primi che divennero celebri tra quanti per primi si dedicarono alla scultura, ovvero i cretesi Dipoeno e Scille, e prima di loro Malas, Miciade, Anterme, provenienti dall’isola di Chio, che con i loro capolavori nobilitarono la posterità. </w:t>
      </w:r>
    </w:p>
    <w:p w14:paraId="1D4386F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Ma torniamo a cose più piccole: oh quanti festoni, quante ghirlande raggianti, girali attorcigliati, e quante cornici triangolari e quadrangolari, che decorano le ampie nicchie delle finestre, vengono intrecciati in marmo come se si usassero dei fili. E il lavoro di chi regola con la livella le pietre dure, di chi leviga con le squadre i blocchi di cemento, di chi taglia i marmi portati per acque e terre, di chi eleva immense pietre con funi da carico, di chi sposta con carrucole e leve i materiali e di chi costruisce macchine da trazione non viene mai interrotto. Tutti sono attivi nello svolgere insieme il loro compito con ponti, pali, corde. Ogni anno, come sappiamo dai computi degli architetti e dai registri dei sovraintendenti, vengono consumati dai lapicidi, dagli statuari, dai carpentieri, dai fabbri e dalle altre maestranze oltre trenta mila attrezzi da lavoro. </w:t>
      </w:r>
    </w:p>
    <w:p w14:paraId="429DB7B4"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[6] Venga dunque ciascuno a questo luogo. Qui non vi è nulla dell’antico modo di costruire. Il tempio non ha i peristilii degli antichi monumenti, né ante, né prostilo, e non si sviluppa come un tempio diptero; e non regola la sua planimetria seguendo uno di quei cinque ordini consueti, di modo che possa essere detto picnostilo o diastilo, o enterostilo, o areostilo, o esastilo a seconda dell’ordine in cui sono disposte le colonne. Non vi si accede per mezzo di scalinate e non è circondato da uno spiazzo anfiteatrale. In verità, non lo nego, possiede tutte queste cose, e presenta anche ornamenti fino al vertice delle colonne e si estende in due ali su entrambi i lati. Inoltre, tale è il costo dell’esecuzione, tale l’opportunità di ogni cosa, tale l’eccellenza di questa nuova arte, che non vi troverai nulla di antico che a buon diritto tu possa mettergli a confronto, e lo stesso tentativo di farne una degna descrizione risulta una sfida più divina che umana. Chi infatti non lo abbia visto di persona non può immaginarne la bellezza dell’interno e dell’esterno, e nessuno la potrà spiegare per mezzo della scrittura, compreso io che con fatica ho trattato questa sezione. Proprio io, che pensavo fosse assai meglio tacere riguardo a una grandezza indescrivibile piuttosto che dirne poche cose. Ma l’impresa avviata mi ha spinto a cambiare il mio proposito e a prendere qualche appunto in più e la necessità, come direbbero gli antichi, mi ha costretto a salire più in alto del sandalo.</w:t>
      </w:r>
    </w:p>
    <w:p w14:paraId="379D458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[7] Non è inferiore l’ammirazione nei confronti dei venerandi flamini che ogni giorno sono presenti alle cerimonie e agli offici divini. Cento religiosi sono infatti assegnati con abbondanza al ministero sacerdotale: un arciprete; un vescovo preposto; un arcidiacono; due primiceri; i tattici, detti anche ordinari; i decumani; i notai; i mazzeconici,  ai quali spetta il compito di intonare il canto delle suppliche, delle litanie e delle lamentazioni durante i funerali; i lettori; i cantori, gli obbedientari, i custodi, a cui è preposto il Cimeliarca che ha in affido la custodia del tesoro e di quelli che i greci chiamano τα κειμηλια; i sacrestani, i fanciulli, anziani zelanti di entrambi i sessi, che, secondo il rito antico, offrono in sacrificio il pane e il vino. Inoltre i servizi agli offici sacri sono divisi tra tutti i vari collegi. A capo di tutti costoro sta l’arcivescovo, pastore di molte città. Egli è attualmente Guido Antonio Arcimboldi, appena eletto e gradito ai principi savi per la nobiltà del suo sangue, per la fede provata e per la sua abilità nel saper trattare molte questioni. A tutti questi è affidato il prezioso corredo di vasi d’oro e d’argento e di oggetti sacri. </w:t>
      </w:r>
    </w:p>
    <w:p w14:paraId="27818E1C"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Questa sia dunque la descrizione opportunamente breve del tempio, il quale, come un tempo fu iniziato dal primo duca Gian Galeazzo, così verrà terminato dal sesto duca Gian Galeazzo per la gioia auspicata di tutti. </w:t>
      </w:r>
    </w:p>
    <w:p w14:paraId="30358CE2" w14:textId="77777777" w:rsidR="00B92BCD" w:rsidRPr="00096909" w:rsidRDefault="00B92BCD" w:rsidP="00B92BCD">
      <w:pPr>
        <w:spacing w:line="360" w:lineRule="auto"/>
        <w:jc w:val="both"/>
        <w:rPr>
          <w:rFonts w:ascii="Times New Roman" w:hAnsi="Times New Roman" w:cs="Times New Roman"/>
          <w:sz w:val="24"/>
          <w:szCs w:val="24"/>
        </w:rPr>
      </w:pPr>
    </w:p>
    <w:p w14:paraId="116A833C"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IV. L’edificio rotondo davanti al Duomo.</w:t>
      </w:r>
    </w:p>
    <w:p w14:paraId="3E39531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Dinnanzi alla porta maggiore della facciata del Duomo, in uno spazio circolare, una struttura rivestita in legno offrì agli spettatori la prima cosa da ammirare. Questa, sostenuta da un colonnato octastilo, innalzata la volta, raggiungeva in altezza il pinnacolo di un tempio antico. Con la forma triangolare delle colonne e con la base ben robusta imitava le antiche costruzioni, e si estendeva per sei passi in ampiezza. Ogni colonna di questa struttura, che chiamerò per diversi motivi ora Protiro, ora Pronao, ora Sferisterio, accoglieva in quattro nicchie trentadue sculture raffiguranti illustri donne dall’aspetto e dall’abito femminile, con le proprie armi e con i propri segni distintivi rifiniti con fine arte. Gli architravi del colonnato, da cui era sostenuta la mole della costruzione, erano connessi da poderosi archi; sotto ciascuno dei quali delle ampie ruote venivano fatte girare da coppie di giovani appoggiati alle cornici superiori. Le superfici e i raggi erano fatti di edera verdeggiante; i perni, invece, e il timpano rifulgevano in oro. Sulla sommità degli archi era posto il secondo deambulatorio, che fu munito all’esterno di sei colonnine di forma quadrata, quasi come una cancellata. </w:t>
      </w:r>
    </w:p>
    <w:p w14:paraId="3834647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Sopra a questo vi era un altro Procestrion simile all’altro, per mezzo del quale si aveva accesso al tetto. Da entrambe le parti si affacciava sulla piazza e grazie al suo perimetro circolare risultava facilmente accessibile ai marchingegni. Da questo luogo si elevava un pinnacolo che saliva così in alto da essere pari in altezza ad un tempio. Il rotondo vertice della cupola e il colonnato di tre ordini erano coronati da una lanterna a piramide. Tutto l’edificio era rivestito da un tetto di cannelli in piombo ricoperti di ginepro. </w:t>
      </w:r>
    </w:p>
    <w:p w14:paraId="4CFF8A1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Ma su questa costruzione io non mi trattengo oltre. Ti sarei infatti molesto, ed è opportuno che svolga tutto il lavoro che mi son messo in proposito, e ciò sarà fatto con un esempio: di questo edificio fu l’archetipo, tolti alcuni ornamenti, la cappella di san Lorenzo che i milanesi chiamano Tugurio.  Questa struttura non è molto diversa dal vostro Battistero. </w:t>
      </w:r>
    </w:p>
    <w:p w14:paraId="0261722B" w14:textId="77777777" w:rsidR="00B92BCD" w:rsidRPr="00096909" w:rsidRDefault="00B92BCD" w:rsidP="00B92BCD">
      <w:pPr>
        <w:spacing w:line="360" w:lineRule="auto"/>
        <w:jc w:val="both"/>
        <w:rPr>
          <w:rFonts w:ascii="Times New Roman" w:hAnsi="Times New Roman" w:cs="Times New Roman"/>
          <w:sz w:val="24"/>
          <w:szCs w:val="24"/>
        </w:rPr>
      </w:pPr>
    </w:p>
    <w:p w14:paraId="6F659EFB"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V. L’arco trionfale. </w:t>
      </w:r>
    </w:p>
    <w:p w14:paraId="2890E85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Nella parte inferiore della piazza che termina con la corte dell’Arengo venne eretto un arco trionfale, maestoso nei suoi tre fornici; quello centrale più ampio ed elevato, gli altri più piccoli ma eguali per bellezza. Alla maniera degli antichi trionfi vi si vedeva scolpito in stupenda successione quel che il nostro Francesco Sforza fece combattendo nelle guerre contro i Sanniti, i bottini sottratti ai nemici e le vittorie; il modo in cui fronteggiò i valorosi veneti, e quel che di eccellente realizzò in favore dei milanesi. Qui lo vedevi correre in soccorso dell’Aquila, lì vincitore presso Caravaggio, lì ancora distruttore di Piacenza. In altra parte lo vedevi a Cremona stringere matrimonio con Bianca Maria per mezzo di un anello alla presenza delle sue ancelle. Ammira con quale beneficio del popolo egli si sia impadronito delle redini del regno entrando in questa città e dello scettro di Genova dopo tante contese. Oh gioconda intuizione della Sforzesca Virtù offerta al nostro vantaggio e invidiata persino dagli stranieri! </w:t>
      </w:r>
    </w:p>
    <w:p w14:paraId="5A2E2466"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Vessilli imperiali decoravano la sommità dell’arco e alle estremità dei lati rilucevano ricchi trofei.  </w:t>
      </w:r>
    </w:p>
    <w:p w14:paraId="3737523E" w14:textId="77777777" w:rsidR="00B92BCD" w:rsidRPr="00096909" w:rsidRDefault="00B92BCD" w:rsidP="00B92BCD">
      <w:pPr>
        <w:spacing w:after="0" w:line="360" w:lineRule="auto"/>
        <w:jc w:val="both"/>
        <w:rPr>
          <w:rFonts w:ascii="Times New Roman" w:hAnsi="Times New Roman" w:cs="Times New Roman"/>
          <w:sz w:val="24"/>
          <w:szCs w:val="24"/>
        </w:rPr>
      </w:pPr>
    </w:p>
    <w:p w14:paraId="605AF1A8" w14:textId="77777777" w:rsidR="00B92BCD" w:rsidRPr="00096909" w:rsidRDefault="00B92BCD" w:rsidP="00B92BCD">
      <w:pPr>
        <w:spacing w:after="0" w:line="360" w:lineRule="auto"/>
        <w:jc w:val="both"/>
        <w:rPr>
          <w:rFonts w:ascii="Times New Roman" w:hAnsi="Times New Roman" w:cs="Times New Roman"/>
          <w:sz w:val="24"/>
          <w:szCs w:val="24"/>
        </w:rPr>
      </w:pPr>
    </w:p>
    <w:p w14:paraId="1BF5B1C5"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VI. Il colonnato tra il tempio e l’arco.</w:t>
      </w:r>
    </w:p>
    <w:p w14:paraId="3BB19015" w14:textId="77777777" w:rsidR="00B92BCD" w:rsidRPr="00096909" w:rsidRDefault="00B92BCD" w:rsidP="00B92BCD">
      <w:pPr>
        <w:spacing w:after="0" w:line="360" w:lineRule="auto"/>
        <w:jc w:val="both"/>
        <w:rPr>
          <w:rFonts w:ascii="Times New Roman" w:hAnsi="Times New Roman" w:cs="Times New Roman"/>
          <w:sz w:val="24"/>
          <w:szCs w:val="24"/>
        </w:rPr>
      </w:pPr>
    </w:p>
    <w:p w14:paraId="25F1545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Da quest’arco fino al Pronao, che abbiamo descritto, un passaggio incluso per tutta la sua lunghezza tra colonne di edera e mirto indicava il tracciato di un’amena camminata o di una via per un trasporto piacevolissimo in portantina. Questo viale verdeggiante pareva riprendere l’aspetto di un qualche antico </w:t>
      </w:r>
      <w:r w:rsidRPr="00096909">
        <w:rPr>
          <w:rFonts w:ascii="Times New Roman" w:hAnsi="Times New Roman" w:cs="Times New Roman"/>
          <w:i/>
          <w:sz w:val="24"/>
          <w:szCs w:val="24"/>
        </w:rPr>
        <w:t>xysto</w:t>
      </w:r>
      <w:r w:rsidRPr="00096909">
        <w:rPr>
          <w:rFonts w:ascii="Times New Roman" w:hAnsi="Times New Roman" w:cs="Times New Roman"/>
          <w:sz w:val="24"/>
          <w:szCs w:val="24"/>
        </w:rPr>
        <w:t xml:space="preserve"> o </w:t>
      </w:r>
      <w:r w:rsidRPr="00096909">
        <w:rPr>
          <w:rFonts w:ascii="Times New Roman" w:hAnsi="Times New Roman" w:cs="Times New Roman"/>
          <w:i/>
          <w:sz w:val="24"/>
          <w:szCs w:val="24"/>
        </w:rPr>
        <w:t>paradromides</w:t>
      </w:r>
      <w:r w:rsidRPr="00096909">
        <w:rPr>
          <w:rFonts w:ascii="Times New Roman" w:hAnsi="Times New Roman" w:cs="Times New Roman"/>
          <w:sz w:val="24"/>
          <w:szCs w:val="24"/>
        </w:rPr>
        <w:t xml:space="preserve">. Dall’alto, alcuni archi ricurvi, fatti con lo stesso materiale, cui erano appese delle insegne connettevano le verdi colonne. </w:t>
      </w:r>
    </w:p>
    <w:p w14:paraId="363D57D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Affinché lo spiazzo apparisse più vasto vennero rimosse le bancarelle dei commercianti e smontate le tende dei pizzicagnoli, e furono scacciati le donne di malaffare, i venditori di cibarie, gli ortolani con le loro merci, le loro pietanze e gli ortaggi. Gli assalti della folla erano tenuti a bada con spranghe e con bastoni. Fu infatti curato da tutti i coinvolti che a queste nozze nulla sembrasse mancare, le quali, tanto magnifiche, furono degne di recenti monumenti letterari costruiti per durare anni. Tuttavia la morte di Ippolita, di cui senza contegno piangiamo quest’anno la perdita a Napoli quale discepola della madre Bianca e modello per la figlia Isabella, limitò la comune letizia e gli eccessi del lusso della città. </w:t>
      </w:r>
    </w:p>
    <w:p w14:paraId="6A606CFC" w14:textId="77777777" w:rsidR="00B92BCD" w:rsidRPr="00096909" w:rsidRDefault="00B92BCD" w:rsidP="00B92BCD">
      <w:pPr>
        <w:spacing w:after="0" w:line="360" w:lineRule="auto"/>
        <w:jc w:val="both"/>
        <w:rPr>
          <w:rFonts w:ascii="Times New Roman" w:hAnsi="Times New Roman" w:cs="Times New Roman"/>
          <w:sz w:val="24"/>
          <w:szCs w:val="24"/>
        </w:rPr>
      </w:pPr>
    </w:p>
    <w:p w14:paraId="1041E620" w14:textId="77777777" w:rsidR="00B92BCD" w:rsidRPr="00096909" w:rsidRDefault="00B92BCD" w:rsidP="00B92BCD">
      <w:pPr>
        <w:spacing w:after="0" w:line="360" w:lineRule="auto"/>
        <w:jc w:val="both"/>
        <w:rPr>
          <w:rFonts w:ascii="Times New Roman" w:hAnsi="Times New Roman" w:cs="Times New Roman"/>
          <w:sz w:val="24"/>
          <w:szCs w:val="24"/>
        </w:rPr>
      </w:pPr>
    </w:p>
    <w:p w14:paraId="4B2626A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VII. L’apparato del castello </w:t>
      </w:r>
    </w:p>
    <w:p w14:paraId="11A5A405" w14:textId="77777777" w:rsidR="00B92BCD" w:rsidRPr="00096909" w:rsidRDefault="00B92BCD" w:rsidP="00B92BCD">
      <w:pPr>
        <w:spacing w:after="0" w:line="360" w:lineRule="auto"/>
        <w:jc w:val="both"/>
        <w:rPr>
          <w:rFonts w:ascii="Times New Roman" w:hAnsi="Times New Roman" w:cs="Times New Roman"/>
          <w:sz w:val="24"/>
          <w:szCs w:val="24"/>
        </w:rPr>
      </w:pPr>
    </w:p>
    <w:p w14:paraId="1A921502"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Ma ora entriamo nella dimora dei re. Nella rocca di Giove, che è residenza dei sublimi principi, il cortile rivelava a quanti giungevano a quell’immenso palazzo i primi addobbi del giorno delle nozze. La sua forma è quadrangolare e per tre lati era abbracciata da un doppio loggiato. </w:t>
      </w:r>
    </w:p>
    <w:p w14:paraId="713CA24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Le mura di mattoni, elevate a mirabile altezza, al centro, tra i cornicioni, furono rivestiti di una fascia azzurra dell’altezza di due cubiti. Questa fascia era decorata con i giochi di diversi centauri e divinità dei boschi mentre al di sopra e al di sotto di essa ghirlande di ginepro, corone di edera e festoni d’alloro abbracciavano tutto il perimetro della corte alla maniera di funi intrecciate. Da questi pendevano in girali di edera le insegne sfolgoranti delle potenze ducali e delle città assoggettate. </w:t>
      </w:r>
    </w:p>
    <w:p w14:paraId="3E2957C1"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Al capo dell’ampio cortile, al di sopra dell’ambulacro, due aquile sul punto di spiccare il volo e altrettante vipere sormontate da corone radianti pendevano in stemmi rotondi. </w:t>
      </w:r>
    </w:p>
    <w:p w14:paraId="53184D2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Il quarto lato, che superava in altezza tutti gli altri portici temporanei, continuava allo stesso modo la decorazione dei lati restanti. Le colonne di sostegno, in ginepro, sorreggevano coi capitelli corinzi i fornici di fronde (quasi come se fossero stati fatti di marmo), intrecciati con una tale arte e rifiniti con verniciature d’oro al punto che non vi era alcuna mancanza di grazia o irregolarità dei rami accostati capace di diminuire il valore dell’opera. Penseresti che essi o fossero nati così o che fossero stati realizzati dal pennello di un pittore. Sotto questo loggiato, quasi come passando sotto a un pergolato di verzure, il corteo a cavallo poteva giungere alla porta della rocca rimanendo al coperto. Ma prima di lasciare il castello descriveremo la magnificenza del talamo. </w:t>
      </w:r>
    </w:p>
    <w:p w14:paraId="66556474" w14:textId="77777777" w:rsidR="00B92BCD" w:rsidRPr="00096909" w:rsidRDefault="00B92BCD" w:rsidP="00B92BCD">
      <w:pPr>
        <w:spacing w:after="0" w:line="360" w:lineRule="auto"/>
        <w:jc w:val="both"/>
        <w:rPr>
          <w:rFonts w:ascii="Times New Roman" w:hAnsi="Times New Roman" w:cs="Times New Roman"/>
          <w:sz w:val="24"/>
          <w:szCs w:val="24"/>
        </w:rPr>
      </w:pPr>
    </w:p>
    <w:p w14:paraId="74FB9D5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VIII. La decorazione del letto nuziale.</w:t>
      </w:r>
    </w:p>
    <w:p w14:paraId="73CF0AD5" w14:textId="77777777" w:rsidR="00B92BCD" w:rsidRPr="00096909" w:rsidRDefault="00B92BCD" w:rsidP="00B92BCD">
      <w:pPr>
        <w:spacing w:line="360" w:lineRule="auto"/>
        <w:jc w:val="both"/>
        <w:rPr>
          <w:rFonts w:ascii="Times New Roman" w:hAnsi="Times New Roman" w:cs="Times New Roman"/>
          <w:sz w:val="24"/>
          <w:szCs w:val="24"/>
        </w:rPr>
      </w:pPr>
    </w:p>
    <w:p w14:paraId="68DF887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[1] Temo che se entrassi come un profanatore nell’adito delle sacre porte mi accadrebbe ciò che i poeti cantano toccò in sorte al temerario Atteone e al maldicente Tantalo. Si narra che il primo, avendo osato accostarsi alla dea Diana ignuda, fu tramutato in un cervo e sbranato dai suoi cani da caccia. L’altro, invece, per aver svelato i segreti di Giove, bramò sempre in vano di cibarsi degli alimenti e degli odorosi frutti che lo fuggivano, e di dissetarsi alle acque delle onde che lo carezzavano.</w:t>
      </w:r>
    </w:p>
    <w:p w14:paraId="6283E7A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È però a tutti noto come la generosità delle famiglie Visconti e Sforza nei confronti del popolo e delle loro città si spinga fino alla paterna affezione, tanto che non solo veniamo accolti tra i tetti della reggia, ma procediamo amabilmente in compagnia dei nostri principi nelle stanze più riservate. </w:t>
      </w:r>
    </w:p>
    <w:p w14:paraId="795B772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Non sarò audace nel procedere furtivamente fino alla decorazione regale del più riposto gineceo e del giaciglio degli sposi. Non mi soffermerò nel descrivere i triclini della reggia, le sale da pranzo e le varie stanze, e non lascerò che il volgo invidioso acceda a tutti i saloni e le anticamere. Mi fermerò, piuttosto, alle spalle delle sentinelle della stanza da letto, sbirciando con riservatezza all’interno dell’appartamento degli sposi. </w:t>
      </w:r>
    </w:p>
    <w:p w14:paraId="44F7839D"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Beate dunque le pareti del talamo, le mensole e i soffitti a cassettoni sopraffini per le loro dorature e per le pitture. Un velo di seta teso dall’alto faceva ombra con la sua ampiezza regolare al nobile giaciglio. Per tutta l’estensione del velo riluceva nel centro una belva proveniente dall’Africa, premio d’antica vittoria: un imponente leone intessuto di perle, di quella mole che lo rende il signore delle foreste. Era accucciato e il suo ventre avvolto da fiamme zampillanti, il capo alto e minaccioso con un elmo ricoperto da un velo di lino con delle scritte. Giacendo col resto del corpo, reggeva tra le zampe anteriori un ramo cui erano appese delle anfore colme d’acqua. Questo disegno non era stato intessuto in oro o intrecciando tessuti preziosi di vari colori, ma era stato composto accostando molte perle delle più pure e biancheggianti. Di perle il leone con l’elmo, di perle il ramo infiammato, di perle le anfore stillanti; ogni cosa di perle come se tutto fosse stato coperto da una preziosa grandinata. Già si citano a gara l’antica arte orafa e i giacigli argentei, e si fa sfoggio dei globi di cedro con i piedi d’avorio, e si ricordano ammirati anche i gusci di tartaruga tagliati in lamine per rivestire i letti. Ma si sa che tutte queste cose non raggiungeranno la millesima parte della bellezza del nostro talamo. </w:t>
      </w:r>
    </w:p>
    <w:p w14:paraId="6680F387"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Oltre al leone anche la restante superficie dorata del velo era abbellita abbondantemente da perle. Procedendo dai quattro angoli, a imitazione di raggi di sole che si incurvino, alcune fruste attorcigliate colpivano con vibrante chiarore il leone. In altre parti le perle erano disposte in forma di alberi e di fiori lungo le morbide pieghe che percorrevano tutto il velo alla maniera dei flutti del sinuoso Euripo. Dello stesso colore erano anche le coperte del morbido letto, ma ricche di perle di grandezza maggiore, che si offrivano all’eccellenza del principe. Su ciascuno degli angoli era disposto un leone fatto allo stesso modo di perle. Al centro del letto vi era il più grande di tutti i leoni, disegnato non tra raggi, come quello superiore, ma con chiome leonine recanti la scritta ICH HOF. Cinque furono dunque i leoni in questa coperta ricamati minutamente con grande impegno dei gioiellieri, e ciascuno di essi deve essere ammirato con la stessa ammirazione per il capolavoro pendente del velo. </w:t>
      </w:r>
    </w:p>
    <w:p w14:paraId="7C0B658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[3] Ora, uno a sorte dei molti curiosi consideri la somma di quattrocento sesterzi, appartenuta a Marco Lollio, che Paolina, moglie dell’imperatore Caligola, spese per presentarsi alle cene rivestita di perle, e la metta a confronto con i cinque leoni di questa coperta e con quello del velo pendente dai lacunari, e ancora con quello di cui erano adorne le pareti di fondo del letto, tutti confezionati intessendo perle; vi aggiunga poi tutti i raggi, i fiori, gli alberi, le anfore, i fuochi, i rami, e persino gli stessi orli, rifulgenti di perle unite in grappoli, e non solo si convincerà che sia stata vinta la nipote di Lollio, ma affermerà che né Tetide in Tessalia né Giunone a Samo ebbero mai un simile talamo, e testimonierà persino che né Venere, né le Nereidi o ogni creatura che vive in tutto il mare dentro alle conchiglie possa vantare giaciglio più bello di quello di Isabella. </w:t>
      </w:r>
    </w:p>
    <w:p w14:paraId="5C438E17" w14:textId="77777777" w:rsidR="00B92BCD" w:rsidRPr="00096909" w:rsidRDefault="00B92BCD" w:rsidP="00B92BCD">
      <w:pPr>
        <w:spacing w:line="360" w:lineRule="auto"/>
        <w:jc w:val="both"/>
        <w:rPr>
          <w:rFonts w:ascii="Times New Roman" w:hAnsi="Times New Roman" w:cs="Times New Roman"/>
          <w:sz w:val="24"/>
          <w:szCs w:val="24"/>
        </w:rPr>
      </w:pPr>
    </w:p>
    <w:p w14:paraId="26AEE74B"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IX. Il rivestimento delle vie e la decorazione festiva della città. </w:t>
      </w:r>
    </w:p>
    <w:p w14:paraId="1EEBE10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Coloro che uscendo dalla porta della rocca lasciavano le delizie della stanza da letto e la frescura dei portici verdeggianti erano accolti da un’altra continua ombra. Questa fu la distesa gemmata di un baldacchino dorato sorretto da aste decorate, che quanti erano più forniti di scienza e dignità trasportavano a mano in ogni luogo facendo a gara per starvi sotto. </w:t>
      </w:r>
    </w:p>
    <w:p w14:paraId="5A2530B2"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Il duomo dista da questo castello circa mille passi. Tutto questo spazio, che in alcuni punti raggiunge l’ampiezza di otto e in altri per dieci cubiti, fu ricoperto di un panno di lana, così che avresti creduto che ogni svolta delle strade fosse stata rivestita o di marmi rilucenti o di velari teatrali. Non vi fu parte delle case che ricevesse scoperta la luce del sole, le vie procedevano rivestite di certi tappeti, tutti i muri foderati di tendaggi, ogni cosa come coperta da velami. Nulla di privato o di quotidiano, ma tutto sontuoso e lussuoso per solenne magnificenza; al punto che, in tanta varietà di drappi dipinti e tessiture di colori diversi, cosa mai ammireremo nei pavimenti antichi a mosaico, o ad asarota, o finemente piastrellati? Cosa dei soffitti ad encausto o lavorati con mosaici e intarsi? Tralascio le soglie dei singoli cittadini, i quali diversamente dal consueto, imitarono le dimore attaliche, frigie, alessandrine, babilonesi, trasformando per mezzo del bosso reciso, del mirto frondoso, dell’edera modellata, del ginepro ombroso e dell’olivo biondeggiante i balconi, i giardini, le zanzariere sotto i portici e gli antri d’ingresso. </w:t>
      </w:r>
    </w:p>
    <w:p w14:paraId="5FCA045D"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In molti luoghi offrivano diletto, alla folla sempre crescente di quanti accorrevano, marchingegni di salita, lucerne sospese con più lumi, pegmata con fanciulli cantori e varie specie di animali. Io stesso vidi lanciare da corni di legno da Acheloo e dalle ninfe foglioline d’oro e lamine svolazzanti di metallo prezioso, come da cornucopie. Incensieri profumavano ogni cosa con graditi sbuffi di profumo. Per le vie in festa le armonie dei ritornelli risonanti onorarono i principi salutati da nuvole di fumi preziosi. </w:t>
      </w:r>
    </w:p>
    <w:p w14:paraId="64164C9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[3] Per trattenere l’avanzata del popolo si aggiravano alcuni personaggi mascherati ricoperti di stracci e con maschere di pergamena, parlanti in modo ridicolo, che distinguendosi o per il loro aspetto immane, o per il suono dei loro denti digrignanti, o per una follia da vecchia ubriaca spaventavano gli spettatori. Reputiamo che tali fossero presso i romani nei giochi del circo, le petreie, le cicerie e i manduchi.</w:t>
      </w:r>
    </w:p>
    <w:p w14:paraId="4685DAEE" w14:textId="77777777" w:rsidR="00B92BCD" w:rsidRPr="00096909" w:rsidRDefault="00B92BCD" w:rsidP="00B92BCD">
      <w:pPr>
        <w:spacing w:line="360" w:lineRule="auto"/>
        <w:jc w:val="both"/>
        <w:rPr>
          <w:rFonts w:ascii="Times New Roman" w:hAnsi="Times New Roman" w:cs="Times New Roman"/>
          <w:sz w:val="24"/>
          <w:szCs w:val="24"/>
        </w:rPr>
      </w:pPr>
    </w:p>
    <w:p w14:paraId="182CC9A2"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X. La pompa di sacerdoti e militari. </w:t>
      </w:r>
    </w:p>
    <w:p w14:paraId="09401848"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Nel solenne giorno delle nozze furono convocati da ogni convento e luogo devoto tutti i collegi sacerdotali di cui la città si lustrava. Furono indette suppliche per tutta la capitale. Poi, dopo essersi disposti in fila dietro al vessillo dell’unità cristiana, avanzarono in processione dalla rocca fino all’arco in veste talare e sacri paramenti, accompagnati dai carri votivi, dai simulacri, dai candelieri, dai vasi per le libagioni e da quelli in oro e argento. Fu davvero ingente la schiera di pontefici, protonotai, abati, pastofori, sacerdoti, leviti, accoliti e altri religiosi che al passaggio del principe cantarono a cori alterni </w:t>
      </w:r>
      <w:r w:rsidRPr="00096909">
        <w:rPr>
          <w:rFonts w:ascii="Times New Roman" w:hAnsi="Times New Roman" w:cs="Times New Roman"/>
          <w:i/>
          <w:sz w:val="24"/>
          <w:szCs w:val="24"/>
        </w:rPr>
        <w:t>Te Deum laudamus</w:t>
      </w:r>
      <w:r w:rsidRPr="00096909">
        <w:rPr>
          <w:rFonts w:ascii="Times New Roman" w:hAnsi="Times New Roman" w:cs="Times New Roman"/>
          <w:sz w:val="24"/>
          <w:szCs w:val="24"/>
        </w:rPr>
        <w:t xml:space="preserve">. </w:t>
      </w:r>
    </w:p>
    <w:p w14:paraId="7AF0401E"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Dall’altra parte, disposti nello stesso schieramento, vi erano gli ordini militari: generali, astati, triarii, ferentarii, antesignani, centurioni, tribuni, primipili, lanciatori, sagittari, frombolieri, balestrieri, scorpionarii, decurioni, veliti, militari in abito alla greca, cavalieri in armatura, muniti di scudi, di elmi e di schinieri. Ogni cosa vibrava per l’orrore delle loro armi e il suono delle trombe. </w:t>
      </w:r>
    </w:p>
    <w:p w14:paraId="6DD8C76A" w14:textId="77777777" w:rsidR="00B92BCD" w:rsidRPr="00096909" w:rsidRDefault="00B92BCD" w:rsidP="00B92BCD">
      <w:pPr>
        <w:spacing w:line="360" w:lineRule="auto"/>
        <w:jc w:val="both"/>
        <w:rPr>
          <w:rFonts w:ascii="Times New Roman" w:hAnsi="Times New Roman" w:cs="Times New Roman"/>
          <w:sz w:val="24"/>
          <w:szCs w:val="24"/>
        </w:rPr>
      </w:pPr>
    </w:p>
    <w:p w14:paraId="30672BEA"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XI. L’uscita del principe e il corteo. </w:t>
      </w:r>
    </w:p>
    <w:p w14:paraId="010C73F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Disposta così ogni cosa, al termine della mattinata, verso l’ora sesta di quel giorno mirabile in cui la Vergine Madre presentò Cristo a Simeone, nel quarto giorno precedente le none di febbraio, gli insigni principi uscirono dalla porta del castello su cavalli da parata e si posero sotto il riparo del prospiciente baldacchino che ho descritto. Dinnanzi al principe avanzava l’inclito Ludovico, regale nell’aspetto e di saggezza senile, mirabile nella sua veste ricchissima, su un cavallo spumante per la furia. Sotto lo stesso baldacchino si offriva alla scena il principe, in aurea clamide ornata di perle e sfavillante tessuto, con una grande collana al collo, quale mai crediamo ne ebbe Cleopatra. Al suo fianco lo accompagnava Isabella, pari a lui per abito e sembiante, insieme al coro delle vergini che li scortava. </w:t>
      </w:r>
    </w:p>
    <w:p w14:paraId="55C9C144"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Li precedeva con la spada del comando, ovvero con l’occhio preveggente della giustizia, Hermes, generoso fratello del magnanimo duca, e l’ammirevole folla di notabili, oratori, governatori, conti, marchesi, cavalieri, consiglieri, magistrati e cortigiani.  Dietro seguiva un lungo corteo. Dalle mura del castello i medici, nell’abito ufficiale purpureo dell’arte, ressero per primi il baldacchino pendente dal sommo delle aste decorate. </w:t>
      </w:r>
    </w:p>
    <w:p w14:paraId="3808352E"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[2] Fu così disordinata la confusione del popolo che accorreva e si accalcava che molti si urtavano nella calca quasi priva di vie di fuga. Tutte le strade risuonavano di giochi, strepiti, applausi e canti. Ovunque si udivano organi, timpani, cembali, sistri, nacchere. Ogni posto, a partire dal castello fino al tempio, venne occupato dalla massa inarrestabile di spettatori, uomini e donne, pressati sull’uscio dei negozi, sui rialzi, presso le finestre, le pareti delle case, le botteghe, sui torrioni, le tettoie, le logge, le postazioni di guardia, i soffitti, e affacciati ai battenti e alle porte.  Si aggiungano i soffitti, le grondaie, e i fastigi fittamente stipati di spettatori.</w:t>
      </w:r>
    </w:p>
    <w:p w14:paraId="2DED051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[3] Quando, tra le acclamazioni di festa, si giunse all’arco trionfale, circa quaranta nobildonne, il fiore dell’aristocrazia d’Insubria e Liguria, rifulgenti in vesti d’oro e seta e coperte di ori, gemme e perle, che avevano sapientemente diviso tra i capelli che alcune portavano raccolti in acconciature, altre sciolti lungo la nivea fronte e il collo color del latte, e molte ancora riuniti in trecce, ricevettero riverentemente Isabella facendosi a lei incontro dalla vicina corte. Erano le donne più nobili al mondo. Salutarono la regina e poi, disponendosi al centro del bellissimo corteo, figurarono per noi un convegno di divinità. Tu l’avresti creduta una casta Diana, quand’anche sia così austera, che insieme alle ninfe avesse rinunciato alle battute di caccia, o una Venere dorata, sebbene così sensuale, che con le Grazie e le Ore risplendenti fosse discesa dal cielo in un carezzevole vento. </w:t>
      </w:r>
    </w:p>
    <w:p w14:paraId="78E94C52"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Poi i giuristi, in porpora e oro, bramosi di accogliere tra le loro mani le aste del baldacchino eseguirono il loro compito. Gli altri, a cui fu ordinato di smontare dai cavalli, dopo aver contemplato la gloria di Francesco nell’arco, accompagnarono i principi allo Sferisterio attraverso il passaggio di colonne, i quali lasciati i cavalli all’ingresso del foro entrarono con grande reverenza nel duomo, sotto un pergolato di diciassette stupende colonne per lato connesse da archi che conduceva all’altare, opera apprezzabile alla vista e rifinita con arte, che si distingueva per la varietà di edere e lauro impiegati.   </w:t>
      </w:r>
    </w:p>
    <w:p w14:paraId="2921E77E" w14:textId="77777777" w:rsidR="00B92BCD" w:rsidRPr="00096909" w:rsidRDefault="00B92BCD" w:rsidP="00B92BCD">
      <w:pPr>
        <w:spacing w:line="360" w:lineRule="auto"/>
        <w:jc w:val="both"/>
        <w:rPr>
          <w:rFonts w:ascii="Times New Roman" w:hAnsi="Times New Roman" w:cs="Times New Roman"/>
          <w:sz w:val="24"/>
          <w:szCs w:val="24"/>
        </w:rPr>
      </w:pPr>
    </w:p>
    <w:p w14:paraId="14BA9070"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XII. L’altare e la sua decorazione.</w:t>
      </w:r>
    </w:p>
    <w:p w14:paraId="5443CCFD"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L’altare, elevato da terra all’altezza di cinque cubiti, fu costruito in quella parte dove sorgeva quello antico, tra il secondo e il terzo ordine di colonne che ponendosi in circolo reggevano la volta maggiore del tempio.  Traslato quello antico in un altro luogo, la scalinata di accesso si apriva placidamente dalle quattro colonne marmoree che per grandezza e spessore erano più imponenti delle altre e che sostenevano dai due lati la sommità del tempio, ovvero il tugurio. Dopo aver percosso molti passi lungo la navata si accedeva quasi ad un palco teatrale. Da una piattaforma si giungeva a due gradini, superati i quali, su un piano di assi di legno tutto della medesima altezza ti imbattevi in un altro gradone, e dopo averlo salito, trovandoti nuovamente su una superficie piana, era possibile accedere all’altare da tre gradini. Due lectisteri, entrambi sormontati da tendaggi dorati, accolsero i principi. </w:t>
      </w:r>
    </w:p>
    <w:p w14:paraId="481BD782"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Sul retro, scale di quindici gradini che partivano dal pavimento davano l’accesso ai ministranti e agli accoliti preposti alle cerimonie del vescovo e a tutte le cose occorrenti per l’officio, che in quel giorno fu davvero molto solenne.  </w:t>
      </w:r>
    </w:p>
    <w:p w14:paraId="6F2768A5"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Sopra l’altare si trovava un apparato dell’ampiezza corrispondente allo spazio tra le seconde colonne, che innalzandosi gradatamente per sette ripiani molto estesi si restringeva verso il vertice. Nelle nicchie di questa struttura venne disposto un tesoro. Non quello dell’erario, né il corredo pubblico del nostro principe, bensì una parte dei bene raccolti dalla parsimonia del grande Ludovico: trofei, coppe, vasi, bacili, cantari, calici, vasellami adorni di gemme, urne in oro provato dal fuoco o argento purissimo, realizzati dall’ingegno sopraffino degli artigiani. Altri erano fatti di cristallo, di elettro, madre perla, e pietre preziose modellati in scaglie. Alcuni bassorilievi erano sorretti da un basamento argenteo in forma di piedi d’animale. Tralascio le statue dei santi, i vasi sacri e i molti candelabri: erano sessanta, sotto ciascuno dei quali faticavano quattro figure di uomini che li reggevano e che attirarono l’ammirazione di tutti per la loro altezza tra i tre e i quattro cubiti. </w:t>
      </w:r>
    </w:p>
    <w:p w14:paraId="55E67AA6" w14:textId="77777777" w:rsidR="00B92BCD" w:rsidRPr="00096909" w:rsidRDefault="00B92BCD" w:rsidP="00B92BCD">
      <w:pPr>
        <w:spacing w:line="360" w:lineRule="auto"/>
        <w:jc w:val="both"/>
        <w:rPr>
          <w:rFonts w:ascii="Times New Roman" w:hAnsi="Times New Roman" w:cs="Times New Roman"/>
          <w:sz w:val="24"/>
          <w:szCs w:val="24"/>
        </w:rPr>
      </w:pPr>
    </w:p>
    <w:p w14:paraId="05FC2420"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XIII. Il pontificale. </w:t>
      </w:r>
    </w:p>
    <w:p w14:paraId="35028FBB"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Dopo che gli invitati ebbero preso posto, Fabrizio Marlian</w:t>
      </w:r>
      <w:r w:rsidR="00F3590E">
        <w:rPr>
          <w:rFonts w:ascii="Times New Roman" w:hAnsi="Times New Roman" w:cs="Times New Roman"/>
          <w:sz w:val="24"/>
          <w:szCs w:val="24"/>
        </w:rPr>
        <w:t>i</w:t>
      </w:r>
      <w:r w:rsidRPr="00096909">
        <w:rPr>
          <w:rFonts w:ascii="Times New Roman" w:hAnsi="Times New Roman" w:cs="Times New Roman"/>
          <w:sz w:val="24"/>
          <w:szCs w:val="24"/>
        </w:rPr>
        <w:t xml:space="preserve">, vescovo di Piacenza, compì il sacrificio secondo il rito, accompagnato ora dal canto di alcuni cantori gallici, ora da un concerto di trombe che sosteneva il coro nell’esecuzione. Poi Federico Sanseverino, figlio del celebre Roberto e vescovo di Maillezais, fattosi avanti pronunciò elegantemente l’orazione. </w:t>
      </w:r>
    </w:p>
    <w:p w14:paraId="3E50C3F0"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Dopo il sermone in volgare la cerimonia proseguì. Alla destra Gian Galeazzo, a sinistra Isabella, al centro il divino Ludovico che prendendo con zelo la mano della vergine per gli imenei, dopo il sacro scambio degli anelli, consegnò la sposa allo sposo. </w:t>
      </w:r>
    </w:p>
    <w:p w14:paraId="3B79A135" w14:textId="77777777" w:rsidR="00B92BCD" w:rsidRPr="00096909" w:rsidRDefault="00B92BCD" w:rsidP="00B92BCD">
      <w:pPr>
        <w:spacing w:line="360" w:lineRule="auto"/>
        <w:jc w:val="both"/>
        <w:rPr>
          <w:rFonts w:ascii="Times New Roman" w:hAnsi="Times New Roman" w:cs="Times New Roman"/>
          <w:sz w:val="24"/>
          <w:szCs w:val="24"/>
        </w:rPr>
      </w:pPr>
    </w:p>
    <w:p w14:paraId="442A51FC"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XIV. L’assegnazione del titolo cavalleresco a due gentiluomini e il numero degli spettatori.</w:t>
      </w:r>
    </w:p>
    <w:p w14:paraId="26980152"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Senza porre altri indugi, due valentissimi uomini, già da tempo degni di un tale onore, ovvero Bartolomeo Calco, primo segretario ducale, e Pietro di Boccaccini Alamanni, ambasciatore della Repubblica di Firenze, furono elevati all’ordine equestre. Essi furono cinti dall’illustrissimo duca del parazonio e delle insegne militari dorate dell’ordine. </w:t>
      </w:r>
    </w:p>
    <w:p w14:paraId="3077794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Dopodiché si fece rientro al castello con la stessa abbondanza di popolo che ammirava dalle proprie postazioni il felice ritorno.  Coloro che attesero il corteo del duca dalle guardiole e dai punti di sosta delle vie furono stimati oltre i centomila, e non si poteva contare il numero di forestieri accorsi numerosi, tanto che così veniva attestato quel che Stefano aveva scritto negli </w:t>
      </w:r>
      <w:r w:rsidRPr="00096909">
        <w:rPr>
          <w:rFonts w:ascii="Times New Roman" w:hAnsi="Times New Roman" w:cs="Times New Roman"/>
          <w:i/>
          <w:sz w:val="24"/>
          <w:szCs w:val="24"/>
        </w:rPr>
        <w:t>Ethnika</w:t>
      </w:r>
      <w:r w:rsidRPr="00096909">
        <w:rPr>
          <w:rFonts w:ascii="Times New Roman" w:hAnsi="Times New Roman" w:cs="Times New Roman"/>
          <w:sz w:val="24"/>
          <w:szCs w:val="24"/>
        </w:rPr>
        <w:t xml:space="preserve"> </w:t>
      </w:r>
      <w:r w:rsidRPr="00096909">
        <w:rPr>
          <w:rFonts w:ascii="Times New Roman" w:hAnsi="Times New Roman" w:cs="Times New Roman"/>
          <w:sz w:val="24"/>
          <w:szCs w:val="24"/>
          <w:lang w:val="en-US"/>
        </w:rPr>
        <w:t>Μεδιωλανιον</w:t>
      </w:r>
      <w:r w:rsidRPr="00096909">
        <w:rPr>
          <w:rFonts w:ascii="Times New Roman" w:hAnsi="Times New Roman" w:cs="Times New Roman"/>
          <w:sz w:val="24"/>
          <w:szCs w:val="24"/>
        </w:rPr>
        <w:t xml:space="preserve"> </w:t>
      </w:r>
      <w:r w:rsidRPr="00096909">
        <w:rPr>
          <w:rFonts w:ascii="Times New Roman" w:hAnsi="Times New Roman" w:cs="Times New Roman"/>
          <w:sz w:val="24"/>
          <w:szCs w:val="24"/>
          <w:lang w:val="en-US"/>
        </w:rPr>
        <w:t>πολυανθρωπος</w:t>
      </w:r>
      <w:r w:rsidRPr="00096909">
        <w:rPr>
          <w:rFonts w:ascii="Times New Roman" w:hAnsi="Times New Roman" w:cs="Times New Roman"/>
          <w:sz w:val="24"/>
          <w:szCs w:val="24"/>
        </w:rPr>
        <w:t xml:space="preserve"> </w:t>
      </w:r>
      <w:r w:rsidRPr="00096909">
        <w:rPr>
          <w:rFonts w:ascii="Times New Roman" w:hAnsi="Times New Roman" w:cs="Times New Roman"/>
          <w:sz w:val="24"/>
          <w:szCs w:val="24"/>
          <w:lang w:val="en-US"/>
        </w:rPr>
        <w:t>πολις,</w:t>
      </w:r>
      <w:r w:rsidRPr="00096909">
        <w:rPr>
          <w:rFonts w:ascii="Times New Roman" w:hAnsi="Times New Roman" w:cs="Times New Roman"/>
          <w:sz w:val="24"/>
          <w:szCs w:val="24"/>
        </w:rPr>
        <w:t xml:space="preserve"> e quel che canta un emistichio di Ausonio: </w:t>
      </w:r>
      <w:r w:rsidRPr="00096909">
        <w:rPr>
          <w:rFonts w:ascii="Times New Roman" w:hAnsi="Times New Roman" w:cs="Times New Roman"/>
          <w:i/>
          <w:sz w:val="24"/>
          <w:szCs w:val="24"/>
        </w:rPr>
        <w:t>Et Mediolani mira omnia</w:t>
      </w:r>
      <w:r w:rsidRPr="00096909">
        <w:rPr>
          <w:rFonts w:ascii="Times New Roman" w:hAnsi="Times New Roman" w:cs="Times New Roman"/>
          <w:sz w:val="24"/>
          <w:szCs w:val="24"/>
        </w:rPr>
        <w:t xml:space="preserve">. </w:t>
      </w:r>
    </w:p>
    <w:p w14:paraId="7274BED5" w14:textId="77777777" w:rsidR="00B92BCD" w:rsidRPr="00096909" w:rsidRDefault="00B92BCD" w:rsidP="00B92BCD">
      <w:pPr>
        <w:spacing w:line="360" w:lineRule="auto"/>
        <w:jc w:val="both"/>
        <w:rPr>
          <w:rFonts w:ascii="Times New Roman" w:hAnsi="Times New Roman" w:cs="Times New Roman"/>
          <w:sz w:val="24"/>
          <w:szCs w:val="24"/>
        </w:rPr>
      </w:pPr>
    </w:p>
    <w:p w14:paraId="03C9DF01"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XV. Fortuna del nostro principe.</w:t>
      </w:r>
    </w:p>
    <w:p w14:paraId="727CD2F2"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Non passerò sotto silenzio soltanto uno dei molti fatti che mi pare aumenti l’ammirazione dell’evento. Nei giorni in cui si preparavano questi festeggiamenti vi fu una tale abbondanza di pioggia che, colme tutte le canaline di scolo, ogni cosa pareva nuotare nel reflusso delle acque, che le opere completate rovinassero a causa dell’umidità e tutto stesse per crollare. E così fu fino alla notte precedente, dopo cui l’Aurora illuminò le tenebre di un sereno completo. Quel giorno, infine, fu colmo di terso chiarore, tanto che molti interpretarono tale fatto come un segno di approvazione delle nozze da parte degli dei. Quel che le piogge incessanti durante la notte avevano sottratto alla gioia del principe lo restituirono al mattino gli spettacoli. </w:t>
      </w:r>
    </w:p>
    <w:p w14:paraId="39B586D9" w14:textId="77777777" w:rsidR="00B92BCD" w:rsidRPr="00096909" w:rsidRDefault="00B92BCD" w:rsidP="00B92BCD">
      <w:pPr>
        <w:spacing w:line="360" w:lineRule="auto"/>
        <w:jc w:val="both"/>
        <w:rPr>
          <w:rFonts w:ascii="Times New Roman" w:hAnsi="Times New Roman" w:cs="Times New Roman"/>
          <w:sz w:val="24"/>
          <w:szCs w:val="24"/>
        </w:rPr>
      </w:pPr>
    </w:p>
    <w:p w14:paraId="04031345"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XVI. Le lodi di Milano e delle nozze</w:t>
      </w:r>
    </w:p>
    <w:p w14:paraId="0506E8C8"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Milano è città gradita tanto agli dei quanto agli uomini, non perché ciò è detto nei libri antichi o in base alla gloria conseguita nei nostri tempi. Essa fu sempre madre di ricchezze e sede eletta di grandi principi. Non ricordo ora le bellezze della città, i suoi campi rigogliosi di frutti e le comodità che essa offre in pace e in guerra e che gli imperatori romani già sufficientemente illustrarono, i quali, quando lasciavano Roma e il Lazio, sovente si rivolsero a questa come a un giardino di delizie. Così fecero Traiano, Adriano e molti altri principi in seguito fino a Teodosio, il quale visse proprio a Milano. Suo figlio Onorio, imperatore d’occidente, prese in sposa a Milano Maria, figlia di Stilicone. Ma io a stento potrei paragonare quelle nozze alle nostre, in cui prestarono servizio i più eccelsi principi del mondo, le potenze eccellenti d’Europa vi mandarono ambasciatori e doni, la folla di tutto il popolo vi applaudì. Vi presenziarono i figli del divino Francesco: Filippo, Giulio, Sforza e Ludovico, certamente il primo di tutti i principi, senza alcuna invidia, quanto a prudenza e grandezza d’animo. </w:t>
      </w:r>
    </w:p>
    <w:p w14:paraId="751CE24C" w14:textId="77777777" w:rsidR="00B92BCD" w:rsidRPr="00096909" w:rsidRDefault="00B92BCD" w:rsidP="00B92BCD">
      <w:pPr>
        <w:spacing w:line="360" w:lineRule="auto"/>
        <w:jc w:val="both"/>
        <w:rPr>
          <w:rFonts w:ascii="Times New Roman" w:hAnsi="Times New Roman" w:cs="Times New Roman"/>
          <w:sz w:val="24"/>
          <w:szCs w:val="24"/>
        </w:rPr>
      </w:pPr>
    </w:p>
    <w:p w14:paraId="70226CCD"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XVII. L’eccellenza delle nozze.</w:t>
      </w:r>
    </w:p>
    <w:p w14:paraId="73B4E397"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Diedero lustro allo splendore delle nozze anche due uomini, tra i più potenti di quanti vivono al di qua delle alpi: il marchese Gianfrancesco Pallavicino e il conte Giovanni Borromeo. Costoro, congedata la schiera di paggi con cui sono soliti incedere e posto il loro cavallo a distanza nel seguito, si misero come fanti rivestiti di toghe raggianti tessute in oro e gemme alla briglia del cavallo di Isabella, come Paraninfi, e avanzando per tutta la via a piedi la introdussero nel duomo. Per Ercole, guarda cosa fu l’eccellenza di tali nozze, cui uomini di sì grande valore non disdegnarono di prestare servizio e di compiere per la Sposa l’officio di valletti e paggi. </w:t>
      </w:r>
    </w:p>
    <w:p w14:paraId="7D8C0014" w14:textId="77777777" w:rsidR="00B92BCD" w:rsidRPr="00096909" w:rsidRDefault="00B92BCD" w:rsidP="00B92BCD">
      <w:pPr>
        <w:spacing w:line="360" w:lineRule="auto"/>
        <w:jc w:val="both"/>
        <w:rPr>
          <w:rFonts w:ascii="Times New Roman" w:hAnsi="Times New Roman" w:cs="Times New Roman"/>
          <w:sz w:val="24"/>
          <w:szCs w:val="24"/>
        </w:rPr>
      </w:pPr>
    </w:p>
    <w:p w14:paraId="7EEBF294"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XVIII. Epilogo.</w:t>
      </w:r>
    </w:p>
    <w:p w14:paraId="3CC60696"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Queste sono, o Nicola carissimo, le cose che io ho reputato di scriverti riguardo queste nozze: l’aspetto degli edifici, l’apparato della città, il concorso di popolo, l’ordine della cerimonia, la magnificenza di Milano in ogni cosa. Io le ho raccolte sinteticamente in questi capitoli affinché tu, grazie alla tua eloquenza, le possa esporre più diffusamente in un discorso retoricamente impostato. Io sono infatti occupato nella correzione di un’altra opera e non mi azzardo ad accostarmi con fine stilo ad argomenti tanto alti. </w:t>
      </w:r>
    </w:p>
    <w:p w14:paraId="13F774D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Ho riferito gli eventi a cui io stesso fui presente, quelli che ho visto, così come essi accaddero. Niente invece ho scritto in merito alla navigazione da Napoli a Genova, o di quale fu la gioia e l’abbondanza delle accoglienze dei genovesi, o di quali imprese e apparati dispose Bergonzio Botta a Tortona, davvero eccellente in tal cosa e che non si trattenne in nulla nel dimostrare la generosità del proprio animo verso il suo signore. Non dissi delle cerimonie e delle congratulazioni composte a Vigevano e dagli alti abitanti delle terre insubri; né dei doni delle città federate che essi stessi decisero di affidare alle opere dei letterati. Ciascuna infatti di queste cose meriterebbe di essere trattata separatamente in un volume. Ad esempio, quale fu la decorazione delle imbarcazioni, quale la felicità dei nobili, quanta la folla di tutta la città che accorse al canale scavato dietro il castello per vedere scendere Isabella dalla nave coperta che alcuni chiamano Neotericon, altri Bucinatorio e altri ancora Bucintoro. Non era possibile dirlo in stile epistolare. </w:t>
      </w:r>
    </w:p>
    <w:p w14:paraId="174A5FD5"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Noi, senza più fiducia nella nostra musa, abbiamo lasciato i lussi dei convivi milanesi, i banchetti di vivande regali e le varie danze ai poeti licenziosi, che forse ora si diletteranno in epitalami. Non si addice a noi privati fare i conti delle spese pubbliche. </w:t>
      </w:r>
    </w:p>
    <w:p w14:paraId="1B4B2E4C"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Stammi bene, o Eminentissimo. Milano 20 febbraio 1489.  </w:t>
      </w:r>
    </w:p>
    <w:p w14:paraId="2E3BCAC4" w14:textId="77777777" w:rsidR="00B92BCD" w:rsidRPr="00096909" w:rsidRDefault="00B92BCD" w:rsidP="00B92BCD">
      <w:pPr>
        <w:spacing w:after="0" w:line="360" w:lineRule="auto"/>
        <w:jc w:val="both"/>
        <w:rPr>
          <w:rFonts w:ascii="Times New Roman" w:hAnsi="Times New Roman" w:cs="Times New Roman"/>
          <w:sz w:val="24"/>
          <w:szCs w:val="24"/>
        </w:rPr>
      </w:pPr>
    </w:p>
    <w:p w14:paraId="46DE7AAC" w14:textId="77777777" w:rsidR="00B92BCD" w:rsidRPr="00096909" w:rsidRDefault="00B92BCD" w:rsidP="00B92BCD">
      <w:pPr>
        <w:spacing w:after="0" w:line="360" w:lineRule="auto"/>
        <w:jc w:val="both"/>
        <w:rPr>
          <w:rFonts w:ascii="Times New Roman" w:hAnsi="Times New Roman" w:cs="Times New Roman"/>
          <w:sz w:val="24"/>
          <w:szCs w:val="24"/>
        </w:rPr>
      </w:pPr>
    </w:p>
    <w:p w14:paraId="6014FE8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XIX. Giovanni Antonio Corvini saluta Padre Stefano Dolcino, Canonico di Milano. </w:t>
      </w:r>
    </w:p>
    <w:p w14:paraId="2075B6BF" w14:textId="77777777" w:rsidR="00B92BCD" w:rsidRPr="00096909" w:rsidRDefault="00B92BCD" w:rsidP="00B92BCD">
      <w:pPr>
        <w:spacing w:after="0" w:line="360" w:lineRule="auto"/>
        <w:jc w:val="both"/>
        <w:rPr>
          <w:rFonts w:ascii="Times New Roman" w:hAnsi="Times New Roman" w:cs="Times New Roman"/>
          <w:sz w:val="24"/>
          <w:szCs w:val="24"/>
        </w:rPr>
      </w:pPr>
    </w:p>
    <w:p w14:paraId="5EF08338"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[1] Ho visto, stimatissimo Stefano, quel che tu solennemente e con bello stile hai scritto riguardo alle nozze valentissime ed eccellentissime del nostro magnanimo principe. E tra le altre cose va ammirato sommamente, ed è riguardevole per il grande impegno, quanto elegantemente e opportunamente tu abbia descritto tutta la serie degli eventi; tanto che, come tu stesso dici, quel che hai vergato pare tu lo abbia dipinto su una tavola e chi lo leggerà potrà senza dubbio affermare non solo di aver letto ma di aver ammirato coi propri occhi le cose che hai radunato in una descrizione ben ordinata di tanti fatti. Chi consulterà il tuo testo potrà dire quel che un giorno il nostro poeta comico Dante disse ammirando un dipinto: «non vidde più di me chi vidde il vero». Non meno di così vide chi lesse il tuo componimento, e certo non minore ammirazione e diletto offre tra le altre cose quanto scrivesti di quell’edificio mirabile eretto nello spiazzo ad anfiteatro, oltre che dell’arco trionfale e della disposizione del palazzo principesco e dell’ornamento delle vie e delle altre opere realizzate e degne di memoria. </w:t>
      </w:r>
    </w:p>
    <w:p w14:paraId="4BE6E046"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E cosa dirò della prosopopea dei Visconti e della lodevole descrizione del duomo, che hai espresso con possanza non mediocre d’ingegno e con un eloquio non volgare e quotidiano, bensì con scrittura finissima e parole assai ricercate e adatte all’impresa, scelte con grande impegno, sebbene essa fosse assai complessa; tanto che io possa dire che dalle tue pagine bellissime ho appreso molti vocaboli insoliti e degni di essere studiati, che in precedenza forse erano sconosciuti sia a me che a molti dotti?  Così, non solo hai dilettato mirabilmente i lettori dei tuoi ornatissimi scritti, ma anche, e ciò è ben più giovevole, li hai aiutati e resi più colti grazie alla tua dottrina. </w:t>
      </w:r>
    </w:p>
    <w:p w14:paraId="7336AA9A"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[2] Pertanto, ho tratto un sì grande piacere da questa tua narrazione, dai suoi artifici retorici e dal solenne stile che ho procurato di farne imprimere a mie spese mille esemplari, così che con tale spesa questa opera potesse essere di giovamento anche ad altri. </w:t>
      </w:r>
    </w:p>
    <w:p w14:paraId="133BD99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Continua dunque, come già hai incominciato, a dare splendore alla tua giovinezza per mezzo di simili imprese grandiose erette per rendere il tuo nome immortale e per essere d’aiuto agli amici, volgendo l’animo alle cose più alte e accingendoti alla scrittura. Procura di essere per noi di giorno in giorno più eloquente e degno di lode, e così facendo, grazie alla tua virtù, diverrai per noi molto più caro, e le città più importanti, per il merito tuo, ti stimeranno più dei loro migliori e dotti abitanti. Questo ti spetta dalla tua inclita città e dovrai sperare che un giorno ti sia concesso. Stammi bene e, come già fai, amami come io ti amo. </w:t>
      </w:r>
    </w:p>
    <w:p w14:paraId="7A177B99" w14:textId="77777777" w:rsidR="00B92BCD" w:rsidRPr="00096909" w:rsidRDefault="00B92BCD" w:rsidP="00B92BCD">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Milano 28 febbraio 1489.   </w:t>
      </w:r>
    </w:p>
    <w:p w14:paraId="71EDA58C" w14:textId="77777777" w:rsidR="00B92BCD" w:rsidRPr="00096909" w:rsidRDefault="00B92BCD" w:rsidP="00B92BCD">
      <w:pPr>
        <w:spacing w:line="360" w:lineRule="auto"/>
        <w:jc w:val="both"/>
        <w:rPr>
          <w:rFonts w:ascii="Times New Roman" w:hAnsi="Times New Roman" w:cs="Times New Roman"/>
          <w:sz w:val="24"/>
          <w:szCs w:val="24"/>
        </w:rPr>
      </w:pPr>
    </w:p>
    <w:p w14:paraId="44F4ED8F"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XX. Epigramma in trimetri ipponattei di Bonifacio Bembo da Brescia.   </w:t>
      </w:r>
    </w:p>
    <w:p w14:paraId="034A70FA"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Se tu fossi ciò che io sono, o Canino, cosa che io non vorrei mai, saresti senza denti, o Canino, cosa che io vorrei tanto fossi. E non azzanneresti tutti, o Canino, cosa che io non vorrei tu facessi. E non invidieresti tutti, cosa che io vorrei tanto quanto non vorrei che anche tu fossi ancor più miserabile. </w:t>
      </w:r>
    </w:p>
    <w:p w14:paraId="59DCDB1E" w14:textId="77777777" w:rsidR="00B92BCD" w:rsidRPr="00096909" w:rsidRDefault="00B92BCD" w:rsidP="00B92BCD">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XXI. Colophon: Per interessamento e spesa del nobile signor Giovanni Antonio Corvino da Arezzo Antonio Zarotto da Parma, uomo in quest’arte ingegnosissimo, ha effettuato la stampa. Milano, 13 aprile 1489. </w:t>
      </w:r>
    </w:p>
    <w:p w14:paraId="08CF05DD" w14:textId="77777777" w:rsidR="00FB27BC" w:rsidRDefault="00FB27BC">
      <w:pPr>
        <w:spacing w:line="259" w:lineRule="auto"/>
        <w:rPr>
          <w:rFonts w:ascii="Times New Roman" w:eastAsiaTheme="minorEastAsia" w:hAnsi="Times New Roman" w:cs="Times New Roman"/>
          <w:sz w:val="24"/>
          <w:szCs w:val="24"/>
        </w:rPr>
      </w:pPr>
      <w:r>
        <w:rPr>
          <w:smallCaps/>
        </w:rPr>
        <w:br w:type="page"/>
      </w:r>
    </w:p>
    <w:p w14:paraId="0920B25A" w14:textId="77777777" w:rsidR="00A34A9F" w:rsidRDefault="00A34A9F">
      <w:pPr>
        <w:spacing w:line="259" w:lineRule="auto"/>
        <w:rPr>
          <w:rFonts w:ascii="Times New Roman" w:eastAsiaTheme="minorEastAsia" w:hAnsi="Times New Roman" w:cs="Times New Roman"/>
          <w:smallCaps/>
          <w:sz w:val="24"/>
          <w:szCs w:val="24"/>
        </w:rPr>
      </w:pPr>
      <w:r>
        <w:br w:type="page"/>
      </w:r>
    </w:p>
    <w:p w14:paraId="4666C99D" w14:textId="77777777" w:rsidR="0094477F" w:rsidRPr="00096909" w:rsidRDefault="0094477F" w:rsidP="0094477F">
      <w:pPr>
        <w:pStyle w:val="Titolocapitolo"/>
      </w:pPr>
      <w:r w:rsidRPr="00096909">
        <w:t xml:space="preserve">Appendice III. </w:t>
      </w:r>
    </w:p>
    <w:p w14:paraId="7051583C" w14:textId="77777777" w:rsidR="0094477F" w:rsidRDefault="0094477F" w:rsidP="0094477F">
      <w:pPr>
        <w:pStyle w:val="Titolocapitolo"/>
      </w:pPr>
      <w:r w:rsidRPr="00096909">
        <w:t>Una ricognizione documentaria. L’archivio sforzesco della BNF.</w:t>
      </w:r>
    </w:p>
    <w:p w14:paraId="7BB2EB95" w14:textId="77777777" w:rsidR="0094477F" w:rsidRDefault="0094477F" w:rsidP="0094477F">
      <w:pPr>
        <w:spacing w:line="360" w:lineRule="auto"/>
        <w:rPr>
          <w:rFonts w:ascii="Times New Roman" w:hAnsi="Times New Roman" w:cs="Times New Roman"/>
          <w:sz w:val="28"/>
          <w:szCs w:val="28"/>
        </w:rPr>
      </w:pPr>
    </w:p>
    <w:p w14:paraId="1A04A1A7" w14:textId="77777777" w:rsidR="0094477F" w:rsidRPr="00096909" w:rsidRDefault="0094477F" w:rsidP="0094477F">
      <w:pPr>
        <w:spacing w:line="360" w:lineRule="auto"/>
        <w:rPr>
          <w:rFonts w:ascii="Times New Roman" w:hAnsi="Times New Roman" w:cs="Times New Roman"/>
          <w:sz w:val="28"/>
          <w:szCs w:val="28"/>
        </w:rPr>
      </w:pPr>
    </w:p>
    <w:p w14:paraId="3EBA3426" w14:textId="77777777" w:rsidR="0094477F" w:rsidRDefault="0094477F" w:rsidP="0094477F">
      <w:pPr>
        <w:spacing w:after="0" w:line="360" w:lineRule="auto"/>
        <w:jc w:val="both"/>
        <w:rPr>
          <w:rFonts w:ascii="Times New Roman" w:hAnsi="Times New Roman" w:cs="Times New Roman"/>
          <w:sz w:val="24"/>
          <w:szCs w:val="24"/>
        </w:rPr>
      </w:pPr>
      <w:r>
        <w:rPr>
          <w:rFonts w:ascii="Times New Roman" w:hAnsi="Times New Roman" w:cs="Times New Roman"/>
          <w:smallCaps/>
          <w:sz w:val="24"/>
          <w:szCs w:val="24"/>
        </w:rPr>
        <w:t>S</w:t>
      </w:r>
      <w:r>
        <w:rPr>
          <w:rFonts w:ascii="Times New Roman" w:hAnsi="Times New Roman" w:cs="Times New Roman"/>
          <w:sz w:val="24"/>
          <w:szCs w:val="24"/>
        </w:rPr>
        <w:t xml:space="preserve">i pubblicano qui di seguito i </w:t>
      </w:r>
      <w:r w:rsidR="005426B1">
        <w:rPr>
          <w:rFonts w:ascii="Times New Roman" w:hAnsi="Times New Roman" w:cs="Times New Roman"/>
          <w:sz w:val="24"/>
          <w:szCs w:val="24"/>
        </w:rPr>
        <w:t xml:space="preserve">testi </w:t>
      </w:r>
      <w:r>
        <w:rPr>
          <w:rFonts w:ascii="Times New Roman" w:hAnsi="Times New Roman" w:cs="Times New Roman"/>
          <w:sz w:val="24"/>
          <w:szCs w:val="24"/>
        </w:rPr>
        <w:t xml:space="preserve">relativi alle feste nuziali dei principi italiani del Rinascimento reperiti attraverso lo spoglio dei documenti </w:t>
      </w:r>
      <w:r w:rsidR="005426B1">
        <w:rPr>
          <w:rFonts w:ascii="Times New Roman" w:hAnsi="Times New Roman" w:cs="Times New Roman"/>
          <w:sz w:val="24"/>
          <w:szCs w:val="24"/>
        </w:rPr>
        <w:t xml:space="preserve">conservati </w:t>
      </w:r>
      <w:r>
        <w:rPr>
          <w:rFonts w:ascii="Times New Roman" w:hAnsi="Times New Roman" w:cs="Times New Roman"/>
          <w:sz w:val="24"/>
          <w:szCs w:val="24"/>
        </w:rPr>
        <w:t>nelle filze Ms. It. 1591; 1592; 1593 dell’Archivio Sforzesco conservato a Parigi presso la Bibliothèque Nationale de France, giunto in Francia in seguito alle campagne militari di Carlo VIII e di Luigi XII.</w:t>
      </w:r>
    </w:p>
    <w:p w14:paraId="086F5D4A" w14:textId="77777777" w:rsidR="0094477F" w:rsidRDefault="0094477F" w:rsidP="0094477F">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Le filze contengono documenti di varia natura, sia cartecei che pegamenacei. Si tratta di registri copiale</w:t>
      </w:r>
      <w:r w:rsidR="00BD5168">
        <w:rPr>
          <w:rFonts w:ascii="Times New Roman" w:hAnsi="Times New Roman" w:cs="Times New Roman"/>
          <w:sz w:val="24"/>
          <w:szCs w:val="24"/>
        </w:rPr>
        <w:t>t</w:t>
      </w:r>
      <w:r>
        <w:rPr>
          <w:rFonts w:ascii="Times New Roman" w:hAnsi="Times New Roman" w:cs="Times New Roman"/>
          <w:sz w:val="24"/>
          <w:szCs w:val="24"/>
        </w:rPr>
        <w:t>tere e missive originali – tra cui diverse lettere indirizzate alla cancelleria ducale di Milano e altre provenienti d</w:t>
      </w:r>
      <w:r w:rsidR="00F40E3F">
        <w:rPr>
          <w:rFonts w:ascii="Times New Roman" w:hAnsi="Times New Roman" w:cs="Times New Roman"/>
          <w:sz w:val="24"/>
          <w:szCs w:val="24"/>
        </w:rPr>
        <w:t>a</w:t>
      </w:r>
      <w:r>
        <w:rPr>
          <w:rFonts w:ascii="Times New Roman" w:hAnsi="Times New Roman" w:cs="Times New Roman"/>
          <w:sz w:val="24"/>
          <w:szCs w:val="24"/>
        </w:rPr>
        <w:t>lla corrispondenza privata della famiglia Sforza – che abbracciano un arco cronologico compreso tra il 1433 e il 1500, inviate principalmente da ambasciatori dei duchi residenti presso le corti di Napoli, di Ferrara e di Roma. La filza It. 1593 conti</w:t>
      </w:r>
      <w:r w:rsidR="00BD5168">
        <w:rPr>
          <w:rFonts w:ascii="Times New Roman" w:hAnsi="Times New Roman" w:cs="Times New Roman"/>
          <w:sz w:val="24"/>
          <w:szCs w:val="24"/>
        </w:rPr>
        <w:t>e</w:t>
      </w:r>
      <w:r>
        <w:rPr>
          <w:rFonts w:ascii="Times New Roman" w:hAnsi="Times New Roman" w:cs="Times New Roman"/>
          <w:sz w:val="24"/>
          <w:szCs w:val="24"/>
        </w:rPr>
        <w:t>ne esclusivamente missive spedite tra il 1463 e il 1466 dalla corte di Francia dagli ambasciatori milanesi.</w:t>
      </w:r>
      <w:r>
        <w:rPr>
          <w:rStyle w:val="Rimandonotaapidipagina"/>
          <w:rFonts w:ascii="Times New Roman" w:hAnsi="Times New Roman" w:cs="Times New Roman"/>
          <w:sz w:val="24"/>
          <w:szCs w:val="24"/>
        </w:rPr>
        <w:footnoteReference w:id="976"/>
      </w:r>
      <w:r>
        <w:rPr>
          <w:rFonts w:ascii="Times New Roman" w:hAnsi="Times New Roman" w:cs="Times New Roman"/>
          <w:sz w:val="24"/>
          <w:szCs w:val="24"/>
        </w:rPr>
        <w:t xml:space="preserve">  </w:t>
      </w:r>
    </w:p>
    <w:p w14:paraId="335A9E4D" w14:textId="77777777" w:rsidR="0094477F" w:rsidRPr="00073945" w:rsidRDefault="0094477F" w:rsidP="0094477F">
      <w:pPr>
        <w:spacing w:after="0" w:line="360" w:lineRule="auto"/>
        <w:ind w:firstLine="397"/>
        <w:jc w:val="both"/>
        <w:rPr>
          <w:rFonts w:ascii="Times New Roman" w:hAnsi="Times New Roman" w:cs="Times New Roman"/>
          <w:sz w:val="24"/>
          <w:szCs w:val="24"/>
        </w:rPr>
      </w:pPr>
      <w:r>
        <w:rPr>
          <w:rFonts w:ascii="Times New Roman" w:hAnsi="Times New Roman" w:cs="Times New Roman"/>
          <w:sz w:val="24"/>
          <w:szCs w:val="24"/>
        </w:rPr>
        <w:t>Altri documenti relativi a spettacoli, ambascerie, cacce e giostre sono stati trovati nelle filze Ms. It. 1594 e 1595; ma poiché tali divertimenti cortigiani non ebbero luogo nel corso di feste per matrimoni si è preferito riserva</w:t>
      </w:r>
      <w:r w:rsidR="00BD5168">
        <w:rPr>
          <w:rFonts w:ascii="Times New Roman" w:hAnsi="Times New Roman" w:cs="Times New Roman"/>
          <w:sz w:val="24"/>
          <w:szCs w:val="24"/>
        </w:rPr>
        <w:t>r</w:t>
      </w:r>
      <w:r>
        <w:rPr>
          <w:rFonts w:ascii="Times New Roman" w:hAnsi="Times New Roman" w:cs="Times New Roman"/>
          <w:sz w:val="24"/>
          <w:szCs w:val="24"/>
        </w:rPr>
        <w:t xml:space="preserve">e ad altra sede la pubblicazione. </w:t>
      </w:r>
    </w:p>
    <w:p w14:paraId="3677AF37" w14:textId="77777777" w:rsidR="0094477F" w:rsidRDefault="0094477F" w:rsidP="0094477F">
      <w:pPr>
        <w:suppressLineNumbers/>
        <w:tabs>
          <w:tab w:val="left" w:pos="284"/>
          <w:tab w:val="left" w:pos="426"/>
        </w:tabs>
        <w:spacing w:after="0" w:line="360" w:lineRule="auto"/>
        <w:ind w:firstLine="397"/>
        <w:jc w:val="both"/>
        <w:rPr>
          <w:rFonts w:ascii="Times New Roman" w:hAnsi="Times New Roman" w:cs="Times New Roman"/>
          <w:sz w:val="24"/>
          <w:szCs w:val="24"/>
        </w:rPr>
      </w:pPr>
    </w:p>
    <w:p w14:paraId="28899026" w14:textId="77777777" w:rsidR="0094477F" w:rsidRPr="00406497" w:rsidRDefault="0094477F" w:rsidP="0094477F">
      <w:pPr>
        <w:suppressLineNumbers/>
        <w:tabs>
          <w:tab w:val="left" w:pos="284"/>
          <w:tab w:val="left" w:pos="426"/>
        </w:tabs>
        <w:spacing w:after="0" w:line="360" w:lineRule="auto"/>
        <w:jc w:val="both"/>
        <w:rPr>
          <w:rFonts w:ascii="Times New Roman" w:hAnsi="Times New Roman" w:cs="Times New Roman"/>
          <w:sz w:val="24"/>
          <w:szCs w:val="24"/>
        </w:rPr>
      </w:pPr>
      <w:r w:rsidRPr="00406497">
        <w:rPr>
          <w:rFonts w:ascii="Times New Roman" w:hAnsi="Times New Roman" w:cs="Times New Roman"/>
          <w:sz w:val="24"/>
          <w:szCs w:val="24"/>
        </w:rPr>
        <w:t xml:space="preserve">Criteri di edizione dei testi. Si è proceduto alla divisione delle parole in </w:t>
      </w:r>
      <w:r w:rsidRPr="00406497">
        <w:rPr>
          <w:rFonts w:ascii="Times New Roman" w:hAnsi="Times New Roman" w:cs="Times New Roman"/>
          <w:i/>
          <w:sz w:val="24"/>
          <w:szCs w:val="24"/>
        </w:rPr>
        <w:t xml:space="preserve">scriptio continua, </w:t>
      </w:r>
      <w:r w:rsidRPr="00406497">
        <w:rPr>
          <w:rFonts w:ascii="Times New Roman" w:hAnsi="Times New Roman" w:cs="Times New Roman"/>
          <w:sz w:val="24"/>
          <w:szCs w:val="24"/>
        </w:rPr>
        <w:t>allo</w:t>
      </w:r>
      <w:r w:rsidRPr="00406497">
        <w:rPr>
          <w:rFonts w:ascii="Times New Roman" w:hAnsi="Times New Roman" w:cs="Times New Roman"/>
          <w:i/>
          <w:sz w:val="24"/>
          <w:szCs w:val="24"/>
        </w:rPr>
        <w:t xml:space="preserve"> </w:t>
      </w:r>
      <w:r w:rsidRPr="00406497">
        <w:rPr>
          <w:rFonts w:ascii="Times New Roman" w:hAnsi="Times New Roman" w:cs="Times New Roman"/>
          <w:sz w:val="24"/>
          <w:szCs w:val="24"/>
        </w:rPr>
        <w:t>scioglimento delle abbreviazioni, alla normalizzazione dell’alternanza tra maiuscole e minuscole e alla suddivisione del testo in paragrafi.</w:t>
      </w:r>
    </w:p>
    <w:p w14:paraId="406BBA00" w14:textId="77777777" w:rsidR="0094477F" w:rsidRPr="00096909" w:rsidRDefault="0094477F" w:rsidP="0094477F">
      <w:pPr>
        <w:suppressLineNumbers/>
        <w:tabs>
          <w:tab w:val="left" w:pos="284"/>
          <w:tab w:val="left" w:pos="426"/>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Punteggiatura e segni diacritici sono stati introdotti conformemente all’uso contemporaneo. Sono state normalizzazione le seguenti forme grafiche: alternanza u/v (</w:t>
      </w:r>
      <w:r w:rsidRPr="00096909">
        <w:rPr>
          <w:rFonts w:ascii="Times New Roman" w:hAnsi="Times New Roman" w:cs="Times New Roman"/>
          <w:i/>
          <w:sz w:val="24"/>
          <w:szCs w:val="24"/>
        </w:rPr>
        <w:t>vna</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una</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uidj</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vidi</w:t>
      </w:r>
      <w:r w:rsidRPr="00096909">
        <w:rPr>
          <w:rFonts w:ascii="Times New Roman" w:hAnsi="Times New Roman" w:cs="Times New Roman"/>
          <w:sz w:val="24"/>
          <w:szCs w:val="24"/>
        </w:rPr>
        <w:t xml:space="preserve">); alternanza </w:t>
      </w:r>
      <w:r w:rsidRPr="00096909">
        <w:rPr>
          <w:rFonts w:ascii="Times New Roman" w:hAnsi="Times New Roman" w:cs="Times New Roman"/>
          <w:i/>
          <w:sz w:val="24"/>
          <w:szCs w:val="24"/>
        </w:rPr>
        <w:t>i</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j</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ij</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y</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poy</w:t>
      </w:r>
      <w:r w:rsidRPr="00096909">
        <w:rPr>
          <w:rFonts w:ascii="Times New Roman" w:hAnsi="Times New Roman" w:cs="Times New Roman"/>
          <w:sz w:val="24"/>
          <w:szCs w:val="24"/>
        </w:rPr>
        <w:t xml:space="preserve"> &gt;</w:t>
      </w:r>
      <w:r w:rsidRPr="00096909">
        <w:rPr>
          <w:rFonts w:ascii="Times New Roman" w:hAnsi="Times New Roman" w:cs="Times New Roman"/>
          <w:i/>
          <w:sz w:val="24"/>
          <w:szCs w:val="24"/>
        </w:rPr>
        <w:t xml:space="preserve"> poi</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 xml:space="preserve">jo &gt; io; vizij </w:t>
      </w:r>
      <w:r w:rsidRPr="00096909">
        <w:rPr>
          <w:rFonts w:ascii="Times New Roman" w:hAnsi="Times New Roman" w:cs="Times New Roman"/>
          <w:sz w:val="24"/>
          <w:szCs w:val="24"/>
        </w:rPr>
        <w:t>&gt;</w:t>
      </w:r>
      <w:r w:rsidRPr="00096909">
        <w:rPr>
          <w:rFonts w:ascii="Times New Roman" w:hAnsi="Times New Roman" w:cs="Times New Roman"/>
          <w:i/>
          <w:sz w:val="24"/>
          <w:szCs w:val="24"/>
        </w:rPr>
        <w:t xml:space="preserve"> vizi</w:t>
      </w:r>
      <w:r w:rsidRPr="00096909">
        <w:rPr>
          <w:rFonts w:ascii="Times New Roman" w:hAnsi="Times New Roman" w:cs="Times New Roman"/>
          <w:sz w:val="24"/>
          <w:szCs w:val="24"/>
        </w:rPr>
        <w:t xml:space="preserve">); alternanza </w:t>
      </w:r>
      <w:r w:rsidRPr="00096909">
        <w:rPr>
          <w:rFonts w:ascii="Times New Roman" w:hAnsi="Times New Roman" w:cs="Times New Roman"/>
          <w:i/>
          <w:sz w:val="24"/>
          <w:szCs w:val="24"/>
        </w:rPr>
        <w:t>s</w:t>
      </w:r>
      <w:r w:rsidRPr="00096909">
        <w:rPr>
          <w:rFonts w:ascii="Times New Roman" w:hAnsi="Times New Roman" w:cs="Times New Roman"/>
          <w:sz w:val="24"/>
          <w:szCs w:val="24"/>
        </w:rPr>
        <w:t>/</w:t>
      </w:r>
      <w:r w:rsidRPr="00096909">
        <w:rPr>
          <w:rFonts w:ascii="Times New Roman" w:hAnsi="Times New Roman" w:cs="Times New Roman"/>
          <w:i/>
          <w:sz w:val="24"/>
          <w:szCs w:val="24"/>
        </w:rPr>
        <w:t>x</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suxo</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suso</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rispoxe</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rispose</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chaxa</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casa</w:t>
      </w:r>
      <w:r w:rsidRPr="00096909">
        <w:rPr>
          <w:rFonts w:ascii="Times New Roman" w:hAnsi="Times New Roman" w:cs="Times New Roman"/>
          <w:sz w:val="24"/>
          <w:szCs w:val="24"/>
        </w:rPr>
        <w:t xml:space="preserve">). L’impiego di </w:t>
      </w:r>
      <w:r w:rsidRPr="00096909">
        <w:rPr>
          <w:rFonts w:ascii="Times New Roman" w:hAnsi="Times New Roman" w:cs="Times New Roman"/>
          <w:i/>
          <w:sz w:val="24"/>
          <w:szCs w:val="24"/>
        </w:rPr>
        <w:t>h</w:t>
      </w:r>
      <w:r w:rsidRPr="00096909">
        <w:rPr>
          <w:rFonts w:ascii="Times New Roman" w:hAnsi="Times New Roman" w:cs="Times New Roman"/>
          <w:sz w:val="24"/>
          <w:szCs w:val="24"/>
        </w:rPr>
        <w:t xml:space="preserve"> è stato regolato secondo l’uso moderno, con l’introduzione di </w:t>
      </w:r>
      <w:r w:rsidRPr="00096909">
        <w:rPr>
          <w:rFonts w:ascii="Times New Roman" w:hAnsi="Times New Roman" w:cs="Times New Roman"/>
          <w:i/>
          <w:sz w:val="24"/>
          <w:szCs w:val="24"/>
        </w:rPr>
        <w:t xml:space="preserve">h </w:t>
      </w:r>
      <w:r w:rsidRPr="00096909">
        <w:rPr>
          <w:rFonts w:ascii="Times New Roman" w:hAnsi="Times New Roman" w:cs="Times New Roman"/>
          <w:sz w:val="24"/>
          <w:szCs w:val="24"/>
        </w:rPr>
        <w:t>diacritica nelle voci del verbo avere (</w:t>
      </w:r>
      <w:r w:rsidRPr="00096909">
        <w:rPr>
          <w:rFonts w:ascii="Times New Roman" w:hAnsi="Times New Roman" w:cs="Times New Roman"/>
          <w:i/>
          <w:sz w:val="24"/>
          <w:szCs w:val="24"/>
        </w:rPr>
        <w:t>a dito</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ha dito</w:t>
      </w:r>
      <w:r w:rsidRPr="00096909">
        <w:rPr>
          <w:rFonts w:ascii="Times New Roman" w:hAnsi="Times New Roman" w:cs="Times New Roman"/>
          <w:sz w:val="24"/>
          <w:szCs w:val="24"/>
        </w:rPr>
        <w:t xml:space="preserve">). </w:t>
      </w:r>
    </w:p>
    <w:p w14:paraId="7FCB74AD"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Sono state omologate le alternanze di </w:t>
      </w:r>
      <w:r w:rsidRPr="00096909">
        <w:rPr>
          <w:rFonts w:ascii="Times New Roman" w:hAnsi="Times New Roman" w:cs="Times New Roman"/>
          <w:i/>
          <w:sz w:val="24"/>
          <w:szCs w:val="24"/>
        </w:rPr>
        <w:t>e</w:t>
      </w:r>
      <w:r w:rsidRPr="00096909">
        <w:rPr>
          <w:rFonts w:ascii="Times New Roman" w:hAnsi="Times New Roman" w:cs="Times New Roman"/>
          <w:sz w:val="24"/>
          <w:szCs w:val="24"/>
        </w:rPr>
        <w:t>/</w:t>
      </w:r>
      <w:r w:rsidRPr="00096909">
        <w:rPr>
          <w:rFonts w:ascii="Times New Roman" w:hAnsi="Times New Roman" w:cs="Times New Roman"/>
          <w:i/>
          <w:sz w:val="24"/>
          <w:szCs w:val="24"/>
        </w:rPr>
        <w:t>et</w:t>
      </w:r>
      <w:r w:rsidRPr="00096909">
        <w:rPr>
          <w:rFonts w:ascii="Times New Roman" w:hAnsi="Times New Roman" w:cs="Times New Roman"/>
          <w:sz w:val="24"/>
          <w:szCs w:val="24"/>
        </w:rPr>
        <w:t>/7</w:t>
      </w:r>
      <w:r w:rsidRPr="00096909">
        <w:rPr>
          <w:rFonts w:ascii="Times New Roman" w:hAnsi="Times New Roman" w:cs="Times New Roman"/>
          <w:i/>
          <w:sz w:val="24"/>
          <w:szCs w:val="24"/>
        </w:rPr>
        <w:t>/ed</w:t>
      </w:r>
      <w:r w:rsidRPr="00096909">
        <w:rPr>
          <w:rFonts w:ascii="Times New Roman" w:hAnsi="Times New Roman" w:cs="Times New Roman"/>
          <w:sz w:val="24"/>
          <w:szCs w:val="24"/>
        </w:rPr>
        <w:t xml:space="preserve"> in </w:t>
      </w:r>
      <w:r w:rsidRPr="00096909">
        <w:rPr>
          <w:rFonts w:ascii="Times New Roman" w:hAnsi="Times New Roman" w:cs="Times New Roman"/>
          <w:i/>
          <w:sz w:val="24"/>
          <w:szCs w:val="24"/>
        </w:rPr>
        <w:t>e;</w:t>
      </w:r>
      <w:r w:rsidRPr="00096909">
        <w:rPr>
          <w:rFonts w:ascii="Times New Roman" w:hAnsi="Times New Roman" w:cs="Times New Roman"/>
          <w:sz w:val="24"/>
          <w:szCs w:val="24"/>
        </w:rPr>
        <w:t xml:space="preserve"> e quelle dei nessi </w:t>
      </w:r>
      <w:r w:rsidRPr="00096909">
        <w:rPr>
          <w:rFonts w:ascii="Times New Roman" w:hAnsi="Times New Roman" w:cs="Times New Roman"/>
          <w:i/>
          <w:sz w:val="24"/>
          <w:szCs w:val="24"/>
        </w:rPr>
        <w:t>mp</w:t>
      </w:r>
      <w:r w:rsidRPr="00096909">
        <w:rPr>
          <w:rFonts w:ascii="Times New Roman" w:hAnsi="Times New Roman" w:cs="Times New Roman"/>
          <w:sz w:val="24"/>
          <w:szCs w:val="24"/>
        </w:rPr>
        <w:t>/</w:t>
      </w:r>
      <w:r w:rsidRPr="00096909">
        <w:rPr>
          <w:rFonts w:ascii="Times New Roman" w:hAnsi="Times New Roman" w:cs="Times New Roman"/>
          <w:i/>
          <w:sz w:val="24"/>
          <w:szCs w:val="24"/>
        </w:rPr>
        <w:t xml:space="preserve">np </w:t>
      </w:r>
      <w:r w:rsidRPr="00096909">
        <w:rPr>
          <w:rFonts w:ascii="Times New Roman" w:hAnsi="Times New Roman" w:cs="Times New Roman"/>
          <w:sz w:val="24"/>
          <w:szCs w:val="24"/>
        </w:rPr>
        <w:t xml:space="preserve">in </w:t>
      </w:r>
      <w:r w:rsidRPr="00096909">
        <w:rPr>
          <w:rFonts w:ascii="Times New Roman" w:hAnsi="Times New Roman" w:cs="Times New Roman"/>
          <w:i/>
          <w:sz w:val="24"/>
          <w:szCs w:val="24"/>
        </w:rPr>
        <w:t xml:space="preserve">mp </w:t>
      </w:r>
      <w:r w:rsidRPr="00096909">
        <w:rPr>
          <w:rFonts w:ascii="Times New Roman" w:hAnsi="Times New Roman" w:cs="Times New Roman"/>
          <w:sz w:val="24"/>
          <w:szCs w:val="24"/>
        </w:rPr>
        <w:t>(</w:t>
      </w:r>
      <w:r w:rsidRPr="00096909">
        <w:rPr>
          <w:rFonts w:ascii="Times New Roman" w:hAnsi="Times New Roman" w:cs="Times New Roman"/>
          <w:i/>
          <w:sz w:val="24"/>
          <w:szCs w:val="24"/>
        </w:rPr>
        <w:t>tenpio</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tempio</w:t>
      </w:r>
      <w:r w:rsidRPr="00096909">
        <w:rPr>
          <w:rFonts w:ascii="Times New Roman" w:hAnsi="Times New Roman" w:cs="Times New Roman"/>
          <w:sz w:val="24"/>
          <w:szCs w:val="24"/>
        </w:rPr>
        <w:t xml:space="preserve">) resa del nesso </w:t>
      </w:r>
      <w:r w:rsidRPr="00096909">
        <w:rPr>
          <w:rFonts w:ascii="Times New Roman" w:hAnsi="Times New Roman" w:cs="Times New Roman"/>
          <w:i/>
          <w:sz w:val="24"/>
          <w:szCs w:val="24"/>
        </w:rPr>
        <w:t xml:space="preserve">nb </w:t>
      </w:r>
      <w:r w:rsidRPr="00096909">
        <w:rPr>
          <w:rFonts w:ascii="Times New Roman" w:hAnsi="Times New Roman" w:cs="Times New Roman"/>
          <w:sz w:val="24"/>
          <w:szCs w:val="24"/>
        </w:rPr>
        <w:t xml:space="preserve">in </w:t>
      </w:r>
      <w:r w:rsidRPr="00096909">
        <w:rPr>
          <w:rFonts w:ascii="Times New Roman" w:hAnsi="Times New Roman" w:cs="Times New Roman"/>
          <w:i/>
          <w:sz w:val="24"/>
          <w:szCs w:val="24"/>
        </w:rPr>
        <w:t xml:space="preserve">mb </w:t>
      </w:r>
      <w:r w:rsidRPr="00096909">
        <w:rPr>
          <w:rFonts w:ascii="Times New Roman" w:hAnsi="Times New Roman" w:cs="Times New Roman"/>
          <w:sz w:val="24"/>
          <w:szCs w:val="24"/>
        </w:rPr>
        <w:t>(</w:t>
      </w:r>
      <w:r w:rsidRPr="00096909">
        <w:rPr>
          <w:rFonts w:ascii="Times New Roman" w:hAnsi="Times New Roman" w:cs="Times New Roman"/>
          <w:i/>
          <w:sz w:val="24"/>
          <w:szCs w:val="24"/>
        </w:rPr>
        <w:t>menbro</w:t>
      </w:r>
      <w:r w:rsidRPr="00096909">
        <w:rPr>
          <w:rFonts w:ascii="Times New Roman" w:hAnsi="Times New Roman" w:cs="Times New Roman"/>
          <w:sz w:val="24"/>
          <w:szCs w:val="24"/>
        </w:rPr>
        <w:t xml:space="preserve"> &gt;</w:t>
      </w:r>
      <w:r w:rsidRPr="00096909">
        <w:rPr>
          <w:rFonts w:ascii="Times New Roman" w:hAnsi="Times New Roman" w:cs="Times New Roman"/>
          <w:i/>
          <w:sz w:val="24"/>
          <w:szCs w:val="24"/>
        </w:rPr>
        <w:t xml:space="preserve"> membro</w:t>
      </w:r>
      <w:r w:rsidRPr="00096909">
        <w:rPr>
          <w:rFonts w:ascii="Times New Roman" w:hAnsi="Times New Roman" w:cs="Times New Roman"/>
          <w:sz w:val="24"/>
          <w:szCs w:val="24"/>
        </w:rPr>
        <w:t xml:space="preserve">), e del nesso </w:t>
      </w:r>
      <w:r w:rsidRPr="00096909">
        <w:rPr>
          <w:rFonts w:ascii="Times New Roman" w:hAnsi="Times New Roman" w:cs="Times New Roman"/>
          <w:i/>
          <w:sz w:val="24"/>
          <w:szCs w:val="24"/>
        </w:rPr>
        <w:t xml:space="preserve">md </w:t>
      </w:r>
      <w:r w:rsidRPr="00096909">
        <w:rPr>
          <w:rFonts w:ascii="Times New Roman" w:hAnsi="Times New Roman" w:cs="Times New Roman"/>
          <w:sz w:val="24"/>
          <w:szCs w:val="24"/>
        </w:rPr>
        <w:t>in</w:t>
      </w:r>
      <w:r w:rsidRPr="00096909">
        <w:rPr>
          <w:rFonts w:ascii="Times New Roman" w:hAnsi="Times New Roman" w:cs="Times New Roman"/>
          <w:i/>
          <w:sz w:val="24"/>
          <w:szCs w:val="24"/>
        </w:rPr>
        <w:t xml:space="preserve"> nd</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eziamdio</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eziandio</w:t>
      </w:r>
      <w:r w:rsidRPr="00096909">
        <w:rPr>
          <w:rFonts w:ascii="Times New Roman" w:hAnsi="Times New Roman" w:cs="Times New Roman"/>
          <w:sz w:val="24"/>
          <w:szCs w:val="24"/>
        </w:rPr>
        <w:t>).</w:t>
      </w:r>
    </w:p>
    <w:p w14:paraId="3B481984" w14:textId="77777777" w:rsidR="0094477F" w:rsidRPr="00096909" w:rsidRDefault="0094477F" w:rsidP="0094477F">
      <w:pPr>
        <w:suppressLineNumbers/>
        <w:spacing w:after="0" w:line="360" w:lineRule="auto"/>
        <w:ind w:firstLine="397"/>
        <w:jc w:val="both"/>
        <w:rPr>
          <w:rFonts w:ascii="Times New Roman" w:hAnsi="Times New Roman" w:cs="Times New Roman"/>
          <w:b/>
          <w:sz w:val="24"/>
          <w:szCs w:val="24"/>
        </w:rPr>
      </w:pPr>
      <w:r w:rsidRPr="00096909">
        <w:rPr>
          <w:rFonts w:ascii="Times New Roman" w:hAnsi="Times New Roman" w:cs="Times New Roman"/>
          <w:sz w:val="24"/>
          <w:szCs w:val="24"/>
        </w:rPr>
        <w:t xml:space="preserve">Trattamento delle grafie latineggianti: </w:t>
      </w:r>
      <w:r w:rsidRPr="00096909">
        <w:rPr>
          <w:rFonts w:ascii="Times New Roman" w:hAnsi="Times New Roman" w:cs="Times New Roman"/>
          <w:i/>
          <w:sz w:val="24"/>
          <w:szCs w:val="24"/>
        </w:rPr>
        <w:t>nm</w:t>
      </w:r>
      <w:r w:rsidRPr="00096909">
        <w:rPr>
          <w:rFonts w:ascii="Times New Roman" w:hAnsi="Times New Roman" w:cs="Times New Roman"/>
          <w:sz w:val="24"/>
          <w:szCs w:val="24"/>
        </w:rPr>
        <w:t xml:space="preserve"> &gt;</w:t>
      </w:r>
      <w:r w:rsidRPr="00096909">
        <w:rPr>
          <w:rFonts w:ascii="Times New Roman" w:hAnsi="Times New Roman" w:cs="Times New Roman"/>
          <w:i/>
          <w:sz w:val="24"/>
          <w:szCs w:val="24"/>
        </w:rPr>
        <w:t xml:space="preserve"> mm </w:t>
      </w:r>
      <w:r w:rsidRPr="00096909">
        <w:rPr>
          <w:rFonts w:ascii="Times New Roman" w:hAnsi="Times New Roman" w:cs="Times New Roman"/>
          <w:sz w:val="24"/>
          <w:szCs w:val="24"/>
        </w:rPr>
        <w:t>(</w:t>
      </w:r>
      <w:r w:rsidRPr="00096909">
        <w:rPr>
          <w:rFonts w:ascii="Times New Roman" w:hAnsi="Times New Roman" w:cs="Times New Roman"/>
          <w:i/>
          <w:sz w:val="24"/>
          <w:szCs w:val="24"/>
        </w:rPr>
        <w:t>inmensa</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immensa</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 xml:space="preserve">bs </w:t>
      </w:r>
      <w:r w:rsidRPr="00096909">
        <w:rPr>
          <w:rFonts w:ascii="Times New Roman" w:hAnsi="Times New Roman" w:cs="Times New Roman"/>
          <w:sz w:val="24"/>
          <w:szCs w:val="24"/>
        </w:rPr>
        <w:t xml:space="preserve">&gt; </w:t>
      </w:r>
      <w:r w:rsidRPr="00096909">
        <w:rPr>
          <w:rFonts w:ascii="Times New Roman" w:hAnsi="Times New Roman" w:cs="Times New Roman"/>
          <w:i/>
          <w:sz w:val="24"/>
          <w:szCs w:val="24"/>
        </w:rPr>
        <w:t>ss</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observase</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osservàse</w:t>
      </w:r>
      <w:r w:rsidRPr="00096909">
        <w:rPr>
          <w:rFonts w:ascii="Times New Roman" w:hAnsi="Times New Roman" w:cs="Times New Roman"/>
          <w:sz w:val="24"/>
          <w:szCs w:val="24"/>
        </w:rPr>
        <w:t>)</w:t>
      </w:r>
      <w:r w:rsidRPr="00096909">
        <w:rPr>
          <w:rFonts w:ascii="Times New Roman" w:hAnsi="Times New Roman" w:cs="Times New Roman"/>
          <w:i/>
          <w:sz w:val="24"/>
          <w:szCs w:val="24"/>
        </w:rPr>
        <w:t>; pt</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 xml:space="preserve">tt </w:t>
      </w:r>
      <w:r w:rsidRPr="00096909">
        <w:rPr>
          <w:rFonts w:ascii="Times New Roman" w:hAnsi="Times New Roman" w:cs="Times New Roman"/>
          <w:sz w:val="24"/>
          <w:szCs w:val="24"/>
        </w:rPr>
        <w:t>(</w:t>
      </w:r>
      <w:r w:rsidRPr="00096909">
        <w:rPr>
          <w:rFonts w:ascii="Times New Roman" w:hAnsi="Times New Roman" w:cs="Times New Roman"/>
          <w:i/>
          <w:sz w:val="24"/>
          <w:szCs w:val="24"/>
        </w:rPr>
        <w:t>scriptore</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scrittore</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 xml:space="preserve">ct </w:t>
      </w:r>
      <w:r w:rsidRPr="00096909">
        <w:rPr>
          <w:rFonts w:ascii="Times New Roman" w:hAnsi="Times New Roman" w:cs="Times New Roman"/>
          <w:sz w:val="24"/>
          <w:szCs w:val="24"/>
        </w:rPr>
        <w:t xml:space="preserve">&gt; </w:t>
      </w:r>
      <w:r w:rsidRPr="00096909">
        <w:rPr>
          <w:rFonts w:ascii="Times New Roman" w:hAnsi="Times New Roman" w:cs="Times New Roman"/>
          <w:i/>
          <w:sz w:val="24"/>
          <w:szCs w:val="24"/>
        </w:rPr>
        <w:t xml:space="preserve">tt </w:t>
      </w:r>
      <w:r w:rsidRPr="00096909">
        <w:rPr>
          <w:rFonts w:ascii="Times New Roman" w:hAnsi="Times New Roman" w:cs="Times New Roman"/>
          <w:sz w:val="24"/>
          <w:szCs w:val="24"/>
        </w:rPr>
        <w:t>(</w:t>
      </w:r>
      <w:r w:rsidRPr="00096909">
        <w:rPr>
          <w:rFonts w:ascii="Times New Roman" w:hAnsi="Times New Roman" w:cs="Times New Roman"/>
          <w:i/>
          <w:sz w:val="24"/>
          <w:szCs w:val="24"/>
        </w:rPr>
        <w:t>decto</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detto</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dm</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mm</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admirabile</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ammirabile</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pl</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 xml:space="preserve">pi </w:t>
      </w:r>
      <w:r w:rsidRPr="00096909">
        <w:rPr>
          <w:rFonts w:ascii="Times New Roman" w:hAnsi="Times New Roman" w:cs="Times New Roman"/>
          <w:sz w:val="24"/>
          <w:szCs w:val="24"/>
        </w:rPr>
        <w:t>(</w:t>
      </w:r>
      <w:r w:rsidRPr="00096909">
        <w:rPr>
          <w:rFonts w:ascii="Times New Roman" w:hAnsi="Times New Roman" w:cs="Times New Roman"/>
          <w:i/>
          <w:sz w:val="24"/>
          <w:szCs w:val="24"/>
        </w:rPr>
        <w:t>tenplo</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tempio</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cz</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z</w:t>
      </w:r>
      <w:r w:rsidRPr="00096909">
        <w:rPr>
          <w:rFonts w:ascii="Times New Roman" w:hAnsi="Times New Roman" w:cs="Times New Roman"/>
          <w:sz w:val="24"/>
          <w:szCs w:val="24"/>
        </w:rPr>
        <w:t xml:space="preserve"> (</w:t>
      </w:r>
      <w:r w:rsidRPr="00096909">
        <w:rPr>
          <w:rFonts w:ascii="Times New Roman" w:hAnsi="Times New Roman" w:cs="Times New Roman"/>
          <w:i/>
          <w:sz w:val="24"/>
          <w:szCs w:val="24"/>
        </w:rPr>
        <w:t>afeczione</w:t>
      </w:r>
      <w:r w:rsidRPr="00096909">
        <w:rPr>
          <w:rFonts w:ascii="Times New Roman" w:hAnsi="Times New Roman" w:cs="Times New Roman"/>
          <w:sz w:val="24"/>
          <w:szCs w:val="24"/>
        </w:rPr>
        <w:t xml:space="preserve"> &gt; </w:t>
      </w:r>
      <w:r w:rsidRPr="00096909">
        <w:rPr>
          <w:rFonts w:ascii="Times New Roman" w:hAnsi="Times New Roman" w:cs="Times New Roman"/>
          <w:i/>
          <w:sz w:val="24"/>
          <w:szCs w:val="24"/>
        </w:rPr>
        <w:t>afezione</w:t>
      </w:r>
      <w:r w:rsidRPr="00096909">
        <w:rPr>
          <w:rFonts w:ascii="Times New Roman" w:hAnsi="Times New Roman" w:cs="Times New Roman"/>
          <w:sz w:val="24"/>
          <w:szCs w:val="24"/>
        </w:rPr>
        <w:t>).</w:t>
      </w:r>
    </w:p>
    <w:p w14:paraId="5807C2C8" w14:textId="77777777" w:rsidR="0094477F" w:rsidRPr="00096909" w:rsidRDefault="0094477F" w:rsidP="0094477F">
      <w:pPr>
        <w:rPr>
          <w:smallCaps/>
        </w:rPr>
      </w:pPr>
    </w:p>
    <w:p w14:paraId="3CC846BA" w14:textId="77777777" w:rsidR="0094477F" w:rsidRPr="00096909" w:rsidRDefault="0094477F" w:rsidP="0094477F">
      <w:pPr>
        <w:rPr>
          <w:smallCaps/>
        </w:rPr>
      </w:pPr>
    </w:p>
    <w:p w14:paraId="6A4E1FC4" w14:textId="77777777" w:rsidR="0094477F" w:rsidRPr="00096909" w:rsidRDefault="0094477F" w:rsidP="0094477F">
      <w:pPr>
        <w:rPr>
          <w:rFonts w:ascii="Times New Roman" w:hAnsi="Times New Roman" w:cs="Times New Roman"/>
          <w:sz w:val="24"/>
          <w:szCs w:val="24"/>
        </w:rPr>
      </w:pPr>
      <w:r w:rsidRPr="00096909">
        <w:rPr>
          <w:rFonts w:ascii="Times New Roman" w:hAnsi="Times New Roman" w:cs="Times New Roman"/>
          <w:smallCaps/>
          <w:sz w:val="24"/>
          <w:szCs w:val="24"/>
        </w:rPr>
        <w:t xml:space="preserve">Documento </w:t>
      </w:r>
      <w:r>
        <w:rPr>
          <w:rFonts w:ascii="Times New Roman" w:hAnsi="Times New Roman" w:cs="Times New Roman"/>
          <w:smallCaps/>
          <w:sz w:val="24"/>
          <w:szCs w:val="24"/>
        </w:rPr>
        <w:t>1</w:t>
      </w:r>
      <w:r w:rsidRPr="00096909">
        <w:rPr>
          <w:rFonts w:ascii="Times New Roman" w:hAnsi="Times New Roman" w:cs="Times New Roman"/>
          <w:smallCaps/>
          <w:sz w:val="24"/>
          <w:szCs w:val="24"/>
        </w:rPr>
        <w:t xml:space="preserve">] </w:t>
      </w:r>
      <w:r w:rsidRPr="00096909">
        <w:rPr>
          <w:rFonts w:ascii="Times New Roman" w:hAnsi="Times New Roman" w:cs="Times New Roman"/>
          <w:sz w:val="24"/>
          <w:szCs w:val="24"/>
        </w:rPr>
        <w:t>Ms. It. 1591,</w:t>
      </w:r>
      <w:r w:rsidRPr="00096909">
        <w:rPr>
          <w:rFonts w:ascii="Times New Roman" w:hAnsi="Times New Roman" w:cs="Times New Roman"/>
          <w:smallCaps/>
          <w:sz w:val="24"/>
          <w:szCs w:val="24"/>
        </w:rPr>
        <w:t xml:space="preserve"> </w:t>
      </w:r>
      <w:r w:rsidRPr="00096909">
        <w:rPr>
          <w:rFonts w:ascii="Times New Roman" w:hAnsi="Times New Roman" w:cs="Times New Roman"/>
          <w:sz w:val="24"/>
          <w:szCs w:val="24"/>
        </w:rPr>
        <w:t xml:space="preserve">ff. 3r-4r. Milano, non datato ma prima del maggio 1465. </w:t>
      </w:r>
    </w:p>
    <w:p w14:paraId="52258602" w14:textId="77777777" w:rsidR="0094477F" w:rsidRPr="00096909" w:rsidRDefault="0094477F" w:rsidP="0094477F">
      <w:pPr>
        <w:rPr>
          <w:rFonts w:ascii="Times New Roman" w:hAnsi="Times New Roman" w:cs="Times New Roman"/>
          <w:sz w:val="24"/>
          <w:szCs w:val="24"/>
        </w:rPr>
      </w:pPr>
    </w:p>
    <w:p w14:paraId="0492D279" w14:textId="77777777" w:rsidR="0094477F" w:rsidRPr="00096909" w:rsidRDefault="0094477F" w:rsidP="0094477F">
      <w:pPr>
        <w:spacing w:line="360" w:lineRule="auto"/>
        <w:jc w:val="both"/>
        <w:rPr>
          <w:rFonts w:ascii="Times New Roman" w:hAnsi="Times New Roman" w:cs="Times New Roman"/>
          <w:i/>
          <w:sz w:val="24"/>
          <w:szCs w:val="24"/>
        </w:rPr>
      </w:pPr>
      <w:bookmarkStart w:id="548" w:name="_Hlk524162166"/>
      <w:r w:rsidRPr="00096909">
        <w:rPr>
          <w:rFonts w:ascii="Times New Roman" w:hAnsi="Times New Roman" w:cs="Times New Roman"/>
          <w:i/>
          <w:sz w:val="24"/>
          <w:szCs w:val="24"/>
        </w:rPr>
        <w:t>Ricordo fatto al Magnifico don Antonio Cincinello</w:t>
      </w:r>
      <w:bookmarkEnd w:id="548"/>
      <w:r w:rsidRPr="00096909">
        <w:rPr>
          <w:rFonts w:ascii="Times New Roman" w:hAnsi="Times New Roman" w:cs="Times New Roman"/>
          <w:i/>
          <w:sz w:val="24"/>
          <w:szCs w:val="24"/>
        </w:rPr>
        <w:t xml:space="preserve"> de le cose ha ad referire a la Maestà del serenissimo Signor Re Ferrando per parte de li illustrissimi Signori Duca de Milano e Madonna Duchessa per le cose pertinenti a le noze de la illustrissima Madonna Ippolita principessa e per lo venire e retornare de quelli hanno ad venire per essa. </w:t>
      </w:r>
    </w:p>
    <w:p w14:paraId="0FA113F9" w14:textId="77777777" w:rsidR="0094477F" w:rsidRPr="00096909" w:rsidRDefault="0094477F" w:rsidP="0094477F">
      <w:pPr>
        <w:spacing w:line="360" w:lineRule="auto"/>
        <w:jc w:val="both"/>
        <w:rPr>
          <w:rFonts w:ascii="Times New Roman" w:hAnsi="Times New Roman" w:cs="Times New Roman"/>
          <w:sz w:val="24"/>
          <w:szCs w:val="24"/>
        </w:rPr>
      </w:pPr>
    </w:p>
    <w:p w14:paraId="3187EAC9"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Primo. Circa quanto hanno ragionato del fatto de la serenissima Regina non se dice altro, perché, Dio gratia, sua Maestà è redutta ad bona convalescentia; salvo che ve piacia recomandare le loro Signorie a sua Maestà e dirgli che de la sua liberatione e convalescentia non hanno manco contenteza, consolatione e piacere quanto hanno avuto affanno e dispiacere de la infirmitate, e che pregano Dio la conservi longamente in bona sanitate e prosperitate. </w:t>
      </w:r>
    </w:p>
    <w:p w14:paraId="4646E4C1"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Secundo. Piacciavi dire a la Maestà del Re che per satisfare a sua requisitione sono contenti che la illustrissima Madonna Leonora resta de là ancora per uno anno e quello più e manco piacerà a sua Maestà, in cui dispositione remettono questa cosa. </w:t>
      </w:r>
    </w:p>
    <w:p w14:paraId="28C2A1BF"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Tertio. Perché avendose ad celebrare li sponsaliti al tempo determinato, non vole manco tempo ad fare le provisione necessarie, voriano sue Signorie essere divisate saltem de dui mesi inanzi per una lista particularmente e chiaramente lo numero de li cavalli e boche veniranno di là, e lo nome de li principali e la conditione e grado loro, e l’ordine come degono procedere l’uno all’altro, perché il simile faranno sue Signorie de quelli mandaranno loro; </w:t>
      </w:r>
      <w:r w:rsidR="009279FA">
        <w:rPr>
          <w:rFonts w:ascii="Times New Roman" w:hAnsi="Times New Roman" w:cs="Times New Roman"/>
          <w:sz w:val="24"/>
          <w:szCs w:val="24"/>
        </w:rPr>
        <w:t>a</w:t>
      </w:r>
      <w:r w:rsidRPr="00096909">
        <w:rPr>
          <w:rFonts w:ascii="Times New Roman" w:hAnsi="Times New Roman" w:cs="Times New Roman"/>
          <w:sz w:val="24"/>
          <w:szCs w:val="24"/>
        </w:rPr>
        <w:t xml:space="preserve">visando che quelli veniranno de qua computano la famiglia de casa de Madonna principessa che ha ad remanere di là. </w:t>
      </w:r>
      <w:r w:rsidRPr="00096909">
        <w:rPr>
          <w:rFonts w:ascii="Times New Roman" w:hAnsi="Times New Roman" w:cs="Times New Roman"/>
          <w:i/>
          <w:sz w:val="24"/>
          <w:szCs w:val="24"/>
        </w:rPr>
        <w:t>Similiter</w:t>
      </w:r>
      <w:r w:rsidRPr="00096909">
        <w:rPr>
          <w:rFonts w:ascii="Times New Roman" w:hAnsi="Times New Roman" w:cs="Times New Roman"/>
          <w:sz w:val="24"/>
          <w:szCs w:val="24"/>
        </w:rPr>
        <w:t xml:space="preserve"> li illustrissimi Filippo e Sforza con li loro famigli e compagni, li gentilomini e donne che gli faranno compagnia, carriagi e altri non se vede possano essere manco de cavalli 500 alla scarsa. </w:t>
      </w:r>
    </w:p>
    <w:p w14:paraId="4DC3E9DD"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Quarto. Perché per lo suspetto de la peste è stata quest’anno in molti lochi pur se dubita de l’anno a venire, ricordano sue Signorie che la sua Maestà guardi ad eleggere quella via gli parerà più sana e con manco suspetto de peste per conservatione de l’uno stato e de l’altro, perché da Parma in là lassano il carco a sua Maestà. E se per caso el morbo fusse de qua o de là o vero per camino in modo male se potesse caminare se non per lochi infetti voriano essere avisati de quello delibererà sua Maestà de fare in questo caso; ben ricordano non se facia la via per mare. </w:t>
      </w:r>
    </w:p>
    <w:p w14:paraId="6FEF9614"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Quinto, voriano essere avisati d’uno pezzo innanzi del dì che delibera se partino de là quelli manda sua Maestà; e così de tempo se hanno ad partire de qua per essere ad casa al designo de sua Maestà. Del qual tempo sue Signorie non fanno caso, purchè il matrimonio non se consumi in el mese di Magio per contenteza loro. Se fusse bene el primo dì de Iunio, o il secondo, o il terzo, o come gli piace non se ne curano. Ben recordano che se abia advertentia al manco al moverse de là elegere uno bono dì, perché similiter faranno loro Signorie al moverse de qua e al consumare el matrimonio. </w:t>
      </w:r>
    </w:p>
    <w:p w14:paraId="555D7274"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Sesto. Le Signorie loro hanno fatto una lista de quelle persone gli pare siano necessarie al servitio de Madonna principessa; e l’hanno fatta un poco scarsa per non sapere el stilo se costuma de là. Voriano, sue Signorie, che voi monstransti ditta lista a sua Maestà, subito come giongerite là, e che sapiate se gli pare de agiongere o de diminuire a quello ordine e se sua Maestà vole deputare lei queste persone de soi o tutte o parte, e </w:t>
      </w:r>
      <w:r w:rsidRPr="00096909">
        <w:rPr>
          <w:rFonts w:ascii="Times New Roman" w:hAnsi="Times New Roman" w:cs="Times New Roman"/>
          <w:i/>
          <w:sz w:val="24"/>
          <w:szCs w:val="24"/>
        </w:rPr>
        <w:t>particulariter et distincte</w:t>
      </w:r>
      <w:r w:rsidRPr="00096909">
        <w:rPr>
          <w:rFonts w:ascii="Times New Roman" w:hAnsi="Times New Roman" w:cs="Times New Roman"/>
          <w:sz w:val="24"/>
          <w:szCs w:val="24"/>
        </w:rPr>
        <w:t xml:space="preserve"> ad quali offici e serviti sua Maestà delibera mettere de soi, e ad quali le loro Signorie hanno ad fare provisione; e che volantissime e senza dilatione vogliati chiarire del tutto le loro Signorie, perché possano providerse de quelli che gli mancassero. </w:t>
      </w:r>
      <w:r w:rsidRPr="00096909">
        <w:rPr>
          <w:rFonts w:ascii="Times New Roman" w:hAnsi="Times New Roman" w:cs="Times New Roman"/>
          <w:i/>
          <w:sz w:val="24"/>
          <w:szCs w:val="24"/>
        </w:rPr>
        <w:t>Similiter</w:t>
      </w:r>
      <w:r w:rsidRPr="00096909">
        <w:rPr>
          <w:rFonts w:ascii="Times New Roman" w:hAnsi="Times New Roman" w:cs="Times New Roman"/>
          <w:sz w:val="24"/>
          <w:szCs w:val="24"/>
        </w:rPr>
        <w:t xml:space="preserve"> vogliati chiarire que salario e limitato per ordine a quelli officiali averanno ad providere loro Signorie e se sopra quello se hanno a fare le spese o glie saranno fatte da Corte ultra el salario e ciò che se costuma de là.    </w:t>
      </w:r>
    </w:p>
    <w:p w14:paraId="7CFCA946" w14:textId="77777777" w:rsidR="0094477F" w:rsidRPr="00096909" w:rsidRDefault="0094477F" w:rsidP="0094477F">
      <w:pPr>
        <w:pStyle w:val="Paragrafoelenco"/>
        <w:numPr>
          <w:ilvl w:val="0"/>
          <w:numId w:val="5"/>
        </w:numPr>
        <w:spacing w:line="240" w:lineRule="auto"/>
        <w:jc w:val="both"/>
        <w:rPr>
          <w:rFonts w:ascii="Times New Roman" w:hAnsi="Times New Roman" w:cs="Times New Roman"/>
          <w:i/>
          <w:sz w:val="24"/>
          <w:szCs w:val="24"/>
        </w:rPr>
      </w:pPr>
      <w:r w:rsidRPr="00096909">
        <w:rPr>
          <w:rFonts w:ascii="Times New Roman" w:hAnsi="Times New Roman" w:cs="Times New Roman"/>
          <w:i/>
          <w:sz w:val="24"/>
          <w:szCs w:val="24"/>
        </w:rPr>
        <w:t xml:space="preserve">Questo è l’ordine de la famiglia quale se ha ad dare alla illustrissima Madonna principessa. </w:t>
      </w:r>
    </w:p>
    <w:p w14:paraId="03F6DA2B" w14:textId="77777777" w:rsidR="0094477F" w:rsidRPr="00096909" w:rsidRDefault="0094477F" w:rsidP="0094477F">
      <w:pPr>
        <w:spacing w:line="240" w:lineRule="auto"/>
        <w:jc w:val="both"/>
        <w:rPr>
          <w:rFonts w:ascii="Times New Roman" w:hAnsi="Times New Roman" w:cs="Times New Roman"/>
          <w:sz w:val="24"/>
          <w:szCs w:val="24"/>
        </w:rPr>
      </w:pPr>
    </w:p>
    <w:p w14:paraId="301C614A"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Primo. La illustrissima Madonna principessa: per la persona sua, cavalli V, bocche I.</w:t>
      </w:r>
    </w:p>
    <w:p w14:paraId="4BCD1A2A"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Madonna Petra de la Mirandola, computati doi famigli e doe femine: cavalli V, bocche V.</w:t>
      </w:r>
    </w:p>
    <w:p w14:paraId="1671A5A3"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Un’altra gentildonna, computata una femina: cavalli II, bocche II. </w:t>
      </w:r>
    </w:p>
    <w:p w14:paraId="20EC12AB"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Donne dece: cavalli X, bocche X.</w:t>
      </w:r>
    </w:p>
    <w:p w14:paraId="1B94E34B"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Caranze quattro: cavalli IV, bocche IV.</w:t>
      </w:r>
    </w:p>
    <w:p w14:paraId="39E07E6D"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Pagi quattro: cavalli 0, bocche IV. </w:t>
      </w:r>
    </w:p>
    <w:p w14:paraId="745EEEB1"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Provisionati sine staferi quattro: cavalli 0, bocche IV.</w:t>
      </w:r>
    </w:p>
    <w:p w14:paraId="78F7E6FF"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Capellano uno con el chierico: cavalli II, bocche II. </w:t>
      </w:r>
    </w:p>
    <w:p w14:paraId="5965B7A7"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Medico uno: cavalli III, bocche III.</w:t>
      </w:r>
    </w:p>
    <w:p w14:paraId="2E43549D"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Gentilomini doi de reputatione per compagnia de sua Signoria: cavalli VIII, bocche VIII. </w:t>
      </w:r>
    </w:p>
    <w:p w14:paraId="6811E7CB"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Sescalco uno: cavalli III, bocche III.</w:t>
      </w:r>
    </w:p>
    <w:p w14:paraId="11F65202"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Cancellero: cavalli III, bocche III. </w:t>
      </w:r>
    </w:p>
    <w:p w14:paraId="31B4C27C"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Uno che gli dà bevere: cavalli II, bocche II. </w:t>
      </w:r>
    </w:p>
    <w:p w14:paraId="7E95EBE1"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Uno che tagli in tavola: cavalli II, bocche II. </w:t>
      </w:r>
    </w:p>
    <w:p w14:paraId="588718F6"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Uno che porti el piatello: cavalli II, bocche II. </w:t>
      </w:r>
    </w:p>
    <w:p w14:paraId="51D589E1"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Uno credenzero et sottocredenzero: cavalli III, bocche III. </w:t>
      </w:r>
    </w:p>
    <w:p w14:paraId="081767E4"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Uno apparechiatore da tavola per sua Signoria: cavalli II, bocche II. </w:t>
      </w:r>
    </w:p>
    <w:p w14:paraId="04F93F91"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Uno espenditore: cavalli II, bocche II. </w:t>
      </w:r>
    </w:p>
    <w:p w14:paraId="690857D1"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Doi apparechiatori per le donne e per la credenza: cavalli II, bocche II. </w:t>
      </w:r>
    </w:p>
    <w:p w14:paraId="001DEB56"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Doi servitori per le donne: cavalli II, bocche II. </w:t>
      </w:r>
    </w:p>
    <w:p w14:paraId="16D9DFC4"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Tre portatori per piatelli e minestre per le donne: cavalli III, bocche III. </w:t>
      </w:r>
    </w:p>
    <w:p w14:paraId="3F6A2B69"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Uno dispensatore: cavalli I, bocche I. </w:t>
      </w:r>
    </w:p>
    <w:p w14:paraId="67102EBE"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Doi cochi et doi guattari: cavalli II, bocche IV. </w:t>
      </w:r>
    </w:p>
    <w:p w14:paraId="72DE2C00"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Uno Magiore da stalla: cavalli II, bocche II.</w:t>
      </w:r>
    </w:p>
    <w:p w14:paraId="504AFB4D"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Famigli XIIII da stalla: cavalli VI, bocche XIIII. </w:t>
      </w:r>
    </w:p>
    <w:p w14:paraId="6797AA30"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Minestreri tre con uno famiglio: cavalli III, bocche IV. </w:t>
      </w:r>
    </w:p>
    <w:p w14:paraId="4068DEE3"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Uno marescalco: cavalli II, bocche II. </w:t>
      </w:r>
    </w:p>
    <w:p w14:paraId="123B7014"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Uno soprastante per le casse e per la guardarobba: cavalli II, bocche II. </w:t>
      </w:r>
    </w:p>
    <w:p w14:paraId="0D4758EE"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Tre mulatteri con sei muli: muli VI, bocche III.</w:t>
      </w:r>
    </w:p>
    <w:p w14:paraId="052B55A4" w14:textId="77777777" w:rsidR="0094477F" w:rsidRPr="00096909" w:rsidRDefault="0094477F" w:rsidP="0094477F">
      <w:pPr>
        <w:spacing w:line="24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Summa: cavalli LXXX, boche CI. </w:t>
      </w:r>
    </w:p>
    <w:p w14:paraId="6A812A60" w14:textId="77777777" w:rsidR="0094477F" w:rsidRPr="00096909" w:rsidRDefault="0094477F" w:rsidP="0094477F">
      <w:pPr>
        <w:rPr>
          <w:rFonts w:ascii="Times New Roman" w:hAnsi="Times New Roman" w:cs="Times New Roman"/>
          <w:sz w:val="24"/>
          <w:szCs w:val="24"/>
        </w:rPr>
      </w:pPr>
    </w:p>
    <w:p w14:paraId="78438EBF" w14:textId="77777777" w:rsidR="0094477F" w:rsidRPr="00096909" w:rsidRDefault="0094477F" w:rsidP="0094477F">
      <w:pPr>
        <w:rPr>
          <w:rFonts w:ascii="Times New Roman" w:hAnsi="Times New Roman" w:cs="Times New Roman"/>
          <w:sz w:val="24"/>
          <w:szCs w:val="24"/>
        </w:rPr>
      </w:pPr>
    </w:p>
    <w:p w14:paraId="52C8287A" w14:textId="77777777" w:rsidR="0094477F" w:rsidRPr="00096909" w:rsidRDefault="0094477F" w:rsidP="0094477F">
      <w:pPr>
        <w:rPr>
          <w:rFonts w:ascii="Times New Roman" w:hAnsi="Times New Roman" w:cs="Times New Roman"/>
          <w:sz w:val="24"/>
          <w:szCs w:val="24"/>
        </w:rPr>
      </w:pPr>
      <w:r w:rsidRPr="00096909">
        <w:rPr>
          <w:rFonts w:ascii="Times New Roman" w:hAnsi="Times New Roman" w:cs="Times New Roman"/>
          <w:smallCaps/>
          <w:sz w:val="24"/>
          <w:szCs w:val="24"/>
        </w:rPr>
        <w:t xml:space="preserve">Documento 2] </w:t>
      </w:r>
      <w:r w:rsidRPr="00096909">
        <w:rPr>
          <w:rFonts w:ascii="Times New Roman" w:hAnsi="Times New Roman" w:cs="Times New Roman"/>
          <w:sz w:val="24"/>
          <w:szCs w:val="24"/>
        </w:rPr>
        <w:t>Ms. It. 1591,</w:t>
      </w:r>
      <w:r w:rsidRPr="00096909">
        <w:rPr>
          <w:rFonts w:ascii="Times New Roman" w:hAnsi="Times New Roman" w:cs="Times New Roman"/>
          <w:smallCaps/>
          <w:sz w:val="24"/>
          <w:szCs w:val="24"/>
        </w:rPr>
        <w:t xml:space="preserve"> </w:t>
      </w:r>
      <w:r w:rsidRPr="00096909">
        <w:rPr>
          <w:rFonts w:ascii="Times New Roman" w:hAnsi="Times New Roman" w:cs="Times New Roman"/>
          <w:sz w:val="24"/>
          <w:szCs w:val="24"/>
        </w:rPr>
        <w:t>f. 67r. Firenze, 24 giugno 1465.</w:t>
      </w:r>
    </w:p>
    <w:p w14:paraId="63C5AA28" w14:textId="77777777" w:rsidR="0094477F" w:rsidRPr="00096909" w:rsidRDefault="0094477F" w:rsidP="0094477F">
      <w:pPr>
        <w:rPr>
          <w:rFonts w:ascii="Times New Roman" w:hAnsi="Times New Roman" w:cs="Times New Roman"/>
          <w:sz w:val="24"/>
          <w:szCs w:val="24"/>
        </w:rPr>
      </w:pPr>
    </w:p>
    <w:p w14:paraId="311DB891" w14:textId="77777777" w:rsidR="0094477F" w:rsidRPr="00096909" w:rsidRDefault="0094477F" w:rsidP="0094477F">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Illustrissime Princeps et excellentissime Domine, Domine mi singularissime,</w:t>
      </w:r>
    </w:p>
    <w:p w14:paraId="5C3E6C10"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i/>
          <w:sz w:val="24"/>
          <w:szCs w:val="24"/>
        </w:rPr>
        <w:t>post humillimam recomandationem</w:t>
      </w:r>
      <w:r w:rsidRPr="00096909">
        <w:rPr>
          <w:rFonts w:ascii="Times New Roman" w:hAnsi="Times New Roman" w:cs="Times New Roman"/>
          <w:sz w:val="24"/>
          <w:szCs w:val="24"/>
        </w:rPr>
        <w:t xml:space="preserve">, ieri non scrissi ad vostra celsitudine, perché non ho a fare solo uno officio ma parecchi, che ciascuno de loro voria maiore sufficentia che la mia; poi io ho ad acordare tropo contrari, como voi dubito intendete; e qui valer a chi più se po’ tirare la calza, eccetto questi vostri figlioli, quali avete mandati instrutti in sul filo vostro per modo che non poriano portarse meglio. </w:t>
      </w:r>
    </w:p>
    <w:p w14:paraId="61C49666" w14:textId="77777777" w:rsidR="0094477F" w:rsidRPr="00096909" w:rsidRDefault="0094477F" w:rsidP="0094477F">
      <w:pPr>
        <w:spacing w:after="0" w:line="360" w:lineRule="auto"/>
        <w:ind w:firstLine="397"/>
        <w:jc w:val="both"/>
        <w:rPr>
          <w:rFonts w:ascii="Times New Roman" w:hAnsi="Times New Roman" w:cs="Times New Roman"/>
          <w:sz w:val="24"/>
          <w:szCs w:val="24"/>
        </w:rPr>
      </w:pPr>
    </w:p>
    <w:p w14:paraId="4DCAB92C"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Ieri matina, la Illustrissima Madonna Ippolita, messere don Federico e vostri figlioli cum tutta la loro comitiva forono cum grande ordine a la messa in la Nontiata. Poi disnare fecero alcuni onesti giochi de quelli nostri de là, a quali se trovarono parecchie zovane de le princepale de questa città. A vespro, poi, volsero vedere l’Ospitale, nel quale, etiam che sia sano, non gli lassai entrare, ma el videro da la porta. Poi entrarono in quelli cortili a cavallo e non gli lassai fermare quasi niente. Poi venemo in piazza a cavallo pur dove videro giocare al canapo meravegliosamente un maestro Stefano per spazo de mezzora. De lì passamo da </w:t>
      </w:r>
      <w:r>
        <w:rPr>
          <w:rFonts w:ascii="Times New Roman" w:hAnsi="Times New Roman" w:cs="Times New Roman"/>
          <w:sz w:val="24"/>
          <w:szCs w:val="24"/>
        </w:rPr>
        <w:t>l</w:t>
      </w:r>
      <w:r w:rsidRPr="00096909">
        <w:rPr>
          <w:rFonts w:ascii="Times New Roman" w:hAnsi="Times New Roman" w:cs="Times New Roman"/>
          <w:sz w:val="24"/>
          <w:szCs w:val="24"/>
        </w:rPr>
        <w:t xml:space="preserve">eoni. Cenato che ebero videro balare parecchie de queste dame al logiamento del Signore messer Roberto in casa de Antonio de’ Pazo, fin a mezzora de notte. E fecero queste zovenette cum tanta liberalità quel sempre chiedevan questi nostri fin a la cornamusa che meglio non se poria dire pensandosse meno, chè non deliberavano lassare che fare per contentargli. </w:t>
      </w:r>
    </w:p>
    <w:p w14:paraId="752E98F5" w14:textId="77777777" w:rsidR="0094477F" w:rsidRPr="00096909" w:rsidRDefault="0094477F" w:rsidP="0094477F">
      <w:pPr>
        <w:spacing w:after="0" w:line="360" w:lineRule="auto"/>
        <w:ind w:firstLine="397"/>
        <w:jc w:val="both"/>
        <w:rPr>
          <w:rFonts w:ascii="Times New Roman" w:hAnsi="Times New Roman" w:cs="Times New Roman"/>
          <w:sz w:val="24"/>
          <w:szCs w:val="24"/>
        </w:rPr>
      </w:pPr>
    </w:p>
    <w:p w14:paraId="17AEF641"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Questa matina devevano andare a vedere l’offerta, e perché c’erano vari pareri me parve finalmente, e così al magnifico Piero, che non ce andassero. Io me mossi cum Piero, mostrando non fosse bene andassero oggi in piaza e domane a messa e per altri rispetti. Ma io gli tacqui ancora quel de più importava, cioè che’l signor messer don Federico per primo non vole stare in su la renghera cum la Signoria e cum li vostri figlioli, ma vole stare in </w:t>
      </w:r>
      <w:bookmarkStart w:id="549" w:name="_Hlk524343487"/>
      <w:r w:rsidRPr="00096909">
        <w:rPr>
          <w:rFonts w:ascii="Times New Roman" w:hAnsi="Times New Roman" w:cs="Times New Roman"/>
          <w:sz w:val="24"/>
          <w:szCs w:val="24"/>
        </w:rPr>
        <w:t>sul palchetto cum la illustrissima Madonna Ippolita</w:t>
      </w:r>
      <w:bookmarkEnd w:id="549"/>
      <w:r w:rsidRPr="00096909">
        <w:rPr>
          <w:rFonts w:ascii="Times New Roman" w:hAnsi="Times New Roman" w:cs="Times New Roman"/>
          <w:sz w:val="24"/>
          <w:szCs w:val="24"/>
        </w:rPr>
        <w:t xml:space="preserve">. </w:t>
      </w:r>
    </w:p>
    <w:p w14:paraId="2E29C9D8"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brigata qui non se ne contenta e dicono non ce lasserano andare le donne loro, e è causata questa loro voglia longius, como non dubito intenderete. </w:t>
      </w:r>
    </w:p>
    <w:p w14:paraId="14314015"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Disnato che averano se sonerà parecchi instrumenti per le figliole de Piero in Camera de Madonna, ma non se ballerà per ordine mio, benché Piero l’abia remesso liberamente in Madonna e noi altri. Passati vesperi, monterano a cavallo e per la via del corso del palio, comenzando a san Piero Maiore gli conduremo presso al prato de Ognisanti in casa de Zuliano Vespuzi, dove è ben preparato, e lì vederanno balare fin che’l palio sarà corso. De poi cena me inzegnarò vedano balare dove eri sera, e in questo mezo farò il possibile cum modestia tutto che domattina, </w:t>
      </w:r>
      <w:bookmarkStart w:id="550" w:name="_Hlk524344634"/>
      <w:r w:rsidRPr="00096909">
        <w:rPr>
          <w:rFonts w:ascii="Times New Roman" w:hAnsi="Times New Roman" w:cs="Times New Roman"/>
          <w:sz w:val="24"/>
          <w:szCs w:val="24"/>
        </w:rPr>
        <w:t>al vedere de li miracoli o nuvole, don Federico se degni stare cum la Signoria e vostri figlioli</w:t>
      </w:r>
      <w:bookmarkEnd w:id="550"/>
      <w:r w:rsidRPr="00096909">
        <w:rPr>
          <w:rFonts w:ascii="Times New Roman" w:hAnsi="Times New Roman" w:cs="Times New Roman"/>
          <w:sz w:val="24"/>
          <w:szCs w:val="24"/>
        </w:rPr>
        <w:t xml:space="preserve">. </w:t>
      </w:r>
    </w:p>
    <w:p w14:paraId="40742C96"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Sempre me raccomando a vostra sublimità. Ex Florentia, 24 Junii 1465. </w:t>
      </w:r>
    </w:p>
    <w:p w14:paraId="43DF50DB" w14:textId="77777777" w:rsidR="0094477F" w:rsidRPr="00096909" w:rsidRDefault="0094477F" w:rsidP="0094477F">
      <w:pPr>
        <w:spacing w:line="360" w:lineRule="auto"/>
        <w:jc w:val="right"/>
        <w:rPr>
          <w:rFonts w:ascii="Times New Roman" w:hAnsi="Times New Roman" w:cs="Times New Roman"/>
          <w:sz w:val="24"/>
          <w:szCs w:val="24"/>
        </w:rPr>
      </w:pPr>
      <w:r w:rsidRPr="00096909">
        <w:rPr>
          <w:rFonts w:ascii="Times New Roman" w:hAnsi="Times New Roman" w:cs="Times New Roman"/>
          <w:sz w:val="24"/>
          <w:szCs w:val="24"/>
        </w:rPr>
        <w:t xml:space="preserve">Servulus Nicodemus  </w:t>
      </w:r>
    </w:p>
    <w:p w14:paraId="692DBDA5" w14:textId="77777777" w:rsidR="0094477F" w:rsidRPr="00096909" w:rsidRDefault="0094477F" w:rsidP="0094477F">
      <w:pPr>
        <w:spacing w:line="360" w:lineRule="auto"/>
        <w:jc w:val="right"/>
        <w:rPr>
          <w:rFonts w:ascii="Times New Roman" w:hAnsi="Times New Roman" w:cs="Times New Roman"/>
          <w:sz w:val="24"/>
          <w:szCs w:val="24"/>
        </w:rPr>
      </w:pPr>
    </w:p>
    <w:p w14:paraId="1AD145D9" w14:textId="77777777" w:rsidR="0094477F" w:rsidRPr="00096909" w:rsidRDefault="0094477F" w:rsidP="0094477F">
      <w:pPr>
        <w:spacing w:line="360" w:lineRule="auto"/>
        <w:jc w:val="right"/>
        <w:rPr>
          <w:rFonts w:ascii="Times New Roman" w:hAnsi="Times New Roman" w:cs="Times New Roman"/>
          <w:sz w:val="24"/>
          <w:szCs w:val="24"/>
        </w:rPr>
      </w:pPr>
    </w:p>
    <w:p w14:paraId="697166AD" w14:textId="77777777" w:rsidR="0094477F" w:rsidRPr="00096909" w:rsidRDefault="0094477F" w:rsidP="0094477F">
      <w:pPr>
        <w:rPr>
          <w:rFonts w:ascii="Times New Roman" w:hAnsi="Times New Roman" w:cs="Times New Roman"/>
          <w:sz w:val="24"/>
          <w:szCs w:val="24"/>
        </w:rPr>
      </w:pPr>
      <w:r w:rsidRPr="00096909">
        <w:rPr>
          <w:rFonts w:ascii="Times New Roman" w:hAnsi="Times New Roman" w:cs="Times New Roman"/>
          <w:smallCaps/>
          <w:sz w:val="24"/>
          <w:szCs w:val="24"/>
        </w:rPr>
        <w:t xml:space="preserve">Documento 3] </w:t>
      </w:r>
      <w:r w:rsidRPr="00096909">
        <w:rPr>
          <w:rFonts w:ascii="Times New Roman" w:hAnsi="Times New Roman" w:cs="Times New Roman"/>
          <w:sz w:val="24"/>
          <w:szCs w:val="24"/>
        </w:rPr>
        <w:t>Ms. It. 1591,</w:t>
      </w:r>
      <w:r w:rsidRPr="00096909">
        <w:rPr>
          <w:rFonts w:ascii="Times New Roman" w:hAnsi="Times New Roman" w:cs="Times New Roman"/>
          <w:smallCaps/>
          <w:sz w:val="24"/>
          <w:szCs w:val="24"/>
        </w:rPr>
        <w:t xml:space="preserve"> </w:t>
      </w:r>
      <w:r w:rsidRPr="00096909">
        <w:rPr>
          <w:rFonts w:ascii="Times New Roman" w:hAnsi="Times New Roman" w:cs="Times New Roman"/>
          <w:sz w:val="24"/>
          <w:szCs w:val="24"/>
        </w:rPr>
        <w:t>f. 67r. Napoli, 22 settembre 1465.</w:t>
      </w:r>
    </w:p>
    <w:p w14:paraId="3E7CFAAD" w14:textId="77777777" w:rsidR="0094477F" w:rsidRPr="00096909" w:rsidRDefault="0094477F" w:rsidP="0094477F">
      <w:pPr>
        <w:rPr>
          <w:rFonts w:ascii="Times New Roman" w:hAnsi="Times New Roman" w:cs="Times New Roman"/>
          <w:sz w:val="24"/>
          <w:szCs w:val="24"/>
        </w:rPr>
      </w:pPr>
    </w:p>
    <w:p w14:paraId="5BA9940A" w14:textId="77777777" w:rsidR="0094477F" w:rsidRPr="00096909" w:rsidRDefault="0094477F" w:rsidP="0094477F">
      <w:pPr>
        <w:jc w:val="both"/>
        <w:rPr>
          <w:rFonts w:ascii="Times New Roman" w:hAnsi="Times New Roman" w:cs="Times New Roman"/>
          <w:i/>
          <w:sz w:val="24"/>
          <w:szCs w:val="24"/>
        </w:rPr>
      </w:pPr>
      <w:r w:rsidRPr="00096909">
        <w:rPr>
          <w:rFonts w:ascii="Times New Roman" w:hAnsi="Times New Roman" w:cs="Times New Roman"/>
          <w:i/>
          <w:sz w:val="24"/>
          <w:szCs w:val="24"/>
        </w:rPr>
        <w:t>Copia litterarum Bonifacii a li primi ducalis cancellarii ad Illustrissimum ducem Mediolani</w:t>
      </w:r>
    </w:p>
    <w:p w14:paraId="13A131A1" w14:textId="77777777" w:rsidR="0094477F" w:rsidRPr="00096909" w:rsidRDefault="0094477F" w:rsidP="0094477F">
      <w:pPr>
        <w:spacing w:line="360" w:lineRule="auto"/>
        <w:jc w:val="both"/>
        <w:rPr>
          <w:rFonts w:ascii="Times New Roman" w:hAnsi="Times New Roman" w:cs="Times New Roman"/>
          <w:sz w:val="24"/>
          <w:szCs w:val="24"/>
        </w:rPr>
      </w:pPr>
    </w:p>
    <w:p w14:paraId="29F9B9D8" w14:textId="77777777" w:rsidR="0094477F" w:rsidRPr="00096909" w:rsidRDefault="0094477F" w:rsidP="0094477F">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Illustrissimo Signor mio,</w:t>
      </w:r>
    </w:p>
    <w:p w14:paraId="6C5B4A77"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Maestà de questo serenissimo signor Re, per onorare le feste de la illustrissima Madonna nostra, ieri fece fare uno fatto d’arme, sive torneamento, prima con lance mozze, poi con le maze e spade, fino ditto erano quaranta ore d’arme per parte. Durò assai e fu bello; ma in vero non con quello ordene che fu fatto el torneamento della Signoria vostra. Fu anche danzato fin sera, stando la prefata Maestà con la prefata Madonna e signor Duca de Calabria suso el tribunale. Suso ditta festa fece soa Maestà uno Re d’armes. Per esso poi fece bandire la Impresa al Colare del Armelino, con certi capitoli da fer observare per quelli a che serà data tale impresa, e a tanta lege che non fosse ad niuno poterlo domandare né fare domandare. E allora se fece mettere ditto collaro. </w:t>
      </w:r>
    </w:p>
    <w:p w14:paraId="05449D83" w14:textId="77777777" w:rsidR="0094477F" w:rsidRPr="00096909" w:rsidRDefault="0094477F" w:rsidP="0094477F">
      <w:pPr>
        <w:spacing w:after="0" w:line="360" w:lineRule="auto"/>
        <w:ind w:firstLine="397"/>
        <w:jc w:val="both"/>
      </w:pPr>
      <w:r w:rsidRPr="00096909">
        <w:rPr>
          <w:rFonts w:ascii="Times New Roman" w:hAnsi="Times New Roman" w:cs="Times New Roman"/>
          <w:sz w:val="24"/>
          <w:szCs w:val="24"/>
        </w:rPr>
        <w:t>Fatte le ditte cose fu portata la collatione suptuosa al modo usato, ma male distribuita, perché come che sia gionta fu posta ad sacomano.</w:t>
      </w:r>
    </w:p>
    <w:p w14:paraId="345B5BD2" w14:textId="77777777" w:rsidR="0094477F" w:rsidRPr="00096909" w:rsidRDefault="0094477F" w:rsidP="0094477F">
      <w:pPr>
        <w:spacing w:after="0"/>
        <w:ind w:firstLine="397"/>
      </w:pPr>
    </w:p>
    <w:p w14:paraId="2FDE47BB" w14:textId="77777777" w:rsidR="0094477F" w:rsidRPr="00096909" w:rsidRDefault="0094477F" w:rsidP="0094477F">
      <w:pPr>
        <w:spacing w:after="0" w:line="360" w:lineRule="auto"/>
        <w:ind w:firstLine="397"/>
        <w:jc w:val="both"/>
      </w:pPr>
      <w:r w:rsidRPr="00096909">
        <w:rPr>
          <w:rFonts w:ascii="Times New Roman" w:hAnsi="Times New Roman" w:cs="Times New Roman"/>
          <w:sz w:val="24"/>
          <w:szCs w:val="24"/>
        </w:rPr>
        <w:t xml:space="preserve">Oggi sua Maestà fece cantare una messa in castello, ne la sua salla. Gli foreno ad oderla la sua Maestà, la prefata nostra Maestà, li illustrissimi signori suoi fratelli, Monsignore el legato e tutti li signori et baroni che ora se trovano ad queste feste. Formata la ditta messa furono per la sua Maestà fatti cavalleri primo don Franco, suo figliolo piculino; poi li illustrissimi signori Filippo e Sforza, e donogli uno colaro d’oro e la stola; iterum un altro figlio del Amiraglio de Cecilia, che se dice essere nepote de sua Maestà. Post questo sua Maestà fece pronunciare dal dicto Re d’armes e prefato signor Sforza duca de Barri e in signum de la erectione sua in duca la prefata sua Maestà gli mise </w:t>
      </w:r>
      <w:r w:rsidRPr="00096909">
        <w:rPr>
          <w:rFonts w:ascii="Times New Roman" w:hAnsi="Times New Roman" w:cs="Times New Roman"/>
          <w:i/>
          <w:sz w:val="24"/>
          <w:szCs w:val="24"/>
        </w:rPr>
        <w:t>propriis manibus</w:t>
      </w:r>
      <w:r w:rsidRPr="00096909">
        <w:rPr>
          <w:rFonts w:ascii="Times New Roman" w:hAnsi="Times New Roman" w:cs="Times New Roman"/>
          <w:sz w:val="24"/>
          <w:szCs w:val="24"/>
        </w:rPr>
        <w:t xml:space="preserve"> in testa uno bello frexo d’oro. E poi gli dede in mano el stendardo con l’arme ducale de la signoria vostra. </w:t>
      </w:r>
      <w:r w:rsidRPr="00096909">
        <w:rPr>
          <w:rFonts w:ascii="Times New Roman" w:hAnsi="Times New Roman" w:cs="Times New Roman"/>
          <w:i/>
          <w:sz w:val="24"/>
          <w:szCs w:val="24"/>
        </w:rPr>
        <w:t>Post dicta pronuntia similiter</w:t>
      </w:r>
      <w:r w:rsidRPr="00096909">
        <w:rPr>
          <w:rFonts w:ascii="Times New Roman" w:hAnsi="Times New Roman" w:cs="Times New Roman"/>
          <w:sz w:val="24"/>
          <w:szCs w:val="24"/>
        </w:rPr>
        <w:t xml:space="preserve"> fece pronuntiare alcuni altri duca e conti, de li quali mandarò el nome alla Signoria v</w:t>
      </w:r>
      <w:r w:rsidRPr="00096909">
        <w:t xml:space="preserve">ostra. </w:t>
      </w:r>
    </w:p>
    <w:p w14:paraId="7D728C80"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Fornito questo, esso signor Sforza fu compagnato da tutti li preditti signori baroni con lo preditto stendardo e con ditto frexo in testa per tutti li stagi di questa città con trombetti infiniti. </w:t>
      </w:r>
    </w:p>
    <w:p w14:paraId="2E84F3DA" w14:textId="77777777" w:rsidR="0094477F" w:rsidRPr="00096909" w:rsidRDefault="0094477F" w:rsidP="0094477F">
      <w:pPr>
        <w:ind w:firstLine="397"/>
      </w:pPr>
    </w:p>
    <w:p w14:paraId="3D8BB4A8"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Interum, sua Maestà dede audientia integra ad don Andreotto e ad Petro, quali gli esposero tutto quello avevano in la </w:t>
      </w:r>
      <w:r w:rsidRPr="00096909">
        <w:rPr>
          <w:rFonts w:ascii="Times New Roman" w:hAnsi="Times New Roman" w:cs="Times New Roman"/>
          <w:i/>
          <w:sz w:val="24"/>
          <w:szCs w:val="24"/>
        </w:rPr>
        <w:t>Instrutione</w:t>
      </w:r>
      <w:r w:rsidRPr="00096909">
        <w:rPr>
          <w:rFonts w:ascii="Times New Roman" w:hAnsi="Times New Roman" w:cs="Times New Roman"/>
          <w:sz w:val="24"/>
          <w:szCs w:val="24"/>
        </w:rPr>
        <w:t xml:space="preserve"> e ad tutte le parti gli fece risposta, como di esse la Signoria vostra serà avisata. Ritornato che fu esso signor Sforza di suo con la sua Maestà e con la prefata Maestà sua sorella, post disnare, andarono al loro usato ad fare la festa, e lì fu danzato in fin basso. Circa le XXII ore, fornita che fu la oratione che pubblicamente fece don Iohanne Arcimboldo, el ditto signor Sforza sposò la illustrissima Madonna Elionora </w:t>
      </w:r>
      <w:r w:rsidRPr="00096909">
        <w:rPr>
          <w:rFonts w:ascii="Times New Roman" w:hAnsi="Times New Roman" w:cs="Times New Roman"/>
          <w:i/>
          <w:sz w:val="24"/>
          <w:szCs w:val="24"/>
        </w:rPr>
        <w:t>publice</w:t>
      </w:r>
      <w:r w:rsidRPr="00096909">
        <w:rPr>
          <w:rFonts w:ascii="Times New Roman" w:hAnsi="Times New Roman" w:cs="Times New Roman"/>
          <w:sz w:val="24"/>
          <w:szCs w:val="24"/>
        </w:rPr>
        <w:t xml:space="preserve"> suso el tribunale de la ditta festa con la beneditione de monsignore el legato. Post ditto sposamento furono fatti ad essa Maestà la sposa li doni ordinati per la illustrissima Madonna vostra consorte. Fu di poi publicata la sutra de la giostra, e fu dato al signor Roberto uno diamante e ad uno Marino Brancazo, che fu uno de li corratori, uno rubino per premio de la ditta giostra. </w:t>
      </w:r>
    </w:p>
    <w:p w14:paraId="339E6F4B" w14:textId="77777777" w:rsidR="0094477F" w:rsidRPr="00096909" w:rsidRDefault="0094477F" w:rsidP="0094477F">
      <w:pPr>
        <w:spacing w:line="360" w:lineRule="auto"/>
        <w:ind w:firstLine="397"/>
        <w:jc w:val="both"/>
      </w:pPr>
      <w:bookmarkStart w:id="551" w:name="_Hlk524449787"/>
      <w:r w:rsidRPr="00096909">
        <w:rPr>
          <w:rFonts w:ascii="Times New Roman" w:hAnsi="Times New Roman" w:cs="Times New Roman"/>
          <w:sz w:val="24"/>
          <w:szCs w:val="24"/>
        </w:rPr>
        <w:t>Post hoc fu portata la collatione, bellissima ma pur sachezata come ieri, che in vero è cosa vergognosa</w:t>
      </w:r>
      <w:bookmarkEnd w:id="551"/>
      <w:r w:rsidRPr="00096909">
        <w:rPr>
          <w:rFonts w:ascii="Times New Roman" w:hAnsi="Times New Roman" w:cs="Times New Roman"/>
          <w:sz w:val="24"/>
          <w:szCs w:val="24"/>
        </w:rPr>
        <w:t>. E autem, ritornati in castello, la Maestà del Re compagnò la prefata Maestà a la camera sua pur al modo usato; e in vero, Signore mio, non se potria tanto dire del grandissimo amore e dilettatione che pare la Maestà sua portare a la prefata nostra Maestà che’l non sia molto più. Dico che li demonstra amore como ad figliola e la observa como Maestà. Certamente se la Signoria vostra el vedesse ne restaria ben contenta</w:t>
      </w:r>
      <w:r w:rsidRPr="00096909">
        <w:t xml:space="preserve">. </w:t>
      </w:r>
    </w:p>
    <w:p w14:paraId="6020570D"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Non dico altro del illustrissimo signor Duca suo marito, che non la lassa de vista e anche lei fagli carezze assai. Dico in modo pare siano bene d’accordo e coniunti de vero amore. Tutto questo m’è parso significare a la Signoria vostra per sua contentezza, a la quale me recomando. </w:t>
      </w:r>
    </w:p>
    <w:p w14:paraId="53B88083" w14:textId="77777777" w:rsidR="0094477F" w:rsidRPr="00096909" w:rsidRDefault="0094477F" w:rsidP="0094477F">
      <w:pPr>
        <w:spacing w:line="360" w:lineRule="auto"/>
        <w:ind w:firstLine="397"/>
        <w:jc w:val="right"/>
        <w:rPr>
          <w:rFonts w:ascii="Times New Roman" w:hAnsi="Times New Roman" w:cs="Times New Roman"/>
          <w:sz w:val="24"/>
          <w:szCs w:val="24"/>
        </w:rPr>
      </w:pPr>
    </w:p>
    <w:p w14:paraId="682705EB" w14:textId="77777777" w:rsidR="0094477F" w:rsidRPr="00096909" w:rsidRDefault="0094477F" w:rsidP="0094477F">
      <w:pPr>
        <w:spacing w:line="360" w:lineRule="auto"/>
        <w:ind w:firstLine="397"/>
        <w:jc w:val="right"/>
        <w:rPr>
          <w:rFonts w:ascii="Times New Roman" w:hAnsi="Times New Roman" w:cs="Times New Roman"/>
          <w:sz w:val="24"/>
          <w:szCs w:val="24"/>
        </w:rPr>
      </w:pPr>
      <w:r w:rsidRPr="00096909">
        <w:rPr>
          <w:rFonts w:ascii="Times New Roman" w:hAnsi="Times New Roman" w:cs="Times New Roman"/>
          <w:sz w:val="24"/>
          <w:szCs w:val="24"/>
        </w:rPr>
        <w:t xml:space="preserve">Ex Neapoli die 22 septembre. </w:t>
      </w:r>
    </w:p>
    <w:p w14:paraId="3C1AEA87"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PS. Don Jacopo de Trivulzio non ha ancora potuto esponere le sue ambascerie perché sta infermo. </w:t>
      </w:r>
    </w:p>
    <w:p w14:paraId="6FA414EE"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El Duca de San Marco fu intitulato Principe di Bisignano,</w:t>
      </w:r>
    </w:p>
    <w:p w14:paraId="04C3F124"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El Conte Orso fu intituato Duca di Ascoli,</w:t>
      </w:r>
    </w:p>
    <w:p w14:paraId="6C069D29"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El Conte di Gravina fu intulato Duca de Gravina,</w:t>
      </w:r>
    </w:p>
    <w:p w14:paraId="54C818BE"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El Cavallaro Orfin fu intitulato Conte de Tagliacozo,</w:t>
      </w:r>
    </w:p>
    <w:p w14:paraId="1B6A0BC4"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 Diomedes Caraffa fu creato Conte de Matalono.</w:t>
      </w:r>
    </w:p>
    <w:p w14:paraId="4E521068"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Angilberto, figlio del Duca d’Andri, fu intutulato Conte. </w:t>
      </w:r>
    </w:p>
    <w:p w14:paraId="3D4C3415" w14:textId="77777777" w:rsidR="0094477F" w:rsidRPr="00096909" w:rsidRDefault="0094477F" w:rsidP="0094477F">
      <w:pPr>
        <w:rPr>
          <w:rFonts w:ascii="Times New Roman" w:hAnsi="Times New Roman" w:cs="Times New Roman"/>
          <w:sz w:val="24"/>
          <w:szCs w:val="24"/>
        </w:rPr>
      </w:pPr>
    </w:p>
    <w:p w14:paraId="2F76DC5A" w14:textId="77777777" w:rsidR="0094477F" w:rsidRPr="00096909" w:rsidRDefault="0094477F" w:rsidP="0094477F">
      <w:pPr>
        <w:rPr>
          <w:rFonts w:ascii="Times New Roman" w:hAnsi="Times New Roman" w:cs="Times New Roman"/>
          <w:sz w:val="24"/>
          <w:szCs w:val="24"/>
        </w:rPr>
      </w:pPr>
    </w:p>
    <w:p w14:paraId="7DF0308C" w14:textId="77777777" w:rsidR="0094477F" w:rsidRPr="00096909" w:rsidRDefault="0094477F" w:rsidP="0094477F">
      <w:pPr>
        <w:rPr>
          <w:rFonts w:ascii="Times New Roman" w:hAnsi="Times New Roman" w:cs="Times New Roman"/>
          <w:sz w:val="24"/>
          <w:szCs w:val="24"/>
        </w:rPr>
      </w:pPr>
      <w:r w:rsidRPr="00096909">
        <w:rPr>
          <w:rFonts w:ascii="Times New Roman" w:hAnsi="Times New Roman" w:cs="Times New Roman"/>
          <w:sz w:val="24"/>
          <w:szCs w:val="24"/>
        </w:rPr>
        <w:t xml:space="preserve"> </w:t>
      </w:r>
      <w:r w:rsidRPr="00096909">
        <w:rPr>
          <w:rFonts w:ascii="Times New Roman" w:hAnsi="Times New Roman" w:cs="Times New Roman"/>
          <w:smallCaps/>
          <w:sz w:val="24"/>
          <w:szCs w:val="24"/>
        </w:rPr>
        <w:t xml:space="preserve">Documento 4] </w:t>
      </w:r>
      <w:r w:rsidRPr="00096909">
        <w:rPr>
          <w:rFonts w:ascii="Times New Roman" w:hAnsi="Times New Roman" w:cs="Times New Roman"/>
          <w:sz w:val="24"/>
          <w:szCs w:val="24"/>
        </w:rPr>
        <w:t>Ms. It. 1592,</w:t>
      </w:r>
      <w:r w:rsidRPr="00096909">
        <w:rPr>
          <w:rFonts w:ascii="Times New Roman" w:hAnsi="Times New Roman" w:cs="Times New Roman"/>
          <w:smallCaps/>
          <w:sz w:val="24"/>
          <w:szCs w:val="24"/>
        </w:rPr>
        <w:t xml:space="preserve"> </w:t>
      </w:r>
      <w:r w:rsidRPr="00096909">
        <w:rPr>
          <w:rFonts w:ascii="Times New Roman" w:hAnsi="Times New Roman" w:cs="Times New Roman"/>
          <w:sz w:val="24"/>
          <w:szCs w:val="24"/>
        </w:rPr>
        <w:t>f. 209r – 218r. Milano, post 2 febbraio 1489.</w:t>
      </w:r>
    </w:p>
    <w:p w14:paraId="0283727C" w14:textId="77777777" w:rsidR="0094477F" w:rsidRPr="00096909" w:rsidRDefault="0094477F" w:rsidP="0094477F">
      <w:pPr>
        <w:rPr>
          <w:rFonts w:ascii="Times New Roman" w:hAnsi="Times New Roman" w:cs="Times New Roman"/>
          <w:sz w:val="24"/>
          <w:szCs w:val="24"/>
        </w:rPr>
      </w:pPr>
    </w:p>
    <w:p w14:paraId="07CBA9D6" w14:textId="77777777" w:rsidR="0094477F" w:rsidRPr="00096909" w:rsidRDefault="0094477F" w:rsidP="0094477F">
      <w:pPr>
        <w:spacing w:line="360" w:lineRule="auto"/>
        <w:jc w:val="both"/>
        <w:rPr>
          <w:rFonts w:ascii="Times New Roman" w:hAnsi="Times New Roman" w:cs="Times New Roman"/>
          <w:i/>
          <w:sz w:val="24"/>
          <w:szCs w:val="24"/>
        </w:rPr>
      </w:pPr>
      <w:r w:rsidRPr="00096909">
        <w:rPr>
          <w:rFonts w:ascii="Times New Roman" w:hAnsi="Times New Roman" w:cs="Times New Roman"/>
          <w:i/>
          <w:sz w:val="24"/>
          <w:szCs w:val="24"/>
        </w:rPr>
        <w:t xml:space="preserve">Descriptione de l’ordine e feste celebrate in le noze de lo Illustrissimo Zoanne Galeaz Duca de Milano. </w:t>
      </w:r>
    </w:p>
    <w:p w14:paraId="2B3F1F5B"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Essendo lo Illustrissimo Zoan Galeaz, Duca de Milano, pervenuto ad quella età ne la quale ciascuno catolico e sapiente signore debbe pensare al matrimonio, sì per la propagatione del sangue suo como per conservare li populi in tranquilità e quiete, l’anno passato 1488, nel mese de agosto, mandò messer Zoanne Agostino Calco, suo secretario, ad lo sere Ferdinando per significarli como aveva deliberato accompagnarsi con la illustrissima madonna Isabella sua abiatica, fiola del duca de Calabria, quale gli fu desponsata fin ne li anni de la puericia. </w:t>
      </w:r>
    </w:p>
    <w:p w14:paraId="2FA2C1C3"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Avuta risposata che li principi serenissimi medesmamente desideravino se venesse ad questo effetto, ricercando la dignità de l’uno e l’altro stato ch’el sposamento se facesse per persona onorevole, furno eletti ad questa impresa lo signore marchese Hermes, fratello del prefato signore Duca de Milano, e messer Zoan Francesco da Santo Severino, Conte de Caiacia, datoli in compagnia molti zentilomini de li più nobili de la cità, li quali se ornorno de veste de brocato doro, d’argento e di seta, e la maiore parte con colane d’oro e recami de perle e prede pretiose. Ma tra li altri, messer Orlando Palavicino aveva una manica carica de perle grosse da conto, zafirri e balassi de pretio de 25.000 ducati. Granda ancora era la pompa de li famili loro, perché ciascuno era vestito di seta o de scarlata con le insegne de li patroni recamate su la manica sinistra de perle o de argento. Ultra, questi se vestiro tutti de negro, perocché, essendo occorsa in quello tempo la morte de la matre de la sposa, era ordinato che solum li doi giorni de la solemnità comparessino vestiti di colore. </w:t>
      </w:r>
    </w:p>
    <w:p w14:paraId="11F02D06"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Li principali dessi erano li infrascritti, ultra el Tesoriero spenditre e altri ministri: </w:t>
      </w:r>
    </w:p>
    <w:p w14:paraId="45FBEC79" w14:textId="77777777" w:rsidR="0094477F" w:rsidRPr="00096909" w:rsidRDefault="0094477F" w:rsidP="0094477F">
      <w:pPr>
        <w:spacing w:after="0" w:line="360" w:lineRule="auto"/>
        <w:rPr>
          <w:rFonts w:ascii="Times New Roman" w:hAnsi="Times New Roman" w:cs="Times New Roman"/>
          <w:sz w:val="24"/>
          <w:szCs w:val="24"/>
        </w:rPr>
      </w:pPr>
    </w:p>
    <w:p w14:paraId="6CABC35F"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Primo lo illustrissimo signore Marchese Hermes</w:t>
      </w:r>
    </w:p>
    <w:p w14:paraId="1472FAC4"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Magnifico domino Simonotto Belprato</w:t>
      </w:r>
    </w:p>
    <w:p w14:paraId="1A0AF05F"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El Conte de Caiacia</w:t>
      </w:r>
    </w:p>
    <w:p w14:paraId="30B424B6"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El reverendo Vescovo da Como</w:t>
      </w:r>
    </w:p>
    <w:p w14:paraId="09F11670"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Messer Zoanne Andrea Cagnola</w:t>
      </w:r>
    </w:p>
    <w:p w14:paraId="00F682A2"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Messer Francesco Bernardino Vesconte</w:t>
      </w:r>
    </w:p>
    <w:p w14:paraId="0BFE4052"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Messer Rolando Marchese Palavicino</w:t>
      </w:r>
    </w:p>
    <w:p w14:paraId="33F6377F"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Conte Vitaliano Borromeo</w:t>
      </w:r>
    </w:p>
    <w:p w14:paraId="07BBE0D7"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Messer Tadeo da Vicomercato</w:t>
      </w:r>
    </w:p>
    <w:p w14:paraId="4DAD3DD5"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Messer Battista Vesconte </w:t>
      </w:r>
    </w:p>
    <w:p w14:paraId="0A29EC89"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Domino Joanne da Tolentino</w:t>
      </w:r>
    </w:p>
    <w:p w14:paraId="0563FEF7"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Domino Baldesar da Pusterla</w:t>
      </w:r>
    </w:p>
    <w:p w14:paraId="6839103C"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Domino Orlando da Lampugnano </w:t>
      </w:r>
    </w:p>
    <w:p w14:paraId="7030CB13"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Domino Antonio da Corte</w:t>
      </w:r>
    </w:p>
    <w:p w14:paraId="1AEB8CB8"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Domino Conte Battista da Parma</w:t>
      </w:r>
    </w:p>
    <w:p w14:paraId="59822936"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Precival da Galarate </w:t>
      </w:r>
    </w:p>
    <w:p w14:paraId="7173E98F"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Conte Lazaro Todesco </w:t>
      </w:r>
    </w:p>
    <w:p w14:paraId="06D41734"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Battista Trotto</w:t>
      </w:r>
    </w:p>
    <w:p w14:paraId="118AC9EF"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Galeotto dal Carreto</w:t>
      </w:r>
    </w:p>
    <w:p w14:paraId="14719777"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Zoan Simon Fornaro</w:t>
      </w:r>
    </w:p>
    <w:p w14:paraId="64CC6833"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Zoan Simono Vismara</w:t>
      </w:r>
    </w:p>
    <w:p w14:paraId="10C660AB"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Antonio da Galarate</w:t>
      </w:r>
    </w:p>
    <w:p w14:paraId="2577486E"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Zoan Francesco di Piasi </w:t>
      </w:r>
    </w:p>
    <w:p w14:paraId="6C22624D"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Lo filiolo de Aluisio Cagnola</w:t>
      </w:r>
    </w:p>
    <w:p w14:paraId="7E22029B"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Petro Paulo Varesino </w:t>
      </w:r>
    </w:p>
    <w:p w14:paraId="79CADE07"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Messer Joan Giacomo Vismara, Ambrosio da Corte: Sescalchi </w:t>
      </w:r>
    </w:p>
    <w:p w14:paraId="76B4BE22"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Messer Aluisio da Marliano medico </w:t>
      </w:r>
    </w:p>
    <w:p w14:paraId="0EEF077B" w14:textId="77777777" w:rsidR="0094477F" w:rsidRPr="00096909" w:rsidRDefault="0094477F" w:rsidP="0094477F">
      <w:pPr>
        <w:spacing w:after="0" w:line="360" w:lineRule="auto"/>
      </w:pPr>
      <w:r w:rsidRPr="00096909">
        <w:rPr>
          <w:rFonts w:ascii="Times New Roman" w:hAnsi="Times New Roman" w:cs="Times New Roman"/>
          <w:sz w:val="24"/>
          <w:szCs w:val="24"/>
        </w:rPr>
        <w:t xml:space="preserve">Stefano da Crema. </w:t>
      </w:r>
    </w:p>
    <w:p w14:paraId="02FEA72B" w14:textId="77777777" w:rsidR="0094477F" w:rsidRPr="00096909" w:rsidRDefault="0094477F" w:rsidP="0094477F"/>
    <w:p w14:paraId="7E5FD9E9"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Partiti da Pavia a XXIIII de Novembre, andorono a Genoa, dove erano apparechiate sei Galee su le quale montò tutta la compagnia, che era 400 persone e quatro ambasadori genoesi mandati con loro per demonstrare la fede e studio de quella cità verso lo stato de Milano.  </w:t>
      </w:r>
      <w:r w:rsidRPr="00096909">
        <w:rPr>
          <w:rFonts w:ascii="Times New Roman" w:hAnsi="Times New Roman" w:cs="Times New Roman"/>
          <w:sz w:val="24"/>
          <w:szCs w:val="24"/>
        </w:rPr>
        <w:br/>
        <w:t xml:space="preserve">In questo mezo a Milano se attese con summa cura fare li apparati condecenti a tanta solennità e quanta comportava la condicione in la qual era lo prefato signore per la morte de l’amata matre de la sposa. </w:t>
      </w:r>
    </w:p>
    <w:p w14:paraId="3E37AFD1"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 </w:t>
      </w:r>
      <w:bookmarkStart w:id="552" w:name="_Hlk525574548"/>
      <w:r w:rsidRPr="00096909">
        <w:rPr>
          <w:rFonts w:ascii="Times New Roman" w:hAnsi="Times New Roman" w:cs="Times New Roman"/>
          <w:sz w:val="24"/>
          <w:szCs w:val="24"/>
        </w:rPr>
        <w:t>a ciò le cose passassino bene regulate se deputarno li magnifici messeri Petro da Galarate e messer Petro da Landriano e messer Branda da Castrono, ducali consiglieri, con messer Bartolomeo Calco, ducale primo secretario, ad ordinare e fare eseguire tutto quello fusse espediente al ditto apparechio</w:t>
      </w:r>
      <w:bookmarkEnd w:id="552"/>
      <w:r w:rsidRPr="00096909">
        <w:rPr>
          <w:rFonts w:ascii="Times New Roman" w:hAnsi="Times New Roman" w:cs="Times New Roman"/>
          <w:sz w:val="24"/>
          <w:szCs w:val="24"/>
        </w:rPr>
        <w:t xml:space="preserve">. </w:t>
      </w:r>
    </w:p>
    <w:p w14:paraId="7960AC2E"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Primo, perché era deliberato che la illustrissima sposa venesse in nave da Abia a Milano, furno fabricati octo buccintori, cioè nave sarrate in cerco con grande numero de fenestre quale aperte se potevano vedere tutti quelli erano dentro. In li celi erano depinte le arme ducale e de la sposa; li soli strati de tapedi de fora dove ornate erano de raso cremesile recamato con le arme ducale, per la illustrissima sposa; le altre da tapezarie belissime tutte con festoni de verdura e uno moro in cima.</w:t>
      </w:r>
      <w:r w:rsidRPr="00096909">
        <w:rPr>
          <w:rFonts w:ascii="Times New Roman" w:hAnsi="Times New Roman" w:cs="Times New Roman"/>
          <w:sz w:val="24"/>
          <w:szCs w:val="24"/>
        </w:rPr>
        <w:br/>
        <w:t xml:space="preserve">In castello, in cerco alla corte, appresso lo logiamento de li segnori, sotto le fenestre di sopra erano festoni di edera e lauro fatto alla antiqua suso panno azuro largo dua braza, tra li quali erano le insegne ducale de le cità e optime castella del stato con centauri depinti alla custodia d’esse. De sopra e de sotto se fecero anche doi frisi pur de verdura da le quale pendevano molte arme simile a le stesse cinte de lamine d’oro che illuminarno tutto quello loco. Dal canto d’essa corte verso la Rocca, cominciando al ponte fin alla porta de mezo che somno 140 braza, fu fatto uno portico in volta suso VII colonne tutte de zenevro con gran arte ornate de le stesse arme e liste d’oro. </w:t>
      </w:r>
    </w:p>
    <w:p w14:paraId="0CBA56F4"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Dentro tutte le camere e sale furno imbiancate e apparate ciascuna con letti coperti de brocato d’oro, d’argento e di seta; li cossini e catedre de simili drapi. Le murate ornate de tapezarie e similmente le fenestre che in ciascuna d’esse saria allogato onorevolmente qualunca regina. </w:t>
      </w:r>
    </w:p>
    <w:p w14:paraId="63A67407"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Ma tra li altri in la camera de la sposa era uno paramento de raso cremesino con recamo in cerco d’oro, in li quali sono spinali in vari gesti e zochi intra certi coronamenti de verdura e frutti in ciascuno pezo, cioè lo capzelo e rostale e coperta forno cinque leoni de perle con la segia pendente da uno bastono, cosa inestimabile sì per la valuta como per l’artificio, e da sotto in cerco al letto se estesino tri tapeti longissimi </w:t>
      </w:r>
      <w:r w:rsidRPr="00096909">
        <w:rPr>
          <w:rFonts w:ascii="Times New Roman" w:hAnsi="Times New Roman" w:cs="Times New Roman"/>
          <w:i/>
          <w:sz w:val="24"/>
          <w:szCs w:val="24"/>
        </w:rPr>
        <w:t>mire magnitudinis</w:t>
      </w:r>
      <w:r w:rsidRPr="00096909">
        <w:rPr>
          <w:rFonts w:ascii="Times New Roman" w:hAnsi="Times New Roman" w:cs="Times New Roman"/>
          <w:sz w:val="24"/>
          <w:szCs w:val="24"/>
        </w:rPr>
        <w:t xml:space="preserve">. </w:t>
      </w:r>
    </w:p>
    <w:p w14:paraId="03BE22E3"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Alla piaza del Domo, de verso li Bareteri, se fece uno arco triunfale ligneo con tre porte, una gran in mezo e doe da canto, con li celi in volta e de sopra quadrate, da le quale se tiravano le sbarre fin al Domo. In esse se depinsero le vittorie de lo eccellentissimo duca Francesco a Caravazo, la rota de Brazo, lo saccomano de Piasenza, el sposamento de madonna Bianca, la rotta de li Galioni a Casalmazore, e la deditione gli fecero Genoesi. Per la porta da mezo fu ordinato non intrasse alcuno, salvo li signori e donne a cavallo. Per le altre li consiglieri, feudatari e magistrati, quali smontati se introvassino a pede sotto il tiburio presso al giongere de la sposa. </w:t>
      </w:r>
    </w:p>
    <w:p w14:paraId="304D18FC"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Anti la chiesa se fabricoe uno tiburio ligneo alto cinquanta braza largo trenta suso otto colone triangulare, in le quale erano le imagine de le muse. Fu tutto coperto de cartoni bianchi e morelli e la cima di fora de zenevro. In centro, al mezo, aveva uno coradore aperto con collonelli intra li quali stavano certe imagine depinte in cartoni con feste de verdura. In centro, de sotto, pendevano rose de zenevro e altri bellissimi ornamenti. </w:t>
      </w:r>
    </w:p>
    <w:p w14:paraId="18C45012"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 la porta granda del Domo fin al coro de la chiesa fu costrutto uno portico in forma d’una topia suso 16 colonne da legno da ogni canto, coperto da cartoni bianchi larga l’una da l’altra braza 7. La volta era de circuli picoli de verdura con le arme ducale e de la sposa inserta, lassando tra l’uno e l’altro uno poco de vacuo per modo che si poteva vedere le volte de la chiesa. Da li lati erano poste le insignie de le cità e castelle del dominio con centauri in centro. Li lati de sotto de la volta se lassorno aperti, a ciò remanesse più chiaro e el populo che saria in la chiesa potesse meglio vedere la pompa che passaria sotto. </w:t>
      </w:r>
    </w:p>
    <w:p w14:paraId="3E4071D2"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 fine di questo portico se edificoe uno tabulato ligneo che occupava tutto el coro de la chiesa, alto poco più de la statura d’uno omo, che andava ascendente sin al fine de sotto le arche de li Signori de Milano. E lì in mezo era lo altare dove se doveva celebrare la messa, de sopra dal quale fu construtta una credenza a X scalini per metterli li argenti se dirano de sotto. </w:t>
      </w:r>
    </w:p>
    <w:p w14:paraId="495B505E"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 uno canto era uno tribunale picolo, eminente più de li altri gradi uno brazo, per lo illustrissimo signore Ludovico e ambasadori, e in contro uno altro per la sposa, madonna Bianca e madonna Anna, sorelle del prefato duca, e li signori mandati da Napoli. </w:t>
      </w:r>
    </w:p>
    <w:p w14:paraId="4F270023"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Non desiderava manco esso signore che la illustrissima sposa con la comitiva, che era 600 persone de li quali li primi erano lo signor Duca de Malfi, Marchese di Betunda con la mogliere, Conte de Conza, Conte de Potentia e lo fiolo del Duca de Ferrara, fosse recevuta onorevolmente fora de Milano. E però, essendo deliberato che per maiore comodità la venesse da Genoa a Milano in otto giorni - cioè lo primo a Buzalla e Borgo de Fornari, lo secundo a Serravalle, el terzo a Derthona, lo quarto a Santo Nazaro, el quinto a Viglievano, lo sesto e settimo ad Abia e dopoi a Milano - in ciascuno d’essi mandoe sescalchi e spenditori per preparare li allogiamenti splendidi e onorevoli e le cose necessarie per farli le spese abundantamente. </w:t>
      </w:r>
    </w:p>
    <w:p w14:paraId="263D1E53"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Ma Bergonzio Botta, uno de li magistri sopra le intrate ordinarie de sua eccellentia, omo di animo generoso e affetionatissimo al stato, volse il carico di Tortona per avere el fratello vescovo d’epsa cità. E così fece ordinare logiamenti signorili non solamente alla sposa e soa compagni ma ancora a quelli erano andati a Napoli; e allo illustrissimo signore Duca e signore Ludovico e tutta la corte quale era ordinata andassero lì ad riceverla madasmamente fece provisione de tante vittualie e saria bastato a pascere uno grande populo. </w:t>
      </w:r>
    </w:p>
    <w:p w14:paraId="11C1274E" w14:textId="77777777" w:rsidR="0094477F" w:rsidRPr="00096909" w:rsidRDefault="0094477F" w:rsidP="0094477F">
      <w:pPr>
        <w:spacing w:after="0" w:line="360" w:lineRule="auto"/>
        <w:ind w:firstLine="397"/>
        <w:jc w:val="both"/>
        <w:rPr>
          <w:rFonts w:ascii="Times New Roman" w:hAnsi="Times New Roman" w:cs="Times New Roman"/>
          <w:sz w:val="24"/>
          <w:szCs w:val="24"/>
        </w:rPr>
      </w:pPr>
    </w:p>
    <w:p w14:paraId="3A0D83F3"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Facendosi questi apparati, se ebbe aviso como lo illustrissimo signore Marchese era gionto a Napoli. E alli 29 de Decembre, fatto el sposamento, el penultimo dì se partirono, adiunte 4 galee alle 6 mandate da Genoa. </w:t>
      </w:r>
    </w:p>
    <w:p w14:paraId="338BC5FD"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Lo giorno sequente arrivorno a Gayeta, e lì dimorati cinque dì per li venti contrari navigorono dippoi a Civita Vecchia, dove furno salutati e presentati de cose cibarie in gran copia dal Reverendissimo Monsignor Ascanio Sforza Vesconte, barba del sposo, e tri altri cardinali - Monsignore de Foys, de Santo Zorzo, e da Parma - insiema con li quali se trovorono ancora lo Governatore da Roma e Messer Hibiero dal Flisco. </w:t>
      </w:r>
    </w:p>
    <w:p w14:paraId="1437440B"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Non manco onorevolmente li recolsero Signori Fiorentini a Livincio, dove gionsero alli V de zenaro mandandoli in contra in nave Messer Jacomo Guizardino, Messer Petro Pandolfino e Paulo Antonio Soderino, de li principali de la cità, con doe fiole e uno fiolo del Magnifico Laurenzo de’ Medicis. Invitati a dismontare in terra accettorono lo invito, </w:t>
      </w:r>
      <w:r w:rsidRPr="00096909">
        <w:rPr>
          <w:rFonts w:ascii="Times New Roman" w:hAnsi="Times New Roman" w:cs="Times New Roman"/>
          <w:i/>
          <w:sz w:val="24"/>
          <w:szCs w:val="24"/>
        </w:rPr>
        <w:t>maxime</w:t>
      </w:r>
      <w:r w:rsidRPr="00096909">
        <w:rPr>
          <w:rFonts w:ascii="Times New Roman" w:hAnsi="Times New Roman" w:cs="Times New Roman"/>
          <w:sz w:val="24"/>
          <w:szCs w:val="24"/>
        </w:rPr>
        <w:t xml:space="preserve"> che la sposa era alquanta alterata dal mare. Stero lì 9 giorni, in quale tempo lautissimamente gli forono fatte le spese e presentati di cose mangiative. </w:t>
      </w:r>
    </w:p>
    <w:p w14:paraId="273A1843"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Alli 17 a ore 19 arrivorno al porto de Zenoa, nel qual ponto, dal castello, se tirereno molti colpi de bombarda e schiopeti in segno de alegreza. Da poi, recevuta dal Signore Sforza Secundo, Signore Galeotto da la Mirandula, lo vescovo de Santo Severino, Messer Annibale Bentivolio, Messer Zoanne Francesco Marchese Palavicino, la illustrissima Madonna Beatrice, sorella de lo illustrissimo signore Duca de Ferrara, Madonna Griseida quondam del signor Bosso Sforza, contessa di Caiacia e la moliere di messer Petro Bolognino di Attendoli, mandate per questo effetto insiema con molti de li primari de Genua e la moliere del Magnifico messer Augustino Adurno, ducale governatore in essa cità, e la dona de messer Joanne Aluisio dal Fiasco con grande numero de gentildone, fo accompagnata sotto uno balduchino fin al palazo con soni de campane, trombe, piferi e altri segni de leticia; al qual loco lo governatore con li antiani se li fecero incontra e fattoli reverentia la accompagnorno insiema con li altri sopra al logiamento suo. Quivi stette cinque giorni per uno poco de alteratione che li sopravene. </w:t>
      </w:r>
    </w:p>
    <w:p w14:paraId="7AC19A01" w14:textId="77777777" w:rsidR="0094477F" w:rsidRPr="00096909" w:rsidRDefault="0094477F" w:rsidP="0094477F">
      <w:pPr>
        <w:spacing w:after="0" w:line="360" w:lineRule="auto"/>
        <w:ind w:firstLine="397"/>
        <w:jc w:val="both"/>
        <w:rPr>
          <w:rFonts w:ascii="Times New Roman" w:hAnsi="Times New Roman" w:cs="Times New Roman"/>
          <w:sz w:val="24"/>
          <w:szCs w:val="24"/>
        </w:rPr>
      </w:pPr>
    </w:p>
    <w:p w14:paraId="703E0621"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Lo illustrissimo sposo e signore Ludovico, intesa con grandissima letitia e jubilo la gionta sua in poche ore per li segni de bombarde e li cavallari, quali erano posti frequenti per la via e dopoi, como alli 29 doveva partire da Viglevano, se transferiano a Derthona, dove essendo arrivata la prefata sposa, alli 26, li andorono incontra con tutta la corte. Scontrati appresso la porta de la cità essa li volse basare la mane, como è il costume de la patria sua, ma facendo lo sposo incontra con volerli gitare le braze al collo furno disparti per lo movimento di cavalli e maxime che erano in la via tutta crinosa. </w:t>
      </w:r>
    </w:p>
    <w:p w14:paraId="167E243D"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Intrata in la cità con grandissimo jubilo e gaudio di tutto il populo passoe per la via dove si va al vescovato, che è in fine de la cità, per la quale tutti li muri erano vestiti de pani de raza, de coronamenti e festoni de lauro, edera e bossolo con le liste d’oro e pomi dorati e altri ornamenti che pareva tutto uno giardino. Dentro essa via erano fatti molti giganti de genevro che ornavano molto lo spettaculo. Ma in la corte del vescovato ne fu fabricato uno con mirabile ingenio in questo modo: era fatto uno cavallo de legno ne lo quale e depinto di mantello apomelato longo VIIJ braza, alto altratanto, quale teneva uno pede levato e tutti li altri membri erano fatti con tanto artificio che pareva li volesse movore, monstrando una ferocità de galiardissimo cavallo. Stava in mezo de ditta corte, sopra 9 colone, talmente proportionato che facevano una crosera, intorno alla quale de fora, sopra l’orlo, che era circomdato de una cornisa, se legeva questo epigrama: </w:t>
      </w:r>
    </w:p>
    <w:p w14:paraId="00410291" w14:textId="77777777" w:rsidR="0094477F" w:rsidRPr="00096909" w:rsidRDefault="0094477F" w:rsidP="0094477F">
      <w:pPr>
        <w:spacing w:after="0"/>
        <w:jc w:val="both"/>
        <w:rPr>
          <w:rFonts w:ascii="Times New Roman" w:hAnsi="Times New Roman" w:cs="Times New Roman"/>
          <w:sz w:val="24"/>
          <w:szCs w:val="24"/>
        </w:rPr>
      </w:pPr>
    </w:p>
    <w:p w14:paraId="590C3650" w14:textId="77777777" w:rsidR="0094477F" w:rsidRPr="008B72B5" w:rsidRDefault="0094477F" w:rsidP="008B72B5">
      <w:pPr>
        <w:spacing w:after="0" w:line="360" w:lineRule="auto"/>
        <w:ind w:left="2268"/>
        <w:jc w:val="both"/>
        <w:rPr>
          <w:rFonts w:ascii="Times New Roman" w:hAnsi="Times New Roman" w:cs="Times New Roman"/>
          <w:i/>
          <w:sz w:val="20"/>
          <w:szCs w:val="20"/>
        </w:rPr>
      </w:pPr>
      <w:r w:rsidRPr="008B72B5">
        <w:rPr>
          <w:rFonts w:ascii="Times New Roman" w:hAnsi="Times New Roman" w:cs="Times New Roman"/>
          <w:i/>
          <w:sz w:val="20"/>
          <w:szCs w:val="20"/>
        </w:rPr>
        <w:t>Hunc Reges populi poscunt consulta Ducesque</w:t>
      </w:r>
    </w:p>
    <w:p w14:paraId="448C7966" w14:textId="77777777" w:rsidR="0094477F" w:rsidRPr="008B72B5" w:rsidRDefault="0094477F" w:rsidP="008B72B5">
      <w:pPr>
        <w:spacing w:after="0" w:line="360" w:lineRule="auto"/>
        <w:ind w:left="2268"/>
        <w:jc w:val="both"/>
        <w:rPr>
          <w:rFonts w:ascii="Times New Roman" w:hAnsi="Times New Roman" w:cs="Times New Roman"/>
          <w:i/>
          <w:sz w:val="20"/>
          <w:szCs w:val="20"/>
        </w:rPr>
      </w:pPr>
      <w:r w:rsidRPr="008B72B5">
        <w:rPr>
          <w:rFonts w:ascii="Times New Roman" w:hAnsi="Times New Roman" w:cs="Times New Roman"/>
          <w:i/>
          <w:sz w:val="20"/>
          <w:szCs w:val="20"/>
        </w:rPr>
        <w:t>Cortuna hec clauo non minor est tripode</w:t>
      </w:r>
    </w:p>
    <w:p w14:paraId="5C1A1A37" w14:textId="77777777" w:rsidR="0094477F" w:rsidRPr="008B72B5" w:rsidRDefault="0094477F" w:rsidP="008B72B5">
      <w:pPr>
        <w:spacing w:after="0" w:line="360" w:lineRule="auto"/>
        <w:ind w:left="2268"/>
        <w:jc w:val="both"/>
        <w:rPr>
          <w:rFonts w:ascii="Times New Roman" w:hAnsi="Times New Roman" w:cs="Times New Roman"/>
          <w:i/>
          <w:sz w:val="20"/>
          <w:szCs w:val="20"/>
        </w:rPr>
      </w:pPr>
      <w:r w:rsidRPr="008B72B5">
        <w:rPr>
          <w:rFonts w:ascii="Times New Roman" w:hAnsi="Times New Roman" w:cs="Times New Roman"/>
          <w:i/>
          <w:sz w:val="20"/>
          <w:szCs w:val="20"/>
        </w:rPr>
        <w:t>Et libramentum latum ne deserat axem</w:t>
      </w:r>
    </w:p>
    <w:p w14:paraId="706C99DA" w14:textId="77777777" w:rsidR="0094477F" w:rsidRPr="008B72B5" w:rsidRDefault="0094477F" w:rsidP="008B72B5">
      <w:pPr>
        <w:spacing w:after="0" w:line="360" w:lineRule="auto"/>
        <w:ind w:left="2268"/>
        <w:jc w:val="both"/>
        <w:rPr>
          <w:rFonts w:ascii="Times New Roman" w:hAnsi="Times New Roman" w:cs="Times New Roman"/>
          <w:sz w:val="20"/>
          <w:szCs w:val="20"/>
        </w:rPr>
      </w:pPr>
      <w:r w:rsidRPr="008B72B5">
        <w:rPr>
          <w:rFonts w:ascii="Times New Roman" w:hAnsi="Times New Roman" w:cs="Times New Roman"/>
          <w:i/>
          <w:sz w:val="20"/>
          <w:szCs w:val="20"/>
        </w:rPr>
        <w:t>Tanto operi numquam dextera fortis abest</w:t>
      </w:r>
      <w:r w:rsidRPr="008B72B5">
        <w:rPr>
          <w:rFonts w:ascii="Times New Roman" w:hAnsi="Times New Roman" w:cs="Times New Roman"/>
          <w:sz w:val="20"/>
          <w:szCs w:val="20"/>
        </w:rPr>
        <w:t xml:space="preserve">. </w:t>
      </w:r>
    </w:p>
    <w:p w14:paraId="1157334A" w14:textId="77777777" w:rsidR="0094477F" w:rsidRPr="00096909" w:rsidRDefault="0094477F" w:rsidP="0094477F">
      <w:pPr>
        <w:spacing w:after="0"/>
      </w:pPr>
    </w:p>
    <w:p w14:paraId="5957515B"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Sopra questo cavallo era uno gigante Mauro, secundo la proportione de ditto cavallo, colorito e vestito; la effigie sua teneva qualche parte de la similitudine del volto de lo illustrissimo signore Ludovico, e da la mane destra teneva uno corno e da la altra il scudo da Palade scolpito dal capo di Medusa con una scimitarra, ne la quale era depinto lo infrascritto distico: </w:t>
      </w:r>
    </w:p>
    <w:p w14:paraId="05D90819" w14:textId="77777777" w:rsidR="0094477F" w:rsidRPr="00096909" w:rsidRDefault="0094477F" w:rsidP="0094477F">
      <w:pPr>
        <w:spacing w:after="0"/>
        <w:jc w:val="both"/>
        <w:rPr>
          <w:rFonts w:ascii="Times New Roman" w:hAnsi="Times New Roman" w:cs="Times New Roman"/>
          <w:sz w:val="24"/>
          <w:szCs w:val="24"/>
        </w:rPr>
      </w:pPr>
    </w:p>
    <w:p w14:paraId="72185A1B" w14:textId="77777777" w:rsidR="0094477F" w:rsidRPr="008B72B5" w:rsidRDefault="0094477F" w:rsidP="008B72B5">
      <w:pPr>
        <w:spacing w:after="0" w:line="360" w:lineRule="auto"/>
        <w:ind w:left="2268"/>
        <w:jc w:val="both"/>
        <w:rPr>
          <w:rFonts w:ascii="Times New Roman" w:hAnsi="Times New Roman" w:cs="Times New Roman"/>
          <w:i/>
          <w:sz w:val="20"/>
          <w:szCs w:val="20"/>
        </w:rPr>
      </w:pPr>
      <w:r w:rsidRPr="008B72B5">
        <w:rPr>
          <w:rFonts w:ascii="Times New Roman" w:hAnsi="Times New Roman" w:cs="Times New Roman"/>
          <w:i/>
          <w:sz w:val="20"/>
          <w:szCs w:val="20"/>
        </w:rPr>
        <w:t>Hic bonus armigero dedit ocia sancta labore</w:t>
      </w:r>
    </w:p>
    <w:p w14:paraId="2B45B266" w14:textId="77777777" w:rsidR="0094477F" w:rsidRPr="008B72B5" w:rsidRDefault="0094477F" w:rsidP="008B72B5">
      <w:pPr>
        <w:spacing w:after="0" w:line="360" w:lineRule="auto"/>
        <w:ind w:left="2268"/>
        <w:jc w:val="both"/>
        <w:rPr>
          <w:rFonts w:ascii="Times New Roman" w:hAnsi="Times New Roman" w:cs="Times New Roman"/>
          <w:i/>
          <w:sz w:val="20"/>
          <w:szCs w:val="20"/>
        </w:rPr>
      </w:pPr>
      <w:r w:rsidRPr="008B72B5">
        <w:rPr>
          <w:rFonts w:ascii="Times New Roman" w:hAnsi="Times New Roman" w:cs="Times New Roman"/>
          <w:i/>
          <w:sz w:val="20"/>
          <w:szCs w:val="20"/>
        </w:rPr>
        <w:t>Ne turba ultrices experire manus.</w:t>
      </w:r>
    </w:p>
    <w:p w14:paraId="2BD9BECF" w14:textId="77777777" w:rsidR="0094477F" w:rsidRPr="00096909" w:rsidRDefault="0094477F" w:rsidP="0094477F">
      <w:pPr>
        <w:spacing w:after="0"/>
        <w:jc w:val="both"/>
        <w:rPr>
          <w:rFonts w:ascii="Times New Roman" w:hAnsi="Times New Roman" w:cs="Times New Roman"/>
          <w:sz w:val="24"/>
          <w:szCs w:val="24"/>
        </w:rPr>
      </w:pPr>
    </w:p>
    <w:p w14:paraId="5B79D72D"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Intrata la illustrissima sposa dentro a ditta corte questo Mauro, alciato il brazo sinistro, scopertosi la fronte e inclinato al quanto verso soa eccellenza disse questa stantia:</w:t>
      </w:r>
    </w:p>
    <w:p w14:paraId="6C40BA3A" w14:textId="77777777" w:rsidR="0094477F" w:rsidRPr="00096909" w:rsidRDefault="0094477F" w:rsidP="0094477F">
      <w:pPr>
        <w:spacing w:after="0"/>
        <w:jc w:val="both"/>
        <w:rPr>
          <w:rFonts w:ascii="Times New Roman" w:hAnsi="Times New Roman" w:cs="Times New Roman"/>
          <w:sz w:val="24"/>
          <w:szCs w:val="24"/>
        </w:rPr>
      </w:pPr>
    </w:p>
    <w:p w14:paraId="0A353DF5" w14:textId="77777777" w:rsidR="0094477F" w:rsidRPr="008B72B5" w:rsidRDefault="0094477F" w:rsidP="008B72B5">
      <w:pPr>
        <w:spacing w:after="0" w:line="360" w:lineRule="auto"/>
        <w:ind w:left="2268"/>
        <w:jc w:val="both"/>
        <w:rPr>
          <w:rFonts w:ascii="Times New Roman" w:hAnsi="Times New Roman" w:cs="Times New Roman"/>
          <w:sz w:val="20"/>
          <w:szCs w:val="20"/>
        </w:rPr>
      </w:pPr>
      <w:r w:rsidRPr="008B72B5">
        <w:rPr>
          <w:rFonts w:ascii="Times New Roman" w:hAnsi="Times New Roman" w:cs="Times New Roman"/>
          <w:sz w:val="20"/>
          <w:szCs w:val="20"/>
        </w:rPr>
        <w:t xml:space="preserve">Ben venga, o alma dea, nostra speranza, </w:t>
      </w:r>
    </w:p>
    <w:p w14:paraId="37968F49" w14:textId="77777777" w:rsidR="0094477F" w:rsidRPr="008B72B5" w:rsidRDefault="0094477F" w:rsidP="008B72B5">
      <w:pPr>
        <w:spacing w:after="0" w:line="360" w:lineRule="auto"/>
        <w:ind w:left="2268"/>
        <w:jc w:val="both"/>
        <w:rPr>
          <w:rFonts w:ascii="Times New Roman" w:hAnsi="Times New Roman" w:cs="Times New Roman"/>
          <w:sz w:val="20"/>
          <w:szCs w:val="20"/>
        </w:rPr>
      </w:pPr>
      <w:r w:rsidRPr="008B72B5">
        <w:rPr>
          <w:rFonts w:ascii="Times New Roman" w:hAnsi="Times New Roman" w:cs="Times New Roman"/>
          <w:sz w:val="20"/>
          <w:szCs w:val="20"/>
        </w:rPr>
        <w:t xml:space="preserve">Che a confermare il grando sangue sforzesco, </w:t>
      </w:r>
    </w:p>
    <w:p w14:paraId="2603AE99" w14:textId="77777777" w:rsidR="0094477F" w:rsidRPr="008B72B5" w:rsidRDefault="0094477F" w:rsidP="008B72B5">
      <w:pPr>
        <w:spacing w:after="0" w:line="360" w:lineRule="auto"/>
        <w:ind w:left="2268"/>
        <w:jc w:val="both"/>
        <w:rPr>
          <w:rFonts w:ascii="Times New Roman" w:hAnsi="Times New Roman" w:cs="Times New Roman"/>
          <w:sz w:val="20"/>
          <w:szCs w:val="20"/>
        </w:rPr>
      </w:pPr>
      <w:r w:rsidRPr="008B72B5">
        <w:rPr>
          <w:rFonts w:ascii="Times New Roman" w:hAnsi="Times New Roman" w:cs="Times New Roman"/>
          <w:sz w:val="20"/>
          <w:szCs w:val="20"/>
        </w:rPr>
        <w:t xml:space="preserve">Poiché venuta sei alla tua stanza </w:t>
      </w:r>
    </w:p>
    <w:p w14:paraId="764DFD91" w14:textId="77777777" w:rsidR="0094477F" w:rsidRPr="008B72B5" w:rsidRDefault="0094477F" w:rsidP="008B72B5">
      <w:pPr>
        <w:spacing w:after="0" w:line="360" w:lineRule="auto"/>
        <w:ind w:left="2268"/>
        <w:jc w:val="both"/>
        <w:rPr>
          <w:rFonts w:ascii="Times New Roman" w:hAnsi="Times New Roman" w:cs="Times New Roman"/>
          <w:sz w:val="20"/>
          <w:szCs w:val="20"/>
        </w:rPr>
      </w:pPr>
      <w:r w:rsidRPr="008B72B5">
        <w:rPr>
          <w:rFonts w:ascii="Times New Roman" w:hAnsi="Times New Roman" w:cs="Times New Roman"/>
          <w:sz w:val="20"/>
          <w:szCs w:val="20"/>
        </w:rPr>
        <w:t xml:space="preserve">Dal cielo si degna il bono duca Francesco. </w:t>
      </w:r>
    </w:p>
    <w:p w14:paraId="2905A9A6" w14:textId="77777777" w:rsidR="0094477F" w:rsidRPr="008B72B5" w:rsidRDefault="0094477F" w:rsidP="008B72B5">
      <w:pPr>
        <w:spacing w:after="0" w:line="360" w:lineRule="auto"/>
        <w:ind w:left="2268"/>
        <w:jc w:val="both"/>
        <w:rPr>
          <w:rFonts w:ascii="Times New Roman" w:hAnsi="Times New Roman" w:cs="Times New Roman"/>
          <w:sz w:val="20"/>
          <w:szCs w:val="20"/>
        </w:rPr>
      </w:pPr>
      <w:r w:rsidRPr="008B72B5">
        <w:rPr>
          <w:rFonts w:ascii="Times New Roman" w:hAnsi="Times New Roman" w:cs="Times New Roman"/>
          <w:sz w:val="20"/>
          <w:szCs w:val="20"/>
        </w:rPr>
        <w:t xml:space="preserve">La tua stella felice ogni altra avanza. </w:t>
      </w:r>
    </w:p>
    <w:p w14:paraId="594A1673" w14:textId="77777777" w:rsidR="0094477F" w:rsidRPr="008B72B5" w:rsidRDefault="0094477F" w:rsidP="008B72B5">
      <w:pPr>
        <w:spacing w:after="0" w:line="360" w:lineRule="auto"/>
        <w:ind w:left="2268"/>
        <w:jc w:val="both"/>
        <w:rPr>
          <w:rFonts w:ascii="Times New Roman" w:hAnsi="Times New Roman" w:cs="Times New Roman"/>
          <w:sz w:val="20"/>
          <w:szCs w:val="20"/>
        </w:rPr>
      </w:pPr>
      <w:r w:rsidRPr="008B72B5">
        <w:rPr>
          <w:rFonts w:ascii="Times New Roman" w:hAnsi="Times New Roman" w:cs="Times New Roman"/>
          <w:sz w:val="20"/>
          <w:szCs w:val="20"/>
        </w:rPr>
        <w:t>Contenta goda il bello stato duchesco</w:t>
      </w:r>
    </w:p>
    <w:p w14:paraId="0A4C2F1E" w14:textId="77777777" w:rsidR="0094477F" w:rsidRPr="008B72B5" w:rsidRDefault="0094477F" w:rsidP="008B72B5">
      <w:pPr>
        <w:spacing w:after="0" w:line="360" w:lineRule="auto"/>
        <w:ind w:left="2268"/>
        <w:jc w:val="both"/>
        <w:rPr>
          <w:rFonts w:ascii="Times New Roman" w:hAnsi="Times New Roman" w:cs="Times New Roman"/>
          <w:sz w:val="20"/>
          <w:szCs w:val="20"/>
        </w:rPr>
      </w:pPr>
      <w:r w:rsidRPr="008B72B5">
        <w:rPr>
          <w:rFonts w:ascii="Times New Roman" w:hAnsi="Times New Roman" w:cs="Times New Roman"/>
          <w:sz w:val="20"/>
          <w:szCs w:val="20"/>
        </w:rPr>
        <w:t xml:space="preserve">Se bene el Mauro ha proveduto al tutto: </w:t>
      </w:r>
    </w:p>
    <w:p w14:paraId="27B8569C" w14:textId="77777777" w:rsidR="0094477F" w:rsidRPr="008B72B5" w:rsidRDefault="0094477F" w:rsidP="008B72B5">
      <w:pPr>
        <w:spacing w:after="0" w:line="360" w:lineRule="auto"/>
        <w:ind w:left="2268"/>
        <w:jc w:val="both"/>
        <w:rPr>
          <w:rFonts w:ascii="Times New Roman" w:hAnsi="Times New Roman" w:cs="Times New Roman"/>
          <w:sz w:val="20"/>
          <w:szCs w:val="20"/>
        </w:rPr>
      </w:pPr>
      <w:r w:rsidRPr="008B72B5">
        <w:rPr>
          <w:rFonts w:ascii="Times New Roman" w:hAnsi="Times New Roman" w:cs="Times New Roman"/>
          <w:sz w:val="20"/>
          <w:szCs w:val="20"/>
        </w:rPr>
        <w:t xml:space="preserve">Che bello è il fiore assai più dolce è il frutto. </w:t>
      </w:r>
    </w:p>
    <w:p w14:paraId="65DF67CD" w14:textId="77777777" w:rsidR="0094477F" w:rsidRPr="00096909" w:rsidRDefault="0094477F" w:rsidP="0094477F">
      <w:pPr>
        <w:spacing w:after="0"/>
        <w:jc w:val="both"/>
        <w:rPr>
          <w:rFonts w:ascii="Times New Roman" w:hAnsi="Times New Roman" w:cs="Times New Roman"/>
          <w:sz w:val="24"/>
          <w:szCs w:val="24"/>
        </w:rPr>
      </w:pPr>
    </w:p>
    <w:p w14:paraId="469E081A" w14:textId="77777777" w:rsidR="008B72B5" w:rsidRDefault="008B72B5" w:rsidP="0094477F">
      <w:pPr>
        <w:spacing w:after="0" w:line="360" w:lineRule="auto"/>
        <w:ind w:firstLine="397"/>
        <w:jc w:val="both"/>
        <w:rPr>
          <w:rFonts w:ascii="Times New Roman" w:hAnsi="Times New Roman" w:cs="Times New Roman"/>
          <w:sz w:val="24"/>
          <w:szCs w:val="24"/>
        </w:rPr>
      </w:pPr>
    </w:p>
    <w:p w14:paraId="37A9A51D"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Dapoi accompagnata la prefata sposa alla camera sua, quale aveva il cielo e le murate coperte de damaschino bianco. Di medesmo drapo erano il capale, lo testale e la coperta da letto, le cadreghe, i scanni e catedra necessaria. In essa camera era descritto lo infrascritto distico: </w:t>
      </w:r>
    </w:p>
    <w:p w14:paraId="023010F2" w14:textId="77777777" w:rsidR="0094477F" w:rsidRPr="00096909" w:rsidRDefault="0094477F" w:rsidP="0094477F">
      <w:pPr>
        <w:spacing w:after="0"/>
        <w:jc w:val="both"/>
        <w:rPr>
          <w:rFonts w:ascii="Times New Roman" w:hAnsi="Times New Roman" w:cs="Times New Roman"/>
          <w:sz w:val="24"/>
          <w:szCs w:val="24"/>
        </w:rPr>
      </w:pPr>
    </w:p>
    <w:p w14:paraId="0906CB5D" w14:textId="77777777" w:rsidR="0094477F" w:rsidRPr="008B72B5" w:rsidRDefault="0094477F" w:rsidP="008B72B5">
      <w:pPr>
        <w:spacing w:after="0" w:line="360" w:lineRule="auto"/>
        <w:ind w:left="2410" w:hanging="142"/>
        <w:jc w:val="both"/>
        <w:rPr>
          <w:rFonts w:ascii="Times New Roman" w:hAnsi="Times New Roman" w:cs="Times New Roman"/>
          <w:i/>
          <w:sz w:val="20"/>
          <w:szCs w:val="20"/>
        </w:rPr>
      </w:pPr>
      <w:r w:rsidRPr="008B72B5">
        <w:rPr>
          <w:rFonts w:ascii="Times New Roman" w:hAnsi="Times New Roman" w:cs="Times New Roman"/>
          <w:i/>
          <w:sz w:val="20"/>
          <w:szCs w:val="20"/>
        </w:rPr>
        <w:t xml:space="preserve">Hoc quamvis nimbus possit certare cubile </w:t>
      </w:r>
    </w:p>
    <w:p w14:paraId="64B47225" w14:textId="77777777" w:rsidR="0094477F" w:rsidRPr="008B72B5" w:rsidRDefault="0094477F" w:rsidP="008B72B5">
      <w:pPr>
        <w:spacing w:after="0" w:line="360" w:lineRule="auto"/>
        <w:ind w:left="2410" w:hanging="142"/>
        <w:jc w:val="both"/>
        <w:rPr>
          <w:rFonts w:ascii="Times New Roman" w:hAnsi="Times New Roman" w:cs="Times New Roman"/>
          <w:i/>
          <w:sz w:val="20"/>
          <w:szCs w:val="20"/>
        </w:rPr>
      </w:pPr>
      <w:r w:rsidRPr="008B72B5">
        <w:rPr>
          <w:rFonts w:ascii="Times New Roman" w:hAnsi="Times New Roman" w:cs="Times New Roman"/>
          <w:i/>
          <w:sz w:val="20"/>
          <w:szCs w:val="20"/>
        </w:rPr>
        <w:t xml:space="preserve">Non tamen est domine pectore candidus.  </w:t>
      </w:r>
    </w:p>
    <w:p w14:paraId="798BF196" w14:textId="77777777" w:rsidR="0094477F" w:rsidRPr="00096909" w:rsidRDefault="0094477F" w:rsidP="0094477F">
      <w:pPr>
        <w:spacing w:after="0"/>
        <w:jc w:val="both"/>
        <w:rPr>
          <w:rFonts w:ascii="Times New Roman" w:hAnsi="Times New Roman" w:cs="Times New Roman"/>
          <w:sz w:val="24"/>
          <w:szCs w:val="24"/>
        </w:rPr>
      </w:pPr>
    </w:p>
    <w:p w14:paraId="08BFF797" w14:textId="77777777" w:rsidR="0094477F" w:rsidRPr="00096909" w:rsidRDefault="0094477F" w:rsidP="0094477F">
      <w:pPr>
        <w:spacing w:after="0"/>
        <w:jc w:val="both"/>
        <w:rPr>
          <w:rFonts w:ascii="Times New Roman" w:hAnsi="Times New Roman" w:cs="Times New Roman"/>
          <w:sz w:val="24"/>
          <w:szCs w:val="24"/>
        </w:rPr>
      </w:pPr>
    </w:p>
    <w:p w14:paraId="478A0524"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granda camera era ornata tutta de cremasile.</w:t>
      </w:r>
    </w:p>
    <w:p w14:paraId="14F41324"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Appresso ditta camera ne era un’altra con lo celo e murate vestite de seta verda con fornimenti da letto di seta e altri ornamenti degni. </w:t>
      </w:r>
    </w:p>
    <w:p w14:paraId="728F167B"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Non me estendarò altramente in descrivere le altre camare e sale che erano in grande numero, tutte ornate di fornimenti di seta e de panno de raza, e ciascuna aveva li suoi epigrami descritti ad bono proposito, né anche li ornamenti e pompe apparate per la cità. Similmente passarò con scilentio li continui regali furno fatti a soa eccellenza, in li quali non fu introdutto alcuno ferculo, quali furono un grando innumero, che non avesse la sua representatione dignissima con sonetti composti da eccellente poeta; perocché da messer Antonio Polono è fatta una opera de tutto quello apparato di Derthona, in la quale descrive minutamente tutti li archi e cose più degne. </w:t>
      </w:r>
    </w:p>
    <w:p w14:paraId="765E54AE" w14:textId="77777777" w:rsidR="0094477F" w:rsidRPr="00096909" w:rsidRDefault="0094477F" w:rsidP="0094477F">
      <w:pPr>
        <w:spacing w:after="0" w:line="360" w:lineRule="auto"/>
        <w:ind w:firstLine="397"/>
        <w:jc w:val="both"/>
        <w:rPr>
          <w:rFonts w:ascii="Times New Roman" w:hAnsi="Times New Roman" w:cs="Times New Roman"/>
          <w:sz w:val="24"/>
          <w:szCs w:val="24"/>
        </w:rPr>
      </w:pPr>
    </w:p>
    <w:p w14:paraId="1BE39BE9"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Cenati insiema li prefati signori in granda festa e triumfi, la matina se partirno per ritornare a Viglevano</w:t>
      </w:r>
      <w:r w:rsidRPr="00096909">
        <w:t xml:space="preserve"> </w:t>
      </w:r>
      <w:r w:rsidRPr="00096909">
        <w:rPr>
          <w:rFonts w:ascii="Times New Roman" w:hAnsi="Times New Roman" w:cs="Times New Roman"/>
          <w:sz w:val="24"/>
          <w:szCs w:val="24"/>
        </w:rPr>
        <w:t>e,</w:t>
      </w:r>
      <w:r w:rsidRPr="00096909">
        <w:t xml:space="preserve"> </w:t>
      </w:r>
      <w:r w:rsidRPr="00096909">
        <w:rPr>
          <w:rFonts w:ascii="Times New Roman" w:hAnsi="Times New Roman" w:cs="Times New Roman"/>
          <w:sz w:val="24"/>
          <w:szCs w:val="24"/>
        </w:rPr>
        <w:t xml:space="preserve">la duchessa riposata lì quello giorno, se irno poi a Scaldasole, appresso santo Nazaro. In quel loco stete la notte. </w:t>
      </w:r>
    </w:p>
    <w:p w14:paraId="05E10780"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Lo dì seguente gionse a Viglevano, dove li signori con tutta la corte li andorno in contra, e quella notte lo illustrissimo sposo e sposa stero insiema. El giorno doppo la venuta sua riposoe, e li signori venero a saluto con ordine di sua eccellenza. </w:t>
      </w:r>
    </w:p>
    <w:p w14:paraId="24E9626A"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Lo zobia, che fu a 29, se introvasse ad Abiate, dove la illustrissima madonna Bona con doe fiole e molte matrone andoe ad visitarla ritornando la sera a casa. </w:t>
      </w:r>
    </w:p>
    <w:p w14:paraId="287136BB"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El sabbato furno mandati là tri buccintori de li prefati vacui, in li quali li avesse intrare la sposa e soa comitiva. </w:t>
      </w:r>
    </w:p>
    <w:p w14:paraId="1A4D5C95" w14:textId="77777777" w:rsidR="0094477F" w:rsidRPr="00096909" w:rsidRDefault="0094477F" w:rsidP="0094477F">
      <w:pPr>
        <w:spacing w:after="0" w:line="360" w:lineRule="auto"/>
        <w:ind w:firstLine="397"/>
        <w:jc w:val="both"/>
        <w:rPr>
          <w:rFonts w:ascii="Times New Roman" w:hAnsi="Times New Roman" w:cs="Times New Roman"/>
          <w:sz w:val="24"/>
          <w:szCs w:val="24"/>
        </w:rPr>
      </w:pPr>
    </w:p>
    <w:p w14:paraId="24E57FE5" w14:textId="77777777" w:rsidR="0094477F" w:rsidRPr="00096909" w:rsidRDefault="0094477F" w:rsidP="0094477F">
      <w:pPr>
        <w:spacing w:after="0" w:line="360" w:lineRule="auto"/>
        <w:ind w:firstLine="397"/>
        <w:jc w:val="both"/>
        <w:rPr>
          <w:rFonts w:ascii="Times New Roman" w:hAnsi="Times New Roman" w:cs="Times New Roman"/>
          <w:sz w:val="24"/>
          <w:szCs w:val="24"/>
        </w:rPr>
      </w:pPr>
      <w:bookmarkStart w:id="553" w:name="_Hlk525573115"/>
      <w:r w:rsidRPr="00096909">
        <w:rPr>
          <w:rFonts w:ascii="Times New Roman" w:hAnsi="Times New Roman" w:cs="Times New Roman"/>
          <w:sz w:val="24"/>
          <w:szCs w:val="24"/>
        </w:rPr>
        <w:t xml:space="preserve">Essendo stabilito che la domenica, che fu calende de febro, si venesse a Milano a disnare e lo dì seguente se facessero le ceremonie in Domo, forno coperte le vie da la porta de mezo del castello fin al Domo, ch’è uno milliaro di panno alla divisa sforzesca. Le mure coperte de tapaiarie e panni de raza con vari festoni de verdura. Ciascuno aveva apparata la sua porta de coronamenti de zenevro, de lauro ed edera con le insegne ducale e de la sposa e altri ornamenti, non con menore studio che fusse la alegreza prendevano da le felice noze de li signori suoi. </w:t>
      </w:r>
    </w:p>
    <w:bookmarkEnd w:id="553"/>
    <w:p w14:paraId="13683DC6"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Ma tra le altre feste, in mezo de la contrata di orefici, fu fabricato uno balono indorato che pendeva in mezo de la via con 4 corni da copia de sotto inargentati e da sopra 4 griffoni d’oro e in mezo una colona inargentata, in cima da la quale era uno liono indorato con le segia pendente. Ad essa colonna fu poi alligato uno puto in forma del deo de amore, quale in trantu sponte cantoe tri versi molto a proposito.</w:t>
      </w:r>
    </w:p>
    <w:p w14:paraId="211696A5"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matina, a bona ora, la illustrissima Madonna Bianca e Madonna Anna con lo signore Filippo, barba del sposo, e circa 60 damizele de le più belle de la cità ornate de drapo d’oro, d’argento con colane d’oro, gioe, e insiema con loro bono numero de consiliari e gentilomini, andarono suso dui bucintori incontra alla prefata sposa fin a Corsico, lontano 4 miglia, la quale incontrata discesero le prefate madonne; e messer Filippo con alcune de quelle gentildonne da la nave sua intraro in quella de la sposa con tri tromboni. </w:t>
      </w:r>
    </w:p>
    <w:p w14:paraId="7A9DF6E1"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Così fecero lo illustrissimo signor Ludovico, qual li andò incontra fin al Santo Cristoforo, con li Ambasadori de li potentati italici e quello de Ungaria e molti consilieri, cortasani e suoi trombeti suso tri buncitori. Al ditto loco de santo Cristoforo, da la banda dove è la chiesa, venero a cavallo alcuni de li magistrati, feudatari e grandissimo numero de zentilomini, li quali, fatta reverentia alla sposa, se inviorno verso Milano appresso le nave, in modo che gionsero dov’è la eccelentia sua inseme in medesmo tempo. </w:t>
      </w:r>
    </w:p>
    <w:p w14:paraId="191505C2"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[Giardino] per lo quale aveva intrare in castello fu estesa la guardia del signore, cioè stradioti, mamaluchi, balestreri a cavallo e fanti da pede che erano granda multitudine. Dreto al navillio cominciando alla darsena dove</w:t>
      </w:r>
      <w:r w:rsidRPr="00096909">
        <w:t xml:space="preserve"> </w:t>
      </w:r>
      <w:r w:rsidRPr="00096909">
        <w:rPr>
          <w:rFonts w:ascii="Times New Roman" w:hAnsi="Times New Roman" w:cs="Times New Roman"/>
          <w:sz w:val="24"/>
          <w:szCs w:val="24"/>
        </w:rPr>
        <w:t>lo illustrissimo signor duca de Milano a pede accompagnato dal signore Rodulfo de Gonzaga, signore Galeotto da la Mirandola, messer Petro di Medici, Messer Annibal Bentivolio, domino Bartolomeo Calco, suo primo secretario e domino Aluisio de Terzago, secretario del signor Ludovico, Amabasadore de la cità del dominio e quelli de Cortignola, molti feudatari e gentilomini estesi. Dreto la riva, dove dovevano applicare la nave, erano circa 300 persone vestiti de brocato e di seta di vari colori e porpora e molti con colanne d’oro.</w:t>
      </w:r>
    </w:p>
    <w:p w14:paraId="568AAC3B"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Gionta la nave al ditto loco, quale era strato de tapedi, furno tratti colpi de bombarde e schiopetti e altri tormenti dal castello in signo de leticia, e così li trombeti de Fiorenza e altri signori, che erano venuti alle noze, como a sua usanza, sonavano tutti ad uno tratto con gran dolceza. </w:t>
      </w:r>
    </w:p>
    <w:p w14:paraId="20FE3B96"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Prima dismontati li zentilomini consilieri e cortesani furno aviati a doi a doi in castello, insiema con quelli erano restati ad fare compagnia al prefato signor Duca. Dappoi se accompiorno li signori neapolitani, e lo illustrissimo signor Ludovico, montato a cavallo, andoe aspettare da sopra del terazo nanti la porta de la salla de sopra da quella di Fazoli. Ultimato, seguivano la illustrissima sposa col marito, quale la teneva per mane. E deppoi procedevano le matrone e damisele gli erano andate incontra con quelle venute da Napoli con soa eccellentia. </w:t>
      </w:r>
    </w:p>
    <w:p w14:paraId="5440AF66"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Con questo ordine entrarono in castello, dove, alla fronte del portico de genevro, era la illustrissima madonna Bona con molte gentildonne, gentilomini e consilieri, la quale insiema con la fiola de lo illustrissimo signor Ludovico abraciò la sposa con amorevoli basi, e tutti insima la accompagnorono in la camera della torre dove era quello bellissimo servimento de perle. </w:t>
      </w:r>
    </w:p>
    <w:p w14:paraId="5095C7F3" w14:textId="77777777" w:rsidR="0094477F" w:rsidRPr="00096909" w:rsidRDefault="0094477F" w:rsidP="0094477F">
      <w:pPr>
        <w:spacing w:after="0" w:line="360" w:lineRule="auto"/>
        <w:ind w:firstLine="397"/>
        <w:jc w:val="both"/>
      </w:pPr>
      <w:r w:rsidRPr="00096909">
        <w:rPr>
          <w:rFonts w:ascii="Times New Roman" w:hAnsi="Times New Roman" w:cs="Times New Roman"/>
          <w:sz w:val="24"/>
          <w:szCs w:val="24"/>
        </w:rPr>
        <w:t>Tolta licentia, ciascuno andoe a disnare e per onorare quanto si potea li signori neapolitani furno deputati alcuni consilieri e feudatari quali li accompagnorono alli logiamenti suoi in le case de li primari de la cità, dovi furno recevuti e trattati con grandissima pompa. Medesimamente li prefati consilieri e feudatari li andorno poi a levare de casa, e fecero compagnia per quello tempo dimorarono in Milano.</w:t>
      </w:r>
      <w:r w:rsidRPr="00096909">
        <w:t xml:space="preserve"> </w:t>
      </w:r>
    </w:p>
    <w:p w14:paraId="1D24A4B3" w14:textId="77777777" w:rsidR="0094477F" w:rsidRPr="00096909" w:rsidRDefault="0094477F" w:rsidP="004B2156">
      <w:pPr>
        <w:spacing w:after="0" w:line="360" w:lineRule="auto"/>
        <w:jc w:val="both"/>
        <w:rPr>
          <w:rFonts w:ascii="Times New Roman" w:hAnsi="Times New Roman" w:cs="Times New Roman"/>
          <w:sz w:val="24"/>
          <w:szCs w:val="24"/>
        </w:rPr>
      </w:pPr>
    </w:p>
    <w:p w14:paraId="21CF1E54" w14:textId="77777777" w:rsidR="0094477F" w:rsidRPr="00096909" w:rsidRDefault="0094477F" w:rsidP="0094477F">
      <w:pPr>
        <w:spacing w:after="0" w:line="360" w:lineRule="auto"/>
        <w:ind w:firstLine="397"/>
        <w:jc w:val="both"/>
      </w:pPr>
      <w:r w:rsidRPr="00096909">
        <w:rPr>
          <w:rFonts w:ascii="Times New Roman" w:hAnsi="Times New Roman" w:cs="Times New Roman"/>
          <w:sz w:val="24"/>
          <w:szCs w:val="24"/>
        </w:rPr>
        <w:t xml:space="preserve">Lunedì matina, alle 14 ore, se congregorono in castello li ambasadori signori venuti con la sposa, eccetto che li ambasadori, magrati de le citate e de Cotignola se inviorono in Domo alli loci suoi, a ciò la illustrissima sposa più espeditamente potesse intrare in la chiesa. </w:t>
      </w:r>
    </w:p>
    <w:p w14:paraId="21CB31F1"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Similmente venero 50 damisele de le più onorevole de la cità a cavallo per accompagnare la prefata sposa, la quale se partie alle 17 hore in questo modo: procedevano prima li regaci del signore, camerei feudatari, cortesani e consilieri a doi a doi, e sì li trombeti e piferi, sì del signore como d’altri potentati, che andorono soni fino al tribunalo, suso lo quale era fatta una baltresca dove ascesero per sonare poi in li atti de la mesa e allo sposamento. </w:t>
      </w:r>
    </w:p>
    <w:p w14:paraId="0B47B196" w14:textId="77777777" w:rsidR="0094477F" w:rsidRPr="00096909" w:rsidRDefault="0094477F" w:rsidP="0094477F">
      <w:pPr>
        <w:spacing w:after="0" w:line="360" w:lineRule="auto"/>
        <w:ind w:firstLine="397"/>
        <w:rPr>
          <w:rFonts w:ascii="Times New Roman" w:hAnsi="Times New Roman" w:cs="Times New Roman"/>
          <w:sz w:val="24"/>
          <w:szCs w:val="24"/>
        </w:rPr>
      </w:pPr>
      <w:r w:rsidRPr="00096909">
        <w:rPr>
          <w:rFonts w:ascii="Times New Roman" w:hAnsi="Times New Roman" w:cs="Times New Roman"/>
          <w:sz w:val="24"/>
          <w:szCs w:val="24"/>
        </w:rPr>
        <w:t xml:space="preserve">Deinde seguitarono li infrascritti accompagnati: </w:t>
      </w:r>
    </w:p>
    <w:p w14:paraId="58748276" w14:textId="77777777" w:rsidR="0094477F" w:rsidRPr="00096909" w:rsidRDefault="0094477F" w:rsidP="0094477F">
      <w:pPr>
        <w:spacing w:after="0"/>
        <w:ind w:firstLine="397"/>
        <w:rPr>
          <w:rFonts w:ascii="Times New Roman" w:hAnsi="Times New Roman" w:cs="Times New Roman"/>
          <w:sz w:val="24"/>
          <w:szCs w:val="24"/>
        </w:rPr>
      </w:pPr>
    </w:p>
    <w:p w14:paraId="08BDC0D6"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Domino Bartolomeo Calco </w:t>
      </w:r>
    </w:p>
    <w:p w14:paraId="729B8EA8"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Domino Aloisio Terzago</w:t>
      </w:r>
    </w:p>
    <w:p w14:paraId="54BCB6B8"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Conte de Melzo </w:t>
      </w:r>
    </w:p>
    <w:p w14:paraId="66BA9C10"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Fiolo del signore Galeotto da la Mirandula</w:t>
      </w:r>
    </w:p>
    <w:p w14:paraId="20020F3F"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Conte Francesco del Signore Sforza Secundo</w:t>
      </w:r>
    </w:p>
    <w:p w14:paraId="0A0F99EA"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Signore Ludovico da Foliano</w:t>
      </w:r>
    </w:p>
    <w:p w14:paraId="13905810"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Conte Francesco del Signore Boso</w:t>
      </w:r>
    </w:p>
    <w:p w14:paraId="238F1E2E"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Messer Annibal Bentivolio</w:t>
      </w:r>
    </w:p>
    <w:p w14:paraId="44857F50"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Messer Galeazo da Santo Severino </w:t>
      </w:r>
    </w:p>
    <w:p w14:paraId="5071E72B"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Petro de’ Medici </w:t>
      </w:r>
    </w:p>
    <w:p w14:paraId="3CBE44EC"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Conte de Caracia</w:t>
      </w:r>
    </w:p>
    <w:p w14:paraId="6A66E594"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Signore Galeotto da la Mirandula</w:t>
      </w:r>
    </w:p>
    <w:p w14:paraId="0882426D"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Monsignore da Santo Severino </w:t>
      </w:r>
    </w:p>
    <w:p w14:paraId="083AF30B"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Signore Rodulfo da Gonzaga</w:t>
      </w:r>
    </w:p>
    <w:p w14:paraId="588A9D40"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Conte Alessandro Sforza</w:t>
      </w:r>
    </w:p>
    <w:p w14:paraId="58BF7930"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Fiolo de lo illustrissimo duca di Ferrara</w:t>
      </w:r>
    </w:p>
    <w:p w14:paraId="44991794"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Signore Sforza Secundo </w:t>
      </w:r>
    </w:p>
    <w:p w14:paraId="402A6D3F"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Signore Filippo </w:t>
      </w:r>
    </w:p>
    <w:p w14:paraId="36ADD39E"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Signore Ludovico </w:t>
      </w:r>
    </w:p>
    <w:p w14:paraId="459C240C"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Signore Marchese Hermes</w:t>
      </w:r>
    </w:p>
    <w:p w14:paraId="121FBD6C"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Lo ambasadore di Ferrara</w:t>
      </w:r>
    </w:p>
    <w:p w14:paraId="66B2A2A3"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Messer Simonetto Belprato</w:t>
      </w:r>
    </w:p>
    <w:p w14:paraId="6E162F36"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Ambasadore Fiorentino </w:t>
      </w:r>
    </w:p>
    <w:p w14:paraId="641E2F50"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Conte di Potentia </w:t>
      </w:r>
    </w:p>
    <w:p w14:paraId="750A0446"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Lo ambasadore venetiano </w:t>
      </w:r>
    </w:p>
    <w:p w14:paraId="1C52E712"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Conte de Conza </w:t>
      </w:r>
    </w:p>
    <w:p w14:paraId="337757E9"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Lo ambasadore ungaro</w:t>
      </w:r>
    </w:p>
    <w:p w14:paraId="04744C3B"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Marchese de Betunda </w:t>
      </w:r>
    </w:p>
    <w:p w14:paraId="7C9D2AF4"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Lo ambasadore del Papa </w:t>
      </w:r>
    </w:p>
    <w:p w14:paraId="3485C355" w14:textId="77777777" w:rsidR="0094477F" w:rsidRPr="00096909" w:rsidRDefault="0094477F" w:rsidP="0094477F">
      <w:pPr>
        <w:spacing w:after="0" w:line="360" w:lineRule="auto"/>
        <w:rPr>
          <w:rFonts w:ascii="Times New Roman" w:hAnsi="Times New Roman" w:cs="Times New Roman"/>
          <w:sz w:val="24"/>
          <w:szCs w:val="24"/>
        </w:rPr>
      </w:pPr>
      <w:r w:rsidRPr="00096909">
        <w:rPr>
          <w:rFonts w:ascii="Times New Roman" w:hAnsi="Times New Roman" w:cs="Times New Roman"/>
          <w:sz w:val="24"/>
          <w:szCs w:val="24"/>
        </w:rPr>
        <w:t xml:space="preserve">Signore duca de Malfi </w:t>
      </w:r>
    </w:p>
    <w:p w14:paraId="0AA374E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Francisco Bernardino Vesconte con la spada ducale in mano. </w:t>
      </w:r>
    </w:p>
    <w:p w14:paraId="3BC8F11A" w14:textId="77777777" w:rsidR="0094477F" w:rsidRPr="00096909" w:rsidRDefault="0094477F" w:rsidP="0094477F">
      <w:pPr>
        <w:spacing w:after="0"/>
        <w:jc w:val="both"/>
        <w:rPr>
          <w:rFonts w:ascii="Times New Roman" w:hAnsi="Times New Roman" w:cs="Times New Roman"/>
          <w:sz w:val="24"/>
          <w:szCs w:val="24"/>
        </w:rPr>
      </w:pPr>
    </w:p>
    <w:p w14:paraId="26D63FD9" w14:textId="77777777" w:rsidR="0094477F" w:rsidRPr="00096909" w:rsidRDefault="0094477F" w:rsidP="008B72B5">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Seguiva poi lo illustrissimo signore con la duchessa sotto uno balduchino de drapo d’oro fodrato d’armelini; e dopo erano le donne preditte. Fu levato a la porta del revellino dal castello da li medici, quali avevano li capuzi e berete fodrate de vayro. Dappoi, in sei volte, da otto gentilomini de ciascuna porta de la cità. L’ultima portata fu da li dottori, ornati de medesmo abito che erano li medici, da la corte dell’Arengo fin al Domo. </w:t>
      </w:r>
    </w:p>
    <w:p w14:paraId="045C33AA"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illustrissima sposa nel montare e dismontare da cavallo fu aiutata dal conte Alessandro Sforza, fratello del signore duca, alla brilia de la quale venereno continuamente a piede messer Zoanne Francesco marcheso Palavicino, conte Zanne Borromeo: doi de li principali de stato. </w:t>
      </w:r>
    </w:p>
    <w:p w14:paraId="6036AD57"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Per la via era estesa in processione tutta la chieresia de frati e preti ornatissima e bene in punto, che tendeva dal Domo al castello. Tutte le vie, fenestre e banchi e boteche erano piene de multitudine da ogni canto concorrente, omini e donne, piccoli e grandi, con summi iubili e feste. </w:t>
      </w:r>
    </w:p>
    <w:p w14:paraId="2CA4BF5E"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Gionti sotto il tiburio, nanti la chiesa, fu ricolta dal clericato del Domo, quale gli fece basare una croce, e da la illustrissima madonna Beatrice da Este e fiola dello illustrissimo signore Ludovico con infinito numero de zentildonne non manco belle che ornate, da le quale, insiema con altre erano venute a cavallo, fu accompagnata sul tribunale, quale era strato di tapedi e resplendeva  mirabilmente per essere posti su la credenza ditta de sopra lo argento de la capella dello illustrissimo signor duca e 60 vasi de lo signore Ludovico de pretio grandissimo fatti con mirabile arte. </w:t>
      </w:r>
      <w:r w:rsidRPr="00096909">
        <w:rPr>
          <w:rFonts w:ascii="Times New Roman" w:hAnsi="Times New Roman" w:cs="Times New Roman"/>
          <w:i/>
          <w:sz w:val="24"/>
          <w:szCs w:val="24"/>
        </w:rPr>
        <w:t>Solum</w:t>
      </w:r>
      <w:r w:rsidRPr="00096909">
        <w:rPr>
          <w:rFonts w:ascii="Times New Roman" w:hAnsi="Times New Roman" w:cs="Times New Roman"/>
          <w:sz w:val="24"/>
          <w:szCs w:val="24"/>
        </w:rPr>
        <w:t xml:space="preserve"> per pompa e </w:t>
      </w:r>
      <w:r w:rsidRPr="00096909">
        <w:rPr>
          <w:rFonts w:ascii="Times New Roman" w:hAnsi="Times New Roman" w:cs="Times New Roman"/>
          <w:i/>
          <w:sz w:val="24"/>
          <w:szCs w:val="24"/>
        </w:rPr>
        <w:t>ad pascendos oculos</w:t>
      </w:r>
      <w:r w:rsidRPr="00096909">
        <w:rPr>
          <w:rFonts w:ascii="Times New Roman" w:hAnsi="Times New Roman" w:cs="Times New Roman"/>
          <w:sz w:val="24"/>
          <w:szCs w:val="24"/>
        </w:rPr>
        <w:t xml:space="preserve"> ultra questo gli erano ancora locate molte imagine de santi d’argento e illumineri di cera bianca. </w:t>
      </w:r>
    </w:p>
    <w:p w14:paraId="474E4E0B"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Da la mano destra, dove se canta lo Evangelio, suso lo tribunale descritto de sopra, quale era coperto di brocato d’argento e lo capcelo di medesmo drapo, quale copriva tutto lo tribunale, erano assetati li infrascritti:</w:t>
      </w:r>
    </w:p>
    <w:p w14:paraId="2214CE1F" w14:textId="77777777" w:rsidR="0094477F" w:rsidRPr="00096909" w:rsidRDefault="0094477F" w:rsidP="0094477F">
      <w:pPr>
        <w:spacing w:after="0"/>
        <w:jc w:val="both"/>
        <w:rPr>
          <w:rFonts w:ascii="Times New Roman" w:hAnsi="Times New Roman" w:cs="Times New Roman"/>
          <w:sz w:val="24"/>
          <w:szCs w:val="24"/>
        </w:rPr>
      </w:pPr>
      <w:r w:rsidRPr="00096909">
        <w:rPr>
          <w:rFonts w:ascii="Times New Roman" w:hAnsi="Times New Roman" w:cs="Times New Roman"/>
          <w:sz w:val="24"/>
          <w:szCs w:val="24"/>
        </w:rPr>
        <w:t xml:space="preserve"> </w:t>
      </w:r>
    </w:p>
    <w:p w14:paraId="133431BD"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lo illustrissimo duca de Milano in mezo </w:t>
      </w:r>
    </w:p>
    <w:p w14:paraId="5464D528"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lo ambasadore del papa </w:t>
      </w:r>
    </w:p>
    <w:p w14:paraId="3B5253E5"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lo oratore venetiano </w:t>
      </w:r>
    </w:p>
    <w:p w14:paraId="60695567"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lo oratore de Ferrara </w:t>
      </w:r>
    </w:p>
    <w:p w14:paraId="43FE28C2"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lo illustrissimo signor Ludovico. </w:t>
      </w:r>
    </w:p>
    <w:p w14:paraId="086E7A3D" w14:textId="77777777" w:rsidR="0094477F" w:rsidRPr="00096909" w:rsidRDefault="0094477F" w:rsidP="0094477F">
      <w:pPr>
        <w:spacing w:after="0"/>
        <w:jc w:val="both"/>
        <w:rPr>
          <w:rFonts w:ascii="Times New Roman" w:hAnsi="Times New Roman" w:cs="Times New Roman"/>
          <w:sz w:val="24"/>
          <w:szCs w:val="24"/>
        </w:rPr>
      </w:pPr>
    </w:p>
    <w:p w14:paraId="11542EE2" w14:textId="77777777" w:rsidR="0094477F" w:rsidRPr="00096909" w:rsidRDefault="0094477F" w:rsidP="0094477F">
      <w:pPr>
        <w:spacing w:after="0"/>
        <w:jc w:val="both"/>
        <w:rPr>
          <w:rFonts w:ascii="Times New Roman" w:hAnsi="Times New Roman" w:cs="Times New Roman"/>
          <w:sz w:val="24"/>
          <w:szCs w:val="24"/>
        </w:rPr>
      </w:pPr>
      <w:r w:rsidRPr="00096909">
        <w:rPr>
          <w:rFonts w:ascii="Times New Roman" w:hAnsi="Times New Roman" w:cs="Times New Roman"/>
          <w:sz w:val="24"/>
          <w:szCs w:val="24"/>
        </w:rPr>
        <w:t xml:space="preserve">Da l’altra mano: </w:t>
      </w:r>
    </w:p>
    <w:p w14:paraId="65975AD5" w14:textId="77777777" w:rsidR="0094477F" w:rsidRPr="00096909" w:rsidRDefault="0094477F" w:rsidP="0094477F">
      <w:pPr>
        <w:spacing w:after="0"/>
        <w:jc w:val="both"/>
        <w:rPr>
          <w:rFonts w:ascii="Times New Roman" w:hAnsi="Times New Roman" w:cs="Times New Roman"/>
          <w:sz w:val="24"/>
          <w:szCs w:val="24"/>
        </w:rPr>
      </w:pPr>
    </w:p>
    <w:p w14:paraId="7A848933"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lo oratore ungaro </w:t>
      </w:r>
    </w:p>
    <w:p w14:paraId="499051F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lo oratore fiorentino </w:t>
      </w:r>
    </w:p>
    <w:p w14:paraId="40A5C5C0"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signor Filippo Sforza Vesconte </w:t>
      </w:r>
    </w:p>
    <w:p w14:paraId="32A0401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signor Marchese Hermes </w:t>
      </w:r>
    </w:p>
    <w:p w14:paraId="48C7E7C2" w14:textId="77777777" w:rsidR="0094477F" w:rsidRPr="00096909" w:rsidRDefault="0094477F" w:rsidP="0094477F">
      <w:pPr>
        <w:spacing w:after="0"/>
        <w:jc w:val="both"/>
        <w:rPr>
          <w:rFonts w:ascii="Times New Roman" w:hAnsi="Times New Roman" w:cs="Times New Roman"/>
          <w:sz w:val="24"/>
          <w:szCs w:val="24"/>
        </w:rPr>
      </w:pPr>
    </w:p>
    <w:p w14:paraId="3812CDCD" w14:textId="77777777" w:rsidR="0094477F" w:rsidRPr="00096909" w:rsidRDefault="0094477F" w:rsidP="0094477F">
      <w:pPr>
        <w:spacing w:after="0"/>
        <w:jc w:val="both"/>
        <w:rPr>
          <w:rFonts w:ascii="Times New Roman" w:hAnsi="Times New Roman" w:cs="Times New Roman"/>
          <w:sz w:val="24"/>
          <w:szCs w:val="24"/>
        </w:rPr>
      </w:pPr>
      <w:r w:rsidRPr="00096909">
        <w:rPr>
          <w:rFonts w:ascii="Times New Roman" w:hAnsi="Times New Roman" w:cs="Times New Roman"/>
          <w:sz w:val="24"/>
          <w:szCs w:val="24"/>
        </w:rPr>
        <w:t xml:space="preserve">Tra lo altare e lo prefato tribunale, suso una banca, erano li infrascritti: </w:t>
      </w:r>
    </w:p>
    <w:p w14:paraId="446E0086" w14:textId="77777777" w:rsidR="0094477F" w:rsidRPr="00096909" w:rsidRDefault="0094477F" w:rsidP="0094477F">
      <w:pPr>
        <w:spacing w:after="0"/>
        <w:jc w:val="both"/>
        <w:rPr>
          <w:rFonts w:ascii="Times New Roman" w:hAnsi="Times New Roman" w:cs="Times New Roman"/>
          <w:sz w:val="24"/>
          <w:szCs w:val="24"/>
        </w:rPr>
      </w:pPr>
    </w:p>
    <w:p w14:paraId="4B16E05B"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ambasadori de signori Ursini </w:t>
      </w:r>
    </w:p>
    <w:p w14:paraId="47A9EE6E"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signore Rodulfo da Gonzaga</w:t>
      </w:r>
    </w:p>
    <w:p w14:paraId="5D2CD6F6"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signor Galeotto da la Mirandula </w:t>
      </w:r>
    </w:p>
    <w:p w14:paraId="1C3F95E1"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domino Petro de’ Medici, fiolo del magnifico Laurentio </w:t>
      </w:r>
    </w:p>
    <w:p w14:paraId="4E658B8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Messer Annibal Bentivolio </w:t>
      </w:r>
    </w:p>
    <w:p w14:paraId="28A70CD1"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signor Sforza Secundo </w:t>
      </w:r>
    </w:p>
    <w:p w14:paraId="2BA3860B"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signor Julio Sforza </w:t>
      </w:r>
    </w:p>
    <w:p w14:paraId="3B5A1ED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Conte Alessandro Sforza, fratello del duca </w:t>
      </w:r>
    </w:p>
    <w:p w14:paraId="0B5E5648"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lo reverendo vescovo da Santo Severino </w:t>
      </w:r>
    </w:p>
    <w:p w14:paraId="3D20CDC4"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Messer Zoan Francesco da Santo Severino, Conte de Caiacia</w:t>
      </w:r>
    </w:p>
    <w:p w14:paraId="2E82A83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Messer Galeaz da Santo Severino </w:t>
      </w:r>
    </w:p>
    <w:p w14:paraId="657C929C"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Signor Ludovico da Fogliano </w:t>
      </w:r>
    </w:p>
    <w:p w14:paraId="771146D5"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Conte Francesco Sforza del Signor Boso </w:t>
      </w:r>
    </w:p>
    <w:p w14:paraId="6CD74340"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Fiolo del signor Galeotto da la Mirandula</w:t>
      </w:r>
    </w:p>
    <w:p w14:paraId="193BE16B"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Conte Francesco, fiolo del Sforza Secundo </w:t>
      </w:r>
    </w:p>
    <w:p w14:paraId="29438064"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Conte da Melzo</w:t>
      </w:r>
    </w:p>
    <w:p w14:paraId="1DA150D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Messer Bartolomeo Calco (in pede)</w:t>
      </w:r>
    </w:p>
    <w:p w14:paraId="50A76A79"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Messer Aluisio da Terzago (in pede)</w:t>
      </w:r>
    </w:p>
    <w:p w14:paraId="41AC9566" w14:textId="77777777" w:rsidR="0094477F" w:rsidRPr="00096909" w:rsidRDefault="0094477F" w:rsidP="0094477F">
      <w:pPr>
        <w:jc w:val="both"/>
        <w:rPr>
          <w:rFonts w:ascii="Times New Roman" w:hAnsi="Times New Roman" w:cs="Times New Roman"/>
          <w:sz w:val="24"/>
          <w:szCs w:val="24"/>
        </w:rPr>
      </w:pPr>
    </w:p>
    <w:p w14:paraId="14EC440C"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 li altri ordini più bassi sedevano li consiglieri, magistrati, ambasadori de le citate e de Cortignola. Feudatari, cortesani e camereri, collegi de doctori, medici, mercadanti e altri gentilomini. </w:t>
      </w:r>
    </w:p>
    <w:p w14:paraId="46FB399B"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 l’altro tribunale, per scontro lo illustrissimo signore, quale era ornato di drappo d’oro con uno capcelo de medesmo drapo, sedevano: </w:t>
      </w:r>
    </w:p>
    <w:p w14:paraId="2EDDC075" w14:textId="77777777" w:rsidR="0094477F" w:rsidRPr="00096909" w:rsidRDefault="0094477F" w:rsidP="0094477F">
      <w:pPr>
        <w:spacing w:after="0" w:line="360" w:lineRule="auto"/>
        <w:jc w:val="both"/>
        <w:rPr>
          <w:rFonts w:ascii="Times New Roman" w:hAnsi="Times New Roman" w:cs="Times New Roman"/>
          <w:sz w:val="24"/>
          <w:szCs w:val="24"/>
        </w:rPr>
      </w:pPr>
    </w:p>
    <w:p w14:paraId="0C2D177B"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illustrissima sposa in mezo </w:t>
      </w:r>
    </w:p>
    <w:p w14:paraId="38EA8E65"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Signor duca de Malfi </w:t>
      </w:r>
    </w:p>
    <w:p w14:paraId="196581D3"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Marchese de Betimda </w:t>
      </w:r>
    </w:p>
    <w:p w14:paraId="663239E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Conte de Conza </w:t>
      </w:r>
    </w:p>
    <w:p w14:paraId="2FE4C40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Conte de Potenza </w:t>
      </w:r>
    </w:p>
    <w:p w14:paraId="76417B09"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Messer Simonotto Belprato </w:t>
      </w:r>
    </w:p>
    <w:p w14:paraId="491A0C71" w14:textId="77777777" w:rsidR="0094477F" w:rsidRPr="00096909" w:rsidRDefault="0094477F" w:rsidP="0094477F">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lo Fiolo del duca de Ferrara </w:t>
      </w:r>
    </w:p>
    <w:p w14:paraId="075C34C7"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Da l’altra mano sedevano: </w:t>
      </w:r>
    </w:p>
    <w:p w14:paraId="77617514" w14:textId="77777777" w:rsidR="0094477F" w:rsidRPr="00096909" w:rsidRDefault="0094477F" w:rsidP="0094477F">
      <w:pPr>
        <w:spacing w:after="0" w:line="360" w:lineRule="auto"/>
        <w:jc w:val="both"/>
        <w:rPr>
          <w:rFonts w:ascii="Times New Roman" w:hAnsi="Times New Roman" w:cs="Times New Roman"/>
          <w:sz w:val="24"/>
          <w:szCs w:val="24"/>
        </w:rPr>
      </w:pPr>
    </w:p>
    <w:p w14:paraId="70D588B5"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illustrissima madonna Bianca </w:t>
      </w:r>
    </w:p>
    <w:p w14:paraId="4AEA7F1D"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la illustrissima madonna Anna (sorelle del duca)</w:t>
      </w:r>
    </w:p>
    <w:p w14:paraId="211B6303"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duchessa de Malfi </w:t>
      </w:r>
    </w:p>
    <w:p w14:paraId="32B23E03"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marchisana de Betunda </w:t>
      </w:r>
    </w:p>
    <w:p w14:paraId="7B01BD59"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mogliere de Signore Filippo Sforza Vesconte. </w:t>
      </w:r>
    </w:p>
    <w:p w14:paraId="0CC9EB62"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 </w:t>
      </w:r>
    </w:p>
    <w:p w14:paraId="3957BF61" w14:textId="77777777" w:rsidR="0094477F" w:rsidRPr="00096909" w:rsidRDefault="0094477F" w:rsidP="0094477F">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Tra lo altare e lo tribunale prefato, suso una bancheta, sedevano: </w:t>
      </w:r>
    </w:p>
    <w:p w14:paraId="7655CF97"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Messer Marino da Formio, ambasadore del Re Ferdinando </w:t>
      </w:r>
    </w:p>
    <w:p w14:paraId="5509CE83"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Messer Corrado Coriale, Iurisconsulto Regio Consiliero </w:t>
      </w:r>
    </w:p>
    <w:p w14:paraId="74445EC3"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Messer Caranagrolo </w:t>
      </w:r>
    </w:p>
    <w:p w14:paraId="7DF4639C"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lo fratello del conte de Canza </w:t>
      </w:r>
    </w:p>
    <w:p w14:paraId="239E52C8"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Carlo Stambardo </w:t>
      </w:r>
    </w:p>
    <w:p w14:paraId="0BDA86EB" w14:textId="77777777" w:rsidR="0094477F" w:rsidRPr="00096909" w:rsidRDefault="0094477F" w:rsidP="0094477F">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Zoan da Costanza </w:t>
      </w:r>
    </w:p>
    <w:p w14:paraId="5976AB0E" w14:textId="77777777" w:rsidR="0094477F" w:rsidRPr="00096909" w:rsidRDefault="0094477F" w:rsidP="0094477F">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In lo altro grado più basso stavano le infrascritte:</w:t>
      </w:r>
    </w:p>
    <w:p w14:paraId="388D0F14"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illustrissima Beatrice da Asti </w:t>
      </w:r>
    </w:p>
    <w:p w14:paraId="168847B0"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fiola de lo illustrissimo signor Ludovico </w:t>
      </w:r>
    </w:p>
    <w:p w14:paraId="0532E11D"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le fiole del quondam signor Carlo Sforza </w:t>
      </w:r>
    </w:p>
    <w:p w14:paraId="0BF2D587"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Madonna Fiordalisa, moliere del signore Guidazo Manfredo de Imola </w:t>
      </w:r>
    </w:p>
    <w:p w14:paraId="7DF65429"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Madonna Griseida, quondam del signor Boso </w:t>
      </w:r>
    </w:p>
    <w:p w14:paraId="6E07AAF8"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Contessa de Caracia</w:t>
      </w:r>
    </w:p>
    <w:p w14:paraId="3736D286"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la moliere de messer Zoan Aluisio dal Fiesco. </w:t>
      </w:r>
    </w:p>
    <w:p w14:paraId="4D371DD8" w14:textId="77777777" w:rsidR="0094477F" w:rsidRPr="00096909" w:rsidRDefault="0094477F" w:rsidP="0094477F">
      <w:pPr>
        <w:spacing w:after="0" w:line="360" w:lineRule="auto"/>
        <w:jc w:val="both"/>
        <w:rPr>
          <w:rFonts w:ascii="Times New Roman" w:hAnsi="Times New Roman" w:cs="Times New Roman"/>
          <w:sz w:val="24"/>
          <w:szCs w:val="24"/>
        </w:rPr>
      </w:pPr>
    </w:p>
    <w:p w14:paraId="5680C607"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Tutte le altre dame seguivano secundo el grado suo.</w:t>
      </w:r>
    </w:p>
    <w:p w14:paraId="2539DD3A"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Assettato ciascuno al loco suo con questo ordine, lo reverendo domino Fabricio Marliano, vescovo di Piacenza, parato in pontificale, cominciò la messa instituta ab Ecclesia </w:t>
      </w:r>
      <w:r w:rsidRPr="00096909">
        <w:rPr>
          <w:rFonts w:ascii="Times New Roman" w:hAnsi="Times New Roman" w:cs="Times New Roman"/>
          <w:i/>
          <w:sz w:val="24"/>
          <w:szCs w:val="24"/>
        </w:rPr>
        <w:t>Super sponsum et sponsam</w:t>
      </w:r>
      <w:r w:rsidRPr="00096909">
        <w:rPr>
          <w:rFonts w:ascii="Times New Roman" w:hAnsi="Times New Roman" w:cs="Times New Roman"/>
          <w:sz w:val="24"/>
          <w:szCs w:val="24"/>
        </w:rPr>
        <w:t xml:space="preserve"> in parole al modo ducale con li ordinari del Domo e li cantori de la capella, che fecero una melodia angelica.  </w:t>
      </w:r>
    </w:p>
    <w:p w14:paraId="37E8B604"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Ditto el </w:t>
      </w:r>
      <w:r w:rsidRPr="00096909">
        <w:rPr>
          <w:rFonts w:ascii="Times New Roman" w:hAnsi="Times New Roman" w:cs="Times New Roman"/>
          <w:i/>
          <w:sz w:val="24"/>
          <w:szCs w:val="24"/>
        </w:rPr>
        <w:t>Credo,</w:t>
      </w:r>
      <w:r w:rsidRPr="00096909">
        <w:rPr>
          <w:rFonts w:ascii="Times New Roman" w:hAnsi="Times New Roman" w:cs="Times New Roman"/>
          <w:sz w:val="24"/>
          <w:szCs w:val="24"/>
        </w:rPr>
        <w:t xml:space="preserve"> lo illustrissimo sposo accompagnato da</w:t>
      </w:r>
    </w:p>
    <w:p w14:paraId="759B76E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Messer Galeaz da Santo Severino </w:t>
      </w:r>
    </w:p>
    <w:p w14:paraId="682DE970"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Conte Francesco del Signore Boso e Ambrosio da Conte, sescalco </w:t>
      </w:r>
    </w:p>
    <w:p w14:paraId="44616666"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La illustrissima duchessa da […]</w:t>
      </w:r>
    </w:p>
    <w:p w14:paraId="67A2226E"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Messer Caravagiallo</w:t>
      </w:r>
    </w:p>
    <w:p w14:paraId="520FCBD3"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Celso Crivello sescalco, andorono ad offerire nante l’altare e basica una digna reliquia, quale aveva in mane el prefato vescovo alli loci suoi. </w:t>
      </w:r>
    </w:p>
    <w:p w14:paraId="430B2CC7"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Inante se dicesse le parole </w:t>
      </w:r>
      <w:r w:rsidRPr="00096909">
        <w:rPr>
          <w:rFonts w:ascii="Times New Roman" w:hAnsi="Times New Roman" w:cs="Times New Roman"/>
          <w:i/>
          <w:sz w:val="24"/>
          <w:szCs w:val="24"/>
        </w:rPr>
        <w:t>Pax domini</w:t>
      </w:r>
      <w:r w:rsidRPr="00096909">
        <w:rPr>
          <w:rFonts w:ascii="Times New Roman" w:hAnsi="Times New Roman" w:cs="Times New Roman"/>
          <w:sz w:val="24"/>
          <w:szCs w:val="24"/>
        </w:rPr>
        <w:t xml:space="preserve"> el ministro assistente, col piviale indosso, alla messa tolse li anelli de li quali se aveva fare lo sposamento, che erano riposti suso l’altare, e tenendoli il mane lo prefato vescovo li benedisite.</w:t>
      </w:r>
    </w:p>
    <w:p w14:paraId="1EC1A0F1"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i/>
          <w:sz w:val="24"/>
          <w:szCs w:val="24"/>
        </w:rPr>
        <w:t>Quo facto</w:t>
      </w:r>
      <w:r w:rsidRPr="00096909">
        <w:rPr>
          <w:rFonts w:ascii="Times New Roman" w:hAnsi="Times New Roman" w:cs="Times New Roman"/>
          <w:sz w:val="24"/>
          <w:szCs w:val="24"/>
        </w:rPr>
        <w:t xml:space="preserve">, monsignor Federico da Santo Severino, vescovo maleacense, disse la oratione nuptiale, bene ornatissima, molto accomodata, con quelli gesti e voce che se potessino desiderare in uno optimo oratore. </w:t>
      </w:r>
    </w:p>
    <w:p w14:paraId="0547FE71"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La quale finita, inante che’l dicesse le parole obligatorie, subito lo illustrissimo sposo accompagnato da li infrascritti:</w:t>
      </w:r>
    </w:p>
    <w:p w14:paraId="35F8F411" w14:textId="77777777" w:rsidR="0094477F" w:rsidRPr="00096909" w:rsidRDefault="0094477F" w:rsidP="0094477F">
      <w:pPr>
        <w:spacing w:after="0"/>
        <w:jc w:val="both"/>
        <w:rPr>
          <w:rFonts w:ascii="Times New Roman" w:hAnsi="Times New Roman" w:cs="Times New Roman"/>
          <w:sz w:val="24"/>
          <w:szCs w:val="24"/>
        </w:rPr>
      </w:pPr>
    </w:p>
    <w:p w14:paraId="2AB800CD"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illustrissimo signor Ludovico </w:t>
      </w:r>
    </w:p>
    <w:p w14:paraId="70037D08"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Signor Marchese Hermes </w:t>
      </w:r>
    </w:p>
    <w:p w14:paraId="50E07D76"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Signor Filippo </w:t>
      </w:r>
    </w:p>
    <w:p w14:paraId="4F3A04E3"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Signor Sforza Secundo </w:t>
      </w:r>
    </w:p>
    <w:p w14:paraId="7FDA5D51"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Signor Iulio </w:t>
      </w:r>
    </w:p>
    <w:p w14:paraId="773AD8FE"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Ambrosio da Conte, sescalco</w:t>
      </w:r>
    </w:p>
    <w:p w14:paraId="27A3901F" w14:textId="77777777" w:rsidR="0094477F" w:rsidRPr="00096909" w:rsidRDefault="0094477F" w:rsidP="0094477F">
      <w:pPr>
        <w:pStyle w:val="Nessunaspaziatura"/>
        <w:spacing w:line="360" w:lineRule="auto"/>
        <w:rPr>
          <w:rFonts w:ascii="Times New Roman" w:hAnsi="Times New Roman" w:cs="Times New Roman"/>
          <w:sz w:val="24"/>
          <w:szCs w:val="24"/>
        </w:rPr>
      </w:pPr>
    </w:p>
    <w:p w14:paraId="48DCB4E0"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Et la illustrissima sposa da </w:t>
      </w:r>
    </w:p>
    <w:p w14:paraId="5613D761" w14:textId="77777777" w:rsidR="0094477F" w:rsidRPr="00096909" w:rsidRDefault="0094477F" w:rsidP="0094477F">
      <w:pPr>
        <w:pStyle w:val="Nessunaspaziatura"/>
        <w:spacing w:line="360" w:lineRule="auto"/>
        <w:rPr>
          <w:rFonts w:ascii="Times New Roman" w:hAnsi="Times New Roman" w:cs="Times New Roman"/>
          <w:sz w:val="24"/>
          <w:szCs w:val="24"/>
        </w:rPr>
      </w:pPr>
    </w:p>
    <w:p w14:paraId="523A948E"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lo signor duca de Malfi </w:t>
      </w:r>
    </w:p>
    <w:p w14:paraId="2C61F024"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Marchese de Betunda </w:t>
      </w:r>
    </w:p>
    <w:p w14:paraId="444665C7"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Conte de Conza</w:t>
      </w:r>
    </w:p>
    <w:p w14:paraId="5BBB4ED2"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Conte de Potenza </w:t>
      </w:r>
    </w:p>
    <w:p w14:paraId="3BCBABBA"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Messer Simonotto Belprato </w:t>
      </w:r>
    </w:p>
    <w:p w14:paraId="0F87C575" w14:textId="77777777" w:rsidR="0094477F" w:rsidRPr="00096909" w:rsidRDefault="0094477F" w:rsidP="0094477F">
      <w:pPr>
        <w:pStyle w:val="Nessunaspaziatura"/>
        <w:spacing w:line="360" w:lineRule="auto"/>
        <w:rPr>
          <w:rFonts w:ascii="Times New Roman" w:hAnsi="Times New Roman" w:cs="Times New Roman"/>
          <w:sz w:val="24"/>
          <w:szCs w:val="24"/>
        </w:rPr>
      </w:pPr>
      <w:r w:rsidRPr="00096909">
        <w:rPr>
          <w:rFonts w:ascii="Times New Roman" w:hAnsi="Times New Roman" w:cs="Times New Roman"/>
          <w:sz w:val="24"/>
          <w:szCs w:val="24"/>
        </w:rPr>
        <w:t xml:space="preserve">Celso Crivello Sescalco </w:t>
      </w:r>
    </w:p>
    <w:p w14:paraId="66AEC689" w14:textId="77777777" w:rsidR="0094477F" w:rsidRPr="00096909" w:rsidRDefault="0094477F" w:rsidP="0094477F">
      <w:pPr>
        <w:spacing w:after="0"/>
        <w:jc w:val="both"/>
        <w:rPr>
          <w:rFonts w:ascii="Times New Roman" w:hAnsi="Times New Roman" w:cs="Times New Roman"/>
          <w:sz w:val="24"/>
          <w:szCs w:val="24"/>
        </w:rPr>
      </w:pPr>
    </w:p>
    <w:p w14:paraId="5A0355F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se portorono nanti l’altare. E allora, lo ditto vescovo maleacense, ditte le parole obbligatorie e tolti li anelli di mano del ministro, lo presentoe al signore Duca, lo quale disponsoe la prefata madonna Isabella, tenendoli el digito lo illustrissimo signore Ludovico. </w:t>
      </w:r>
    </w:p>
    <w:p w14:paraId="4D063A5A"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Desponsata, soa eccellentia se inzenochiò insiema col sposo su doi cossini de drapo d’oro de razo nanti l’altare, </w:t>
      </w:r>
      <w:r w:rsidRPr="00096909">
        <w:rPr>
          <w:rFonts w:ascii="Times New Roman" w:hAnsi="Times New Roman" w:cs="Times New Roman"/>
          <w:i/>
          <w:sz w:val="24"/>
          <w:szCs w:val="24"/>
        </w:rPr>
        <w:t>prontibus</w:t>
      </w:r>
      <w:r w:rsidRPr="00096909">
        <w:rPr>
          <w:rFonts w:ascii="Times New Roman" w:hAnsi="Times New Roman" w:cs="Times New Roman"/>
          <w:sz w:val="24"/>
          <w:szCs w:val="24"/>
        </w:rPr>
        <w:t xml:space="preserve"> lo signore Ludovico con li prefati, quali stavano in pede. El prefato vescovo di Piacenza disse in canto </w:t>
      </w:r>
      <w:r w:rsidRPr="00096909">
        <w:rPr>
          <w:rFonts w:ascii="Times New Roman" w:hAnsi="Times New Roman" w:cs="Times New Roman"/>
          <w:i/>
          <w:sz w:val="24"/>
          <w:szCs w:val="24"/>
        </w:rPr>
        <w:t>voce aliquantulum demissa</w:t>
      </w:r>
      <w:r w:rsidRPr="00096909">
        <w:rPr>
          <w:rFonts w:ascii="Times New Roman" w:hAnsi="Times New Roman" w:cs="Times New Roman"/>
          <w:sz w:val="24"/>
          <w:szCs w:val="24"/>
        </w:rPr>
        <w:t xml:space="preserve"> certe oratione sopra l’uno e l’altro con le beneditione inserte. </w:t>
      </w:r>
      <w:r w:rsidRPr="00096909">
        <w:rPr>
          <w:rFonts w:ascii="Times New Roman" w:hAnsi="Times New Roman" w:cs="Times New Roman"/>
          <w:i/>
          <w:sz w:val="24"/>
          <w:szCs w:val="24"/>
        </w:rPr>
        <w:t>Quibus dictis,</w:t>
      </w:r>
      <w:r w:rsidRPr="00096909">
        <w:rPr>
          <w:rFonts w:ascii="Times New Roman" w:hAnsi="Times New Roman" w:cs="Times New Roman"/>
          <w:sz w:val="24"/>
          <w:szCs w:val="24"/>
        </w:rPr>
        <w:t xml:space="preserve"> li prefati signori furono riaccompagnati alli loci suoi e monsignore, levato il </w:t>
      </w:r>
      <w:r w:rsidRPr="00096909">
        <w:rPr>
          <w:rFonts w:ascii="Times New Roman" w:hAnsi="Times New Roman" w:cs="Times New Roman"/>
          <w:i/>
          <w:sz w:val="24"/>
          <w:szCs w:val="24"/>
        </w:rPr>
        <w:t>Corpus Domini</w:t>
      </w:r>
      <w:r w:rsidRPr="00096909">
        <w:rPr>
          <w:rFonts w:ascii="Times New Roman" w:hAnsi="Times New Roman" w:cs="Times New Roman"/>
          <w:sz w:val="24"/>
          <w:szCs w:val="24"/>
        </w:rPr>
        <w:t xml:space="preserve"> con grandissimi soni de tutti li trombeti e una melodia suavissima da li cantori, prosequitò la messa </w:t>
      </w:r>
      <w:r w:rsidRPr="00096909">
        <w:rPr>
          <w:rFonts w:ascii="Times New Roman" w:hAnsi="Times New Roman" w:cs="Times New Roman"/>
          <w:i/>
          <w:sz w:val="24"/>
          <w:szCs w:val="24"/>
        </w:rPr>
        <w:t>usque in finem</w:t>
      </w:r>
      <w:r w:rsidRPr="00096909">
        <w:rPr>
          <w:rFonts w:ascii="Times New Roman" w:hAnsi="Times New Roman" w:cs="Times New Roman"/>
          <w:sz w:val="24"/>
          <w:szCs w:val="24"/>
        </w:rPr>
        <w:t xml:space="preserve">. La quale formata se cantoe </w:t>
      </w:r>
      <w:r w:rsidRPr="00096909">
        <w:rPr>
          <w:rFonts w:ascii="Times New Roman" w:hAnsi="Times New Roman" w:cs="Times New Roman"/>
          <w:i/>
          <w:sz w:val="24"/>
          <w:szCs w:val="24"/>
        </w:rPr>
        <w:t>Te Deum laudamus</w:t>
      </w:r>
      <w:r w:rsidRPr="00096909">
        <w:rPr>
          <w:rFonts w:ascii="Times New Roman" w:hAnsi="Times New Roman" w:cs="Times New Roman"/>
          <w:sz w:val="24"/>
          <w:szCs w:val="24"/>
        </w:rPr>
        <w:t xml:space="preserve">. </w:t>
      </w:r>
    </w:p>
    <w:p w14:paraId="02F96312"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i/>
          <w:sz w:val="24"/>
          <w:szCs w:val="24"/>
        </w:rPr>
        <w:t>Immediate</w:t>
      </w:r>
      <w:r w:rsidRPr="00096909">
        <w:rPr>
          <w:rFonts w:ascii="Times New Roman" w:hAnsi="Times New Roman" w:cs="Times New Roman"/>
          <w:sz w:val="24"/>
          <w:szCs w:val="24"/>
        </w:rPr>
        <w:t xml:space="preserve"> lo illustrissimo signor Duca fece cavalero lo Magnifico Messer Petro Alamani, Ambasadore de Signori Fiorentini, e lo magnifico messer Bartolomeo Calco, suo primo secretario, donata ad ciascuno de loro una belissima toga di brocato d’oro fodrata de perle finissime. </w:t>
      </w:r>
    </w:p>
    <w:p w14:paraId="345A4AE2"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Fatto questo, se levarno, ritornando in castello con quello medesmo ordine erano venuti in Domo, eccetto che non fu portato più el balduchino e messer Zoan Francesco Palavicino e conte Zoanne Borromeo montorono a cavallo insiema con li altri. Tutti erano vestiti diversamente che fussero stati la dominica de brocati, seta e purpura, con colane e molti recami de perle. Accompagnata la prefata sposa in castello ognuno andoe alli allogiamenti suoi. </w:t>
      </w:r>
    </w:p>
    <w:p w14:paraId="06F7936E" w14:textId="77777777" w:rsidR="0094477F" w:rsidRPr="00096909" w:rsidRDefault="0094477F" w:rsidP="0094477F">
      <w:pPr>
        <w:spacing w:after="0" w:line="360" w:lineRule="auto"/>
        <w:ind w:firstLine="397"/>
        <w:jc w:val="both"/>
        <w:rPr>
          <w:rFonts w:ascii="Times New Roman" w:hAnsi="Times New Roman" w:cs="Times New Roman"/>
          <w:sz w:val="24"/>
          <w:szCs w:val="24"/>
        </w:rPr>
      </w:pPr>
    </w:p>
    <w:p w14:paraId="62DF867A"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Lo </w:t>
      </w:r>
      <w:r>
        <w:rPr>
          <w:rFonts w:ascii="Times New Roman" w:hAnsi="Times New Roman" w:cs="Times New Roman"/>
          <w:sz w:val="24"/>
          <w:szCs w:val="24"/>
        </w:rPr>
        <w:t>m</w:t>
      </w:r>
      <w:r w:rsidRPr="00096909">
        <w:rPr>
          <w:rFonts w:ascii="Times New Roman" w:hAnsi="Times New Roman" w:cs="Times New Roman"/>
          <w:sz w:val="24"/>
          <w:szCs w:val="24"/>
        </w:rPr>
        <w:t xml:space="preserve">artedì matina, per la conditione ne la quale sono li illustrissimi sposo e sposa, come ho ditto di sopra, tutta la corte se vestite de negro. Per qual respetto se restoe ancora da fare giostre, conviti, balli e molti altri triunfi, como ricercava una tanta solennità e anche averiano fatto molto volentiera lo signor duca e signor Ludovico, la liberalità de li quali e animo generoso è assai noto a ciascuno. </w:t>
      </w:r>
    </w:p>
    <w:p w14:paraId="3436D3E8"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Dimorarono in Milano fin alli 6 de Fevraro, insiema con tutta la compagnia venuta da Napoli, alla quale sempre lautissimamente furono fatte le spese e ricolta onorevolmente. Dopoi se inviorono a Pavia dove, a li X, la ditta compagnia se partitò per ritornare a Napoli. </w:t>
      </w:r>
    </w:p>
    <w:p w14:paraId="366C401A" w14:textId="77777777" w:rsidR="0094477F" w:rsidRPr="00096909" w:rsidRDefault="0094477F" w:rsidP="0094477F">
      <w:pPr>
        <w:spacing w:after="0"/>
        <w:ind w:firstLine="397"/>
      </w:pPr>
    </w:p>
    <w:p w14:paraId="71E3F098" w14:textId="77777777" w:rsidR="0094477F" w:rsidRPr="00096909" w:rsidRDefault="0094477F" w:rsidP="0094477F">
      <w:pPr>
        <w:spacing w:after="0"/>
      </w:pPr>
    </w:p>
    <w:p w14:paraId="5091FE8A" w14:textId="77777777" w:rsidR="0094477F" w:rsidRPr="00096909" w:rsidRDefault="0094477F" w:rsidP="0094477F">
      <w:pPr>
        <w:spacing w:after="0"/>
      </w:pPr>
    </w:p>
    <w:p w14:paraId="0BDECFC6" w14:textId="77777777" w:rsidR="0094477F" w:rsidRPr="00096909" w:rsidRDefault="0094477F" w:rsidP="0094477F">
      <w:pPr>
        <w:spacing w:after="0"/>
        <w:rPr>
          <w:rFonts w:ascii="Times New Roman" w:hAnsi="Times New Roman" w:cs="Times New Roman"/>
          <w:sz w:val="24"/>
          <w:szCs w:val="24"/>
        </w:rPr>
      </w:pPr>
      <w:r w:rsidRPr="00096909">
        <w:rPr>
          <w:rFonts w:ascii="Times New Roman" w:hAnsi="Times New Roman" w:cs="Times New Roman"/>
          <w:smallCaps/>
          <w:sz w:val="24"/>
          <w:szCs w:val="24"/>
        </w:rPr>
        <w:t>Documento</w:t>
      </w:r>
      <w:r w:rsidRPr="00096909">
        <w:rPr>
          <w:rFonts w:ascii="Times New Roman" w:hAnsi="Times New Roman" w:cs="Times New Roman"/>
          <w:sz w:val="24"/>
          <w:szCs w:val="24"/>
        </w:rPr>
        <w:t xml:space="preserve"> 5] Ms. It. 1593, f. 124r. Milano, 24 novembre 1464.</w:t>
      </w:r>
    </w:p>
    <w:p w14:paraId="7DD59806" w14:textId="77777777" w:rsidR="0094477F" w:rsidRPr="00096909" w:rsidRDefault="0094477F" w:rsidP="0094477F">
      <w:pPr>
        <w:spacing w:after="0"/>
      </w:pPr>
    </w:p>
    <w:p w14:paraId="063607C2" w14:textId="77777777" w:rsidR="0094477F" w:rsidRPr="00096909" w:rsidRDefault="0094477F" w:rsidP="0094477F">
      <w:pPr>
        <w:spacing w:line="360" w:lineRule="auto"/>
        <w:jc w:val="both"/>
        <w:rPr>
          <w:rFonts w:ascii="Times New Roman" w:hAnsi="Times New Roman" w:cs="Times New Roman"/>
          <w:sz w:val="24"/>
          <w:szCs w:val="24"/>
        </w:rPr>
      </w:pPr>
    </w:p>
    <w:p w14:paraId="61D44E67" w14:textId="77777777" w:rsidR="0094477F" w:rsidRPr="00096909" w:rsidRDefault="0094477F" w:rsidP="0094477F">
      <w:pPr>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Mediolani, die 24 Novembris 1464 </w:t>
      </w:r>
    </w:p>
    <w:p w14:paraId="28D0B6B6" w14:textId="77777777" w:rsidR="0094477F" w:rsidRPr="00096909" w:rsidRDefault="0094477F" w:rsidP="0094477F">
      <w:pPr>
        <w:spacing w:line="360" w:lineRule="auto"/>
        <w:jc w:val="right"/>
        <w:rPr>
          <w:rFonts w:ascii="Times New Roman" w:hAnsi="Times New Roman" w:cs="Times New Roman"/>
          <w:sz w:val="24"/>
          <w:szCs w:val="24"/>
        </w:rPr>
      </w:pPr>
      <w:r w:rsidRPr="00096909">
        <w:rPr>
          <w:rFonts w:ascii="Times New Roman" w:hAnsi="Times New Roman" w:cs="Times New Roman"/>
          <w:sz w:val="24"/>
          <w:szCs w:val="24"/>
        </w:rPr>
        <w:t>Domino Alberico Malecta.</w:t>
      </w:r>
    </w:p>
    <w:p w14:paraId="69FE302B"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Perché la Maestà del Re Ferdinando intende fare condurre e menare Ippolita, nostra figliola, ad casa soa per copulare el matrimonio cum suo primogenito, del quale è sposa, ha proposto e deliberato essa Maestà, per una celebre e grande e singularissima magnificentia e magnanimitade, de fare invitare ad tale solennitade e festa nuptiale la Maestà imperiale e tutti li reguli e principi e signori ultramontani e citramuntani.</w:t>
      </w:r>
    </w:p>
    <w:p w14:paraId="578AC978"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 avendo già dato principio per consecutione de tale suo instituto, ha mandati inante e dalla prelibata Imperiale Maestà e altri degni lochi più soi oratori per fare tale invito. Tra quali oratori, passandone de qui uno quale andava ad invitare la Maestà del Re di Franza e del Re d’Inghilterra e del duca di Borgogna, e avendo de zo con nui conferito, avemo presa confidenza e sicurtade de farlo ritornare indrieto, a che non passasse più inanti. </w:t>
      </w:r>
    </w:p>
    <w:p w14:paraId="025FF75C"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 questo avemo fatto perché avendo nui inteso che la prefata serenissima Maestà del Re di Franza era in agitazione, combustione, differentia e debatto cum la parte Anzoina per le cose del regno di Napoli e accapitandoli suso questo tali debatti e agitatione d’uno oratore porria certo casone de aggravare più le cose de Anzoini al parte con la prefata Maestà del Re di Franza. </w:t>
      </w:r>
    </w:p>
    <w:p w14:paraId="36A13414"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 secondamente, non sapemo ancora quanto la Maestà del Re d’Inghilterra sia in bona intelligentia con la prelibata Maestà del Re di Franza per rispetto che essa Maestà s’è ritrovata tenuta in tempo con parole e inganni in lo praticare del parentato se trattava fra esse Maestà. Et così ancora non sapemo quanto fosse accetto alla prefata Maestà del Re di Franza lo invito fatto al prefato illustrissimo signor Duca di Borgogna, non stando facto ancora ad soa Maestà. </w:t>
      </w:r>
    </w:p>
    <w:p w14:paraId="6157AAD3"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Sicché, per questo parendome piuttosto tali inviti al parte dovere riportare gravanza che gratitudine, avemo presa tale sicuritade de fare ritornare in dritto desso oratore, perché non si venisse per tale atto de bona dispositione e caritade ad alcuna dispiacentia e gravanza con la prelibata Maestà del Re di Franza. </w:t>
      </w:r>
    </w:p>
    <w:p w14:paraId="7B413D09"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E pe</w:t>
      </w:r>
      <w:r w:rsidR="005D4C88">
        <w:rPr>
          <w:rFonts w:ascii="Times New Roman" w:hAnsi="Times New Roman" w:cs="Times New Roman"/>
          <w:sz w:val="24"/>
          <w:szCs w:val="24"/>
        </w:rPr>
        <w:t>r</w:t>
      </w:r>
      <w:r w:rsidRPr="00096909">
        <w:rPr>
          <w:rFonts w:ascii="Times New Roman" w:hAnsi="Times New Roman" w:cs="Times New Roman"/>
          <w:sz w:val="24"/>
          <w:szCs w:val="24"/>
        </w:rPr>
        <w:t xml:space="preserve">tanto volemo che fazati intendere questa cosa alla prefata Maestà, porgendoli la cosa con quello più degno e conveniente modo e con quella migliore via  e più facile impressione che potrete e saprete, perché intenda che tutto è fatto l’avemo fatto per non fare in alcuno modo né per alcuna dimonstratione cosa che non fosse accetta alla prefata Maestà. E vediamo circa questo la risposta che farà e quale sia lo parere e intentione soa. E de tutto ne vogliate chiaramente advisare subito.     </w:t>
      </w:r>
    </w:p>
    <w:p w14:paraId="10CF810D" w14:textId="77777777" w:rsidR="0094477F" w:rsidRPr="00096909" w:rsidRDefault="0094477F" w:rsidP="0094477F">
      <w:pPr>
        <w:spacing w:after="0" w:line="360" w:lineRule="auto"/>
        <w:ind w:firstLine="397"/>
        <w:jc w:val="both"/>
        <w:rPr>
          <w:rFonts w:ascii="Times New Roman" w:hAnsi="Times New Roman" w:cs="Times New Roman"/>
          <w:sz w:val="24"/>
          <w:szCs w:val="24"/>
        </w:rPr>
      </w:pPr>
    </w:p>
    <w:p w14:paraId="03969017" w14:textId="77777777" w:rsidR="0094477F" w:rsidRPr="00096909" w:rsidRDefault="0094477F" w:rsidP="0094477F">
      <w:pPr>
        <w:spacing w:after="0" w:line="360" w:lineRule="auto"/>
        <w:ind w:firstLine="397"/>
        <w:jc w:val="both"/>
        <w:rPr>
          <w:rFonts w:ascii="Times New Roman" w:hAnsi="Times New Roman" w:cs="Times New Roman"/>
          <w:sz w:val="24"/>
          <w:szCs w:val="24"/>
        </w:rPr>
      </w:pPr>
    </w:p>
    <w:p w14:paraId="422276F5"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mallCaps/>
          <w:sz w:val="24"/>
          <w:szCs w:val="24"/>
        </w:rPr>
        <w:t>Documento</w:t>
      </w:r>
      <w:r w:rsidRPr="00096909">
        <w:rPr>
          <w:rFonts w:ascii="Times New Roman" w:hAnsi="Times New Roman" w:cs="Times New Roman"/>
          <w:sz w:val="24"/>
          <w:szCs w:val="24"/>
        </w:rPr>
        <w:t xml:space="preserve"> 6] Ms. It. 1593, ff. 130r-131r. Tours, 24 novembre 1464.</w:t>
      </w:r>
    </w:p>
    <w:p w14:paraId="3F3A5C1C" w14:textId="77777777" w:rsidR="0094477F" w:rsidRPr="00096909" w:rsidRDefault="0094477F" w:rsidP="0094477F">
      <w:pPr>
        <w:spacing w:after="0"/>
      </w:pPr>
    </w:p>
    <w:p w14:paraId="3CEC8679"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Illustrissimo, </w:t>
      </w:r>
    </w:p>
    <w:p w14:paraId="58EFA3CD"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a XIII del presente giunse el cavalario cum le lettere de la vostra Signoria de X e de XXII del passato. E inteso bene el tutto, a me pare che la vostra Signoria abia considerato sapientissimamente in fare soprasedere lo invito de questo Re, e de Ingleterra e de Borgogna. E credo che el Re de ciò restarà contento, </w:t>
      </w:r>
      <w:r w:rsidRPr="00096909">
        <w:rPr>
          <w:rFonts w:ascii="Times New Roman" w:hAnsi="Times New Roman" w:cs="Times New Roman"/>
          <w:i/>
          <w:sz w:val="24"/>
          <w:szCs w:val="24"/>
        </w:rPr>
        <w:t>maxime</w:t>
      </w:r>
      <w:r w:rsidRPr="00096909">
        <w:rPr>
          <w:rFonts w:ascii="Times New Roman" w:hAnsi="Times New Roman" w:cs="Times New Roman"/>
          <w:sz w:val="24"/>
          <w:szCs w:val="24"/>
        </w:rPr>
        <w:t xml:space="preserve"> a questo tempo, chè se retrova qua el Re de Sicilia e tanti altri signori. </w:t>
      </w:r>
    </w:p>
    <w:p w14:paraId="7C6BD320"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 perché la vostra Signoria me comanda che subito voglia dirlo al Re, a me non m’è parso, Signore mio, trovandosse qua tanti Signori francesi al parte de dirgli de questo invito, né che vostra figlia vada a marito, né de la dovisa donata; perché forsa dariano cagione ad altri de movere qualche humore malanconicho o, se da loro lo moveseno, de farlo magiore. E tutto tornaria in graveza de questo nostro amico e non a nostro bene.  E anche, al presente loco, è tanto implicito in queste altre facende che comodamente non poria avere el cervello a andare e intendere quanto e como bisognaria. Ma credo e spero che infra VI o VIII giorni questi signori sarano spagati e tornarano a casa a la festa. Poi ge lo dirò cum mile modi che spero </w:t>
      </w:r>
      <w:r w:rsidRPr="00096909">
        <w:rPr>
          <w:rFonts w:ascii="Times New Roman" w:hAnsi="Times New Roman" w:cs="Times New Roman"/>
          <w:i/>
          <w:sz w:val="24"/>
          <w:szCs w:val="24"/>
        </w:rPr>
        <w:t>cum dei gratia</w:t>
      </w:r>
      <w:r w:rsidRPr="00096909">
        <w:rPr>
          <w:rFonts w:ascii="Times New Roman" w:hAnsi="Times New Roman" w:cs="Times New Roman"/>
          <w:sz w:val="24"/>
          <w:szCs w:val="24"/>
        </w:rPr>
        <w:t xml:space="preserve"> de farlo restare contento, certificandolo de la bona e ottima mentione de la Maestà del Re Ferrando verso lui; e, como per altre mie ho scritto za, ho fatto la escusatione de questo ambasatore andato in Spagna e del tutto subito ne avisarò la vostra Signoria. </w:t>
      </w:r>
    </w:p>
    <w:p w14:paraId="4F8F62CB" w14:textId="77777777" w:rsidR="0094477F" w:rsidRPr="00096909" w:rsidRDefault="0094477F" w:rsidP="0094477F">
      <w:pPr>
        <w:spacing w:after="0" w:line="360" w:lineRule="auto"/>
        <w:ind w:firstLine="397"/>
        <w:jc w:val="both"/>
        <w:rPr>
          <w:rFonts w:ascii="Times New Roman" w:hAnsi="Times New Roman" w:cs="Times New Roman"/>
          <w:sz w:val="24"/>
          <w:szCs w:val="24"/>
        </w:rPr>
      </w:pPr>
    </w:p>
    <w:p w14:paraId="4ACDDC70"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Ho veduto quanto scrive la vostra Signoria de Antonello Scaione; ma me maraveglio asai de lui, che sperando de tanti aparati e pratiche per la impresa del reame che el voglia redure quelle sue gente d’arme in Franza, ma piuttosto doveria redure de qua in là. Farò ogni dilligentia per intendere se in questa congregatione o altramente se parlarà de questa materia, per la quale me pare utile la stantia mia de qua per questi pochi giorni, tanto che da vostra Signoria abia resposta. E per respetto de la nave de che lui se dole, certamente li Genoesi hanno fatto male non retenerla, perché za ho scritto a la vostra Signoria che quelli de Re Rainero, </w:t>
      </w:r>
      <w:r w:rsidRPr="00096909">
        <w:rPr>
          <w:rFonts w:ascii="Times New Roman" w:hAnsi="Times New Roman" w:cs="Times New Roman"/>
          <w:i/>
          <w:sz w:val="24"/>
          <w:szCs w:val="24"/>
        </w:rPr>
        <w:t>maxime</w:t>
      </w:r>
      <w:r w:rsidRPr="00096909">
        <w:rPr>
          <w:rFonts w:ascii="Times New Roman" w:hAnsi="Times New Roman" w:cs="Times New Roman"/>
          <w:sz w:val="24"/>
          <w:szCs w:val="24"/>
        </w:rPr>
        <w:t xml:space="preserve"> el governatore de Provenza, me disseno che quello Torriglia non era a comando del prefato Re. Però Genoesi liberamente posseno prendere de li soi navilii e non gli bisogna avere tanto reguardo. E avendone nui fatto tanta querella de la galea nostra saremo in tutto iustificati. </w:t>
      </w:r>
    </w:p>
    <w:p w14:paraId="568E9498"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El duca Johanne non vene a questa congregatione. Uno me ha ditto che Johanne Cossa venerà per lui. Ancora non è venuto né per altri ho inteso de la venuta sua. </w:t>
      </w:r>
    </w:p>
    <w:p w14:paraId="36E7783E" w14:textId="77777777" w:rsidR="0094477F" w:rsidRPr="00096909" w:rsidRDefault="0094477F" w:rsidP="0094477F">
      <w:pPr>
        <w:spacing w:line="360" w:lineRule="auto"/>
        <w:ind w:firstLine="397"/>
        <w:jc w:val="both"/>
        <w:rPr>
          <w:rFonts w:ascii="Times New Roman" w:hAnsi="Times New Roman" w:cs="Times New Roman"/>
          <w:sz w:val="24"/>
          <w:szCs w:val="24"/>
        </w:rPr>
      </w:pPr>
    </w:p>
    <w:p w14:paraId="68FCA103"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La vostra Signoria me comanda ch’io voglia avere informatione de Monsignore de Savoia o, altramente, de quella pratica del Soldano e del Monsignore de Savoia. Za molti giorni è partito e al presente se retrova a Lione e ha scritto a Franceschino che el vole espettare lì tanto che la sua abia resposta, e forse ancora espettarà tanto che io sia giunto a Lione. Ho palato cum duy de questa materia, li quali me afermano essere vera la pratica del soldano. Ma ho trovato Franceschino nostro meglio informato, el quale dice che uno grande mercadante del Cairo che pratica a Rode ha ditto lì la Regina de Cipro che el farà che el Soldano gli restituirà lo Reame de Cipro pagando el Re sessanta milia ducati, XXX al presente e li altri XXX cum termino de uno anno promettendo li Medici per li XXX; e speravano però de redure questa quantità de LX a XL. </w:t>
      </w:r>
    </w:p>
    <w:p w14:paraId="3EB9DCA9"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El duca subito scrisse a Franceschino se el voleva fare la promessa de la mità. Respose che non lo poteva fare essendo morto Cosme e dice como el duca sia in Savoia el farà ogni dilligentia e per li dinari e per la promessa. De la pratica […] non trovo chi ne abbia inteso cossa alcuna, ma retrovando el prefato Signore in cammino me sforzarò de intendere bene tutta questa materia e pare Franceschino che el re de Cipro se crede in questa conventione de avere Famagosta. </w:t>
      </w:r>
    </w:p>
    <w:p w14:paraId="7B5320CC" w14:textId="77777777" w:rsidR="0094477F" w:rsidRPr="00096909" w:rsidRDefault="0094477F" w:rsidP="0094477F">
      <w:pPr>
        <w:spacing w:line="360" w:lineRule="auto"/>
        <w:ind w:firstLine="397"/>
        <w:jc w:val="both"/>
        <w:rPr>
          <w:rFonts w:ascii="Times New Roman" w:hAnsi="Times New Roman" w:cs="Times New Roman"/>
          <w:sz w:val="24"/>
          <w:szCs w:val="24"/>
        </w:rPr>
      </w:pPr>
    </w:p>
    <w:p w14:paraId="3F1E3768"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Dicendo che essendo in le mano de infedeli non sarà invisa a la vostra Signoria né a genovesi. Ma certamente, Signore mio, ve sarà onore assai e merito a Dio e mondo se potesti recare Famagosta. E aricordo ancora a la vostra Signoria de quello luchese che voria torre Sorasanta in feudo da la vostra Signoria per lui e per li soi descendenti e non ha però figliolo alcuno e è vecchio, e spero che el condurò a darvi scuti sedece miglia e ultra de ziò aveci uno omo de valore del quale ve aiutarite grandemente in li bisogni vostri. E quando la vostra Signoria non prenda questo partito intendo che Luchesi delibereno de farne querela al papa, a questo Re e a la Signoria de Venetia che genoesi indebitamente li tenero Petrasanta e che non debeno avere ducati alcuni da loro. E credo saranno contenti che la vostra Signoria ne sia iudice. </w:t>
      </w:r>
    </w:p>
    <w:p w14:paraId="05407005"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Essendo venuto el Re l’altra sera, ieri da matina lo andai a visitare. E venendo fora de la camera, facendoli reverentia, se cava el capello in presentia de molti Signori e me saluta molto umanamente. Disseme se aveva novelle da la vostra Signoria. Respose de sì e che la vostra Signoria li mandava una quantità de belli cani che ne prese grandissimo piacere e poi me disse secretamente avuti nui resposta del […]. Respose de no, perché el messo de Franceschino era stato amalato per el camino. Gli disse che aveva alcune cosse da dirli quando avesse el tempo comodo. Respose che adesso era grandemente occupato per tanti Signori, ma che infra pochi dì seriano despezati e poi molto vulentera parlaria cum mi. Franceschino dice che essendo lui andato la matina incontra al Re per parlargli gli disse se la vostra signoria aveva resposto a quanto scritto. Respose de non. El Re gli disse creditu che al duca de Milano me avrà compiacere de farlo. Respose che el credeva de sì, dagando la Sua Maestà la […] a vostra Signoria. Como el voleva fare. </w:t>
      </w:r>
    </w:p>
    <w:p w14:paraId="14161E20" w14:textId="77777777" w:rsidR="0094477F" w:rsidRPr="00096909" w:rsidRDefault="0094477F" w:rsidP="0094477F">
      <w:pPr>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Signore mio, ogni dì più cognosco questo signore Re essere caldo e molto disposto a fare questo parentato cum voi, cosa che io non ho compresa per li tempi passati e lui espetta cum grandissimo desiderio questa resposta da la vostra signoria, a la quale Dio conceda gratia de ellegere quello sia per el meglio. </w:t>
      </w:r>
    </w:p>
    <w:p w14:paraId="2F8E6ED8"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El Re marita una sua nepote, figliola de la principessa de Savoia de anni circa VIII in lo figliolo del duca di Lanzon de anni circa XVI che parte e priva el patre per alcuni delitti comissi del ducato e de sua voluntà lo conferisse al figliolo. </w:t>
      </w:r>
    </w:p>
    <w:p w14:paraId="063F174F" w14:textId="77777777" w:rsidR="0094477F" w:rsidRPr="00096909" w:rsidRDefault="0094477F" w:rsidP="0094477F">
      <w:pPr>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Ieri intra el Re de Sicilia, circa XXI hora, e pochi signori li andorono in contra e poi la sera vene Monsignore de Orliens per aqua. E montò a cavallo e corcha XX cavalli per venire a lo logiamento e cum lui solo era quello suo genero de Borbone. Ho delliberato e così sono consigliato de non andare a visitare questi signori, a li quali non è grata la stantia mia de qua né de frequentare tropo la corte, tanto stavano de qua per non dare graveza a chi ne vole bene e per non dare cagione ad altri de parlare contro de nui. </w:t>
      </w:r>
    </w:p>
    <w:p w14:paraId="3D6DE613" w14:textId="77777777" w:rsidR="0094477F" w:rsidRPr="00096909" w:rsidRDefault="0094477F" w:rsidP="0094477F">
      <w:pPr>
        <w:tabs>
          <w:tab w:val="left" w:pos="8505"/>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Questa matina è acomenzato questo parlamento in lo quale sedeva per lo primo el duca de Berry, che representava la persona del Re, che gli era presente e da mano destra. A presso lui gli era el Re de Sicilia, e poi el cardinale, el quale vene avanti ieri, e poi per distantia de circa tre braza sedeva el grande canzelero novo e el vechio de Re vechio. E appresso tre o quatro grandi signori veschi. </w:t>
      </w:r>
    </w:p>
    <w:p w14:paraId="3C203F78" w14:textId="77777777" w:rsidR="0094477F" w:rsidRPr="00096909" w:rsidRDefault="0094477F" w:rsidP="0094477F">
      <w:pPr>
        <w:tabs>
          <w:tab w:val="left" w:pos="8505"/>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Da la banda sinistra gli era Monsignore de Orliens. Apresso el duca de Berry, circa da braza. E presso de lui li seguiva e cum più distantia el conte de Angoleme, suo fratello. E poi el conte de Nevers, Cosmo, germano de Monsignore de Bregogna e questi soli sedevano perché sono del proprio sangue de questo Re. Dreto da le spalle de questi, in piede stavano poi el Duca de Borbone, el duca de Nemores, el Conte de San Polo, el figliolo del Duca di Lanzon, el conte de Vandomo e poi una grande turba de altri conti e signori. E dreto da questi li stavano el Marescalcho de Franza, lo admiraglio e molti altri signori cortesani, capitanei de gente d’arme e poi da parte gli erano literati. Li mei in questo loco potevano intrare e stare a suo piacere et oldire e intendere quanto se diceva. </w:t>
      </w:r>
    </w:p>
    <w:p w14:paraId="3C2FACE5" w14:textId="77777777" w:rsidR="0094477F" w:rsidRPr="00096909" w:rsidRDefault="0094477F" w:rsidP="0094477F">
      <w:pPr>
        <w:tabs>
          <w:tab w:val="left" w:pos="8505"/>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E primo ha comenzà el presidente de Tolosa, el quale ha dato la sententia cum Carlo de Angiò contra el Duca de Britagna e fece una longa arenga contra el ditto Duca, dicendo che lui era subietto in tuto a la corona de Franza e che tute le regaglie de Britagna spettavano a la corona e che avevano comdemnato el ditto Duca e perché era stato contumace a non comparire e per la sua contumacia le domande del Re, secundo el stilo de Franza, meritano esequntione. Finalmente el canzelero disse: «vui signori avete inteso questo è preposto contra el Duca de Britagna e sopra el tutto poterite pensare e poi se conveneremo altre volte». </w:t>
      </w:r>
    </w:p>
    <w:p w14:paraId="0C089FEA" w14:textId="77777777" w:rsidR="0094477F" w:rsidRPr="00096909" w:rsidRDefault="0094477F" w:rsidP="0094477F">
      <w:pPr>
        <w:tabs>
          <w:tab w:val="left" w:pos="8505"/>
        </w:tabs>
        <w:spacing w:after="0"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Monsignor de Dunoys ancora non è venuto de Britagna, pur se spera per li più che intendeno che la pace sequirà e ha me ditto uno amico avere veduto una littera che ha scritto el Duca de Britagna al Marescalco de Franza, pregandolo che lo voglia acordare cum el re. Ma non vole che lo admiraglio se ne impaza, el quale è suo inimico.</w:t>
      </w:r>
    </w:p>
    <w:p w14:paraId="41EB9BDD" w14:textId="77777777" w:rsidR="0094477F" w:rsidRPr="00096909" w:rsidRDefault="0094477F" w:rsidP="0094477F">
      <w:pPr>
        <w:tabs>
          <w:tab w:val="left" w:pos="8505"/>
        </w:tabs>
        <w:spacing w:line="360" w:lineRule="auto"/>
        <w:ind w:firstLine="397"/>
        <w:jc w:val="both"/>
        <w:rPr>
          <w:rFonts w:ascii="Times New Roman" w:hAnsi="Times New Roman" w:cs="Times New Roman"/>
          <w:sz w:val="24"/>
          <w:szCs w:val="24"/>
        </w:rPr>
      </w:pPr>
      <w:r w:rsidRPr="00096909">
        <w:rPr>
          <w:rFonts w:ascii="Times New Roman" w:hAnsi="Times New Roman" w:cs="Times New Roman"/>
          <w:sz w:val="24"/>
          <w:szCs w:val="24"/>
        </w:rPr>
        <w:t xml:space="preserve">Johanne Cossa non è venuto. Ma cum el re gl’è venuto Gasparo suo figliolo. Starò atento a intendere el tuto. Non altro per questa. Me recomando a la vostra illustrissima Signoria. </w:t>
      </w:r>
    </w:p>
    <w:p w14:paraId="06C74E8C" w14:textId="77777777" w:rsidR="0094477F" w:rsidRPr="00096909" w:rsidRDefault="0094477F" w:rsidP="0094477F">
      <w:pPr>
        <w:tabs>
          <w:tab w:val="left" w:pos="8505"/>
        </w:tabs>
        <w:spacing w:line="360" w:lineRule="auto"/>
        <w:ind w:firstLine="397"/>
        <w:jc w:val="right"/>
        <w:rPr>
          <w:rFonts w:ascii="Times New Roman" w:hAnsi="Times New Roman" w:cs="Times New Roman"/>
          <w:sz w:val="24"/>
          <w:szCs w:val="24"/>
        </w:rPr>
      </w:pPr>
      <w:r w:rsidRPr="00096909">
        <w:rPr>
          <w:rFonts w:ascii="Times New Roman" w:hAnsi="Times New Roman" w:cs="Times New Roman"/>
          <w:sz w:val="24"/>
          <w:szCs w:val="24"/>
        </w:rPr>
        <w:t xml:space="preserve">Datum Turonis, die XVII decembris 1464. </w:t>
      </w:r>
    </w:p>
    <w:p w14:paraId="271CFB7F" w14:textId="77777777" w:rsidR="0094477F" w:rsidRPr="00096909" w:rsidRDefault="0094477F" w:rsidP="0094477F">
      <w:pPr>
        <w:ind w:firstLine="397"/>
        <w:jc w:val="right"/>
        <w:rPr>
          <w:rFonts w:ascii="Times New Roman" w:hAnsi="Times New Roman" w:cs="Times New Roman"/>
          <w:sz w:val="24"/>
          <w:szCs w:val="24"/>
        </w:rPr>
      </w:pPr>
      <w:r w:rsidRPr="00096909">
        <w:rPr>
          <w:rFonts w:ascii="Times New Roman" w:hAnsi="Times New Roman" w:cs="Times New Roman"/>
          <w:sz w:val="24"/>
          <w:szCs w:val="24"/>
        </w:rPr>
        <w:t>Fidelissimus servitor Albricus Malleta, Consiliator et orator.</w:t>
      </w:r>
    </w:p>
    <w:p w14:paraId="1DE8F82D" w14:textId="77777777" w:rsidR="0094477F" w:rsidRPr="00096909" w:rsidRDefault="0094477F" w:rsidP="0094477F">
      <w:pPr>
        <w:ind w:firstLine="397"/>
        <w:jc w:val="right"/>
        <w:rPr>
          <w:rFonts w:ascii="Times New Roman" w:hAnsi="Times New Roman" w:cs="Times New Roman"/>
          <w:sz w:val="24"/>
          <w:szCs w:val="24"/>
        </w:rPr>
      </w:pPr>
    </w:p>
    <w:p w14:paraId="0D85A34D" w14:textId="77777777" w:rsidR="0094477F" w:rsidRPr="00096909" w:rsidRDefault="0094477F" w:rsidP="0094477F">
      <w:pPr>
        <w:ind w:firstLine="397"/>
        <w:jc w:val="right"/>
        <w:rPr>
          <w:rFonts w:ascii="Times New Roman" w:hAnsi="Times New Roman" w:cs="Times New Roman"/>
          <w:sz w:val="24"/>
          <w:szCs w:val="24"/>
        </w:rPr>
      </w:pPr>
    </w:p>
    <w:p w14:paraId="5AD6895A" w14:textId="77777777" w:rsidR="0094477F" w:rsidRPr="00096909" w:rsidRDefault="0094477F" w:rsidP="0094477F">
      <w:pPr>
        <w:spacing w:after="0" w:line="360" w:lineRule="auto"/>
        <w:jc w:val="both"/>
        <w:rPr>
          <w:rFonts w:ascii="Times New Roman" w:hAnsi="Times New Roman" w:cs="Times New Roman"/>
          <w:sz w:val="24"/>
          <w:szCs w:val="24"/>
        </w:rPr>
      </w:pPr>
      <w:r w:rsidRPr="00096909">
        <w:rPr>
          <w:rFonts w:ascii="Times New Roman" w:hAnsi="Times New Roman" w:cs="Times New Roman"/>
          <w:smallCaps/>
          <w:sz w:val="24"/>
          <w:szCs w:val="24"/>
        </w:rPr>
        <w:t>Documento</w:t>
      </w:r>
      <w:r w:rsidRPr="00096909">
        <w:rPr>
          <w:rFonts w:ascii="Times New Roman" w:hAnsi="Times New Roman" w:cs="Times New Roman"/>
          <w:sz w:val="24"/>
          <w:szCs w:val="24"/>
        </w:rPr>
        <w:t xml:space="preserve"> 7] Ms. It. 1593, f. 302r. Orleans, 18 ottobre 1466.</w:t>
      </w:r>
    </w:p>
    <w:p w14:paraId="73602D5D" w14:textId="77777777" w:rsidR="0094477F" w:rsidRPr="00096909" w:rsidRDefault="0094477F" w:rsidP="0094477F">
      <w:pPr>
        <w:spacing w:after="0" w:line="360" w:lineRule="auto"/>
        <w:jc w:val="both"/>
        <w:rPr>
          <w:rFonts w:ascii="Times New Roman" w:hAnsi="Times New Roman" w:cs="Times New Roman"/>
          <w:sz w:val="24"/>
          <w:szCs w:val="24"/>
        </w:rPr>
      </w:pPr>
    </w:p>
    <w:p w14:paraId="4BB949A9" w14:textId="77777777" w:rsidR="0094477F" w:rsidRPr="00096909" w:rsidRDefault="0094477F" w:rsidP="0094477F">
      <w:pPr>
        <w:tabs>
          <w:tab w:val="left" w:pos="8505"/>
        </w:tabs>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Illustrissime pricipes,</w:t>
      </w:r>
    </w:p>
    <w:p w14:paraId="1E4BC26C" w14:textId="77777777" w:rsidR="0094477F" w:rsidRPr="00096909" w:rsidRDefault="0094477F" w:rsidP="0094477F">
      <w:pPr>
        <w:tabs>
          <w:tab w:val="left" w:pos="8505"/>
        </w:tabs>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ananzi che Filippo monsignor partisse per andare a pigliare la possessione del governamento di Ghiena, che fu ad li XV del presente, avendoli questo signor Re parlato del parentato con le vostre eccellentie, rispose e rimase contentissimo che si concludesse, dicendo che ne era alegro e joioso, piacevali molto e dal canto suo voleva adiutare e fare ogni cosa perché così seguisse l’effetto; intendendo essere una medesima cosa con le Signorie vostre e confermandosi con la volontà e piacere de la Maestà sua. E essendo vostro bono parente e fratello, come intende, disse l’uno con l’adiuto del altro poteva con tempo fare de le cose assai e grande; </w:t>
      </w:r>
      <w:r w:rsidRPr="00096909">
        <w:rPr>
          <w:rFonts w:ascii="Times New Roman" w:hAnsi="Times New Roman" w:cs="Times New Roman"/>
          <w:i/>
          <w:sz w:val="24"/>
          <w:szCs w:val="24"/>
        </w:rPr>
        <w:t>quamvis</w:t>
      </w:r>
      <w:r w:rsidRPr="00096909">
        <w:rPr>
          <w:rFonts w:ascii="Times New Roman" w:hAnsi="Times New Roman" w:cs="Times New Roman"/>
          <w:sz w:val="24"/>
          <w:szCs w:val="24"/>
        </w:rPr>
        <w:t xml:space="preserve"> da alcuni malivoli e invidi del bene vostro li fusse già stato offerto di molti partiti, ad li quali non avea voluto dare né daria orechia. Ma in ogni caso e bisogno dice possono le vostre eccellentie fare fondamento e capitale de lui, perché como vero parente li servirà, mettendoli la persona e ogni sua facultà. E così a noi ha repplicato, subiongendo che li piaceva molto di tale coniuntione, e che vostre celsitudine fossero esperientia, perché lo trovariano con el core e effetti prontissimo così come in parole dice, e lo effetto lo demonstraria. </w:t>
      </w:r>
    </w:p>
    <w:p w14:paraId="5B6E5D88" w14:textId="77777777" w:rsidR="0094477F" w:rsidRPr="00096909" w:rsidRDefault="0094477F" w:rsidP="0094477F">
      <w:pPr>
        <w:tabs>
          <w:tab w:val="left" w:pos="8505"/>
        </w:tabs>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Ulterius, questi dì el Conte di Longavilla,</w:t>
      </w:r>
      <w:r w:rsidRPr="00096909">
        <w:rPr>
          <w:rStyle w:val="Rimandonotaapidipagina"/>
          <w:rFonts w:ascii="Times New Roman" w:hAnsi="Times New Roman" w:cs="Times New Roman"/>
          <w:sz w:val="24"/>
          <w:szCs w:val="24"/>
        </w:rPr>
        <w:footnoteReference w:id="977"/>
      </w:r>
      <w:r w:rsidRPr="00096909">
        <w:rPr>
          <w:rFonts w:ascii="Times New Roman" w:hAnsi="Times New Roman" w:cs="Times New Roman"/>
          <w:sz w:val="24"/>
          <w:szCs w:val="24"/>
        </w:rPr>
        <w:t xml:space="preserve"> fiolo unico del Conte de Dunois,</w:t>
      </w:r>
      <w:r w:rsidRPr="00096909">
        <w:rPr>
          <w:rStyle w:val="Rimandonotaapidipagina"/>
          <w:rFonts w:ascii="Times New Roman" w:hAnsi="Times New Roman" w:cs="Times New Roman"/>
          <w:sz w:val="24"/>
          <w:szCs w:val="24"/>
        </w:rPr>
        <w:t xml:space="preserve"> </w:t>
      </w:r>
      <w:r w:rsidRPr="00096909">
        <w:rPr>
          <w:rStyle w:val="Rimandonotaapidipagina"/>
          <w:rFonts w:ascii="Times New Roman" w:hAnsi="Times New Roman" w:cs="Times New Roman"/>
          <w:sz w:val="24"/>
          <w:szCs w:val="24"/>
        </w:rPr>
        <w:footnoteReference w:id="978"/>
      </w:r>
      <w:r w:rsidRPr="00096909">
        <w:rPr>
          <w:rFonts w:ascii="Times New Roman" w:hAnsi="Times New Roman" w:cs="Times New Roman"/>
          <w:sz w:val="24"/>
          <w:szCs w:val="24"/>
        </w:rPr>
        <w:t xml:space="preserve"> fece le noze sue cum madamesella Agnes, sorella ultima de la serenissima Regina. E </w:t>
      </w:r>
      <w:r w:rsidRPr="00096909">
        <w:rPr>
          <w:rFonts w:ascii="Times New Roman" w:hAnsi="Times New Roman" w:cs="Times New Roman"/>
          <w:i/>
          <w:sz w:val="24"/>
          <w:szCs w:val="24"/>
        </w:rPr>
        <w:t>quamvis</w:t>
      </w:r>
      <w:r w:rsidRPr="00096909">
        <w:rPr>
          <w:rFonts w:ascii="Times New Roman" w:hAnsi="Times New Roman" w:cs="Times New Roman"/>
          <w:sz w:val="24"/>
          <w:szCs w:val="24"/>
        </w:rPr>
        <w:t xml:space="preserve"> non abij oltra anni X in XI se la ha del tuto menata a casa; del che questo signore Re è stato contentissimo per stabilire del tuto la mente del prefato Conte de Dunois, e che abia casone di meglio servire la Maestà sua, la quale va spesso a casa sua a modo usato al consiglio. </w:t>
      </w:r>
    </w:p>
    <w:p w14:paraId="3407225E" w14:textId="77777777" w:rsidR="0094477F" w:rsidRPr="00096909" w:rsidRDefault="0094477F" w:rsidP="0094477F">
      <w:pPr>
        <w:tabs>
          <w:tab w:val="left" w:pos="8505"/>
        </w:tabs>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Similiter, etiam per assecurare el Conte d’Armignacy</w:t>
      </w:r>
      <w:r w:rsidRPr="00096909">
        <w:rPr>
          <w:rStyle w:val="Rimandonotaapidipagina"/>
          <w:rFonts w:ascii="Times New Roman" w:hAnsi="Times New Roman" w:cs="Times New Roman"/>
          <w:sz w:val="24"/>
          <w:szCs w:val="24"/>
        </w:rPr>
        <w:footnoteReference w:id="979"/>
      </w:r>
      <w:r w:rsidRPr="00096909">
        <w:rPr>
          <w:rFonts w:ascii="Times New Roman" w:hAnsi="Times New Roman" w:cs="Times New Roman"/>
          <w:sz w:val="24"/>
          <w:szCs w:val="24"/>
        </w:rPr>
        <w:t xml:space="preserve"> e che più liberamente abia casone e possa vegnire ad li serviti e favori de la prelibata Maestà, se è concluso matrimonio fra lui e la sorella del duca di Borbon, con queste conditione: che ditto duca li dà scudi XL mila e li lassa liberamente el contato de Lila Jorden, quale fra loro era in differentia, che dicono è una bella signoria, e per ricompensatione de ditto contato essa Maestà dà al duca di Borbon scudi XXXV mila. Sì che vegneria ditto conte ad avere circa scudi LXXV mila di dote, oltra la damisella, quale dicono è bellissima e ora l’hanno mandata a tore chè vegna qui insieme con la matre e la sorella, che sono tute in Fiandra presso del duca di Borgogna e de monsignor Chydroloes. E così adesso si potrà la prefata Maestà più sicuramente valersi del ditto Conte d’Armignac, quale è qui ancora molto ben accompagnato, e ha una grande e bella Signoria e paese dove sono gente valorose e molto atte al mestiero de le arme. Lui etiam in arme vale assai, e la persona sua è atta a le fatiche e travagli, quale monstra del tuto essere dedicata a li servitij e comandamenti di essa sua Maestà. </w:t>
      </w:r>
    </w:p>
    <w:p w14:paraId="10BE4293" w14:textId="77777777" w:rsidR="0094477F" w:rsidRPr="00096909" w:rsidRDefault="0094477F" w:rsidP="0094477F">
      <w:pPr>
        <w:tabs>
          <w:tab w:val="left" w:pos="8505"/>
        </w:tabs>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El Conte di Sanpolo in breve sarà qui, e già si ha novelle è in camino per vegnire a fare le noze di madamisella Maria, sorella de la prefata serenissima Regina.</w:t>
      </w:r>
      <w:r w:rsidRPr="00096909">
        <w:rPr>
          <w:rStyle w:val="Rimandonotaapidipagina"/>
          <w:rFonts w:ascii="Times New Roman" w:hAnsi="Times New Roman" w:cs="Times New Roman"/>
          <w:sz w:val="24"/>
          <w:szCs w:val="24"/>
        </w:rPr>
        <w:footnoteReference w:id="980"/>
      </w:r>
      <w:r w:rsidRPr="00096909">
        <w:rPr>
          <w:rFonts w:ascii="Times New Roman" w:hAnsi="Times New Roman" w:cs="Times New Roman"/>
          <w:sz w:val="24"/>
          <w:szCs w:val="24"/>
        </w:rPr>
        <w:t xml:space="preserve"> Questo signor Re fa fare grandi aparechi de giostre e feste che vole fare e intende farli grande onore. La brigata etiam si mette in punto più pomposamente e onoratamente che li è posibille cum nove foze, como l’angegni loro saperano meglio divisare. E denum, per quanto intendiamo, si tratta a queste noze di fare grande triompho.</w:t>
      </w:r>
    </w:p>
    <w:p w14:paraId="6E0CAD62" w14:textId="77777777" w:rsidR="0094477F" w:rsidRPr="00096909" w:rsidRDefault="0094477F" w:rsidP="0094477F">
      <w:pPr>
        <w:tabs>
          <w:tab w:val="left" w:pos="8505"/>
        </w:tabs>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 xml:space="preserve">Ceterum, ritrovandome una di queste sere a corte, la prefata Maestà me fece andare ad visitare la serenissima Regina e sue sorelle, e dissene, fra molte cose de piacere, che faceva cenare la illusrissima madamisella Maria con sua Maestà e stare molto familiarmente con li signori de la corte, perché aveva ad essere franzesa e rimanere in Franza; ma la illustrissima madamisella Bona faceva stare in camera con la prefata Regina e fra loro dame senza altra conversatione ne familiarità de li signori. E questo per nutrirla e acostumarla de bon ora a li modi italici: acciò che quando sia con le eccellentie vostre non li gravasse del tuto mutare stilo e cambiare mainera. Sì che apreso ad li altri oblighi che le vostre illustrissime signori hanno ad la Maestà sua per questo etiam gli ne hanno ad essere obligatissime. Ad le quale sempre ci ricomandiamo. </w:t>
      </w:r>
    </w:p>
    <w:p w14:paraId="77647A57" w14:textId="77777777" w:rsidR="0094477F" w:rsidRDefault="0094477F" w:rsidP="0094477F">
      <w:pPr>
        <w:tabs>
          <w:tab w:val="left" w:pos="8505"/>
        </w:tabs>
        <w:spacing w:line="360" w:lineRule="auto"/>
        <w:jc w:val="both"/>
        <w:rPr>
          <w:rFonts w:ascii="Times New Roman" w:hAnsi="Times New Roman" w:cs="Times New Roman"/>
          <w:sz w:val="24"/>
          <w:szCs w:val="24"/>
        </w:rPr>
      </w:pPr>
      <w:r w:rsidRPr="00096909">
        <w:rPr>
          <w:rFonts w:ascii="Times New Roman" w:hAnsi="Times New Roman" w:cs="Times New Roman"/>
          <w:sz w:val="24"/>
          <w:szCs w:val="24"/>
        </w:rPr>
        <w:t>Datum ad Orliens, die XVIII octobris MCCCCLXVJ. EX. V. F. Servitores Emanuel de Jacoppo et Johanes Petrus Panicharolla</w:t>
      </w:r>
      <w:r>
        <w:rPr>
          <w:rFonts w:ascii="Times New Roman" w:hAnsi="Times New Roman" w:cs="Times New Roman"/>
          <w:sz w:val="24"/>
          <w:szCs w:val="24"/>
        </w:rPr>
        <w:t>.</w:t>
      </w:r>
      <w:r w:rsidR="00796A9D">
        <w:rPr>
          <w:rFonts w:ascii="Times New Roman" w:hAnsi="Times New Roman" w:cs="Times New Roman"/>
          <w:sz w:val="24"/>
          <w:szCs w:val="24"/>
        </w:rPr>
        <w:t xml:space="preserve"> </w:t>
      </w:r>
    </w:p>
    <w:p w14:paraId="64B6519E" w14:textId="77777777" w:rsidR="00A34A9F" w:rsidRDefault="00796A9D">
      <w:pPr>
        <w:spacing w:line="259" w:lineRule="auto"/>
        <w:rPr>
          <w:rFonts w:ascii="Times New Roman" w:eastAsiaTheme="minorEastAsia" w:hAnsi="Times New Roman" w:cs="Times New Roman"/>
          <w:smallCaps/>
          <w:sz w:val="24"/>
          <w:szCs w:val="24"/>
        </w:rPr>
      </w:pPr>
      <w:r>
        <w:br w:type="page"/>
      </w:r>
      <w:bookmarkStart w:id="554" w:name="_Hlk527535634"/>
      <w:r w:rsidR="00A34A9F">
        <w:br w:type="page"/>
      </w:r>
    </w:p>
    <w:p w14:paraId="4165F789" w14:textId="77777777" w:rsidR="00796A9D" w:rsidRPr="00AC4824" w:rsidRDefault="00796A9D" w:rsidP="00AC4824">
      <w:pPr>
        <w:pStyle w:val="Titolocapitolo"/>
      </w:pPr>
      <w:r w:rsidRPr="00D57A68">
        <w:t>Bibliografia</w:t>
      </w:r>
    </w:p>
    <w:p w14:paraId="7FD61423" w14:textId="77777777" w:rsidR="00796A9D" w:rsidRDefault="00796A9D" w:rsidP="00AC4824">
      <w:pPr>
        <w:pStyle w:val="Titolocapitolo"/>
      </w:pPr>
    </w:p>
    <w:p w14:paraId="52CF8CF5" w14:textId="77777777" w:rsidR="00AC4824" w:rsidRDefault="00AC4824" w:rsidP="00AC4824">
      <w:pPr>
        <w:pStyle w:val="Titolocapitolo"/>
      </w:pPr>
    </w:p>
    <w:p w14:paraId="7F5F71C9" w14:textId="77777777" w:rsidR="009279FA" w:rsidRDefault="009279FA" w:rsidP="00AC4824">
      <w:pPr>
        <w:pStyle w:val="Titolocapitolo"/>
      </w:pPr>
    </w:p>
    <w:p w14:paraId="0B9D239C" w14:textId="77777777" w:rsidR="009279FA" w:rsidRPr="006D5989" w:rsidRDefault="009279FA" w:rsidP="009279FA">
      <w:pPr>
        <w:jc w:val="both"/>
        <w:rPr>
          <w:rFonts w:ascii="Times New Roman" w:hAnsi="Times New Roman" w:cs="Times New Roman"/>
          <w:b/>
        </w:rPr>
      </w:pPr>
      <w:r w:rsidRPr="006D5989">
        <w:rPr>
          <w:rFonts w:ascii="Times New Roman" w:hAnsi="Times New Roman" w:cs="Times New Roman"/>
          <w:b/>
        </w:rPr>
        <w:t>REPERTORI BIBLIOGRAFICI UTILIZZATI</w:t>
      </w:r>
    </w:p>
    <w:p w14:paraId="266BC741" w14:textId="77777777" w:rsidR="009279FA" w:rsidRDefault="009279FA" w:rsidP="009279FA">
      <w:pPr>
        <w:jc w:val="both"/>
        <w:rPr>
          <w:rFonts w:ascii="Times New Roman" w:hAnsi="Times New Roman" w:cs="Times New Roman"/>
          <w:sz w:val="24"/>
          <w:szCs w:val="24"/>
          <w:lang w:val="en-US"/>
        </w:rPr>
      </w:pPr>
    </w:p>
    <w:p w14:paraId="0FC7C934" w14:textId="77777777" w:rsidR="009279FA" w:rsidRDefault="009279FA" w:rsidP="009279FA">
      <w:pPr>
        <w:jc w:val="both"/>
        <w:rPr>
          <w:rFonts w:ascii="Times New Roman" w:hAnsi="Times New Roman" w:cs="Times New Roman"/>
          <w:sz w:val="24"/>
          <w:szCs w:val="24"/>
          <w:lang w:val="en-US"/>
        </w:rPr>
      </w:pPr>
      <w:r w:rsidRPr="006D5989">
        <w:rPr>
          <w:rFonts w:ascii="Times New Roman" w:hAnsi="Times New Roman" w:cs="Times New Roman"/>
          <w:sz w:val="24"/>
          <w:szCs w:val="24"/>
          <w:lang w:val="en-US"/>
        </w:rPr>
        <w:t xml:space="preserve">BMC: </w:t>
      </w:r>
      <w:r w:rsidRPr="006D5989">
        <w:rPr>
          <w:rFonts w:ascii="Times New Roman" w:hAnsi="Times New Roman" w:cs="Times New Roman"/>
          <w:i/>
          <w:sz w:val="24"/>
          <w:szCs w:val="24"/>
          <w:lang w:val="en-US"/>
        </w:rPr>
        <w:t>Catalogue of books printed in the XV</w:t>
      </w:r>
      <w:r w:rsidRPr="006D5989">
        <w:rPr>
          <w:rFonts w:ascii="Times New Roman" w:hAnsi="Times New Roman" w:cs="Times New Roman"/>
          <w:i/>
          <w:sz w:val="24"/>
          <w:szCs w:val="24"/>
          <w:vertAlign w:val="superscript"/>
          <w:lang w:val="en-US"/>
        </w:rPr>
        <w:t xml:space="preserve">th </w:t>
      </w:r>
      <w:r w:rsidRPr="006D5989">
        <w:rPr>
          <w:rFonts w:ascii="Times New Roman" w:hAnsi="Times New Roman" w:cs="Times New Roman"/>
          <w:i/>
          <w:sz w:val="24"/>
          <w:szCs w:val="24"/>
          <w:lang w:val="en-US"/>
        </w:rPr>
        <w:t>Century, now in the British Museum</w:t>
      </w:r>
      <w:r w:rsidRPr="006D5989">
        <w:rPr>
          <w:rFonts w:ascii="Times New Roman" w:hAnsi="Times New Roman" w:cs="Times New Roman"/>
          <w:sz w:val="24"/>
          <w:szCs w:val="24"/>
          <w:lang w:val="en-US"/>
        </w:rPr>
        <w:t>, London, British Museum, 1908-1962, 9 voll.</w:t>
      </w:r>
    </w:p>
    <w:p w14:paraId="7E7E9964" w14:textId="77777777" w:rsidR="009279FA" w:rsidRPr="006C613D" w:rsidRDefault="009279FA" w:rsidP="009279FA">
      <w:pPr>
        <w:jc w:val="both"/>
        <w:rPr>
          <w:rFonts w:ascii="Times New Roman" w:hAnsi="Times New Roman" w:cs="Times New Roman"/>
          <w:sz w:val="24"/>
          <w:szCs w:val="24"/>
          <w:lang w:val="en-US"/>
        </w:rPr>
      </w:pPr>
      <w:r w:rsidRPr="006C613D">
        <w:rPr>
          <w:rFonts w:ascii="Times New Roman" w:hAnsi="Times New Roman" w:cs="Times New Roman"/>
          <w:sz w:val="24"/>
          <w:szCs w:val="24"/>
          <w:lang w:val="en-US"/>
        </w:rPr>
        <w:t xml:space="preserve">GOFF: </w:t>
      </w:r>
      <w:r w:rsidRPr="006C613D">
        <w:rPr>
          <w:rFonts w:ascii="Times New Roman" w:hAnsi="Times New Roman" w:cs="Times New Roman"/>
          <w:i/>
          <w:sz w:val="24"/>
          <w:szCs w:val="24"/>
          <w:lang w:val="en-US"/>
        </w:rPr>
        <w:t>Incunabola in American Libraries, a third Census of XV Century Books recorded in North American Collections, compiled and edited by Frederick R. Goff</w:t>
      </w:r>
      <w:r w:rsidRPr="006C613D">
        <w:rPr>
          <w:rFonts w:ascii="Times New Roman" w:hAnsi="Times New Roman" w:cs="Times New Roman"/>
          <w:sz w:val="24"/>
          <w:szCs w:val="24"/>
          <w:lang w:val="en-US"/>
        </w:rPr>
        <w:t>, New York, Bibliographical Soc. of America, 1964.</w:t>
      </w:r>
    </w:p>
    <w:p w14:paraId="59CF98CC" w14:textId="77777777" w:rsidR="009279FA" w:rsidRPr="006D5989" w:rsidRDefault="009279FA" w:rsidP="009279FA">
      <w:pPr>
        <w:jc w:val="both"/>
        <w:rPr>
          <w:rFonts w:ascii="Times New Roman" w:hAnsi="Times New Roman" w:cs="Times New Roman"/>
          <w:sz w:val="24"/>
          <w:szCs w:val="24"/>
          <w:lang w:val="en-US"/>
        </w:rPr>
      </w:pPr>
      <w:r w:rsidRPr="006D5989">
        <w:rPr>
          <w:rFonts w:ascii="Times New Roman" w:hAnsi="Times New Roman" w:cs="Times New Roman"/>
          <w:sz w:val="24"/>
          <w:szCs w:val="24"/>
          <w:lang w:val="en-US"/>
        </w:rPr>
        <w:t xml:space="preserve">GW: </w:t>
      </w:r>
      <w:r w:rsidRPr="006D5989">
        <w:rPr>
          <w:rFonts w:ascii="Times New Roman" w:hAnsi="Times New Roman" w:cs="Times New Roman"/>
          <w:i/>
          <w:sz w:val="24"/>
          <w:szCs w:val="24"/>
          <w:lang w:val="en-US"/>
        </w:rPr>
        <w:t>Gesamtkatalog der Wiegendrucke, herausgegeben von der Kommission fur den Gesamkatalog der Wiegendrucke</w:t>
      </w:r>
      <w:r w:rsidRPr="006D5989">
        <w:rPr>
          <w:rFonts w:ascii="Times New Roman" w:hAnsi="Times New Roman" w:cs="Times New Roman"/>
          <w:sz w:val="24"/>
          <w:szCs w:val="24"/>
          <w:lang w:val="en-US"/>
        </w:rPr>
        <w:t>, Leipniz, Hieremann, 1925.</w:t>
      </w:r>
    </w:p>
    <w:p w14:paraId="0C25B389" w14:textId="77777777" w:rsidR="009279FA" w:rsidRPr="006D5989" w:rsidRDefault="009279FA" w:rsidP="009279FA">
      <w:pPr>
        <w:jc w:val="both"/>
        <w:rPr>
          <w:rFonts w:ascii="Times New Roman" w:hAnsi="Times New Roman" w:cs="Times New Roman"/>
          <w:sz w:val="24"/>
          <w:szCs w:val="24"/>
        </w:rPr>
      </w:pPr>
      <w:r w:rsidRPr="006D5989">
        <w:rPr>
          <w:rFonts w:ascii="Times New Roman" w:hAnsi="Times New Roman" w:cs="Times New Roman"/>
          <w:sz w:val="24"/>
          <w:szCs w:val="24"/>
          <w:lang w:val="en-US"/>
        </w:rPr>
        <w:t xml:space="preserve">H: </w:t>
      </w:r>
      <w:r w:rsidRPr="006D5989">
        <w:rPr>
          <w:rFonts w:ascii="Times New Roman" w:hAnsi="Times New Roman" w:cs="Times New Roman"/>
          <w:i/>
          <w:sz w:val="24"/>
          <w:szCs w:val="24"/>
          <w:lang w:val="en-US"/>
        </w:rPr>
        <w:t>Repertorium bibligraphicum in quo libri omnes ab arte typographica inventa usque ad annum MD typis expressi ordine alphabetico vel simpliciter enumerantur vel adcuratius recensentur, opera Ludovici Hain</w:t>
      </w:r>
      <w:r w:rsidRPr="006D5989">
        <w:rPr>
          <w:rFonts w:ascii="Times New Roman" w:hAnsi="Times New Roman" w:cs="Times New Roman"/>
          <w:sz w:val="24"/>
          <w:szCs w:val="24"/>
          <w:lang w:val="en-US"/>
        </w:rPr>
        <w:t xml:space="preserve">, Stuttgartiae - Lutetiae Parisiorum, Cotta - Renouard, 1826-1838. </w:t>
      </w:r>
      <w:r w:rsidRPr="006D5989">
        <w:rPr>
          <w:rFonts w:ascii="Times New Roman" w:hAnsi="Times New Roman" w:cs="Times New Roman"/>
          <w:sz w:val="24"/>
          <w:szCs w:val="24"/>
        </w:rPr>
        <w:t>4 voll.</w:t>
      </w:r>
    </w:p>
    <w:p w14:paraId="1D65580D" w14:textId="77777777" w:rsidR="009279FA" w:rsidRPr="006D5989" w:rsidRDefault="009279FA" w:rsidP="009279FA">
      <w:pPr>
        <w:jc w:val="both"/>
        <w:rPr>
          <w:rFonts w:ascii="Times New Roman" w:hAnsi="Times New Roman" w:cs="Times New Roman"/>
          <w:sz w:val="24"/>
          <w:szCs w:val="24"/>
          <w:lang w:val="en-US"/>
        </w:rPr>
      </w:pPr>
      <w:r w:rsidRPr="006D5989">
        <w:rPr>
          <w:rFonts w:ascii="Times New Roman" w:hAnsi="Times New Roman" w:cs="Times New Roman"/>
          <w:sz w:val="24"/>
          <w:szCs w:val="24"/>
        </w:rPr>
        <w:t xml:space="preserve">IGI: </w:t>
      </w:r>
      <w:r w:rsidRPr="006D5989">
        <w:rPr>
          <w:rFonts w:ascii="Times New Roman" w:hAnsi="Times New Roman" w:cs="Times New Roman"/>
          <w:i/>
          <w:sz w:val="24"/>
          <w:szCs w:val="24"/>
        </w:rPr>
        <w:t>Indice Generale degli Incunaboli delle Biblioteche d’Italia, compilato da T. M. Guarnaschelli, E. Valenziani, E. Cerulli, P. Veneziani, A. Tinto</w:t>
      </w:r>
      <w:r w:rsidRPr="006D5989">
        <w:rPr>
          <w:rFonts w:ascii="Times New Roman" w:hAnsi="Times New Roman" w:cs="Times New Roman"/>
          <w:sz w:val="24"/>
          <w:szCs w:val="24"/>
        </w:rPr>
        <w:t xml:space="preserve">, Roma, Libreria dello Stato, 1943-1972, 5 voll. </w:t>
      </w:r>
      <w:r w:rsidRPr="006D5989">
        <w:rPr>
          <w:rFonts w:ascii="Times New Roman" w:hAnsi="Times New Roman" w:cs="Times New Roman"/>
          <w:sz w:val="24"/>
          <w:szCs w:val="24"/>
          <w:lang w:val="en-US"/>
        </w:rPr>
        <w:t>+ App.</w:t>
      </w:r>
    </w:p>
    <w:p w14:paraId="53EFB6ED" w14:textId="77777777" w:rsidR="009279FA" w:rsidRPr="006D5989" w:rsidRDefault="009279FA" w:rsidP="009279FA">
      <w:pPr>
        <w:jc w:val="both"/>
        <w:rPr>
          <w:rFonts w:ascii="Times New Roman" w:hAnsi="Times New Roman" w:cs="Times New Roman"/>
          <w:b/>
          <w:sz w:val="24"/>
          <w:szCs w:val="24"/>
        </w:rPr>
      </w:pPr>
      <w:r w:rsidRPr="006D5989">
        <w:rPr>
          <w:rFonts w:ascii="Times New Roman" w:hAnsi="Times New Roman" w:cs="Times New Roman"/>
          <w:sz w:val="24"/>
          <w:szCs w:val="24"/>
          <w:lang w:val="en-US"/>
        </w:rPr>
        <w:t xml:space="preserve">ISTC: </w:t>
      </w:r>
      <w:r w:rsidRPr="006D5989">
        <w:rPr>
          <w:rFonts w:ascii="Times New Roman" w:hAnsi="Times New Roman" w:cs="Times New Roman"/>
          <w:i/>
          <w:sz w:val="24"/>
          <w:szCs w:val="24"/>
          <w:lang w:val="en-US"/>
        </w:rPr>
        <w:t>Incunabola Short Title Catalogue</w:t>
      </w:r>
      <w:r w:rsidRPr="006D5989">
        <w:rPr>
          <w:rFonts w:ascii="Times New Roman" w:hAnsi="Times New Roman" w:cs="Times New Roman"/>
          <w:sz w:val="24"/>
          <w:szCs w:val="24"/>
          <w:lang w:val="en-US"/>
        </w:rPr>
        <w:t>, The British Library, www.istc.bl.uk.</w:t>
      </w:r>
    </w:p>
    <w:p w14:paraId="2E497186" w14:textId="77777777" w:rsidR="009279FA" w:rsidRPr="006C613D" w:rsidRDefault="009279FA" w:rsidP="009279FA">
      <w:pPr>
        <w:jc w:val="both"/>
        <w:rPr>
          <w:rFonts w:ascii="Times New Roman" w:hAnsi="Times New Roman" w:cs="Times New Roman"/>
          <w:b/>
          <w:sz w:val="24"/>
          <w:szCs w:val="24"/>
        </w:rPr>
      </w:pPr>
      <w:r w:rsidRPr="006C613D">
        <w:rPr>
          <w:rFonts w:ascii="Times New Roman" w:hAnsi="Times New Roman" w:cs="Times New Roman"/>
          <w:sz w:val="24"/>
          <w:szCs w:val="24"/>
          <w:lang w:val="en-US"/>
        </w:rPr>
        <w:t xml:space="preserve">PR: R. </w:t>
      </w:r>
      <w:r w:rsidRPr="006C613D">
        <w:rPr>
          <w:rFonts w:ascii="Times New Roman" w:hAnsi="Times New Roman" w:cs="Times New Roman"/>
          <w:smallCaps/>
          <w:sz w:val="24"/>
          <w:szCs w:val="24"/>
          <w:lang w:val="en-US"/>
        </w:rPr>
        <w:t>Proctor</w:t>
      </w:r>
      <w:r w:rsidRPr="006C613D">
        <w:rPr>
          <w:rFonts w:ascii="Times New Roman" w:hAnsi="Times New Roman" w:cs="Times New Roman"/>
          <w:sz w:val="24"/>
          <w:szCs w:val="24"/>
          <w:lang w:val="en-US"/>
        </w:rPr>
        <w:t xml:space="preserve">, </w:t>
      </w:r>
      <w:r w:rsidRPr="006C613D">
        <w:rPr>
          <w:rFonts w:ascii="Times New Roman" w:hAnsi="Times New Roman" w:cs="Times New Roman"/>
          <w:i/>
          <w:sz w:val="24"/>
          <w:szCs w:val="24"/>
          <w:lang w:val="en-US"/>
        </w:rPr>
        <w:t>An Index to the early printed books in the British Museum: from the invention of printing to the year MD, with notes of those in the Bodleian Library</w:t>
      </w:r>
      <w:r w:rsidRPr="006C613D">
        <w:rPr>
          <w:rFonts w:ascii="Times New Roman" w:hAnsi="Times New Roman" w:cs="Times New Roman"/>
          <w:sz w:val="24"/>
          <w:szCs w:val="24"/>
          <w:lang w:val="en-US"/>
        </w:rPr>
        <w:t>, London, Kegan-Trench, 1898-1903, 2 voll., 4 suppl.</w:t>
      </w:r>
    </w:p>
    <w:p w14:paraId="5294E9D6" w14:textId="77777777" w:rsidR="009279FA" w:rsidRDefault="009279FA" w:rsidP="00AC4824">
      <w:pPr>
        <w:pStyle w:val="Titolocapitolo"/>
      </w:pPr>
    </w:p>
    <w:p w14:paraId="35DB8D83" w14:textId="77777777" w:rsidR="009279FA" w:rsidRDefault="009279FA" w:rsidP="00AC4824">
      <w:pPr>
        <w:pStyle w:val="Titolocapitolo"/>
      </w:pPr>
    </w:p>
    <w:p w14:paraId="42D09B1A" w14:textId="77777777" w:rsidR="009279FA" w:rsidRDefault="009279FA" w:rsidP="00AC4824">
      <w:pPr>
        <w:pStyle w:val="Titolocapitolo"/>
      </w:pPr>
    </w:p>
    <w:p w14:paraId="57DB1D58" w14:textId="77777777" w:rsidR="00796A9D" w:rsidRDefault="00796A9D" w:rsidP="00796A9D">
      <w:pPr>
        <w:jc w:val="both"/>
        <w:rPr>
          <w:rFonts w:ascii="Times New Roman" w:hAnsi="Times New Roman" w:cs="Times New Roman"/>
          <w:b/>
        </w:rPr>
      </w:pPr>
      <w:r>
        <w:rPr>
          <w:rFonts w:ascii="Times New Roman" w:hAnsi="Times New Roman" w:cs="Times New Roman"/>
          <w:b/>
        </w:rPr>
        <w:t>FONTI</w:t>
      </w:r>
    </w:p>
    <w:p w14:paraId="0C019E33" w14:textId="77777777" w:rsidR="00796A9D" w:rsidRDefault="00796A9D" w:rsidP="00796A9D">
      <w:pPr>
        <w:pStyle w:val="Testonotaapidipagina"/>
        <w:jc w:val="both"/>
        <w:rPr>
          <w:rFonts w:ascii="Times New Roman" w:hAnsi="Times New Roman" w:cs="Times New Roman"/>
          <w:smallCaps/>
          <w:sz w:val="24"/>
          <w:szCs w:val="24"/>
        </w:rPr>
      </w:pPr>
    </w:p>
    <w:p w14:paraId="351ECD37" w14:textId="77777777" w:rsidR="00796A9D" w:rsidRPr="002C20A6" w:rsidRDefault="00796A9D" w:rsidP="00796A9D">
      <w:pPr>
        <w:pStyle w:val="Testonotaapidipagina"/>
        <w:jc w:val="both"/>
        <w:rPr>
          <w:rFonts w:ascii="Times New Roman" w:hAnsi="Times New Roman" w:cs="Times New Roman"/>
          <w:sz w:val="24"/>
          <w:szCs w:val="24"/>
        </w:rPr>
      </w:pPr>
      <w:r w:rsidRPr="002C20A6">
        <w:rPr>
          <w:rFonts w:ascii="Times New Roman" w:hAnsi="Times New Roman" w:cs="Times New Roman"/>
          <w:smallCaps/>
          <w:sz w:val="24"/>
          <w:szCs w:val="24"/>
        </w:rPr>
        <w:t>L. Alberti</w:t>
      </w:r>
      <w:r w:rsidRPr="002C20A6">
        <w:rPr>
          <w:rFonts w:ascii="Times New Roman" w:hAnsi="Times New Roman" w:cs="Times New Roman"/>
          <w:sz w:val="24"/>
          <w:szCs w:val="24"/>
        </w:rPr>
        <w:t xml:space="preserve">, </w:t>
      </w:r>
      <w:r w:rsidRPr="002C20A6">
        <w:rPr>
          <w:rFonts w:ascii="Times New Roman" w:hAnsi="Times New Roman" w:cs="Times New Roman"/>
          <w:i/>
          <w:sz w:val="24"/>
          <w:szCs w:val="24"/>
        </w:rPr>
        <w:t>Descrittione di tutta Italia, nella quale si contiene il sito di essa, l'origine, et le Signorie delle Città et delle Castella</w:t>
      </w:r>
      <w:r w:rsidRPr="002C20A6">
        <w:rPr>
          <w:rFonts w:ascii="Times New Roman" w:hAnsi="Times New Roman" w:cs="Times New Roman"/>
          <w:sz w:val="24"/>
          <w:szCs w:val="24"/>
        </w:rPr>
        <w:t>, Bologna, Giaccarelli, 1550.</w:t>
      </w:r>
    </w:p>
    <w:p w14:paraId="79B383C7" w14:textId="77777777" w:rsidR="00796A9D" w:rsidRPr="002C20A6" w:rsidRDefault="00796A9D" w:rsidP="00796A9D">
      <w:pPr>
        <w:pStyle w:val="Testonotaapidipagina"/>
        <w:jc w:val="both"/>
        <w:rPr>
          <w:rFonts w:ascii="Times New Roman" w:hAnsi="Times New Roman" w:cs="Times New Roman"/>
          <w:sz w:val="24"/>
          <w:szCs w:val="24"/>
        </w:rPr>
      </w:pPr>
    </w:p>
    <w:p w14:paraId="76D37076" w14:textId="77777777" w:rsidR="00796A9D" w:rsidRPr="002C20A6" w:rsidRDefault="00796A9D" w:rsidP="00796A9D">
      <w:pPr>
        <w:pStyle w:val="Testonotaapidipagina"/>
        <w:jc w:val="both"/>
        <w:rPr>
          <w:rFonts w:ascii="Times New Roman" w:hAnsi="Times New Roman" w:cs="Times New Roman"/>
          <w:sz w:val="24"/>
          <w:szCs w:val="24"/>
        </w:rPr>
      </w:pPr>
      <w:r w:rsidRPr="002C20A6">
        <w:rPr>
          <w:rFonts w:ascii="Times New Roman" w:hAnsi="Times New Roman" w:cs="Times New Roman"/>
          <w:smallCaps/>
          <w:sz w:val="24"/>
          <w:szCs w:val="24"/>
        </w:rPr>
        <w:t>A. Allegretti</w:t>
      </w:r>
      <w:r w:rsidRPr="002C20A6">
        <w:rPr>
          <w:rFonts w:ascii="Times New Roman" w:hAnsi="Times New Roman" w:cs="Times New Roman"/>
          <w:sz w:val="24"/>
          <w:szCs w:val="24"/>
        </w:rPr>
        <w:t xml:space="preserve">, </w:t>
      </w:r>
      <w:r w:rsidRPr="002C20A6">
        <w:rPr>
          <w:rFonts w:ascii="Times New Roman" w:hAnsi="Times New Roman" w:cs="Times New Roman"/>
          <w:i/>
          <w:sz w:val="24"/>
          <w:szCs w:val="24"/>
        </w:rPr>
        <w:t>Diario delle cose sanesi</w:t>
      </w:r>
      <w:r w:rsidRPr="002C20A6">
        <w:rPr>
          <w:rFonts w:ascii="Times New Roman" w:hAnsi="Times New Roman" w:cs="Times New Roman"/>
          <w:sz w:val="24"/>
          <w:szCs w:val="24"/>
        </w:rPr>
        <w:t xml:space="preserve">, in </w:t>
      </w:r>
      <w:r w:rsidRPr="002C20A6">
        <w:rPr>
          <w:rFonts w:ascii="Times New Roman" w:hAnsi="Times New Roman" w:cs="Times New Roman"/>
          <w:i/>
          <w:sz w:val="24"/>
          <w:szCs w:val="24"/>
        </w:rPr>
        <w:t xml:space="preserve">Rerum Italicarum Scriptores, </w:t>
      </w:r>
      <w:r w:rsidRPr="002C20A6">
        <w:rPr>
          <w:rFonts w:ascii="Times New Roman" w:hAnsi="Times New Roman" w:cs="Times New Roman"/>
          <w:sz w:val="24"/>
          <w:szCs w:val="24"/>
        </w:rPr>
        <w:t>Bologna, Zanichelli, XXIII</w:t>
      </w:r>
      <w:r>
        <w:rPr>
          <w:rFonts w:ascii="Times New Roman" w:hAnsi="Times New Roman" w:cs="Times New Roman"/>
          <w:sz w:val="24"/>
          <w:szCs w:val="24"/>
        </w:rPr>
        <w:t>,</w:t>
      </w:r>
      <w:r w:rsidRPr="002C20A6">
        <w:rPr>
          <w:rFonts w:ascii="Times New Roman" w:hAnsi="Times New Roman" w:cs="Times New Roman"/>
          <w:sz w:val="24"/>
          <w:szCs w:val="24"/>
        </w:rPr>
        <w:t xml:space="preserve"> 1939.</w:t>
      </w:r>
    </w:p>
    <w:p w14:paraId="288E52C8" w14:textId="77777777" w:rsidR="00796A9D" w:rsidRPr="002C20A6" w:rsidRDefault="00796A9D" w:rsidP="00796A9D">
      <w:pPr>
        <w:pStyle w:val="Testonotaapidipagina"/>
        <w:jc w:val="both"/>
        <w:rPr>
          <w:rFonts w:ascii="Times New Roman" w:hAnsi="Times New Roman" w:cs="Times New Roman"/>
          <w:sz w:val="24"/>
          <w:szCs w:val="24"/>
        </w:rPr>
      </w:pPr>
    </w:p>
    <w:p w14:paraId="770A9C7E" w14:textId="77777777" w:rsidR="00796A9D" w:rsidRDefault="00796A9D" w:rsidP="00796A9D">
      <w:pPr>
        <w:pStyle w:val="Testonotaapidipagina"/>
        <w:jc w:val="both"/>
        <w:rPr>
          <w:rFonts w:ascii="Times New Roman" w:hAnsi="Times New Roman" w:cs="Times New Roman"/>
          <w:sz w:val="24"/>
          <w:szCs w:val="24"/>
        </w:rPr>
      </w:pPr>
      <w:r w:rsidRPr="002C20A6">
        <w:rPr>
          <w:rFonts w:ascii="Times New Roman" w:hAnsi="Times New Roman" w:cs="Times New Roman"/>
          <w:smallCaps/>
          <w:sz w:val="24"/>
          <w:szCs w:val="24"/>
        </w:rPr>
        <w:t>M.A. Altieri</w:t>
      </w:r>
      <w:r w:rsidRPr="002C20A6">
        <w:rPr>
          <w:rFonts w:ascii="Times New Roman" w:hAnsi="Times New Roman" w:cs="Times New Roman"/>
          <w:i/>
          <w:sz w:val="24"/>
          <w:szCs w:val="24"/>
        </w:rPr>
        <w:t>, Li Nuptiali</w:t>
      </w:r>
      <w:r w:rsidRPr="002C20A6">
        <w:rPr>
          <w:rFonts w:ascii="Times New Roman" w:hAnsi="Times New Roman" w:cs="Times New Roman"/>
          <w:sz w:val="24"/>
          <w:szCs w:val="24"/>
        </w:rPr>
        <w:t xml:space="preserve">, a cura di E. </w:t>
      </w:r>
      <w:r w:rsidRPr="002C20A6">
        <w:rPr>
          <w:rFonts w:ascii="Times New Roman" w:hAnsi="Times New Roman" w:cs="Times New Roman"/>
          <w:smallCaps/>
          <w:sz w:val="24"/>
          <w:szCs w:val="24"/>
        </w:rPr>
        <w:t>Narducci</w:t>
      </w:r>
      <w:r w:rsidRPr="002C20A6">
        <w:rPr>
          <w:rFonts w:ascii="Times New Roman" w:hAnsi="Times New Roman" w:cs="Times New Roman"/>
          <w:sz w:val="24"/>
          <w:szCs w:val="24"/>
        </w:rPr>
        <w:t>, Roma, Bartoli, 1873.</w:t>
      </w:r>
    </w:p>
    <w:p w14:paraId="6D2285CE" w14:textId="77777777" w:rsidR="002A38D6" w:rsidRDefault="002A38D6" w:rsidP="00796A9D">
      <w:pPr>
        <w:pStyle w:val="Testonotaapidipagina"/>
        <w:jc w:val="both"/>
        <w:rPr>
          <w:rFonts w:ascii="Times New Roman" w:hAnsi="Times New Roman" w:cs="Times New Roman"/>
          <w:sz w:val="24"/>
          <w:szCs w:val="24"/>
        </w:rPr>
      </w:pPr>
    </w:p>
    <w:p w14:paraId="60742FBD" w14:textId="77777777" w:rsidR="002A38D6" w:rsidRPr="002A38D6" w:rsidRDefault="002A38D6" w:rsidP="00796A9D">
      <w:pPr>
        <w:pStyle w:val="Testonotaapidipagina"/>
        <w:jc w:val="both"/>
        <w:rPr>
          <w:rFonts w:ascii="Times New Roman" w:hAnsi="Times New Roman" w:cs="Times New Roman"/>
          <w:sz w:val="24"/>
          <w:szCs w:val="24"/>
        </w:rPr>
      </w:pPr>
      <w:r w:rsidRPr="002A38D6">
        <w:rPr>
          <w:rFonts w:ascii="Times New Roman" w:hAnsi="Times New Roman" w:cs="Times New Roman"/>
          <w:smallCaps/>
          <w:sz w:val="24"/>
          <w:szCs w:val="24"/>
        </w:rPr>
        <w:t>G. Ammannati Piccolomini</w:t>
      </w:r>
      <w:r w:rsidRPr="002A38D6">
        <w:rPr>
          <w:rFonts w:ascii="Times New Roman" w:hAnsi="Times New Roman" w:cs="Times New Roman"/>
          <w:sz w:val="24"/>
          <w:szCs w:val="24"/>
        </w:rPr>
        <w:t xml:space="preserve">, </w:t>
      </w:r>
      <w:r w:rsidRPr="002A38D6">
        <w:rPr>
          <w:rFonts w:ascii="Times New Roman" w:hAnsi="Times New Roman" w:cs="Times New Roman"/>
          <w:i/>
          <w:sz w:val="24"/>
          <w:szCs w:val="24"/>
        </w:rPr>
        <w:t>Epistolae et commentarii</w:t>
      </w:r>
      <w:r w:rsidRPr="002A38D6">
        <w:rPr>
          <w:rFonts w:ascii="Times New Roman" w:hAnsi="Times New Roman" w:cs="Times New Roman"/>
          <w:sz w:val="24"/>
          <w:szCs w:val="24"/>
        </w:rPr>
        <w:t>, Milano, Minuziano, 1506</w:t>
      </w:r>
      <w:r>
        <w:rPr>
          <w:rFonts w:ascii="Times New Roman" w:hAnsi="Times New Roman" w:cs="Times New Roman"/>
          <w:sz w:val="24"/>
          <w:szCs w:val="24"/>
        </w:rPr>
        <w:t>.</w:t>
      </w:r>
    </w:p>
    <w:p w14:paraId="645841E5" w14:textId="77777777" w:rsidR="00796A9D" w:rsidRPr="002C20A6" w:rsidRDefault="00796A9D" w:rsidP="00796A9D">
      <w:pPr>
        <w:pStyle w:val="Testonotaapidipagina"/>
        <w:jc w:val="both"/>
        <w:rPr>
          <w:rFonts w:ascii="Times New Roman" w:hAnsi="Times New Roman" w:cs="Times New Roman"/>
          <w:sz w:val="24"/>
          <w:szCs w:val="24"/>
        </w:rPr>
      </w:pPr>
    </w:p>
    <w:p w14:paraId="28E4DF09" w14:textId="77777777" w:rsidR="00796A9D" w:rsidRDefault="00796A9D" w:rsidP="00796A9D">
      <w:pPr>
        <w:pStyle w:val="Testonotaapidipagina"/>
        <w:jc w:val="both"/>
        <w:rPr>
          <w:rFonts w:ascii="Times New Roman" w:hAnsi="Times New Roman" w:cs="Times New Roman"/>
          <w:sz w:val="24"/>
          <w:szCs w:val="24"/>
        </w:rPr>
      </w:pPr>
      <w:r w:rsidRPr="002C20A6">
        <w:rPr>
          <w:rFonts w:ascii="Times New Roman" w:hAnsi="Times New Roman" w:cs="Times New Roman"/>
          <w:sz w:val="24"/>
          <w:szCs w:val="24"/>
        </w:rPr>
        <w:t xml:space="preserve">F. ARGELATI, </w:t>
      </w:r>
      <w:r w:rsidRPr="002C20A6">
        <w:rPr>
          <w:rFonts w:ascii="Times New Roman" w:hAnsi="Times New Roman" w:cs="Times New Roman"/>
          <w:i/>
          <w:sz w:val="24"/>
          <w:szCs w:val="24"/>
        </w:rPr>
        <w:t>Bibliotheca scriptorum mediolanensium, seu acta, et elogia virorum omnigena eruditione illustrium, qui in metropoli Insubriae, oppidisque circumjacentibus orti sunt</w:t>
      </w:r>
      <w:r w:rsidRPr="002C20A6">
        <w:rPr>
          <w:rFonts w:ascii="Times New Roman" w:hAnsi="Times New Roman" w:cs="Times New Roman"/>
          <w:sz w:val="24"/>
          <w:szCs w:val="24"/>
        </w:rPr>
        <w:t>, praemittitur Josephi Antonii Saxii Historia literario-typographica mediolanensis ab anno MCCCLXV ad annum MD nunc primum</w:t>
      </w:r>
      <w:r w:rsidRPr="00FA7A3B">
        <w:rPr>
          <w:rFonts w:ascii="Times New Roman" w:hAnsi="Times New Roman" w:cs="Times New Roman"/>
          <w:sz w:val="24"/>
          <w:szCs w:val="24"/>
        </w:rPr>
        <w:t xml:space="preserve"> edita.</w:t>
      </w:r>
    </w:p>
    <w:p w14:paraId="6F4D24DF" w14:textId="77777777" w:rsidR="00796A9D" w:rsidRDefault="00796A9D" w:rsidP="00796A9D">
      <w:pPr>
        <w:pStyle w:val="Testonotaapidipagina"/>
        <w:jc w:val="both"/>
        <w:rPr>
          <w:rFonts w:ascii="Times New Roman" w:hAnsi="Times New Roman" w:cs="Times New Roman"/>
          <w:smallCaps/>
          <w:sz w:val="24"/>
          <w:szCs w:val="24"/>
        </w:rPr>
      </w:pPr>
    </w:p>
    <w:p w14:paraId="7D8C7F96"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B. Bellincioni</w:t>
      </w:r>
      <w:r w:rsidRPr="00BA2DBB">
        <w:rPr>
          <w:rFonts w:ascii="Times New Roman" w:hAnsi="Times New Roman" w:cs="Times New Roman"/>
          <w:i/>
          <w:sz w:val="24"/>
          <w:szCs w:val="24"/>
        </w:rPr>
        <w:t>, Le rime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P. Fanfani</w:t>
      </w:r>
      <w:r w:rsidRPr="00BA2DBB">
        <w:rPr>
          <w:rFonts w:ascii="Times New Roman" w:hAnsi="Times New Roman" w:cs="Times New Roman"/>
          <w:sz w:val="24"/>
          <w:szCs w:val="24"/>
        </w:rPr>
        <w:t xml:space="preserve">, Bologna, Commissione per i testi di lingua, 1968, voll. II. </w:t>
      </w:r>
    </w:p>
    <w:p w14:paraId="12079202" w14:textId="77777777" w:rsidR="00796A9D" w:rsidRDefault="00796A9D" w:rsidP="00796A9D">
      <w:pPr>
        <w:pStyle w:val="Testonotaapidipagina"/>
        <w:jc w:val="both"/>
        <w:rPr>
          <w:rFonts w:ascii="Times New Roman" w:hAnsi="Times New Roman" w:cs="Times New Roman"/>
          <w:sz w:val="24"/>
          <w:szCs w:val="24"/>
        </w:rPr>
      </w:pPr>
    </w:p>
    <w:p w14:paraId="47791B96" w14:textId="77777777" w:rsidR="00796A9D" w:rsidRPr="007C3871" w:rsidRDefault="00796A9D" w:rsidP="00796A9D">
      <w:pPr>
        <w:pStyle w:val="Testonotaapidipagina"/>
        <w:jc w:val="both"/>
        <w:rPr>
          <w:rFonts w:ascii="Times New Roman" w:hAnsi="Times New Roman" w:cs="Times New Roman"/>
          <w:sz w:val="24"/>
          <w:szCs w:val="24"/>
        </w:rPr>
      </w:pPr>
      <w:r w:rsidRPr="007C3871">
        <w:rPr>
          <w:rFonts w:ascii="Times New Roman" w:hAnsi="Times New Roman" w:cs="Times New Roman"/>
          <w:smallCaps/>
          <w:sz w:val="24"/>
          <w:szCs w:val="24"/>
        </w:rPr>
        <w:t>J. Burckardus</w:t>
      </w:r>
      <w:r w:rsidRPr="007C3871">
        <w:rPr>
          <w:rFonts w:ascii="Times New Roman" w:hAnsi="Times New Roman" w:cs="Times New Roman"/>
          <w:sz w:val="24"/>
          <w:szCs w:val="24"/>
        </w:rPr>
        <w:t xml:space="preserve">, </w:t>
      </w:r>
      <w:r w:rsidRPr="007C3871">
        <w:rPr>
          <w:rFonts w:ascii="Times New Roman" w:hAnsi="Times New Roman" w:cs="Times New Roman"/>
          <w:i/>
          <w:sz w:val="24"/>
          <w:szCs w:val="24"/>
        </w:rPr>
        <w:t>Alla corte di cinque papi: Diario 1483-1506</w:t>
      </w:r>
      <w:r w:rsidRPr="007C3871">
        <w:rPr>
          <w:rFonts w:ascii="Times New Roman" w:hAnsi="Times New Roman" w:cs="Times New Roman"/>
          <w:sz w:val="24"/>
          <w:szCs w:val="24"/>
        </w:rPr>
        <w:t xml:space="preserve">, a cura di </w:t>
      </w:r>
      <w:r w:rsidRPr="007C3871">
        <w:rPr>
          <w:rFonts w:ascii="Times New Roman" w:hAnsi="Times New Roman" w:cs="Times New Roman"/>
          <w:smallCaps/>
          <w:sz w:val="24"/>
          <w:szCs w:val="24"/>
        </w:rPr>
        <w:t>L. Bianchi</w:t>
      </w:r>
      <w:r w:rsidRPr="007C3871">
        <w:rPr>
          <w:rFonts w:ascii="Times New Roman" w:hAnsi="Times New Roman" w:cs="Times New Roman"/>
          <w:sz w:val="24"/>
          <w:szCs w:val="24"/>
        </w:rPr>
        <w:t>, Milano, Longanesi,</w:t>
      </w:r>
      <w:r>
        <w:rPr>
          <w:rFonts w:ascii="Times New Roman" w:hAnsi="Times New Roman" w:cs="Times New Roman"/>
          <w:sz w:val="24"/>
          <w:szCs w:val="24"/>
        </w:rPr>
        <w:t xml:space="preserve"> 1999.</w:t>
      </w:r>
    </w:p>
    <w:p w14:paraId="0C242090" w14:textId="77777777" w:rsidR="00796A9D" w:rsidRPr="00BA2DBB" w:rsidRDefault="00796A9D" w:rsidP="00796A9D">
      <w:pPr>
        <w:pStyle w:val="Testonotaapidipagina"/>
        <w:jc w:val="both"/>
        <w:rPr>
          <w:rFonts w:ascii="Times New Roman" w:hAnsi="Times New Roman" w:cs="Times New Roman"/>
          <w:smallCaps/>
          <w:sz w:val="24"/>
          <w:szCs w:val="24"/>
        </w:rPr>
      </w:pPr>
    </w:p>
    <w:p w14:paraId="6101EA56" w14:textId="77777777" w:rsidR="00796A9D" w:rsidRPr="00BA2DBB" w:rsidRDefault="00796A9D" w:rsidP="00796A9D">
      <w:pPr>
        <w:pStyle w:val="Testonotaapidipagina"/>
        <w:jc w:val="both"/>
        <w:rPr>
          <w:rFonts w:ascii="Times New Roman" w:hAnsi="Times New Roman" w:cs="Times New Roman"/>
          <w:smallCaps/>
          <w:sz w:val="24"/>
          <w:szCs w:val="24"/>
        </w:rPr>
      </w:pPr>
      <w:r w:rsidRPr="00BA2DBB">
        <w:rPr>
          <w:rFonts w:ascii="Times New Roman" w:hAnsi="Times New Roman" w:cs="Times New Roman"/>
          <w:smallCaps/>
          <w:sz w:val="24"/>
          <w:szCs w:val="24"/>
        </w:rPr>
        <w:t>G.A. Bussi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Prefazioni alle edizioni di Sweynheym e Pannartz, prototipografi romani</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M. Miglio</w:t>
      </w:r>
      <w:r w:rsidRPr="00BA2DBB">
        <w:rPr>
          <w:rFonts w:ascii="Times New Roman" w:hAnsi="Times New Roman" w:cs="Times New Roman"/>
          <w:sz w:val="24"/>
          <w:szCs w:val="24"/>
        </w:rPr>
        <w:t>, Milano, Il Polifilo, 1978.</w:t>
      </w:r>
    </w:p>
    <w:p w14:paraId="2187BDA9" w14:textId="77777777" w:rsidR="00796A9D" w:rsidRPr="00BA2DBB" w:rsidRDefault="00796A9D" w:rsidP="00796A9D">
      <w:pPr>
        <w:pStyle w:val="Testonotaapidipagina"/>
        <w:jc w:val="both"/>
        <w:rPr>
          <w:rFonts w:ascii="Times New Roman" w:hAnsi="Times New Roman" w:cs="Times New Roman"/>
          <w:smallCaps/>
          <w:sz w:val="24"/>
          <w:szCs w:val="24"/>
        </w:rPr>
      </w:pPr>
    </w:p>
    <w:p w14:paraId="6F83BCC1"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G.M. Cagni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Vespasiano da Bisticci e il suo epistolario</w:t>
      </w:r>
      <w:r w:rsidRPr="00BA2DBB">
        <w:rPr>
          <w:rFonts w:ascii="Times New Roman" w:hAnsi="Times New Roman" w:cs="Times New Roman"/>
          <w:sz w:val="24"/>
          <w:szCs w:val="24"/>
        </w:rPr>
        <w:t>, Roma, Edizioni di Storia e Letteratura, 1969.</w:t>
      </w:r>
    </w:p>
    <w:p w14:paraId="2BED3971" w14:textId="77777777" w:rsidR="00796A9D" w:rsidRDefault="00796A9D" w:rsidP="00796A9D">
      <w:pPr>
        <w:pStyle w:val="Testonotaapidipagina"/>
        <w:jc w:val="both"/>
        <w:rPr>
          <w:rFonts w:ascii="Times New Roman" w:hAnsi="Times New Roman" w:cs="Times New Roman"/>
          <w:sz w:val="24"/>
          <w:szCs w:val="24"/>
        </w:rPr>
      </w:pPr>
    </w:p>
    <w:p w14:paraId="46C16B4F" w14:textId="77777777" w:rsidR="00796A9D" w:rsidRDefault="00796A9D" w:rsidP="00796A9D">
      <w:pPr>
        <w:pStyle w:val="Testonotaapidipagina"/>
        <w:jc w:val="both"/>
        <w:rPr>
          <w:rFonts w:ascii="Times New Roman" w:hAnsi="Times New Roman" w:cs="Times New Roman"/>
          <w:sz w:val="24"/>
          <w:szCs w:val="24"/>
        </w:rPr>
      </w:pPr>
      <w:r w:rsidRPr="00DA4A16">
        <w:rPr>
          <w:rFonts w:ascii="Times New Roman" w:hAnsi="Times New Roman" w:cs="Times New Roman"/>
          <w:smallCaps/>
          <w:sz w:val="24"/>
          <w:szCs w:val="24"/>
        </w:rPr>
        <w:t>U. Caleffini</w:t>
      </w:r>
      <w:r w:rsidRPr="00DA4A16">
        <w:rPr>
          <w:rFonts w:ascii="Times New Roman" w:hAnsi="Times New Roman" w:cs="Times New Roman"/>
          <w:sz w:val="24"/>
          <w:szCs w:val="24"/>
        </w:rPr>
        <w:t xml:space="preserve">, </w:t>
      </w:r>
      <w:r w:rsidRPr="00DA4A16">
        <w:rPr>
          <w:rFonts w:ascii="Times New Roman" w:hAnsi="Times New Roman" w:cs="Times New Roman"/>
          <w:i/>
          <w:sz w:val="24"/>
          <w:szCs w:val="24"/>
        </w:rPr>
        <w:t>Croniche 1471-1494</w:t>
      </w:r>
      <w:r w:rsidRPr="00DA4A16">
        <w:rPr>
          <w:rFonts w:ascii="Times New Roman" w:hAnsi="Times New Roman" w:cs="Times New Roman"/>
          <w:sz w:val="24"/>
          <w:szCs w:val="24"/>
        </w:rPr>
        <w:t>, Ferrara, Deputazione provinciale ferrarese di Storia Patria, 2006.</w:t>
      </w:r>
    </w:p>
    <w:p w14:paraId="053E8594" w14:textId="77777777" w:rsidR="00796A9D" w:rsidRDefault="00796A9D" w:rsidP="00796A9D">
      <w:pPr>
        <w:pStyle w:val="Testonotaapidipagina"/>
        <w:jc w:val="both"/>
        <w:rPr>
          <w:rFonts w:ascii="Times New Roman" w:hAnsi="Times New Roman" w:cs="Times New Roman"/>
          <w:sz w:val="24"/>
          <w:szCs w:val="24"/>
        </w:rPr>
      </w:pPr>
    </w:p>
    <w:p w14:paraId="4A972401" w14:textId="77777777" w:rsidR="00796A9D" w:rsidRPr="0099431D" w:rsidRDefault="00796A9D" w:rsidP="00796A9D">
      <w:pPr>
        <w:pStyle w:val="Testonotaapidipagina"/>
        <w:jc w:val="both"/>
        <w:rPr>
          <w:rFonts w:ascii="Times New Roman" w:hAnsi="Times New Roman" w:cs="Times New Roman"/>
          <w:sz w:val="24"/>
          <w:szCs w:val="24"/>
        </w:rPr>
      </w:pPr>
      <w:r w:rsidRPr="0099431D">
        <w:rPr>
          <w:rFonts w:ascii="Times New Roman" w:hAnsi="Times New Roman" w:cs="Times New Roman"/>
          <w:smallCaps/>
          <w:sz w:val="24"/>
          <w:szCs w:val="24"/>
        </w:rPr>
        <w:t>G. Cantalicio</w:t>
      </w:r>
      <w:r w:rsidRPr="0099431D">
        <w:rPr>
          <w:rFonts w:ascii="Times New Roman" w:hAnsi="Times New Roman" w:cs="Times New Roman"/>
          <w:sz w:val="24"/>
          <w:szCs w:val="24"/>
        </w:rPr>
        <w:t xml:space="preserve">, </w:t>
      </w:r>
      <w:r w:rsidRPr="0099431D">
        <w:rPr>
          <w:rFonts w:ascii="Times New Roman" w:hAnsi="Times New Roman" w:cs="Times New Roman"/>
          <w:i/>
          <w:sz w:val="24"/>
          <w:szCs w:val="24"/>
        </w:rPr>
        <w:t>Bucolica</w:t>
      </w:r>
      <w:r w:rsidRPr="0099431D">
        <w:rPr>
          <w:rFonts w:ascii="Times New Roman" w:hAnsi="Times New Roman" w:cs="Times New Roman"/>
          <w:sz w:val="24"/>
          <w:szCs w:val="24"/>
        </w:rPr>
        <w:t xml:space="preserve">, a cura di </w:t>
      </w:r>
      <w:r w:rsidRPr="0099431D">
        <w:rPr>
          <w:rFonts w:ascii="Times New Roman" w:hAnsi="Times New Roman" w:cs="Times New Roman"/>
          <w:smallCaps/>
          <w:sz w:val="24"/>
          <w:szCs w:val="24"/>
        </w:rPr>
        <w:t>L. Monti Sabia</w:t>
      </w:r>
      <w:r w:rsidRPr="0099431D">
        <w:rPr>
          <w:rFonts w:ascii="Times New Roman" w:hAnsi="Times New Roman" w:cs="Times New Roman"/>
          <w:sz w:val="24"/>
          <w:szCs w:val="24"/>
        </w:rPr>
        <w:t xml:space="preserve">, </w:t>
      </w:r>
      <w:r w:rsidRPr="0099431D">
        <w:rPr>
          <w:rFonts w:ascii="Times New Roman" w:hAnsi="Times New Roman" w:cs="Times New Roman"/>
          <w:i/>
          <w:sz w:val="24"/>
          <w:szCs w:val="24"/>
        </w:rPr>
        <w:t>Spectacula Lucretiana</w:t>
      </w:r>
      <w:r w:rsidRPr="0099431D">
        <w:rPr>
          <w:rFonts w:ascii="Times New Roman" w:hAnsi="Times New Roman" w:cs="Times New Roman"/>
          <w:sz w:val="24"/>
          <w:szCs w:val="24"/>
        </w:rPr>
        <w:t xml:space="preserve">, a cura di G. </w:t>
      </w:r>
      <w:r w:rsidRPr="0099431D">
        <w:rPr>
          <w:rFonts w:ascii="Times New Roman" w:hAnsi="Times New Roman" w:cs="Times New Roman"/>
          <w:smallCaps/>
          <w:sz w:val="24"/>
          <w:szCs w:val="24"/>
        </w:rPr>
        <w:t>Germano</w:t>
      </w:r>
      <w:r w:rsidRPr="0099431D">
        <w:rPr>
          <w:rFonts w:ascii="Times New Roman" w:hAnsi="Times New Roman" w:cs="Times New Roman"/>
          <w:sz w:val="24"/>
          <w:szCs w:val="24"/>
        </w:rPr>
        <w:t>, Messina, Sicania, 1995.</w:t>
      </w:r>
    </w:p>
    <w:p w14:paraId="234D1EC5" w14:textId="77777777" w:rsidR="00796A9D" w:rsidRDefault="00796A9D" w:rsidP="00796A9D">
      <w:pPr>
        <w:pStyle w:val="Testonotaapidipagina"/>
        <w:jc w:val="both"/>
        <w:rPr>
          <w:rFonts w:ascii="Times New Roman" w:hAnsi="Times New Roman" w:cs="Times New Roman"/>
          <w:sz w:val="24"/>
          <w:szCs w:val="24"/>
        </w:rPr>
      </w:pPr>
    </w:p>
    <w:p w14:paraId="60A22E53" w14:textId="77777777" w:rsidR="00796A9D" w:rsidRDefault="00796A9D" w:rsidP="00796A9D">
      <w:pPr>
        <w:pStyle w:val="Testonotaapidipagina"/>
        <w:jc w:val="both"/>
        <w:rPr>
          <w:rFonts w:ascii="Times New Roman" w:hAnsi="Times New Roman" w:cs="Times New Roman"/>
          <w:sz w:val="24"/>
          <w:szCs w:val="24"/>
        </w:rPr>
      </w:pPr>
      <w:r w:rsidRPr="003C7A74">
        <w:rPr>
          <w:rFonts w:ascii="Times New Roman" w:hAnsi="Times New Roman" w:cs="Times New Roman"/>
          <w:smallCaps/>
          <w:sz w:val="24"/>
          <w:szCs w:val="24"/>
        </w:rPr>
        <w:t>C. Claudianus</w:t>
      </w:r>
      <w:r w:rsidRPr="003C7A74">
        <w:rPr>
          <w:rFonts w:ascii="Times New Roman" w:hAnsi="Times New Roman" w:cs="Times New Roman"/>
          <w:sz w:val="24"/>
          <w:szCs w:val="24"/>
        </w:rPr>
        <w:t xml:space="preserve">, </w:t>
      </w:r>
      <w:r w:rsidRPr="003C7A74">
        <w:rPr>
          <w:rFonts w:ascii="Times New Roman" w:hAnsi="Times New Roman" w:cs="Times New Roman"/>
          <w:i/>
          <w:sz w:val="24"/>
          <w:szCs w:val="24"/>
        </w:rPr>
        <w:t>Fescennina dicta Honorio Augusto et Mariae</w:t>
      </w:r>
      <w:r w:rsidRPr="003C7A74">
        <w:rPr>
          <w:rFonts w:ascii="Times New Roman" w:hAnsi="Times New Roman" w:cs="Times New Roman"/>
          <w:sz w:val="24"/>
          <w:szCs w:val="24"/>
        </w:rPr>
        <w:t xml:space="preserve">, a cura di </w:t>
      </w:r>
      <w:r w:rsidRPr="003C7A74">
        <w:rPr>
          <w:rFonts w:ascii="Times New Roman" w:hAnsi="Times New Roman" w:cs="Times New Roman"/>
          <w:smallCaps/>
          <w:sz w:val="24"/>
          <w:szCs w:val="24"/>
        </w:rPr>
        <w:t>O. Fuoco</w:t>
      </w:r>
      <w:r w:rsidRPr="003C7A74">
        <w:rPr>
          <w:rFonts w:ascii="Times New Roman" w:hAnsi="Times New Roman" w:cs="Times New Roman"/>
          <w:sz w:val="24"/>
          <w:szCs w:val="24"/>
        </w:rPr>
        <w:t>, Bari, Cacucci, 2013.</w:t>
      </w:r>
    </w:p>
    <w:p w14:paraId="48D82049" w14:textId="77777777" w:rsidR="00796A9D" w:rsidRDefault="00796A9D" w:rsidP="00796A9D">
      <w:pPr>
        <w:pStyle w:val="Testonotaapidipagina"/>
        <w:jc w:val="both"/>
        <w:rPr>
          <w:rFonts w:ascii="Times New Roman" w:hAnsi="Times New Roman" w:cs="Times New Roman"/>
          <w:sz w:val="24"/>
          <w:szCs w:val="24"/>
        </w:rPr>
      </w:pPr>
    </w:p>
    <w:p w14:paraId="265B6D35" w14:textId="77777777" w:rsidR="00796A9D" w:rsidRDefault="00796A9D" w:rsidP="00796A9D">
      <w:pPr>
        <w:pStyle w:val="Testonotaapidipagina"/>
        <w:jc w:val="both"/>
        <w:rPr>
          <w:rFonts w:ascii="Times New Roman" w:hAnsi="Times New Roman" w:cs="Times New Roman"/>
          <w:sz w:val="24"/>
          <w:szCs w:val="24"/>
        </w:rPr>
      </w:pPr>
      <w:r w:rsidRPr="00547D4A">
        <w:rPr>
          <w:rFonts w:ascii="Times New Roman" w:hAnsi="Times New Roman" w:cs="Times New Roman"/>
          <w:smallCaps/>
          <w:sz w:val="24"/>
          <w:szCs w:val="24"/>
        </w:rPr>
        <w:t>C. Clementini</w:t>
      </w:r>
      <w:r w:rsidRPr="00547D4A">
        <w:rPr>
          <w:rFonts w:ascii="Times New Roman" w:hAnsi="Times New Roman" w:cs="Times New Roman"/>
          <w:sz w:val="24"/>
          <w:szCs w:val="24"/>
        </w:rPr>
        <w:t xml:space="preserve">, </w:t>
      </w:r>
      <w:r w:rsidRPr="00547D4A">
        <w:rPr>
          <w:rFonts w:ascii="Times New Roman" w:hAnsi="Times New Roman" w:cs="Times New Roman"/>
          <w:i/>
          <w:sz w:val="24"/>
          <w:szCs w:val="24"/>
        </w:rPr>
        <w:t>Raccolto istorico della fondatione di Rimino e dell’origine e vite de’ Malatesti. Con vari e notabili fatti in essa città e fuori di tempo in tempo successi</w:t>
      </w:r>
      <w:r w:rsidRPr="00547D4A">
        <w:rPr>
          <w:rFonts w:ascii="Times New Roman" w:hAnsi="Times New Roman" w:cs="Times New Roman"/>
          <w:sz w:val="24"/>
          <w:szCs w:val="24"/>
        </w:rPr>
        <w:t>, Rimini, Simbeni, 1617.</w:t>
      </w:r>
    </w:p>
    <w:p w14:paraId="1C79582F" w14:textId="77777777" w:rsidR="00796A9D" w:rsidRDefault="00796A9D" w:rsidP="00796A9D">
      <w:pPr>
        <w:pStyle w:val="Testonotaapidipagina"/>
        <w:jc w:val="both"/>
        <w:rPr>
          <w:rFonts w:ascii="Times New Roman" w:hAnsi="Times New Roman" w:cs="Times New Roman"/>
          <w:sz w:val="24"/>
          <w:szCs w:val="24"/>
        </w:rPr>
      </w:pPr>
    </w:p>
    <w:p w14:paraId="7638B2F3" w14:textId="77777777" w:rsidR="00796A9D" w:rsidRPr="003E4D8E" w:rsidRDefault="00796A9D" w:rsidP="00796A9D">
      <w:pPr>
        <w:pStyle w:val="Testonotaapidipagina"/>
        <w:jc w:val="both"/>
        <w:rPr>
          <w:rFonts w:ascii="Times New Roman" w:hAnsi="Times New Roman" w:cs="Times New Roman"/>
          <w:sz w:val="24"/>
          <w:szCs w:val="24"/>
        </w:rPr>
      </w:pPr>
      <w:r w:rsidRPr="003E4D8E">
        <w:rPr>
          <w:rFonts w:ascii="Times New Roman" w:hAnsi="Times New Roman" w:cs="Times New Roman"/>
          <w:i/>
          <w:sz w:val="24"/>
          <w:szCs w:val="24"/>
        </w:rPr>
        <w:t xml:space="preserve">Cronica di Napoli di Notar Giacomo, </w:t>
      </w:r>
      <w:r w:rsidRPr="003E4D8E">
        <w:rPr>
          <w:rFonts w:ascii="Times New Roman" w:hAnsi="Times New Roman" w:cs="Times New Roman"/>
          <w:sz w:val="24"/>
          <w:szCs w:val="24"/>
        </w:rPr>
        <w:t xml:space="preserve">a cura di </w:t>
      </w:r>
      <w:r w:rsidRPr="003E4D8E">
        <w:rPr>
          <w:rFonts w:ascii="Times New Roman" w:hAnsi="Times New Roman" w:cs="Times New Roman"/>
          <w:smallCaps/>
          <w:sz w:val="24"/>
          <w:szCs w:val="24"/>
        </w:rPr>
        <w:t>P. Garzilli</w:t>
      </w:r>
      <w:r w:rsidRPr="003E4D8E">
        <w:rPr>
          <w:rFonts w:ascii="Times New Roman" w:hAnsi="Times New Roman" w:cs="Times New Roman"/>
          <w:sz w:val="24"/>
          <w:szCs w:val="24"/>
        </w:rPr>
        <w:t>, Napoli, Stamperia Reale, 1845.</w:t>
      </w:r>
    </w:p>
    <w:p w14:paraId="78361719" w14:textId="77777777" w:rsidR="00796A9D" w:rsidRPr="003C7A74" w:rsidRDefault="00796A9D" w:rsidP="00796A9D">
      <w:pPr>
        <w:pStyle w:val="Testonotaapidipagina"/>
        <w:jc w:val="both"/>
        <w:rPr>
          <w:rFonts w:ascii="Times New Roman" w:hAnsi="Times New Roman" w:cs="Times New Roman"/>
          <w:sz w:val="24"/>
          <w:szCs w:val="24"/>
        </w:rPr>
      </w:pPr>
    </w:p>
    <w:p w14:paraId="4E211FFA" w14:textId="77777777" w:rsidR="00796A9D" w:rsidRPr="00BA2DBB" w:rsidRDefault="00796A9D" w:rsidP="00796A9D">
      <w:pPr>
        <w:jc w:val="both"/>
        <w:rPr>
          <w:rFonts w:ascii="Times New Roman" w:hAnsi="Times New Roman" w:cs="Times New Roman"/>
          <w:sz w:val="24"/>
          <w:szCs w:val="24"/>
        </w:rPr>
      </w:pPr>
      <w:r w:rsidRPr="00BA2DBB">
        <w:rPr>
          <w:rFonts w:ascii="Times New Roman" w:hAnsi="Times New Roman" w:cs="Times New Roman"/>
          <w:smallCaps/>
          <w:sz w:val="24"/>
          <w:szCs w:val="24"/>
        </w:rPr>
        <w:t>V. da Bisticci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vite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A. Greco</w:t>
      </w:r>
      <w:r w:rsidRPr="00BA2DBB">
        <w:rPr>
          <w:rFonts w:ascii="Times New Roman" w:hAnsi="Times New Roman" w:cs="Times New Roman"/>
          <w:sz w:val="24"/>
          <w:szCs w:val="24"/>
        </w:rPr>
        <w:t>, Firenze, Istituto Nazionale di Studi sul Rinascimento, 1976, voll. II.</w:t>
      </w:r>
    </w:p>
    <w:p w14:paraId="67D4AA6F" w14:textId="77777777" w:rsidR="00796A9D" w:rsidRPr="00BA2DBB" w:rsidRDefault="00796A9D" w:rsidP="00796A9D">
      <w:pPr>
        <w:jc w:val="both"/>
        <w:rPr>
          <w:rFonts w:ascii="Times New Roman" w:hAnsi="Times New Roman" w:cs="Times New Roman"/>
          <w:sz w:val="24"/>
          <w:szCs w:val="24"/>
        </w:rPr>
      </w:pPr>
      <w:r w:rsidRPr="00BA2DBB">
        <w:rPr>
          <w:rFonts w:ascii="Times New Roman" w:hAnsi="Times New Roman" w:cs="Times New Roman"/>
          <w:sz w:val="24"/>
          <w:szCs w:val="24"/>
        </w:rPr>
        <w:t xml:space="preserve">B. </w:t>
      </w:r>
      <w:r w:rsidRPr="00BA2DBB">
        <w:rPr>
          <w:rFonts w:ascii="Times New Roman" w:hAnsi="Times New Roman" w:cs="Times New Roman"/>
          <w:smallCaps/>
          <w:sz w:val="24"/>
          <w:szCs w:val="24"/>
        </w:rPr>
        <w:t>da Rende</w:t>
      </w:r>
      <w:r w:rsidRPr="00BA2DBB">
        <w:rPr>
          <w:rFonts w:ascii="Times New Roman" w:hAnsi="Times New Roman" w:cs="Times New Roman"/>
          <w:i/>
          <w:sz w:val="24"/>
          <w:szCs w:val="24"/>
        </w:rPr>
        <w:t>, Trattato della laudanda vita e della profetata morte di Ippolita Sforza d’Aragona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F. Sica</w:t>
      </w:r>
      <w:r w:rsidRPr="00BA2DBB">
        <w:rPr>
          <w:rFonts w:ascii="Times New Roman" w:hAnsi="Times New Roman" w:cs="Times New Roman"/>
          <w:sz w:val="24"/>
          <w:szCs w:val="24"/>
        </w:rPr>
        <w:t>, Salerno, Edisud, 2007.</w:t>
      </w:r>
    </w:p>
    <w:p w14:paraId="649B64C0" w14:textId="77777777" w:rsidR="00796A9D" w:rsidRDefault="00796A9D" w:rsidP="00796A9D">
      <w:pPr>
        <w:jc w:val="both"/>
        <w:rPr>
          <w:rFonts w:ascii="Times New Roman" w:hAnsi="Times New Roman" w:cs="Times New Roman"/>
          <w:sz w:val="24"/>
          <w:szCs w:val="24"/>
        </w:rPr>
      </w:pPr>
      <w:r w:rsidRPr="00BA2DBB">
        <w:rPr>
          <w:rFonts w:ascii="Times New Roman" w:hAnsi="Times New Roman" w:cs="Times New Roman"/>
          <w:smallCaps/>
          <w:sz w:val="24"/>
          <w:szCs w:val="24"/>
        </w:rPr>
        <w:t>A.C. Decembrio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De politia litteraria</w:t>
      </w:r>
      <w:r w:rsidRPr="00BA2DBB">
        <w:rPr>
          <w:rFonts w:ascii="Times New Roman" w:hAnsi="Times New Roman" w:cs="Times New Roman"/>
          <w:sz w:val="24"/>
          <w:szCs w:val="24"/>
        </w:rPr>
        <w:t xml:space="preserve">, herausgegeben von N. </w:t>
      </w:r>
      <w:r w:rsidRPr="00BA2DBB">
        <w:rPr>
          <w:rFonts w:ascii="Times New Roman" w:hAnsi="Times New Roman" w:cs="Times New Roman"/>
          <w:smallCaps/>
          <w:sz w:val="24"/>
          <w:szCs w:val="24"/>
        </w:rPr>
        <w:t>Witten</w:t>
      </w:r>
      <w:r w:rsidRPr="00BA2DBB">
        <w:rPr>
          <w:rFonts w:ascii="Times New Roman" w:hAnsi="Times New Roman" w:cs="Times New Roman"/>
          <w:sz w:val="24"/>
          <w:szCs w:val="24"/>
        </w:rPr>
        <w:t>, München-Leipzig, Saur, 2002.</w:t>
      </w:r>
    </w:p>
    <w:p w14:paraId="38750054"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J. De Centelles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Dels fets e dits del gran rey Alfonso</w:t>
      </w:r>
      <w:r w:rsidRPr="00BA2DBB">
        <w:rPr>
          <w:rFonts w:ascii="Times New Roman" w:hAnsi="Times New Roman" w:cs="Times New Roman"/>
          <w:sz w:val="24"/>
          <w:szCs w:val="24"/>
        </w:rPr>
        <w:t>, Barcelona, Barcino, 1990.</w:t>
      </w:r>
    </w:p>
    <w:p w14:paraId="7B9A638A" w14:textId="77777777" w:rsidR="00796A9D" w:rsidRDefault="00796A9D" w:rsidP="00796A9D">
      <w:pPr>
        <w:pStyle w:val="Testonotaapidipagina"/>
        <w:jc w:val="both"/>
        <w:rPr>
          <w:rFonts w:ascii="Times New Roman" w:hAnsi="Times New Roman" w:cs="Times New Roman"/>
          <w:sz w:val="24"/>
          <w:szCs w:val="24"/>
        </w:rPr>
      </w:pPr>
    </w:p>
    <w:p w14:paraId="6CE99AD8" w14:textId="77777777" w:rsidR="00796A9D" w:rsidRPr="008135EE" w:rsidRDefault="00796A9D" w:rsidP="00796A9D">
      <w:pPr>
        <w:jc w:val="both"/>
        <w:rPr>
          <w:rFonts w:ascii="Times New Roman" w:hAnsi="Times New Roman" w:cs="Times New Roman"/>
          <w:sz w:val="24"/>
          <w:szCs w:val="24"/>
        </w:rPr>
      </w:pPr>
      <w:r w:rsidRPr="008135EE">
        <w:rPr>
          <w:rFonts w:ascii="Times New Roman" w:hAnsi="Times New Roman" w:cs="Times New Roman"/>
          <w:smallCaps/>
          <w:sz w:val="24"/>
          <w:szCs w:val="24"/>
        </w:rPr>
        <w:t>L. de’ Medici</w:t>
      </w:r>
      <w:r w:rsidRPr="008135EE">
        <w:rPr>
          <w:rFonts w:ascii="Times New Roman" w:hAnsi="Times New Roman" w:cs="Times New Roman"/>
          <w:i/>
          <w:sz w:val="24"/>
          <w:szCs w:val="24"/>
        </w:rPr>
        <w:t>, Lettere</w:t>
      </w:r>
      <w:r w:rsidRPr="008135EE">
        <w:rPr>
          <w:rFonts w:ascii="Times New Roman" w:hAnsi="Times New Roman" w:cs="Times New Roman"/>
          <w:sz w:val="24"/>
          <w:szCs w:val="24"/>
        </w:rPr>
        <w:t xml:space="preserve">, a cura di </w:t>
      </w:r>
      <w:r w:rsidRPr="008135EE">
        <w:rPr>
          <w:rFonts w:ascii="Times New Roman" w:hAnsi="Times New Roman" w:cs="Times New Roman"/>
          <w:smallCaps/>
          <w:sz w:val="24"/>
          <w:szCs w:val="24"/>
        </w:rPr>
        <w:t>M.M. Bullard</w:t>
      </w:r>
      <w:r w:rsidRPr="008135EE">
        <w:rPr>
          <w:rFonts w:ascii="Times New Roman" w:hAnsi="Times New Roman" w:cs="Times New Roman"/>
          <w:sz w:val="24"/>
          <w:szCs w:val="24"/>
        </w:rPr>
        <w:t>, Firenze, INSR, 2003, vol</w:t>
      </w:r>
      <w:r>
        <w:rPr>
          <w:rFonts w:ascii="Times New Roman" w:hAnsi="Times New Roman" w:cs="Times New Roman"/>
          <w:sz w:val="24"/>
          <w:szCs w:val="24"/>
        </w:rPr>
        <w:t>.</w:t>
      </w:r>
      <w:r w:rsidRPr="008135EE">
        <w:rPr>
          <w:rFonts w:ascii="Times New Roman" w:hAnsi="Times New Roman" w:cs="Times New Roman"/>
          <w:sz w:val="24"/>
          <w:szCs w:val="24"/>
        </w:rPr>
        <w:t xml:space="preserve"> X (1486-1487).</w:t>
      </w:r>
    </w:p>
    <w:p w14:paraId="58E63818" w14:textId="77777777" w:rsidR="00796A9D" w:rsidRDefault="00796A9D" w:rsidP="00796A9D">
      <w:pPr>
        <w:jc w:val="both"/>
        <w:rPr>
          <w:rFonts w:ascii="Times New Roman" w:hAnsi="Times New Roman" w:cs="Times New Roman"/>
          <w:sz w:val="24"/>
          <w:szCs w:val="24"/>
        </w:rPr>
      </w:pPr>
      <w:r w:rsidRPr="00BA2DBB">
        <w:rPr>
          <w:rFonts w:ascii="Times New Roman" w:hAnsi="Times New Roman" w:cs="Times New Roman"/>
          <w:smallCaps/>
          <w:sz w:val="24"/>
          <w:szCs w:val="24"/>
        </w:rPr>
        <w:t>A. de Thomeis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Rime. Convivium scientiarum</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F. Carboni, A. Manfredi</w:t>
      </w:r>
      <w:r w:rsidRPr="00BA2DBB">
        <w:rPr>
          <w:rFonts w:ascii="Times New Roman" w:hAnsi="Times New Roman" w:cs="Times New Roman"/>
          <w:sz w:val="24"/>
          <w:szCs w:val="24"/>
        </w:rPr>
        <w:t>, Città del Vaticano, Studi e testi, 1999.</w:t>
      </w:r>
    </w:p>
    <w:p w14:paraId="1302D2A7" w14:textId="77777777" w:rsidR="00796A9D" w:rsidRPr="00A33E4C" w:rsidRDefault="00796A9D" w:rsidP="00796A9D">
      <w:pPr>
        <w:jc w:val="both"/>
        <w:rPr>
          <w:rFonts w:ascii="Times New Roman" w:hAnsi="Times New Roman" w:cs="Times New Roman"/>
          <w:sz w:val="24"/>
          <w:szCs w:val="24"/>
        </w:rPr>
      </w:pPr>
      <w:r w:rsidRPr="00A33E4C">
        <w:rPr>
          <w:rFonts w:ascii="Times New Roman" w:hAnsi="Times New Roman" w:cs="Times New Roman"/>
          <w:i/>
          <w:sz w:val="24"/>
          <w:szCs w:val="24"/>
        </w:rPr>
        <w:t>Diario ferrarese</w:t>
      </w:r>
      <w:r w:rsidRPr="00A33E4C">
        <w:rPr>
          <w:rFonts w:ascii="Times New Roman" w:hAnsi="Times New Roman" w:cs="Times New Roman"/>
          <w:sz w:val="24"/>
          <w:szCs w:val="24"/>
        </w:rPr>
        <w:t xml:space="preserve">, in </w:t>
      </w:r>
      <w:r w:rsidRPr="00A33E4C">
        <w:rPr>
          <w:rFonts w:ascii="Times New Roman" w:hAnsi="Times New Roman" w:cs="Times New Roman"/>
          <w:i/>
          <w:sz w:val="24"/>
          <w:szCs w:val="24"/>
        </w:rPr>
        <w:t xml:space="preserve">Rerum Italicarum Scriptores, </w:t>
      </w:r>
      <w:r w:rsidRPr="00A33E4C">
        <w:rPr>
          <w:rFonts w:ascii="Times New Roman" w:hAnsi="Times New Roman" w:cs="Times New Roman"/>
          <w:sz w:val="24"/>
          <w:szCs w:val="24"/>
        </w:rPr>
        <w:t>Milano, vol. XXIV</w:t>
      </w:r>
      <w:r>
        <w:rPr>
          <w:rFonts w:ascii="Times New Roman" w:hAnsi="Times New Roman" w:cs="Times New Roman"/>
          <w:sz w:val="24"/>
          <w:szCs w:val="24"/>
        </w:rPr>
        <w:t>,</w:t>
      </w:r>
      <w:r w:rsidRPr="00A33E4C">
        <w:rPr>
          <w:rFonts w:ascii="Times New Roman" w:hAnsi="Times New Roman" w:cs="Times New Roman"/>
          <w:sz w:val="24"/>
          <w:szCs w:val="24"/>
        </w:rPr>
        <w:t xml:space="preserve"> 1738.</w:t>
      </w:r>
    </w:p>
    <w:p w14:paraId="6E5813A7" w14:textId="77777777" w:rsidR="00796A9D" w:rsidRDefault="00796A9D" w:rsidP="00796A9D">
      <w:pPr>
        <w:jc w:val="both"/>
        <w:rPr>
          <w:rFonts w:ascii="Times New Roman" w:hAnsi="Times New Roman" w:cs="Times New Roman"/>
          <w:sz w:val="24"/>
          <w:szCs w:val="24"/>
        </w:rPr>
      </w:pPr>
      <w:r w:rsidRPr="00E0546C">
        <w:rPr>
          <w:rFonts w:ascii="Times New Roman" w:hAnsi="Times New Roman" w:cs="Times New Roman"/>
          <w:i/>
          <w:sz w:val="24"/>
          <w:szCs w:val="24"/>
        </w:rPr>
        <w:t>Dispacci e lettere di Giacomo Gherardi nunzio pontificio a Firenze e Milano (11 settembre 1487-10 ottobre 1490</w:t>
      </w:r>
      <w:r w:rsidRPr="00E0546C">
        <w:rPr>
          <w:rFonts w:ascii="Times New Roman" w:hAnsi="Times New Roman" w:cs="Times New Roman"/>
          <w:sz w:val="24"/>
          <w:szCs w:val="24"/>
        </w:rPr>
        <w:t xml:space="preserve">), a cura di E. </w:t>
      </w:r>
      <w:r w:rsidRPr="00E0546C">
        <w:rPr>
          <w:rFonts w:ascii="Times New Roman" w:hAnsi="Times New Roman" w:cs="Times New Roman"/>
          <w:smallCaps/>
          <w:sz w:val="24"/>
          <w:szCs w:val="24"/>
        </w:rPr>
        <w:t>Carusi</w:t>
      </w:r>
      <w:r w:rsidRPr="00E0546C">
        <w:rPr>
          <w:rFonts w:ascii="Times New Roman" w:hAnsi="Times New Roman" w:cs="Times New Roman"/>
          <w:sz w:val="24"/>
          <w:szCs w:val="24"/>
        </w:rPr>
        <w:t>, Roma, 1909.</w:t>
      </w:r>
    </w:p>
    <w:p w14:paraId="43F6D658" w14:textId="77777777" w:rsidR="00796A9D" w:rsidRPr="00161910" w:rsidRDefault="00796A9D" w:rsidP="00796A9D">
      <w:pPr>
        <w:jc w:val="both"/>
        <w:rPr>
          <w:rFonts w:ascii="Times New Roman" w:hAnsi="Times New Roman" w:cs="Times New Roman"/>
          <w:sz w:val="24"/>
          <w:szCs w:val="24"/>
        </w:rPr>
      </w:pPr>
      <w:r w:rsidRPr="00161910">
        <w:rPr>
          <w:rFonts w:ascii="Times New Roman" w:hAnsi="Times New Roman" w:cs="Times New Roman"/>
          <w:i/>
          <w:sz w:val="24"/>
          <w:szCs w:val="24"/>
        </w:rPr>
        <w:t>Diurnali detti del Duca di Monteleone</w:t>
      </w:r>
      <w:r w:rsidRPr="00161910">
        <w:rPr>
          <w:rFonts w:ascii="Times New Roman" w:hAnsi="Times New Roman" w:cs="Times New Roman"/>
          <w:sz w:val="24"/>
          <w:szCs w:val="24"/>
        </w:rPr>
        <w:t xml:space="preserve">, a cura di </w:t>
      </w:r>
      <w:r w:rsidRPr="00161910">
        <w:rPr>
          <w:rFonts w:ascii="Times New Roman" w:hAnsi="Times New Roman" w:cs="Times New Roman"/>
          <w:smallCaps/>
          <w:sz w:val="24"/>
          <w:szCs w:val="24"/>
        </w:rPr>
        <w:t>N.F. Faraglia</w:t>
      </w:r>
      <w:r w:rsidRPr="00161910">
        <w:rPr>
          <w:rFonts w:ascii="Times New Roman" w:hAnsi="Times New Roman" w:cs="Times New Roman"/>
          <w:sz w:val="24"/>
          <w:szCs w:val="24"/>
        </w:rPr>
        <w:t>, Napoli, Forni, 1895.</w:t>
      </w:r>
    </w:p>
    <w:p w14:paraId="6F89BE5D" w14:textId="77777777" w:rsidR="00796A9D" w:rsidRPr="00BA2DBB" w:rsidRDefault="00796A9D" w:rsidP="00796A9D">
      <w:pPr>
        <w:jc w:val="both"/>
        <w:rPr>
          <w:rFonts w:ascii="Times New Roman" w:hAnsi="Times New Roman" w:cs="Times New Roman"/>
          <w:sz w:val="24"/>
          <w:szCs w:val="24"/>
        </w:rPr>
      </w:pPr>
      <w:r w:rsidRPr="00BA2DBB">
        <w:rPr>
          <w:rFonts w:ascii="Times New Roman" w:hAnsi="Times New Roman" w:cs="Times New Roman"/>
          <w:smallCaps/>
          <w:sz w:val="24"/>
          <w:szCs w:val="24"/>
        </w:rPr>
        <w:t>B. Facio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Rerum gestarum Alphonsi regis libri</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D. A. Pietragalla</w:t>
      </w:r>
      <w:r w:rsidRPr="00BA2DBB">
        <w:rPr>
          <w:rFonts w:ascii="Times New Roman" w:hAnsi="Times New Roman" w:cs="Times New Roman"/>
          <w:sz w:val="24"/>
          <w:szCs w:val="24"/>
        </w:rPr>
        <w:t>, Alessandria, Dell’Orso, 2004.</w:t>
      </w:r>
    </w:p>
    <w:p w14:paraId="1258F22B" w14:textId="77777777" w:rsidR="00796A9D" w:rsidRDefault="00796A9D" w:rsidP="00796A9D">
      <w:pPr>
        <w:jc w:val="both"/>
        <w:rPr>
          <w:rFonts w:ascii="Times New Roman" w:hAnsi="Times New Roman" w:cs="Times New Roman"/>
          <w:sz w:val="24"/>
          <w:szCs w:val="24"/>
        </w:rPr>
      </w:pPr>
      <w:r w:rsidRPr="00BA2DBB">
        <w:rPr>
          <w:rFonts w:ascii="Times New Roman" w:hAnsi="Times New Roman" w:cs="Times New Roman"/>
          <w:sz w:val="24"/>
          <w:szCs w:val="24"/>
        </w:rPr>
        <w:t xml:space="preserve">B. </w:t>
      </w:r>
      <w:r w:rsidRPr="00BA2DBB">
        <w:rPr>
          <w:rFonts w:ascii="Times New Roman" w:hAnsi="Times New Roman" w:cs="Times New Roman"/>
          <w:smallCaps/>
          <w:sz w:val="24"/>
          <w:szCs w:val="24"/>
        </w:rPr>
        <w:t>Flavio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Rome in Triumph</w:t>
      </w:r>
      <w:r w:rsidRPr="00BA2DBB">
        <w:rPr>
          <w:rFonts w:ascii="Times New Roman" w:hAnsi="Times New Roman" w:cs="Times New Roman"/>
          <w:sz w:val="24"/>
          <w:szCs w:val="24"/>
        </w:rPr>
        <w:t xml:space="preserve">, edited by </w:t>
      </w:r>
      <w:r w:rsidRPr="00BA2DBB">
        <w:rPr>
          <w:rFonts w:ascii="Times New Roman" w:hAnsi="Times New Roman" w:cs="Times New Roman"/>
          <w:smallCaps/>
          <w:sz w:val="24"/>
          <w:szCs w:val="24"/>
        </w:rPr>
        <w:t>M.A. Picelli</w:t>
      </w:r>
      <w:r w:rsidRPr="00BA2DBB">
        <w:rPr>
          <w:rFonts w:ascii="Times New Roman" w:hAnsi="Times New Roman" w:cs="Times New Roman"/>
          <w:sz w:val="24"/>
          <w:szCs w:val="24"/>
        </w:rPr>
        <w:t>, Cambridge, Massachusetts, Harward University Press, 2016, vol. I.</w:t>
      </w:r>
    </w:p>
    <w:p w14:paraId="794F232D" w14:textId="77777777" w:rsidR="00796A9D" w:rsidRPr="00460EC0" w:rsidRDefault="00796A9D" w:rsidP="00796A9D">
      <w:pPr>
        <w:jc w:val="both"/>
        <w:rPr>
          <w:rFonts w:ascii="Times New Roman" w:hAnsi="Times New Roman" w:cs="Times New Roman"/>
          <w:sz w:val="24"/>
          <w:szCs w:val="24"/>
        </w:rPr>
      </w:pPr>
      <w:r w:rsidRPr="00460EC0">
        <w:rPr>
          <w:rFonts w:ascii="Times New Roman" w:hAnsi="Times New Roman" w:cs="Times New Roman"/>
          <w:smallCaps/>
          <w:sz w:val="24"/>
          <w:szCs w:val="24"/>
        </w:rPr>
        <w:t>G.F. Foresti,</w:t>
      </w:r>
      <w:r w:rsidRPr="00460EC0">
        <w:rPr>
          <w:rFonts w:ascii="Times New Roman" w:hAnsi="Times New Roman" w:cs="Times New Roman"/>
          <w:sz w:val="24"/>
          <w:szCs w:val="24"/>
        </w:rPr>
        <w:t xml:space="preserve"> </w:t>
      </w:r>
      <w:r w:rsidRPr="00460EC0">
        <w:rPr>
          <w:rFonts w:ascii="Times New Roman" w:hAnsi="Times New Roman" w:cs="Times New Roman"/>
          <w:i/>
          <w:sz w:val="24"/>
          <w:szCs w:val="24"/>
        </w:rPr>
        <w:t>Supplementum chronicarum</w:t>
      </w:r>
      <w:r w:rsidRPr="00460EC0">
        <w:rPr>
          <w:rFonts w:ascii="Times New Roman" w:hAnsi="Times New Roman" w:cs="Times New Roman"/>
          <w:sz w:val="24"/>
          <w:szCs w:val="24"/>
        </w:rPr>
        <w:t>, Venezia, Bernardino de’ Benaliis, 1486</w:t>
      </w:r>
      <w:r>
        <w:rPr>
          <w:rFonts w:ascii="Times New Roman" w:hAnsi="Times New Roman" w:cs="Times New Roman"/>
          <w:sz w:val="24"/>
          <w:szCs w:val="24"/>
        </w:rPr>
        <w:t>.</w:t>
      </w:r>
    </w:p>
    <w:p w14:paraId="6C056118" w14:textId="77777777" w:rsidR="00796A9D" w:rsidRDefault="00796A9D" w:rsidP="00796A9D">
      <w:pPr>
        <w:jc w:val="both"/>
        <w:rPr>
          <w:rFonts w:ascii="Times New Roman" w:hAnsi="Times New Roman" w:cs="Times New Roman"/>
          <w:sz w:val="24"/>
          <w:szCs w:val="24"/>
        </w:rPr>
      </w:pPr>
      <w:r w:rsidRPr="00BA2DBB">
        <w:rPr>
          <w:rFonts w:ascii="Times New Roman" w:hAnsi="Times New Roman" w:cs="Times New Roman"/>
          <w:smallCaps/>
          <w:sz w:val="24"/>
          <w:szCs w:val="24"/>
        </w:rPr>
        <w:t>G.M. Fusco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capitoli dell’Ordine dell’Armellino</w:t>
      </w:r>
      <w:r w:rsidRPr="00BA2DBB">
        <w:rPr>
          <w:rFonts w:ascii="Times New Roman" w:hAnsi="Times New Roman" w:cs="Times New Roman"/>
          <w:sz w:val="24"/>
          <w:szCs w:val="24"/>
        </w:rPr>
        <w:t>, Napoli, Coster, 1845.</w:t>
      </w:r>
    </w:p>
    <w:p w14:paraId="256AB75A" w14:textId="77777777" w:rsidR="00796A9D" w:rsidRPr="008E6E70" w:rsidRDefault="00796A9D" w:rsidP="00796A9D">
      <w:pPr>
        <w:jc w:val="both"/>
        <w:rPr>
          <w:rFonts w:ascii="Times New Roman" w:hAnsi="Times New Roman" w:cs="Times New Roman"/>
          <w:sz w:val="24"/>
          <w:szCs w:val="24"/>
        </w:rPr>
      </w:pPr>
      <w:r w:rsidRPr="008E6E70">
        <w:rPr>
          <w:rFonts w:ascii="Times New Roman" w:hAnsi="Times New Roman" w:cs="Times New Roman"/>
          <w:smallCaps/>
          <w:sz w:val="24"/>
          <w:szCs w:val="24"/>
        </w:rPr>
        <w:t>Guglielmo Ebreo da Pesaro</w:t>
      </w:r>
      <w:r w:rsidRPr="008E6E70">
        <w:rPr>
          <w:rFonts w:ascii="Times New Roman" w:hAnsi="Times New Roman" w:cs="Times New Roman"/>
          <w:sz w:val="24"/>
          <w:szCs w:val="24"/>
        </w:rPr>
        <w:t xml:space="preserve">, </w:t>
      </w:r>
      <w:r w:rsidRPr="008E6E70">
        <w:rPr>
          <w:rFonts w:ascii="Times New Roman" w:hAnsi="Times New Roman" w:cs="Times New Roman"/>
          <w:i/>
          <w:sz w:val="24"/>
          <w:szCs w:val="24"/>
        </w:rPr>
        <w:t>De pratica seu arte tripudii</w:t>
      </w:r>
      <w:r w:rsidRPr="008E6E70">
        <w:rPr>
          <w:rFonts w:ascii="Times New Roman" w:hAnsi="Times New Roman" w:cs="Times New Roman"/>
          <w:sz w:val="24"/>
          <w:szCs w:val="24"/>
        </w:rPr>
        <w:t xml:space="preserve">, edited by </w:t>
      </w:r>
      <w:r w:rsidRPr="008E6E70">
        <w:rPr>
          <w:rFonts w:ascii="Times New Roman" w:hAnsi="Times New Roman" w:cs="Times New Roman"/>
          <w:smallCaps/>
          <w:sz w:val="24"/>
          <w:szCs w:val="24"/>
        </w:rPr>
        <w:t>B. Sparti</w:t>
      </w:r>
      <w:r w:rsidRPr="008E6E70">
        <w:rPr>
          <w:rFonts w:ascii="Times New Roman" w:hAnsi="Times New Roman" w:cs="Times New Roman"/>
          <w:sz w:val="24"/>
          <w:szCs w:val="24"/>
        </w:rPr>
        <w:t>, Oxford, Clarendon Press, 1993.</w:t>
      </w:r>
    </w:p>
    <w:p w14:paraId="0A08C540" w14:textId="77777777" w:rsidR="00796A9D" w:rsidRPr="00F82503" w:rsidRDefault="00796A9D" w:rsidP="00796A9D">
      <w:pPr>
        <w:jc w:val="both"/>
        <w:rPr>
          <w:rFonts w:ascii="Times New Roman" w:hAnsi="Times New Roman" w:cs="Times New Roman"/>
          <w:sz w:val="24"/>
          <w:szCs w:val="24"/>
        </w:rPr>
      </w:pPr>
      <w:r w:rsidRPr="00F82503">
        <w:rPr>
          <w:rFonts w:ascii="Times New Roman" w:hAnsi="Times New Roman" w:cs="Times New Roman"/>
          <w:i/>
          <w:sz w:val="24"/>
          <w:szCs w:val="24"/>
        </w:rPr>
        <w:t>Il Pontificalis Liber di Agostino Patrizi Piccolomini e Giovanni Burcardo (1485)</w:t>
      </w:r>
      <w:r w:rsidRPr="00F82503">
        <w:rPr>
          <w:rFonts w:ascii="Times New Roman" w:hAnsi="Times New Roman" w:cs="Times New Roman"/>
          <w:sz w:val="24"/>
          <w:szCs w:val="24"/>
        </w:rPr>
        <w:t xml:space="preserve">, a cura di M. </w:t>
      </w:r>
      <w:r w:rsidRPr="00F82503">
        <w:rPr>
          <w:rFonts w:ascii="Times New Roman" w:hAnsi="Times New Roman" w:cs="Times New Roman"/>
          <w:smallCaps/>
          <w:sz w:val="24"/>
          <w:szCs w:val="24"/>
        </w:rPr>
        <w:t>Sodi</w:t>
      </w:r>
      <w:r w:rsidRPr="00F82503">
        <w:rPr>
          <w:rFonts w:ascii="Times New Roman" w:hAnsi="Times New Roman" w:cs="Times New Roman"/>
          <w:sz w:val="24"/>
          <w:szCs w:val="24"/>
        </w:rPr>
        <w:t>, Città del Vaticano, Libreria Editrice Vaticana, 2006.</w:t>
      </w:r>
    </w:p>
    <w:p w14:paraId="0D83DBA7" w14:textId="77777777" w:rsidR="00796A9D" w:rsidRPr="00E04305" w:rsidRDefault="00796A9D" w:rsidP="00796A9D">
      <w:pPr>
        <w:jc w:val="both"/>
        <w:rPr>
          <w:rFonts w:ascii="Times New Roman" w:hAnsi="Times New Roman" w:cs="Times New Roman"/>
          <w:sz w:val="24"/>
          <w:szCs w:val="24"/>
        </w:rPr>
      </w:pPr>
      <w:r w:rsidRPr="00E04305">
        <w:rPr>
          <w:rFonts w:ascii="Times New Roman" w:hAnsi="Times New Roman" w:cs="Times New Roman"/>
          <w:i/>
          <w:sz w:val="24"/>
          <w:szCs w:val="24"/>
        </w:rPr>
        <w:t>Il Torneo fatto in Bologna il IV ottobre MCCCCLXX</w:t>
      </w:r>
      <w:r w:rsidRPr="00E04305">
        <w:rPr>
          <w:rFonts w:ascii="Times New Roman" w:hAnsi="Times New Roman" w:cs="Times New Roman"/>
          <w:sz w:val="24"/>
          <w:szCs w:val="24"/>
        </w:rPr>
        <w:t xml:space="preserve">, a cura di </w:t>
      </w:r>
      <w:r w:rsidRPr="00E04305">
        <w:rPr>
          <w:rFonts w:ascii="Times New Roman" w:hAnsi="Times New Roman" w:cs="Times New Roman"/>
          <w:smallCaps/>
          <w:sz w:val="24"/>
          <w:szCs w:val="24"/>
        </w:rPr>
        <w:t>A. Zambiagi</w:t>
      </w:r>
      <w:r w:rsidRPr="00E04305">
        <w:rPr>
          <w:rFonts w:ascii="Times New Roman" w:hAnsi="Times New Roman" w:cs="Times New Roman"/>
          <w:sz w:val="24"/>
          <w:szCs w:val="24"/>
        </w:rPr>
        <w:t>, Parma, Battei, 1988.</w:t>
      </w:r>
    </w:p>
    <w:p w14:paraId="168E6060" w14:textId="77777777" w:rsidR="00796A9D" w:rsidRPr="00BA2DBB" w:rsidRDefault="00796A9D" w:rsidP="00796A9D">
      <w:pPr>
        <w:jc w:val="both"/>
        <w:rPr>
          <w:rFonts w:ascii="Times New Roman" w:hAnsi="Times New Roman" w:cs="Times New Roman"/>
          <w:sz w:val="24"/>
          <w:szCs w:val="24"/>
        </w:rPr>
      </w:pPr>
      <w:r w:rsidRPr="00BA2DBB">
        <w:rPr>
          <w:rFonts w:ascii="Times New Roman" w:hAnsi="Times New Roman" w:cs="Times New Roman"/>
          <w:sz w:val="24"/>
          <w:szCs w:val="24"/>
        </w:rPr>
        <w:t xml:space="preserve">L. </w:t>
      </w:r>
      <w:r w:rsidRPr="00BA2DBB">
        <w:rPr>
          <w:rFonts w:ascii="Times New Roman" w:hAnsi="Times New Roman" w:cs="Times New Roman"/>
          <w:smallCaps/>
          <w:sz w:val="24"/>
          <w:szCs w:val="24"/>
        </w:rPr>
        <w:t>Landucci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Diario fiorentino dal 1450 al 1516</w:t>
      </w:r>
      <w:r w:rsidRPr="00BA2DBB">
        <w:rPr>
          <w:rFonts w:ascii="Times New Roman" w:hAnsi="Times New Roman" w:cs="Times New Roman"/>
          <w:sz w:val="24"/>
          <w:szCs w:val="24"/>
        </w:rPr>
        <w:t xml:space="preserve">, a cura di I. </w:t>
      </w:r>
      <w:r w:rsidRPr="00BA2DBB">
        <w:rPr>
          <w:rFonts w:ascii="Times New Roman" w:hAnsi="Times New Roman" w:cs="Times New Roman"/>
          <w:smallCaps/>
          <w:sz w:val="24"/>
          <w:szCs w:val="24"/>
        </w:rPr>
        <w:t>del Badia</w:t>
      </w:r>
      <w:r w:rsidRPr="00BA2DBB">
        <w:rPr>
          <w:rFonts w:ascii="Times New Roman" w:hAnsi="Times New Roman" w:cs="Times New Roman"/>
          <w:sz w:val="24"/>
          <w:szCs w:val="24"/>
        </w:rPr>
        <w:t>, Firenze, Sansoni, 1883.</w:t>
      </w:r>
    </w:p>
    <w:p w14:paraId="6F13FA05"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i/>
          <w:sz w:val="24"/>
          <w:szCs w:val="24"/>
        </w:rPr>
        <w:t>La Passione di Revello. Sacra rappresentazione quattrocentesca di ignoto piemontese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A. Cornagliotti</w:t>
      </w:r>
      <w:r w:rsidRPr="00BA2DBB">
        <w:rPr>
          <w:rFonts w:ascii="Times New Roman" w:hAnsi="Times New Roman" w:cs="Times New Roman"/>
          <w:sz w:val="24"/>
          <w:szCs w:val="24"/>
        </w:rPr>
        <w:t xml:space="preserve"> Torino, Centro studi piemontesi, 1976.</w:t>
      </w:r>
    </w:p>
    <w:p w14:paraId="6C6B8607" w14:textId="77777777" w:rsidR="00796A9D" w:rsidRDefault="00796A9D" w:rsidP="00796A9D">
      <w:pPr>
        <w:pStyle w:val="Testonotaapidipagina"/>
        <w:jc w:val="both"/>
        <w:rPr>
          <w:rFonts w:ascii="Times New Roman" w:hAnsi="Times New Roman" w:cs="Times New Roman"/>
          <w:sz w:val="24"/>
          <w:szCs w:val="24"/>
        </w:rPr>
      </w:pPr>
    </w:p>
    <w:p w14:paraId="7401B041" w14:textId="77777777" w:rsidR="00796A9D" w:rsidRDefault="00796A9D" w:rsidP="00796A9D">
      <w:pPr>
        <w:pStyle w:val="Testonotaapidipagina"/>
        <w:jc w:val="both"/>
        <w:rPr>
          <w:rFonts w:ascii="Times New Roman" w:hAnsi="Times New Roman" w:cs="Times New Roman"/>
          <w:sz w:val="24"/>
          <w:szCs w:val="24"/>
        </w:rPr>
      </w:pPr>
      <w:r w:rsidRPr="00776C80">
        <w:rPr>
          <w:rFonts w:ascii="Times New Roman" w:hAnsi="Times New Roman" w:cs="Times New Roman"/>
          <w:smallCaps/>
          <w:sz w:val="24"/>
          <w:szCs w:val="24"/>
        </w:rPr>
        <w:t>L. Lazzarelli</w:t>
      </w:r>
      <w:r w:rsidRPr="00776C80">
        <w:rPr>
          <w:rFonts w:ascii="Times New Roman" w:hAnsi="Times New Roman" w:cs="Times New Roman"/>
          <w:sz w:val="24"/>
          <w:szCs w:val="24"/>
        </w:rPr>
        <w:t xml:space="preserve">, </w:t>
      </w:r>
      <w:r w:rsidRPr="00776C80">
        <w:rPr>
          <w:rFonts w:ascii="Times New Roman" w:hAnsi="Times New Roman" w:cs="Times New Roman"/>
          <w:i/>
          <w:sz w:val="24"/>
          <w:szCs w:val="24"/>
        </w:rPr>
        <w:t>De gentilium deorum imaginibus</w:t>
      </w:r>
      <w:r w:rsidRPr="00776C80">
        <w:rPr>
          <w:rFonts w:ascii="Times New Roman" w:hAnsi="Times New Roman" w:cs="Times New Roman"/>
          <w:sz w:val="24"/>
          <w:szCs w:val="24"/>
        </w:rPr>
        <w:t xml:space="preserve">, a cura di </w:t>
      </w:r>
      <w:r w:rsidRPr="00776C80">
        <w:rPr>
          <w:rFonts w:ascii="Times New Roman" w:hAnsi="Times New Roman" w:cs="Times New Roman"/>
          <w:smallCaps/>
          <w:sz w:val="24"/>
          <w:szCs w:val="24"/>
        </w:rPr>
        <w:t>C. Corfiati</w:t>
      </w:r>
      <w:r w:rsidRPr="00776C80">
        <w:rPr>
          <w:rFonts w:ascii="Times New Roman" w:hAnsi="Times New Roman" w:cs="Times New Roman"/>
          <w:sz w:val="24"/>
          <w:szCs w:val="24"/>
        </w:rPr>
        <w:t xml:space="preserve">, Messina, Centro interdipartimentale di studi umanistici, 2006.  </w:t>
      </w:r>
    </w:p>
    <w:p w14:paraId="7FD3953C" w14:textId="77777777" w:rsidR="00796A9D" w:rsidRDefault="00796A9D" w:rsidP="00796A9D">
      <w:pPr>
        <w:pStyle w:val="Testonotaapidipagina"/>
        <w:jc w:val="both"/>
        <w:rPr>
          <w:rFonts w:ascii="Times New Roman" w:hAnsi="Times New Roman" w:cs="Times New Roman"/>
          <w:sz w:val="24"/>
          <w:szCs w:val="24"/>
        </w:rPr>
      </w:pPr>
    </w:p>
    <w:p w14:paraId="73112717" w14:textId="77777777" w:rsidR="00796A9D" w:rsidRPr="00E71192" w:rsidRDefault="00796A9D" w:rsidP="00796A9D">
      <w:pPr>
        <w:pStyle w:val="Testonotaapidipagina"/>
        <w:jc w:val="both"/>
        <w:rPr>
          <w:rFonts w:ascii="Times New Roman" w:hAnsi="Times New Roman" w:cs="Times New Roman"/>
          <w:sz w:val="24"/>
          <w:szCs w:val="24"/>
        </w:rPr>
      </w:pPr>
      <w:r w:rsidRPr="00E71192">
        <w:rPr>
          <w:rFonts w:ascii="Times New Roman" w:hAnsi="Times New Roman" w:cs="Times New Roman"/>
          <w:smallCaps/>
          <w:sz w:val="24"/>
          <w:szCs w:val="24"/>
        </w:rPr>
        <w:t>L. Lazzarelli</w:t>
      </w:r>
      <w:r w:rsidRPr="00E71192">
        <w:rPr>
          <w:rFonts w:ascii="Times New Roman" w:hAnsi="Times New Roman" w:cs="Times New Roman"/>
          <w:sz w:val="24"/>
          <w:szCs w:val="24"/>
        </w:rPr>
        <w:t xml:space="preserve">, </w:t>
      </w:r>
      <w:r w:rsidRPr="00E71192">
        <w:rPr>
          <w:rFonts w:ascii="Times New Roman" w:hAnsi="Times New Roman" w:cs="Times New Roman"/>
          <w:i/>
          <w:sz w:val="24"/>
          <w:szCs w:val="24"/>
        </w:rPr>
        <w:t>Opere ermetiche</w:t>
      </w:r>
      <w:r w:rsidRPr="00E71192">
        <w:rPr>
          <w:rFonts w:ascii="Times New Roman" w:hAnsi="Times New Roman" w:cs="Times New Roman"/>
          <w:sz w:val="24"/>
          <w:szCs w:val="24"/>
        </w:rPr>
        <w:t xml:space="preserve">, a cura di </w:t>
      </w:r>
      <w:r w:rsidRPr="00E71192">
        <w:rPr>
          <w:rFonts w:ascii="Times New Roman" w:hAnsi="Times New Roman" w:cs="Times New Roman"/>
          <w:smallCaps/>
          <w:sz w:val="24"/>
          <w:szCs w:val="24"/>
        </w:rPr>
        <w:t>C. Moreschini, M.P. Saci, F. Troncarelli</w:t>
      </w:r>
      <w:r w:rsidRPr="00E71192">
        <w:rPr>
          <w:rFonts w:ascii="Times New Roman" w:hAnsi="Times New Roman" w:cs="Times New Roman"/>
          <w:sz w:val="24"/>
          <w:szCs w:val="24"/>
        </w:rPr>
        <w:t>, Pisa, Fabrizio Serra, 2009.</w:t>
      </w:r>
    </w:p>
    <w:p w14:paraId="741586C7" w14:textId="77777777" w:rsidR="00796A9D" w:rsidRPr="00BA2DBB" w:rsidRDefault="00796A9D" w:rsidP="00796A9D">
      <w:pPr>
        <w:pStyle w:val="Testonotaapidipagina"/>
        <w:jc w:val="both"/>
        <w:rPr>
          <w:rFonts w:ascii="Times New Roman" w:hAnsi="Times New Roman" w:cs="Times New Roman"/>
          <w:sz w:val="24"/>
          <w:szCs w:val="24"/>
        </w:rPr>
      </w:pPr>
    </w:p>
    <w:p w14:paraId="78E07002" w14:textId="77777777" w:rsidR="00796A9D" w:rsidRPr="00BA2DBB" w:rsidRDefault="00796A9D" w:rsidP="00796A9D">
      <w:pPr>
        <w:jc w:val="both"/>
        <w:rPr>
          <w:rFonts w:ascii="Times New Roman" w:hAnsi="Times New Roman" w:cs="Times New Roman"/>
          <w:smallCaps/>
          <w:sz w:val="24"/>
          <w:szCs w:val="24"/>
        </w:rPr>
      </w:pPr>
      <w:r w:rsidRPr="00BA2DBB">
        <w:rPr>
          <w:rFonts w:ascii="Times New Roman" w:hAnsi="Times New Roman" w:cs="Times New Roman"/>
          <w:smallCaps/>
          <w:sz w:val="24"/>
          <w:szCs w:val="24"/>
        </w:rPr>
        <w:t>G. Manetti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De vita ac gestis Nicolai Quinti Summi Pontificis</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A. Modigliani</w:t>
      </w:r>
      <w:r w:rsidRPr="00BA2DBB">
        <w:rPr>
          <w:rFonts w:ascii="Times New Roman" w:hAnsi="Times New Roman" w:cs="Times New Roman"/>
          <w:sz w:val="24"/>
          <w:szCs w:val="24"/>
        </w:rPr>
        <w:t>, Rerum Italicarum Scriptores, VI, 2005.</w:t>
      </w:r>
      <w:r w:rsidRPr="00BA2DBB">
        <w:rPr>
          <w:rFonts w:ascii="Times New Roman" w:hAnsi="Times New Roman" w:cs="Times New Roman"/>
          <w:smallCaps/>
          <w:sz w:val="24"/>
          <w:szCs w:val="24"/>
        </w:rPr>
        <w:t xml:space="preserve"> </w:t>
      </w:r>
    </w:p>
    <w:p w14:paraId="5535F656" w14:textId="77777777" w:rsidR="00796A9D" w:rsidRDefault="00796A9D" w:rsidP="00796A9D">
      <w:pPr>
        <w:jc w:val="both"/>
        <w:rPr>
          <w:rFonts w:ascii="Times New Roman" w:hAnsi="Times New Roman" w:cs="Times New Roman"/>
          <w:sz w:val="24"/>
          <w:szCs w:val="24"/>
        </w:rPr>
      </w:pPr>
      <w:r w:rsidRPr="00BA2DBB">
        <w:rPr>
          <w:rFonts w:ascii="Times New Roman" w:hAnsi="Times New Roman" w:cs="Times New Roman"/>
          <w:smallCaps/>
          <w:sz w:val="24"/>
          <w:szCs w:val="24"/>
        </w:rPr>
        <w:t>D. Mansi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Pii II Pont. Max. orationes</w:t>
      </w:r>
      <w:r w:rsidRPr="00BA2DBB">
        <w:rPr>
          <w:rFonts w:ascii="Times New Roman" w:hAnsi="Times New Roman" w:cs="Times New Roman"/>
          <w:sz w:val="24"/>
          <w:szCs w:val="24"/>
        </w:rPr>
        <w:t>, Lucca, 1757.</w:t>
      </w:r>
    </w:p>
    <w:p w14:paraId="12381397" w14:textId="77777777" w:rsidR="00796A9D" w:rsidRDefault="00796A9D" w:rsidP="00796A9D">
      <w:pPr>
        <w:jc w:val="both"/>
        <w:rPr>
          <w:rFonts w:ascii="Times New Roman" w:hAnsi="Times New Roman" w:cs="Times New Roman"/>
          <w:sz w:val="24"/>
          <w:szCs w:val="24"/>
        </w:rPr>
      </w:pPr>
      <w:r w:rsidRPr="006247C1">
        <w:rPr>
          <w:rFonts w:ascii="Times New Roman" w:hAnsi="Times New Roman" w:cs="Times New Roman"/>
          <w:smallCaps/>
          <w:sz w:val="24"/>
          <w:szCs w:val="24"/>
        </w:rPr>
        <w:t>G. Nadi</w:t>
      </w:r>
      <w:r w:rsidRPr="006247C1">
        <w:rPr>
          <w:rFonts w:ascii="Times New Roman" w:hAnsi="Times New Roman" w:cs="Times New Roman"/>
          <w:sz w:val="24"/>
          <w:szCs w:val="24"/>
        </w:rPr>
        <w:t xml:space="preserve">, </w:t>
      </w:r>
      <w:r w:rsidRPr="006247C1">
        <w:rPr>
          <w:rFonts w:ascii="Times New Roman" w:hAnsi="Times New Roman" w:cs="Times New Roman"/>
          <w:i/>
          <w:sz w:val="24"/>
          <w:szCs w:val="24"/>
        </w:rPr>
        <w:t>Diario bolognese</w:t>
      </w:r>
      <w:r w:rsidRPr="006247C1">
        <w:rPr>
          <w:rFonts w:ascii="Times New Roman" w:hAnsi="Times New Roman" w:cs="Times New Roman"/>
          <w:sz w:val="24"/>
          <w:szCs w:val="24"/>
        </w:rPr>
        <w:t xml:space="preserve">, a cura di </w:t>
      </w:r>
      <w:r w:rsidRPr="006247C1">
        <w:rPr>
          <w:rFonts w:ascii="Times New Roman" w:hAnsi="Times New Roman" w:cs="Times New Roman"/>
          <w:smallCaps/>
          <w:sz w:val="24"/>
          <w:szCs w:val="24"/>
        </w:rPr>
        <w:t>C. Ricci, A. Bacchi della Lega</w:t>
      </w:r>
      <w:r w:rsidRPr="006247C1">
        <w:rPr>
          <w:rFonts w:ascii="Times New Roman" w:hAnsi="Times New Roman" w:cs="Times New Roman"/>
          <w:sz w:val="24"/>
          <w:szCs w:val="24"/>
        </w:rPr>
        <w:t>, Bologna, Romagnoli, 1886.</w:t>
      </w:r>
    </w:p>
    <w:p w14:paraId="0C54533D" w14:textId="77777777" w:rsidR="00796A9D" w:rsidRPr="00BA2DBB" w:rsidRDefault="00796A9D" w:rsidP="00796A9D">
      <w:pPr>
        <w:jc w:val="both"/>
        <w:rPr>
          <w:rFonts w:ascii="Times New Roman" w:hAnsi="Times New Roman" w:cs="Times New Roman"/>
          <w:sz w:val="24"/>
          <w:szCs w:val="24"/>
        </w:rPr>
      </w:pPr>
      <w:r w:rsidRPr="00BA2DBB">
        <w:rPr>
          <w:rFonts w:ascii="Times New Roman" w:hAnsi="Times New Roman" w:cs="Times New Roman"/>
          <w:smallCaps/>
          <w:sz w:val="24"/>
          <w:szCs w:val="24"/>
        </w:rPr>
        <w:t>N. Naldi</w:t>
      </w:r>
      <w:r>
        <w:rPr>
          <w:rFonts w:ascii="Times New Roman" w:hAnsi="Times New Roman" w:cs="Times New Roman"/>
          <w:smallCaps/>
          <w:sz w:val="24"/>
          <w:szCs w:val="24"/>
        </w:rPr>
        <w:t>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Elegiarum libri III ad Laurentium Medicem</w:t>
      </w:r>
      <w:r w:rsidRPr="00BA2DBB">
        <w:rPr>
          <w:rFonts w:ascii="Times New Roman" w:hAnsi="Times New Roman" w:cs="Times New Roman"/>
          <w:sz w:val="24"/>
          <w:szCs w:val="24"/>
        </w:rPr>
        <w:t xml:space="preserve">, edidit </w:t>
      </w:r>
      <w:r w:rsidRPr="00BA2DBB">
        <w:rPr>
          <w:rFonts w:ascii="Times New Roman" w:hAnsi="Times New Roman" w:cs="Times New Roman"/>
          <w:smallCaps/>
          <w:sz w:val="24"/>
          <w:szCs w:val="24"/>
        </w:rPr>
        <w:t>L. Juhász</w:t>
      </w:r>
      <w:r w:rsidRPr="00BA2DBB">
        <w:rPr>
          <w:rFonts w:ascii="Times New Roman" w:hAnsi="Times New Roman" w:cs="Times New Roman"/>
          <w:sz w:val="24"/>
          <w:szCs w:val="24"/>
        </w:rPr>
        <w:t>, Leipzig, 1934.</w:t>
      </w:r>
    </w:p>
    <w:p w14:paraId="1A09F44C" w14:textId="77777777" w:rsidR="00796A9D" w:rsidRPr="00BA2DBB" w:rsidRDefault="00796A9D" w:rsidP="00796A9D">
      <w:pPr>
        <w:jc w:val="both"/>
        <w:rPr>
          <w:rFonts w:ascii="Times New Roman" w:hAnsi="Times New Roman" w:cs="Times New Roman"/>
          <w:smallCaps/>
          <w:sz w:val="24"/>
          <w:szCs w:val="24"/>
        </w:rPr>
      </w:pPr>
      <w:r w:rsidRPr="00BA2DBB">
        <w:rPr>
          <w:rFonts w:ascii="Times New Roman" w:hAnsi="Times New Roman" w:cs="Times New Roman"/>
          <w:smallCaps/>
          <w:sz w:val="24"/>
          <w:szCs w:val="24"/>
        </w:rPr>
        <w:t>N. Naldii Florentini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Bucolica, Volaterrais, Hastiludium, Carmina varia</w:t>
      </w:r>
      <w:r w:rsidRPr="00BA2DBB">
        <w:rPr>
          <w:rFonts w:ascii="Times New Roman" w:hAnsi="Times New Roman" w:cs="Times New Roman"/>
          <w:sz w:val="24"/>
          <w:szCs w:val="24"/>
        </w:rPr>
        <w:t xml:space="preserve">, Edidit </w:t>
      </w:r>
      <w:r w:rsidRPr="00BA2DBB">
        <w:rPr>
          <w:rFonts w:ascii="Times New Roman" w:hAnsi="Times New Roman" w:cs="Times New Roman"/>
          <w:smallCaps/>
          <w:sz w:val="24"/>
          <w:szCs w:val="24"/>
        </w:rPr>
        <w:t>W.L. Grant</w:t>
      </w:r>
      <w:r w:rsidRPr="00BA2DBB">
        <w:rPr>
          <w:rFonts w:ascii="Times New Roman" w:hAnsi="Times New Roman" w:cs="Times New Roman"/>
          <w:sz w:val="24"/>
          <w:szCs w:val="24"/>
        </w:rPr>
        <w:t xml:space="preserve">, Firenze, Olschki, 1974. </w:t>
      </w:r>
    </w:p>
    <w:p w14:paraId="0AEDD6BD" w14:textId="77777777" w:rsidR="00796A9D" w:rsidRPr="00227920" w:rsidRDefault="00796A9D" w:rsidP="00796A9D">
      <w:pPr>
        <w:pStyle w:val="Testonotaapidipagina"/>
        <w:jc w:val="both"/>
        <w:rPr>
          <w:rFonts w:ascii="Times New Roman" w:hAnsi="Times New Roman" w:cs="Times New Roman"/>
          <w:sz w:val="24"/>
          <w:szCs w:val="24"/>
        </w:rPr>
      </w:pPr>
      <w:r w:rsidRPr="00227920">
        <w:rPr>
          <w:rFonts w:ascii="Times New Roman" w:hAnsi="Times New Roman" w:cs="Times New Roman"/>
          <w:i/>
          <w:sz w:val="24"/>
          <w:szCs w:val="24"/>
        </w:rPr>
        <w:t xml:space="preserve">Ordine et officij de casa de lo illustrissimo signor duca de Urbino, </w:t>
      </w:r>
      <w:r w:rsidRPr="00227920">
        <w:rPr>
          <w:rFonts w:ascii="Times New Roman" w:hAnsi="Times New Roman" w:cs="Times New Roman"/>
          <w:sz w:val="24"/>
          <w:szCs w:val="24"/>
        </w:rPr>
        <w:t xml:space="preserve">a cura di </w:t>
      </w:r>
      <w:r w:rsidRPr="00227920">
        <w:rPr>
          <w:rFonts w:ascii="Times New Roman" w:hAnsi="Times New Roman" w:cs="Times New Roman"/>
          <w:smallCaps/>
          <w:sz w:val="24"/>
          <w:szCs w:val="24"/>
        </w:rPr>
        <w:t>S. Eiche</w:t>
      </w:r>
      <w:r w:rsidRPr="00227920">
        <w:rPr>
          <w:rFonts w:ascii="Times New Roman" w:hAnsi="Times New Roman" w:cs="Times New Roman"/>
          <w:sz w:val="24"/>
          <w:szCs w:val="24"/>
        </w:rPr>
        <w:t xml:space="preserve">, Urbino, Accademia Raffaello, 1999. </w:t>
      </w:r>
    </w:p>
    <w:p w14:paraId="6153BCF1" w14:textId="77777777" w:rsidR="00796A9D" w:rsidRPr="00227920" w:rsidRDefault="00796A9D" w:rsidP="00796A9D">
      <w:pPr>
        <w:pStyle w:val="Testonotaapidipagina"/>
        <w:jc w:val="both"/>
        <w:rPr>
          <w:rFonts w:ascii="Times New Roman" w:hAnsi="Times New Roman" w:cs="Times New Roman"/>
        </w:rPr>
      </w:pPr>
    </w:p>
    <w:p w14:paraId="648450CD" w14:textId="77777777" w:rsidR="00796A9D" w:rsidRDefault="00796A9D" w:rsidP="00796A9D">
      <w:pPr>
        <w:jc w:val="both"/>
        <w:rPr>
          <w:rFonts w:ascii="Times New Roman" w:hAnsi="Times New Roman" w:cs="Times New Roman"/>
          <w:sz w:val="24"/>
          <w:szCs w:val="24"/>
        </w:rPr>
      </w:pPr>
      <w:r w:rsidRPr="00BA2DBB">
        <w:rPr>
          <w:rFonts w:ascii="Times New Roman" w:hAnsi="Times New Roman" w:cs="Times New Roman"/>
          <w:smallCaps/>
          <w:sz w:val="24"/>
          <w:szCs w:val="24"/>
        </w:rPr>
        <w:t>A. Panormita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Alphonsi regis triumphus</w:t>
      </w:r>
      <w:r w:rsidRPr="00BA2DBB">
        <w:rPr>
          <w:rFonts w:ascii="Times New Roman" w:hAnsi="Times New Roman" w:cs="Times New Roman"/>
          <w:sz w:val="24"/>
          <w:szCs w:val="24"/>
        </w:rPr>
        <w:t xml:space="preserve">, in </w:t>
      </w:r>
      <w:r w:rsidRPr="00BA2DBB">
        <w:rPr>
          <w:rFonts w:ascii="Times New Roman" w:hAnsi="Times New Roman" w:cs="Times New Roman"/>
          <w:smallCaps/>
          <w:sz w:val="24"/>
          <w:szCs w:val="24"/>
        </w:rPr>
        <w:t>Idem</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 xml:space="preserve">De dictis et factis Alphonsi regis Aragonum libri </w:t>
      </w:r>
      <w:r w:rsidRPr="00816318">
        <w:rPr>
          <w:rFonts w:ascii="Times New Roman" w:hAnsi="Times New Roman" w:cs="Times New Roman"/>
          <w:i/>
          <w:sz w:val="24"/>
          <w:szCs w:val="24"/>
        </w:rPr>
        <w:t>quatuor</w:t>
      </w:r>
      <w:r w:rsidRPr="00816318">
        <w:rPr>
          <w:rFonts w:ascii="Times New Roman" w:hAnsi="Times New Roman" w:cs="Times New Roman"/>
          <w:sz w:val="24"/>
          <w:szCs w:val="24"/>
        </w:rPr>
        <w:t>, J. Spiegel, Basileae, Officina Hervagiana, 1538.</w:t>
      </w:r>
    </w:p>
    <w:p w14:paraId="431CADDA" w14:textId="77777777" w:rsidR="00796A9D" w:rsidRPr="00DF64C6" w:rsidRDefault="00796A9D" w:rsidP="00796A9D">
      <w:pPr>
        <w:jc w:val="both"/>
        <w:rPr>
          <w:rFonts w:ascii="Times New Roman" w:hAnsi="Times New Roman" w:cs="Times New Roman"/>
          <w:sz w:val="24"/>
          <w:szCs w:val="24"/>
        </w:rPr>
      </w:pPr>
      <w:r w:rsidRPr="00DF64C6">
        <w:rPr>
          <w:rFonts w:ascii="Times New Roman" w:hAnsi="Times New Roman" w:cs="Times New Roman"/>
          <w:smallCaps/>
          <w:sz w:val="24"/>
          <w:szCs w:val="24"/>
        </w:rPr>
        <w:t>M. Parenti</w:t>
      </w:r>
      <w:r w:rsidRPr="00DF64C6">
        <w:rPr>
          <w:rFonts w:ascii="Times New Roman" w:hAnsi="Times New Roman" w:cs="Times New Roman"/>
          <w:sz w:val="24"/>
          <w:szCs w:val="24"/>
        </w:rPr>
        <w:t xml:space="preserve">, </w:t>
      </w:r>
      <w:r w:rsidRPr="00DF64C6">
        <w:rPr>
          <w:rFonts w:ascii="Times New Roman" w:hAnsi="Times New Roman" w:cs="Times New Roman"/>
          <w:i/>
          <w:sz w:val="24"/>
          <w:szCs w:val="24"/>
        </w:rPr>
        <w:t>Lettere</w:t>
      </w:r>
      <w:r w:rsidRPr="00DF64C6">
        <w:rPr>
          <w:rFonts w:ascii="Times New Roman" w:hAnsi="Times New Roman" w:cs="Times New Roman"/>
          <w:sz w:val="24"/>
          <w:szCs w:val="24"/>
        </w:rPr>
        <w:t xml:space="preserve">, a cura di </w:t>
      </w:r>
      <w:r w:rsidRPr="00DF64C6">
        <w:rPr>
          <w:rFonts w:ascii="Times New Roman" w:hAnsi="Times New Roman" w:cs="Times New Roman"/>
          <w:smallCaps/>
          <w:sz w:val="24"/>
          <w:szCs w:val="24"/>
        </w:rPr>
        <w:t>M. Marrese</w:t>
      </w:r>
      <w:r w:rsidRPr="00DF64C6">
        <w:rPr>
          <w:rFonts w:ascii="Times New Roman" w:hAnsi="Times New Roman" w:cs="Times New Roman"/>
          <w:sz w:val="24"/>
          <w:szCs w:val="24"/>
        </w:rPr>
        <w:t>, Firenze, Olschki, 1996</w:t>
      </w:r>
      <w:r>
        <w:rPr>
          <w:rFonts w:ascii="Times New Roman" w:hAnsi="Times New Roman" w:cs="Times New Roman"/>
          <w:sz w:val="24"/>
          <w:szCs w:val="24"/>
        </w:rPr>
        <w:t>.</w:t>
      </w:r>
    </w:p>
    <w:p w14:paraId="3E4654D2" w14:textId="77777777" w:rsidR="00796A9D" w:rsidRDefault="00796A9D" w:rsidP="00796A9D">
      <w:pPr>
        <w:jc w:val="both"/>
        <w:rPr>
          <w:rFonts w:ascii="Times New Roman" w:hAnsi="Times New Roman" w:cs="Times New Roman"/>
          <w:sz w:val="24"/>
          <w:szCs w:val="24"/>
        </w:rPr>
      </w:pPr>
      <w:r w:rsidRPr="00BA2DBB">
        <w:rPr>
          <w:rFonts w:ascii="Times New Roman" w:hAnsi="Times New Roman" w:cs="Times New Roman"/>
          <w:sz w:val="24"/>
          <w:szCs w:val="24"/>
        </w:rPr>
        <w:t xml:space="preserve">A. </w:t>
      </w:r>
      <w:r w:rsidRPr="00BA2DBB">
        <w:rPr>
          <w:rFonts w:ascii="Times New Roman" w:hAnsi="Times New Roman" w:cs="Times New Roman"/>
          <w:smallCaps/>
          <w:sz w:val="24"/>
          <w:szCs w:val="24"/>
        </w:rPr>
        <w:t>Poliziano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Stanze per la giostra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F. Bausi</w:t>
      </w:r>
      <w:r w:rsidRPr="00BA2DBB">
        <w:rPr>
          <w:rFonts w:ascii="Times New Roman" w:hAnsi="Times New Roman" w:cs="Times New Roman"/>
          <w:sz w:val="24"/>
          <w:szCs w:val="24"/>
        </w:rPr>
        <w:t>, Messina, Dipartimento di studi umanistici Università della Calabria, 2016.</w:t>
      </w:r>
    </w:p>
    <w:p w14:paraId="2B30C0DA" w14:textId="77777777" w:rsidR="00796A9D" w:rsidRPr="008972E1" w:rsidRDefault="00796A9D" w:rsidP="00796A9D">
      <w:pPr>
        <w:jc w:val="both"/>
        <w:rPr>
          <w:rFonts w:ascii="Times New Roman" w:hAnsi="Times New Roman" w:cs="Times New Roman"/>
          <w:sz w:val="24"/>
          <w:szCs w:val="24"/>
        </w:rPr>
      </w:pPr>
      <w:r w:rsidRPr="008972E1">
        <w:rPr>
          <w:rFonts w:ascii="Times New Roman" w:hAnsi="Times New Roman" w:cs="Times New Roman"/>
          <w:smallCaps/>
          <w:sz w:val="24"/>
          <w:szCs w:val="24"/>
        </w:rPr>
        <w:t>G. Pontano</w:t>
      </w:r>
      <w:r w:rsidRPr="008972E1">
        <w:rPr>
          <w:rFonts w:ascii="Times New Roman" w:hAnsi="Times New Roman" w:cs="Times New Roman"/>
          <w:sz w:val="24"/>
          <w:szCs w:val="24"/>
        </w:rPr>
        <w:t xml:space="preserve">, </w:t>
      </w:r>
      <w:r w:rsidRPr="008972E1">
        <w:rPr>
          <w:rFonts w:ascii="Times New Roman" w:hAnsi="Times New Roman" w:cs="Times New Roman"/>
          <w:i/>
          <w:sz w:val="24"/>
          <w:szCs w:val="24"/>
        </w:rPr>
        <w:t>I libri delle virtù sociali</w:t>
      </w:r>
      <w:r w:rsidRPr="008972E1">
        <w:rPr>
          <w:rFonts w:ascii="Times New Roman" w:hAnsi="Times New Roman" w:cs="Times New Roman"/>
          <w:sz w:val="24"/>
          <w:szCs w:val="24"/>
        </w:rPr>
        <w:t xml:space="preserve">, a cura di </w:t>
      </w:r>
      <w:r w:rsidRPr="008972E1">
        <w:rPr>
          <w:rFonts w:ascii="Times New Roman" w:hAnsi="Times New Roman" w:cs="Times New Roman"/>
          <w:smallCaps/>
          <w:sz w:val="24"/>
          <w:szCs w:val="24"/>
        </w:rPr>
        <w:t>F. Tateo</w:t>
      </w:r>
      <w:r w:rsidRPr="008972E1">
        <w:rPr>
          <w:rFonts w:ascii="Times New Roman" w:hAnsi="Times New Roman" w:cs="Times New Roman"/>
          <w:sz w:val="24"/>
          <w:szCs w:val="24"/>
        </w:rPr>
        <w:t>, Roma, Bulzoni, 1999.</w:t>
      </w:r>
    </w:p>
    <w:p w14:paraId="08632664" w14:textId="77777777" w:rsidR="00796A9D" w:rsidRPr="00BA2DBB" w:rsidRDefault="00796A9D" w:rsidP="00796A9D">
      <w:pPr>
        <w:jc w:val="both"/>
        <w:rPr>
          <w:rFonts w:ascii="Times New Roman" w:hAnsi="Times New Roman" w:cs="Times New Roman"/>
          <w:sz w:val="24"/>
          <w:szCs w:val="24"/>
        </w:rPr>
      </w:pPr>
      <w:r w:rsidRPr="00372DF6">
        <w:rPr>
          <w:rFonts w:ascii="Times New Roman" w:hAnsi="Times New Roman" w:cs="Times New Roman"/>
          <w:sz w:val="24"/>
          <w:szCs w:val="24"/>
        </w:rPr>
        <w:t xml:space="preserve">P. </w:t>
      </w:r>
      <w:r w:rsidRPr="00372DF6">
        <w:rPr>
          <w:rFonts w:ascii="Times New Roman" w:hAnsi="Times New Roman" w:cs="Times New Roman"/>
          <w:smallCaps/>
          <w:sz w:val="24"/>
          <w:szCs w:val="24"/>
        </w:rPr>
        <w:t>Prisciani</w:t>
      </w:r>
      <w:r w:rsidRPr="00372DF6">
        <w:rPr>
          <w:rFonts w:ascii="Times New Roman" w:hAnsi="Times New Roman" w:cs="Times New Roman"/>
          <w:sz w:val="24"/>
          <w:szCs w:val="24"/>
        </w:rPr>
        <w:t xml:space="preserve">, </w:t>
      </w:r>
      <w:r w:rsidRPr="00372DF6">
        <w:rPr>
          <w:rFonts w:ascii="Times New Roman" w:hAnsi="Times New Roman" w:cs="Times New Roman"/>
          <w:i/>
          <w:sz w:val="24"/>
          <w:szCs w:val="24"/>
        </w:rPr>
        <w:t>Spectacula</w:t>
      </w:r>
      <w:r w:rsidRPr="00372DF6">
        <w:rPr>
          <w:rFonts w:ascii="Times New Roman" w:hAnsi="Times New Roman" w:cs="Times New Roman"/>
          <w:sz w:val="24"/>
          <w:szCs w:val="24"/>
        </w:rPr>
        <w:t xml:space="preserve">, a cura di A. </w:t>
      </w:r>
      <w:r w:rsidRPr="00372DF6">
        <w:rPr>
          <w:rFonts w:ascii="Times New Roman" w:hAnsi="Times New Roman" w:cs="Times New Roman"/>
          <w:smallCaps/>
          <w:sz w:val="24"/>
          <w:szCs w:val="24"/>
        </w:rPr>
        <w:t>Barbagli</w:t>
      </w:r>
      <w:r w:rsidRPr="00372DF6">
        <w:rPr>
          <w:rFonts w:ascii="Times New Roman" w:hAnsi="Times New Roman" w:cs="Times New Roman"/>
          <w:sz w:val="24"/>
          <w:szCs w:val="24"/>
        </w:rPr>
        <w:t>, Modena, Panini, 1992</w:t>
      </w:r>
      <w:r>
        <w:rPr>
          <w:rFonts w:ascii="Times New Roman" w:hAnsi="Times New Roman" w:cs="Times New Roman"/>
        </w:rPr>
        <w:t>.</w:t>
      </w:r>
    </w:p>
    <w:p w14:paraId="5EC490D6" w14:textId="77777777" w:rsidR="00796A9D" w:rsidRPr="00816318" w:rsidRDefault="00796A9D" w:rsidP="00796A9D">
      <w:pPr>
        <w:jc w:val="both"/>
        <w:rPr>
          <w:rFonts w:ascii="Times New Roman" w:hAnsi="Times New Roman" w:cs="Times New Roman"/>
          <w:smallCaps/>
          <w:sz w:val="24"/>
          <w:szCs w:val="24"/>
        </w:rPr>
      </w:pPr>
      <w:r w:rsidRPr="00816318">
        <w:rPr>
          <w:rFonts w:ascii="Times New Roman" w:hAnsi="Times New Roman" w:cs="Times New Roman"/>
          <w:smallCaps/>
          <w:sz w:val="24"/>
          <w:szCs w:val="24"/>
        </w:rPr>
        <w:t>A. Raniero da Pesaro</w:t>
      </w:r>
      <w:r w:rsidRPr="00816318">
        <w:rPr>
          <w:rFonts w:ascii="Times New Roman" w:hAnsi="Times New Roman" w:cs="Times New Roman"/>
          <w:sz w:val="24"/>
          <w:szCs w:val="24"/>
        </w:rPr>
        <w:t xml:space="preserve">, </w:t>
      </w:r>
      <w:r w:rsidRPr="00816318">
        <w:rPr>
          <w:rFonts w:ascii="Times New Roman" w:hAnsi="Times New Roman" w:cs="Times New Roman"/>
          <w:i/>
          <w:sz w:val="24"/>
          <w:szCs w:val="24"/>
        </w:rPr>
        <w:t>Rime</w:t>
      </w:r>
      <w:r w:rsidRPr="00816318">
        <w:rPr>
          <w:rFonts w:ascii="Times New Roman" w:hAnsi="Times New Roman" w:cs="Times New Roman"/>
          <w:sz w:val="24"/>
          <w:szCs w:val="24"/>
        </w:rPr>
        <w:t xml:space="preserve">: </w:t>
      </w:r>
      <w:r w:rsidRPr="00816318">
        <w:rPr>
          <w:rFonts w:ascii="Times New Roman" w:hAnsi="Times New Roman" w:cs="Times New Roman"/>
          <w:i/>
          <w:sz w:val="24"/>
          <w:szCs w:val="24"/>
        </w:rPr>
        <w:t>Ravenna, Biblioteca Classense, Cod. 240</w:t>
      </w:r>
      <w:r w:rsidRPr="00816318">
        <w:rPr>
          <w:rFonts w:ascii="Times New Roman" w:hAnsi="Times New Roman" w:cs="Times New Roman"/>
          <w:sz w:val="24"/>
          <w:szCs w:val="24"/>
        </w:rPr>
        <w:t xml:space="preserve">, a cura di </w:t>
      </w:r>
      <w:r w:rsidRPr="00816318">
        <w:rPr>
          <w:rFonts w:ascii="Times New Roman" w:hAnsi="Times New Roman" w:cs="Times New Roman"/>
          <w:smallCaps/>
          <w:sz w:val="24"/>
          <w:szCs w:val="24"/>
        </w:rPr>
        <w:t>N. Cacace Saxby</w:t>
      </w:r>
      <w:r w:rsidRPr="00816318">
        <w:rPr>
          <w:rFonts w:ascii="Times New Roman" w:hAnsi="Times New Roman" w:cs="Times New Roman"/>
          <w:sz w:val="24"/>
          <w:szCs w:val="24"/>
        </w:rPr>
        <w:t>, Bologna, Commissione per i testi di lingua, 2003.</w:t>
      </w:r>
    </w:p>
    <w:p w14:paraId="35F538A9" w14:textId="77777777" w:rsidR="00796A9D" w:rsidRPr="00A33E4C" w:rsidRDefault="00796A9D" w:rsidP="00796A9D">
      <w:pPr>
        <w:jc w:val="both"/>
        <w:rPr>
          <w:rFonts w:ascii="Times New Roman" w:hAnsi="Times New Roman" w:cs="Times New Roman"/>
          <w:sz w:val="24"/>
          <w:szCs w:val="24"/>
        </w:rPr>
      </w:pPr>
      <w:r w:rsidRPr="00A33E4C">
        <w:rPr>
          <w:rFonts w:ascii="Times New Roman" w:hAnsi="Times New Roman" w:cs="Times New Roman"/>
          <w:smallCaps/>
          <w:sz w:val="24"/>
          <w:szCs w:val="24"/>
        </w:rPr>
        <w:t>C. Salutati</w:t>
      </w:r>
      <w:r w:rsidRPr="00A33E4C">
        <w:rPr>
          <w:rFonts w:ascii="Times New Roman" w:hAnsi="Times New Roman" w:cs="Times New Roman"/>
          <w:sz w:val="24"/>
          <w:szCs w:val="24"/>
        </w:rPr>
        <w:t xml:space="preserve">, </w:t>
      </w:r>
      <w:r w:rsidRPr="00A33E4C">
        <w:rPr>
          <w:rFonts w:ascii="Times New Roman" w:hAnsi="Times New Roman" w:cs="Times New Roman"/>
          <w:i/>
          <w:sz w:val="24"/>
          <w:szCs w:val="24"/>
        </w:rPr>
        <w:t>Epistolario,</w:t>
      </w:r>
      <w:r w:rsidRPr="00A33E4C">
        <w:rPr>
          <w:rFonts w:ascii="Times New Roman" w:hAnsi="Times New Roman" w:cs="Times New Roman"/>
          <w:sz w:val="24"/>
          <w:szCs w:val="24"/>
        </w:rPr>
        <w:t xml:space="preserve"> a cura di </w:t>
      </w:r>
      <w:r w:rsidRPr="00A33E4C">
        <w:rPr>
          <w:rFonts w:ascii="Times New Roman" w:hAnsi="Times New Roman" w:cs="Times New Roman"/>
          <w:smallCaps/>
          <w:sz w:val="24"/>
          <w:szCs w:val="24"/>
        </w:rPr>
        <w:t>F. Novati</w:t>
      </w:r>
      <w:r w:rsidRPr="00A33E4C">
        <w:rPr>
          <w:rFonts w:ascii="Times New Roman" w:hAnsi="Times New Roman" w:cs="Times New Roman"/>
          <w:sz w:val="24"/>
          <w:szCs w:val="24"/>
        </w:rPr>
        <w:t>, Roma, Forzani, 1896-1905, voll. III.</w:t>
      </w:r>
    </w:p>
    <w:p w14:paraId="1B8B79D9" w14:textId="77777777" w:rsidR="00796A9D" w:rsidRPr="00A33E4C" w:rsidRDefault="00796A9D" w:rsidP="00796A9D">
      <w:pPr>
        <w:jc w:val="both"/>
        <w:rPr>
          <w:rFonts w:ascii="Times New Roman" w:hAnsi="Times New Roman" w:cs="Times New Roman"/>
          <w:sz w:val="24"/>
          <w:szCs w:val="24"/>
        </w:rPr>
      </w:pPr>
      <w:r w:rsidRPr="00A33E4C">
        <w:rPr>
          <w:rFonts w:ascii="Times New Roman" w:hAnsi="Times New Roman" w:cs="Times New Roman"/>
          <w:smallCaps/>
          <w:sz w:val="24"/>
          <w:szCs w:val="24"/>
        </w:rPr>
        <w:t>F. Sanseverino</w:t>
      </w:r>
      <w:r w:rsidRPr="00A33E4C">
        <w:rPr>
          <w:rFonts w:ascii="Times New Roman" w:hAnsi="Times New Roman" w:cs="Times New Roman"/>
          <w:sz w:val="24"/>
          <w:szCs w:val="24"/>
        </w:rPr>
        <w:t xml:space="preserve">, </w:t>
      </w:r>
      <w:r w:rsidRPr="00A33E4C">
        <w:rPr>
          <w:rFonts w:ascii="Times New Roman" w:hAnsi="Times New Roman" w:cs="Times New Roman"/>
          <w:i/>
          <w:sz w:val="24"/>
          <w:szCs w:val="24"/>
        </w:rPr>
        <w:t>Venetia citta nobilissima et singolare</w:t>
      </w:r>
      <w:r w:rsidRPr="00A33E4C">
        <w:rPr>
          <w:rFonts w:ascii="Times New Roman" w:hAnsi="Times New Roman" w:cs="Times New Roman"/>
          <w:sz w:val="24"/>
          <w:szCs w:val="24"/>
        </w:rPr>
        <w:t>, Venezia, Sansovino, 1581.</w:t>
      </w:r>
    </w:p>
    <w:p w14:paraId="50CE3420" w14:textId="77777777" w:rsidR="00796A9D" w:rsidRDefault="00796A9D" w:rsidP="00796A9D">
      <w:pPr>
        <w:jc w:val="both"/>
        <w:rPr>
          <w:rFonts w:ascii="Times New Roman" w:hAnsi="Times New Roman" w:cs="Times New Roman"/>
          <w:sz w:val="24"/>
          <w:szCs w:val="24"/>
        </w:rPr>
      </w:pPr>
      <w:r w:rsidRPr="00A33E4C">
        <w:rPr>
          <w:rFonts w:ascii="Times New Roman" w:hAnsi="Times New Roman" w:cs="Times New Roman"/>
          <w:smallCaps/>
          <w:sz w:val="24"/>
          <w:szCs w:val="24"/>
        </w:rPr>
        <w:t>G. Santi</w:t>
      </w:r>
      <w:r w:rsidRPr="00A33E4C">
        <w:rPr>
          <w:rFonts w:ascii="Times New Roman" w:hAnsi="Times New Roman" w:cs="Times New Roman"/>
          <w:sz w:val="24"/>
          <w:szCs w:val="24"/>
        </w:rPr>
        <w:t xml:space="preserve">, </w:t>
      </w:r>
      <w:r w:rsidRPr="00A33E4C">
        <w:rPr>
          <w:rFonts w:ascii="Times New Roman" w:hAnsi="Times New Roman" w:cs="Times New Roman"/>
          <w:i/>
          <w:sz w:val="24"/>
          <w:szCs w:val="24"/>
        </w:rPr>
        <w:t>La vita e le gesta di Federico Duca d’Urbino</w:t>
      </w:r>
      <w:r w:rsidRPr="00A33E4C">
        <w:rPr>
          <w:rFonts w:ascii="Times New Roman" w:hAnsi="Times New Roman" w:cs="Times New Roman"/>
          <w:sz w:val="24"/>
          <w:szCs w:val="24"/>
        </w:rPr>
        <w:t>, a cura di</w:t>
      </w:r>
      <w:r w:rsidRPr="00BA2DBB">
        <w:rPr>
          <w:rFonts w:ascii="Times New Roman" w:hAnsi="Times New Roman" w:cs="Times New Roman"/>
          <w:sz w:val="24"/>
          <w:szCs w:val="24"/>
        </w:rPr>
        <w:t xml:space="preserve"> </w:t>
      </w:r>
      <w:r w:rsidRPr="00BA2DBB">
        <w:rPr>
          <w:rFonts w:ascii="Times New Roman" w:hAnsi="Times New Roman" w:cs="Times New Roman"/>
          <w:smallCaps/>
          <w:sz w:val="24"/>
          <w:szCs w:val="24"/>
        </w:rPr>
        <w:t>L. Michelini Tocci</w:t>
      </w:r>
      <w:r w:rsidRPr="00BA2DBB">
        <w:rPr>
          <w:rFonts w:ascii="Times New Roman" w:hAnsi="Times New Roman" w:cs="Times New Roman"/>
          <w:sz w:val="24"/>
          <w:szCs w:val="24"/>
        </w:rPr>
        <w:t>, Città del Vaticano, Biblioteca Apostolica Vaticana, 1985.</w:t>
      </w:r>
    </w:p>
    <w:p w14:paraId="11B2959B" w14:textId="77777777" w:rsidR="00796A9D" w:rsidRPr="008E6D09" w:rsidRDefault="00796A9D" w:rsidP="00796A9D">
      <w:pPr>
        <w:jc w:val="both"/>
        <w:rPr>
          <w:rFonts w:ascii="Times New Roman" w:hAnsi="Times New Roman" w:cs="Times New Roman"/>
          <w:sz w:val="24"/>
          <w:szCs w:val="24"/>
        </w:rPr>
      </w:pPr>
      <w:r w:rsidRPr="008E6D09">
        <w:rPr>
          <w:rFonts w:ascii="Times New Roman" w:hAnsi="Times New Roman" w:cs="Times New Roman"/>
          <w:smallCaps/>
          <w:sz w:val="24"/>
          <w:szCs w:val="24"/>
        </w:rPr>
        <w:t>M. Sanu</w:t>
      </w:r>
      <w:r w:rsidR="00056B58">
        <w:rPr>
          <w:rFonts w:ascii="Times New Roman" w:hAnsi="Times New Roman" w:cs="Times New Roman"/>
          <w:smallCaps/>
          <w:sz w:val="24"/>
          <w:szCs w:val="24"/>
        </w:rPr>
        <w:t>t</w:t>
      </w:r>
      <w:r w:rsidRPr="008E6D09">
        <w:rPr>
          <w:rFonts w:ascii="Times New Roman" w:hAnsi="Times New Roman" w:cs="Times New Roman"/>
          <w:smallCaps/>
          <w:sz w:val="24"/>
          <w:szCs w:val="24"/>
        </w:rPr>
        <w:t>o</w:t>
      </w:r>
      <w:r w:rsidRPr="008E6D09">
        <w:rPr>
          <w:rFonts w:ascii="Times New Roman" w:hAnsi="Times New Roman" w:cs="Times New Roman"/>
          <w:sz w:val="24"/>
          <w:szCs w:val="24"/>
        </w:rPr>
        <w:t xml:space="preserve">, </w:t>
      </w:r>
      <w:r w:rsidRPr="008E6D09">
        <w:rPr>
          <w:rFonts w:ascii="Times New Roman" w:hAnsi="Times New Roman" w:cs="Times New Roman"/>
          <w:i/>
          <w:sz w:val="24"/>
          <w:szCs w:val="24"/>
        </w:rPr>
        <w:t>I Diarii</w:t>
      </w:r>
      <w:r w:rsidRPr="008E6D09">
        <w:rPr>
          <w:rFonts w:ascii="Times New Roman" w:hAnsi="Times New Roman" w:cs="Times New Roman"/>
          <w:sz w:val="24"/>
          <w:szCs w:val="24"/>
        </w:rPr>
        <w:t xml:space="preserve">, a cura di </w:t>
      </w:r>
      <w:r w:rsidRPr="008E6D09">
        <w:rPr>
          <w:rFonts w:ascii="Times New Roman" w:hAnsi="Times New Roman" w:cs="Times New Roman"/>
          <w:smallCaps/>
          <w:sz w:val="24"/>
          <w:szCs w:val="24"/>
        </w:rPr>
        <w:t>N. Barozzi</w:t>
      </w:r>
      <w:r w:rsidRPr="008E6D09">
        <w:rPr>
          <w:rFonts w:ascii="Times New Roman" w:hAnsi="Times New Roman" w:cs="Times New Roman"/>
          <w:sz w:val="24"/>
          <w:szCs w:val="24"/>
        </w:rPr>
        <w:t>, Bologna, Forni, 1880.</w:t>
      </w:r>
    </w:p>
    <w:p w14:paraId="0B2216F4" w14:textId="77777777" w:rsidR="00796A9D" w:rsidRPr="0064645A" w:rsidRDefault="00796A9D" w:rsidP="00796A9D">
      <w:pPr>
        <w:jc w:val="both"/>
        <w:rPr>
          <w:rFonts w:ascii="Times New Roman" w:hAnsi="Times New Roman" w:cs="Times New Roman"/>
          <w:sz w:val="24"/>
          <w:szCs w:val="24"/>
        </w:rPr>
      </w:pPr>
      <w:r w:rsidRPr="0064645A">
        <w:rPr>
          <w:rFonts w:ascii="Times New Roman" w:hAnsi="Times New Roman" w:cs="Times New Roman"/>
          <w:smallCaps/>
          <w:sz w:val="24"/>
          <w:szCs w:val="24"/>
        </w:rPr>
        <w:t>A. Schivenoglia</w:t>
      </w:r>
      <w:r w:rsidRPr="0064645A">
        <w:rPr>
          <w:rFonts w:ascii="Times New Roman" w:hAnsi="Times New Roman" w:cs="Times New Roman"/>
          <w:sz w:val="24"/>
          <w:szCs w:val="24"/>
        </w:rPr>
        <w:t xml:space="preserve">, </w:t>
      </w:r>
      <w:r w:rsidRPr="0064645A">
        <w:rPr>
          <w:rFonts w:ascii="Times New Roman" w:hAnsi="Times New Roman" w:cs="Times New Roman"/>
          <w:i/>
          <w:sz w:val="24"/>
          <w:szCs w:val="24"/>
        </w:rPr>
        <w:t>Cronaca di Mantova</w:t>
      </w:r>
      <w:r w:rsidRPr="0064645A">
        <w:rPr>
          <w:rFonts w:ascii="Times New Roman" w:hAnsi="Times New Roman" w:cs="Times New Roman"/>
          <w:sz w:val="24"/>
          <w:szCs w:val="24"/>
        </w:rPr>
        <w:t xml:space="preserve">, a cura di </w:t>
      </w:r>
      <w:r w:rsidRPr="0064645A">
        <w:rPr>
          <w:rFonts w:ascii="Times New Roman" w:hAnsi="Times New Roman" w:cs="Times New Roman"/>
          <w:smallCaps/>
          <w:sz w:val="24"/>
          <w:szCs w:val="24"/>
        </w:rPr>
        <w:t>C. d’Arco</w:t>
      </w:r>
      <w:r w:rsidRPr="0064645A">
        <w:rPr>
          <w:rFonts w:ascii="Times New Roman" w:hAnsi="Times New Roman" w:cs="Times New Roman"/>
          <w:sz w:val="24"/>
          <w:szCs w:val="24"/>
        </w:rPr>
        <w:t>, Mantova, Baldus, 1976.</w:t>
      </w:r>
    </w:p>
    <w:p w14:paraId="35D75899" w14:textId="77777777" w:rsidR="00796A9D" w:rsidRPr="00765408" w:rsidRDefault="00796A9D" w:rsidP="00796A9D">
      <w:pPr>
        <w:jc w:val="both"/>
        <w:rPr>
          <w:rFonts w:ascii="Times New Roman" w:hAnsi="Times New Roman" w:cs="Times New Roman"/>
          <w:sz w:val="24"/>
          <w:szCs w:val="24"/>
        </w:rPr>
      </w:pPr>
      <w:r w:rsidRPr="00765408">
        <w:rPr>
          <w:rFonts w:ascii="Times New Roman" w:hAnsi="Times New Roman"/>
          <w:sz w:val="24"/>
          <w:szCs w:val="24"/>
        </w:rPr>
        <w:t xml:space="preserve">B. </w:t>
      </w:r>
      <w:r w:rsidRPr="00765408">
        <w:rPr>
          <w:rFonts w:ascii="Times New Roman" w:hAnsi="Times New Roman"/>
          <w:smallCaps/>
          <w:sz w:val="24"/>
          <w:szCs w:val="24"/>
        </w:rPr>
        <w:t>Taccone</w:t>
      </w:r>
      <w:r w:rsidRPr="00765408">
        <w:rPr>
          <w:rFonts w:ascii="Times New Roman" w:hAnsi="Times New Roman"/>
          <w:sz w:val="24"/>
          <w:szCs w:val="24"/>
        </w:rPr>
        <w:t xml:space="preserve">, </w:t>
      </w:r>
      <w:r w:rsidRPr="00765408">
        <w:rPr>
          <w:rFonts w:ascii="Times New Roman" w:hAnsi="Times New Roman"/>
          <w:i/>
          <w:sz w:val="24"/>
          <w:szCs w:val="24"/>
        </w:rPr>
        <w:t>L’Atteone. Le rime</w:t>
      </w:r>
      <w:r w:rsidRPr="00765408">
        <w:rPr>
          <w:rFonts w:ascii="Times New Roman" w:hAnsi="Times New Roman"/>
          <w:sz w:val="24"/>
          <w:szCs w:val="24"/>
        </w:rPr>
        <w:t xml:space="preserve">, a cura di F. </w:t>
      </w:r>
      <w:r w:rsidRPr="00765408">
        <w:rPr>
          <w:rFonts w:ascii="Times New Roman" w:hAnsi="Times New Roman"/>
          <w:smallCaps/>
          <w:sz w:val="24"/>
          <w:szCs w:val="24"/>
        </w:rPr>
        <w:t>Bariola</w:t>
      </w:r>
      <w:r w:rsidRPr="00765408">
        <w:rPr>
          <w:rFonts w:ascii="Times New Roman" w:hAnsi="Times New Roman"/>
          <w:sz w:val="24"/>
          <w:szCs w:val="24"/>
        </w:rPr>
        <w:t>, Nozze Belotti - Bariola, Firenze, Carnesecchi, 1884.</w:t>
      </w:r>
    </w:p>
    <w:p w14:paraId="216EA3C6" w14:textId="77777777" w:rsidR="00796A9D" w:rsidRDefault="00796A9D" w:rsidP="00796A9D">
      <w:pPr>
        <w:jc w:val="both"/>
        <w:rPr>
          <w:rFonts w:ascii="Times New Roman" w:hAnsi="Times New Roman" w:cs="Times New Roman"/>
          <w:sz w:val="24"/>
          <w:szCs w:val="24"/>
        </w:rPr>
      </w:pPr>
      <w:r w:rsidRPr="003F20AB">
        <w:rPr>
          <w:rFonts w:ascii="Times New Roman" w:hAnsi="Times New Roman" w:cs="Times New Roman"/>
          <w:i/>
          <w:sz w:val="24"/>
          <w:szCs w:val="24"/>
        </w:rPr>
        <w:t>Tristani Calci Residua</w:t>
      </w:r>
      <w:r w:rsidRPr="003F20AB">
        <w:rPr>
          <w:rFonts w:ascii="Times New Roman" w:hAnsi="Times New Roman" w:cs="Times New Roman"/>
          <w:sz w:val="24"/>
          <w:szCs w:val="24"/>
        </w:rPr>
        <w:t xml:space="preserve">, edidit </w:t>
      </w:r>
      <w:r w:rsidRPr="003F20AB">
        <w:rPr>
          <w:rFonts w:ascii="Times New Roman" w:hAnsi="Times New Roman" w:cs="Times New Roman"/>
          <w:smallCaps/>
          <w:sz w:val="24"/>
          <w:szCs w:val="24"/>
        </w:rPr>
        <w:t>G.P. Puricelli</w:t>
      </w:r>
      <w:r w:rsidRPr="003F20AB">
        <w:rPr>
          <w:rFonts w:ascii="Times New Roman" w:hAnsi="Times New Roman" w:cs="Times New Roman"/>
          <w:sz w:val="24"/>
          <w:szCs w:val="24"/>
        </w:rPr>
        <w:t>, Milano 1644</w:t>
      </w:r>
      <w:r>
        <w:rPr>
          <w:rFonts w:ascii="Times New Roman" w:hAnsi="Times New Roman" w:cs="Times New Roman"/>
          <w:sz w:val="24"/>
          <w:szCs w:val="24"/>
        </w:rPr>
        <w:t>.</w:t>
      </w:r>
    </w:p>
    <w:p w14:paraId="2C8DB3A1" w14:textId="77777777" w:rsidR="00796A9D" w:rsidRPr="003F20AB" w:rsidRDefault="00796A9D" w:rsidP="00796A9D">
      <w:pPr>
        <w:jc w:val="both"/>
        <w:rPr>
          <w:rFonts w:ascii="Times New Roman" w:hAnsi="Times New Roman" w:cs="Times New Roman"/>
          <w:b/>
          <w:sz w:val="24"/>
          <w:szCs w:val="24"/>
        </w:rPr>
      </w:pPr>
      <w:r w:rsidRPr="001218D5">
        <w:rPr>
          <w:rFonts w:ascii="Times New Roman" w:hAnsi="Times New Roman" w:cs="Times New Roman"/>
          <w:smallCaps/>
        </w:rPr>
        <w:t>B. Zambotti</w:t>
      </w:r>
      <w:r w:rsidRPr="001218D5">
        <w:rPr>
          <w:rFonts w:ascii="Times New Roman" w:hAnsi="Times New Roman" w:cs="Times New Roman"/>
        </w:rPr>
        <w:t xml:space="preserve">, </w:t>
      </w:r>
      <w:r w:rsidRPr="001218D5">
        <w:rPr>
          <w:rFonts w:ascii="Times New Roman" w:hAnsi="Times New Roman" w:cs="Times New Roman"/>
          <w:i/>
        </w:rPr>
        <w:t>Diario ferrarese</w:t>
      </w:r>
      <w:r>
        <w:rPr>
          <w:rFonts w:ascii="Times New Roman" w:hAnsi="Times New Roman" w:cs="Times New Roman"/>
          <w:i/>
        </w:rPr>
        <w:t xml:space="preserve"> dall’anno 1476 sino al 1504</w:t>
      </w:r>
      <w:r w:rsidRPr="001218D5">
        <w:rPr>
          <w:rFonts w:ascii="Times New Roman" w:hAnsi="Times New Roman" w:cs="Times New Roman"/>
        </w:rPr>
        <w:t xml:space="preserve">, in </w:t>
      </w:r>
      <w:r w:rsidRPr="001218D5">
        <w:rPr>
          <w:rFonts w:ascii="Times New Roman" w:hAnsi="Times New Roman" w:cs="Times New Roman"/>
          <w:i/>
        </w:rPr>
        <w:t>Rerum Italicarum Scriptores</w:t>
      </w:r>
      <w:r w:rsidRPr="001218D5">
        <w:rPr>
          <w:rFonts w:ascii="Times New Roman" w:hAnsi="Times New Roman" w:cs="Times New Roman"/>
        </w:rPr>
        <w:t xml:space="preserve">, Bologna, Zanichelli, </w:t>
      </w:r>
      <w:r>
        <w:rPr>
          <w:rFonts w:ascii="Times New Roman" w:hAnsi="Times New Roman" w:cs="Times New Roman"/>
        </w:rPr>
        <w:t xml:space="preserve">vol. </w:t>
      </w:r>
      <w:r w:rsidRPr="001218D5">
        <w:rPr>
          <w:rFonts w:ascii="Times New Roman" w:hAnsi="Times New Roman" w:cs="Times New Roman"/>
        </w:rPr>
        <w:t>XXIV</w:t>
      </w:r>
      <w:r>
        <w:rPr>
          <w:rFonts w:ascii="Times New Roman" w:hAnsi="Times New Roman" w:cs="Times New Roman"/>
        </w:rPr>
        <w:t>.</w:t>
      </w:r>
    </w:p>
    <w:p w14:paraId="5330F304" w14:textId="77777777" w:rsidR="00796A9D" w:rsidRDefault="00796A9D" w:rsidP="00796A9D">
      <w:pPr>
        <w:jc w:val="both"/>
        <w:rPr>
          <w:rFonts w:ascii="Times New Roman" w:hAnsi="Times New Roman" w:cs="Times New Roman"/>
          <w:b/>
        </w:rPr>
      </w:pPr>
    </w:p>
    <w:p w14:paraId="17E7BDE4" w14:textId="77777777" w:rsidR="00796A9D" w:rsidRDefault="00796A9D" w:rsidP="00796A9D">
      <w:pPr>
        <w:jc w:val="both"/>
        <w:rPr>
          <w:rFonts w:ascii="Times New Roman" w:hAnsi="Times New Roman" w:cs="Times New Roman"/>
          <w:b/>
        </w:rPr>
      </w:pPr>
    </w:p>
    <w:p w14:paraId="306C9AB6" w14:textId="77777777" w:rsidR="009279FA" w:rsidRDefault="009279FA" w:rsidP="00796A9D">
      <w:pPr>
        <w:jc w:val="both"/>
        <w:rPr>
          <w:rFonts w:ascii="Times New Roman" w:hAnsi="Times New Roman" w:cs="Times New Roman"/>
          <w:b/>
        </w:rPr>
      </w:pPr>
    </w:p>
    <w:p w14:paraId="51780B83" w14:textId="77777777" w:rsidR="00796A9D" w:rsidRPr="00526435" w:rsidRDefault="00796A9D" w:rsidP="00796A9D">
      <w:pPr>
        <w:jc w:val="both"/>
        <w:rPr>
          <w:rFonts w:ascii="Times New Roman" w:hAnsi="Times New Roman" w:cs="Times New Roman"/>
          <w:b/>
        </w:rPr>
      </w:pPr>
      <w:r w:rsidRPr="00526435">
        <w:rPr>
          <w:rFonts w:ascii="Times New Roman" w:hAnsi="Times New Roman" w:cs="Times New Roman"/>
          <w:b/>
        </w:rPr>
        <w:t>STUDI</w:t>
      </w:r>
    </w:p>
    <w:p w14:paraId="055E80CD" w14:textId="77777777" w:rsidR="00DA1C8E" w:rsidRDefault="00DA1C8E" w:rsidP="00796A9D">
      <w:pPr>
        <w:pStyle w:val="Testonotaapidipagina"/>
        <w:jc w:val="both"/>
        <w:rPr>
          <w:rFonts w:ascii="Times New Roman" w:hAnsi="Times New Roman" w:cs="Times New Roman"/>
          <w:smallCaps/>
          <w:sz w:val="24"/>
          <w:szCs w:val="24"/>
        </w:rPr>
      </w:pPr>
    </w:p>
    <w:p w14:paraId="157FF4A5" w14:textId="77777777" w:rsidR="00796A9D" w:rsidRPr="0001507F" w:rsidRDefault="00796A9D" w:rsidP="00796A9D">
      <w:pPr>
        <w:pStyle w:val="Testonotaapidipagina"/>
        <w:jc w:val="both"/>
        <w:rPr>
          <w:rFonts w:ascii="Times New Roman" w:hAnsi="Times New Roman" w:cs="Times New Roman"/>
          <w:sz w:val="24"/>
          <w:szCs w:val="24"/>
        </w:rPr>
      </w:pPr>
      <w:r w:rsidRPr="0001507F">
        <w:rPr>
          <w:rFonts w:ascii="Times New Roman" w:hAnsi="Times New Roman" w:cs="Times New Roman"/>
          <w:smallCaps/>
          <w:sz w:val="24"/>
          <w:szCs w:val="24"/>
        </w:rPr>
        <w:t>L. Acone</w:t>
      </w:r>
      <w:r w:rsidRPr="0001507F">
        <w:rPr>
          <w:rFonts w:ascii="Times New Roman" w:hAnsi="Times New Roman" w:cs="Times New Roman"/>
          <w:sz w:val="24"/>
          <w:szCs w:val="24"/>
        </w:rPr>
        <w:t xml:space="preserve">, </w:t>
      </w:r>
      <w:r w:rsidRPr="0001507F">
        <w:rPr>
          <w:rFonts w:ascii="Times New Roman" w:hAnsi="Times New Roman" w:cs="Times New Roman"/>
          <w:i/>
          <w:sz w:val="24"/>
          <w:szCs w:val="24"/>
        </w:rPr>
        <w:t>L’ordine et le mouvement, la danse et les fêtes de mariage. Alliances, cérémonies et représentations allégoriques</w:t>
      </w:r>
      <w:r w:rsidRPr="0001507F">
        <w:rPr>
          <w:rFonts w:ascii="Times New Roman" w:hAnsi="Times New Roman" w:cs="Times New Roman"/>
          <w:sz w:val="24"/>
          <w:szCs w:val="24"/>
        </w:rPr>
        <w:t xml:space="preserve">, dans </w:t>
      </w:r>
      <w:r w:rsidRPr="0001507F">
        <w:rPr>
          <w:rFonts w:ascii="Times New Roman" w:hAnsi="Times New Roman" w:cs="Times New Roman"/>
          <w:i/>
          <w:sz w:val="24"/>
          <w:szCs w:val="24"/>
        </w:rPr>
        <w:t>Contre-champs. Études oﬀertes à Jean-Philippe Genet</w:t>
      </w:r>
      <w:r w:rsidRPr="0001507F">
        <w:rPr>
          <w:rFonts w:ascii="Times New Roman" w:hAnsi="Times New Roman" w:cs="Times New Roman"/>
          <w:sz w:val="24"/>
          <w:szCs w:val="24"/>
        </w:rPr>
        <w:t xml:space="preserve">, sous la direction de </w:t>
      </w:r>
      <w:r w:rsidRPr="0001507F">
        <w:rPr>
          <w:rFonts w:ascii="Times New Roman" w:hAnsi="Times New Roman" w:cs="Times New Roman"/>
          <w:smallCaps/>
          <w:sz w:val="24"/>
          <w:szCs w:val="24"/>
        </w:rPr>
        <w:t>A. Mairey, S. Abélès, F. Madeline</w:t>
      </w:r>
      <w:r w:rsidRPr="0001507F">
        <w:rPr>
          <w:rFonts w:ascii="Times New Roman" w:hAnsi="Times New Roman" w:cs="Times New Roman"/>
          <w:sz w:val="24"/>
          <w:szCs w:val="24"/>
        </w:rPr>
        <w:t>, Paris, Garnier, 2016, pp. 297-318.</w:t>
      </w:r>
    </w:p>
    <w:p w14:paraId="68D90BF2" w14:textId="77777777" w:rsidR="00796A9D" w:rsidRPr="0001507F" w:rsidRDefault="00796A9D" w:rsidP="00796A9D">
      <w:pPr>
        <w:pStyle w:val="Testonotaapidipagina"/>
        <w:jc w:val="both"/>
        <w:rPr>
          <w:rFonts w:ascii="Times New Roman" w:hAnsi="Times New Roman" w:cs="Times New Roman"/>
        </w:rPr>
      </w:pPr>
    </w:p>
    <w:p w14:paraId="69AC30FB"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C.A. Addesso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Teatro e festività nella Napoli Aragonese</w:t>
      </w:r>
      <w:r w:rsidRPr="00BA2DBB">
        <w:rPr>
          <w:rFonts w:ascii="Times New Roman" w:hAnsi="Times New Roman" w:cs="Times New Roman"/>
          <w:sz w:val="24"/>
          <w:szCs w:val="24"/>
        </w:rPr>
        <w:t>, Firenze, Olschki, 2012.</w:t>
      </w:r>
    </w:p>
    <w:p w14:paraId="0DE006DF" w14:textId="77777777" w:rsidR="00796A9D" w:rsidRPr="00BA2DBB" w:rsidRDefault="00796A9D" w:rsidP="00796A9D">
      <w:pPr>
        <w:spacing w:after="0"/>
        <w:jc w:val="both"/>
        <w:rPr>
          <w:rFonts w:ascii="Times New Roman" w:hAnsi="Times New Roman" w:cs="Times New Roman"/>
          <w:smallCaps/>
          <w:sz w:val="24"/>
          <w:szCs w:val="24"/>
        </w:rPr>
      </w:pPr>
    </w:p>
    <w:p w14:paraId="66744BE3" w14:textId="77777777" w:rsidR="00796A9D" w:rsidRPr="001E34CB" w:rsidRDefault="00796A9D" w:rsidP="00796A9D">
      <w:pPr>
        <w:pStyle w:val="Testonotaapidipagina"/>
        <w:jc w:val="both"/>
        <w:rPr>
          <w:sz w:val="24"/>
          <w:szCs w:val="24"/>
        </w:rPr>
      </w:pPr>
      <w:r w:rsidRPr="001E34CB">
        <w:rPr>
          <w:rFonts w:ascii="Times New Roman" w:hAnsi="Times New Roman" w:cs="Times New Roman"/>
          <w:smallCaps/>
          <w:sz w:val="24"/>
          <w:szCs w:val="24"/>
        </w:rPr>
        <w:t>M. Albertario</w:t>
      </w:r>
      <w:r w:rsidRPr="001E34CB">
        <w:rPr>
          <w:rFonts w:ascii="Times New Roman" w:hAnsi="Times New Roman" w:cs="Times New Roman"/>
          <w:sz w:val="24"/>
          <w:szCs w:val="24"/>
        </w:rPr>
        <w:t xml:space="preserve">, </w:t>
      </w:r>
      <w:r w:rsidRPr="001E34CB">
        <w:rPr>
          <w:rFonts w:ascii="Times New Roman" w:hAnsi="Times New Roman" w:cs="Times New Roman"/>
          <w:i/>
          <w:sz w:val="24"/>
          <w:szCs w:val="24"/>
        </w:rPr>
        <w:t>“Ad nostro modo”. La decorazione del castello nell’età di Galeazzo Maria Sforza (1466-1476)</w:t>
      </w:r>
      <w:r w:rsidRPr="001E34CB">
        <w:rPr>
          <w:rFonts w:ascii="Times New Roman" w:hAnsi="Times New Roman" w:cs="Times New Roman"/>
          <w:sz w:val="24"/>
          <w:szCs w:val="24"/>
        </w:rPr>
        <w:t xml:space="preserve">, in </w:t>
      </w:r>
      <w:r w:rsidRPr="001E34CB">
        <w:rPr>
          <w:rFonts w:ascii="Times New Roman" w:hAnsi="Times New Roman" w:cs="Times New Roman"/>
          <w:i/>
          <w:sz w:val="24"/>
          <w:szCs w:val="24"/>
        </w:rPr>
        <w:t>Il castello sforzesco di Milano</w:t>
      </w:r>
      <w:r w:rsidRPr="001E34CB">
        <w:rPr>
          <w:rFonts w:ascii="Times New Roman" w:hAnsi="Times New Roman" w:cs="Times New Roman"/>
          <w:sz w:val="24"/>
          <w:szCs w:val="24"/>
        </w:rPr>
        <w:t xml:space="preserve">, a cura di M.T. </w:t>
      </w:r>
      <w:r w:rsidRPr="001E34CB">
        <w:rPr>
          <w:rFonts w:ascii="Times New Roman" w:hAnsi="Times New Roman" w:cs="Times New Roman"/>
          <w:smallCaps/>
          <w:sz w:val="24"/>
          <w:szCs w:val="24"/>
        </w:rPr>
        <w:t>Fiorio</w:t>
      </w:r>
      <w:r w:rsidRPr="001E34CB">
        <w:rPr>
          <w:rFonts w:ascii="Times New Roman" w:hAnsi="Times New Roman" w:cs="Times New Roman"/>
          <w:sz w:val="24"/>
          <w:szCs w:val="24"/>
        </w:rPr>
        <w:t>, Milano, Skira, 2005, pp. 99-136</w:t>
      </w:r>
      <w:r w:rsidRPr="001E34CB">
        <w:rPr>
          <w:sz w:val="24"/>
          <w:szCs w:val="24"/>
        </w:rPr>
        <w:t xml:space="preserve">. </w:t>
      </w:r>
    </w:p>
    <w:p w14:paraId="16902A1F" w14:textId="77777777" w:rsidR="00796A9D" w:rsidRDefault="00796A9D" w:rsidP="00796A9D">
      <w:pPr>
        <w:spacing w:after="0"/>
        <w:jc w:val="both"/>
        <w:rPr>
          <w:rFonts w:ascii="Times New Roman" w:hAnsi="Times New Roman" w:cs="Times New Roman"/>
          <w:smallCaps/>
          <w:sz w:val="24"/>
          <w:szCs w:val="24"/>
        </w:rPr>
      </w:pPr>
    </w:p>
    <w:p w14:paraId="33AC94E5"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M.G. Albertini Ottolenghi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dei Visconti e degli Sforza: gli inventari del 1488 e del 1490</w:t>
      </w:r>
      <w:r w:rsidRPr="00BA2DBB">
        <w:rPr>
          <w:rFonts w:ascii="Times New Roman" w:hAnsi="Times New Roman" w:cs="Times New Roman"/>
          <w:sz w:val="24"/>
          <w:szCs w:val="24"/>
        </w:rPr>
        <w:t>, «Studi Petrarcheschi», VIII, 1991, pp. 1-238.</w:t>
      </w:r>
    </w:p>
    <w:p w14:paraId="7ED8E06A" w14:textId="77777777" w:rsidR="00796A9D" w:rsidRDefault="00796A9D" w:rsidP="00796A9D">
      <w:pPr>
        <w:spacing w:after="0"/>
        <w:jc w:val="both"/>
        <w:rPr>
          <w:rFonts w:ascii="Times New Roman" w:hAnsi="Times New Roman" w:cs="Times New Roman"/>
          <w:sz w:val="24"/>
          <w:szCs w:val="24"/>
          <w:lang w:val="en-US"/>
        </w:rPr>
      </w:pPr>
    </w:p>
    <w:p w14:paraId="612650CC"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lang w:val="en-US"/>
        </w:rPr>
        <w:t xml:space="preserve">J.J.G. </w:t>
      </w:r>
      <w:r w:rsidRPr="00BA2DBB">
        <w:rPr>
          <w:rFonts w:ascii="Times New Roman" w:hAnsi="Times New Roman" w:cs="Times New Roman"/>
          <w:smallCaps/>
          <w:sz w:val="24"/>
          <w:szCs w:val="24"/>
          <w:lang w:val="en-US"/>
        </w:rPr>
        <w:t>Alexander</w:t>
      </w:r>
      <w:r w:rsidRPr="00BA2DBB">
        <w:rPr>
          <w:rFonts w:ascii="Times New Roman" w:hAnsi="Times New Roman" w:cs="Times New Roman"/>
          <w:sz w:val="24"/>
          <w:szCs w:val="24"/>
          <w:lang w:val="en-US"/>
        </w:rPr>
        <w:t xml:space="preserve">, </w:t>
      </w:r>
      <w:r w:rsidRPr="00BA2DBB">
        <w:rPr>
          <w:rFonts w:ascii="Times New Roman" w:hAnsi="Times New Roman" w:cs="Times New Roman"/>
          <w:i/>
          <w:sz w:val="24"/>
          <w:szCs w:val="24"/>
          <w:lang w:val="en-US"/>
        </w:rPr>
        <w:t>The Painted Page: Italian Renaissance Book Illumination: 1450-1550</w:t>
      </w:r>
      <w:r w:rsidRPr="00BA2DBB">
        <w:rPr>
          <w:rFonts w:ascii="Times New Roman" w:hAnsi="Times New Roman" w:cs="Times New Roman"/>
          <w:sz w:val="24"/>
          <w:szCs w:val="24"/>
          <w:lang w:val="en-US"/>
        </w:rPr>
        <w:t>, New York, Pierpont Morgan Library, 1994.</w:t>
      </w:r>
    </w:p>
    <w:p w14:paraId="15F6798E" w14:textId="77777777" w:rsidR="00796A9D" w:rsidRDefault="00796A9D" w:rsidP="00796A9D">
      <w:pPr>
        <w:spacing w:after="0"/>
        <w:jc w:val="both"/>
        <w:rPr>
          <w:rFonts w:ascii="Times New Roman" w:hAnsi="Times New Roman" w:cs="Times New Roman"/>
          <w:smallCaps/>
          <w:sz w:val="24"/>
          <w:szCs w:val="24"/>
        </w:rPr>
      </w:pPr>
    </w:p>
    <w:p w14:paraId="2BA1EF17"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J.J.G. Alexander</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miniatura da Ercole I ad Alfonso 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La miniatura a Ferrara dal tempo di Cosmè Tura all’eredità di Ercole de’ Roberti</w:t>
      </w:r>
      <w:r w:rsidRPr="00BA2DBB">
        <w:rPr>
          <w:rFonts w:ascii="Times New Roman" w:hAnsi="Times New Roman" w:cs="Times New Roman"/>
          <w:sz w:val="24"/>
          <w:szCs w:val="24"/>
        </w:rPr>
        <w:t xml:space="preserve">, Catalogo della mostra </w:t>
      </w:r>
      <w:r w:rsidRPr="00BA2DBB">
        <w:rPr>
          <w:rFonts w:ascii="Times New Roman" w:hAnsi="Times New Roman" w:cs="Times New Roman"/>
          <w:smallCaps/>
          <w:sz w:val="24"/>
          <w:szCs w:val="24"/>
        </w:rPr>
        <w:t>(F</w:t>
      </w:r>
      <w:r w:rsidRPr="00BA2DBB">
        <w:rPr>
          <w:rFonts w:ascii="Times New Roman" w:hAnsi="Times New Roman" w:cs="Times New Roman"/>
          <w:sz w:val="24"/>
          <w:szCs w:val="24"/>
        </w:rPr>
        <w:t xml:space="preserve">errara, 1 marzo – 31 maggio 1998), a cura di </w:t>
      </w:r>
      <w:r w:rsidRPr="00BA2DBB">
        <w:rPr>
          <w:rFonts w:ascii="Times New Roman" w:hAnsi="Times New Roman" w:cs="Times New Roman"/>
          <w:smallCaps/>
          <w:sz w:val="24"/>
          <w:szCs w:val="24"/>
        </w:rPr>
        <w:t>F. Toniolo</w:t>
      </w:r>
      <w:r w:rsidRPr="00BA2DBB">
        <w:rPr>
          <w:rFonts w:ascii="Times New Roman" w:hAnsi="Times New Roman" w:cs="Times New Roman"/>
          <w:sz w:val="24"/>
          <w:szCs w:val="24"/>
        </w:rPr>
        <w:t>, Modena, Franco Cosimo Panini, 1998, pp. 295-303.</w:t>
      </w:r>
    </w:p>
    <w:p w14:paraId="7E5E0929" w14:textId="77777777" w:rsidR="00796A9D" w:rsidRDefault="00796A9D" w:rsidP="00796A9D">
      <w:pPr>
        <w:spacing w:after="0"/>
        <w:jc w:val="both"/>
        <w:rPr>
          <w:rFonts w:ascii="Times New Roman" w:hAnsi="Times New Roman" w:cs="Times New Roman"/>
          <w:smallCaps/>
          <w:sz w:val="24"/>
          <w:szCs w:val="24"/>
        </w:rPr>
      </w:pPr>
    </w:p>
    <w:p w14:paraId="789278DB"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J.J.G. Alexander</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minatori medievali e il loro metodo di lavoro</w:t>
      </w:r>
      <w:r w:rsidRPr="00BA2DBB">
        <w:rPr>
          <w:rFonts w:ascii="Times New Roman" w:hAnsi="Times New Roman" w:cs="Times New Roman"/>
          <w:sz w:val="24"/>
          <w:szCs w:val="24"/>
        </w:rPr>
        <w:t>, Parma, Franco Cosimo Panini, 2003.</w:t>
      </w:r>
    </w:p>
    <w:p w14:paraId="26335947" w14:textId="77777777" w:rsidR="00796A9D" w:rsidRDefault="00796A9D" w:rsidP="00796A9D">
      <w:pPr>
        <w:spacing w:after="0"/>
        <w:jc w:val="both"/>
        <w:rPr>
          <w:rFonts w:ascii="Times New Roman" w:hAnsi="Times New Roman" w:cs="Times New Roman"/>
          <w:smallCaps/>
          <w:sz w:val="24"/>
          <w:szCs w:val="24"/>
          <w:lang w:val="en-US"/>
        </w:rPr>
      </w:pPr>
    </w:p>
    <w:p w14:paraId="1AF4CC0A"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lang w:val="en-US"/>
        </w:rPr>
        <w:t xml:space="preserve">J.J.G. Alexander, </w:t>
      </w:r>
      <w:r w:rsidRPr="00BA2DBB">
        <w:rPr>
          <w:rFonts w:ascii="Times New Roman" w:hAnsi="Times New Roman" w:cs="Times New Roman"/>
          <w:i/>
          <w:sz w:val="24"/>
          <w:szCs w:val="24"/>
          <w:lang w:val="en-US"/>
        </w:rPr>
        <w:t>The Painted Book in Renaissance Italy 1450-1600</w:t>
      </w:r>
      <w:r w:rsidRPr="00BA2DBB">
        <w:rPr>
          <w:rFonts w:ascii="Times New Roman" w:hAnsi="Times New Roman" w:cs="Times New Roman"/>
          <w:sz w:val="24"/>
          <w:szCs w:val="24"/>
          <w:lang w:val="en-US"/>
        </w:rPr>
        <w:t>, New Haven-London, Yale University Press, 2016.</w:t>
      </w:r>
    </w:p>
    <w:p w14:paraId="3C446DE8" w14:textId="77777777" w:rsidR="00796A9D" w:rsidRDefault="00796A9D" w:rsidP="00796A9D">
      <w:pPr>
        <w:spacing w:after="0"/>
        <w:jc w:val="both"/>
        <w:rPr>
          <w:rFonts w:ascii="Times New Roman" w:hAnsi="Times New Roman" w:cs="Times New Roman"/>
          <w:sz w:val="24"/>
          <w:szCs w:val="24"/>
        </w:rPr>
      </w:pPr>
    </w:p>
    <w:p w14:paraId="283921B1"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E. </w:t>
      </w:r>
      <w:r w:rsidRPr="00BA2DBB">
        <w:rPr>
          <w:rFonts w:ascii="Times New Roman" w:hAnsi="Times New Roman" w:cs="Times New Roman"/>
          <w:smallCaps/>
          <w:sz w:val="24"/>
          <w:szCs w:val="24"/>
        </w:rPr>
        <w:t>Ambra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Alfonso e la scrittura. Frammenti della biblioteca aragonese alla Nazionale di Napoli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carte aragonesi</w:t>
      </w:r>
      <w:r w:rsidRPr="00BA2DBB">
        <w:rPr>
          <w:rFonts w:ascii="Times New Roman" w:hAnsi="Times New Roman" w:cs="Times New Roman"/>
          <w:sz w:val="24"/>
          <w:szCs w:val="24"/>
        </w:rPr>
        <w:t xml:space="preserve">. Atti del convegno Rovello, 3-4 ottobre 2002, a cura di M. </w:t>
      </w:r>
      <w:r w:rsidRPr="00BA2DBB">
        <w:rPr>
          <w:rFonts w:ascii="Times New Roman" w:hAnsi="Times New Roman" w:cs="Times New Roman"/>
          <w:smallCaps/>
          <w:sz w:val="24"/>
          <w:szCs w:val="24"/>
        </w:rPr>
        <w:t>Santoro,</w:t>
      </w:r>
      <w:r w:rsidRPr="00BA2DBB">
        <w:rPr>
          <w:rFonts w:ascii="Times New Roman" w:hAnsi="Times New Roman" w:cs="Times New Roman"/>
          <w:sz w:val="24"/>
          <w:szCs w:val="24"/>
        </w:rPr>
        <w:t xml:space="preserve"> Pisa, Istituti editoriali e poligrafici internazionali, 2004, pp. 207-223.</w:t>
      </w:r>
    </w:p>
    <w:p w14:paraId="32CE56EC" w14:textId="77777777" w:rsidR="00796A9D" w:rsidRDefault="00796A9D" w:rsidP="00796A9D">
      <w:pPr>
        <w:spacing w:after="0"/>
        <w:jc w:val="both"/>
        <w:rPr>
          <w:rFonts w:ascii="Times New Roman" w:hAnsi="Times New Roman" w:cs="Times New Roman"/>
          <w:sz w:val="24"/>
          <w:szCs w:val="24"/>
        </w:rPr>
      </w:pPr>
    </w:p>
    <w:p w14:paraId="30E96A7C" w14:textId="77777777" w:rsidR="00796A9D" w:rsidRPr="00274220" w:rsidRDefault="00796A9D" w:rsidP="00796A9D">
      <w:pPr>
        <w:spacing w:after="0"/>
        <w:jc w:val="both"/>
        <w:rPr>
          <w:rFonts w:ascii="Times New Roman" w:hAnsi="Times New Roman" w:cs="Times New Roman"/>
          <w:sz w:val="24"/>
          <w:szCs w:val="24"/>
        </w:rPr>
      </w:pPr>
      <w:r w:rsidRPr="00274220">
        <w:rPr>
          <w:rFonts w:ascii="Times New Roman" w:hAnsi="Times New Roman" w:cs="Times New Roman"/>
          <w:smallCaps/>
          <w:sz w:val="24"/>
          <w:szCs w:val="24"/>
        </w:rPr>
        <w:t>F. Ambrogiani</w:t>
      </w:r>
      <w:r w:rsidRPr="00274220">
        <w:rPr>
          <w:rFonts w:ascii="Times New Roman" w:hAnsi="Times New Roman" w:cs="Times New Roman"/>
          <w:sz w:val="24"/>
          <w:szCs w:val="24"/>
        </w:rPr>
        <w:t xml:space="preserve">, </w:t>
      </w:r>
      <w:r w:rsidRPr="00274220">
        <w:rPr>
          <w:rFonts w:ascii="Times New Roman" w:hAnsi="Times New Roman" w:cs="Times New Roman"/>
          <w:i/>
          <w:sz w:val="24"/>
          <w:szCs w:val="24"/>
        </w:rPr>
        <w:t>Vita di Costanzo Sforza (1447-1483)</w:t>
      </w:r>
      <w:r w:rsidRPr="00274220">
        <w:rPr>
          <w:rFonts w:ascii="Times New Roman" w:hAnsi="Times New Roman" w:cs="Times New Roman"/>
          <w:sz w:val="24"/>
          <w:szCs w:val="24"/>
        </w:rPr>
        <w:t>, «Pesaro città e contà», Link 3, 2003.</w:t>
      </w:r>
    </w:p>
    <w:p w14:paraId="05A6ED38" w14:textId="77777777" w:rsidR="00796A9D" w:rsidRDefault="00796A9D" w:rsidP="00796A9D">
      <w:pPr>
        <w:pStyle w:val="Testonotaapidipagina"/>
        <w:jc w:val="both"/>
        <w:rPr>
          <w:rFonts w:ascii="Times New Roman" w:hAnsi="Times New Roman" w:cs="Times New Roman"/>
          <w:smallCaps/>
          <w:sz w:val="24"/>
          <w:szCs w:val="24"/>
        </w:rPr>
      </w:pPr>
    </w:p>
    <w:p w14:paraId="6FE72C79"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F. Ames-Lewis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The Inventories of Piero di Cosimo de’ Medici’s Library</w:t>
      </w:r>
      <w:r w:rsidRPr="00BA2DBB">
        <w:rPr>
          <w:rFonts w:ascii="Times New Roman" w:hAnsi="Times New Roman" w:cs="Times New Roman"/>
          <w:sz w:val="24"/>
          <w:szCs w:val="24"/>
        </w:rPr>
        <w:t>, «La Bibliofilia», LXXXIV, 1982, pp. 103-142.</w:t>
      </w:r>
    </w:p>
    <w:p w14:paraId="12A20177" w14:textId="77777777" w:rsidR="00796A9D" w:rsidRDefault="00796A9D" w:rsidP="00796A9D">
      <w:pPr>
        <w:pStyle w:val="Testonotaapidipagina"/>
        <w:jc w:val="both"/>
        <w:rPr>
          <w:rFonts w:ascii="Times New Roman" w:hAnsi="Times New Roman" w:cs="Times New Roman"/>
          <w:sz w:val="24"/>
          <w:szCs w:val="24"/>
        </w:rPr>
      </w:pPr>
    </w:p>
    <w:p w14:paraId="6C1EEE19" w14:textId="77777777" w:rsidR="00796A9D" w:rsidRPr="00D20760" w:rsidRDefault="00796A9D" w:rsidP="00796A9D">
      <w:pPr>
        <w:pStyle w:val="Testonotaapidipagina"/>
        <w:jc w:val="both"/>
        <w:rPr>
          <w:rFonts w:ascii="Times New Roman" w:hAnsi="Times New Roman"/>
          <w:sz w:val="24"/>
          <w:szCs w:val="24"/>
        </w:rPr>
      </w:pPr>
      <w:r w:rsidRPr="00D20760">
        <w:rPr>
          <w:rFonts w:ascii="Times New Roman" w:hAnsi="Times New Roman"/>
          <w:sz w:val="24"/>
          <w:szCs w:val="24"/>
        </w:rPr>
        <w:t xml:space="preserve">H. </w:t>
      </w:r>
      <w:r w:rsidRPr="00D20760">
        <w:rPr>
          <w:rFonts w:ascii="Times New Roman" w:hAnsi="Times New Roman"/>
          <w:smallCaps/>
          <w:sz w:val="24"/>
          <w:szCs w:val="24"/>
        </w:rPr>
        <w:t>Angermeier</w:t>
      </w:r>
      <w:r w:rsidRPr="00D20760">
        <w:rPr>
          <w:rFonts w:ascii="Times New Roman" w:hAnsi="Times New Roman"/>
          <w:sz w:val="24"/>
          <w:szCs w:val="24"/>
        </w:rPr>
        <w:t xml:space="preserve">, </w:t>
      </w:r>
      <w:r w:rsidRPr="00D20760">
        <w:rPr>
          <w:rFonts w:ascii="Times New Roman" w:hAnsi="Times New Roman"/>
          <w:i/>
          <w:sz w:val="24"/>
          <w:szCs w:val="24"/>
        </w:rPr>
        <w:t>Il ducato di Milano e la situazione europea nel 1495</w:t>
      </w:r>
      <w:r w:rsidRPr="00D20760">
        <w:rPr>
          <w:rFonts w:ascii="Times New Roman" w:hAnsi="Times New Roman"/>
          <w:sz w:val="24"/>
          <w:szCs w:val="24"/>
        </w:rPr>
        <w:t xml:space="preserve">, in Atti del convegno internazionale (Milano, 28 febbraio-4 marzo 1983), Milano, Comune di Milano e Biblioteca Trivulziana, 1983, pp. 57-64. </w:t>
      </w:r>
    </w:p>
    <w:p w14:paraId="79A113F0" w14:textId="77777777" w:rsidR="00796A9D" w:rsidRDefault="00796A9D" w:rsidP="00796A9D">
      <w:pPr>
        <w:pStyle w:val="Testonotaapidipagina"/>
        <w:jc w:val="both"/>
        <w:rPr>
          <w:rFonts w:ascii="Times New Roman" w:hAnsi="Times New Roman" w:cs="Times New Roman"/>
          <w:sz w:val="24"/>
          <w:szCs w:val="24"/>
        </w:rPr>
      </w:pPr>
    </w:p>
    <w:p w14:paraId="3386DCE4" w14:textId="77777777" w:rsidR="00796A9D" w:rsidRPr="00C96C90" w:rsidRDefault="00796A9D" w:rsidP="00796A9D">
      <w:pPr>
        <w:pStyle w:val="Testonotaapidipagina"/>
        <w:jc w:val="both"/>
        <w:rPr>
          <w:rFonts w:ascii="Times New Roman" w:hAnsi="Times New Roman" w:cs="Times New Roman"/>
          <w:sz w:val="24"/>
          <w:szCs w:val="24"/>
        </w:rPr>
      </w:pPr>
      <w:r w:rsidRPr="00C96C90">
        <w:rPr>
          <w:rFonts w:ascii="Times New Roman" w:hAnsi="Times New Roman" w:cs="Times New Roman"/>
          <w:smallCaps/>
          <w:sz w:val="24"/>
          <w:szCs w:val="24"/>
        </w:rPr>
        <w:t>M.L. Angiolillo</w:t>
      </w:r>
      <w:r w:rsidRPr="00C96C90">
        <w:rPr>
          <w:rFonts w:ascii="Times New Roman" w:hAnsi="Times New Roman" w:cs="Times New Roman"/>
          <w:sz w:val="24"/>
          <w:szCs w:val="24"/>
        </w:rPr>
        <w:t xml:space="preserve">, </w:t>
      </w:r>
      <w:r w:rsidRPr="00C96C90">
        <w:rPr>
          <w:rFonts w:ascii="Times New Roman" w:hAnsi="Times New Roman" w:cs="Times New Roman"/>
          <w:i/>
          <w:sz w:val="24"/>
          <w:szCs w:val="24"/>
        </w:rPr>
        <w:t>Leonardo: feste e teatri</w:t>
      </w:r>
      <w:r w:rsidRPr="00C96C90">
        <w:rPr>
          <w:rFonts w:ascii="Times New Roman" w:hAnsi="Times New Roman" w:cs="Times New Roman"/>
          <w:sz w:val="24"/>
          <w:szCs w:val="24"/>
        </w:rPr>
        <w:t>, Napoli, Società Editrice Napoletana, 1979.</w:t>
      </w:r>
    </w:p>
    <w:p w14:paraId="57D4F6A9" w14:textId="77777777" w:rsidR="00796A9D" w:rsidRPr="00BA2DBB" w:rsidRDefault="00796A9D" w:rsidP="00796A9D">
      <w:pPr>
        <w:pStyle w:val="Testonotaapidipagina"/>
        <w:jc w:val="both"/>
        <w:rPr>
          <w:rFonts w:ascii="Times New Roman" w:hAnsi="Times New Roman" w:cs="Times New Roman"/>
          <w:sz w:val="24"/>
          <w:szCs w:val="24"/>
        </w:rPr>
      </w:pPr>
    </w:p>
    <w:p w14:paraId="20079773" w14:textId="77777777" w:rsidR="00796A9D" w:rsidRPr="008D5849"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G.M. Anselmi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Tra Pontano, Rucellai e Calco. Un dibattito quattrocentesco sulla storiografia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Da Dante a Montale. Studi di filologia e critica letteraria in onore di Emilio Pasquini</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M. Anselmi, B. Bentivogli, A. Cottignol</w:t>
      </w:r>
      <w:r w:rsidRPr="00BA2DBB">
        <w:rPr>
          <w:rFonts w:ascii="Times New Roman" w:hAnsi="Times New Roman" w:cs="Times New Roman"/>
          <w:sz w:val="24"/>
          <w:szCs w:val="24"/>
        </w:rPr>
        <w:t>, Bologna, Gedit, 2005, pp. 323-332.</w:t>
      </w:r>
    </w:p>
    <w:p w14:paraId="5E49D963" w14:textId="77777777" w:rsidR="00796A9D" w:rsidRDefault="00796A9D" w:rsidP="00796A9D">
      <w:pPr>
        <w:spacing w:after="0"/>
        <w:jc w:val="both"/>
        <w:rPr>
          <w:rFonts w:ascii="Times New Roman" w:hAnsi="Times New Roman" w:cs="Times New Roman"/>
          <w:smallCaps/>
          <w:sz w:val="24"/>
          <w:szCs w:val="24"/>
        </w:rPr>
      </w:pPr>
    </w:p>
    <w:p w14:paraId="52259729" w14:textId="77777777" w:rsidR="00796A9D" w:rsidRPr="002E6E4B" w:rsidRDefault="00796A9D" w:rsidP="00796A9D">
      <w:pPr>
        <w:spacing w:after="0"/>
        <w:jc w:val="both"/>
        <w:rPr>
          <w:rFonts w:ascii="Times New Roman" w:hAnsi="Times New Roman" w:cs="Times New Roman"/>
          <w:smallCaps/>
          <w:sz w:val="24"/>
          <w:szCs w:val="24"/>
        </w:rPr>
      </w:pPr>
      <w:r w:rsidRPr="002E6E4B">
        <w:rPr>
          <w:rFonts w:ascii="Times New Roman" w:hAnsi="Times New Roman" w:cs="Times New Roman"/>
          <w:smallCaps/>
          <w:sz w:val="24"/>
          <w:szCs w:val="24"/>
        </w:rPr>
        <w:t>G. Arbizzoni</w:t>
      </w:r>
      <w:r w:rsidRPr="002E6E4B">
        <w:rPr>
          <w:rFonts w:ascii="Times New Roman" w:hAnsi="Times New Roman" w:cs="Times New Roman"/>
          <w:sz w:val="24"/>
          <w:szCs w:val="24"/>
        </w:rPr>
        <w:t xml:space="preserve">, </w:t>
      </w:r>
      <w:r w:rsidRPr="002E6E4B">
        <w:rPr>
          <w:rFonts w:ascii="Times New Roman" w:hAnsi="Times New Roman" w:cs="Times New Roman"/>
          <w:i/>
          <w:sz w:val="24"/>
          <w:szCs w:val="24"/>
        </w:rPr>
        <w:t>La saffica di Antonio Costanzi per le nozze di Costanzo Sforza e Camilla d’Aragona</w:t>
      </w:r>
      <w:r w:rsidRPr="002E6E4B">
        <w:rPr>
          <w:rFonts w:ascii="Times New Roman" w:hAnsi="Times New Roman" w:cs="Times New Roman"/>
          <w:sz w:val="24"/>
          <w:szCs w:val="24"/>
        </w:rPr>
        <w:t xml:space="preserve">, in </w:t>
      </w:r>
      <w:r w:rsidRPr="002E6E4B">
        <w:rPr>
          <w:rFonts w:ascii="Times New Roman" w:hAnsi="Times New Roman" w:cs="Times New Roman"/>
          <w:i/>
          <w:sz w:val="24"/>
          <w:szCs w:val="24"/>
        </w:rPr>
        <w:t>Studi latini in ricordo di Rita Cappelletto</w:t>
      </w:r>
      <w:r w:rsidRPr="002E6E4B">
        <w:rPr>
          <w:rFonts w:ascii="Times New Roman" w:hAnsi="Times New Roman" w:cs="Times New Roman"/>
          <w:sz w:val="24"/>
          <w:szCs w:val="24"/>
        </w:rPr>
        <w:t xml:space="preserve">, a cura di </w:t>
      </w:r>
      <w:r w:rsidRPr="002E6E4B">
        <w:rPr>
          <w:rFonts w:ascii="Times New Roman" w:hAnsi="Times New Roman" w:cs="Times New Roman"/>
          <w:smallCaps/>
          <w:sz w:val="24"/>
          <w:szCs w:val="24"/>
        </w:rPr>
        <w:t>S. Lanciotti, M. Peruzzi, M.G. Sassi, A. Tontini</w:t>
      </w:r>
      <w:r w:rsidRPr="002E6E4B">
        <w:rPr>
          <w:rFonts w:ascii="Times New Roman" w:hAnsi="Times New Roman" w:cs="Times New Roman"/>
          <w:sz w:val="24"/>
          <w:szCs w:val="24"/>
        </w:rPr>
        <w:t>, Urbino</w:t>
      </w:r>
      <w:r w:rsidRPr="00762D26">
        <w:rPr>
          <w:rFonts w:ascii="Times New Roman" w:hAnsi="Times New Roman" w:cs="Times New Roman"/>
          <w:sz w:val="24"/>
          <w:szCs w:val="24"/>
        </w:rPr>
        <w:t>,</w:t>
      </w:r>
      <w:r w:rsidRPr="002E6E4B">
        <w:rPr>
          <w:rFonts w:ascii="Times New Roman" w:hAnsi="Times New Roman" w:cs="Times New Roman"/>
          <w:color w:val="FF0000"/>
          <w:sz w:val="24"/>
          <w:szCs w:val="24"/>
        </w:rPr>
        <w:t xml:space="preserve"> </w:t>
      </w:r>
      <w:r w:rsidRPr="002E6E4B">
        <w:rPr>
          <w:rFonts w:ascii="Times New Roman" w:hAnsi="Times New Roman" w:cs="Times New Roman"/>
          <w:sz w:val="24"/>
          <w:szCs w:val="24"/>
        </w:rPr>
        <w:t>Quattro Venti, 1996, pp. 253-269.</w:t>
      </w:r>
    </w:p>
    <w:p w14:paraId="0724E4D4" w14:textId="77777777" w:rsidR="00796A9D" w:rsidRDefault="00796A9D" w:rsidP="00796A9D">
      <w:pPr>
        <w:spacing w:after="0"/>
        <w:jc w:val="both"/>
        <w:rPr>
          <w:rFonts w:ascii="Times New Roman" w:hAnsi="Times New Roman" w:cs="Times New Roman"/>
          <w:smallCaps/>
          <w:sz w:val="24"/>
          <w:szCs w:val="24"/>
        </w:rPr>
      </w:pPr>
    </w:p>
    <w:p w14:paraId="2D6B3FD4"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F. Arduini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libri dei Medici nella Biblioteca Medicea Laurenziana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Il libro d’Ore di Lorenzo de’ Medici</w:t>
      </w:r>
      <w:r w:rsidRPr="00BA2DBB">
        <w:rPr>
          <w:rFonts w:ascii="Times New Roman" w:hAnsi="Times New Roman" w:cs="Times New Roman"/>
          <w:sz w:val="24"/>
          <w:szCs w:val="24"/>
        </w:rPr>
        <w:t xml:space="preserve">, Volume di commento, a cura di </w:t>
      </w:r>
      <w:r w:rsidRPr="00BA2DBB">
        <w:rPr>
          <w:rFonts w:ascii="Times New Roman" w:hAnsi="Times New Roman" w:cs="Times New Roman"/>
          <w:smallCaps/>
          <w:sz w:val="24"/>
          <w:szCs w:val="24"/>
        </w:rPr>
        <w:t>Idem</w:t>
      </w:r>
      <w:r w:rsidRPr="00BA2DBB">
        <w:rPr>
          <w:rFonts w:ascii="Times New Roman" w:hAnsi="Times New Roman" w:cs="Times New Roman"/>
          <w:sz w:val="24"/>
          <w:szCs w:val="24"/>
        </w:rPr>
        <w:t>, Parma, Franco Cosimo Panini, 2005, pp. 65-93.</w:t>
      </w:r>
    </w:p>
    <w:p w14:paraId="067C854E" w14:textId="77777777" w:rsidR="00796A9D" w:rsidRDefault="00796A9D" w:rsidP="00796A9D">
      <w:pPr>
        <w:spacing w:after="0"/>
        <w:jc w:val="both"/>
        <w:rPr>
          <w:rStyle w:val="Enfasicorsivo"/>
          <w:rFonts w:ascii="Times New Roman" w:hAnsi="Times New Roman" w:cs="Times New Roman"/>
          <w:i w:val="0"/>
          <w:smallCaps/>
          <w:color w:val="000000"/>
          <w:sz w:val="24"/>
          <w:szCs w:val="24"/>
          <w:shd w:val="clear" w:color="auto" w:fill="FFFFFF"/>
        </w:rPr>
      </w:pPr>
    </w:p>
    <w:p w14:paraId="7212BA47" w14:textId="77777777" w:rsidR="00796A9D" w:rsidRDefault="00796A9D" w:rsidP="00796A9D">
      <w:pPr>
        <w:spacing w:after="0"/>
        <w:jc w:val="both"/>
        <w:rPr>
          <w:rStyle w:val="Enfasicorsivo"/>
          <w:rFonts w:ascii="Times New Roman" w:hAnsi="Times New Roman" w:cs="Times New Roman"/>
          <w:i w:val="0"/>
          <w:color w:val="000000"/>
          <w:sz w:val="24"/>
          <w:szCs w:val="24"/>
          <w:shd w:val="clear" w:color="auto" w:fill="FFFFFF"/>
        </w:rPr>
      </w:pPr>
      <w:r w:rsidRPr="00261D45">
        <w:rPr>
          <w:rStyle w:val="Enfasicorsivo"/>
          <w:rFonts w:ascii="Times New Roman" w:hAnsi="Times New Roman" w:cs="Times New Roman"/>
          <w:i w:val="0"/>
          <w:smallCaps/>
          <w:color w:val="000000"/>
          <w:sz w:val="24"/>
          <w:szCs w:val="24"/>
          <w:shd w:val="clear" w:color="auto" w:fill="FFFFFF"/>
        </w:rPr>
        <w:t>F. Ascarelli</w:t>
      </w:r>
      <w:r w:rsidRPr="00261D45">
        <w:rPr>
          <w:rStyle w:val="Enfasicorsivo"/>
          <w:rFonts w:ascii="Times New Roman" w:hAnsi="Times New Roman" w:cs="Times New Roman"/>
          <w:i w:val="0"/>
          <w:color w:val="000000"/>
          <w:sz w:val="24"/>
          <w:szCs w:val="24"/>
          <w:shd w:val="clear" w:color="auto" w:fill="FFFFFF"/>
        </w:rPr>
        <w:t xml:space="preserve">, M. </w:t>
      </w:r>
      <w:r w:rsidRPr="00261D45">
        <w:rPr>
          <w:rStyle w:val="Enfasicorsivo"/>
          <w:rFonts w:ascii="Times New Roman" w:hAnsi="Times New Roman" w:cs="Times New Roman"/>
          <w:i w:val="0"/>
          <w:smallCaps/>
          <w:color w:val="000000"/>
          <w:sz w:val="24"/>
          <w:szCs w:val="24"/>
          <w:shd w:val="clear" w:color="auto" w:fill="FFFFFF"/>
        </w:rPr>
        <w:t>Menato</w:t>
      </w:r>
      <w:r w:rsidRPr="00BA2DBB">
        <w:rPr>
          <w:rStyle w:val="Enfasicorsivo"/>
          <w:rFonts w:ascii="Times New Roman" w:hAnsi="Times New Roman" w:cs="Times New Roman"/>
          <w:color w:val="000000"/>
          <w:sz w:val="24"/>
          <w:szCs w:val="24"/>
          <w:shd w:val="clear" w:color="auto" w:fill="FFFFFF"/>
        </w:rPr>
        <w:t>, La tipografia del ´500 in Italia, Firenze, Olschki, 1989.</w:t>
      </w:r>
    </w:p>
    <w:p w14:paraId="538137CB" w14:textId="77777777" w:rsidR="00796A9D" w:rsidRDefault="00796A9D" w:rsidP="00796A9D">
      <w:pPr>
        <w:spacing w:after="0"/>
        <w:jc w:val="both"/>
        <w:rPr>
          <w:rStyle w:val="Enfasicorsivo"/>
          <w:rFonts w:ascii="Times New Roman" w:hAnsi="Times New Roman" w:cs="Times New Roman"/>
          <w:i w:val="0"/>
          <w:color w:val="000000"/>
          <w:sz w:val="24"/>
          <w:szCs w:val="24"/>
          <w:shd w:val="clear" w:color="auto" w:fill="FFFFFF"/>
        </w:rPr>
      </w:pPr>
    </w:p>
    <w:p w14:paraId="1F464648" w14:textId="77777777" w:rsidR="00796A9D" w:rsidRPr="00FA2036" w:rsidRDefault="00796A9D" w:rsidP="00796A9D">
      <w:pPr>
        <w:spacing w:after="0"/>
        <w:jc w:val="both"/>
        <w:rPr>
          <w:rStyle w:val="Enfasicorsivo"/>
          <w:rFonts w:ascii="Times New Roman" w:hAnsi="Times New Roman" w:cs="Times New Roman"/>
          <w:i w:val="0"/>
          <w:color w:val="000000"/>
          <w:sz w:val="24"/>
          <w:szCs w:val="24"/>
          <w:shd w:val="clear" w:color="auto" w:fill="FFFFFF"/>
        </w:rPr>
      </w:pPr>
      <w:r w:rsidRPr="00B56C1B">
        <w:rPr>
          <w:rFonts w:ascii="Times New Roman" w:hAnsi="Times New Roman" w:cs="Times New Roman"/>
          <w:smallCaps/>
          <w:sz w:val="24"/>
          <w:szCs w:val="24"/>
        </w:rPr>
        <w:t xml:space="preserve">C. </w:t>
      </w:r>
      <w:r w:rsidRPr="00B56C1B">
        <w:rPr>
          <w:rStyle w:val="addmd"/>
          <w:rFonts w:ascii="Times New Roman" w:hAnsi="Times New Roman" w:cs="Times New Roman"/>
          <w:smallCaps/>
          <w:sz w:val="24"/>
          <w:szCs w:val="24"/>
        </w:rPr>
        <w:t>Atkinson</w:t>
      </w:r>
      <w:r w:rsidRPr="00B56C1B">
        <w:rPr>
          <w:rStyle w:val="addmd"/>
          <w:rFonts w:ascii="Times New Roman" w:hAnsi="Times New Roman" w:cs="Times New Roman"/>
          <w:sz w:val="24"/>
          <w:szCs w:val="24"/>
        </w:rPr>
        <w:t xml:space="preserve">, </w:t>
      </w:r>
      <w:r w:rsidRPr="00B56C1B">
        <w:rPr>
          <w:rStyle w:val="addmd"/>
          <w:rFonts w:ascii="Times New Roman" w:hAnsi="Times New Roman" w:cs="Times New Roman"/>
          <w:i/>
          <w:sz w:val="24"/>
          <w:szCs w:val="24"/>
        </w:rPr>
        <w:t>Inventing Inventors in Renaissance Europe: Polydore Vergil's De Inventoribus</w:t>
      </w:r>
      <w:r w:rsidRPr="00FA2036">
        <w:rPr>
          <w:rStyle w:val="addmd"/>
          <w:rFonts w:ascii="Times New Roman" w:hAnsi="Times New Roman" w:cs="Times New Roman"/>
          <w:i/>
          <w:sz w:val="24"/>
          <w:szCs w:val="24"/>
        </w:rPr>
        <w:t xml:space="preserve"> rerum</w:t>
      </w:r>
      <w:r w:rsidRPr="00FA2036">
        <w:rPr>
          <w:rStyle w:val="addmd"/>
          <w:rFonts w:ascii="Times New Roman" w:hAnsi="Times New Roman" w:cs="Times New Roman"/>
          <w:sz w:val="24"/>
          <w:szCs w:val="24"/>
        </w:rPr>
        <w:t>, Tübingen, Mohr Siebeck, 2007.</w:t>
      </w:r>
    </w:p>
    <w:p w14:paraId="66030255" w14:textId="77777777" w:rsidR="00796A9D" w:rsidRDefault="00796A9D" w:rsidP="00796A9D">
      <w:pPr>
        <w:spacing w:after="0"/>
        <w:jc w:val="both"/>
        <w:rPr>
          <w:rFonts w:ascii="Times New Roman" w:hAnsi="Times New Roman" w:cs="Times New Roman"/>
          <w:smallCaps/>
          <w:sz w:val="24"/>
          <w:szCs w:val="24"/>
        </w:rPr>
      </w:pPr>
    </w:p>
    <w:p w14:paraId="1C7D7057" w14:textId="77777777" w:rsidR="00796A9D" w:rsidRPr="00B56C1B" w:rsidRDefault="00796A9D" w:rsidP="00796A9D">
      <w:pPr>
        <w:spacing w:after="0"/>
        <w:jc w:val="both"/>
        <w:rPr>
          <w:rStyle w:val="Enfasicorsivo"/>
          <w:rFonts w:ascii="Times New Roman" w:hAnsi="Times New Roman" w:cs="Times New Roman"/>
          <w:i w:val="0"/>
          <w:color w:val="000000"/>
          <w:sz w:val="24"/>
          <w:szCs w:val="24"/>
          <w:shd w:val="clear" w:color="auto" w:fill="FFFFFF"/>
        </w:rPr>
      </w:pPr>
      <w:r w:rsidRPr="00B56C1B">
        <w:rPr>
          <w:rFonts w:ascii="Times New Roman" w:hAnsi="Times New Roman" w:cs="Times New Roman"/>
          <w:smallCaps/>
          <w:sz w:val="24"/>
          <w:szCs w:val="24"/>
        </w:rPr>
        <w:t>A.W. Atlas</w:t>
      </w:r>
      <w:r w:rsidRPr="00B56C1B">
        <w:rPr>
          <w:rFonts w:ascii="Times New Roman" w:hAnsi="Times New Roman" w:cs="Times New Roman"/>
          <w:sz w:val="24"/>
          <w:szCs w:val="24"/>
        </w:rPr>
        <w:t xml:space="preserve">, </w:t>
      </w:r>
      <w:r w:rsidRPr="00B56C1B">
        <w:rPr>
          <w:rFonts w:ascii="Times New Roman" w:hAnsi="Times New Roman" w:cs="Times New Roman"/>
          <w:i/>
          <w:sz w:val="24"/>
          <w:szCs w:val="24"/>
        </w:rPr>
        <w:t>Music at the Aragonese court of Naples</w:t>
      </w:r>
      <w:r w:rsidRPr="00B56C1B">
        <w:rPr>
          <w:rFonts w:ascii="Times New Roman" w:hAnsi="Times New Roman" w:cs="Times New Roman"/>
          <w:sz w:val="24"/>
          <w:szCs w:val="24"/>
        </w:rPr>
        <w:t>, Cambridge, Cambridge University Press, 1985.</w:t>
      </w:r>
    </w:p>
    <w:p w14:paraId="134B7DF1" w14:textId="77777777" w:rsidR="00796A9D" w:rsidRDefault="00796A9D" w:rsidP="00796A9D">
      <w:pPr>
        <w:spacing w:after="0"/>
        <w:jc w:val="both"/>
        <w:rPr>
          <w:rStyle w:val="Enfasicorsivo"/>
          <w:rFonts w:ascii="Times New Roman" w:hAnsi="Times New Roman" w:cs="Times New Roman"/>
          <w:i w:val="0"/>
          <w:color w:val="000000"/>
          <w:sz w:val="24"/>
          <w:szCs w:val="24"/>
          <w:shd w:val="clear" w:color="auto" w:fill="FFFFFF"/>
        </w:rPr>
      </w:pPr>
    </w:p>
    <w:p w14:paraId="522B5334" w14:textId="77777777" w:rsidR="00796A9D" w:rsidRPr="005B2352" w:rsidRDefault="00796A9D" w:rsidP="00796A9D">
      <w:pPr>
        <w:spacing w:after="0"/>
        <w:jc w:val="both"/>
        <w:rPr>
          <w:rStyle w:val="Enfasicorsivo"/>
          <w:rFonts w:ascii="Times New Roman" w:hAnsi="Times New Roman" w:cs="Times New Roman"/>
          <w:i w:val="0"/>
          <w:color w:val="000000"/>
          <w:sz w:val="24"/>
          <w:szCs w:val="24"/>
          <w:shd w:val="clear" w:color="auto" w:fill="FFFFFF"/>
        </w:rPr>
      </w:pPr>
      <w:r w:rsidRPr="005B2352">
        <w:rPr>
          <w:rFonts w:ascii="Times New Roman" w:hAnsi="Times New Roman" w:cs="Times New Roman"/>
          <w:smallCaps/>
          <w:sz w:val="24"/>
          <w:szCs w:val="24"/>
          <w:lang w:val="en-US"/>
        </w:rPr>
        <w:t>M. Azzolini</w:t>
      </w:r>
      <w:r w:rsidRPr="005B2352">
        <w:rPr>
          <w:rFonts w:ascii="Times New Roman" w:hAnsi="Times New Roman" w:cs="Times New Roman"/>
          <w:sz w:val="24"/>
          <w:szCs w:val="24"/>
          <w:lang w:val="en-US"/>
        </w:rPr>
        <w:t xml:space="preserve">, </w:t>
      </w:r>
      <w:r w:rsidRPr="005B2352">
        <w:rPr>
          <w:rFonts w:ascii="Times New Roman" w:hAnsi="Times New Roman" w:cs="Times New Roman"/>
          <w:i/>
          <w:sz w:val="24"/>
          <w:szCs w:val="24"/>
          <w:lang w:val="en-US"/>
        </w:rPr>
        <w:t>The Duke and the Stars. Astrology and Politics in Renaissance Milan</w:t>
      </w:r>
      <w:r w:rsidRPr="005B2352">
        <w:rPr>
          <w:rFonts w:ascii="Times New Roman" w:hAnsi="Times New Roman" w:cs="Times New Roman"/>
          <w:sz w:val="24"/>
          <w:szCs w:val="24"/>
          <w:lang w:val="en-US"/>
        </w:rPr>
        <w:t>, Cambridge, Harvard University Press, 2013.</w:t>
      </w:r>
    </w:p>
    <w:p w14:paraId="6323C4C2" w14:textId="77777777" w:rsidR="00796A9D" w:rsidRDefault="00796A9D" w:rsidP="00796A9D">
      <w:pPr>
        <w:spacing w:after="0"/>
        <w:jc w:val="both"/>
        <w:rPr>
          <w:rFonts w:ascii="Times New Roman" w:hAnsi="Times New Roman" w:cs="Times New Roman"/>
          <w:sz w:val="24"/>
          <w:szCs w:val="24"/>
        </w:rPr>
      </w:pPr>
    </w:p>
    <w:p w14:paraId="6E4042A1" w14:textId="77777777" w:rsidR="00796A9D" w:rsidRPr="00BA2DBB" w:rsidRDefault="00796A9D" w:rsidP="00796A9D">
      <w:pPr>
        <w:spacing w:after="0"/>
        <w:jc w:val="both"/>
        <w:rPr>
          <w:rStyle w:val="Enfasicorsivo"/>
          <w:rFonts w:ascii="Times New Roman" w:hAnsi="Times New Roman" w:cs="Times New Roman"/>
          <w:i w:val="0"/>
          <w:color w:val="000000"/>
          <w:sz w:val="24"/>
          <w:szCs w:val="24"/>
          <w:shd w:val="clear" w:color="auto" w:fill="FFFFFF"/>
        </w:rPr>
      </w:pPr>
      <w:r w:rsidRPr="00BA2DBB">
        <w:rPr>
          <w:rFonts w:ascii="Times New Roman" w:hAnsi="Times New Roman" w:cs="Times New Roman"/>
          <w:sz w:val="24"/>
          <w:szCs w:val="24"/>
        </w:rPr>
        <w:t xml:space="preserve">L. </w:t>
      </w:r>
      <w:r w:rsidRPr="00BA2DBB">
        <w:rPr>
          <w:rFonts w:ascii="Times New Roman" w:hAnsi="Times New Roman" w:cs="Times New Roman"/>
          <w:smallCaps/>
          <w:sz w:val="24"/>
          <w:szCs w:val="24"/>
        </w:rPr>
        <w:t>Baffioni Venturi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Alla ricerca della libreria perduta. La biblioteca di Giovanni Sforza Signore di Pesaro</w:t>
      </w:r>
      <w:r w:rsidRPr="00BA2DBB">
        <w:rPr>
          <w:rFonts w:ascii="Times New Roman" w:hAnsi="Times New Roman" w:cs="Times New Roman"/>
          <w:sz w:val="24"/>
          <w:szCs w:val="24"/>
        </w:rPr>
        <w:t>, Pesaro, Metauro, 2013.</w:t>
      </w:r>
    </w:p>
    <w:p w14:paraId="324919DE" w14:textId="77777777" w:rsidR="00796A9D" w:rsidRDefault="00796A9D" w:rsidP="00796A9D">
      <w:pPr>
        <w:spacing w:after="0"/>
        <w:jc w:val="both"/>
        <w:rPr>
          <w:rFonts w:ascii="Times New Roman" w:hAnsi="Times New Roman" w:cs="Times New Roman"/>
          <w:smallCaps/>
          <w:sz w:val="24"/>
          <w:szCs w:val="24"/>
        </w:rPr>
      </w:pPr>
    </w:p>
    <w:p w14:paraId="39722B65"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B. Baldi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Vita e fatti di Federico di Montefeltro duca di Urbino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A. Ceracchi</w:t>
      </w:r>
      <w:r w:rsidRPr="00BA2DBB">
        <w:rPr>
          <w:rFonts w:ascii="Times New Roman" w:hAnsi="Times New Roman" w:cs="Times New Roman"/>
          <w:sz w:val="24"/>
          <w:szCs w:val="24"/>
        </w:rPr>
        <w:t>, Roma, Perego-Salvioni, 1824.</w:t>
      </w:r>
    </w:p>
    <w:p w14:paraId="6BF7A20C" w14:textId="77777777" w:rsidR="00796A9D" w:rsidRDefault="00796A9D" w:rsidP="00796A9D">
      <w:pPr>
        <w:spacing w:after="0"/>
        <w:jc w:val="both"/>
        <w:rPr>
          <w:rFonts w:ascii="Times New Roman" w:hAnsi="Times New Roman" w:cs="Times New Roman"/>
          <w:sz w:val="24"/>
          <w:szCs w:val="24"/>
        </w:rPr>
      </w:pPr>
    </w:p>
    <w:p w14:paraId="161096D4" w14:textId="77777777" w:rsidR="00796A9D" w:rsidRPr="00AA7AA5" w:rsidRDefault="00796A9D" w:rsidP="00796A9D">
      <w:pPr>
        <w:spacing w:after="0"/>
        <w:jc w:val="both"/>
        <w:rPr>
          <w:rFonts w:ascii="Times New Roman" w:hAnsi="Times New Roman" w:cs="Times New Roman"/>
          <w:sz w:val="24"/>
          <w:szCs w:val="24"/>
        </w:rPr>
      </w:pPr>
      <w:r w:rsidRPr="00AA7AA5">
        <w:rPr>
          <w:rFonts w:ascii="Times New Roman" w:hAnsi="Times New Roman" w:cs="Times New Roman"/>
          <w:sz w:val="24"/>
          <w:szCs w:val="24"/>
        </w:rPr>
        <w:t xml:space="preserve">L. </w:t>
      </w:r>
      <w:r w:rsidRPr="00AA7AA5">
        <w:rPr>
          <w:rFonts w:ascii="Times New Roman" w:hAnsi="Times New Roman" w:cs="Times New Roman"/>
          <w:smallCaps/>
          <w:sz w:val="24"/>
          <w:szCs w:val="24"/>
        </w:rPr>
        <w:t>Balsamo</w:t>
      </w:r>
      <w:r w:rsidRPr="00AA7AA5">
        <w:rPr>
          <w:rFonts w:ascii="Times New Roman" w:hAnsi="Times New Roman" w:cs="Times New Roman"/>
          <w:sz w:val="24"/>
          <w:szCs w:val="24"/>
        </w:rPr>
        <w:t xml:space="preserve">, </w:t>
      </w:r>
      <w:r w:rsidRPr="00AA7AA5">
        <w:rPr>
          <w:rFonts w:ascii="Times New Roman" w:hAnsi="Times New Roman" w:cs="Times New Roman"/>
          <w:i/>
          <w:sz w:val="24"/>
          <w:szCs w:val="24"/>
        </w:rPr>
        <w:t>Giovann’Angelo Scinzenzeler tipografo in Milano (1500-1526)</w:t>
      </w:r>
      <w:r w:rsidRPr="00AA7AA5">
        <w:rPr>
          <w:rFonts w:ascii="Times New Roman" w:hAnsi="Times New Roman" w:cs="Times New Roman"/>
          <w:sz w:val="24"/>
          <w:szCs w:val="24"/>
        </w:rPr>
        <w:t>, Firenze, Sansoni antiquariato</w:t>
      </w:r>
      <w:r>
        <w:rPr>
          <w:rFonts w:ascii="Times New Roman" w:hAnsi="Times New Roman" w:cs="Times New Roman"/>
          <w:sz w:val="24"/>
          <w:szCs w:val="24"/>
        </w:rPr>
        <w:t>,</w:t>
      </w:r>
      <w:r w:rsidRPr="00AA7AA5">
        <w:rPr>
          <w:rFonts w:ascii="Times New Roman" w:hAnsi="Times New Roman" w:cs="Times New Roman"/>
          <w:sz w:val="24"/>
          <w:szCs w:val="24"/>
        </w:rPr>
        <w:t xml:space="preserve"> 1959.</w:t>
      </w:r>
    </w:p>
    <w:p w14:paraId="15770F38" w14:textId="77777777" w:rsidR="00796A9D" w:rsidRDefault="00796A9D" w:rsidP="00796A9D">
      <w:pPr>
        <w:spacing w:after="0"/>
        <w:jc w:val="both"/>
        <w:rPr>
          <w:rStyle w:val="Enfasicorsivo"/>
          <w:rFonts w:ascii="Times New Roman" w:hAnsi="Times New Roman" w:cs="Times New Roman"/>
          <w:i w:val="0"/>
          <w:color w:val="000000"/>
          <w:sz w:val="24"/>
          <w:szCs w:val="24"/>
          <w:shd w:val="clear" w:color="auto" w:fill="FFFFFF"/>
        </w:rPr>
      </w:pPr>
    </w:p>
    <w:p w14:paraId="138FA6C5" w14:textId="77777777" w:rsidR="00796A9D" w:rsidRDefault="00796A9D" w:rsidP="00796A9D">
      <w:pPr>
        <w:spacing w:after="0"/>
        <w:jc w:val="both"/>
        <w:rPr>
          <w:rFonts w:ascii="Times New Roman" w:hAnsi="Times New Roman" w:cs="Times New Roman"/>
          <w:sz w:val="24"/>
          <w:szCs w:val="24"/>
        </w:rPr>
      </w:pPr>
      <w:r w:rsidRPr="00FE4D60">
        <w:rPr>
          <w:rFonts w:ascii="Times New Roman" w:hAnsi="Times New Roman" w:cs="Times New Roman"/>
          <w:smallCaps/>
          <w:sz w:val="24"/>
          <w:szCs w:val="24"/>
        </w:rPr>
        <w:t>F. Bandini</w:t>
      </w:r>
      <w:r w:rsidRPr="00FE4D60">
        <w:rPr>
          <w:rFonts w:ascii="Times New Roman" w:hAnsi="Times New Roman" w:cs="Times New Roman"/>
          <w:sz w:val="24"/>
          <w:szCs w:val="24"/>
        </w:rPr>
        <w:t xml:space="preserve">, </w:t>
      </w:r>
      <w:r w:rsidRPr="00FE4D60">
        <w:rPr>
          <w:rFonts w:ascii="Times New Roman" w:hAnsi="Times New Roman" w:cs="Times New Roman"/>
          <w:i/>
          <w:sz w:val="24"/>
          <w:szCs w:val="24"/>
        </w:rPr>
        <w:t xml:space="preserve">Il </w:t>
      </w:r>
      <w:r w:rsidRPr="00FE4D60">
        <w:rPr>
          <w:rFonts w:ascii="Times New Roman" w:hAnsi="Times New Roman" w:cs="Times New Roman"/>
          <w:sz w:val="24"/>
          <w:szCs w:val="24"/>
        </w:rPr>
        <w:t xml:space="preserve">Dittamondo </w:t>
      </w:r>
      <w:r w:rsidRPr="00FE4D60">
        <w:rPr>
          <w:rFonts w:ascii="Times New Roman" w:hAnsi="Times New Roman" w:cs="Times New Roman"/>
          <w:i/>
          <w:sz w:val="24"/>
          <w:szCs w:val="24"/>
        </w:rPr>
        <w:t>e la cultura veneta del Trecento e del Quattrocento</w:t>
      </w:r>
      <w:r w:rsidRPr="00FE4D60">
        <w:rPr>
          <w:rFonts w:ascii="Times New Roman" w:hAnsi="Times New Roman" w:cs="Times New Roman"/>
          <w:sz w:val="24"/>
          <w:szCs w:val="24"/>
        </w:rPr>
        <w:t xml:space="preserve">, in </w:t>
      </w:r>
      <w:r w:rsidRPr="00FE4D60">
        <w:rPr>
          <w:rFonts w:ascii="Times New Roman" w:hAnsi="Times New Roman" w:cs="Times New Roman"/>
          <w:i/>
          <w:sz w:val="24"/>
          <w:szCs w:val="24"/>
        </w:rPr>
        <w:t>1474. Le origini della stampa a Vicenza</w:t>
      </w:r>
      <w:r w:rsidRPr="00FE4D60">
        <w:rPr>
          <w:rFonts w:ascii="Times New Roman" w:hAnsi="Times New Roman" w:cs="Times New Roman"/>
          <w:sz w:val="24"/>
          <w:szCs w:val="24"/>
        </w:rPr>
        <w:t xml:space="preserve">, a cura di </w:t>
      </w:r>
      <w:r w:rsidRPr="00FE4D60">
        <w:rPr>
          <w:rFonts w:ascii="Times New Roman" w:hAnsi="Times New Roman" w:cs="Times New Roman"/>
          <w:smallCaps/>
          <w:sz w:val="24"/>
          <w:szCs w:val="24"/>
        </w:rPr>
        <w:t>Idem</w:t>
      </w:r>
      <w:r w:rsidRPr="00FE4D60">
        <w:rPr>
          <w:rFonts w:ascii="Times New Roman" w:hAnsi="Times New Roman" w:cs="Times New Roman"/>
          <w:sz w:val="24"/>
          <w:szCs w:val="24"/>
        </w:rPr>
        <w:t>, Vicenza, Neri Pozza, 1975, pp. 111-124.</w:t>
      </w:r>
    </w:p>
    <w:p w14:paraId="08FD9BBA" w14:textId="77777777" w:rsidR="00796A9D" w:rsidRDefault="00796A9D" w:rsidP="00796A9D">
      <w:pPr>
        <w:spacing w:after="0"/>
        <w:jc w:val="both"/>
        <w:rPr>
          <w:rStyle w:val="Enfasicorsivo"/>
          <w:rFonts w:ascii="Times New Roman" w:hAnsi="Times New Roman" w:cs="Times New Roman"/>
          <w:i w:val="0"/>
          <w:color w:val="000000"/>
          <w:sz w:val="24"/>
          <w:szCs w:val="24"/>
          <w:shd w:val="clear" w:color="auto" w:fill="FFFFFF"/>
        </w:rPr>
      </w:pPr>
    </w:p>
    <w:p w14:paraId="044BDEFA" w14:textId="77777777" w:rsidR="00796A9D" w:rsidRDefault="00796A9D" w:rsidP="00796A9D">
      <w:pPr>
        <w:spacing w:after="0"/>
        <w:jc w:val="both"/>
        <w:rPr>
          <w:rFonts w:ascii="Times New Roman" w:hAnsi="Times New Roman" w:cs="Times New Roman"/>
          <w:sz w:val="24"/>
          <w:szCs w:val="24"/>
        </w:rPr>
      </w:pPr>
      <w:r w:rsidRPr="0001596C">
        <w:rPr>
          <w:rFonts w:ascii="Times New Roman" w:hAnsi="Times New Roman" w:cs="Times New Roman"/>
          <w:sz w:val="24"/>
          <w:szCs w:val="24"/>
        </w:rPr>
        <w:t xml:space="preserve">L. </w:t>
      </w:r>
      <w:r w:rsidRPr="0001596C">
        <w:rPr>
          <w:rFonts w:ascii="Times New Roman" w:hAnsi="Times New Roman" w:cs="Times New Roman"/>
          <w:smallCaps/>
          <w:sz w:val="24"/>
          <w:szCs w:val="24"/>
        </w:rPr>
        <w:t>Banfi</w:t>
      </w:r>
      <w:r w:rsidRPr="0001596C">
        <w:rPr>
          <w:rFonts w:ascii="Times New Roman" w:hAnsi="Times New Roman" w:cs="Times New Roman"/>
          <w:sz w:val="24"/>
          <w:szCs w:val="24"/>
        </w:rPr>
        <w:t xml:space="preserve">, </w:t>
      </w:r>
      <w:r w:rsidRPr="0001596C">
        <w:rPr>
          <w:rFonts w:ascii="Times New Roman" w:hAnsi="Times New Roman" w:cs="Times New Roman"/>
          <w:i/>
          <w:sz w:val="24"/>
          <w:szCs w:val="24"/>
        </w:rPr>
        <w:t>Scuola ed educazione nella Milano dell’ultimo</w:t>
      </w:r>
      <w:r w:rsidRPr="0001596C">
        <w:rPr>
          <w:rFonts w:ascii="Times New Roman" w:hAnsi="Times New Roman" w:cs="Times New Roman"/>
          <w:sz w:val="24"/>
          <w:szCs w:val="24"/>
        </w:rPr>
        <w:t xml:space="preserve"> </w:t>
      </w:r>
      <w:r w:rsidRPr="0001596C">
        <w:rPr>
          <w:rFonts w:ascii="Times New Roman" w:hAnsi="Times New Roman" w:cs="Times New Roman"/>
          <w:i/>
          <w:sz w:val="24"/>
          <w:szCs w:val="24"/>
        </w:rPr>
        <w:t>Quattrocento</w:t>
      </w:r>
      <w:r w:rsidRPr="0001596C">
        <w:rPr>
          <w:rFonts w:ascii="Times New Roman" w:hAnsi="Times New Roman" w:cs="Times New Roman"/>
          <w:sz w:val="24"/>
          <w:szCs w:val="24"/>
        </w:rPr>
        <w:t xml:space="preserve">, in </w:t>
      </w:r>
      <w:r w:rsidRPr="0001596C">
        <w:rPr>
          <w:rFonts w:ascii="Times New Roman" w:hAnsi="Times New Roman" w:cs="Times New Roman"/>
          <w:i/>
          <w:sz w:val="24"/>
          <w:szCs w:val="24"/>
        </w:rPr>
        <w:t>Milano</w:t>
      </w:r>
      <w:r w:rsidRPr="0001596C">
        <w:rPr>
          <w:rFonts w:ascii="Times New Roman" w:hAnsi="Times New Roman" w:cs="Times New Roman"/>
          <w:sz w:val="24"/>
          <w:szCs w:val="24"/>
        </w:rPr>
        <w:t xml:space="preserve"> </w:t>
      </w:r>
      <w:r w:rsidRPr="0001596C">
        <w:rPr>
          <w:rFonts w:ascii="Times New Roman" w:hAnsi="Times New Roman" w:cs="Times New Roman"/>
          <w:i/>
          <w:sz w:val="24"/>
          <w:szCs w:val="24"/>
        </w:rPr>
        <w:t>nell’età di Ludovico il Moro</w:t>
      </w:r>
      <w:r w:rsidRPr="0001596C">
        <w:rPr>
          <w:rFonts w:ascii="Times New Roman" w:hAnsi="Times New Roman" w:cs="Times New Roman"/>
          <w:sz w:val="24"/>
          <w:szCs w:val="24"/>
        </w:rPr>
        <w:t>, Atti del convegno internazionale (28 febbraio-4 marzo 1983), Milano, Comune di Milano e Biblioteca Trivulziana, 1983, pp. 387-395.</w:t>
      </w:r>
    </w:p>
    <w:p w14:paraId="6DB5DD55" w14:textId="77777777" w:rsidR="00495FBF" w:rsidRDefault="00495FBF" w:rsidP="00796A9D">
      <w:pPr>
        <w:spacing w:after="0"/>
        <w:jc w:val="both"/>
        <w:rPr>
          <w:rFonts w:ascii="Times New Roman" w:hAnsi="Times New Roman" w:cs="Times New Roman"/>
          <w:sz w:val="24"/>
          <w:szCs w:val="24"/>
        </w:rPr>
      </w:pPr>
    </w:p>
    <w:p w14:paraId="74F8EEC7" w14:textId="77777777" w:rsidR="00495FBF" w:rsidRPr="00495FBF" w:rsidRDefault="00495FBF" w:rsidP="00796A9D">
      <w:pPr>
        <w:spacing w:after="0"/>
        <w:jc w:val="both"/>
        <w:rPr>
          <w:rFonts w:ascii="Times New Roman" w:hAnsi="Times New Roman" w:cs="Times New Roman"/>
          <w:sz w:val="24"/>
          <w:szCs w:val="24"/>
        </w:rPr>
      </w:pPr>
      <w:r w:rsidRPr="00495FBF">
        <w:rPr>
          <w:rFonts w:ascii="Times New Roman" w:hAnsi="Times New Roman" w:cs="Times New Roman"/>
          <w:smallCaps/>
          <w:sz w:val="24"/>
          <w:szCs w:val="24"/>
        </w:rPr>
        <w:t>F. Barbier</w:t>
      </w:r>
      <w:r w:rsidRPr="00495FBF">
        <w:rPr>
          <w:rFonts w:ascii="Times New Roman" w:hAnsi="Times New Roman" w:cs="Times New Roman"/>
          <w:sz w:val="24"/>
          <w:szCs w:val="24"/>
        </w:rPr>
        <w:t xml:space="preserve">, </w:t>
      </w:r>
      <w:r w:rsidRPr="00495FBF">
        <w:rPr>
          <w:rFonts w:ascii="Times New Roman" w:hAnsi="Times New Roman" w:cs="Times New Roman"/>
          <w:i/>
          <w:sz w:val="24"/>
          <w:szCs w:val="24"/>
        </w:rPr>
        <w:t>Storia del libro dall’antichità al XX secolo</w:t>
      </w:r>
      <w:r w:rsidRPr="00495FBF">
        <w:rPr>
          <w:rFonts w:ascii="Times New Roman" w:hAnsi="Times New Roman" w:cs="Times New Roman"/>
          <w:sz w:val="24"/>
          <w:szCs w:val="24"/>
        </w:rPr>
        <w:t>, Bari, Dedalo, 2004</w:t>
      </w:r>
      <w:r>
        <w:rPr>
          <w:rFonts w:ascii="Times New Roman" w:hAnsi="Times New Roman" w:cs="Times New Roman"/>
          <w:sz w:val="24"/>
          <w:szCs w:val="24"/>
        </w:rPr>
        <w:t>.</w:t>
      </w:r>
    </w:p>
    <w:p w14:paraId="0CED2D86" w14:textId="77777777" w:rsidR="00796A9D" w:rsidRDefault="00796A9D" w:rsidP="00796A9D">
      <w:pPr>
        <w:spacing w:after="0"/>
        <w:jc w:val="both"/>
        <w:rPr>
          <w:rStyle w:val="Enfasicorsivo"/>
          <w:rFonts w:ascii="Times New Roman" w:hAnsi="Times New Roman" w:cs="Times New Roman"/>
          <w:i w:val="0"/>
          <w:color w:val="000000"/>
          <w:sz w:val="24"/>
          <w:szCs w:val="24"/>
          <w:shd w:val="clear" w:color="auto" w:fill="FFFFFF"/>
        </w:rPr>
      </w:pPr>
    </w:p>
    <w:p w14:paraId="01F83072" w14:textId="77777777" w:rsidR="00796A9D" w:rsidRPr="00CD4945" w:rsidRDefault="00796A9D" w:rsidP="00796A9D">
      <w:pPr>
        <w:spacing w:after="0"/>
        <w:jc w:val="both"/>
        <w:rPr>
          <w:rStyle w:val="Enfasicorsivo"/>
          <w:rFonts w:ascii="Times New Roman" w:hAnsi="Times New Roman" w:cs="Times New Roman"/>
          <w:i w:val="0"/>
          <w:color w:val="000000"/>
          <w:sz w:val="24"/>
          <w:szCs w:val="24"/>
          <w:shd w:val="clear" w:color="auto" w:fill="FFFFFF"/>
        </w:rPr>
      </w:pPr>
      <w:r w:rsidRPr="00CD4945">
        <w:rPr>
          <w:rFonts w:ascii="Times New Roman" w:hAnsi="Times New Roman" w:cs="Times New Roman"/>
          <w:smallCaps/>
          <w:sz w:val="24"/>
          <w:szCs w:val="24"/>
        </w:rPr>
        <w:t>G. Barbieri</w:t>
      </w:r>
      <w:r w:rsidRPr="00CD4945">
        <w:rPr>
          <w:rFonts w:ascii="Times New Roman" w:hAnsi="Times New Roman" w:cs="Times New Roman"/>
          <w:sz w:val="24"/>
          <w:szCs w:val="24"/>
        </w:rPr>
        <w:t xml:space="preserve">, </w:t>
      </w:r>
      <w:r w:rsidRPr="00CD4945">
        <w:rPr>
          <w:rFonts w:ascii="Times New Roman" w:hAnsi="Times New Roman" w:cs="Times New Roman"/>
          <w:i/>
          <w:sz w:val="24"/>
          <w:szCs w:val="24"/>
        </w:rPr>
        <w:t>Milano e Mosca nella politica del Rinascimento</w:t>
      </w:r>
      <w:r w:rsidRPr="00CD4945">
        <w:rPr>
          <w:rFonts w:ascii="Times New Roman" w:hAnsi="Times New Roman" w:cs="Times New Roman"/>
          <w:sz w:val="24"/>
          <w:szCs w:val="24"/>
        </w:rPr>
        <w:t>, Bari, Adriatica, 1957.</w:t>
      </w:r>
    </w:p>
    <w:p w14:paraId="296732D3" w14:textId="77777777" w:rsidR="00796A9D" w:rsidRPr="0001596C" w:rsidRDefault="00796A9D" w:rsidP="00796A9D">
      <w:pPr>
        <w:spacing w:after="0"/>
        <w:jc w:val="both"/>
        <w:rPr>
          <w:rFonts w:ascii="Times New Roman" w:hAnsi="Times New Roman" w:cs="Times New Roman"/>
          <w:smallCaps/>
          <w:sz w:val="24"/>
          <w:szCs w:val="24"/>
        </w:rPr>
      </w:pPr>
    </w:p>
    <w:p w14:paraId="77157EFA" w14:textId="77777777" w:rsidR="00796A9D" w:rsidRPr="00BA2DBB" w:rsidRDefault="00796A9D" w:rsidP="00796A9D">
      <w:pPr>
        <w:spacing w:after="0"/>
        <w:jc w:val="both"/>
        <w:rPr>
          <w:rStyle w:val="Enfasicorsivo"/>
          <w:rFonts w:ascii="Times New Roman" w:hAnsi="Times New Roman" w:cs="Times New Roman"/>
          <w:i w:val="0"/>
          <w:color w:val="000000"/>
          <w:sz w:val="24"/>
          <w:szCs w:val="24"/>
          <w:shd w:val="clear" w:color="auto" w:fill="FFFFFF"/>
        </w:rPr>
      </w:pPr>
      <w:r w:rsidRPr="00BA2DBB">
        <w:rPr>
          <w:rFonts w:ascii="Times New Roman" w:hAnsi="Times New Roman" w:cs="Times New Roman"/>
          <w:smallCaps/>
          <w:sz w:val="24"/>
          <w:szCs w:val="24"/>
        </w:rPr>
        <w:t>J. Barreto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 xml:space="preserve">La Majesté. </w:t>
      </w:r>
      <w:r w:rsidRPr="00BA2DBB">
        <w:rPr>
          <w:rFonts w:ascii="Times New Roman" w:hAnsi="Times New Roman" w:cs="Times New Roman"/>
          <w:i/>
          <w:sz w:val="24"/>
          <w:szCs w:val="24"/>
          <w:lang w:val="en-US"/>
        </w:rPr>
        <w:t>Portraits du pouvoir dans la Naples des Aragon</w:t>
      </w:r>
      <w:r w:rsidRPr="00BA2DBB">
        <w:rPr>
          <w:rFonts w:ascii="Times New Roman" w:hAnsi="Times New Roman" w:cs="Times New Roman"/>
          <w:sz w:val="24"/>
          <w:szCs w:val="24"/>
          <w:lang w:val="en-US"/>
        </w:rPr>
        <w:t xml:space="preserve">, Collection de l’école française de Rome, 482, 2013. </w:t>
      </w:r>
    </w:p>
    <w:p w14:paraId="0EB521C1" w14:textId="77777777" w:rsidR="00796A9D" w:rsidRDefault="00796A9D" w:rsidP="00796A9D">
      <w:pPr>
        <w:pStyle w:val="Testonotaapidipagina"/>
        <w:jc w:val="both"/>
        <w:rPr>
          <w:rFonts w:ascii="Times New Roman" w:hAnsi="Times New Roman" w:cs="Times New Roman"/>
          <w:sz w:val="24"/>
          <w:szCs w:val="24"/>
        </w:rPr>
      </w:pPr>
    </w:p>
    <w:p w14:paraId="55DC9000"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z w:val="24"/>
          <w:szCs w:val="24"/>
        </w:rPr>
        <w:t xml:space="preserve">J. </w:t>
      </w:r>
      <w:r w:rsidRPr="00BA2DBB">
        <w:rPr>
          <w:rFonts w:ascii="Times New Roman" w:hAnsi="Times New Roman" w:cs="Times New Roman"/>
          <w:smallCaps/>
          <w:sz w:val="24"/>
          <w:szCs w:val="24"/>
        </w:rPr>
        <w:t>Barreto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matrice valenciana della politica artistica alfonsiana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L’immagine di Alfonso il Magnanimo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F. delle Donne, J.T. Torrent</w:t>
      </w:r>
      <w:r w:rsidRPr="00BA2DBB">
        <w:rPr>
          <w:rFonts w:ascii="Times New Roman" w:hAnsi="Times New Roman" w:cs="Times New Roman"/>
          <w:sz w:val="24"/>
          <w:szCs w:val="24"/>
        </w:rPr>
        <w:t xml:space="preserve">, Firenze, SISMEL-Galluzzo, 2016, pp. 125-137. </w:t>
      </w:r>
    </w:p>
    <w:p w14:paraId="098D3442" w14:textId="77777777" w:rsidR="00796A9D" w:rsidRDefault="00796A9D" w:rsidP="00796A9D">
      <w:pPr>
        <w:pStyle w:val="Testonotaapidipagina"/>
        <w:jc w:val="both"/>
        <w:rPr>
          <w:rFonts w:ascii="Times New Roman" w:hAnsi="Times New Roman" w:cs="Times New Roman"/>
          <w:sz w:val="24"/>
          <w:szCs w:val="24"/>
        </w:rPr>
      </w:pPr>
    </w:p>
    <w:p w14:paraId="091A7CCE" w14:textId="77777777" w:rsidR="00796A9D" w:rsidRDefault="00796A9D" w:rsidP="00796A9D">
      <w:pPr>
        <w:pStyle w:val="Testonotaapidipagina"/>
        <w:jc w:val="both"/>
        <w:rPr>
          <w:rFonts w:ascii="Times New Roman" w:hAnsi="Times New Roman" w:cs="Times New Roman"/>
          <w:sz w:val="24"/>
          <w:szCs w:val="24"/>
        </w:rPr>
      </w:pPr>
      <w:r w:rsidRPr="00E03E55">
        <w:rPr>
          <w:rFonts w:ascii="Times New Roman" w:hAnsi="Times New Roman" w:cs="Times New Roman"/>
          <w:smallCaps/>
          <w:sz w:val="24"/>
          <w:szCs w:val="24"/>
        </w:rPr>
        <w:t>M. Baxandall</w:t>
      </w:r>
      <w:r w:rsidRPr="00E03E55">
        <w:rPr>
          <w:rFonts w:ascii="Times New Roman" w:hAnsi="Times New Roman" w:cs="Times New Roman"/>
          <w:sz w:val="24"/>
          <w:szCs w:val="24"/>
        </w:rPr>
        <w:t xml:space="preserve">, </w:t>
      </w:r>
      <w:r w:rsidRPr="00E03E55">
        <w:rPr>
          <w:rFonts w:ascii="Times New Roman" w:hAnsi="Times New Roman" w:cs="Times New Roman"/>
          <w:i/>
          <w:sz w:val="24"/>
          <w:szCs w:val="24"/>
        </w:rPr>
        <w:t>Giotto e gli umanisti</w:t>
      </w:r>
      <w:r w:rsidRPr="00E03E55">
        <w:rPr>
          <w:rFonts w:ascii="Times New Roman" w:hAnsi="Times New Roman" w:cs="Times New Roman"/>
          <w:sz w:val="24"/>
          <w:szCs w:val="24"/>
        </w:rPr>
        <w:t>, Milano, Jaca Book, 1994</w:t>
      </w:r>
      <w:r>
        <w:rPr>
          <w:rFonts w:ascii="Times New Roman" w:hAnsi="Times New Roman" w:cs="Times New Roman"/>
          <w:sz w:val="24"/>
          <w:szCs w:val="24"/>
        </w:rPr>
        <w:t>.</w:t>
      </w:r>
    </w:p>
    <w:p w14:paraId="5832A07C" w14:textId="77777777" w:rsidR="00796A9D" w:rsidRDefault="00796A9D" w:rsidP="00796A9D">
      <w:pPr>
        <w:pStyle w:val="Testonotaapidipagina"/>
        <w:jc w:val="both"/>
        <w:rPr>
          <w:rFonts w:ascii="Times New Roman" w:hAnsi="Times New Roman" w:cs="Times New Roman"/>
          <w:sz w:val="24"/>
          <w:szCs w:val="24"/>
        </w:rPr>
      </w:pPr>
    </w:p>
    <w:p w14:paraId="294390FC" w14:textId="77777777" w:rsidR="00796A9D" w:rsidRDefault="00796A9D" w:rsidP="00796A9D">
      <w:pPr>
        <w:pStyle w:val="Testonotaapidipagina"/>
        <w:jc w:val="both"/>
        <w:rPr>
          <w:rFonts w:ascii="Times New Roman" w:hAnsi="Times New Roman" w:cs="Times New Roman"/>
          <w:sz w:val="24"/>
          <w:szCs w:val="24"/>
        </w:rPr>
      </w:pPr>
      <w:r w:rsidRPr="00C34E37">
        <w:rPr>
          <w:rFonts w:ascii="Times New Roman" w:hAnsi="Times New Roman" w:cs="Times New Roman"/>
          <w:sz w:val="24"/>
          <w:szCs w:val="24"/>
        </w:rPr>
        <w:t xml:space="preserve">M. </w:t>
      </w:r>
      <w:r w:rsidRPr="00C34E37">
        <w:rPr>
          <w:rFonts w:ascii="Times New Roman" w:hAnsi="Times New Roman" w:cs="Times New Roman"/>
          <w:smallCaps/>
          <w:sz w:val="24"/>
          <w:szCs w:val="24"/>
        </w:rPr>
        <w:t>Bendiscioli</w:t>
      </w:r>
      <w:r w:rsidRPr="00C34E37">
        <w:rPr>
          <w:rFonts w:ascii="Times New Roman" w:hAnsi="Times New Roman" w:cs="Times New Roman"/>
          <w:sz w:val="24"/>
          <w:szCs w:val="24"/>
        </w:rPr>
        <w:t xml:space="preserve">, </w:t>
      </w:r>
      <w:r w:rsidRPr="00C34E37">
        <w:rPr>
          <w:rFonts w:ascii="Times New Roman" w:hAnsi="Times New Roman" w:cs="Times New Roman"/>
          <w:i/>
          <w:sz w:val="24"/>
          <w:szCs w:val="24"/>
        </w:rPr>
        <w:t>Politica, amministrazione e religione nell’età dei Borromei</w:t>
      </w:r>
      <w:r w:rsidRPr="00C34E37">
        <w:rPr>
          <w:rFonts w:ascii="Times New Roman" w:hAnsi="Times New Roman" w:cs="Times New Roman"/>
          <w:sz w:val="24"/>
          <w:szCs w:val="24"/>
        </w:rPr>
        <w:t xml:space="preserve">, in </w:t>
      </w:r>
      <w:r w:rsidRPr="00C34E37">
        <w:rPr>
          <w:rFonts w:ascii="Times New Roman" w:hAnsi="Times New Roman" w:cs="Times New Roman"/>
          <w:i/>
          <w:sz w:val="24"/>
          <w:szCs w:val="24"/>
        </w:rPr>
        <w:t>Storia di Milano</w:t>
      </w:r>
      <w:r w:rsidRPr="00C34E37">
        <w:rPr>
          <w:rFonts w:ascii="Times New Roman" w:hAnsi="Times New Roman" w:cs="Times New Roman"/>
          <w:sz w:val="24"/>
          <w:szCs w:val="24"/>
        </w:rPr>
        <w:t>, Milano, Treccani, 1961, vol. X, pp. 578-579.</w:t>
      </w:r>
    </w:p>
    <w:p w14:paraId="201DE885" w14:textId="77777777" w:rsidR="00796A9D" w:rsidRDefault="00796A9D" w:rsidP="00796A9D">
      <w:pPr>
        <w:pStyle w:val="Testonotaapidipagina"/>
        <w:jc w:val="both"/>
        <w:rPr>
          <w:rFonts w:ascii="Times New Roman" w:hAnsi="Times New Roman" w:cs="Times New Roman"/>
          <w:sz w:val="24"/>
          <w:szCs w:val="24"/>
        </w:rPr>
      </w:pPr>
    </w:p>
    <w:p w14:paraId="366DE90B" w14:textId="77777777" w:rsidR="00796A9D" w:rsidRPr="00851FB1" w:rsidRDefault="00796A9D" w:rsidP="00796A9D">
      <w:pPr>
        <w:pStyle w:val="Testonotaapidipagina"/>
        <w:jc w:val="both"/>
        <w:rPr>
          <w:rFonts w:ascii="Times New Roman" w:hAnsi="Times New Roman" w:cs="Times New Roman"/>
          <w:sz w:val="24"/>
          <w:szCs w:val="24"/>
        </w:rPr>
      </w:pPr>
      <w:r w:rsidRPr="00851FB1">
        <w:rPr>
          <w:rFonts w:ascii="Times New Roman" w:hAnsi="Times New Roman" w:cs="Times New Roman"/>
          <w:sz w:val="24"/>
          <w:szCs w:val="24"/>
        </w:rPr>
        <w:t xml:space="preserve">C. </w:t>
      </w:r>
      <w:r w:rsidRPr="00851FB1">
        <w:rPr>
          <w:rFonts w:ascii="Times New Roman" w:hAnsi="Times New Roman" w:cs="Times New Roman"/>
          <w:smallCaps/>
          <w:sz w:val="24"/>
          <w:szCs w:val="24"/>
        </w:rPr>
        <w:t>Benporat</w:t>
      </w:r>
      <w:r w:rsidRPr="00851FB1">
        <w:rPr>
          <w:rFonts w:ascii="Times New Roman" w:hAnsi="Times New Roman" w:cs="Times New Roman"/>
          <w:sz w:val="24"/>
          <w:szCs w:val="24"/>
        </w:rPr>
        <w:t xml:space="preserve">, </w:t>
      </w:r>
      <w:r w:rsidRPr="00851FB1">
        <w:rPr>
          <w:rFonts w:ascii="Times New Roman" w:hAnsi="Times New Roman" w:cs="Times New Roman"/>
          <w:i/>
          <w:sz w:val="24"/>
          <w:szCs w:val="24"/>
        </w:rPr>
        <w:t>Feste e banchetti. Convivialità italiana fra Tre e Quattrocento</w:t>
      </w:r>
      <w:r w:rsidRPr="00851FB1">
        <w:rPr>
          <w:rFonts w:ascii="Times New Roman" w:hAnsi="Times New Roman" w:cs="Times New Roman"/>
          <w:sz w:val="24"/>
          <w:szCs w:val="24"/>
        </w:rPr>
        <w:t>, Firenze, Olschki</w:t>
      </w:r>
      <w:r>
        <w:rPr>
          <w:rFonts w:ascii="Times New Roman" w:hAnsi="Times New Roman" w:cs="Times New Roman"/>
          <w:sz w:val="24"/>
          <w:szCs w:val="24"/>
        </w:rPr>
        <w:t>,</w:t>
      </w:r>
      <w:r w:rsidRPr="00851FB1">
        <w:rPr>
          <w:rFonts w:ascii="Times New Roman" w:hAnsi="Times New Roman" w:cs="Times New Roman"/>
          <w:sz w:val="24"/>
          <w:szCs w:val="24"/>
        </w:rPr>
        <w:t xml:space="preserve"> 2001.</w:t>
      </w:r>
    </w:p>
    <w:p w14:paraId="319223B6" w14:textId="77777777" w:rsidR="00796A9D" w:rsidRDefault="00796A9D" w:rsidP="00796A9D">
      <w:pPr>
        <w:pStyle w:val="Testonotaapidipagina"/>
        <w:jc w:val="both"/>
        <w:rPr>
          <w:rFonts w:ascii="Times New Roman" w:hAnsi="Times New Roman" w:cs="Times New Roman"/>
          <w:sz w:val="24"/>
          <w:szCs w:val="24"/>
        </w:rPr>
      </w:pPr>
    </w:p>
    <w:p w14:paraId="4E70D95A" w14:textId="77777777" w:rsidR="00796A9D" w:rsidRDefault="00796A9D" w:rsidP="00796A9D">
      <w:pPr>
        <w:pStyle w:val="Testonotaapidipagina"/>
        <w:jc w:val="both"/>
        <w:rPr>
          <w:rFonts w:ascii="Times New Roman" w:hAnsi="Times New Roman" w:cs="Times New Roman"/>
          <w:sz w:val="24"/>
          <w:szCs w:val="24"/>
        </w:rPr>
      </w:pPr>
      <w:r w:rsidRPr="00C563C8">
        <w:rPr>
          <w:rFonts w:ascii="Times New Roman" w:hAnsi="Times New Roman" w:cs="Times New Roman"/>
          <w:smallCaps/>
          <w:sz w:val="24"/>
          <w:szCs w:val="24"/>
        </w:rPr>
        <w:t>E.L. Bernhardt</w:t>
      </w:r>
      <w:r w:rsidRPr="00C563C8">
        <w:rPr>
          <w:rFonts w:ascii="Times New Roman" w:hAnsi="Times New Roman" w:cs="Times New Roman"/>
          <w:sz w:val="24"/>
          <w:szCs w:val="24"/>
        </w:rPr>
        <w:t xml:space="preserve">, </w:t>
      </w:r>
      <w:r w:rsidRPr="00C563C8">
        <w:rPr>
          <w:rFonts w:ascii="Times New Roman" w:hAnsi="Times New Roman" w:cs="Times New Roman"/>
          <w:i/>
          <w:sz w:val="24"/>
          <w:szCs w:val="24"/>
        </w:rPr>
        <w:t>Behind the Scene of Fifteenth-Century Marriage Schemes: Forced Marriages, Family Alliances and Power Politics in Bentivoglio Bologna</w:t>
      </w:r>
      <w:r w:rsidRPr="00C563C8">
        <w:rPr>
          <w:rFonts w:ascii="Times New Roman" w:hAnsi="Times New Roman" w:cs="Times New Roman"/>
          <w:sz w:val="24"/>
          <w:szCs w:val="24"/>
        </w:rPr>
        <w:t xml:space="preserve">, in </w:t>
      </w:r>
      <w:r w:rsidRPr="00C563C8">
        <w:rPr>
          <w:rFonts w:ascii="Times New Roman" w:hAnsi="Times New Roman" w:cs="Times New Roman"/>
          <w:i/>
          <w:sz w:val="24"/>
          <w:szCs w:val="24"/>
        </w:rPr>
        <w:t>Bologna. Cultural Crossroads from the Medieval to the Baroque</w:t>
      </w:r>
      <w:r w:rsidRPr="00C563C8">
        <w:rPr>
          <w:rFonts w:ascii="Times New Roman" w:hAnsi="Times New Roman" w:cs="Times New Roman"/>
          <w:sz w:val="24"/>
          <w:szCs w:val="24"/>
        </w:rPr>
        <w:t xml:space="preserve">, edited by </w:t>
      </w:r>
      <w:r w:rsidRPr="00C563C8">
        <w:rPr>
          <w:rFonts w:ascii="Times New Roman" w:hAnsi="Times New Roman" w:cs="Times New Roman"/>
          <w:smallCaps/>
          <w:sz w:val="24"/>
          <w:szCs w:val="24"/>
        </w:rPr>
        <w:t>G.M. Anselmi</w:t>
      </w:r>
      <w:r w:rsidRPr="00C563C8">
        <w:rPr>
          <w:rFonts w:ascii="Times New Roman" w:hAnsi="Times New Roman" w:cs="Times New Roman"/>
          <w:sz w:val="24"/>
          <w:szCs w:val="24"/>
        </w:rPr>
        <w:t xml:space="preserve">, A. </w:t>
      </w:r>
      <w:r w:rsidRPr="00C563C8">
        <w:rPr>
          <w:rFonts w:ascii="Times New Roman" w:hAnsi="Times New Roman" w:cs="Times New Roman"/>
          <w:smallCaps/>
          <w:sz w:val="24"/>
          <w:szCs w:val="24"/>
        </w:rPr>
        <w:t>De Benedictis, N. Terpstra</w:t>
      </w:r>
      <w:r w:rsidRPr="00C563C8">
        <w:rPr>
          <w:rFonts w:ascii="Times New Roman" w:hAnsi="Times New Roman" w:cs="Times New Roman"/>
          <w:sz w:val="24"/>
          <w:szCs w:val="24"/>
        </w:rPr>
        <w:t>, Bologna, Bononia University Press, 2013, pp.161-172.</w:t>
      </w:r>
    </w:p>
    <w:p w14:paraId="5A4F4289" w14:textId="77777777" w:rsidR="00796A9D" w:rsidRDefault="00796A9D" w:rsidP="00796A9D">
      <w:pPr>
        <w:pStyle w:val="Testonotaapidipagina"/>
        <w:jc w:val="both"/>
        <w:rPr>
          <w:rFonts w:ascii="Times New Roman" w:hAnsi="Times New Roman" w:cs="Times New Roman"/>
          <w:sz w:val="24"/>
          <w:szCs w:val="24"/>
        </w:rPr>
      </w:pPr>
    </w:p>
    <w:p w14:paraId="2DB870BD" w14:textId="77777777" w:rsidR="00796A9D" w:rsidRPr="00BF0BDC" w:rsidRDefault="00796A9D" w:rsidP="00796A9D">
      <w:pPr>
        <w:pStyle w:val="Testonotaapidipagina"/>
        <w:jc w:val="both"/>
        <w:rPr>
          <w:rFonts w:ascii="Times New Roman" w:hAnsi="Times New Roman" w:cs="Times New Roman"/>
          <w:sz w:val="24"/>
          <w:szCs w:val="24"/>
        </w:rPr>
      </w:pPr>
      <w:r w:rsidRPr="00BF0BDC">
        <w:rPr>
          <w:rFonts w:ascii="Times New Roman" w:hAnsi="Times New Roman" w:cs="Times New Roman"/>
          <w:smallCaps/>
          <w:sz w:val="24"/>
          <w:szCs w:val="24"/>
        </w:rPr>
        <w:t>R. Bertani, P. Tinti</w:t>
      </w:r>
      <w:r w:rsidRPr="00BF0BDC">
        <w:rPr>
          <w:rFonts w:ascii="Times New Roman" w:hAnsi="Times New Roman" w:cs="Times New Roman"/>
          <w:sz w:val="24"/>
          <w:szCs w:val="24"/>
        </w:rPr>
        <w:t xml:space="preserve">, </w:t>
      </w:r>
      <w:r w:rsidRPr="00BF0BDC">
        <w:rPr>
          <w:rFonts w:ascii="Times New Roman" w:hAnsi="Times New Roman" w:cs="Times New Roman"/>
          <w:i/>
          <w:sz w:val="24"/>
          <w:szCs w:val="24"/>
        </w:rPr>
        <w:t>Filippo Beroaldo il Vecchio e le dediche. Sondaggi e problemi nelle edizioni a stampa (secc. XV-XVI)</w:t>
      </w:r>
      <w:r w:rsidRPr="00BF0BDC">
        <w:rPr>
          <w:rFonts w:ascii="Times New Roman" w:hAnsi="Times New Roman" w:cs="Times New Roman"/>
          <w:sz w:val="24"/>
          <w:szCs w:val="24"/>
        </w:rPr>
        <w:t>, «TECA», 9-10, marzo-settembre 2016, pp. 9-38.</w:t>
      </w:r>
    </w:p>
    <w:p w14:paraId="17C9DCE0" w14:textId="77777777" w:rsidR="00796A9D" w:rsidRPr="00C563C8" w:rsidRDefault="00796A9D" w:rsidP="00796A9D">
      <w:pPr>
        <w:pStyle w:val="Testonotaapidipagina"/>
        <w:jc w:val="both"/>
        <w:rPr>
          <w:rFonts w:ascii="Times New Roman" w:hAnsi="Times New Roman" w:cs="Times New Roman"/>
          <w:sz w:val="24"/>
          <w:szCs w:val="24"/>
        </w:rPr>
      </w:pPr>
    </w:p>
    <w:p w14:paraId="362B4B87"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S. Bertelli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Giovanna e Alfonso, Antonio e Ferrante</w:t>
      </w:r>
      <w:r w:rsidRPr="00BA2DBB">
        <w:rPr>
          <w:rFonts w:ascii="Times New Roman" w:hAnsi="Times New Roman" w:cs="Times New Roman"/>
          <w:sz w:val="24"/>
          <w:szCs w:val="24"/>
        </w:rPr>
        <w:t xml:space="preserve">, in </w:t>
      </w:r>
      <w:r w:rsidRPr="00BA2DBB">
        <w:rPr>
          <w:rFonts w:ascii="Times New Roman" w:hAnsi="Times New Roman" w:cs="Times New Roman"/>
          <w:smallCaps/>
          <w:sz w:val="24"/>
          <w:szCs w:val="24"/>
        </w:rPr>
        <w:t>G. Alisio, S. Bertelli, A. Pinelli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Arte e politica tra Napoli e Firenze. Un cassone per il trionfo di Alfonso il Magnanimo</w:t>
      </w:r>
      <w:r w:rsidRPr="00BA2DBB">
        <w:rPr>
          <w:rFonts w:ascii="Times New Roman" w:hAnsi="Times New Roman" w:cs="Times New Roman"/>
          <w:sz w:val="24"/>
          <w:szCs w:val="24"/>
        </w:rPr>
        <w:t>, Modena, Franco Cosimo Panini, 2006, pp. 9-32.</w:t>
      </w:r>
    </w:p>
    <w:p w14:paraId="35FD3ED4" w14:textId="77777777" w:rsidR="00796A9D" w:rsidRDefault="00796A9D" w:rsidP="00796A9D">
      <w:pPr>
        <w:pStyle w:val="Testonotaapidipagina"/>
        <w:jc w:val="both"/>
        <w:rPr>
          <w:rFonts w:ascii="Times New Roman" w:hAnsi="Times New Roman" w:cs="Times New Roman"/>
          <w:sz w:val="24"/>
          <w:szCs w:val="24"/>
        </w:rPr>
      </w:pPr>
    </w:p>
    <w:p w14:paraId="4F601B1D" w14:textId="77777777" w:rsidR="00796A9D" w:rsidRPr="00137307" w:rsidRDefault="00796A9D" w:rsidP="00796A9D">
      <w:pPr>
        <w:spacing w:after="0"/>
        <w:jc w:val="both"/>
        <w:rPr>
          <w:rFonts w:ascii="Times New Roman" w:hAnsi="Times New Roman" w:cs="Times New Roman"/>
          <w:smallCaps/>
          <w:sz w:val="24"/>
          <w:szCs w:val="24"/>
        </w:rPr>
      </w:pPr>
      <w:r w:rsidRPr="002553CC">
        <w:rPr>
          <w:rFonts w:ascii="Times New Roman" w:hAnsi="Times New Roman" w:cs="Times New Roman"/>
          <w:smallCaps/>
          <w:sz w:val="24"/>
          <w:szCs w:val="24"/>
        </w:rPr>
        <w:t>M. Bertoldi</w:t>
      </w:r>
      <w:r w:rsidRPr="002553CC">
        <w:rPr>
          <w:rFonts w:ascii="Times New Roman" w:hAnsi="Times New Roman" w:cs="Times New Roman"/>
          <w:sz w:val="24"/>
          <w:szCs w:val="24"/>
        </w:rPr>
        <w:t xml:space="preserve">, </w:t>
      </w:r>
      <w:r w:rsidRPr="002553CC">
        <w:rPr>
          <w:rFonts w:ascii="Times New Roman" w:hAnsi="Times New Roman" w:cs="Times New Roman"/>
          <w:i/>
          <w:sz w:val="24"/>
          <w:szCs w:val="24"/>
        </w:rPr>
        <w:t>Lungo la via del Brennero. Viaggio nello spettacolo dal Tardo Medioevo al Rinascimento</w:t>
      </w:r>
      <w:r w:rsidRPr="002553CC">
        <w:rPr>
          <w:rFonts w:ascii="Times New Roman" w:hAnsi="Times New Roman" w:cs="Times New Roman"/>
          <w:sz w:val="24"/>
          <w:szCs w:val="24"/>
        </w:rPr>
        <w:t>, Firenze, Le Lettere, 2007.</w:t>
      </w:r>
    </w:p>
    <w:p w14:paraId="34FD080B" w14:textId="77777777" w:rsidR="00796A9D" w:rsidRPr="00BA2DBB" w:rsidRDefault="00796A9D" w:rsidP="00796A9D">
      <w:pPr>
        <w:pStyle w:val="Testonotaapidipagina"/>
        <w:jc w:val="both"/>
        <w:rPr>
          <w:rFonts w:ascii="Times New Roman" w:hAnsi="Times New Roman" w:cs="Times New Roman"/>
          <w:sz w:val="24"/>
          <w:szCs w:val="24"/>
        </w:rPr>
      </w:pPr>
    </w:p>
    <w:p w14:paraId="6A2A6609"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V. Bertolini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Preliminari a un’edizione degli «Inventari» della biblioteca gonzaghesca del 1407</w:t>
      </w:r>
      <w:r w:rsidRPr="00BA2DBB">
        <w:rPr>
          <w:rFonts w:ascii="Times New Roman" w:hAnsi="Times New Roman" w:cs="Times New Roman"/>
          <w:sz w:val="24"/>
          <w:szCs w:val="24"/>
        </w:rPr>
        <w:t>, «Quaderni di lingue e letterature», XIV, 1989, pp. 67-73.</w:t>
      </w:r>
    </w:p>
    <w:p w14:paraId="77995184" w14:textId="77777777" w:rsidR="00796A9D" w:rsidRDefault="00796A9D" w:rsidP="00796A9D">
      <w:pPr>
        <w:spacing w:after="0"/>
        <w:jc w:val="both"/>
        <w:rPr>
          <w:rFonts w:ascii="Times New Roman" w:hAnsi="Times New Roman" w:cs="Times New Roman"/>
          <w:sz w:val="24"/>
          <w:szCs w:val="24"/>
        </w:rPr>
      </w:pPr>
    </w:p>
    <w:p w14:paraId="4FD92485" w14:textId="77777777" w:rsidR="00796A9D" w:rsidRPr="00BA2DBB" w:rsidRDefault="00796A9D" w:rsidP="00796A9D">
      <w:pPr>
        <w:spacing w:after="0"/>
        <w:jc w:val="both"/>
        <w:rPr>
          <w:rFonts w:ascii="Times New Roman" w:hAnsi="Times New Roman" w:cs="Times New Roman"/>
          <w:smallCaps/>
          <w:sz w:val="24"/>
          <w:szCs w:val="24"/>
        </w:rPr>
      </w:pPr>
      <w:r w:rsidRPr="00BA2DBB">
        <w:rPr>
          <w:rFonts w:ascii="Times New Roman" w:hAnsi="Times New Roman" w:cs="Times New Roman"/>
          <w:sz w:val="24"/>
          <w:szCs w:val="24"/>
        </w:rPr>
        <w:t xml:space="preserve">G. </w:t>
      </w:r>
      <w:r w:rsidRPr="00BA2DBB">
        <w:rPr>
          <w:rFonts w:ascii="Times New Roman" w:hAnsi="Times New Roman" w:cs="Times New Roman"/>
          <w:smallCaps/>
          <w:sz w:val="24"/>
          <w:szCs w:val="24"/>
        </w:rPr>
        <w:t>Bertoni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estense e la coltura ferrarese ai tempi del duca Ercole I (1471-1505),</w:t>
      </w:r>
      <w:r w:rsidRPr="00BA2DBB">
        <w:rPr>
          <w:rFonts w:ascii="Times New Roman" w:hAnsi="Times New Roman" w:cs="Times New Roman"/>
          <w:sz w:val="24"/>
          <w:szCs w:val="24"/>
        </w:rPr>
        <w:t xml:space="preserve"> Torino, Loescher, 1903.</w:t>
      </w:r>
    </w:p>
    <w:p w14:paraId="585AEDFD" w14:textId="77777777" w:rsidR="00796A9D" w:rsidRDefault="00796A9D" w:rsidP="00796A9D">
      <w:pPr>
        <w:spacing w:after="0"/>
        <w:jc w:val="both"/>
        <w:rPr>
          <w:rFonts w:ascii="Times New Roman" w:hAnsi="Times New Roman" w:cs="Times New Roman"/>
          <w:smallCaps/>
          <w:sz w:val="24"/>
          <w:szCs w:val="24"/>
        </w:rPr>
      </w:pPr>
    </w:p>
    <w:p w14:paraId="3368DD6D"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Bertoni, E.P. Vicini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Il castello di Ferrara ai tempi di Niccolò III. Inventario della suppellettile del castello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1436</w:t>
      </w:r>
      <w:r w:rsidRPr="00BA2DBB">
        <w:rPr>
          <w:rFonts w:ascii="Times New Roman" w:hAnsi="Times New Roman" w:cs="Times New Roman"/>
          <w:sz w:val="24"/>
          <w:szCs w:val="24"/>
        </w:rPr>
        <w:t>, Bologna, Azzoguidi, 1906.</w:t>
      </w:r>
    </w:p>
    <w:p w14:paraId="59036242" w14:textId="77777777" w:rsidR="00796A9D" w:rsidRDefault="00796A9D" w:rsidP="00796A9D">
      <w:pPr>
        <w:spacing w:after="0"/>
        <w:jc w:val="both"/>
        <w:rPr>
          <w:rFonts w:ascii="Times New Roman" w:hAnsi="Times New Roman" w:cs="Times New Roman"/>
          <w:smallCaps/>
          <w:sz w:val="24"/>
          <w:szCs w:val="24"/>
        </w:rPr>
      </w:pPr>
    </w:p>
    <w:p w14:paraId="71DD58A3"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Bertoni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Un copista del Marchese Leonello d'Este: Biagio Bosoni da Cremona</w:t>
      </w:r>
      <w:r w:rsidRPr="00BA2DBB">
        <w:rPr>
          <w:rFonts w:ascii="Times New Roman" w:hAnsi="Times New Roman" w:cs="Times New Roman"/>
          <w:sz w:val="24"/>
          <w:szCs w:val="24"/>
        </w:rPr>
        <w:t xml:space="preserve">, «Giornale storico della letteratura italiana», </w:t>
      </w:r>
      <w:r>
        <w:rPr>
          <w:rFonts w:ascii="Times New Roman" w:hAnsi="Times New Roman" w:cs="Times New Roman"/>
          <w:sz w:val="24"/>
          <w:szCs w:val="24"/>
        </w:rPr>
        <w:t>LXXII</w:t>
      </w:r>
      <w:r w:rsidRPr="00BA2DBB">
        <w:rPr>
          <w:rFonts w:ascii="Times New Roman" w:hAnsi="Times New Roman" w:cs="Times New Roman"/>
          <w:sz w:val="24"/>
          <w:szCs w:val="24"/>
        </w:rPr>
        <w:t>, 1918, pp. 96-106.</w:t>
      </w:r>
    </w:p>
    <w:p w14:paraId="539E5D2D" w14:textId="77777777" w:rsidR="00796A9D" w:rsidRDefault="00796A9D" w:rsidP="00796A9D">
      <w:pPr>
        <w:spacing w:after="0"/>
        <w:jc w:val="both"/>
        <w:rPr>
          <w:rFonts w:ascii="Times New Roman" w:hAnsi="Times New Roman" w:cs="Times New Roman"/>
          <w:sz w:val="24"/>
          <w:szCs w:val="24"/>
        </w:rPr>
      </w:pPr>
    </w:p>
    <w:p w14:paraId="7D6959D7" w14:textId="77777777" w:rsidR="00796A9D" w:rsidRPr="00161910" w:rsidRDefault="00796A9D" w:rsidP="00796A9D">
      <w:pPr>
        <w:spacing w:after="0"/>
        <w:jc w:val="both"/>
        <w:rPr>
          <w:rFonts w:ascii="Times New Roman" w:hAnsi="Times New Roman" w:cs="Times New Roman"/>
          <w:sz w:val="24"/>
          <w:szCs w:val="24"/>
        </w:rPr>
      </w:pPr>
      <w:r w:rsidRPr="00161910">
        <w:rPr>
          <w:rFonts w:ascii="Times New Roman" w:hAnsi="Times New Roman" w:cs="Times New Roman"/>
          <w:smallCaps/>
          <w:sz w:val="24"/>
          <w:szCs w:val="24"/>
        </w:rPr>
        <w:t>A. Berzeviczy</w:t>
      </w:r>
      <w:r w:rsidRPr="00161910">
        <w:rPr>
          <w:rFonts w:ascii="Times New Roman" w:hAnsi="Times New Roman" w:cs="Times New Roman"/>
          <w:sz w:val="24"/>
          <w:szCs w:val="24"/>
        </w:rPr>
        <w:t xml:space="preserve">, </w:t>
      </w:r>
      <w:r w:rsidRPr="00161910">
        <w:rPr>
          <w:rFonts w:ascii="Times New Roman" w:hAnsi="Times New Roman" w:cs="Times New Roman"/>
          <w:i/>
          <w:sz w:val="24"/>
          <w:szCs w:val="24"/>
        </w:rPr>
        <w:t>Beatrice d’Aragona</w:t>
      </w:r>
      <w:r w:rsidRPr="00161910">
        <w:rPr>
          <w:rFonts w:ascii="Times New Roman" w:hAnsi="Times New Roman" w:cs="Times New Roman"/>
          <w:sz w:val="24"/>
          <w:szCs w:val="24"/>
        </w:rPr>
        <w:t>, Milano, Dall’Oglio, 1952.</w:t>
      </w:r>
    </w:p>
    <w:p w14:paraId="4DA88CC8" w14:textId="77777777" w:rsidR="00796A9D" w:rsidRDefault="00796A9D" w:rsidP="00796A9D">
      <w:pPr>
        <w:spacing w:after="0"/>
        <w:jc w:val="both"/>
        <w:rPr>
          <w:rFonts w:ascii="Times New Roman" w:hAnsi="Times New Roman" w:cs="Times New Roman"/>
          <w:sz w:val="24"/>
          <w:szCs w:val="24"/>
        </w:rPr>
      </w:pPr>
    </w:p>
    <w:p w14:paraId="562DC246" w14:textId="77777777" w:rsidR="00796A9D" w:rsidRPr="00137307" w:rsidRDefault="00796A9D" w:rsidP="00796A9D">
      <w:pPr>
        <w:spacing w:after="0"/>
        <w:jc w:val="both"/>
        <w:rPr>
          <w:rFonts w:ascii="Times New Roman" w:hAnsi="Times New Roman" w:cs="Times New Roman"/>
          <w:sz w:val="24"/>
          <w:szCs w:val="24"/>
        </w:rPr>
      </w:pPr>
      <w:r w:rsidRPr="00137307">
        <w:rPr>
          <w:rFonts w:ascii="Times New Roman" w:hAnsi="Times New Roman" w:cs="Times New Roman"/>
          <w:smallCaps/>
          <w:sz w:val="24"/>
          <w:szCs w:val="24"/>
        </w:rPr>
        <w:t>S. Bettini</w:t>
      </w:r>
      <w:r w:rsidRPr="00137307">
        <w:rPr>
          <w:rFonts w:ascii="Times New Roman" w:hAnsi="Times New Roman" w:cs="Times New Roman"/>
          <w:sz w:val="24"/>
          <w:szCs w:val="24"/>
        </w:rPr>
        <w:t xml:space="preserve">, </w:t>
      </w:r>
      <w:r w:rsidRPr="00137307">
        <w:rPr>
          <w:rStyle w:val="Enfasicorsivo"/>
          <w:rFonts w:ascii="Times New Roman" w:hAnsi="Times New Roman" w:cs="Times New Roman"/>
          <w:sz w:val="24"/>
          <w:szCs w:val="24"/>
        </w:rPr>
        <w:t>Politica e architettura al tempo di Giovanni II</w:t>
      </w:r>
      <w:r w:rsidRPr="00137307">
        <w:rPr>
          <w:rFonts w:ascii="Times New Roman" w:hAnsi="Times New Roman" w:cs="Times New Roman"/>
          <w:sz w:val="24"/>
          <w:szCs w:val="24"/>
        </w:rPr>
        <w:t xml:space="preserve">, in </w:t>
      </w:r>
      <w:r w:rsidRPr="00137307">
        <w:rPr>
          <w:rStyle w:val="Enfasicorsivo"/>
          <w:rFonts w:ascii="Times New Roman" w:hAnsi="Times New Roman" w:cs="Times New Roman"/>
          <w:sz w:val="24"/>
          <w:szCs w:val="24"/>
        </w:rPr>
        <w:t>Palazzo Ghisilardi. Il sogno rinascimentale di un notaio bolognese</w:t>
      </w:r>
      <w:r w:rsidRPr="00137307">
        <w:rPr>
          <w:rFonts w:ascii="Times New Roman" w:hAnsi="Times New Roman" w:cs="Times New Roman"/>
          <w:sz w:val="24"/>
          <w:szCs w:val="24"/>
        </w:rPr>
        <w:t>, Bologna, Edisai, 2004, pp. 10-31.</w:t>
      </w:r>
    </w:p>
    <w:p w14:paraId="3482EDAB" w14:textId="77777777" w:rsidR="00796A9D" w:rsidRDefault="00796A9D" w:rsidP="00796A9D">
      <w:pPr>
        <w:spacing w:after="0"/>
        <w:jc w:val="both"/>
        <w:rPr>
          <w:rFonts w:ascii="Times New Roman" w:hAnsi="Times New Roman" w:cs="Times New Roman"/>
          <w:smallCaps/>
          <w:sz w:val="24"/>
          <w:szCs w:val="24"/>
        </w:rPr>
      </w:pPr>
    </w:p>
    <w:p w14:paraId="1DE484BA"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C. Bianca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strade della «Sancta ars»: la stampa e la curia a Roma nel XV secolo</w:t>
      </w:r>
      <w:r w:rsidRPr="00BA2DBB">
        <w:rPr>
          <w:rFonts w:ascii="Times New Roman" w:hAnsi="Times New Roman" w:cs="Times New Roman"/>
          <w:sz w:val="24"/>
          <w:szCs w:val="24"/>
        </w:rPr>
        <w:t>, in</w:t>
      </w:r>
      <w:r w:rsidRPr="00BA2DBB">
        <w:rPr>
          <w:rFonts w:ascii="Times New Roman" w:hAnsi="Times New Roman" w:cs="Times New Roman"/>
          <w:i/>
          <w:sz w:val="24"/>
          <w:szCs w:val="24"/>
        </w:rPr>
        <w:t xml:space="preserve"> La stampa romana nella città dei papi e in Europa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C. Dondi, A. Rita, A. Roth, M. Venier</w:t>
      </w:r>
      <w:r w:rsidRPr="00BA2DBB">
        <w:rPr>
          <w:rFonts w:ascii="Times New Roman" w:hAnsi="Times New Roman" w:cs="Times New Roman"/>
          <w:sz w:val="24"/>
          <w:szCs w:val="24"/>
        </w:rPr>
        <w:t>, Città del Vaticano, Biblioteca Apostolica Vaticana, 2016, pp. 1-8.</w:t>
      </w:r>
    </w:p>
    <w:p w14:paraId="62C4919C" w14:textId="77777777" w:rsidR="00796A9D" w:rsidRDefault="00796A9D" w:rsidP="00796A9D">
      <w:pPr>
        <w:spacing w:after="0"/>
        <w:jc w:val="both"/>
        <w:rPr>
          <w:rFonts w:ascii="Times New Roman" w:hAnsi="Times New Roman" w:cs="Times New Roman"/>
          <w:sz w:val="24"/>
          <w:szCs w:val="24"/>
        </w:rPr>
      </w:pPr>
    </w:p>
    <w:p w14:paraId="2A12F6CC" w14:textId="77777777" w:rsidR="00796A9D" w:rsidRDefault="00796A9D" w:rsidP="00796A9D">
      <w:pPr>
        <w:spacing w:after="0"/>
        <w:jc w:val="both"/>
        <w:rPr>
          <w:rFonts w:ascii="Times New Roman" w:hAnsi="Times New Roman"/>
          <w:sz w:val="24"/>
          <w:szCs w:val="24"/>
        </w:rPr>
      </w:pPr>
      <w:r w:rsidRPr="00B36804">
        <w:rPr>
          <w:rFonts w:ascii="Times New Roman" w:hAnsi="Times New Roman"/>
          <w:smallCaps/>
          <w:sz w:val="24"/>
          <w:szCs w:val="24"/>
        </w:rPr>
        <w:t>S. Biancardi</w:t>
      </w:r>
      <w:r w:rsidRPr="00B36804">
        <w:rPr>
          <w:rFonts w:ascii="Times New Roman" w:hAnsi="Times New Roman"/>
          <w:sz w:val="24"/>
          <w:szCs w:val="24"/>
        </w:rPr>
        <w:t xml:space="preserve">, </w:t>
      </w:r>
      <w:r w:rsidRPr="00B36804">
        <w:rPr>
          <w:rFonts w:ascii="Times New Roman" w:hAnsi="Times New Roman"/>
          <w:i/>
          <w:sz w:val="24"/>
          <w:szCs w:val="24"/>
        </w:rPr>
        <w:t>La chimera di Carlo VIII, 1492-1495</w:t>
      </w:r>
      <w:r w:rsidRPr="00B36804">
        <w:rPr>
          <w:rFonts w:ascii="Times New Roman" w:hAnsi="Times New Roman"/>
          <w:sz w:val="24"/>
          <w:szCs w:val="24"/>
        </w:rPr>
        <w:t>, Novara, Interlinea, 2009.</w:t>
      </w:r>
    </w:p>
    <w:p w14:paraId="3492C3E1" w14:textId="77777777" w:rsidR="00796A9D" w:rsidRDefault="00796A9D" w:rsidP="00796A9D">
      <w:pPr>
        <w:spacing w:after="0"/>
        <w:jc w:val="both"/>
        <w:rPr>
          <w:rFonts w:ascii="Times New Roman" w:hAnsi="Times New Roman" w:cs="Times New Roman"/>
          <w:sz w:val="24"/>
          <w:szCs w:val="24"/>
        </w:rPr>
      </w:pPr>
    </w:p>
    <w:p w14:paraId="7D716B6C" w14:textId="77777777" w:rsidR="00796A9D" w:rsidRPr="00B16E45" w:rsidRDefault="00796A9D" w:rsidP="00796A9D">
      <w:pPr>
        <w:spacing w:after="0"/>
        <w:jc w:val="both"/>
        <w:rPr>
          <w:rFonts w:ascii="Times New Roman" w:hAnsi="Times New Roman" w:cs="Times New Roman"/>
          <w:sz w:val="24"/>
          <w:szCs w:val="24"/>
        </w:rPr>
      </w:pPr>
      <w:r w:rsidRPr="00B16E45">
        <w:rPr>
          <w:rFonts w:ascii="Times New Roman" w:hAnsi="Times New Roman"/>
          <w:sz w:val="24"/>
          <w:szCs w:val="24"/>
        </w:rPr>
        <w:t xml:space="preserve">D. </w:t>
      </w:r>
      <w:r w:rsidRPr="00B16E45">
        <w:rPr>
          <w:rFonts w:ascii="Times New Roman" w:hAnsi="Times New Roman"/>
          <w:smallCaps/>
          <w:sz w:val="24"/>
          <w:szCs w:val="24"/>
        </w:rPr>
        <w:t>Bianchi</w:t>
      </w:r>
      <w:r w:rsidRPr="00B16E45">
        <w:rPr>
          <w:rFonts w:ascii="Times New Roman" w:hAnsi="Times New Roman"/>
          <w:sz w:val="24"/>
          <w:szCs w:val="24"/>
        </w:rPr>
        <w:t xml:space="preserve">, </w:t>
      </w:r>
      <w:r w:rsidRPr="00B16E45">
        <w:rPr>
          <w:rFonts w:ascii="Times New Roman" w:hAnsi="Times New Roman"/>
          <w:i/>
          <w:sz w:val="24"/>
          <w:szCs w:val="24"/>
        </w:rPr>
        <w:t>Qualche appunto su Pietro Lazzaroni</w:t>
      </w:r>
      <w:r w:rsidRPr="00B16E45">
        <w:rPr>
          <w:rFonts w:ascii="Times New Roman" w:hAnsi="Times New Roman"/>
          <w:sz w:val="24"/>
          <w:szCs w:val="24"/>
        </w:rPr>
        <w:t>, ‹‹Bollettino della Società Pavese di Storia Patria››, LVII</w:t>
      </w:r>
      <w:r>
        <w:rPr>
          <w:rFonts w:ascii="Times New Roman" w:hAnsi="Times New Roman"/>
          <w:sz w:val="24"/>
          <w:szCs w:val="24"/>
        </w:rPr>
        <w:t>,</w:t>
      </w:r>
      <w:r w:rsidRPr="00B16E45">
        <w:rPr>
          <w:rFonts w:ascii="Times New Roman" w:hAnsi="Times New Roman"/>
          <w:sz w:val="24"/>
          <w:szCs w:val="24"/>
        </w:rPr>
        <w:t xml:space="preserve"> 1957, pp. 99-103.</w:t>
      </w:r>
    </w:p>
    <w:p w14:paraId="03330287" w14:textId="77777777" w:rsidR="00796A9D" w:rsidRDefault="00796A9D" w:rsidP="00796A9D">
      <w:pPr>
        <w:spacing w:after="0"/>
        <w:jc w:val="both"/>
        <w:rPr>
          <w:rFonts w:ascii="Times New Roman" w:hAnsi="Times New Roman" w:cs="Times New Roman"/>
          <w:smallCaps/>
          <w:sz w:val="24"/>
          <w:szCs w:val="24"/>
        </w:rPr>
      </w:pPr>
    </w:p>
    <w:p w14:paraId="56F4A4EC"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M.G. Blasio, C. Lelj, G. Rosselli</w:t>
      </w:r>
      <w:r w:rsidRPr="00BA2DBB">
        <w:rPr>
          <w:rFonts w:ascii="Times New Roman" w:hAnsi="Times New Roman" w:cs="Times New Roman"/>
          <w:i/>
          <w:sz w:val="24"/>
          <w:szCs w:val="24"/>
        </w:rPr>
        <w:t>, Un contributo alla lettura del canone bibliografico di Tommaso Parentuccelli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chiavi della memoria</w:t>
      </w:r>
      <w:r w:rsidRPr="00BA2DBB">
        <w:rPr>
          <w:rFonts w:ascii="Times New Roman" w:hAnsi="Times New Roman" w:cs="Times New Roman"/>
          <w:sz w:val="24"/>
          <w:szCs w:val="24"/>
        </w:rPr>
        <w:t xml:space="preserve">. Miscellanea in omaggio del I Centenario della Scuola Vaticana di Paleografia, a cura di </w:t>
      </w:r>
      <w:r w:rsidRPr="00BA2DBB">
        <w:rPr>
          <w:rFonts w:ascii="Times New Roman" w:hAnsi="Times New Roman" w:cs="Times New Roman"/>
          <w:smallCaps/>
          <w:sz w:val="24"/>
          <w:szCs w:val="24"/>
        </w:rPr>
        <w:t>I. Ait</w:t>
      </w:r>
      <w:r w:rsidRPr="00BA2DBB">
        <w:rPr>
          <w:rFonts w:ascii="Times New Roman" w:hAnsi="Times New Roman" w:cs="Times New Roman"/>
          <w:sz w:val="24"/>
          <w:szCs w:val="24"/>
        </w:rPr>
        <w:t>, Città del Vaticano, Biblioteca Apostolica Vaticana, 1984, pp. 125-165.</w:t>
      </w:r>
    </w:p>
    <w:p w14:paraId="0267CE34" w14:textId="77777777" w:rsidR="00796A9D" w:rsidRDefault="00796A9D" w:rsidP="00796A9D">
      <w:pPr>
        <w:spacing w:after="0"/>
        <w:jc w:val="both"/>
        <w:rPr>
          <w:rFonts w:ascii="Times New Roman" w:hAnsi="Times New Roman" w:cs="Times New Roman"/>
          <w:sz w:val="24"/>
          <w:szCs w:val="24"/>
        </w:rPr>
      </w:pPr>
    </w:p>
    <w:p w14:paraId="635E4A8D" w14:textId="77777777" w:rsidR="00796A9D" w:rsidRPr="00DF000E" w:rsidRDefault="00796A9D" w:rsidP="00796A9D">
      <w:pPr>
        <w:pStyle w:val="Testonotaapidipagina"/>
        <w:jc w:val="both"/>
        <w:rPr>
          <w:rFonts w:ascii="Times New Roman" w:hAnsi="Times New Roman" w:cs="Times New Roman"/>
          <w:sz w:val="24"/>
          <w:szCs w:val="24"/>
        </w:rPr>
      </w:pPr>
      <w:r w:rsidRPr="00DF000E">
        <w:rPr>
          <w:rFonts w:ascii="Times New Roman" w:hAnsi="Times New Roman" w:cs="Times New Roman"/>
          <w:smallCaps/>
          <w:sz w:val="24"/>
          <w:szCs w:val="24"/>
        </w:rPr>
        <w:t>D.H. Bodart, V. Boudier</w:t>
      </w:r>
      <w:r w:rsidRPr="00DF000E">
        <w:rPr>
          <w:rFonts w:ascii="Times New Roman" w:hAnsi="Times New Roman" w:cs="Times New Roman"/>
          <w:sz w:val="24"/>
          <w:szCs w:val="24"/>
        </w:rPr>
        <w:t xml:space="preserve">, </w:t>
      </w:r>
      <w:r w:rsidRPr="00DF000E">
        <w:rPr>
          <w:rFonts w:ascii="Times New Roman" w:hAnsi="Times New Roman" w:cs="Times New Roman"/>
          <w:i/>
          <w:sz w:val="24"/>
          <w:szCs w:val="24"/>
        </w:rPr>
        <w:t>Le banquet de la Renaissance: images et usages</w:t>
      </w:r>
      <w:r w:rsidRPr="00DF000E">
        <w:rPr>
          <w:rFonts w:ascii="Times New Roman" w:hAnsi="Times New Roman" w:cs="Times New Roman"/>
          <w:sz w:val="24"/>
          <w:szCs w:val="24"/>
        </w:rPr>
        <w:t xml:space="preserve">, in </w:t>
      </w:r>
      <w:r w:rsidRPr="00DF000E">
        <w:rPr>
          <w:rFonts w:ascii="Times New Roman" w:hAnsi="Times New Roman" w:cs="Times New Roman"/>
          <w:smallCaps/>
          <w:sz w:val="24"/>
          <w:szCs w:val="24"/>
        </w:rPr>
        <w:t>Iidem</w:t>
      </w:r>
      <w:r w:rsidRPr="00DF000E">
        <w:rPr>
          <w:rFonts w:ascii="Times New Roman" w:hAnsi="Times New Roman" w:cs="Times New Roman"/>
          <w:sz w:val="24"/>
          <w:szCs w:val="24"/>
        </w:rPr>
        <w:t xml:space="preserve">, </w:t>
      </w:r>
      <w:r w:rsidRPr="00DF000E">
        <w:rPr>
          <w:rFonts w:ascii="Times New Roman" w:hAnsi="Times New Roman" w:cs="Times New Roman"/>
          <w:i/>
          <w:sz w:val="24"/>
          <w:szCs w:val="24"/>
        </w:rPr>
        <w:t>Le banquet de la Renaissance: images et usages</w:t>
      </w:r>
      <w:r w:rsidRPr="00DF000E">
        <w:rPr>
          <w:rFonts w:ascii="Times New Roman" w:hAnsi="Times New Roman" w:cs="Times New Roman"/>
          <w:sz w:val="24"/>
          <w:szCs w:val="24"/>
        </w:rPr>
        <w:t>, Pisa, ETS, 2013, pp. 9-21.</w:t>
      </w:r>
    </w:p>
    <w:p w14:paraId="335EDCC4" w14:textId="77777777" w:rsidR="00796A9D" w:rsidRDefault="00796A9D" w:rsidP="00796A9D">
      <w:pPr>
        <w:spacing w:after="0"/>
        <w:jc w:val="both"/>
        <w:rPr>
          <w:rFonts w:ascii="Times New Roman" w:hAnsi="Times New Roman" w:cs="Times New Roman"/>
          <w:smallCaps/>
          <w:sz w:val="24"/>
          <w:szCs w:val="24"/>
        </w:rPr>
      </w:pPr>
    </w:p>
    <w:p w14:paraId="59481801"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Bolonyai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Das Rätsel der Sappho-Corvina. Zur Interpretation des Lobgedichts von Naldo Naldi auf die Bibliothek von Matthias Corvinus</w:t>
      </w:r>
      <w:r w:rsidRPr="00BA2DBB">
        <w:rPr>
          <w:rFonts w:ascii="Times New Roman" w:hAnsi="Times New Roman" w:cs="Times New Roman"/>
          <w:sz w:val="24"/>
          <w:szCs w:val="24"/>
        </w:rPr>
        <w:t>, «Wiener Studien», 125, 2012, pp. 145-163.</w:t>
      </w:r>
    </w:p>
    <w:p w14:paraId="3DCDBF2C" w14:textId="77777777" w:rsidR="00A118AA" w:rsidRDefault="00A118AA" w:rsidP="00796A9D">
      <w:pPr>
        <w:spacing w:after="0"/>
        <w:jc w:val="both"/>
        <w:rPr>
          <w:rFonts w:ascii="Times New Roman" w:hAnsi="Times New Roman" w:cs="Times New Roman"/>
          <w:sz w:val="24"/>
          <w:szCs w:val="24"/>
        </w:rPr>
      </w:pPr>
    </w:p>
    <w:p w14:paraId="192BC88A" w14:textId="77777777" w:rsidR="00A118AA" w:rsidRPr="00167348" w:rsidRDefault="00A118AA" w:rsidP="00796A9D">
      <w:pPr>
        <w:spacing w:after="0"/>
        <w:jc w:val="both"/>
        <w:rPr>
          <w:rFonts w:ascii="Times New Roman" w:hAnsi="Times New Roman" w:cs="Times New Roman"/>
          <w:sz w:val="24"/>
          <w:szCs w:val="24"/>
        </w:rPr>
      </w:pPr>
      <w:r w:rsidRPr="00167348">
        <w:rPr>
          <w:rFonts w:ascii="Times New Roman" w:hAnsi="Times New Roman" w:cs="Times New Roman"/>
          <w:sz w:val="24"/>
          <w:szCs w:val="24"/>
        </w:rPr>
        <w:t xml:space="preserve">G. </w:t>
      </w:r>
      <w:r w:rsidRPr="00167348">
        <w:rPr>
          <w:rFonts w:ascii="Times New Roman" w:hAnsi="Times New Roman" w:cs="Times New Roman"/>
          <w:smallCaps/>
          <w:sz w:val="24"/>
          <w:szCs w:val="24"/>
        </w:rPr>
        <w:t>Bombieri</w:t>
      </w:r>
      <w:r w:rsidRPr="00167348">
        <w:rPr>
          <w:rFonts w:ascii="Times New Roman" w:hAnsi="Times New Roman" w:cs="Times New Roman"/>
          <w:sz w:val="24"/>
          <w:szCs w:val="24"/>
        </w:rPr>
        <w:t xml:space="preserve">, </w:t>
      </w:r>
      <w:r w:rsidRPr="00167348">
        <w:rPr>
          <w:rFonts w:ascii="Times New Roman" w:hAnsi="Times New Roman" w:cs="Times New Roman"/>
          <w:i/>
          <w:sz w:val="24"/>
          <w:szCs w:val="24"/>
        </w:rPr>
        <w:t>Osservazioni sul Prologo ai Menaecmi di Angelo Poliziano</w:t>
      </w:r>
      <w:r w:rsidRPr="00167348">
        <w:rPr>
          <w:rFonts w:ascii="Times New Roman" w:hAnsi="Times New Roman" w:cs="Times New Roman"/>
          <w:sz w:val="24"/>
          <w:szCs w:val="24"/>
        </w:rPr>
        <w:t xml:space="preserve">, in </w:t>
      </w:r>
      <w:r w:rsidRPr="00167348">
        <w:rPr>
          <w:rFonts w:ascii="Times New Roman" w:hAnsi="Times New Roman" w:cs="Times New Roman"/>
          <w:smallCaps/>
          <w:sz w:val="24"/>
          <w:szCs w:val="24"/>
        </w:rPr>
        <w:t>R. Cardini</w:t>
      </w:r>
      <w:r w:rsidR="00883A5D">
        <w:rPr>
          <w:rFonts w:ascii="Times New Roman" w:hAnsi="Times New Roman" w:cs="Times New Roman"/>
          <w:smallCaps/>
          <w:sz w:val="24"/>
          <w:szCs w:val="24"/>
        </w:rPr>
        <w:t>,</w:t>
      </w:r>
      <w:r w:rsidRPr="00167348">
        <w:rPr>
          <w:rFonts w:ascii="Times New Roman" w:hAnsi="Times New Roman" w:cs="Times New Roman"/>
          <w:smallCaps/>
          <w:sz w:val="24"/>
          <w:szCs w:val="24"/>
        </w:rPr>
        <w:t xml:space="preserve"> E. Garin</w:t>
      </w:r>
      <w:r w:rsidR="00883A5D">
        <w:rPr>
          <w:rFonts w:ascii="Times New Roman" w:hAnsi="Times New Roman" w:cs="Times New Roman"/>
          <w:smallCaps/>
          <w:sz w:val="24"/>
          <w:szCs w:val="24"/>
        </w:rPr>
        <w:t>,</w:t>
      </w:r>
      <w:r w:rsidRPr="00167348">
        <w:rPr>
          <w:rFonts w:ascii="Times New Roman" w:hAnsi="Times New Roman" w:cs="Times New Roman"/>
          <w:smallCaps/>
          <w:sz w:val="24"/>
          <w:szCs w:val="24"/>
        </w:rPr>
        <w:t xml:space="preserve"> L. Cesarini Martinelli</w:t>
      </w:r>
      <w:r w:rsidR="00883A5D">
        <w:rPr>
          <w:rFonts w:ascii="Times New Roman" w:hAnsi="Times New Roman" w:cs="Times New Roman"/>
          <w:smallCaps/>
          <w:sz w:val="24"/>
          <w:szCs w:val="24"/>
        </w:rPr>
        <w:t>,</w:t>
      </w:r>
      <w:r w:rsidRPr="00167348">
        <w:rPr>
          <w:rFonts w:ascii="Times New Roman" w:hAnsi="Times New Roman" w:cs="Times New Roman"/>
          <w:smallCaps/>
          <w:sz w:val="24"/>
          <w:szCs w:val="24"/>
        </w:rPr>
        <w:t xml:space="preserve"> G. Pascucci</w:t>
      </w:r>
      <w:r w:rsidRPr="00167348">
        <w:rPr>
          <w:rFonts w:ascii="Times New Roman" w:hAnsi="Times New Roman" w:cs="Times New Roman"/>
          <w:sz w:val="24"/>
          <w:szCs w:val="24"/>
        </w:rPr>
        <w:t xml:space="preserve"> a cura di,</w:t>
      </w:r>
      <w:r w:rsidRPr="00167348">
        <w:rPr>
          <w:rFonts w:ascii="Times New Roman" w:hAnsi="Times New Roman" w:cs="Times New Roman"/>
          <w:i/>
          <w:sz w:val="24"/>
          <w:szCs w:val="24"/>
        </w:rPr>
        <w:t xml:space="preserve"> Tradizione classica e letteratura umanistica. Per Alessandro Perosa</w:t>
      </w:r>
      <w:r w:rsidRPr="00167348">
        <w:rPr>
          <w:rFonts w:ascii="Times New Roman" w:hAnsi="Times New Roman" w:cs="Times New Roman"/>
          <w:sz w:val="24"/>
          <w:szCs w:val="24"/>
        </w:rPr>
        <w:t>, Roma, Bulzoni, 1985, II, pp. 489-506.</w:t>
      </w:r>
    </w:p>
    <w:p w14:paraId="3FB90989" w14:textId="77777777" w:rsidR="00796A9D" w:rsidRDefault="00796A9D" w:rsidP="00796A9D">
      <w:pPr>
        <w:spacing w:after="0"/>
        <w:jc w:val="both"/>
        <w:rPr>
          <w:rFonts w:ascii="Times New Roman" w:hAnsi="Times New Roman" w:cs="Times New Roman"/>
          <w:sz w:val="24"/>
          <w:szCs w:val="24"/>
        </w:rPr>
      </w:pPr>
    </w:p>
    <w:p w14:paraId="38AF9779" w14:textId="77777777" w:rsidR="00796A9D" w:rsidRPr="00432AC9" w:rsidRDefault="00796A9D" w:rsidP="00796A9D">
      <w:pPr>
        <w:spacing w:after="0"/>
        <w:jc w:val="both"/>
        <w:rPr>
          <w:rFonts w:ascii="Times New Roman" w:hAnsi="Times New Roman" w:cs="Times New Roman"/>
          <w:sz w:val="24"/>
          <w:szCs w:val="24"/>
        </w:rPr>
      </w:pPr>
      <w:r w:rsidRPr="00432AC9">
        <w:rPr>
          <w:rFonts w:ascii="Times New Roman" w:hAnsi="Times New Roman" w:cs="Times New Roman"/>
          <w:smallCaps/>
          <w:sz w:val="24"/>
          <w:szCs w:val="24"/>
        </w:rPr>
        <w:t>P. Bondioli</w:t>
      </w:r>
      <w:r w:rsidRPr="00432AC9">
        <w:rPr>
          <w:rFonts w:ascii="Times New Roman" w:hAnsi="Times New Roman" w:cs="Times New Roman"/>
          <w:sz w:val="24"/>
          <w:szCs w:val="24"/>
        </w:rPr>
        <w:t xml:space="preserve">, </w:t>
      </w:r>
      <w:r w:rsidRPr="00432AC9">
        <w:rPr>
          <w:rFonts w:ascii="Times New Roman" w:hAnsi="Times New Roman" w:cs="Times New Roman"/>
          <w:i/>
          <w:sz w:val="24"/>
          <w:szCs w:val="24"/>
        </w:rPr>
        <w:t>Un poeta bustese alle nozze di Gian Galeazzo Sforza e Isabella d'Aragona</w:t>
      </w:r>
      <w:r w:rsidRPr="00432AC9">
        <w:rPr>
          <w:rFonts w:ascii="Times New Roman" w:hAnsi="Times New Roman" w:cs="Times New Roman"/>
          <w:sz w:val="24"/>
          <w:szCs w:val="24"/>
        </w:rPr>
        <w:t>, Busto Arsizio, Nozze Monaco-Milani, 1927.</w:t>
      </w:r>
    </w:p>
    <w:p w14:paraId="4352DA78" w14:textId="77777777" w:rsidR="00796A9D" w:rsidRDefault="00796A9D" w:rsidP="00796A9D">
      <w:pPr>
        <w:spacing w:after="0"/>
        <w:jc w:val="both"/>
        <w:rPr>
          <w:rFonts w:ascii="Times New Roman" w:hAnsi="Times New Roman" w:cs="Times New Roman"/>
          <w:sz w:val="24"/>
          <w:szCs w:val="24"/>
        </w:rPr>
      </w:pPr>
    </w:p>
    <w:p w14:paraId="5C93FB71" w14:textId="77777777" w:rsidR="00796A9D" w:rsidRPr="00C7563B" w:rsidRDefault="00796A9D" w:rsidP="00796A9D">
      <w:pPr>
        <w:spacing w:after="0"/>
        <w:jc w:val="both"/>
        <w:rPr>
          <w:rFonts w:ascii="Times New Roman" w:hAnsi="Times New Roman" w:cs="Times New Roman"/>
          <w:sz w:val="24"/>
          <w:szCs w:val="24"/>
        </w:rPr>
      </w:pPr>
      <w:r w:rsidRPr="00C7563B">
        <w:rPr>
          <w:rFonts w:ascii="Times New Roman" w:hAnsi="Times New Roman" w:cs="Times New Roman"/>
          <w:smallCaps/>
          <w:sz w:val="24"/>
          <w:szCs w:val="24"/>
        </w:rPr>
        <w:t>M. Bonvini Mazzanti</w:t>
      </w:r>
      <w:r w:rsidRPr="00C7563B">
        <w:rPr>
          <w:rFonts w:ascii="Times New Roman" w:hAnsi="Times New Roman" w:cs="Times New Roman"/>
          <w:sz w:val="24"/>
          <w:szCs w:val="24"/>
        </w:rPr>
        <w:t xml:space="preserve">, </w:t>
      </w:r>
      <w:r w:rsidRPr="00C7563B">
        <w:rPr>
          <w:rFonts w:ascii="Times New Roman" w:hAnsi="Times New Roman" w:cs="Times New Roman"/>
          <w:i/>
          <w:sz w:val="24"/>
          <w:szCs w:val="24"/>
        </w:rPr>
        <w:t>Battista Sforza Montefeltro. Una principessa nel Rinascimento italiano</w:t>
      </w:r>
      <w:r w:rsidRPr="00C7563B">
        <w:rPr>
          <w:rFonts w:ascii="Times New Roman" w:hAnsi="Times New Roman" w:cs="Times New Roman"/>
          <w:sz w:val="24"/>
          <w:szCs w:val="24"/>
        </w:rPr>
        <w:t>, Urbino, Quattro Venti, 1993.</w:t>
      </w:r>
    </w:p>
    <w:p w14:paraId="342213B0" w14:textId="77777777" w:rsidR="00796A9D" w:rsidRDefault="00796A9D" w:rsidP="00796A9D">
      <w:pPr>
        <w:spacing w:after="0"/>
        <w:jc w:val="both"/>
        <w:rPr>
          <w:rFonts w:ascii="Times New Roman" w:hAnsi="Times New Roman" w:cs="Times New Roman"/>
          <w:sz w:val="24"/>
          <w:szCs w:val="24"/>
        </w:rPr>
      </w:pPr>
    </w:p>
    <w:p w14:paraId="1A5A2786" w14:textId="77777777" w:rsidR="00796A9D" w:rsidRDefault="00796A9D" w:rsidP="00796A9D">
      <w:pPr>
        <w:spacing w:after="0"/>
        <w:jc w:val="both"/>
        <w:rPr>
          <w:rFonts w:ascii="Times New Roman" w:hAnsi="Times New Roman" w:cs="Times New Roman"/>
        </w:rPr>
      </w:pPr>
      <w:r w:rsidRPr="0003423B">
        <w:rPr>
          <w:rFonts w:ascii="Times New Roman" w:hAnsi="Times New Roman" w:cs="Times New Roman"/>
          <w:smallCaps/>
          <w:sz w:val="24"/>
          <w:szCs w:val="24"/>
        </w:rPr>
        <w:t>R.M. Borraccini Verducci</w:t>
      </w:r>
      <w:r w:rsidRPr="0003423B">
        <w:rPr>
          <w:rFonts w:ascii="Times New Roman" w:hAnsi="Times New Roman" w:cs="Times New Roman"/>
          <w:sz w:val="24"/>
          <w:szCs w:val="24"/>
        </w:rPr>
        <w:t xml:space="preserve">, </w:t>
      </w:r>
      <w:r w:rsidRPr="0003423B">
        <w:rPr>
          <w:rFonts w:ascii="Times New Roman" w:hAnsi="Times New Roman" w:cs="Times New Roman"/>
          <w:i/>
          <w:sz w:val="24"/>
          <w:szCs w:val="24"/>
        </w:rPr>
        <w:t>La tipografia nelle Marche. Tessere per un mosaico da comporre</w:t>
      </w:r>
      <w:r w:rsidRPr="0003423B">
        <w:rPr>
          <w:rFonts w:ascii="Times New Roman" w:hAnsi="Times New Roman" w:cs="Times New Roman"/>
          <w:sz w:val="24"/>
          <w:szCs w:val="24"/>
        </w:rPr>
        <w:t xml:space="preserve">, in </w:t>
      </w:r>
      <w:r w:rsidRPr="0003423B">
        <w:rPr>
          <w:rFonts w:ascii="Times New Roman" w:hAnsi="Times New Roman" w:cs="Times New Roman"/>
          <w:i/>
          <w:sz w:val="24"/>
          <w:szCs w:val="24"/>
        </w:rPr>
        <w:t>La cultura nelle Marche in età moderna</w:t>
      </w:r>
      <w:r w:rsidRPr="0003423B">
        <w:rPr>
          <w:rFonts w:ascii="Times New Roman" w:hAnsi="Times New Roman" w:cs="Times New Roman"/>
          <w:sz w:val="24"/>
          <w:szCs w:val="24"/>
        </w:rPr>
        <w:t xml:space="preserve">, a cura di </w:t>
      </w:r>
      <w:r w:rsidRPr="0003423B">
        <w:rPr>
          <w:rFonts w:ascii="Times New Roman" w:hAnsi="Times New Roman" w:cs="Times New Roman"/>
          <w:smallCaps/>
          <w:sz w:val="24"/>
          <w:szCs w:val="24"/>
        </w:rPr>
        <w:t>W. Angelini, G. Piccinini</w:t>
      </w:r>
      <w:r w:rsidRPr="0003423B">
        <w:rPr>
          <w:rFonts w:ascii="Times New Roman" w:hAnsi="Times New Roman" w:cs="Times New Roman"/>
          <w:sz w:val="24"/>
          <w:szCs w:val="24"/>
        </w:rPr>
        <w:t>, Milano, Federico Motta, 1996, pp. 68-81</w:t>
      </w:r>
      <w:r w:rsidRPr="006D158C">
        <w:rPr>
          <w:rFonts w:ascii="Times New Roman" w:hAnsi="Times New Roman" w:cs="Times New Roman"/>
        </w:rPr>
        <w:t>.</w:t>
      </w:r>
    </w:p>
    <w:p w14:paraId="0FAAF854" w14:textId="77777777" w:rsidR="00796A9D" w:rsidRDefault="00796A9D" w:rsidP="00796A9D">
      <w:pPr>
        <w:spacing w:after="0"/>
        <w:jc w:val="both"/>
        <w:rPr>
          <w:rFonts w:ascii="Times New Roman" w:hAnsi="Times New Roman" w:cs="Times New Roman"/>
        </w:rPr>
      </w:pPr>
    </w:p>
    <w:p w14:paraId="2D056E48" w14:textId="77777777" w:rsidR="00796A9D" w:rsidRPr="001D5EFC" w:rsidRDefault="00796A9D" w:rsidP="00796A9D">
      <w:pPr>
        <w:spacing w:after="0"/>
        <w:jc w:val="both"/>
        <w:rPr>
          <w:rFonts w:ascii="Times New Roman" w:hAnsi="Times New Roman" w:cs="Times New Roman"/>
          <w:sz w:val="24"/>
          <w:szCs w:val="24"/>
        </w:rPr>
      </w:pPr>
      <w:r w:rsidRPr="001D5EFC">
        <w:rPr>
          <w:rFonts w:ascii="Times New Roman" w:hAnsi="Times New Roman" w:cs="Times New Roman"/>
          <w:smallCaps/>
          <w:sz w:val="24"/>
          <w:szCs w:val="24"/>
        </w:rPr>
        <w:t>F. Bortoletti</w:t>
      </w:r>
      <w:r w:rsidRPr="001D5EFC">
        <w:rPr>
          <w:rFonts w:ascii="Times New Roman" w:hAnsi="Times New Roman" w:cs="Times New Roman"/>
          <w:sz w:val="24"/>
          <w:szCs w:val="24"/>
        </w:rPr>
        <w:t xml:space="preserve">, </w:t>
      </w:r>
      <w:r w:rsidRPr="001D5EFC">
        <w:rPr>
          <w:rFonts w:ascii="Times New Roman" w:hAnsi="Times New Roman" w:cs="Times New Roman"/>
          <w:i/>
          <w:sz w:val="24"/>
          <w:szCs w:val="24"/>
        </w:rPr>
        <w:t>Les dieux au grand banquet: textes et spectacles des cours italiennes du XV</w:t>
      </w:r>
      <w:r w:rsidRPr="001D5EFC">
        <w:rPr>
          <w:rFonts w:ascii="Times New Roman" w:hAnsi="Times New Roman" w:cs="Times New Roman"/>
          <w:i/>
          <w:sz w:val="24"/>
          <w:szCs w:val="24"/>
          <w:vertAlign w:val="superscript"/>
        </w:rPr>
        <w:t>e</w:t>
      </w:r>
      <w:r w:rsidRPr="001D5EFC">
        <w:rPr>
          <w:rFonts w:ascii="Times New Roman" w:hAnsi="Times New Roman" w:cs="Times New Roman"/>
          <w:i/>
          <w:sz w:val="24"/>
          <w:szCs w:val="24"/>
        </w:rPr>
        <w:t xml:space="preserve"> siècle</w:t>
      </w:r>
      <w:r w:rsidRPr="001D5EFC">
        <w:rPr>
          <w:rFonts w:ascii="Times New Roman" w:hAnsi="Times New Roman" w:cs="Times New Roman"/>
          <w:sz w:val="24"/>
          <w:szCs w:val="24"/>
        </w:rPr>
        <w:t xml:space="preserve">, dans </w:t>
      </w:r>
      <w:r w:rsidRPr="001D5EFC">
        <w:rPr>
          <w:rFonts w:ascii="Times New Roman" w:hAnsi="Times New Roman" w:cs="Times New Roman"/>
          <w:i/>
          <w:sz w:val="24"/>
          <w:szCs w:val="24"/>
        </w:rPr>
        <w:t>Dieu et les dieux dans le théâtre de la Renaissance</w:t>
      </w:r>
      <w:r w:rsidRPr="001D5EFC">
        <w:rPr>
          <w:rFonts w:ascii="Times New Roman" w:hAnsi="Times New Roman" w:cs="Times New Roman"/>
          <w:sz w:val="24"/>
          <w:szCs w:val="24"/>
        </w:rPr>
        <w:t>. Actes du XLV</w:t>
      </w:r>
      <w:r w:rsidRPr="001D5EFC">
        <w:rPr>
          <w:rFonts w:ascii="Times New Roman" w:hAnsi="Times New Roman" w:cs="Times New Roman"/>
          <w:sz w:val="24"/>
          <w:szCs w:val="24"/>
          <w:vertAlign w:val="superscript"/>
        </w:rPr>
        <w:t>e</w:t>
      </w:r>
      <w:r w:rsidRPr="001D5EFC">
        <w:rPr>
          <w:rFonts w:ascii="Times New Roman" w:hAnsi="Times New Roman" w:cs="Times New Roman"/>
          <w:sz w:val="24"/>
          <w:szCs w:val="24"/>
        </w:rPr>
        <w:t xml:space="preserve"> Colloque International d’Etudes Humanistes (01-06 juillet 2002), sous la direction de </w:t>
      </w:r>
      <w:r w:rsidRPr="001D5EFC">
        <w:rPr>
          <w:rFonts w:ascii="Times New Roman" w:hAnsi="Times New Roman" w:cs="Times New Roman"/>
          <w:smallCaps/>
          <w:sz w:val="24"/>
          <w:szCs w:val="24"/>
        </w:rPr>
        <w:t>J.P. Bordier, A. Lascombes</w:t>
      </w:r>
      <w:r w:rsidRPr="001D5EFC">
        <w:rPr>
          <w:rFonts w:ascii="Times New Roman" w:hAnsi="Times New Roman" w:cs="Times New Roman"/>
          <w:sz w:val="24"/>
          <w:szCs w:val="24"/>
        </w:rPr>
        <w:t xml:space="preserve"> Turnhout, Brepols, 2006, pp. 453-468.</w:t>
      </w:r>
    </w:p>
    <w:p w14:paraId="446489BC" w14:textId="77777777" w:rsidR="00796A9D" w:rsidRDefault="00796A9D" w:rsidP="00796A9D">
      <w:pPr>
        <w:spacing w:after="0"/>
        <w:jc w:val="both"/>
        <w:rPr>
          <w:rFonts w:ascii="Times New Roman" w:hAnsi="Times New Roman" w:cs="Times New Roman"/>
        </w:rPr>
      </w:pPr>
    </w:p>
    <w:p w14:paraId="6004D95F" w14:textId="77777777" w:rsidR="00796A9D" w:rsidRPr="001610F4" w:rsidRDefault="00796A9D" w:rsidP="00796A9D">
      <w:pPr>
        <w:pStyle w:val="Testonotaapidipagina"/>
        <w:jc w:val="both"/>
        <w:rPr>
          <w:rFonts w:ascii="Times New Roman" w:hAnsi="Times New Roman" w:cs="Times New Roman"/>
          <w:sz w:val="24"/>
          <w:szCs w:val="24"/>
        </w:rPr>
      </w:pPr>
      <w:r w:rsidRPr="001610F4">
        <w:rPr>
          <w:rFonts w:ascii="Times New Roman" w:hAnsi="Times New Roman" w:cs="Times New Roman"/>
          <w:smallCaps/>
          <w:sz w:val="24"/>
          <w:szCs w:val="24"/>
        </w:rPr>
        <w:t>F. Bortoletti</w:t>
      </w:r>
      <w:r w:rsidRPr="001610F4">
        <w:rPr>
          <w:rFonts w:ascii="Times New Roman" w:hAnsi="Times New Roman" w:cs="Times New Roman"/>
          <w:sz w:val="24"/>
          <w:szCs w:val="24"/>
        </w:rPr>
        <w:t xml:space="preserve">, </w:t>
      </w:r>
      <w:r w:rsidRPr="001610F4">
        <w:rPr>
          <w:rFonts w:ascii="Times New Roman" w:hAnsi="Times New Roman" w:cs="Times New Roman"/>
          <w:i/>
          <w:sz w:val="24"/>
          <w:szCs w:val="24"/>
        </w:rPr>
        <w:t>Danza, poesia e musica in Fabula. Bologna, 1487 – Nozze Bentivoglio-d’Este</w:t>
      </w:r>
      <w:r w:rsidRPr="001610F4">
        <w:rPr>
          <w:rFonts w:ascii="Times New Roman" w:hAnsi="Times New Roman" w:cs="Times New Roman"/>
          <w:sz w:val="24"/>
          <w:szCs w:val="24"/>
        </w:rPr>
        <w:t xml:space="preserve">, «Annali online di Ferrara-Lettere», 1, 2007, pp. 199-226. </w:t>
      </w:r>
    </w:p>
    <w:p w14:paraId="3513F6D1" w14:textId="77777777" w:rsidR="00796A9D" w:rsidRPr="001F5A6E" w:rsidRDefault="00796A9D" w:rsidP="00796A9D">
      <w:pPr>
        <w:spacing w:after="0"/>
        <w:jc w:val="both"/>
        <w:rPr>
          <w:rFonts w:ascii="Times New Roman" w:hAnsi="Times New Roman" w:cs="Times New Roman"/>
          <w:sz w:val="24"/>
          <w:szCs w:val="24"/>
        </w:rPr>
      </w:pPr>
    </w:p>
    <w:p w14:paraId="59F07994" w14:textId="77777777" w:rsidR="00796A9D" w:rsidRPr="00FB1DF7" w:rsidRDefault="00796A9D" w:rsidP="00796A9D">
      <w:pPr>
        <w:pStyle w:val="Testonotaapidipagina"/>
        <w:jc w:val="both"/>
        <w:rPr>
          <w:rFonts w:ascii="Times New Roman" w:hAnsi="Times New Roman" w:cs="Times New Roman"/>
          <w:sz w:val="24"/>
          <w:szCs w:val="24"/>
        </w:rPr>
      </w:pPr>
      <w:r w:rsidRPr="00FB1DF7">
        <w:rPr>
          <w:rFonts w:ascii="Times New Roman" w:hAnsi="Times New Roman" w:cs="Times New Roman"/>
          <w:smallCaps/>
          <w:sz w:val="24"/>
          <w:szCs w:val="24"/>
        </w:rPr>
        <w:t>F. Bortoletti</w:t>
      </w:r>
      <w:r w:rsidRPr="00FB1DF7">
        <w:rPr>
          <w:rFonts w:ascii="Times New Roman" w:hAnsi="Times New Roman" w:cs="Times New Roman"/>
          <w:sz w:val="24"/>
          <w:szCs w:val="24"/>
        </w:rPr>
        <w:t xml:space="preserve">, </w:t>
      </w:r>
      <w:r w:rsidRPr="00FB1DF7">
        <w:rPr>
          <w:rFonts w:ascii="Times New Roman" w:hAnsi="Times New Roman" w:cs="Times New Roman"/>
          <w:i/>
          <w:sz w:val="24"/>
          <w:szCs w:val="24"/>
        </w:rPr>
        <w:t>Egloga e spettacolo nel primo Rinascimento: da Firenze alle corti</w:t>
      </w:r>
      <w:r w:rsidRPr="00FB1DF7">
        <w:rPr>
          <w:rFonts w:ascii="Times New Roman" w:hAnsi="Times New Roman" w:cs="Times New Roman"/>
          <w:sz w:val="24"/>
          <w:szCs w:val="24"/>
        </w:rPr>
        <w:t>, Roma, Bulzoni, 2008.</w:t>
      </w:r>
    </w:p>
    <w:p w14:paraId="797511CE" w14:textId="77777777" w:rsidR="00796A9D" w:rsidRDefault="00796A9D" w:rsidP="00796A9D">
      <w:pPr>
        <w:spacing w:after="0"/>
        <w:jc w:val="both"/>
        <w:rPr>
          <w:rFonts w:ascii="Times New Roman" w:hAnsi="Times New Roman" w:cs="Times New Roman"/>
          <w:sz w:val="24"/>
          <w:szCs w:val="24"/>
        </w:rPr>
      </w:pPr>
    </w:p>
    <w:p w14:paraId="1B391362" w14:textId="77777777" w:rsidR="00796A9D" w:rsidRDefault="00796A9D" w:rsidP="00796A9D">
      <w:pPr>
        <w:spacing w:after="0"/>
        <w:jc w:val="both"/>
        <w:rPr>
          <w:rFonts w:ascii="Times New Roman" w:hAnsi="Times New Roman" w:cs="Times New Roman"/>
          <w:sz w:val="24"/>
          <w:szCs w:val="24"/>
        </w:rPr>
      </w:pPr>
      <w:r w:rsidRPr="00E70205">
        <w:rPr>
          <w:rFonts w:ascii="Times New Roman" w:hAnsi="Times New Roman" w:cs="Times New Roman"/>
          <w:smallCaps/>
          <w:sz w:val="24"/>
          <w:szCs w:val="24"/>
        </w:rPr>
        <w:t>F. Bortoletti</w:t>
      </w:r>
      <w:r w:rsidRPr="00E70205">
        <w:rPr>
          <w:rFonts w:ascii="Times New Roman" w:hAnsi="Times New Roman" w:cs="Times New Roman"/>
          <w:sz w:val="24"/>
          <w:szCs w:val="24"/>
        </w:rPr>
        <w:t xml:space="preserve">, </w:t>
      </w:r>
      <w:r w:rsidRPr="00E70205">
        <w:rPr>
          <w:rFonts w:ascii="Times New Roman" w:hAnsi="Times New Roman" w:cs="Times New Roman"/>
          <w:i/>
          <w:sz w:val="24"/>
          <w:szCs w:val="24"/>
        </w:rPr>
        <w:t>Per una nuova drammaturgia. L’egloga nel Quattrocento italiano: dall’idea dell’esecuzione alla pratica scenica</w:t>
      </w:r>
      <w:r w:rsidRPr="00E70205">
        <w:rPr>
          <w:rFonts w:ascii="Times New Roman" w:hAnsi="Times New Roman" w:cs="Times New Roman"/>
          <w:sz w:val="24"/>
          <w:szCs w:val="24"/>
        </w:rPr>
        <w:t>, «Quaderni d’italianistica», I, 2009, pp. 1-42.</w:t>
      </w:r>
    </w:p>
    <w:p w14:paraId="77A960B4" w14:textId="77777777" w:rsidR="00796A9D" w:rsidRDefault="00796A9D" w:rsidP="00796A9D">
      <w:pPr>
        <w:spacing w:after="0"/>
        <w:jc w:val="both"/>
        <w:rPr>
          <w:rFonts w:ascii="Times New Roman" w:hAnsi="Times New Roman" w:cs="Times New Roman"/>
          <w:smallCaps/>
          <w:sz w:val="24"/>
          <w:szCs w:val="24"/>
        </w:rPr>
      </w:pPr>
    </w:p>
    <w:p w14:paraId="37EFCBE2"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L. Boschetto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Società e cultura a Firenze al tempo del Concilio. Papa Eugenio IV tra curiali, mercanti e umanisti</w:t>
      </w:r>
      <w:r w:rsidRPr="00BA2DBB">
        <w:rPr>
          <w:rFonts w:ascii="Times New Roman" w:hAnsi="Times New Roman" w:cs="Times New Roman"/>
          <w:sz w:val="24"/>
          <w:szCs w:val="24"/>
        </w:rPr>
        <w:t>, Roma, Edizioni di storia e letteratura, 2012.</w:t>
      </w:r>
    </w:p>
    <w:p w14:paraId="056D6590" w14:textId="77777777" w:rsidR="00796A9D" w:rsidRDefault="00796A9D" w:rsidP="00796A9D">
      <w:pPr>
        <w:spacing w:after="0"/>
        <w:jc w:val="both"/>
        <w:rPr>
          <w:rFonts w:ascii="Times New Roman" w:hAnsi="Times New Roman" w:cs="Times New Roman"/>
          <w:smallCaps/>
          <w:sz w:val="24"/>
          <w:szCs w:val="24"/>
        </w:rPr>
      </w:pPr>
    </w:p>
    <w:p w14:paraId="50DDEB3A" w14:textId="77777777" w:rsidR="00796A9D" w:rsidRPr="00E70205" w:rsidRDefault="00796A9D" w:rsidP="00796A9D">
      <w:pPr>
        <w:spacing w:after="0"/>
        <w:jc w:val="both"/>
        <w:rPr>
          <w:rFonts w:ascii="Times New Roman" w:hAnsi="Times New Roman" w:cs="Times New Roman"/>
          <w:sz w:val="24"/>
          <w:szCs w:val="24"/>
        </w:rPr>
      </w:pPr>
      <w:r w:rsidRPr="00CD493D">
        <w:rPr>
          <w:rFonts w:ascii="Times New Roman" w:hAnsi="Times New Roman" w:cs="Times New Roman"/>
          <w:smallCaps/>
          <w:sz w:val="24"/>
          <w:szCs w:val="24"/>
        </w:rPr>
        <w:t>M. Bourne</w:t>
      </w:r>
      <w:r w:rsidRPr="00CD493D">
        <w:rPr>
          <w:rFonts w:ascii="Times New Roman" w:hAnsi="Times New Roman" w:cs="Times New Roman"/>
          <w:sz w:val="24"/>
          <w:szCs w:val="24"/>
        </w:rPr>
        <w:t xml:space="preserve">, </w:t>
      </w:r>
      <w:r w:rsidRPr="00CD493D">
        <w:rPr>
          <w:rFonts w:ascii="Times New Roman" w:hAnsi="Times New Roman" w:cs="Times New Roman"/>
          <w:i/>
          <w:sz w:val="24"/>
          <w:szCs w:val="24"/>
        </w:rPr>
        <w:t>Francesco II Gonzaga, The Soldier-Prince as Patron</w:t>
      </w:r>
      <w:r w:rsidRPr="00CD493D">
        <w:rPr>
          <w:rFonts w:ascii="Times New Roman" w:hAnsi="Times New Roman" w:cs="Times New Roman"/>
          <w:sz w:val="24"/>
          <w:szCs w:val="24"/>
        </w:rPr>
        <w:t>, Roma, Bulzoni, 2008</w:t>
      </w:r>
      <w:r w:rsidRPr="00CD493D">
        <w:rPr>
          <w:rFonts w:ascii="Times New Roman" w:hAnsi="Times New Roman" w:cs="Times New Roman"/>
        </w:rPr>
        <w:t>.</w:t>
      </w:r>
    </w:p>
    <w:p w14:paraId="6C95E676" w14:textId="77777777" w:rsidR="00796A9D" w:rsidRDefault="00796A9D" w:rsidP="00796A9D">
      <w:pPr>
        <w:spacing w:after="0"/>
        <w:jc w:val="both"/>
        <w:rPr>
          <w:rFonts w:ascii="Times New Roman" w:hAnsi="Times New Roman" w:cs="Times New Roman"/>
          <w:sz w:val="24"/>
          <w:szCs w:val="24"/>
        </w:rPr>
      </w:pPr>
    </w:p>
    <w:p w14:paraId="4DB72744" w14:textId="77777777" w:rsidR="00796A9D" w:rsidRPr="00BA2DBB" w:rsidRDefault="00796A9D" w:rsidP="00796A9D">
      <w:pPr>
        <w:pStyle w:val="Testonotaapidipagina"/>
        <w:jc w:val="both"/>
        <w:rPr>
          <w:rFonts w:ascii="Times New Roman" w:hAnsi="Times New Roman" w:cs="Times New Roman"/>
          <w:sz w:val="24"/>
          <w:szCs w:val="24"/>
          <w:lang w:val="en-US"/>
        </w:rPr>
      </w:pPr>
      <w:r w:rsidRPr="00BA2DBB">
        <w:rPr>
          <w:rFonts w:ascii="Times New Roman" w:hAnsi="Times New Roman" w:cs="Times New Roman"/>
          <w:smallCaps/>
          <w:sz w:val="24"/>
          <w:szCs w:val="24"/>
          <w:lang w:val="en-US"/>
        </w:rPr>
        <w:t>L. Boyle</w:t>
      </w:r>
      <w:r w:rsidRPr="00BA2DBB">
        <w:rPr>
          <w:rFonts w:ascii="Times New Roman" w:hAnsi="Times New Roman" w:cs="Times New Roman"/>
          <w:sz w:val="24"/>
          <w:szCs w:val="24"/>
          <w:lang w:val="en-US"/>
        </w:rPr>
        <w:t xml:space="preserve">, </w:t>
      </w:r>
      <w:r w:rsidRPr="00BA2DBB">
        <w:rPr>
          <w:rFonts w:ascii="Times New Roman" w:hAnsi="Times New Roman" w:cs="Times New Roman"/>
          <w:i/>
          <w:sz w:val="24"/>
          <w:szCs w:val="24"/>
          <w:lang w:val="en-US"/>
        </w:rPr>
        <w:t>Sixtus IV and the Vatican Library</w:t>
      </w:r>
      <w:r w:rsidRPr="00BA2DBB">
        <w:rPr>
          <w:rFonts w:ascii="Times New Roman" w:hAnsi="Times New Roman" w:cs="Times New Roman"/>
          <w:sz w:val="24"/>
          <w:szCs w:val="24"/>
          <w:lang w:val="en-US"/>
        </w:rPr>
        <w:t xml:space="preserve">, in </w:t>
      </w:r>
      <w:r w:rsidRPr="00BA2DBB">
        <w:rPr>
          <w:rFonts w:ascii="Times New Roman" w:hAnsi="Times New Roman" w:cs="Times New Roman"/>
          <w:i/>
          <w:sz w:val="24"/>
          <w:szCs w:val="24"/>
          <w:lang w:val="en-US"/>
        </w:rPr>
        <w:t>Rome, Tradition, Innovation Renewal</w:t>
      </w:r>
      <w:r w:rsidRPr="00BA2DBB">
        <w:rPr>
          <w:rFonts w:ascii="Times New Roman" w:hAnsi="Times New Roman" w:cs="Times New Roman"/>
          <w:sz w:val="24"/>
          <w:szCs w:val="24"/>
          <w:lang w:val="en-US"/>
        </w:rPr>
        <w:t xml:space="preserve">: a Canadian International Art History Conference, (8-13 June 1987), Rome, in Honour of Richard Krautheimer on the Occasion of His 90th Birthday and Leonard Boyle O.P. Prefect of the Biblioteca Apostilica Vaticana, Victotia B. C., University of Victoria, 1991, pp. 65-73. </w:t>
      </w:r>
    </w:p>
    <w:p w14:paraId="066A32D9" w14:textId="77777777" w:rsidR="00796A9D" w:rsidRPr="00BA2DBB" w:rsidRDefault="00796A9D" w:rsidP="00796A9D">
      <w:pPr>
        <w:pStyle w:val="Testonotaapidipagina"/>
        <w:jc w:val="both"/>
        <w:rPr>
          <w:rFonts w:ascii="Times New Roman" w:hAnsi="Times New Roman" w:cs="Times New Roman"/>
          <w:sz w:val="24"/>
          <w:szCs w:val="24"/>
          <w:lang w:val="en-US"/>
        </w:rPr>
      </w:pPr>
    </w:p>
    <w:p w14:paraId="332D6BD3"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V. Branca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Poliziano e la libreria di S. Marco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Miscellanea Augusto Campana</w:t>
      </w:r>
      <w:r w:rsidRPr="00BA2DBB">
        <w:rPr>
          <w:rFonts w:ascii="Times New Roman" w:hAnsi="Times New Roman" w:cs="Times New Roman"/>
          <w:sz w:val="24"/>
          <w:szCs w:val="24"/>
        </w:rPr>
        <w:t xml:space="preserve">, «Medioevo e Umanesimo», </w:t>
      </w:r>
      <w:r>
        <w:rPr>
          <w:rFonts w:ascii="Times New Roman" w:hAnsi="Times New Roman" w:cs="Times New Roman"/>
          <w:sz w:val="24"/>
          <w:szCs w:val="24"/>
        </w:rPr>
        <w:t>XLIV</w:t>
      </w:r>
      <w:r w:rsidRPr="00BA2DBB">
        <w:rPr>
          <w:rFonts w:ascii="Times New Roman" w:hAnsi="Times New Roman" w:cs="Times New Roman"/>
          <w:sz w:val="24"/>
          <w:szCs w:val="24"/>
        </w:rPr>
        <w:t>, 1981, pp. 167-188.</w:t>
      </w:r>
    </w:p>
    <w:p w14:paraId="708E51F2" w14:textId="77777777" w:rsidR="00796A9D" w:rsidRDefault="00796A9D" w:rsidP="00796A9D">
      <w:pPr>
        <w:spacing w:after="0"/>
        <w:jc w:val="both"/>
        <w:rPr>
          <w:rFonts w:ascii="Times New Roman" w:hAnsi="Times New Roman" w:cs="Times New Roman"/>
          <w:sz w:val="24"/>
          <w:szCs w:val="24"/>
        </w:rPr>
      </w:pPr>
    </w:p>
    <w:p w14:paraId="1EEA9805" w14:textId="77777777" w:rsidR="00796A9D" w:rsidRDefault="00796A9D" w:rsidP="00796A9D">
      <w:pPr>
        <w:spacing w:after="0"/>
        <w:jc w:val="both"/>
        <w:rPr>
          <w:rFonts w:ascii="Times New Roman" w:hAnsi="Times New Roman" w:cs="Times New Roman"/>
          <w:sz w:val="24"/>
          <w:szCs w:val="24"/>
        </w:rPr>
      </w:pPr>
      <w:r w:rsidRPr="0087360A">
        <w:rPr>
          <w:rFonts w:ascii="Times New Roman" w:hAnsi="Times New Roman" w:cs="Times New Roman"/>
          <w:smallCaps/>
          <w:sz w:val="24"/>
          <w:szCs w:val="24"/>
          <w:lang w:val="en-US"/>
        </w:rPr>
        <w:t>T. Brero</w:t>
      </w:r>
      <w:r w:rsidRPr="0087360A">
        <w:rPr>
          <w:rFonts w:ascii="Times New Roman" w:hAnsi="Times New Roman" w:cs="Times New Roman"/>
          <w:sz w:val="24"/>
          <w:szCs w:val="24"/>
          <w:lang w:val="en-US"/>
        </w:rPr>
        <w:t xml:space="preserve">, </w:t>
      </w:r>
      <w:r w:rsidRPr="0087360A">
        <w:rPr>
          <w:rFonts w:ascii="Times New Roman" w:hAnsi="Times New Roman" w:cs="Times New Roman"/>
          <w:i/>
          <w:sz w:val="24"/>
          <w:szCs w:val="24"/>
          <w:lang w:val="en-US"/>
        </w:rPr>
        <w:t xml:space="preserve">Rituels dynastiques et mises en scène du pouvoir. </w:t>
      </w:r>
      <w:r w:rsidRPr="0087360A">
        <w:rPr>
          <w:rFonts w:ascii="Times New Roman" w:hAnsi="Times New Roman" w:cs="Times New Roman"/>
          <w:i/>
          <w:sz w:val="24"/>
          <w:szCs w:val="24"/>
        </w:rPr>
        <w:t>Le cérémonial princier à la cour de Savoie (1450-1550),</w:t>
      </w:r>
      <w:r w:rsidRPr="0087360A">
        <w:rPr>
          <w:rFonts w:ascii="Times New Roman" w:hAnsi="Times New Roman" w:cs="Times New Roman"/>
          <w:sz w:val="24"/>
          <w:szCs w:val="24"/>
        </w:rPr>
        <w:t xml:space="preserve"> Firenze, SISMEL-Galluzzo, 2017</w:t>
      </w:r>
      <w:r>
        <w:rPr>
          <w:rFonts w:ascii="Times New Roman" w:hAnsi="Times New Roman" w:cs="Times New Roman"/>
          <w:sz w:val="24"/>
          <w:szCs w:val="24"/>
        </w:rPr>
        <w:t>.</w:t>
      </w:r>
    </w:p>
    <w:p w14:paraId="28D6A8E5" w14:textId="77777777" w:rsidR="00796A9D" w:rsidRDefault="00796A9D" w:rsidP="00796A9D">
      <w:pPr>
        <w:spacing w:after="0"/>
        <w:jc w:val="both"/>
        <w:rPr>
          <w:rFonts w:ascii="Times New Roman" w:hAnsi="Times New Roman" w:cs="Times New Roman"/>
          <w:sz w:val="24"/>
          <w:szCs w:val="24"/>
        </w:rPr>
      </w:pPr>
    </w:p>
    <w:p w14:paraId="4E1A320E" w14:textId="77777777" w:rsidR="00796A9D" w:rsidRPr="004D47B9" w:rsidRDefault="00796A9D" w:rsidP="00796A9D">
      <w:pPr>
        <w:spacing w:after="0"/>
        <w:jc w:val="both"/>
        <w:rPr>
          <w:rFonts w:ascii="Times New Roman" w:hAnsi="Times New Roman" w:cs="Times New Roman"/>
          <w:sz w:val="24"/>
          <w:szCs w:val="24"/>
        </w:rPr>
      </w:pPr>
      <w:r w:rsidRPr="004D47B9">
        <w:rPr>
          <w:rFonts w:ascii="Times New Roman" w:hAnsi="Times New Roman"/>
          <w:smallCaps/>
          <w:sz w:val="24"/>
          <w:szCs w:val="24"/>
        </w:rPr>
        <w:t>F. Brevini</w:t>
      </w:r>
      <w:r w:rsidRPr="004D47B9">
        <w:rPr>
          <w:rFonts w:ascii="Times New Roman" w:hAnsi="Times New Roman"/>
          <w:sz w:val="24"/>
          <w:szCs w:val="24"/>
        </w:rPr>
        <w:t xml:space="preserve">, </w:t>
      </w:r>
      <w:r w:rsidRPr="004D47B9">
        <w:rPr>
          <w:rFonts w:ascii="Times New Roman" w:hAnsi="Times New Roman"/>
          <w:i/>
          <w:sz w:val="24"/>
          <w:szCs w:val="24"/>
        </w:rPr>
        <w:t>Le origini della letteratura lombarda</w:t>
      </w:r>
      <w:r w:rsidRPr="004D47B9">
        <w:rPr>
          <w:rFonts w:ascii="Times New Roman" w:hAnsi="Times New Roman"/>
          <w:sz w:val="24"/>
          <w:szCs w:val="24"/>
        </w:rPr>
        <w:t xml:space="preserve">, in </w:t>
      </w:r>
      <w:r w:rsidRPr="004D47B9">
        <w:rPr>
          <w:rFonts w:ascii="Times New Roman" w:hAnsi="Times New Roman"/>
          <w:i/>
          <w:sz w:val="24"/>
          <w:szCs w:val="24"/>
        </w:rPr>
        <w:t>Il testo e l’opera. Studi in onore di Franco Brioschi</w:t>
      </w:r>
      <w:r w:rsidRPr="004D47B9">
        <w:rPr>
          <w:rFonts w:ascii="Times New Roman" w:hAnsi="Times New Roman"/>
          <w:sz w:val="24"/>
          <w:szCs w:val="24"/>
        </w:rPr>
        <w:t xml:space="preserve">, a cura di </w:t>
      </w:r>
      <w:r w:rsidRPr="004D47B9">
        <w:rPr>
          <w:rFonts w:ascii="Times New Roman" w:hAnsi="Times New Roman"/>
          <w:smallCaps/>
          <w:sz w:val="24"/>
          <w:szCs w:val="24"/>
        </w:rPr>
        <w:t>L. Neri, S. Sini</w:t>
      </w:r>
      <w:r w:rsidRPr="004D47B9">
        <w:rPr>
          <w:rFonts w:ascii="Times New Roman" w:hAnsi="Times New Roman"/>
          <w:sz w:val="24"/>
          <w:szCs w:val="24"/>
        </w:rPr>
        <w:t>, Milano, Ledizioni, 2015, pp. 292-298.</w:t>
      </w:r>
    </w:p>
    <w:p w14:paraId="5DFF2D42" w14:textId="77777777" w:rsidR="00796A9D" w:rsidRDefault="00796A9D" w:rsidP="00796A9D">
      <w:pPr>
        <w:spacing w:after="0"/>
        <w:jc w:val="both"/>
        <w:rPr>
          <w:rFonts w:ascii="Times New Roman" w:hAnsi="Times New Roman" w:cs="Times New Roman"/>
          <w:sz w:val="24"/>
          <w:szCs w:val="24"/>
        </w:rPr>
      </w:pPr>
    </w:p>
    <w:p w14:paraId="21782594" w14:textId="77777777" w:rsidR="00796A9D" w:rsidRDefault="00796A9D" w:rsidP="00796A9D">
      <w:pPr>
        <w:spacing w:after="0"/>
        <w:jc w:val="both"/>
        <w:rPr>
          <w:rFonts w:ascii="Times New Roman" w:hAnsi="Times New Roman" w:cs="Times New Roman"/>
          <w:sz w:val="24"/>
          <w:szCs w:val="24"/>
          <w:shd w:val="clear" w:color="auto" w:fill="F5F6F7"/>
        </w:rPr>
      </w:pPr>
      <w:r w:rsidRPr="004E303B">
        <w:rPr>
          <w:rFonts w:ascii="Times New Roman" w:hAnsi="Times New Roman" w:cs="Times New Roman"/>
          <w:sz w:val="24"/>
          <w:szCs w:val="24"/>
          <w:shd w:val="clear" w:color="auto" w:fill="F5F6F7"/>
        </w:rPr>
        <w:t xml:space="preserve">J. </w:t>
      </w:r>
      <w:r w:rsidRPr="004E303B">
        <w:rPr>
          <w:rFonts w:ascii="Times New Roman" w:hAnsi="Times New Roman" w:cs="Times New Roman"/>
          <w:smallCaps/>
          <w:sz w:val="24"/>
          <w:szCs w:val="24"/>
          <w:shd w:val="clear" w:color="auto" w:fill="F5F6F7"/>
        </w:rPr>
        <w:t>Bridgeman</w:t>
      </w:r>
      <w:r w:rsidRPr="004E303B">
        <w:rPr>
          <w:rFonts w:ascii="Times New Roman" w:hAnsi="Times New Roman" w:cs="Times New Roman"/>
          <w:sz w:val="24"/>
          <w:szCs w:val="24"/>
          <w:shd w:val="clear" w:color="auto" w:fill="F5F6F7"/>
        </w:rPr>
        <w:t xml:space="preserve">, </w:t>
      </w:r>
      <w:r w:rsidRPr="004E303B">
        <w:rPr>
          <w:rFonts w:ascii="Times New Roman" w:hAnsi="Times New Roman" w:cs="Times New Roman"/>
          <w:i/>
          <w:sz w:val="24"/>
          <w:szCs w:val="24"/>
          <w:shd w:val="clear" w:color="auto" w:fill="F5F6F7"/>
        </w:rPr>
        <w:t>A Renaissance wedding: the celebrations at Pesaro for the marriage of Costanzo Sforza &amp; Camilla Marzano d’Aragona, 26-30 May 1475</w:t>
      </w:r>
      <w:r w:rsidRPr="004E303B">
        <w:rPr>
          <w:rFonts w:ascii="Times New Roman" w:hAnsi="Times New Roman" w:cs="Times New Roman"/>
          <w:sz w:val="24"/>
          <w:szCs w:val="24"/>
          <w:shd w:val="clear" w:color="auto" w:fill="F5F6F7"/>
        </w:rPr>
        <w:t>, London, Harvey Miller Publishers, 2013.</w:t>
      </w:r>
    </w:p>
    <w:p w14:paraId="19466820" w14:textId="77777777" w:rsidR="00796A9D" w:rsidRDefault="00796A9D" w:rsidP="00796A9D">
      <w:pPr>
        <w:spacing w:after="0"/>
        <w:jc w:val="both"/>
        <w:rPr>
          <w:rFonts w:ascii="Times New Roman" w:hAnsi="Times New Roman" w:cs="Times New Roman"/>
          <w:sz w:val="24"/>
          <w:szCs w:val="24"/>
        </w:rPr>
      </w:pPr>
    </w:p>
    <w:p w14:paraId="3D15406F" w14:textId="77777777" w:rsidR="00796A9D" w:rsidRPr="00744CA3" w:rsidRDefault="00796A9D" w:rsidP="00796A9D">
      <w:pPr>
        <w:spacing w:after="0"/>
        <w:jc w:val="both"/>
        <w:rPr>
          <w:rFonts w:ascii="Times New Roman" w:hAnsi="Times New Roman" w:cs="Times New Roman"/>
          <w:sz w:val="24"/>
          <w:szCs w:val="24"/>
        </w:rPr>
      </w:pPr>
      <w:r w:rsidRPr="00744CA3">
        <w:rPr>
          <w:rFonts w:ascii="Times New Roman" w:hAnsi="Times New Roman" w:cs="Times New Roman"/>
          <w:smallCaps/>
          <w:sz w:val="24"/>
          <w:szCs w:val="24"/>
        </w:rPr>
        <w:t>R. Brown</w:t>
      </w:r>
      <w:r w:rsidRPr="00744CA3">
        <w:rPr>
          <w:rFonts w:ascii="Times New Roman" w:hAnsi="Times New Roman" w:cs="Times New Roman"/>
          <w:sz w:val="24"/>
          <w:szCs w:val="24"/>
        </w:rPr>
        <w:t xml:space="preserve">, </w:t>
      </w:r>
      <w:r w:rsidRPr="00744CA3">
        <w:rPr>
          <w:rFonts w:ascii="Times New Roman" w:hAnsi="Times New Roman" w:cs="Times New Roman"/>
          <w:i/>
          <w:sz w:val="24"/>
          <w:szCs w:val="24"/>
        </w:rPr>
        <w:t>The Reception of Anna Sforza in Ferrara, February 1491</w:t>
      </w:r>
      <w:r w:rsidRPr="00744CA3">
        <w:rPr>
          <w:rFonts w:ascii="Times New Roman" w:hAnsi="Times New Roman" w:cs="Times New Roman"/>
          <w:sz w:val="24"/>
          <w:szCs w:val="24"/>
        </w:rPr>
        <w:t>, «Renaissance Studies», II, 1988, pp. 231-240.</w:t>
      </w:r>
    </w:p>
    <w:p w14:paraId="7355ADA0" w14:textId="77777777" w:rsidR="00796A9D" w:rsidRDefault="00796A9D" w:rsidP="00796A9D">
      <w:pPr>
        <w:spacing w:after="0"/>
        <w:jc w:val="both"/>
        <w:rPr>
          <w:rFonts w:ascii="Times New Roman" w:hAnsi="Times New Roman" w:cs="Times New Roman"/>
          <w:smallCaps/>
          <w:sz w:val="24"/>
          <w:szCs w:val="24"/>
        </w:rPr>
      </w:pPr>
    </w:p>
    <w:p w14:paraId="38F2C205"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F. Brugnolo, R. Benedetti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dedica tra medioevo e primo rinascimento: testo e immagine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 margini del Libro. Indagine teorica e storica sui testi di dedica</w:t>
      </w:r>
      <w:r w:rsidRPr="00BA2DBB">
        <w:rPr>
          <w:rFonts w:ascii="Times New Roman" w:hAnsi="Times New Roman" w:cs="Times New Roman"/>
          <w:sz w:val="24"/>
          <w:szCs w:val="24"/>
        </w:rPr>
        <w:t xml:space="preserve">. Atti del Convegno internazionale di studi. (Basilea 21-23 novembre 2002), a cura di </w:t>
      </w:r>
      <w:r w:rsidRPr="00BA2DBB">
        <w:rPr>
          <w:rFonts w:ascii="Times New Roman" w:hAnsi="Times New Roman" w:cs="Times New Roman"/>
          <w:smallCaps/>
          <w:sz w:val="24"/>
          <w:szCs w:val="24"/>
        </w:rPr>
        <w:t>M.A. Terzoli</w:t>
      </w:r>
      <w:r w:rsidRPr="00BA2DBB">
        <w:rPr>
          <w:rFonts w:ascii="Times New Roman" w:hAnsi="Times New Roman" w:cs="Times New Roman"/>
          <w:sz w:val="24"/>
          <w:szCs w:val="24"/>
        </w:rPr>
        <w:t>, Padova, Antenore,</w:t>
      </w:r>
      <w:r>
        <w:rPr>
          <w:rFonts w:ascii="Times New Roman" w:hAnsi="Times New Roman" w:cs="Times New Roman"/>
          <w:sz w:val="24"/>
          <w:szCs w:val="24"/>
        </w:rPr>
        <w:t xml:space="preserve"> 2004, pp.</w:t>
      </w:r>
      <w:r w:rsidRPr="00BA2DBB">
        <w:rPr>
          <w:rFonts w:ascii="Times New Roman" w:hAnsi="Times New Roman" w:cs="Times New Roman"/>
          <w:sz w:val="24"/>
          <w:szCs w:val="24"/>
        </w:rPr>
        <w:t xml:space="preserve"> 45-52.</w:t>
      </w:r>
    </w:p>
    <w:p w14:paraId="540A0D10" w14:textId="77777777" w:rsidR="00796A9D" w:rsidRDefault="00796A9D" w:rsidP="00796A9D">
      <w:pPr>
        <w:spacing w:after="0"/>
        <w:jc w:val="both"/>
        <w:rPr>
          <w:rFonts w:ascii="Times New Roman" w:hAnsi="Times New Roman" w:cs="Times New Roman"/>
          <w:sz w:val="24"/>
          <w:szCs w:val="24"/>
        </w:rPr>
      </w:pPr>
    </w:p>
    <w:p w14:paraId="20A3F116"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F.R. </w:t>
      </w:r>
      <w:r w:rsidRPr="00BA2DBB">
        <w:rPr>
          <w:rFonts w:ascii="Times New Roman" w:hAnsi="Times New Roman" w:cs="Times New Roman"/>
          <w:smallCaps/>
          <w:sz w:val="24"/>
          <w:szCs w:val="24"/>
        </w:rPr>
        <w:t>Buscolini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«Allo Alifante el cor l’Aquila morse». Federico da Montefeltro, la sua librària e la consultazione on line</w:t>
      </w:r>
      <w:r w:rsidRPr="00BA2DBB">
        <w:rPr>
          <w:rFonts w:ascii="Times New Roman" w:hAnsi="Times New Roman" w:cs="Times New Roman"/>
          <w:sz w:val="24"/>
          <w:szCs w:val="24"/>
        </w:rPr>
        <w:t>, Urbino, Montefeltro, 2004.</w:t>
      </w:r>
    </w:p>
    <w:p w14:paraId="4C649D67" w14:textId="77777777" w:rsidR="00796A9D" w:rsidRDefault="00796A9D" w:rsidP="00796A9D">
      <w:pPr>
        <w:spacing w:after="0"/>
        <w:jc w:val="both"/>
        <w:rPr>
          <w:rFonts w:ascii="Times New Roman" w:hAnsi="Times New Roman" w:cs="Times New Roman"/>
          <w:sz w:val="24"/>
          <w:szCs w:val="24"/>
        </w:rPr>
      </w:pPr>
    </w:p>
    <w:p w14:paraId="4AF74C0A" w14:textId="77777777" w:rsidR="00796A9D" w:rsidRPr="00724A9E" w:rsidRDefault="00796A9D" w:rsidP="00796A9D">
      <w:pPr>
        <w:spacing w:after="0"/>
        <w:jc w:val="both"/>
        <w:rPr>
          <w:rFonts w:ascii="Times New Roman" w:hAnsi="Times New Roman" w:cs="Times New Roman"/>
          <w:sz w:val="24"/>
          <w:szCs w:val="24"/>
        </w:rPr>
      </w:pPr>
      <w:r w:rsidRPr="00724A9E">
        <w:rPr>
          <w:rFonts w:ascii="Times New Roman" w:hAnsi="Times New Roman" w:cs="Times New Roman"/>
          <w:smallCaps/>
          <w:sz w:val="24"/>
          <w:szCs w:val="24"/>
        </w:rPr>
        <w:t>D.R. Bryant</w:t>
      </w:r>
      <w:r w:rsidRPr="00724A9E">
        <w:rPr>
          <w:rFonts w:ascii="Times New Roman" w:hAnsi="Times New Roman" w:cs="Times New Roman"/>
          <w:sz w:val="24"/>
          <w:szCs w:val="24"/>
        </w:rPr>
        <w:t xml:space="preserve">, </w:t>
      </w:r>
      <w:r w:rsidRPr="00724A9E">
        <w:rPr>
          <w:rFonts w:ascii="Times New Roman" w:hAnsi="Times New Roman" w:cs="Times New Roman"/>
          <w:i/>
          <w:sz w:val="24"/>
          <w:szCs w:val="24"/>
        </w:rPr>
        <w:t>“Maestosa e bella, còlta e gentile”: iconografia certa e supposta di Eleonora d’Aragona, duchessa di Ferrara (1473-1493),</w:t>
      </w:r>
      <w:r w:rsidRPr="00724A9E">
        <w:rPr>
          <w:rFonts w:ascii="Times New Roman" w:hAnsi="Times New Roman" w:cs="Times New Roman"/>
          <w:sz w:val="24"/>
          <w:szCs w:val="24"/>
        </w:rPr>
        <w:t xml:space="preserve"> «Bollettino della Ferrariae decus», 23, 2006-2007, pp. 181-215.</w:t>
      </w:r>
    </w:p>
    <w:p w14:paraId="0C2CEA63" w14:textId="77777777" w:rsidR="00796A9D" w:rsidRDefault="00796A9D" w:rsidP="00796A9D">
      <w:pPr>
        <w:spacing w:after="0"/>
        <w:jc w:val="both"/>
        <w:rPr>
          <w:rFonts w:ascii="Times New Roman" w:hAnsi="Times New Roman" w:cs="Times New Roman"/>
          <w:sz w:val="24"/>
          <w:szCs w:val="24"/>
        </w:rPr>
      </w:pPr>
    </w:p>
    <w:p w14:paraId="322887C5" w14:textId="77777777" w:rsidR="00796A9D" w:rsidRPr="00485CB4" w:rsidRDefault="00796A9D" w:rsidP="00796A9D">
      <w:pPr>
        <w:spacing w:after="0"/>
        <w:jc w:val="both"/>
        <w:rPr>
          <w:rFonts w:ascii="Times New Roman" w:hAnsi="Times New Roman" w:cs="Times New Roman"/>
          <w:sz w:val="24"/>
          <w:szCs w:val="24"/>
        </w:rPr>
      </w:pPr>
      <w:r w:rsidRPr="00485CB4">
        <w:rPr>
          <w:rFonts w:ascii="Times New Roman" w:hAnsi="Times New Roman" w:cs="Times New Roman"/>
          <w:smallCaps/>
          <w:sz w:val="24"/>
          <w:szCs w:val="24"/>
        </w:rPr>
        <w:t>J. Bryce</w:t>
      </w:r>
      <w:r w:rsidRPr="00485CB4">
        <w:rPr>
          <w:rFonts w:ascii="Times New Roman" w:hAnsi="Times New Roman" w:cs="Times New Roman"/>
          <w:sz w:val="24"/>
          <w:szCs w:val="24"/>
        </w:rPr>
        <w:t xml:space="preserve">, </w:t>
      </w:r>
      <w:r w:rsidRPr="00485CB4">
        <w:rPr>
          <w:rFonts w:ascii="Times New Roman" w:hAnsi="Times New Roman" w:cs="Times New Roman"/>
          <w:i/>
          <w:sz w:val="24"/>
          <w:szCs w:val="24"/>
        </w:rPr>
        <w:t>Performing for Strangers: Women, Dance, and Music in Quattrocento</w:t>
      </w:r>
      <w:r w:rsidRPr="00485CB4">
        <w:rPr>
          <w:rFonts w:ascii="Times New Roman" w:hAnsi="Times New Roman" w:cs="Times New Roman"/>
          <w:sz w:val="24"/>
          <w:szCs w:val="24"/>
        </w:rPr>
        <w:t xml:space="preserve">, «Renaissance Quarterly», </w:t>
      </w:r>
      <w:r>
        <w:rPr>
          <w:rFonts w:ascii="Times New Roman" w:hAnsi="Times New Roman" w:cs="Times New Roman"/>
          <w:sz w:val="24"/>
          <w:szCs w:val="24"/>
        </w:rPr>
        <w:t>LIV</w:t>
      </w:r>
      <w:r w:rsidRPr="00485CB4">
        <w:rPr>
          <w:rFonts w:ascii="Times New Roman" w:hAnsi="Times New Roman" w:cs="Times New Roman"/>
          <w:sz w:val="24"/>
          <w:szCs w:val="24"/>
        </w:rPr>
        <w:t>, 2001, pp. 1074-1107.</w:t>
      </w:r>
    </w:p>
    <w:p w14:paraId="57ED660F" w14:textId="77777777" w:rsidR="00796A9D" w:rsidRPr="00485CB4" w:rsidRDefault="00796A9D" w:rsidP="00796A9D">
      <w:pPr>
        <w:spacing w:after="0"/>
        <w:jc w:val="both"/>
        <w:rPr>
          <w:rFonts w:ascii="Times New Roman" w:hAnsi="Times New Roman" w:cs="Times New Roman"/>
          <w:smallCaps/>
          <w:sz w:val="24"/>
          <w:szCs w:val="24"/>
        </w:rPr>
      </w:pPr>
    </w:p>
    <w:p w14:paraId="497130F4"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J. Bryce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«Fa finire uno bello studio e dice volere studiare». Ippolita Sforza and her Books</w:t>
      </w:r>
      <w:r w:rsidRPr="00BA2DBB">
        <w:rPr>
          <w:rFonts w:ascii="Times New Roman" w:hAnsi="Times New Roman" w:cs="Times New Roman"/>
          <w:sz w:val="24"/>
          <w:szCs w:val="24"/>
        </w:rPr>
        <w:t>, «Bibliothèque d’Humanisme et Renaissance», LXIV, 20</w:t>
      </w:r>
      <w:r>
        <w:rPr>
          <w:rFonts w:ascii="Times New Roman" w:hAnsi="Times New Roman" w:cs="Times New Roman"/>
          <w:sz w:val="24"/>
          <w:szCs w:val="24"/>
        </w:rPr>
        <w:t>0</w:t>
      </w:r>
      <w:r w:rsidRPr="00BA2DBB">
        <w:rPr>
          <w:rFonts w:ascii="Times New Roman" w:hAnsi="Times New Roman" w:cs="Times New Roman"/>
          <w:sz w:val="24"/>
          <w:szCs w:val="24"/>
        </w:rPr>
        <w:t>2, pp. 55-70.</w:t>
      </w:r>
    </w:p>
    <w:p w14:paraId="166FE2E0" w14:textId="77777777" w:rsidR="00796A9D" w:rsidRDefault="00796A9D" w:rsidP="00796A9D">
      <w:pPr>
        <w:spacing w:after="0"/>
        <w:jc w:val="both"/>
        <w:rPr>
          <w:rFonts w:ascii="Times New Roman" w:hAnsi="Times New Roman" w:cs="Times New Roman"/>
          <w:smallCaps/>
          <w:sz w:val="24"/>
          <w:szCs w:val="24"/>
        </w:rPr>
      </w:pPr>
    </w:p>
    <w:p w14:paraId="5D5F63DF"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 Caciorgna</w:t>
      </w:r>
      <w:r w:rsidRPr="00BA2DBB">
        <w:rPr>
          <w:rFonts w:ascii="Times New Roman" w:hAnsi="Times New Roman" w:cs="Times New Roman"/>
          <w:sz w:val="24"/>
          <w:szCs w:val="24"/>
        </w:rPr>
        <w:t xml:space="preserve">, «Mortalis aemulor arte deos». </w:t>
      </w:r>
      <w:r w:rsidRPr="00BA2DBB">
        <w:rPr>
          <w:rFonts w:ascii="Times New Roman" w:hAnsi="Times New Roman" w:cs="Times New Roman"/>
          <w:i/>
          <w:sz w:val="24"/>
          <w:szCs w:val="24"/>
        </w:rPr>
        <w:t>Umanisti e arti figurative a Siena tra Pio II e Pio III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Pio II e le arti. La riscoperta dell’antico da Federighi a Michelangelo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A. Angelini</w:t>
      </w:r>
      <w:r w:rsidRPr="00BA2DBB">
        <w:rPr>
          <w:rFonts w:ascii="Times New Roman" w:hAnsi="Times New Roman" w:cs="Times New Roman"/>
          <w:sz w:val="24"/>
          <w:szCs w:val="24"/>
        </w:rPr>
        <w:t xml:space="preserve">, Cinisello Balsamo, Silvana, 2005, pp. 151-182.  </w:t>
      </w:r>
    </w:p>
    <w:p w14:paraId="2F873A34" w14:textId="77777777" w:rsidR="00796A9D" w:rsidRDefault="00796A9D" w:rsidP="00796A9D">
      <w:pPr>
        <w:spacing w:after="0"/>
        <w:jc w:val="both"/>
        <w:rPr>
          <w:rFonts w:ascii="Times New Roman" w:hAnsi="Times New Roman" w:cs="Times New Roman"/>
          <w:smallCaps/>
          <w:sz w:val="24"/>
          <w:szCs w:val="24"/>
        </w:rPr>
      </w:pPr>
    </w:p>
    <w:p w14:paraId="71D0AEB6"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Cadei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Studi di Miniatura Lombarda. Giovannino de’ Grassi, Belbello da Pavia</w:t>
      </w:r>
      <w:r w:rsidRPr="00BA2DBB">
        <w:rPr>
          <w:rFonts w:ascii="Times New Roman" w:hAnsi="Times New Roman" w:cs="Times New Roman"/>
          <w:sz w:val="24"/>
          <w:szCs w:val="24"/>
        </w:rPr>
        <w:t xml:space="preserve">, Roma, Viella, 1984. </w:t>
      </w:r>
    </w:p>
    <w:p w14:paraId="6DCB6371" w14:textId="77777777" w:rsidR="00796A9D" w:rsidRDefault="00796A9D" w:rsidP="00796A9D">
      <w:pPr>
        <w:spacing w:after="0"/>
        <w:jc w:val="both"/>
        <w:rPr>
          <w:rFonts w:ascii="Times New Roman" w:hAnsi="Times New Roman" w:cs="Times New Roman"/>
          <w:sz w:val="24"/>
          <w:szCs w:val="24"/>
        </w:rPr>
      </w:pPr>
    </w:p>
    <w:p w14:paraId="2EB2D279" w14:textId="77777777" w:rsidR="00796A9D" w:rsidRDefault="00796A9D" w:rsidP="00796A9D">
      <w:pPr>
        <w:spacing w:after="0"/>
        <w:jc w:val="both"/>
        <w:rPr>
          <w:rFonts w:ascii="Times New Roman" w:hAnsi="Times New Roman" w:cs="Times New Roman"/>
          <w:sz w:val="24"/>
          <w:szCs w:val="24"/>
        </w:rPr>
      </w:pPr>
      <w:r w:rsidRPr="00C355C4">
        <w:rPr>
          <w:rFonts w:ascii="Times New Roman" w:hAnsi="Times New Roman" w:cs="Times New Roman"/>
          <w:smallCaps/>
          <w:sz w:val="24"/>
          <w:szCs w:val="24"/>
        </w:rPr>
        <w:t>F. Calvi</w:t>
      </w:r>
      <w:r w:rsidRPr="00C355C4">
        <w:rPr>
          <w:rFonts w:ascii="Times New Roman" w:hAnsi="Times New Roman" w:cs="Times New Roman"/>
          <w:sz w:val="24"/>
          <w:szCs w:val="24"/>
        </w:rPr>
        <w:t xml:space="preserve">, </w:t>
      </w:r>
      <w:r w:rsidRPr="00C355C4">
        <w:rPr>
          <w:rFonts w:ascii="Times New Roman" w:hAnsi="Times New Roman" w:cs="Times New Roman"/>
          <w:i/>
          <w:sz w:val="24"/>
          <w:szCs w:val="24"/>
        </w:rPr>
        <w:t>Bianca Maria Sforza. Regina dei Romani, Imperatrice germanica e gli ambasciatori di Lodovico il Moro alla corte cesarea secondo nuovi documenti</w:t>
      </w:r>
      <w:r w:rsidRPr="00C355C4">
        <w:rPr>
          <w:rFonts w:ascii="Times New Roman" w:hAnsi="Times New Roman" w:cs="Times New Roman"/>
          <w:sz w:val="24"/>
          <w:szCs w:val="24"/>
        </w:rPr>
        <w:t>, Milano, Vallardi, 1888.</w:t>
      </w:r>
    </w:p>
    <w:p w14:paraId="1D413F81" w14:textId="77777777" w:rsidR="00796A9D" w:rsidRDefault="00796A9D" w:rsidP="00796A9D">
      <w:pPr>
        <w:spacing w:after="0"/>
        <w:jc w:val="both"/>
        <w:rPr>
          <w:rFonts w:ascii="Times New Roman" w:hAnsi="Times New Roman" w:cs="Times New Roman"/>
          <w:sz w:val="24"/>
          <w:szCs w:val="24"/>
        </w:rPr>
      </w:pPr>
    </w:p>
    <w:p w14:paraId="6B2DFFA4" w14:textId="77777777" w:rsidR="00796A9D" w:rsidRPr="00587F4A" w:rsidRDefault="00796A9D" w:rsidP="00796A9D">
      <w:pPr>
        <w:spacing w:after="0"/>
        <w:jc w:val="both"/>
        <w:rPr>
          <w:rFonts w:ascii="Times New Roman" w:hAnsi="Times New Roman" w:cs="Times New Roman"/>
          <w:sz w:val="24"/>
          <w:szCs w:val="24"/>
        </w:rPr>
      </w:pPr>
      <w:r w:rsidRPr="00587F4A">
        <w:rPr>
          <w:rFonts w:ascii="Times New Roman" w:hAnsi="Times New Roman" w:cs="Times New Roman"/>
          <w:smallCaps/>
          <w:sz w:val="24"/>
          <w:szCs w:val="24"/>
        </w:rPr>
        <w:t>C. Cambel</w:t>
      </w:r>
      <w:r w:rsidRPr="00587F4A">
        <w:rPr>
          <w:rFonts w:ascii="Times New Roman" w:hAnsi="Times New Roman" w:cs="Times New Roman"/>
          <w:sz w:val="24"/>
          <w:szCs w:val="24"/>
        </w:rPr>
        <w:t xml:space="preserve">, </w:t>
      </w:r>
      <w:r w:rsidRPr="00587F4A">
        <w:rPr>
          <w:rFonts w:ascii="Times New Roman" w:hAnsi="Times New Roman" w:cs="Times New Roman"/>
          <w:i/>
          <w:sz w:val="24"/>
          <w:szCs w:val="24"/>
        </w:rPr>
        <w:t>Love and Marriage in Renaissance Florence. The Courtauld Wedding Chest</w:t>
      </w:r>
      <w:r w:rsidRPr="00587F4A">
        <w:rPr>
          <w:rFonts w:ascii="Times New Roman" w:hAnsi="Times New Roman" w:cs="Times New Roman"/>
          <w:sz w:val="24"/>
          <w:szCs w:val="24"/>
        </w:rPr>
        <w:t>, Catalogo della mostra (Londra, 12 febbraio-17 maggio 2009), London, Holberton, 2009.</w:t>
      </w:r>
    </w:p>
    <w:p w14:paraId="5EB5373A" w14:textId="77777777" w:rsidR="00796A9D" w:rsidRDefault="00796A9D" w:rsidP="00796A9D">
      <w:pPr>
        <w:spacing w:after="0"/>
        <w:jc w:val="both"/>
        <w:rPr>
          <w:rFonts w:ascii="Times New Roman" w:hAnsi="Times New Roman" w:cs="Times New Roman"/>
          <w:smallCaps/>
          <w:sz w:val="24"/>
          <w:szCs w:val="24"/>
        </w:rPr>
      </w:pPr>
    </w:p>
    <w:p w14:paraId="6914A7A0"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Canova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biblioteche dei Gonzaga nella seconda metà del Quattrocento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Principi e Signori. Le Biblioteche nella seconda metà del Quattrocento</w:t>
      </w:r>
      <w:r w:rsidRPr="00BA2DBB">
        <w:rPr>
          <w:rFonts w:ascii="Times New Roman" w:hAnsi="Times New Roman" w:cs="Times New Roman"/>
          <w:sz w:val="24"/>
          <w:szCs w:val="24"/>
        </w:rPr>
        <w:t xml:space="preserve">. Atti del Convegno (Urbino, 5-6 giugno 2008), a cura di </w:t>
      </w:r>
      <w:r w:rsidRPr="00BA2DBB">
        <w:rPr>
          <w:rFonts w:ascii="Times New Roman" w:hAnsi="Times New Roman" w:cs="Times New Roman"/>
          <w:smallCaps/>
          <w:sz w:val="24"/>
          <w:szCs w:val="24"/>
        </w:rPr>
        <w:t>G. Arbizzoni, C. Bianca, M. Peruzzi</w:t>
      </w:r>
      <w:r w:rsidRPr="00BA2DBB">
        <w:rPr>
          <w:rFonts w:ascii="Times New Roman" w:hAnsi="Times New Roman" w:cs="Times New Roman"/>
          <w:sz w:val="24"/>
          <w:szCs w:val="24"/>
        </w:rPr>
        <w:t>, Urbino, Accademia Raffaello, 2008, pp. 39-66.</w:t>
      </w:r>
    </w:p>
    <w:p w14:paraId="586F931E" w14:textId="77777777" w:rsidR="00796A9D" w:rsidRDefault="00796A9D" w:rsidP="00796A9D">
      <w:pPr>
        <w:spacing w:after="0"/>
        <w:jc w:val="both"/>
        <w:rPr>
          <w:rFonts w:ascii="Times New Roman" w:hAnsi="Times New Roman" w:cs="Times New Roman"/>
          <w:smallCaps/>
          <w:sz w:val="24"/>
          <w:szCs w:val="24"/>
        </w:rPr>
      </w:pPr>
    </w:p>
    <w:p w14:paraId="4B6BD89D"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Canova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Paul Butzbach organista, Andrea Torresani mercante e le letture del marchese Federico Gonzaga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 xml:space="preserve">Mantova e il Rinascimento italiano. Studi in onore di Davis S. Chambers, </w:t>
      </w:r>
      <w:r w:rsidRPr="00BA2DBB">
        <w:rPr>
          <w:rFonts w:ascii="Times New Roman" w:hAnsi="Times New Roman" w:cs="Times New Roman"/>
          <w:sz w:val="24"/>
          <w:szCs w:val="24"/>
        </w:rPr>
        <w:t xml:space="preserve">a cura di </w:t>
      </w:r>
      <w:r w:rsidRPr="00BA2DBB">
        <w:rPr>
          <w:rFonts w:ascii="Times New Roman" w:hAnsi="Times New Roman" w:cs="Times New Roman"/>
          <w:smallCaps/>
          <w:sz w:val="24"/>
          <w:szCs w:val="24"/>
        </w:rPr>
        <w:t>G.</w:t>
      </w:r>
      <w:r w:rsidRPr="00BA2DBB">
        <w:rPr>
          <w:rFonts w:ascii="Times New Roman" w:hAnsi="Times New Roman" w:cs="Times New Roman"/>
          <w:i/>
          <w:smallCaps/>
          <w:sz w:val="24"/>
          <w:szCs w:val="24"/>
        </w:rPr>
        <w:t xml:space="preserve"> </w:t>
      </w:r>
      <w:r w:rsidRPr="00BA2DBB">
        <w:rPr>
          <w:rFonts w:ascii="Times New Roman" w:hAnsi="Times New Roman" w:cs="Times New Roman"/>
          <w:smallCaps/>
          <w:sz w:val="24"/>
          <w:szCs w:val="24"/>
        </w:rPr>
        <w:t>Rebecchini</w:t>
      </w:r>
      <w:r w:rsidRPr="00BA2DBB">
        <w:rPr>
          <w:rFonts w:ascii="Times New Roman" w:hAnsi="Times New Roman" w:cs="Times New Roman"/>
          <w:sz w:val="24"/>
          <w:szCs w:val="24"/>
        </w:rPr>
        <w:t>,</w:t>
      </w:r>
      <w:r w:rsidRPr="00BA2DBB">
        <w:rPr>
          <w:rFonts w:ascii="Times New Roman" w:hAnsi="Times New Roman" w:cs="Times New Roman"/>
          <w:smallCaps/>
          <w:sz w:val="24"/>
          <w:szCs w:val="24"/>
        </w:rPr>
        <w:t xml:space="preserve"> P. Jackson</w:t>
      </w:r>
      <w:r w:rsidRPr="00BA2DBB">
        <w:rPr>
          <w:rFonts w:ascii="Times New Roman" w:hAnsi="Times New Roman" w:cs="Times New Roman"/>
          <w:sz w:val="24"/>
          <w:szCs w:val="24"/>
        </w:rPr>
        <w:t>, Mantova, Sometti, 2011, pp. 25- 36.</w:t>
      </w:r>
    </w:p>
    <w:p w14:paraId="0361DC66" w14:textId="77777777" w:rsidR="00796A9D" w:rsidRDefault="00796A9D" w:rsidP="00796A9D">
      <w:pPr>
        <w:spacing w:after="0"/>
        <w:jc w:val="both"/>
        <w:rPr>
          <w:rFonts w:ascii="Times New Roman" w:hAnsi="Times New Roman" w:cs="Times New Roman"/>
          <w:smallCaps/>
          <w:sz w:val="24"/>
          <w:szCs w:val="24"/>
        </w:rPr>
      </w:pPr>
    </w:p>
    <w:p w14:paraId="5C50F4F8"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Canova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Un taccuino per gli inizi della tipografia mantovana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Tipografia a Mantova nel Quattrocento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Idem, P. Di Viesti</w:t>
      </w:r>
      <w:r w:rsidRPr="00BA2DBB">
        <w:rPr>
          <w:rFonts w:ascii="Times New Roman" w:hAnsi="Times New Roman" w:cs="Times New Roman"/>
          <w:sz w:val="24"/>
          <w:szCs w:val="24"/>
        </w:rPr>
        <w:t xml:space="preserve">, Mantova, Publi Paolini, 2014, pp. 11-28.   </w:t>
      </w:r>
    </w:p>
    <w:p w14:paraId="28D2A59D" w14:textId="77777777" w:rsidR="00796A9D" w:rsidRDefault="00796A9D" w:rsidP="00796A9D">
      <w:pPr>
        <w:spacing w:after="0"/>
        <w:jc w:val="both"/>
        <w:rPr>
          <w:rFonts w:ascii="Times New Roman" w:hAnsi="Times New Roman" w:cs="Times New Roman"/>
          <w:smallCaps/>
          <w:sz w:val="24"/>
          <w:szCs w:val="24"/>
        </w:rPr>
      </w:pPr>
    </w:p>
    <w:p w14:paraId="34283182"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G.M. Canova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Guglielmo Giraldi miniatore estense</w:t>
      </w:r>
      <w:r w:rsidRPr="00BA2DBB">
        <w:rPr>
          <w:rFonts w:ascii="Times New Roman" w:hAnsi="Times New Roman" w:cs="Times New Roman"/>
          <w:sz w:val="24"/>
          <w:szCs w:val="24"/>
        </w:rPr>
        <w:t>, Modena, Franco Cosimo Panini, 1995.</w:t>
      </w:r>
    </w:p>
    <w:p w14:paraId="050007EB" w14:textId="77777777" w:rsidR="00796A9D" w:rsidRPr="00BA2DBB" w:rsidRDefault="00796A9D" w:rsidP="00796A9D">
      <w:pPr>
        <w:spacing w:after="0"/>
        <w:jc w:val="both"/>
        <w:rPr>
          <w:rFonts w:ascii="Times New Roman" w:hAnsi="Times New Roman" w:cs="Times New Roman"/>
          <w:sz w:val="24"/>
          <w:szCs w:val="24"/>
        </w:rPr>
      </w:pPr>
    </w:p>
    <w:p w14:paraId="6D3C84FB"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G. Cappelli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Giovanni Brancato e una sua inedita orazione politica</w:t>
      </w:r>
      <w:r w:rsidRPr="00BA2DBB">
        <w:rPr>
          <w:rFonts w:ascii="Times New Roman" w:hAnsi="Times New Roman" w:cs="Times New Roman"/>
          <w:sz w:val="24"/>
          <w:szCs w:val="24"/>
        </w:rPr>
        <w:t>, «Filologia e critica», XXVII, 2002, pp. 64-76.</w:t>
      </w:r>
    </w:p>
    <w:p w14:paraId="45C67D61" w14:textId="77777777" w:rsidR="00796A9D" w:rsidRPr="00BA2DBB" w:rsidRDefault="00796A9D" w:rsidP="00796A9D">
      <w:pPr>
        <w:pStyle w:val="Testonotaapidipagina"/>
        <w:jc w:val="both"/>
        <w:rPr>
          <w:rFonts w:ascii="Times New Roman" w:hAnsi="Times New Roman" w:cs="Times New Roman"/>
          <w:sz w:val="24"/>
          <w:szCs w:val="24"/>
        </w:rPr>
      </w:pPr>
    </w:p>
    <w:p w14:paraId="6AC4D72A"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Cappelli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L’umanesimo italiano da Petrarca a Valla</w:t>
      </w:r>
      <w:r w:rsidRPr="00BA2DBB">
        <w:rPr>
          <w:rFonts w:ascii="Times New Roman" w:hAnsi="Times New Roman" w:cs="Times New Roman"/>
          <w:sz w:val="24"/>
          <w:szCs w:val="24"/>
        </w:rPr>
        <w:t>, Roma, Carocci, 2007.</w:t>
      </w:r>
    </w:p>
    <w:p w14:paraId="1C7F59CD" w14:textId="77777777" w:rsidR="00796A9D" w:rsidRDefault="00796A9D" w:rsidP="00796A9D">
      <w:pPr>
        <w:spacing w:after="0"/>
        <w:jc w:val="both"/>
        <w:rPr>
          <w:rFonts w:ascii="Times New Roman" w:hAnsi="Times New Roman" w:cs="Times New Roman"/>
          <w:smallCaps/>
          <w:sz w:val="24"/>
          <w:szCs w:val="24"/>
        </w:rPr>
      </w:pPr>
    </w:p>
    <w:p w14:paraId="5CA4C48B"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E. Cardelli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Copisti a Roma nel Quattrocento</w:t>
      </w:r>
      <w:r w:rsidRPr="00BA2DBB">
        <w:rPr>
          <w:rFonts w:ascii="Times New Roman" w:hAnsi="Times New Roman" w:cs="Times New Roman"/>
          <w:sz w:val="24"/>
          <w:szCs w:val="24"/>
        </w:rPr>
        <w:t>, Roma, Viella, 2006.</w:t>
      </w:r>
    </w:p>
    <w:p w14:paraId="3814F5BE" w14:textId="77777777" w:rsidR="00796A9D" w:rsidRDefault="00796A9D" w:rsidP="00796A9D">
      <w:pPr>
        <w:spacing w:after="0"/>
        <w:jc w:val="both"/>
        <w:rPr>
          <w:rFonts w:ascii="Times New Roman" w:hAnsi="Times New Roman" w:cs="Times New Roman"/>
          <w:smallCaps/>
          <w:sz w:val="24"/>
          <w:szCs w:val="24"/>
        </w:rPr>
      </w:pPr>
    </w:p>
    <w:p w14:paraId="17244D6C" w14:textId="77777777" w:rsidR="00796A9D" w:rsidRPr="00CE7CE6" w:rsidRDefault="00796A9D" w:rsidP="00796A9D">
      <w:pPr>
        <w:spacing w:after="0"/>
        <w:jc w:val="both"/>
        <w:rPr>
          <w:rFonts w:ascii="Times New Roman" w:hAnsi="Times New Roman" w:cs="Times New Roman"/>
          <w:sz w:val="24"/>
          <w:szCs w:val="24"/>
        </w:rPr>
      </w:pPr>
      <w:r w:rsidRPr="00CE7CE6">
        <w:rPr>
          <w:rFonts w:ascii="Times New Roman" w:hAnsi="Times New Roman" w:cs="Times New Roman"/>
          <w:smallCaps/>
          <w:sz w:val="24"/>
          <w:szCs w:val="24"/>
        </w:rPr>
        <w:t>F. Cardini</w:t>
      </w:r>
      <w:r w:rsidRPr="00CE7CE6">
        <w:rPr>
          <w:rFonts w:ascii="Times New Roman" w:hAnsi="Times New Roman" w:cs="Times New Roman"/>
          <w:sz w:val="24"/>
          <w:szCs w:val="24"/>
        </w:rPr>
        <w:t xml:space="preserve">, </w:t>
      </w:r>
      <w:r w:rsidRPr="00CE7CE6">
        <w:rPr>
          <w:rFonts w:ascii="Times New Roman" w:hAnsi="Times New Roman" w:cs="Times New Roman"/>
          <w:i/>
          <w:sz w:val="24"/>
          <w:szCs w:val="24"/>
        </w:rPr>
        <w:t>L’acciar de’ cavalieri. Studi sulla cavalleria nel mondo toscano e italico (secc. XII-XV)</w:t>
      </w:r>
      <w:r w:rsidRPr="00CE7CE6">
        <w:rPr>
          <w:rFonts w:ascii="Times New Roman" w:hAnsi="Times New Roman" w:cs="Times New Roman"/>
          <w:sz w:val="24"/>
          <w:szCs w:val="24"/>
        </w:rPr>
        <w:t>, Firenze, Le Lettere, 1997.</w:t>
      </w:r>
    </w:p>
    <w:p w14:paraId="66BAE214" w14:textId="77777777" w:rsidR="00796A9D" w:rsidRDefault="00796A9D" w:rsidP="00796A9D">
      <w:pPr>
        <w:spacing w:after="0"/>
        <w:jc w:val="both"/>
        <w:rPr>
          <w:rFonts w:ascii="Times New Roman" w:hAnsi="Times New Roman" w:cs="Times New Roman"/>
          <w:sz w:val="24"/>
          <w:szCs w:val="24"/>
        </w:rPr>
      </w:pPr>
    </w:p>
    <w:p w14:paraId="2A7FFBCC" w14:textId="77777777" w:rsidR="00796A9D" w:rsidRPr="00CB01B5" w:rsidRDefault="00796A9D" w:rsidP="00796A9D">
      <w:pPr>
        <w:spacing w:after="0"/>
        <w:jc w:val="both"/>
        <w:rPr>
          <w:rFonts w:ascii="Times New Roman" w:hAnsi="Times New Roman" w:cs="Times New Roman"/>
          <w:sz w:val="24"/>
          <w:szCs w:val="24"/>
        </w:rPr>
      </w:pPr>
      <w:r w:rsidRPr="00CB01B5">
        <w:rPr>
          <w:rFonts w:ascii="Times New Roman" w:hAnsi="Times New Roman" w:cs="Times New Roman"/>
          <w:smallCaps/>
          <w:sz w:val="24"/>
          <w:szCs w:val="24"/>
        </w:rPr>
        <w:t>G. Carra</w:t>
      </w:r>
      <w:r w:rsidRPr="00CB01B5">
        <w:rPr>
          <w:rFonts w:ascii="Times New Roman" w:hAnsi="Times New Roman" w:cs="Times New Roman"/>
          <w:sz w:val="24"/>
          <w:szCs w:val="24"/>
        </w:rPr>
        <w:t xml:space="preserve">, </w:t>
      </w:r>
      <w:r w:rsidRPr="00CB01B5">
        <w:rPr>
          <w:rFonts w:ascii="Times New Roman" w:hAnsi="Times New Roman" w:cs="Times New Roman"/>
          <w:i/>
          <w:sz w:val="24"/>
          <w:szCs w:val="24"/>
        </w:rPr>
        <w:t>Feste e pranzo di nozze di Maddalena Gonzaga (1489)</w:t>
      </w:r>
      <w:r w:rsidRPr="00CB01B5">
        <w:rPr>
          <w:rFonts w:ascii="Times New Roman" w:hAnsi="Times New Roman" w:cs="Times New Roman"/>
          <w:sz w:val="24"/>
          <w:szCs w:val="24"/>
        </w:rPr>
        <w:t>, «Civiltà mantovana», VI, 1972, pp. 422-431.</w:t>
      </w:r>
    </w:p>
    <w:p w14:paraId="0AEB957B" w14:textId="77777777" w:rsidR="00796A9D" w:rsidRDefault="00796A9D" w:rsidP="00796A9D">
      <w:pPr>
        <w:spacing w:after="0"/>
        <w:jc w:val="both"/>
        <w:rPr>
          <w:rFonts w:ascii="Times New Roman" w:hAnsi="Times New Roman" w:cs="Times New Roman"/>
          <w:smallCaps/>
          <w:sz w:val="24"/>
          <w:szCs w:val="24"/>
        </w:rPr>
      </w:pPr>
    </w:p>
    <w:p w14:paraId="0AD25765"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E. Casamassima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Per una storia delle dottrine paleograﬁche dall’Umanesimo a Jean Mabillon</w:t>
      </w:r>
      <w:r w:rsidRPr="00BA2DBB">
        <w:rPr>
          <w:rFonts w:ascii="Times New Roman" w:hAnsi="Times New Roman" w:cs="Times New Roman"/>
          <w:sz w:val="24"/>
          <w:szCs w:val="24"/>
        </w:rPr>
        <w:t xml:space="preserve">, «Studi medievali», </w:t>
      </w:r>
      <w:r>
        <w:rPr>
          <w:rFonts w:ascii="Times New Roman" w:hAnsi="Times New Roman" w:cs="Times New Roman"/>
          <w:sz w:val="24"/>
          <w:szCs w:val="24"/>
        </w:rPr>
        <w:t>V</w:t>
      </w:r>
      <w:r w:rsidRPr="00BA2DBB">
        <w:rPr>
          <w:rFonts w:ascii="Times New Roman" w:hAnsi="Times New Roman" w:cs="Times New Roman"/>
          <w:sz w:val="24"/>
          <w:szCs w:val="24"/>
        </w:rPr>
        <w:t>, 1964, pp. 525–578.</w:t>
      </w:r>
    </w:p>
    <w:p w14:paraId="426F6AA6" w14:textId="77777777" w:rsidR="00796A9D" w:rsidRDefault="00796A9D" w:rsidP="00796A9D">
      <w:pPr>
        <w:spacing w:after="0"/>
        <w:jc w:val="both"/>
        <w:rPr>
          <w:rFonts w:ascii="Times New Roman" w:hAnsi="Times New Roman" w:cs="Times New Roman"/>
          <w:sz w:val="24"/>
          <w:szCs w:val="24"/>
        </w:rPr>
      </w:pPr>
    </w:p>
    <w:p w14:paraId="475B3B8B" w14:textId="77777777" w:rsidR="00796A9D" w:rsidRDefault="00796A9D" w:rsidP="00796A9D">
      <w:pPr>
        <w:pStyle w:val="Testonotaapidipagina"/>
        <w:jc w:val="both"/>
        <w:rPr>
          <w:rFonts w:ascii="Times New Roman" w:hAnsi="Times New Roman" w:cs="Times New Roman"/>
          <w:sz w:val="24"/>
          <w:szCs w:val="24"/>
        </w:rPr>
      </w:pPr>
      <w:r w:rsidRPr="00B56844">
        <w:rPr>
          <w:rFonts w:ascii="Times New Roman" w:hAnsi="Times New Roman" w:cs="Times New Roman"/>
          <w:smallCaps/>
          <w:sz w:val="24"/>
          <w:szCs w:val="24"/>
        </w:rPr>
        <w:t>E. Casini Ropa</w:t>
      </w:r>
      <w:r w:rsidRPr="00B56844">
        <w:rPr>
          <w:rFonts w:ascii="Times New Roman" w:hAnsi="Times New Roman" w:cs="Times New Roman"/>
          <w:i/>
          <w:sz w:val="24"/>
          <w:szCs w:val="24"/>
        </w:rPr>
        <w:t>, Il banchetto di Bergonzio Botta per le nozze di Isabella d’Aragona e Gian Galeazzo Sforza nel 1489: quando la storiografia si sostituisce alla storia</w:t>
      </w:r>
      <w:r w:rsidRPr="00B56844">
        <w:rPr>
          <w:rFonts w:ascii="Times New Roman" w:hAnsi="Times New Roman" w:cs="Times New Roman"/>
          <w:sz w:val="24"/>
          <w:szCs w:val="24"/>
        </w:rPr>
        <w:t xml:space="preserve">, in </w:t>
      </w:r>
      <w:r w:rsidRPr="00B56844">
        <w:rPr>
          <w:rFonts w:ascii="Times New Roman" w:hAnsi="Times New Roman" w:cs="Times New Roman"/>
          <w:i/>
          <w:sz w:val="24"/>
          <w:szCs w:val="24"/>
        </w:rPr>
        <w:t>Spettacoli conviviali dall’antichità classica alle corti italiane del ’400</w:t>
      </w:r>
      <w:r w:rsidRPr="00B56844">
        <w:rPr>
          <w:rFonts w:ascii="Times New Roman" w:hAnsi="Times New Roman" w:cs="Times New Roman"/>
          <w:sz w:val="24"/>
          <w:szCs w:val="24"/>
        </w:rPr>
        <w:t>, Atti del VII convegno di Studio del Centro studi sul teatro medioevale e rinascimentale, (Viterbo 27-30 maggio 1982), Viterbo, Union Printing, 1983, pp. 291-306.</w:t>
      </w:r>
    </w:p>
    <w:p w14:paraId="12082A27" w14:textId="77777777" w:rsidR="00796A9D" w:rsidRDefault="00796A9D" w:rsidP="00796A9D">
      <w:pPr>
        <w:pStyle w:val="Testonotaapidipagina"/>
        <w:jc w:val="both"/>
        <w:rPr>
          <w:rFonts w:ascii="Times New Roman" w:hAnsi="Times New Roman" w:cs="Times New Roman"/>
          <w:sz w:val="24"/>
          <w:szCs w:val="24"/>
        </w:rPr>
      </w:pPr>
    </w:p>
    <w:p w14:paraId="5E45C7CC" w14:textId="77777777" w:rsidR="00796A9D" w:rsidRDefault="00796A9D" w:rsidP="00796A9D">
      <w:pPr>
        <w:pStyle w:val="Nessunaspaziatura"/>
        <w:jc w:val="both"/>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 xml:space="preserve">P. </w:t>
      </w:r>
      <w:r>
        <w:rPr>
          <w:rFonts w:ascii="Times New Roman" w:hAnsi="Times New Roman" w:cs="Times New Roman"/>
          <w:bCs/>
          <w:smallCaps/>
          <w:color w:val="000000"/>
          <w:sz w:val="24"/>
          <w:szCs w:val="24"/>
          <w:shd w:val="clear" w:color="auto" w:fill="FFFFFF"/>
        </w:rPr>
        <w:t>Castelli</w:t>
      </w:r>
      <w:r>
        <w:rPr>
          <w:rFonts w:ascii="Times New Roman" w:hAnsi="Times New Roman" w:cs="Times New Roman"/>
          <w:bCs/>
          <w:color w:val="000000"/>
          <w:sz w:val="24"/>
          <w:szCs w:val="24"/>
          <w:shd w:val="clear" w:color="auto" w:fill="FFFFFF"/>
        </w:rPr>
        <w:t xml:space="preserve">, </w:t>
      </w:r>
      <w:r>
        <w:rPr>
          <w:rFonts w:ascii="Times New Roman" w:hAnsi="Times New Roman" w:cs="Times New Roman"/>
          <w:bCs/>
          <w:i/>
          <w:color w:val="000000"/>
          <w:sz w:val="24"/>
          <w:szCs w:val="24"/>
          <w:shd w:val="clear" w:color="auto" w:fill="FFFFFF"/>
        </w:rPr>
        <w:t>Cronache dei loro tempi. Le allegrezze degli Sforza di Pesaro 1445-1512</w:t>
      </w:r>
      <w:r>
        <w:rPr>
          <w:rFonts w:ascii="Times New Roman" w:hAnsi="Times New Roman" w:cs="Times New Roman"/>
          <w:bCs/>
          <w:color w:val="000000"/>
          <w:sz w:val="24"/>
          <w:szCs w:val="24"/>
          <w:shd w:val="clear" w:color="auto" w:fill="FFFFFF"/>
        </w:rPr>
        <w:t xml:space="preserve">, in </w:t>
      </w:r>
      <w:r>
        <w:rPr>
          <w:rFonts w:ascii="Times New Roman" w:hAnsi="Times New Roman" w:cs="Times New Roman"/>
          <w:bCs/>
          <w:i/>
          <w:color w:val="000000"/>
          <w:sz w:val="24"/>
          <w:szCs w:val="24"/>
          <w:shd w:val="clear" w:color="auto" w:fill="FFFFFF"/>
        </w:rPr>
        <w:t>Pesaro tra Medioevo e Rinascimento</w:t>
      </w:r>
      <w:r>
        <w:rPr>
          <w:rFonts w:ascii="Times New Roman" w:hAnsi="Times New Roman" w:cs="Times New Roman"/>
          <w:bCs/>
          <w:color w:val="000000"/>
          <w:sz w:val="24"/>
          <w:szCs w:val="24"/>
          <w:shd w:val="clear" w:color="auto" w:fill="FFFFFF"/>
        </w:rPr>
        <w:t xml:space="preserve">, a cura di M.R. </w:t>
      </w:r>
      <w:r>
        <w:rPr>
          <w:rFonts w:ascii="Times New Roman" w:hAnsi="Times New Roman" w:cs="Times New Roman"/>
          <w:bCs/>
          <w:smallCaps/>
          <w:color w:val="000000"/>
          <w:sz w:val="24"/>
          <w:szCs w:val="24"/>
          <w:shd w:val="clear" w:color="auto" w:fill="FFFFFF"/>
        </w:rPr>
        <w:t>Valazzi</w:t>
      </w:r>
      <w:r>
        <w:rPr>
          <w:rFonts w:ascii="Times New Roman" w:hAnsi="Times New Roman" w:cs="Times New Roman"/>
          <w:bCs/>
          <w:color w:val="000000"/>
          <w:sz w:val="24"/>
          <w:szCs w:val="24"/>
          <w:shd w:val="clear" w:color="auto" w:fill="FFFFFF"/>
        </w:rPr>
        <w:t>, Venezia, Marsilio Editore 1989, pp. 223-254.</w:t>
      </w:r>
    </w:p>
    <w:p w14:paraId="360ECEB4" w14:textId="77777777" w:rsidR="00796A9D" w:rsidRDefault="00796A9D" w:rsidP="00796A9D">
      <w:pPr>
        <w:pStyle w:val="Testonotaapidipagina"/>
        <w:jc w:val="both"/>
        <w:rPr>
          <w:rFonts w:ascii="Times New Roman" w:hAnsi="Times New Roman" w:cs="Times New Roman"/>
          <w:sz w:val="24"/>
          <w:szCs w:val="24"/>
        </w:rPr>
      </w:pPr>
    </w:p>
    <w:p w14:paraId="711C90F3" w14:textId="77777777" w:rsidR="00796A9D" w:rsidRPr="003A4B9A" w:rsidRDefault="00796A9D" w:rsidP="00796A9D">
      <w:pPr>
        <w:pStyle w:val="Testonotaapidipagina"/>
        <w:jc w:val="both"/>
        <w:rPr>
          <w:rFonts w:ascii="Times New Roman" w:hAnsi="Times New Roman" w:cs="Times New Roman"/>
          <w:sz w:val="24"/>
          <w:szCs w:val="24"/>
        </w:rPr>
      </w:pPr>
      <w:r w:rsidRPr="003A4B9A">
        <w:rPr>
          <w:rFonts w:ascii="Times New Roman" w:hAnsi="Times New Roman" w:cs="Times New Roman"/>
          <w:smallCaps/>
          <w:sz w:val="24"/>
          <w:szCs w:val="24"/>
        </w:rPr>
        <w:t>F. Catalano</w:t>
      </w:r>
      <w:r w:rsidRPr="003A4B9A">
        <w:rPr>
          <w:rFonts w:ascii="Times New Roman" w:hAnsi="Times New Roman" w:cs="Times New Roman"/>
          <w:sz w:val="24"/>
          <w:szCs w:val="24"/>
        </w:rPr>
        <w:t xml:space="preserve">, </w:t>
      </w:r>
      <w:r w:rsidRPr="003A4B9A">
        <w:rPr>
          <w:rFonts w:ascii="Times New Roman" w:hAnsi="Times New Roman" w:cs="Times New Roman"/>
          <w:i/>
          <w:sz w:val="24"/>
          <w:szCs w:val="24"/>
        </w:rPr>
        <w:t>Francesco Sforza</w:t>
      </w:r>
      <w:r w:rsidRPr="003A4B9A">
        <w:rPr>
          <w:rFonts w:ascii="Times New Roman" w:hAnsi="Times New Roman" w:cs="Times New Roman"/>
          <w:sz w:val="24"/>
          <w:szCs w:val="24"/>
        </w:rPr>
        <w:t xml:space="preserve">, Milano, Dall’Oglio, 1983. </w:t>
      </w:r>
    </w:p>
    <w:p w14:paraId="6FF1B801" w14:textId="77777777" w:rsidR="00796A9D" w:rsidRDefault="00796A9D" w:rsidP="00796A9D">
      <w:pPr>
        <w:spacing w:after="0"/>
        <w:jc w:val="both"/>
        <w:rPr>
          <w:rFonts w:ascii="Times New Roman" w:hAnsi="Times New Roman" w:cs="Times New Roman"/>
          <w:sz w:val="24"/>
          <w:szCs w:val="24"/>
        </w:rPr>
      </w:pPr>
    </w:p>
    <w:p w14:paraId="272CF6C6" w14:textId="77777777" w:rsidR="00796A9D" w:rsidRDefault="00796A9D" w:rsidP="00796A9D">
      <w:pPr>
        <w:spacing w:after="0"/>
        <w:jc w:val="both"/>
        <w:rPr>
          <w:rFonts w:ascii="Times New Roman" w:hAnsi="Times New Roman" w:cs="Times New Roman"/>
          <w:sz w:val="24"/>
          <w:szCs w:val="24"/>
        </w:rPr>
      </w:pPr>
      <w:r w:rsidRPr="00817FF7">
        <w:rPr>
          <w:rFonts w:ascii="Times New Roman" w:hAnsi="Times New Roman" w:cs="Times New Roman"/>
          <w:i/>
          <w:sz w:val="24"/>
          <w:szCs w:val="24"/>
        </w:rPr>
        <w:t>Catalogo del fondo italiano e latino delle opere di gastronomia sec XIV-XIX</w:t>
      </w:r>
      <w:r w:rsidRPr="00817FF7">
        <w:rPr>
          <w:rFonts w:ascii="Times New Roman" w:hAnsi="Times New Roman" w:cs="Times New Roman"/>
          <w:sz w:val="24"/>
          <w:szCs w:val="24"/>
        </w:rPr>
        <w:t xml:space="preserve">, a cura di </w:t>
      </w:r>
      <w:r w:rsidRPr="00817FF7">
        <w:rPr>
          <w:rFonts w:ascii="Times New Roman" w:hAnsi="Times New Roman" w:cs="Times New Roman"/>
          <w:smallCaps/>
          <w:sz w:val="24"/>
          <w:szCs w:val="24"/>
        </w:rPr>
        <w:t>O. Bagnasco</w:t>
      </w:r>
      <w:r w:rsidRPr="00817FF7">
        <w:rPr>
          <w:rFonts w:ascii="Times New Roman" w:hAnsi="Times New Roman" w:cs="Times New Roman"/>
          <w:sz w:val="24"/>
          <w:szCs w:val="24"/>
        </w:rPr>
        <w:t>, Sorengo, Edizioni B.IN.G, 1994, vol. II.</w:t>
      </w:r>
    </w:p>
    <w:p w14:paraId="0303DFE0" w14:textId="77777777" w:rsidR="00796A9D" w:rsidRDefault="00796A9D" w:rsidP="00796A9D">
      <w:pPr>
        <w:spacing w:after="0"/>
        <w:jc w:val="both"/>
        <w:rPr>
          <w:rFonts w:ascii="Times New Roman" w:hAnsi="Times New Roman" w:cs="Times New Roman"/>
          <w:sz w:val="24"/>
          <w:szCs w:val="24"/>
        </w:rPr>
      </w:pPr>
    </w:p>
    <w:p w14:paraId="46B054F7" w14:textId="77777777" w:rsidR="00796A9D" w:rsidRPr="008F6259" w:rsidRDefault="00796A9D" w:rsidP="00796A9D">
      <w:pPr>
        <w:spacing w:after="0"/>
        <w:jc w:val="both"/>
        <w:rPr>
          <w:rFonts w:ascii="Times New Roman" w:hAnsi="Times New Roman" w:cs="Times New Roman"/>
          <w:sz w:val="24"/>
          <w:szCs w:val="24"/>
        </w:rPr>
      </w:pPr>
      <w:r w:rsidRPr="008F6259">
        <w:rPr>
          <w:rFonts w:ascii="Times New Roman" w:hAnsi="Times New Roman" w:cs="Times New Roman"/>
          <w:smallCaps/>
          <w:sz w:val="24"/>
          <w:szCs w:val="24"/>
        </w:rPr>
        <w:t>E. Cattaneo</w:t>
      </w:r>
      <w:r w:rsidRPr="008F6259">
        <w:rPr>
          <w:rFonts w:ascii="Times New Roman" w:hAnsi="Times New Roman" w:cs="Times New Roman"/>
          <w:sz w:val="24"/>
          <w:szCs w:val="24"/>
        </w:rPr>
        <w:t xml:space="preserve">, </w:t>
      </w:r>
      <w:r w:rsidRPr="008F6259">
        <w:rPr>
          <w:rFonts w:ascii="Times New Roman" w:hAnsi="Times New Roman" w:cs="Times New Roman"/>
          <w:i/>
          <w:sz w:val="24"/>
          <w:szCs w:val="24"/>
        </w:rPr>
        <w:t>Il clero e la cura pastorale nell’antico Duomo. S. Tecla</w:t>
      </w:r>
      <w:r w:rsidRPr="008F6259">
        <w:rPr>
          <w:rFonts w:ascii="Times New Roman" w:hAnsi="Times New Roman" w:cs="Times New Roman"/>
          <w:sz w:val="24"/>
          <w:szCs w:val="24"/>
        </w:rPr>
        <w:t xml:space="preserve">, «Archivio ambrosiano», </w:t>
      </w:r>
      <w:r>
        <w:rPr>
          <w:rFonts w:ascii="Times New Roman" w:hAnsi="Times New Roman" w:cs="Times New Roman"/>
          <w:sz w:val="24"/>
          <w:szCs w:val="24"/>
        </w:rPr>
        <w:t>IV</w:t>
      </w:r>
      <w:r w:rsidRPr="008F6259">
        <w:rPr>
          <w:rFonts w:ascii="Times New Roman" w:hAnsi="Times New Roman" w:cs="Times New Roman"/>
          <w:sz w:val="24"/>
          <w:szCs w:val="24"/>
        </w:rPr>
        <w:t>, 1950, pp. 5-22.</w:t>
      </w:r>
    </w:p>
    <w:p w14:paraId="75B8513C" w14:textId="77777777" w:rsidR="00796A9D" w:rsidRDefault="00796A9D" w:rsidP="00796A9D">
      <w:pPr>
        <w:spacing w:after="0"/>
        <w:jc w:val="both"/>
        <w:rPr>
          <w:rFonts w:ascii="Times New Roman" w:hAnsi="Times New Roman" w:cs="Times New Roman"/>
          <w:sz w:val="24"/>
          <w:szCs w:val="24"/>
        </w:rPr>
      </w:pPr>
    </w:p>
    <w:p w14:paraId="3B1162E8" w14:textId="77777777" w:rsidR="00796A9D" w:rsidRPr="0070006B" w:rsidRDefault="00796A9D" w:rsidP="00796A9D">
      <w:pPr>
        <w:pStyle w:val="Testonotaapidipagina"/>
        <w:jc w:val="both"/>
        <w:rPr>
          <w:sz w:val="24"/>
          <w:szCs w:val="24"/>
        </w:rPr>
      </w:pPr>
      <w:r w:rsidRPr="0070006B">
        <w:rPr>
          <w:rFonts w:ascii="Times New Roman" w:hAnsi="Times New Roman" w:cs="Times New Roman"/>
          <w:sz w:val="24"/>
          <w:szCs w:val="24"/>
        </w:rPr>
        <w:t xml:space="preserve">E. </w:t>
      </w:r>
      <w:r w:rsidRPr="0070006B">
        <w:rPr>
          <w:rFonts w:ascii="Times New Roman" w:hAnsi="Times New Roman" w:cs="Times New Roman"/>
          <w:smallCaps/>
          <w:sz w:val="24"/>
          <w:szCs w:val="24"/>
        </w:rPr>
        <w:t>Cattaneo</w:t>
      </w:r>
      <w:r w:rsidRPr="0070006B">
        <w:rPr>
          <w:rFonts w:ascii="Times New Roman" w:hAnsi="Times New Roman" w:cs="Times New Roman"/>
          <w:sz w:val="24"/>
          <w:szCs w:val="24"/>
        </w:rPr>
        <w:t xml:space="preserve">, </w:t>
      </w:r>
      <w:r w:rsidRPr="0070006B">
        <w:rPr>
          <w:rFonts w:ascii="Times New Roman" w:hAnsi="Times New Roman" w:cs="Times New Roman"/>
          <w:i/>
          <w:sz w:val="24"/>
          <w:szCs w:val="24"/>
        </w:rPr>
        <w:t>Appunti sui battisteri antichi di Milano</w:t>
      </w:r>
      <w:r w:rsidRPr="0070006B">
        <w:rPr>
          <w:rFonts w:ascii="Times New Roman" w:hAnsi="Times New Roman" w:cs="Times New Roman"/>
          <w:sz w:val="24"/>
          <w:szCs w:val="24"/>
        </w:rPr>
        <w:t>, «Istituto Lombardo Accademia di Scienze e Lettere. Rendiconti della Classe di Lettere», 103, 1969, pp. 849-864</w:t>
      </w:r>
      <w:r w:rsidRPr="0070006B">
        <w:rPr>
          <w:sz w:val="24"/>
          <w:szCs w:val="24"/>
        </w:rPr>
        <w:t>.</w:t>
      </w:r>
    </w:p>
    <w:p w14:paraId="250C3EB7" w14:textId="77777777" w:rsidR="00796A9D" w:rsidRDefault="00796A9D" w:rsidP="00796A9D">
      <w:pPr>
        <w:spacing w:after="0"/>
        <w:jc w:val="both"/>
        <w:rPr>
          <w:rFonts w:ascii="Times New Roman" w:hAnsi="Times New Roman" w:cs="Times New Roman"/>
          <w:smallCaps/>
          <w:sz w:val="24"/>
          <w:szCs w:val="24"/>
        </w:rPr>
      </w:pPr>
    </w:p>
    <w:p w14:paraId="61CEC38D"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C.S. Celenza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Creating Canons in Fifteenth-Century Ferrara: Angelo Decembrio’s</w:t>
      </w:r>
      <w:r w:rsidRPr="00BA2DBB">
        <w:rPr>
          <w:rFonts w:ascii="Times New Roman" w:hAnsi="Times New Roman" w:cs="Times New Roman"/>
          <w:sz w:val="24"/>
          <w:szCs w:val="24"/>
        </w:rPr>
        <w:t xml:space="preserve"> De Politia litteraria,</w:t>
      </w:r>
      <w:r>
        <w:rPr>
          <w:rFonts w:ascii="Times New Roman" w:hAnsi="Times New Roman" w:cs="Times New Roman"/>
          <w:sz w:val="24"/>
          <w:szCs w:val="24"/>
        </w:rPr>
        <w:t xml:space="preserve"> </w:t>
      </w:r>
      <w:r w:rsidRPr="00BA2DBB">
        <w:rPr>
          <w:rFonts w:ascii="Times New Roman" w:hAnsi="Times New Roman" w:cs="Times New Roman"/>
          <w:i/>
          <w:sz w:val="24"/>
          <w:szCs w:val="24"/>
        </w:rPr>
        <w:t xml:space="preserve">1.10, </w:t>
      </w:r>
      <w:r w:rsidRPr="00BA2DBB">
        <w:rPr>
          <w:rFonts w:ascii="Times New Roman" w:hAnsi="Times New Roman" w:cs="Times New Roman"/>
          <w:sz w:val="24"/>
          <w:szCs w:val="24"/>
        </w:rPr>
        <w:t>«Renaissance Quarterly», LVII, Spring 2004, pp. 43-98.</w:t>
      </w:r>
    </w:p>
    <w:p w14:paraId="5430E697" w14:textId="77777777" w:rsidR="00796A9D" w:rsidRDefault="00796A9D" w:rsidP="00796A9D">
      <w:pPr>
        <w:spacing w:after="0"/>
        <w:jc w:val="both"/>
        <w:rPr>
          <w:rFonts w:ascii="Times New Roman" w:hAnsi="Times New Roman" w:cs="Times New Roman"/>
          <w:smallCaps/>
          <w:sz w:val="24"/>
          <w:szCs w:val="24"/>
        </w:rPr>
      </w:pPr>
    </w:p>
    <w:p w14:paraId="730B1E0C"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Cerboni Baiardi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Letture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Arbizzoni, T. Mattioli, A.T. Ossani</w:t>
      </w:r>
      <w:r w:rsidRPr="00BA2DBB">
        <w:rPr>
          <w:rFonts w:ascii="Times New Roman" w:hAnsi="Times New Roman" w:cs="Times New Roman"/>
          <w:sz w:val="24"/>
          <w:szCs w:val="24"/>
        </w:rPr>
        <w:t>, Manziana, Vecchiarelli, 2002.</w:t>
      </w:r>
    </w:p>
    <w:p w14:paraId="0C8CA17B" w14:textId="77777777" w:rsidR="00EA04F5" w:rsidRDefault="00EA04F5" w:rsidP="00796A9D">
      <w:pPr>
        <w:spacing w:after="0"/>
        <w:jc w:val="both"/>
        <w:rPr>
          <w:rFonts w:ascii="Times New Roman" w:hAnsi="Times New Roman" w:cs="Times New Roman"/>
          <w:sz w:val="24"/>
          <w:szCs w:val="24"/>
        </w:rPr>
      </w:pPr>
    </w:p>
    <w:p w14:paraId="0A1BAD8D" w14:textId="77777777" w:rsidR="00EA04F5" w:rsidRPr="00EA04F5" w:rsidRDefault="00EA04F5" w:rsidP="00796A9D">
      <w:pPr>
        <w:spacing w:after="0"/>
        <w:jc w:val="both"/>
        <w:rPr>
          <w:rFonts w:ascii="Times New Roman" w:hAnsi="Times New Roman" w:cs="Times New Roman"/>
          <w:sz w:val="24"/>
          <w:szCs w:val="24"/>
        </w:rPr>
      </w:pPr>
      <w:r w:rsidRPr="00EA04F5">
        <w:rPr>
          <w:rFonts w:ascii="Times New Roman" w:hAnsi="Times New Roman" w:cs="Times New Roman"/>
          <w:smallCaps/>
          <w:sz w:val="24"/>
          <w:szCs w:val="24"/>
        </w:rPr>
        <w:t>M. Ceresa</w:t>
      </w:r>
      <w:r w:rsidRPr="00EA04F5">
        <w:rPr>
          <w:rFonts w:ascii="Times New Roman" w:hAnsi="Times New Roman" w:cs="Times New Roman"/>
          <w:sz w:val="24"/>
          <w:szCs w:val="24"/>
        </w:rPr>
        <w:t xml:space="preserve">, </w:t>
      </w:r>
      <w:r w:rsidRPr="00EA04F5">
        <w:rPr>
          <w:rFonts w:ascii="Times New Roman" w:hAnsi="Times New Roman" w:cs="Times New Roman"/>
          <w:i/>
          <w:sz w:val="24"/>
          <w:szCs w:val="24"/>
        </w:rPr>
        <w:t>Andrea Fulvio erudito, antiquario e classicista</w:t>
      </w:r>
      <w:r w:rsidRPr="00EA04F5">
        <w:rPr>
          <w:rFonts w:ascii="Times New Roman" w:hAnsi="Times New Roman" w:cs="Times New Roman"/>
          <w:sz w:val="24"/>
          <w:szCs w:val="24"/>
        </w:rPr>
        <w:t xml:space="preserve">, in </w:t>
      </w:r>
      <w:r w:rsidRPr="00EA04F5">
        <w:rPr>
          <w:rFonts w:ascii="Times New Roman" w:hAnsi="Times New Roman" w:cs="Times New Roman"/>
          <w:i/>
          <w:sz w:val="24"/>
          <w:szCs w:val="24"/>
        </w:rPr>
        <w:t>Roma nella svolta tra Quattrocento e Cinquecento</w:t>
      </w:r>
      <w:r w:rsidRPr="00EA04F5">
        <w:rPr>
          <w:rFonts w:ascii="Times New Roman" w:hAnsi="Times New Roman" w:cs="Times New Roman"/>
          <w:sz w:val="24"/>
          <w:szCs w:val="24"/>
        </w:rPr>
        <w:t>, Atti del convegno internazionale di studi (Roma, 28-31 ottobre 1996), Roma, De Luca, 2004, pp. 143-150.</w:t>
      </w:r>
    </w:p>
    <w:p w14:paraId="62DDA0BC" w14:textId="77777777" w:rsidR="00796A9D" w:rsidRDefault="00796A9D" w:rsidP="00796A9D">
      <w:pPr>
        <w:spacing w:after="0"/>
        <w:jc w:val="both"/>
        <w:rPr>
          <w:rFonts w:ascii="Times New Roman" w:hAnsi="Times New Roman" w:cs="Times New Roman"/>
          <w:sz w:val="24"/>
          <w:szCs w:val="24"/>
        </w:rPr>
      </w:pPr>
    </w:p>
    <w:p w14:paraId="6B6C3412" w14:textId="77777777" w:rsidR="00796A9D" w:rsidRDefault="00796A9D" w:rsidP="00796A9D">
      <w:pPr>
        <w:pStyle w:val="Testonotaapidipagina"/>
        <w:jc w:val="both"/>
        <w:rPr>
          <w:rFonts w:ascii="Times New Roman" w:hAnsi="Times New Roman" w:cs="Times New Roman"/>
          <w:sz w:val="24"/>
          <w:szCs w:val="24"/>
        </w:rPr>
      </w:pPr>
      <w:r w:rsidRPr="00D20638">
        <w:rPr>
          <w:rFonts w:ascii="Times New Roman" w:hAnsi="Times New Roman" w:cs="Times New Roman"/>
          <w:smallCaps/>
          <w:sz w:val="24"/>
          <w:szCs w:val="24"/>
        </w:rPr>
        <w:t>M. Ceriana</w:t>
      </w:r>
      <w:r w:rsidRPr="00D20638">
        <w:rPr>
          <w:rFonts w:ascii="Times New Roman" w:hAnsi="Times New Roman" w:cs="Times New Roman"/>
          <w:sz w:val="24"/>
          <w:szCs w:val="24"/>
        </w:rPr>
        <w:t xml:space="preserve">, </w:t>
      </w:r>
      <w:r w:rsidRPr="00D20638">
        <w:rPr>
          <w:rFonts w:ascii="Times New Roman" w:hAnsi="Times New Roman" w:cs="Times New Roman"/>
          <w:i/>
          <w:sz w:val="24"/>
          <w:szCs w:val="24"/>
        </w:rPr>
        <w:t>Osservazioni sulle architetture plastiche o dipinte a Milano tra il 1470 e il 1520</w:t>
      </w:r>
      <w:r w:rsidRPr="00D20638">
        <w:rPr>
          <w:rFonts w:ascii="Times New Roman" w:hAnsi="Times New Roman" w:cs="Times New Roman"/>
          <w:sz w:val="24"/>
          <w:szCs w:val="24"/>
        </w:rPr>
        <w:t xml:space="preserve">, in </w:t>
      </w:r>
      <w:r w:rsidRPr="00D20638">
        <w:rPr>
          <w:rFonts w:ascii="Times New Roman" w:hAnsi="Times New Roman" w:cs="Times New Roman"/>
          <w:i/>
          <w:sz w:val="24"/>
          <w:szCs w:val="24"/>
        </w:rPr>
        <w:t>Bramante milanese e l’architettura del Rinascimento lombardo</w:t>
      </w:r>
      <w:r w:rsidRPr="00D20638">
        <w:rPr>
          <w:rFonts w:ascii="Times New Roman" w:hAnsi="Times New Roman" w:cs="Times New Roman"/>
          <w:sz w:val="24"/>
          <w:szCs w:val="24"/>
        </w:rPr>
        <w:t xml:space="preserve">, a cura di </w:t>
      </w:r>
      <w:r w:rsidRPr="00D20638">
        <w:rPr>
          <w:rFonts w:ascii="Times New Roman" w:hAnsi="Times New Roman" w:cs="Times New Roman"/>
          <w:smallCaps/>
          <w:sz w:val="24"/>
          <w:szCs w:val="24"/>
        </w:rPr>
        <w:t>C.L. Frommel, L. Giordano, R. Schofield</w:t>
      </w:r>
      <w:r w:rsidRPr="00D20638">
        <w:rPr>
          <w:rFonts w:ascii="Times New Roman" w:hAnsi="Times New Roman" w:cs="Times New Roman"/>
          <w:sz w:val="24"/>
          <w:szCs w:val="24"/>
        </w:rPr>
        <w:t>, Venezia, Marsilio, 2002, pp. 111-146.</w:t>
      </w:r>
    </w:p>
    <w:p w14:paraId="31168655" w14:textId="77777777" w:rsidR="00796A9D" w:rsidRDefault="00796A9D" w:rsidP="00796A9D">
      <w:pPr>
        <w:pStyle w:val="Testonotaapidipagina"/>
        <w:jc w:val="both"/>
        <w:rPr>
          <w:rFonts w:ascii="Times New Roman" w:hAnsi="Times New Roman" w:cs="Times New Roman"/>
          <w:sz w:val="24"/>
          <w:szCs w:val="24"/>
        </w:rPr>
      </w:pPr>
    </w:p>
    <w:p w14:paraId="482C4504" w14:textId="77777777" w:rsidR="00796A9D" w:rsidRPr="00CD2768" w:rsidRDefault="00796A9D" w:rsidP="00796A9D">
      <w:pPr>
        <w:pStyle w:val="Testonotaapidipagina"/>
        <w:jc w:val="both"/>
        <w:rPr>
          <w:rFonts w:ascii="Times New Roman" w:hAnsi="Times New Roman" w:cs="Times New Roman"/>
          <w:sz w:val="24"/>
          <w:szCs w:val="24"/>
        </w:rPr>
      </w:pPr>
      <w:r w:rsidRPr="00CD2768">
        <w:rPr>
          <w:rFonts w:ascii="Times New Roman" w:hAnsi="Times New Roman" w:cs="Times New Roman"/>
          <w:sz w:val="24"/>
          <w:szCs w:val="24"/>
        </w:rPr>
        <w:t xml:space="preserve">A. </w:t>
      </w:r>
      <w:r w:rsidRPr="00CD2768">
        <w:rPr>
          <w:rFonts w:ascii="Times New Roman" w:hAnsi="Times New Roman" w:cs="Times New Roman"/>
          <w:smallCaps/>
          <w:sz w:val="24"/>
          <w:szCs w:val="24"/>
        </w:rPr>
        <w:t>Ceruti</w:t>
      </w:r>
      <w:r w:rsidRPr="00CD2768">
        <w:rPr>
          <w:rFonts w:ascii="Times New Roman" w:hAnsi="Times New Roman" w:cs="Times New Roman"/>
          <w:sz w:val="24"/>
          <w:szCs w:val="24"/>
        </w:rPr>
        <w:t xml:space="preserve">, </w:t>
      </w:r>
      <w:r w:rsidRPr="0066564D">
        <w:rPr>
          <w:rStyle w:val="Enfasigrassetto"/>
          <w:rFonts w:ascii="Times New Roman" w:hAnsi="Times New Roman" w:cs="Times New Roman"/>
          <w:b w:val="0"/>
          <w:i/>
          <w:color w:val="000000"/>
          <w:sz w:val="24"/>
          <w:szCs w:val="24"/>
          <w:shd w:val="clear" w:color="auto" w:fill="FFFFFF"/>
        </w:rPr>
        <w:t>Il</w:t>
      </w:r>
      <w:r w:rsidRPr="00CD2768">
        <w:rPr>
          <w:rStyle w:val="Enfasigrassetto"/>
          <w:rFonts w:ascii="Times New Roman" w:hAnsi="Times New Roman" w:cs="Times New Roman"/>
          <w:i/>
          <w:color w:val="000000"/>
          <w:sz w:val="24"/>
          <w:szCs w:val="24"/>
          <w:shd w:val="clear" w:color="auto" w:fill="FFFFFF"/>
        </w:rPr>
        <w:t xml:space="preserve"> </w:t>
      </w:r>
      <w:r w:rsidRPr="00CD2768">
        <w:rPr>
          <w:rStyle w:val="apple-converted-space"/>
          <w:rFonts w:ascii="Times New Roman" w:hAnsi="Times New Roman" w:cs="Times New Roman"/>
          <w:bCs/>
          <w:i/>
          <w:color w:val="000000"/>
          <w:sz w:val="24"/>
          <w:szCs w:val="24"/>
          <w:shd w:val="clear" w:color="auto" w:fill="FFFFFF"/>
        </w:rPr>
        <w:t>corredo</w:t>
      </w:r>
      <w:r w:rsidRPr="00CD2768">
        <w:rPr>
          <w:rStyle w:val="Enfasigrassetto"/>
          <w:rFonts w:ascii="Times New Roman" w:hAnsi="Times New Roman" w:cs="Times New Roman"/>
          <w:i/>
          <w:color w:val="000000"/>
          <w:sz w:val="24"/>
          <w:szCs w:val="24"/>
          <w:shd w:val="clear" w:color="auto" w:fill="FFFFFF"/>
        </w:rPr>
        <w:t xml:space="preserve"> </w:t>
      </w:r>
      <w:r w:rsidRPr="0066564D">
        <w:rPr>
          <w:rStyle w:val="Enfasigrassetto"/>
          <w:rFonts w:ascii="Times New Roman" w:hAnsi="Times New Roman" w:cs="Times New Roman"/>
          <w:b w:val="0"/>
          <w:i/>
          <w:color w:val="000000"/>
          <w:sz w:val="24"/>
          <w:szCs w:val="24"/>
          <w:shd w:val="clear" w:color="auto" w:fill="FFFFFF"/>
        </w:rPr>
        <w:t>nuziale</w:t>
      </w:r>
      <w:r w:rsidRPr="00CD2768">
        <w:rPr>
          <w:rStyle w:val="Enfasigrassetto"/>
          <w:rFonts w:ascii="Times New Roman" w:hAnsi="Times New Roman" w:cs="Times New Roman"/>
          <w:i/>
          <w:color w:val="000000"/>
          <w:sz w:val="24"/>
          <w:szCs w:val="24"/>
          <w:shd w:val="clear" w:color="auto" w:fill="FFFFFF"/>
        </w:rPr>
        <w:t xml:space="preserve"> </w:t>
      </w:r>
      <w:r w:rsidRPr="0066564D">
        <w:rPr>
          <w:rStyle w:val="Enfasigrassetto"/>
          <w:rFonts w:ascii="Times New Roman" w:hAnsi="Times New Roman" w:cs="Times New Roman"/>
          <w:b w:val="0"/>
          <w:i/>
          <w:color w:val="000000"/>
          <w:sz w:val="24"/>
          <w:szCs w:val="24"/>
          <w:shd w:val="clear" w:color="auto" w:fill="FFFFFF"/>
        </w:rPr>
        <w:t>di</w:t>
      </w:r>
      <w:r w:rsidRPr="00CD2768">
        <w:rPr>
          <w:rStyle w:val="Enfasigrassetto"/>
          <w:rFonts w:ascii="Times New Roman" w:hAnsi="Times New Roman" w:cs="Times New Roman"/>
          <w:i/>
          <w:color w:val="000000"/>
          <w:sz w:val="24"/>
          <w:szCs w:val="24"/>
          <w:shd w:val="clear" w:color="auto" w:fill="FFFFFF"/>
        </w:rPr>
        <w:t xml:space="preserve"> </w:t>
      </w:r>
      <w:r w:rsidRPr="00CD2768">
        <w:rPr>
          <w:rStyle w:val="apple-converted-space"/>
          <w:rFonts w:ascii="Times New Roman" w:hAnsi="Times New Roman" w:cs="Times New Roman"/>
          <w:bCs/>
          <w:i/>
          <w:color w:val="000000"/>
          <w:sz w:val="24"/>
          <w:szCs w:val="24"/>
          <w:shd w:val="clear" w:color="auto" w:fill="FFFFFF"/>
        </w:rPr>
        <w:t>Bianca</w:t>
      </w:r>
      <w:r w:rsidRPr="00CD2768">
        <w:rPr>
          <w:rStyle w:val="Enfasigrassetto"/>
          <w:rFonts w:ascii="Times New Roman" w:hAnsi="Times New Roman" w:cs="Times New Roman"/>
          <w:i/>
          <w:color w:val="000000"/>
          <w:sz w:val="24"/>
          <w:szCs w:val="24"/>
          <w:shd w:val="clear" w:color="auto" w:fill="FFFFFF"/>
        </w:rPr>
        <w:t xml:space="preserve"> </w:t>
      </w:r>
      <w:r w:rsidRPr="0066564D">
        <w:rPr>
          <w:rStyle w:val="Enfasigrassetto"/>
          <w:rFonts w:ascii="Times New Roman" w:hAnsi="Times New Roman" w:cs="Times New Roman"/>
          <w:b w:val="0"/>
          <w:i/>
          <w:color w:val="000000"/>
          <w:sz w:val="24"/>
          <w:szCs w:val="24"/>
          <w:shd w:val="clear" w:color="auto" w:fill="FFFFFF"/>
        </w:rPr>
        <w:t>M.</w:t>
      </w:r>
      <w:r w:rsidRPr="00CD2768">
        <w:rPr>
          <w:rStyle w:val="Enfasigrassetto"/>
          <w:rFonts w:ascii="Times New Roman" w:hAnsi="Times New Roman" w:cs="Times New Roman"/>
          <w:i/>
          <w:color w:val="000000"/>
          <w:sz w:val="24"/>
          <w:szCs w:val="24"/>
          <w:shd w:val="clear" w:color="auto" w:fill="FFFFFF"/>
        </w:rPr>
        <w:t xml:space="preserve"> </w:t>
      </w:r>
      <w:r w:rsidRPr="00CD2768">
        <w:rPr>
          <w:rStyle w:val="apple-converted-space"/>
          <w:rFonts w:ascii="Times New Roman" w:hAnsi="Times New Roman" w:cs="Times New Roman"/>
          <w:bCs/>
          <w:i/>
          <w:color w:val="000000"/>
          <w:sz w:val="24"/>
          <w:szCs w:val="24"/>
          <w:shd w:val="clear" w:color="auto" w:fill="FFFFFF"/>
        </w:rPr>
        <w:t xml:space="preserve">Sforza </w:t>
      </w:r>
      <w:r w:rsidRPr="0066564D">
        <w:rPr>
          <w:rStyle w:val="Enfasigrassetto"/>
          <w:rFonts w:ascii="Times New Roman" w:hAnsi="Times New Roman" w:cs="Times New Roman"/>
          <w:b w:val="0"/>
          <w:i/>
          <w:color w:val="000000"/>
          <w:sz w:val="24"/>
          <w:szCs w:val="24"/>
          <w:shd w:val="clear" w:color="auto" w:fill="FFFFFF"/>
        </w:rPr>
        <w:t>Visconti: sposa dell'Imperatore Massimiliano I</w:t>
      </w:r>
      <w:r w:rsidRPr="00CD2768">
        <w:rPr>
          <w:rStyle w:val="apple-converted-space"/>
          <w:rFonts w:ascii="Times New Roman" w:hAnsi="Times New Roman" w:cs="Times New Roman"/>
          <w:bCs/>
          <w:i/>
          <w:color w:val="000000"/>
          <w:sz w:val="24"/>
          <w:szCs w:val="24"/>
          <w:shd w:val="clear" w:color="auto" w:fill="FFFFFF"/>
        </w:rPr>
        <w:t xml:space="preserve">, </w:t>
      </w:r>
      <w:r w:rsidRPr="00CD2768">
        <w:rPr>
          <w:rStyle w:val="apple-converted-space"/>
          <w:rFonts w:ascii="Times New Roman" w:hAnsi="Times New Roman" w:cs="Times New Roman"/>
          <w:bCs/>
          <w:color w:val="000000"/>
          <w:sz w:val="24"/>
          <w:szCs w:val="24"/>
          <w:shd w:val="clear" w:color="auto" w:fill="FFFFFF"/>
        </w:rPr>
        <w:t xml:space="preserve">in ‹‹Archivio Storico Lombardo››, II, 1875, pp. 51-75.   </w:t>
      </w:r>
    </w:p>
    <w:p w14:paraId="656097FF" w14:textId="77777777" w:rsidR="00796A9D" w:rsidRDefault="00796A9D" w:rsidP="00796A9D">
      <w:pPr>
        <w:spacing w:after="0"/>
        <w:jc w:val="both"/>
        <w:rPr>
          <w:rFonts w:ascii="Times New Roman" w:hAnsi="Times New Roman" w:cs="Times New Roman"/>
          <w:sz w:val="24"/>
          <w:szCs w:val="24"/>
        </w:rPr>
      </w:pPr>
    </w:p>
    <w:p w14:paraId="45B400E8" w14:textId="77777777" w:rsidR="00796A9D" w:rsidRDefault="00796A9D" w:rsidP="00796A9D">
      <w:pPr>
        <w:spacing w:after="0"/>
        <w:jc w:val="both"/>
        <w:rPr>
          <w:rFonts w:ascii="Times New Roman" w:hAnsi="Times New Roman" w:cs="Times New Roman"/>
          <w:sz w:val="24"/>
          <w:szCs w:val="24"/>
        </w:rPr>
      </w:pPr>
      <w:r w:rsidRPr="00FF4718">
        <w:rPr>
          <w:rFonts w:ascii="Times New Roman" w:hAnsi="Times New Roman" w:cs="Times New Roman"/>
          <w:smallCaps/>
          <w:sz w:val="24"/>
          <w:szCs w:val="24"/>
        </w:rPr>
        <w:t>B. Chandler</w:t>
      </w:r>
      <w:r w:rsidRPr="00FF4718">
        <w:rPr>
          <w:rFonts w:ascii="Times New Roman" w:hAnsi="Times New Roman" w:cs="Times New Roman"/>
          <w:sz w:val="24"/>
          <w:szCs w:val="24"/>
        </w:rPr>
        <w:t xml:space="preserve">, </w:t>
      </w:r>
      <w:r w:rsidRPr="00FF4718">
        <w:rPr>
          <w:rFonts w:ascii="Times New Roman" w:hAnsi="Times New Roman" w:cs="Times New Roman"/>
          <w:i/>
          <w:sz w:val="24"/>
          <w:szCs w:val="24"/>
        </w:rPr>
        <w:t>Il</w:t>
      </w:r>
      <w:r w:rsidRPr="00FF4718">
        <w:rPr>
          <w:rFonts w:ascii="Times New Roman" w:hAnsi="Times New Roman" w:cs="Times New Roman"/>
          <w:sz w:val="24"/>
          <w:szCs w:val="24"/>
        </w:rPr>
        <w:t xml:space="preserve"> «Torneo» </w:t>
      </w:r>
      <w:r w:rsidRPr="00FF4718">
        <w:rPr>
          <w:rFonts w:ascii="Times New Roman" w:hAnsi="Times New Roman" w:cs="Times New Roman"/>
          <w:i/>
          <w:sz w:val="24"/>
          <w:szCs w:val="24"/>
        </w:rPr>
        <w:t>di Sabadino degli Arienti</w:t>
      </w:r>
      <w:r w:rsidRPr="00FF4718">
        <w:rPr>
          <w:rFonts w:ascii="Times New Roman" w:hAnsi="Times New Roman" w:cs="Times New Roman"/>
          <w:sz w:val="24"/>
          <w:szCs w:val="24"/>
        </w:rPr>
        <w:t>, «Esperienze letterarie», XI, 1986, pp. 21-22.</w:t>
      </w:r>
    </w:p>
    <w:p w14:paraId="25939402" w14:textId="77777777" w:rsidR="00796A9D" w:rsidRDefault="00796A9D" w:rsidP="00796A9D">
      <w:pPr>
        <w:spacing w:after="0"/>
        <w:jc w:val="both"/>
        <w:rPr>
          <w:rFonts w:ascii="Times New Roman" w:hAnsi="Times New Roman" w:cs="Times New Roman"/>
          <w:sz w:val="24"/>
          <w:szCs w:val="24"/>
        </w:rPr>
      </w:pPr>
    </w:p>
    <w:p w14:paraId="29A1CE65" w14:textId="77777777" w:rsidR="00796A9D" w:rsidRPr="008160F5" w:rsidRDefault="00796A9D" w:rsidP="00796A9D">
      <w:pPr>
        <w:spacing w:after="0"/>
        <w:jc w:val="both"/>
        <w:rPr>
          <w:rFonts w:ascii="Times New Roman" w:hAnsi="Times New Roman" w:cs="Times New Roman"/>
          <w:sz w:val="24"/>
          <w:szCs w:val="24"/>
        </w:rPr>
      </w:pPr>
      <w:r w:rsidRPr="008160F5">
        <w:rPr>
          <w:rFonts w:ascii="Times New Roman" w:hAnsi="Times New Roman" w:cs="Times New Roman"/>
          <w:smallCaps/>
          <w:sz w:val="24"/>
          <w:szCs w:val="24"/>
        </w:rPr>
        <w:t>P. Cherchi</w:t>
      </w:r>
      <w:r w:rsidRPr="008160F5">
        <w:rPr>
          <w:rFonts w:ascii="Times New Roman" w:hAnsi="Times New Roman" w:cs="Times New Roman"/>
          <w:sz w:val="24"/>
          <w:szCs w:val="24"/>
        </w:rPr>
        <w:t xml:space="preserve">, </w:t>
      </w:r>
      <w:r w:rsidRPr="008160F5">
        <w:rPr>
          <w:rFonts w:ascii="Times New Roman" w:hAnsi="Times New Roman" w:cs="Times New Roman"/>
          <w:i/>
          <w:sz w:val="24"/>
          <w:szCs w:val="24"/>
        </w:rPr>
        <w:t>Tre note al De vita Solitaria</w:t>
      </w:r>
      <w:r w:rsidRPr="008160F5">
        <w:rPr>
          <w:rFonts w:ascii="Times New Roman" w:hAnsi="Times New Roman" w:cs="Times New Roman"/>
          <w:sz w:val="24"/>
          <w:szCs w:val="24"/>
        </w:rPr>
        <w:t>, «Giornale storico della letteratura italiana», CLXXXVII, 2010, pp. 39-50</w:t>
      </w:r>
      <w:r>
        <w:rPr>
          <w:rFonts w:ascii="Times New Roman" w:hAnsi="Times New Roman" w:cs="Times New Roman"/>
          <w:sz w:val="24"/>
          <w:szCs w:val="24"/>
        </w:rPr>
        <w:t>.</w:t>
      </w:r>
    </w:p>
    <w:p w14:paraId="3F77BEF9" w14:textId="77777777" w:rsidR="00796A9D" w:rsidRDefault="00796A9D" w:rsidP="00796A9D">
      <w:pPr>
        <w:spacing w:after="0"/>
        <w:jc w:val="both"/>
        <w:rPr>
          <w:rFonts w:ascii="Times New Roman" w:hAnsi="Times New Roman" w:cs="Times New Roman"/>
          <w:sz w:val="24"/>
          <w:szCs w:val="24"/>
        </w:rPr>
      </w:pPr>
    </w:p>
    <w:p w14:paraId="6FE63ED4" w14:textId="77777777" w:rsidR="00796A9D" w:rsidRPr="009957D9" w:rsidRDefault="00796A9D" w:rsidP="00796A9D">
      <w:pPr>
        <w:pStyle w:val="Testonotaapidipagina"/>
        <w:jc w:val="both"/>
        <w:rPr>
          <w:rFonts w:ascii="Times New Roman" w:hAnsi="Times New Roman" w:cs="Times New Roman"/>
          <w:sz w:val="24"/>
          <w:szCs w:val="24"/>
        </w:rPr>
      </w:pPr>
      <w:r w:rsidRPr="009957D9">
        <w:rPr>
          <w:rFonts w:ascii="Times New Roman" w:hAnsi="Times New Roman" w:cs="Times New Roman"/>
          <w:smallCaps/>
          <w:sz w:val="24"/>
          <w:szCs w:val="24"/>
        </w:rPr>
        <w:t>B. Chevalier</w:t>
      </w:r>
      <w:r w:rsidRPr="009957D9">
        <w:rPr>
          <w:rFonts w:ascii="Times New Roman" w:hAnsi="Times New Roman" w:cs="Times New Roman"/>
          <w:sz w:val="24"/>
          <w:szCs w:val="24"/>
        </w:rPr>
        <w:t xml:space="preserve">, </w:t>
      </w:r>
      <w:r w:rsidRPr="009957D9">
        <w:rPr>
          <w:rFonts w:ascii="Times New Roman" w:hAnsi="Times New Roman" w:cs="Times New Roman"/>
          <w:i/>
          <w:sz w:val="24"/>
          <w:szCs w:val="24"/>
        </w:rPr>
        <w:t>Guillaume Briconnet (v. 1445-1514): un cardinal-ministre au debut de la Renaissance. marchand, financier, homme d'Etat et prince de l'Eglise</w:t>
      </w:r>
      <w:r w:rsidRPr="009957D9">
        <w:rPr>
          <w:rFonts w:ascii="Times New Roman" w:hAnsi="Times New Roman" w:cs="Times New Roman"/>
          <w:sz w:val="24"/>
          <w:szCs w:val="24"/>
        </w:rPr>
        <w:t>, Rennes, Presses Universitaires de Rennes, 2005.</w:t>
      </w:r>
    </w:p>
    <w:p w14:paraId="6F054C30" w14:textId="77777777" w:rsidR="00796A9D" w:rsidRPr="00FF4718" w:rsidRDefault="00796A9D" w:rsidP="00796A9D">
      <w:pPr>
        <w:spacing w:after="0"/>
        <w:jc w:val="both"/>
        <w:rPr>
          <w:rFonts w:ascii="Times New Roman" w:hAnsi="Times New Roman" w:cs="Times New Roman"/>
          <w:smallCaps/>
          <w:sz w:val="24"/>
          <w:szCs w:val="24"/>
        </w:rPr>
      </w:pPr>
    </w:p>
    <w:p w14:paraId="3948D356"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R. Chilà</w:t>
      </w:r>
      <w:r w:rsidRPr="00BA2DBB">
        <w:rPr>
          <w:rFonts w:ascii="Times New Roman" w:hAnsi="Times New Roman" w:cs="Times New Roman"/>
          <w:sz w:val="24"/>
          <w:szCs w:val="24"/>
        </w:rPr>
        <w:t>,</w:t>
      </w:r>
      <w:r w:rsidRPr="00BA2DBB">
        <w:rPr>
          <w:rFonts w:ascii="Times New Roman" w:hAnsi="Times New Roman" w:cs="Times New Roman"/>
          <w:i/>
          <w:sz w:val="24"/>
          <w:szCs w:val="24"/>
        </w:rPr>
        <w:t xml:space="preserve"> “Il y en a plein la ville!” Eléments pour une histoire des Catalans à Naples à partir du règne d’Alphonse le Magnanime</w:t>
      </w:r>
      <w:r w:rsidRPr="00BA2DBB">
        <w:rPr>
          <w:rFonts w:ascii="Times New Roman" w:hAnsi="Times New Roman" w:cs="Times New Roman"/>
          <w:sz w:val="24"/>
          <w:szCs w:val="24"/>
        </w:rPr>
        <w:t>, in</w:t>
      </w:r>
      <w:r w:rsidRPr="00BA2DBB">
        <w:rPr>
          <w:rFonts w:ascii="Times New Roman" w:hAnsi="Times New Roman" w:cs="Times New Roman"/>
          <w:i/>
          <w:sz w:val="24"/>
          <w:szCs w:val="24"/>
        </w:rPr>
        <w:t xml:space="preserve"> Arriver en ville</w:t>
      </w:r>
      <w:r w:rsidRPr="00BA2DBB">
        <w:rPr>
          <w:rFonts w:ascii="Times New Roman" w:hAnsi="Times New Roman" w:cs="Times New Roman"/>
          <w:sz w:val="24"/>
          <w:szCs w:val="24"/>
        </w:rPr>
        <w:t xml:space="preserve">, sous la direction de </w:t>
      </w:r>
      <w:r w:rsidRPr="00BA2DBB">
        <w:rPr>
          <w:rFonts w:ascii="Times New Roman" w:hAnsi="Times New Roman" w:cs="Times New Roman"/>
          <w:smallCaps/>
          <w:sz w:val="24"/>
          <w:szCs w:val="24"/>
        </w:rPr>
        <w:t>C. Quertier, N. Pluchot</w:t>
      </w:r>
      <w:r w:rsidRPr="00BA2DBB">
        <w:rPr>
          <w:rFonts w:ascii="Times New Roman" w:hAnsi="Times New Roman" w:cs="Times New Roman"/>
          <w:sz w:val="24"/>
          <w:szCs w:val="24"/>
        </w:rPr>
        <w:t>, Paris, Publications de la Sorbonne, 2013, pp. 145-159.</w:t>
      </w:r>
    </w:p>
    <w:p w14:paraId="39E0547F" w14:textId="77777777" w:rsidR="00796A9D" w:rsidRDefault="00796A9D" w:rsidP="00796A9D">
      <w:pPr>
        <w:pStyle w:val="Testonotaapidipagina"/>
        <w:jc w:val="both"/>
        <w:rPr>
          <w:rFonts w:ascii="Times New Roman" w:hAnsi="Times New Roman" w:cs="Times New Roman"/>
          <w:sz w:val="24"/>
          <w:szCs w:val="24"/>
        </w:rPr>
      </w:pPr>
    </w:p>
    <w:p w14:paraId="6E166633"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z w:val="24"/>
          <w:szCs w:val="24"/>
        </w:rPr>
        <w:t xml:space="preserve">R. </w:t>
      </w:r>
      <w:r w:rsidRPr="00BA2DBB">
        <w:rPr>
          <w:rFonts w:ascii="Times New Roman" w:hAnsi="Times New Roman" w:cs="Times New Roman"/>
          <w:smallCaps/>
          <w:sz w:val="24"/>
          <w:szCs w:val="24"/>
        </w:rPr>
        <w:t>Chilà</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Une cour à l’épreuve de la conquête: la société curiale et Naples, capitale d’Alphonse le Magnanime (1416-1458).</w:t>
      </w:r>
      <w:r w:rsidRPr="00BA2DBB">
        <w:rPr>
          <w:rFonts w:ascii="Times New Roman" w:hAnsi="Times New Roman" w:cs="Times New Roman"/>
          <w:sz w:val="24"/>
          <w:szCs w:val="24"/>
        </w:rPr>
        <w:t xml:space="preserve"> Archéologie et Préhistoire. Université Paul Valéry - Montpellier III, 2014, pp. 202-204. </w:t>
      </w:r>
    </w:p>
    <w:p w14:paraId="6C5B991A" w14:textId="77777777" w:rsidR="00796A9D" w:rsidRDefault="00796A9D" w:rsidP="00796A9D">
      <w:pPr>
        <w:pStyle w:val="Testonotaapidipagina"/>
        <w:jc w:val="both"/>
        <w:rPr>
          <w:rFonts w:ascii="Times New Roman" w:hAnsi="Times New Roman" w:cs="Times New Roman"/>
          <w:sz w:val="24"/>
          <w:szCs w:val="24"/>
        </w:rPr>
      </w:pPr>
    </w:p>
    <w:p w14:paraId="110D6DEA" w14:textId="77777777" w:rsidR="00796A9D" w:rsidRDefault="00796A9D" w:rsidP="00796A9D">
      <w:pPr>
        <w:pStyle w:val="Testonotaapidipagina"/>
        <w:jc w:val="both"/>
        <w:rPr>
          <w:rFonts w:ascii="Times New Roman" w:hAnsi="Times New Roman" w:cs="Times New Roman"/>
          <w:sz w:val="24"/>
          <w:szCs w:val="24"/>
        </w:rPr>
      </w:pPr>
      <w:r w:rsidRPr="00970D87">
        <w:rPr>
          <w:rFonts w:ascii="Times New Roman" w:hAnsi="Times New Roman" w:cs="Times New Roman"/>
          <w:sz w:val="24"/>
          <w:szCs w:val="24"/>
        </w:rPr>
        <w:t xml:space="preserve">R. </w:t>
      </w:r>
      <w:r w:rsidRPr="00970D87">
        <w:rPr>
          <w:rFonts w:ascii="Times New Roman" w:hAnsi="Times New Roman" w:cs="Times New Roman"/>
          <w:smallCaps/>
          <w:sz w:val="24"/>
          <w:szCs w:val="24"/>
        </w:rPr>
        <w:t>Chiovelli</w:t>
      </w:r>
      <w:r w:rsidRPr="00970D87">
        <w:rPr>
          <w:rFonts w:ascii="Times New Roman" w:hAnsi="Times New Roman" w:cs="Times New Roman"/>
          <w:sz w:val="24"/>
          <w:szCs w:val="24"/>
        </w:rPr>
        <w:t xml:space="preserve">, </w:t>
      </w:r>
      <w:r w:rsidRPr="00970D87">
        <w:rPr>
          <w:rFonts w:ascii="Times New Roman" w:hAnsi="Times New Roman" w:cs="Times New Roman"/>
          <w:i/>
          <w:sz w:val="24"/>
          <w:szCs w:val="24"/>
        </w:rPr>
        <w:t>Tecniche costruttive murarie medievali: la Tuscia. Storia della tecnica edilizia e restauro dei monumenti</w:t>
      </w:r>
      <w:r w:rsidRPr="00970D87">
        <w:rPr>
          <w:rFonts w:ascii="Times New Roman" w:hAnsi="Times New Roman" w:cs="Times New Roman"/>
          <w:sz w:val="24"/>
          <w:szCs w:val="24"/>
        </w:rPr>
        <w:t>, Roma, L'Erma di Bretschneider, 2007.</w:t>
      </w:r>
    </w:p>
    <w:p w14:paraId="4B3E5A09" w14:textId="77777777" w:rsidR="00796A9D" w:rsidRDefault="00796A9D" w:rsidP="00796A9D">
      <w:pPr>
        <w:pStyle w:val="Testonotaapidipagina"/>
        <w:jc w:val="both"/>
        <w:rPr>
          <w:rFonts w:ascii="Times New Roman" w:hAnsi="Times New Roman" w:cs="Times New Roman"/>
          <w:sz w:val="24"/>
          <w:szCs w:val="24"/>
        </w:rPr>
      </w:pPr>
    </w:p>
    <w:p w14:paraId="3210F5AB" w14:textId="77777777" w:rsidR="00796A9D" w:rsidRPr="00B8407E" w:rsidRDefault="00796A9D" w:rsidP="00796A9D">
      <w:pPr>
        <w:pStyle w:val="Testonotaapidipagina"/>
        <w:jc w:val="both"/>
        <w:rPr>
          <w:rFonts w:ascii="Times New Roman" w:hAnsi="Times New Roman" w:cs="Times New Roman"/>
          <w:sz w:val="24"/>
          <w:szCs w:val="24"/>
        </w:rPr>
      </w:pPr>
      <w:r w:rsidRPr="00B8407E">
        <w:rPr>
          <w:rFonts w:ascii="Times New Roman" w:hAnsi="Times New Roman" w:cs="Times New Roman"/>
          <w:smallCaps/>
          <w:sz w:val="24"/>
          <w:szCs w:val="24"/>
        </w:rPr>
        <w:t>M.G. Ciardi Dupré Dal Poggetto</w:t>
      </w:r>
      <w:r w:rsidRPr="00B8407E">
        <w:rPr>
          <w:rFonts w:ascii="Times New Roman" w:hAnsi="Times New Roman" w:cs="Times New Roman"/>
          <w:sz w:val="24"/>
          <w:szCs w:val="24"/>
        </w:rPr>
        <w:t xml:space="preserve">, </w:t>
      </w:r>
      <w:r w:rsidRPr="00B8407E">
        <w:rPr>
          <w:rFonts w:ascii="Times New Roman" w:hAnsi="Times New Roman" w:cs="Times New Roman"/>
          <w:i/>
          <w:sz w:val="24"/>
          <w:szCs w:val="24"/>
        </w:rPr>
        <w:t>Un problema di coerenza: memoria e realizzazione nella pittura di Giovanni Santi. Nuove prospettive cronologiche e attributive</w:t>
      </w:r>
      <w:r w:rsidRPr="00B8407E">
        <w:rPr>
          <w:rFonts w:ascii="Times New Roman" w:hAnsi="Times New Roman" w:cs="Times New Roman"/>
          <w:sz w:val="24"/>
          <w:szCs w:val="24"/>
        </w:rPr>
        <w:t xml:space="preserve">, in </w:t>
      </w:r>
      <w:r w:rsidRPr="00B8407E">
        <w:rPr>
          <w:rFonts w:ascii="Times New Roman" w:hAnsi="Times New Roman" w:cs="Times New Roman"/>
          <w:i/>
          <w:sz w:val="24"/>
          <w:szCs w:val="24"/>
        </w:rPr>
        <w:t>Giovanni Santi</w:t>
      </w:r>
      <w:r w:rsidRPr="00B8407E">
        <w:rPr>
          <w:rFonts w:ascii="Times New Roman" w:hAnsi="Times New Roman" w:cs="Times New Roman"/>
          <w:sz w:val="24"/>
          <w:szCs w:val="24"/>
        </w:rPr>
        <w:t xml:space="preserve">, Atti del convegno internazionale di Studi (Urbino 17-19 marzo 1995), a cura di </w:t>
      </w:r>
      <w:r w:rsidRPr="00B8407E">
        <w:rPr>
          <w:rFonts w:ascii="Times New Roman" w:hAnsi="Times New Roman" w:cs="Times New Roman"/>
          <w:smallCaps/>
          <w:sz w:val="24"/>
          <w:szCs w:val="24"/>
        </w:rPr>
        <w:t>R. Varese</w:t>
      </w:r>
      <w:r w:rsidRPr="00B8407E">
        <w:rPr>
          <w:rFonts w:ascii="Times New Roman" w:hAnsi="Times New Roman" w:cs="Times New Roman"/>
          <w:sz w:val="24"/>
          <w:szCs w:val="24"/>
        </w:rPr>
        <w:t>, Milano, Electa, 1999, pp. 105-114.</w:t>
      </w:r>
    </w:p>
    <w:p w14:paraId="4FAD7843" w14:textId="77777777" w:rsidR="00796A9D" w:rsidRDefault="00796A9D" w:rsidP="00796A9D">
      <w:pPr>
        <w:pStyle w:val="Testonotaapidipagina"/>
        <w:jc w:val="both"/>
        <w:rPr>
          <w:rFonts w:ascii="Times New Roman" w:hAnsi="Times New Roman" w:cs="Times New Roman"/>
          <w:sz w:val="24"/>
          <w:szCs w:val="24"/>
        </w:rPr>
      </w:pPr>
    </w:p>
    <w:p w14:paraId="4CEB85B2" w14:textId="77777777" w:rsidR="00796A9D" w:rsidRDefault="00796A9D" w:rsidP="00796A9D">
      <w:pPr>
        <w:pStyle w:val="Testonotaapidipagina"/>
        <w:jc w:val="both"/>
        <w:rPr>
          <w:rFonts w:ascii="Times New Roman" w:hAnsi="Times New Roman" w:cs="Times New Roman"/>
          <w:sz w:val="24"/>
          <w:szCs w:val="24"/>
        </w:rPr>
      </w:pPr>
      <w:r w:rsidRPr="00582CE2">
        <w:rPr>
          <w:rFonts w:ascii="Times New Roman" w:hAnsi="Times New Roman" w:cs="Times New Roman"/>
          <w:sz w:val="24"/>
          <w:szCs w:val="24"/>
        </w:rPr>
        <w:t xml:space="preserve">C. </w:t>
      </w:r>
      <w:r w:rsidRPr="00582CE2">
        <w:rPr>
          <w:rFonts w:ascii="Times New Roman" w:hAnsi="Times New Roman" w:cs="Times New Roman"/>
          <w:smallCaps/>
          <w:sz w:val="24"/>
          <w:szCs w:val="24"/>
        </w:rPr>
        <w:t>Cieri Via</w:t>
      </w:r>
      <w:r w:rsidRPr="00582CE2">
        <w:rPr>
          <w:rFonts w:ascii="Times New Roman" w:hAnsi="Times New Roman" w:cs="Times New Roman"/>
          <w:sz w:val="24"/>
          <w:szCs w:val="24"/>
        </w:rPr>
        <w:t xml:space="preserve">, </w:t>
      </w:r>
      <w:r w:rsidRPr="00582CE2">
        <w:rPr>
          <w:rFonts w:ascii="Times New Roman" w:hAnsi="Times New Roman" w:cs="Times New Roman"/>
          <w:i/>
          <w:sz w:val="24"/>
          <w:szCs w:val="24"/>
        </w:rPr>
        <w:t>L’«ordine delle nozze» di Costanzo Sforza e Camilla d’Aragona nel ms. Urb.Lat. 899</w:t>
      </w:r>
      <w:r w:rsidRPr="00582CE2">
        <w:rPr>
          <w:rFonts w:ascii="Times New Roman" w:hAnsi="Times New Roman" w:cs="Times New Roman"/>
          <w:sz w:val="24"/>
          <w:szCs w:val="24"/>
        </w:rPr>
        <w:t xml:space="preserve">, </w:t>
      </w:r>
      <w:r w:rsidRPr="00C20054">
        <w:rPr>
          <w:rFonts w:ascii="Times New Roman" w:hAnsi="Times New Roman" w:cs="Times New Roman"/>
          <w:sz w:val="24"/>
          <w:szCs w:val="24"/>
        </w:rPr>
        <w:t xml:space="preserve">in </w:t>
      </w:r>
      <w:r w:rsidRPr="00582CE2">
        <w:rPr>
          <w:rFonts w:ascii="Times New Roman" w:hAnsi="Times New Roman" w:cs="Times New Roman"/>
          <w:i/>
          <w:sz w:val="24"/>
          <w:szCs w:val="24"/>
        </w:rPr>
        <w:t>La città dei segreti. Magia, astrologia e cultura esoterica a Roma (XV-XVIII sec.)</w:t>
      </w:r>
      <w:r w:rsidRPr="00582CE2">
        <w:rPr>
          <w:rFonts w:ascii="Times New Roman" w:hAnsi="Times New Roman" w:cs="Times New Roman"/>
          <w:sz w:val="24"/>
          <w:szCs w:val="24"/>
        </w:rPr>
        <w:t xml:space="preserve">, a cura di </w:t>
      </w:r>
      <w:r w:rsidRPr="00582CE2">
        <w:rPr>
          <w:rFonts w:ascii="Times New Roman" w:hAnsi="Times New Roman" w:cs="Times New Roman"/>
          <w:smallCaps/>
          <w:sz w:val="24"/>
          <w:szCs w:val="24"/>
        </w:rPr>
        <w:t>F. Troncarelli</w:t>
      </w:r>
      <w:r w:rsidRPr="00582CE2">
        <w:rPr>
          <w:rFonts w:ascii="Times New Roman" w:hAnsi="Times New Roman" w:cs="Times New Roman"/>
          <w:sz w:val="24"/>
          <w:szCs w:val="24"/>
        </w:rPr>
        <w:t>, Milano, Franco Angeli, 1985, pp. 185-197.</w:t>
      </w:r>
    </w:p>
    <w:p w14:paraId="0274D1F6" w14:textId="77777777" w:rsidR="00796A9D" w:rsidRDefault="00796A9D" w:rsidP="00796A9D">
      <w:pPr>
        <w:spacing w:after="0"/>
        <w:jc w:val="both"/>
        <w:rPr>
          <w:rFonts w:ascii="Times New Roman" w:hAnsi="Times New Roman" w:cs="Times New Roman"/>
          <w:smallCaps/>
          <w:sz w:val="24"/>
          <w:szCs w:val="24"/>
        </w:rPr>
      </w:pPr>
    </w:p>
    <w:p w14:paraId="56A78B1B" w14:textId="77777777" w:rsidR="00796A9D" w:rsidRPr="003C1E87" w:rsidRDefault="00796A9D" w:rsidP="00796A9D">
      <w:pPr>
        <w:spacing w:after="0"/>
        <w:jc w:val="both"/>
        <w:rPr>
          <w:rFonts w:ascii="Times New Roman" w:hAnsi="Times New Roman" w:cs="Times New Roman"/>
          <w:smallCaps/>
          <w:sz w:val="24"/>
          <w:szCs w:val="24"/>
        </w:rPr>
      </w:pPr>
      <w:r w:rsidRPr="003C1E87">
        <w:rPr>
          <w:rFonts w:ascii="Times New Roman" w:hAnsi="Times New Roman" w:cs="Times New Roman"/>
          <w:smallCaps/>
          <w:sz w:val="24"/>
          <w:szCs w:val="24"/>
        </w:rPr>
        <w:t>A. Colla</w:t>
      </w:r>
      <w:r w:rsidRPr="003C1E87">
        <w:rPr>
          <w:rFonts w:ascii="Times New Roman" w:hAnsi="Times New Roman" w:cs="Times New Roman"/>
          <w:sz w:val="24"/>
          <w:szCs w:val="24"/>
        </w:rPr>
        <w:t xml:space="preserve">, </w:t>
      </w:r>
      <w:r w:rsidRPr="003C1E87">
        <w:rPr>
          <w:rFonts w:ascii="Times New Roman" w:hAnsi="Times New Roman" w:cs="Times New Roman"/>
          <w:i/>
          <w:sz w:val="24"/>
          <w:szCs w:val="24"/>
        </w:rPr>
        <w:t>Tipografi, editori e librai a Padova, Treviso, Vicenza, Verona, Trento</w:t>
      </w:r>
      <w:r w:rsidRPr="003C1E87">
        <w:rPr>
          <w:rFonts w:ascii="Times New Roman" w:hAnsi="Times New Roman" w:cs="Times New Roman"/>
          <w:sz w:val="24"/>
          <w:szCs w:val="24"/>
        </w:rPr>
        <w:t xml:space="preserve">, in </w:t>
      </w:r>
      <w:r w:rsidRPr="003C1E87">
        <w:rPr>
          <w:rFonts w:ascii="Times New Roman" w:hAnsi="Times New Roman" w:cs="Times New Roman"/>
          <w:i/>
          <w:sz w:val="24"/>
          <w:szCs w:val="24"/>
        </w:rPr>
        <w:t>La stampa degli incunaboli nel Veneto</w:t>
      </w:r>
      <w:r w:rsidRPr="003C1E87">
        <w:rPr>
          <w:rFonts w:ascii="Times New Roman" w:hAnsi="Times New Roman" w:cs="Times New Roman"/>
          <w:sz w:val="24"/>
          <w:szCs w:val="24"/>
        </w:rPr>
        <w:t>, Vicenza, Neri Pozza, 1984, pp. 67-75.</w:t>
      </w:r>
    </w:p>
    <w:p w14:paraId="74906240" w14:textId="77777777" w:rsidR="00796A9D" w:rsidRDefault="00796A9D" w:rsidP="00796A9D">
      <w:pPr>
        <w:spacing w:after="0"/>
        <w:jc w:val="both"/>
        <w:rPr>
          <w:rFonts w:ascii="Times New Roman" w:hAnsi="Times New Roman" w:cs="Times New Roman"/>
          <w:smallCaps/>
          <w:sz w:val="24"/>
          <w:szCs w:val="24"/>
        </w:rPr>
      </w:pPr>
    </w:p>
    <w:p w14:paraId="6216211E"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J. Connors, A. Dressen</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Biblioteche: l’architettura e l’ordinamento del sapere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Il Rinascimento italiano e l’Europa</w:t>
      </w:r>
      <w:r w:rsidRPr="00BA2DBB">
        <w:rPr>
          <w:rFonts w:ascii="Times New Roman" w:hAnsi="Times New Roman" w:cs="Times New Roman"/>
          <w:sz w:val="24"/>
          <w:szCs w:val="24"/>
        </w:rPr>
        <w:t xml:space="preserve">, vol. VI, </w:t>
      </w:r>
      <w:r w:rsidRPr="00BA2DBB">
        <w:rPr>
          <w:rFonts w:ascii="Times New Roman" w:hAnsi="Times New Roman" w:cs="Times New Roman"/>
          <w:i/>
          <w:sz w:val="24"/>
          <w:szCs w:val="24"/>
        </w:rPr>
        <w:t>Luoghi, spazi, architetture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D. Calabi, E. Svalduz</w:t>
      </w:r>
      <w:r w:rsidRPr="00BA2DBB">
        <w:rPr>
          <w:rFonts w:ascii="Times New Roman" w:hAnsi="Times New Roman" w:cs="Times New Roman"/>
          <w:sz w:val="24"/>
          <w:szCs w:val="24"/>
        </w:rPr>
        <w:t>, Treviso, Fondazione Costabissara, 2010, pp. 199-228.</w:t>
      </w:r>
    </w:p>
    <w:p w14:paraId="06015D16" w14:textId="77777777" w:rsidR="00796A9D" w:rsidRDefault="00796A9D" w:rsidP="00796A9D">
      <w:pPr>
        <w:spacing w:after="0"/>
        <w:jc w:val="both"/>
        <w:rPr>
          <w:rFonts w:ascii="Times New Roman" w:hAnsi="Times New Roman" w:cs="Times New Roman"/>
          <w:smallCaps/>
          <w:sz w:val="24"/>
          <w:szCs w:val="24"/>
        </w:rPr>
      </w:pPr>
    </w:p>
    <w:p w14:paraId="7D5CB8A8"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Conti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L’ordine napoletano dell’ermellino e l’iconografia di Federico da Montefeltro</w:t>
      </w:r>
      <w:r w:rsidRPr="00BA2DBB">
        <w:rPr>
          <w:rFonts w:ascii="Times New Roman" w:hAnsi="Times New Roman" w:cs="Times New Roman"/>
          <w:sz w:val="24"/>
          <w:szCs w:val="24"/>
        </w:rPr>
        <w:t xml:space="preserve">, «Nobiltà», 89, marzo-aprile 2009, pp. 185-220.   </w:t>
      </w:r>
    </w:p>
    <w:p w14:paraId="6924F08D" w14:textId="77777777" w:rsidR="00796A9D" w:rsidRDefault="00796A9D" w:rsidP="00796A9D">
      <w:pPr>
        <w:spacing w:after="0"/>
        <w:jc w:val="both"/>
        <w:rPr>
          <w:rFonts w:ascii="Times New Roman" w:hAnsi="Times New Roman" w:cs="Times New Roman"/>
          <w:sz w:val="24"/>
          <w:szCs w:val="24"/>
        </w:rPr>
      </w:pPr>
    </w:p>
    <w:p w14:paraId="492D443D" w14:textId="77777777" w:rsidR="00796A9D" w:rsidRPr="00D85ACD" w:rsidRDefault="00796A9D" w:rsidP="00796A9D">
      <w:pPr>
        <w:spacing w:after="0"/>
        <w:jc w:val="both"/>
        <w:rPr>
          <w:rFonts w:ascii="Times New Roman" w:hAnsi="Times New Roman" w:cs="Times New Roman"/>
          <w:sz w:val="24"/>
          <w:szCs w:val="24"/>
        </w:rPr>
      </w:pPr>
      <w:r w:rsidRPr="00D85ACD">
        <w:rPr>
          <w:rFonts w:ascii="Times New Roman" w:hAnsi="Times New Roman" w:cs="Times New Roman"/>
          <w:smallCaps/>
          <w:sz w:val="24"/>
          <w:szCs w:val="24"/>
        </w:rPr>
        <w:t>A. Contò</w:t>
      </w:r>
      <w:r w:rsidRPr="00D85ACD">
        <w:rPr>
          <w:rFonts w:ascii="Times New Roman" w:hAnsi="Times New Roman" w:cs="Times New Roman"/>
          <w:sz w:val="24"/>
          <w:szCs w:val="24"/>
        </w:rPr>
        <w:t xml:space="preserve">, </w:t>
      </w:r>
      <w:r w:rsidRPr="00D85ACD">
        <w:rPr>
          <w:rFonts w:ascii="Times New Roman" w:hAnsi="Times New Roman" w:cs="Times New Roman"/>
          <w:i/>
          <w:sz w:val="24"/>
          <w:szCs w:val="24"/>
        </w:rPr>
        <w:t>Calamai e torchi. Documenti per la storia del libro nel territorio della Repubblica di Venezia (sec. XV)</w:t>
      </w:r>
      <w:r w:rsidRPr="00D85ACD">
        <w:rPr>
          <w:rFonts w:ascii="Times New Roman" w:hAnsi="Times New Roman" w:cs="Times New Roman"/>
          <w:sz w:val="24"/>
          <w:szCs w:val="24"/>
        </w:rPr>
        <w:t>, Verona, della Scala, 2003.</w:t>
      </w:r>
    </w:p>
    <w:p w14:paraId="689FAB07" w14:textId="77777777" w:rsidR="00796A9D" w:rsidRDefault="00796A9D" w:rsidP="00796A9D">
      <w:pPr>
        <w:spacing w:after="0"/>
        <w:jc w:val="both"/>
        <w:rPr>
          <w:rFonts w:ascii="Times New Roman" w:hAnsi="Times New Roman" w:cs="Times New Roman"/>
          <w:smallCaps/>
          <w:sz w:val="24"/>
          <w:szCs w:val="24"/>
        </w:rPr>
      </w:pPr>
    </w:p>
    <w:p w14:paraId="507127B3"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C. Corfiati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“Absens praesens fore videor”: Guarino Veronese a Leonello d’Este</w:t>
      </w:r>
      <w:r w:rsidRPr="00BA2DBB">
        <w:rPr>
          <w:rFonts w:ascii="Times New Roman" w:hAnsi="Times New Roman" w:cs="Times New Roman"/>
          <w:sz w:val="24"/>
          <w:szCs w:val="24"/>
        </w:rPr>
        <w:t>, in</w:t>
      </w:r>
      <w:r w:rsidRPr="00BA2DBB">
        <w:rPr>
          <w:rFonts w:ascii="Times New Roman" w:hAnsi="Times New Roman" w:cs="Times New Roman"/>
          <w:i/>
          <w:sz w:val="24"/>
          <w:szCs w:val="24"/>
        </w:rPr>
        <w:t xml:space="preserve"> Lettere ed Arti. Studi in onore di Raffaele Cavalluzzi</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V. Masiello</w:t>
      </w:r>
      <w:r w:rsidRPr="00BA2DBB">
        <w:rPr>
          <w:rFonts w:ascii="Times New Roman" w:hAnsi="Times New Roman" w:cs="Times New Roman"/>
          <w:sz w:val="24"/>
          <w:szCs w:val="24"/>
        </w:rPr>
        <w:t xml:space="preserve">, </w:t>
      </w:r>
      <w:r w:rsidRPr="00BA2DBB">
        <w:rPr>
          <w:rFonts w:ascii="Times New Roman" w:hAnsi="Times New Roman" w:cs="Times New Roman"/>
          <w:smallCaps/>
          <w:sz w:val="24"/>
          <w:szCs w:val="24"/>
        </w:rPr>
        <w:t>G. Distaso, P. Guaragnella</w:t>
      </w:r>
      <w:r w:rsidRPr="00BA2DBB">
        <w:rPr>
          <w:rFonts w:ascii="Times New Roman" w:hAnsi="Times New Roman" w:cs="Times New Roman"/>
          <w:sz w:val="24"/>
          <w:szCs w:val="24"/>
        </w:rPr>
        <w:t>, Bari</w:t>
      </w:r>
      <w:r>
        <w:rPr>
          <w:rFonts w:ascii="Times New Roman" w:hAnsi="Times New Roman" w:cs="Times New Roman"/>
          <w:sz w:val="24"/>
          <w:szCs w:val="24"/>
        </w:rPr>
        <w:t>,</w:t>
      </w:r>
      <w:r w:rsidRPr="00BA2DBB">
        <w:rPr>
          <w:rFonts w:ascii="Times New Roman" w:hAnsi="Times New Roman" w:cs="Times New Roman"/>
          <w:sz w:val="24"/>
          <w:szCs w:val="24"/>
        </w:rPr>
        <w:t xml:space="preserve"> Graphis, 2009, pp. 30-47.</w:t>
      </w:r>
    </w:p>
    <w:p w14:paraId="200CD70B" w14:textId="77777777" w:rsidR="00796A9D" w:rsidRDefault="00796A9D" w:rsidP="00796A9D">
      <w:pPr>
        <w:pStyle w:val="Testonotaapidipagina"/>
        <w:jc w:val="both"/>
        <w:rPr>
          <w:rFonts w:ascii="Times New Roman" w:hAnsi="Times New Roman" w:cs="Times New Roman"/>
          <w:smallCaps/>
          <w:sz w:val="24"/>
          <w:szCs w:val="24"/>
        </w:rPr>
      </w:pPr>
    </w:p>
    <w:p w14:paraId="27A292BF"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M. Cortesi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Greek at the school of Vittorino da Feltre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Teachers, Students, and Schools of Greek in the Renaissance</w:t>
      </w:r>
      <w:r w:rsidRPr="00BA2DBB">
        <w:rPr>
          <w:rFonts w:ascii="Times New Roman" w:hAnsi="Times New Roman" w:cs="Times New Roman"/>
          <w:sz w:val="24"/>
          <w:szCs w:val="24"/>
        </w:rPr>
        <w:t xml:space="preserve">, edited by </w:t>
      </w:r>
      <w:r w:rsidRPr="00BA2DBB">
        <w:rPr>
          <w:rFonts w:ascii="Times New Roman" w:hAnsi="Times New Roman" w:cs="Times New Roman"/>
          <w:smallCaps/>
          <w:sz w:val="24"/>
          <w:szCs w:val="24"/>
        </w:rPr>
        <w:t>F. Ciccolella, L. Silvano</w:t>
      </w:r>
      <w:r w:rsidRPr="00BA2DBB">
        <w:rPr>
          <w:rFonts w:ascii="Times New Roman" w:hAnsi="Times New Roman" w:cs="Times New Roman"/>
          <w:sz w:val="24"/>
          <w:szCs w:val="24"/>
        </w:rPr>
        <w:t xml:space="preserve">, Leiden, Brill, 2017, pp. 54-78. </w:t>
      </w:r>
    </w:p>
    <w:p w14:paraId="22E46362" w14:textId="77777777" w:rsidR="00796A9D" w:rsidRDefault="00796A9D" w:rsidP="00796A9D">
      <w:pPr>
        <w:pStyle w:val="Testonotaapidipagina"/>
        <w:jc w:val="both"/>
        <w:rPr>
          <w:rFonts w:ascii="Times New Roman" w:hAnsi="Times New Roman" w:cs="Times New Roman"/>
          <w:sz w:val="24"/>
          <w:szCs w:val="24"/>
        </w:rPr>
      </w:pPr>
    </w:p>
    <w:p w14:paraId="2EC570B5" w14:textId="77777777" w:rsidR="00796A9D" w:rsidRDefault="00796A9D" w:rsidP="00796A9D">
      <w:pPr>
        <w:pStyle w:val="Testonotaapidipagina"/>
        <w:jc w:val="both"/>
        <w:rPr>
          <w:rFonts w:ascii="Times New Roman" w:hAnsi="Times New Roman" w:cs="Times New Roman"/>
          <w:sz w:val="24"/>
          <w:szCs w:val="24"/>
        </w:rPr>
      </w:pPr>
      <w:r w:rsidRPr="00604518">
        <w:rPr>
          <w:rFonts w:ascii="Times New Roman" w:hAnsi="Times New Roman" w:cs="Times New Roman"/>
          <w:smallCaps/>
          <w:sz w:val="24"/>
          <w:szCs w:val="24"/>
        </w:rPr>
        <w:t>C. Corvisieri</w:t>
      </w:r>
      <w:r w:rsidRPr="00604518">
        <w:rPr>
          <w:rFonts w:ascii="Times New Roman" w:hAnsi="Times New Roman" w:cs="Times New Roman"/>
          <w:sz w:val="24"/>
          <w:szCs w:val="24"/>
        </w:rPr>
        <w:t xml:space="preserve">, </w:t>
      </w:r>
      <w:r w:rsidRPr="00604518">
        <w:rPr>
          <w:rFonts w:ascii="Times New Roman" w:hAnsi="Times New Roman" w:cs="Times New Roman"/>
          <w:i/>
          <w:sz w:val="24"/>
          <w:szCs w:val="24"/>
        </w:rPr>
        <w:t>Il trionfo romano di Eleonora d’Aragona nel giugno del 1473</w:t>
      </w:r>
      <w:r w:rsidRPr="00604518">
        <w:rPr>
          <w:rFonts w:ascii="Times New Roman" w:hAnsi="Times New Roman" w:cs="Times New Roman"/>
          <w:sz w:val="24"/>
          <w:szCs w:val="24"/>
        </w:rPr>
        <w:t>, «Archivio della Società Romana di Storia Patria», 1887, X, pp. 663-684.</w:t>
      </w:r>
    </w:p>
    <w:p w14:paraId="67819BE1" w14:textId="77777777" w:rsidR="00796A9D" w:rsidRDefault="00796A9D" w:rsidP="00796A9D">
      <w:pPr>
        <w:pStyle w:val="Testonotaapidipagina"/>
        <w:jc w:val="both"/>
        <w:rPr>
          <w:rFonts w:ascii="Times New Roman" w:hAnsi="Times New Roman" w:cs="Times New Roman"/>
          <w:sz w:val="24"/>
          <w:szCs w:val="24"/>
        </w:rPr>
      </w:pPr>
    </w:p>
    <w:p w14:paraId="7245F58E" w14:textId="77777777" w:rsidR="00796A9D" w:rsidRDefault="00796A9D" w:rsidP="00796A9D">
      <w:pPr>
        <w:pStyle w:val="Testonotaapidipagina"/>
        <w:jc w:val="both"/>
        <w:rPr>
          <w:rFonts w:ascii="Times New Roman" w:hAnsi="Times New Roman" w:cs="Times New Roman"/>
          <w:sz w:val="24"/>
          <w:szCs w:val="24"/>
        </w:rPr>
      </w:pPr>
      <w:r w:rsidRPr="00440623">
        <w:rPr>
          <w:rFonts w:ascii="Times New Roman" w:hAnsi="Times New Roman" w:cs="Times New Roman"/>
          <w:smallCaps/>
          <w:sz w:val="24"/>
          <w:szCs w:val="24"/>
        </w:rPr>
        <w:t>S.F. Costa, F. La Brasca</w:t>
      </w:r>
      <w:r w:rsidRPr="00440623">
        <w:rPr>
          <w:rFonts w:ascii="Times New Roman" w:hAnsi="Times New Roman" w:cs="Times New Roman"/>
          <w:sz w:val="24"/>
          <w:szCs w:val="24"/>
        </w:rPr>
        <w:t xml:space="preserve">, </w:t>
      </w:r>
      <w:r w:rsidRPr="00440623">
        <w:rPr>
          <w:rFonts w:ascii="Times New Roman" w:hAnsi="Times New Roman" w:cs="Times New Roman"/>
          <w:i/>
          <w:sz w:val="24"/>
          <w:szCs w:val="24"/>
        </w:rPr>
        <w:t>Filippo Beroaldo l’Ancien. Filippo Beroaldo il Vecchio. Un passeur d’humanités. Un umanista ad limina</w:t>
      </w:r>
      <w:r w:rsidRPr="00440623">
        <w:rPr>
          <w:rFonts w:ascii="Times New Roman" w:hAnsi="Times New Roman" w:cs="Times New Roman"/>
          <w:sz w:val="24"/>
          <w:szCs w:val="24"/>
        </w:rPr>
        <w:t>, Bern, Peter Lang, 2005.</w:t>
      </w:r>
    </w:p>
    <w:p w14:paraId="00EA3B3B" w14:textId="77777777" w:rsidR="00796A9D" w:rsidRDefault="00796A9D" w:rsidP="00796A9D">
      <w:pPr>
        <w:pStyle w:val="Testonotaapidipagina"/>
        <w:jc w:val="both"/>
        <w:rPr>
          <w:rFonts w:ascii="Times New Roman" w:hAnsi="Times New Roman" w:cs="Times New Roman"/>
          <w:sz w:val="24"/>
          <w:szCs w:val="24"/>
        </w:rPr>
      </w:pPr>
    </w:p>
    <w:p w14:paraId="34EEF69D" w14:textId="77777777" w:rsidR="00796A9D" w:rsidRDefault="00796A9D" w:rsidP="00796A9D">
      <w:pPr>
        <w:pStyle w:val="Testonotaapidipagina"/>
        <w:jc w:val="both"/>
        <w:rPr>
          <w:rFonts w:ascii="Times New Roman" w:hAnsi="Times New Roman" w:cs="Times New Roman"/>
          <w:sz w:val="24"/>
          <w:szCs w:val="24"/>
        </w:rPr>
      </w:pPr>
      <w:r w:rsidRPr="00D551EC">
        <w:rPr>
          <w:rFonts w:ascii="Times New Roman" w:hAnsi="Times New Roman" w:cs="Times New Roman"/>
          <w:smallCaps/>
          <w:sz w:val="24"/>
          <w:szCs w:val="24"/>
        </w:rPr>
        <w:t>S. Costola</w:t>
      </w:r>
      <w:r w:rsidRPr="00D551EC">
        <w:rPr>
          <w:rFonts w:ascii="Times New Roman" w:hAnsi="Times New Roman" w:cs="Times New Roman"/>
          <w:sz w:val="24"/>
          <w:szCs w:val="24"/>
        </w:rPr>
        <w:t xml:space="preserve">, </w:t>
      </w:r>
      <w:r w:rsidRPr="00D551EC">
        <w:rPr>
          <w:rFonts w:ascii="Times New Roman" w:hAnsi="Times New Roman" w:cs="Times New Roman"/>
          <w:i/>
          <w:sz w:val="24"/>
          <w:szCs w:val="24"/>
        </w:rPr>
        <w:t>Storia di un pellegrinaggio. Momenti fra il sacro e il profano nella vita culturale ferrarese ai tempi di Ercole I d’Este</w:t>
      </w:r>
      <w:r w:rsidRPr="00D551EC">
        <w:rPr>
          <w:rFonts w:ascii="Times New Roman" w:hAnsi="Times New Roman" w:cs="Times New Roman"/>
          <w:sz w:val="24"/>
          <w:szCs w:val="24"/>
        </w:rPr>
        <w:t xml:space="preserve">, «Teatro e Storia», XI, 1996, pp. 205-240.  </w:t>
      </w:r>
    </w:p>
    <w:p w14:paraId="4E77B702" w14:textId="77777777" w:rsidR="00487B4B" w:rsidRDefault="00487B4B" w:rsidP="00796A9D">
      <w:pPr>
        <w:pStyle w:val="Testonotaapidipagina"/>
        <w:jc w:val="both"/>
        <w:rPr>
          <w:rFonts w:ascii="Times New Roman" w:hAnsi="Times New Roman" w:cs="Times New Roman"/>
          <w:sz w:val="24"/>
          <w:szCs w:val="24"/>
        </w:rPr>
      </w:pPr>
    </w:p>
    <w:p w14:paraId="61B4A220" w14:textId="77777777" w:rsidR="00487B4B" w:rsidRPr="00487B4B" w:rsidRDefault="00487B4B" w:rsidP="00796A9D">
      <w:pPr>
        <w:pStyle w:val="Testonotaapidipagina"/>
        <w:jc w:val="both"/>
        <w:rPr>
          <w:rFonts w:ascii="Times New Roman" w:hAnsi="Times New Roman" w:cs="Times New Roman"/>
          <w:sz w:val="24"/>
          <w:szCs w:val="24"/>
        </w:rPr>
      </w:pPr>
      <w:r w:rsidRPr="00487B4B">
        <w:rPr>
          <w:rFonts w:ascii="Times New Roman" w:hAnsi="Times New Roman" w:cs="Times New Roman"/>
          <w:smallCaps/>
          <w:sz w:val="24"/>
          <w:szCs w:val="24"/>
        </w:rPr>
        <w:t>S. Costola</w:t>
      </w:r>
      <w:r w:rsidRPr="00487B4B">
        <w:rPr>
          <w:rFonts w:ascii="Times New Roman" w:hAnsi="Times New Roman" w:cs="Times New Roman"/>
          <w:sz w:val="24"/>
          <w:szCs w:val="24"/>
        </w:rPr>
        <w:t xml:space="preserve">, </w:t>
      </w:r>
      <w:r w:rsidRPr="00487B4B">
        <w:rPr>
          <w:rFonts w:ascii="Times New Roman" w:hAnsi="Times New Roman" w:cs="Times New Roman"/>
          <w:i/>
          <w:sz w:val="24"/>
          <w:szCs w:val="24"/>
        </w:rPr>
        <w:t>La prima rappresentazione dei Suppositi di Ariosto nel 1509</w:t>
      </w:r>
      <w:r w:rsidRPr="00487B4B">
        <w:rPr>
          <w:rFonts w:ascii="Times New Roman" w:hAnsi="Times New Roman" w:cs="Times New Roman"/>
          <w:sz w:val="24"/>
          <w:szCs w:val="24"/>
        </w:rPr>
        <w:t>, in</w:t>
      </w:r>
      <w:r w:rsidRPr="00487B4B">
        <w:rPr>
          <w:rFonts w:ascii="Times New Roman" w:hAnsi="Times New Roman" w:cs="Times New Roman"/>
          <w:i/>
          <w:sz w:val="24"/>
          <w:szCs w:val="24"/>
        </w:rPr>
        <w:t xml:space="preserve"> Lucrezia Borgia: storia e mito, </w:t>
      </w:r>
      <w:r w:rsidRPr="00487B4B">
        <w:rPr>
          <w:rFonts w:ascii="Times New Roman" w:hAnsi="Times New Roman" w:cs="Times New Roman"/>
          <w:sz w:val="24"/>
          <w:szCs w:val="24"/>
        </w:rPr>
        <w:t xml:space="preserve">a cura di </w:t>
      </w:r>
      <w:r w:rsidRPr="00487B4B">
        <w:rPr>
          <w:rFonts w:ascii="Times New Roman" w:hAnsi="Times New Roman" w:cs="Times New Roman"/>
          <w:smallCaps/>
          <w:sz w:val="24"/>
          <w:szCs w:val="24"/>
        </w:rPr>
        <w:t>M. Bordin, P. Trovato</w:t>
      </w:r>
      <w:r w:rsidRPr="00487B4B">
        <w:rPr>
          <w:rFonts w:ascii="Times New Roman" w:hAnsi="Times New Roman" w:cs="Times New Roman"/>
          <w:sz w:val="24"/>
          <w:szCs w:val="24"/>
        </w:rPr>
        <w:t>, Firenze, Olschki, 2006., pp. 75-96.</w:t>
      </w:r>
    </w:p>
    <w:p w14:paraId="69BC986A" w14:textId="77777777" w:rsidR="00796A9D" w:rsidRDefault="00796A9D" w:rsidP="00796A9D">
      <w:pPr>
        <w:pStyle w:val="Testonotaapidipagina"/>
        <w:jc w:val="both"/>
        <w:rPr>
          <w:rFonts w:ascii="Times New Roman" w:hAnsi="Times New Roman" w:cs="Times New Roman"/>
          <w:sz w:val="24"/>
          <w:szCs w:val="24"/>
        </w:rPr>
      </w:pPr>
    </w:p>
    <w:p w14:paraId="032FFED7" w14:textId="77777777" w:rsidR="00796A9D" w:rsidRPr="004C5C1D" w:rsidRDefault="00796A9D" w:rsidP="00796A9D">
      <w:pPr>
        <w:pStyle w:val="Testonotaapidipagina"/>
        <w:jc w:val="both"/>
        <w:rPr>
          <w:rFonts w:ascii="Times New Roman" w:hAnsi="Times New Roman" w:cs="Times New Roman"/>
          <w:sz w:val="24"/>
          <w:szCs w:val="24"/>
        </w:rPr>
      </w:pPr>
      <w:r w:rsidRPr="004C5C1D">
        <w:rPr>
          <w:rFonts w:ascii="Times New Roman" w:hAnsi="Times New Roman"/>
          <w:sz w:val="24"/>
          <w:szCs w:val="24"/>
        </w:rPr>
        <w:t xml:space="preserve">N. </w:t>
      </w:r>
      <w:r w:rsidRPr="004C5C1D">
        <w:rPr>
          <w:rFonts w:ascii="Times New Roman" w:hAnsi="Times New Roman"/>
          <w:smallCaps/>
          <w:sz w:val="24"/>
          <w:szCs w:val="24"/>
        </w:rPr>
        <w:t>Covini</w:t>
      </w:r>
      <w:r w:rsidRPr="004C5C1D">
        <w:rPr>
          <w:rFonts w:ascii="Times New Roman" w:hAnsi="Times New Roman"/>
          <w:sz w:val="24"/>
          <w:szCs w:val="24"/>
        </w:rPr>
        <w:t xml:space="preserve">, </w:t>
      </w:r>
      <w:r w:rsidRPr="004C5C1D">
        <w:rPr>
          <w:rFonts w:ascii="Times New Roman" w:hAnsi="Times New Roman"/>
          <w:i/>
          <w:sz w:val="24"/>
          <w:szCs w:val="24"/>
        </w:rPr>
        <w:t>Feste e cerimonie milanesi tra città e corte. Appunti dai carteggi mantovani</w:t>
      </w:r>
      <w:r w:rsidRPr="004C5C1D">
        <w:rPr>
          <w:rFonts w:ascii="Times New Roman" w:hAnsi="Times New Roman"/>
          <w:sz w:val="24"/>
          <w:szCs w:val="24"/>
        </w:rPr>
        <w:t xml:space="preserve">, </w:t>
      </w:r>
      <w:r w:rsidRPr="004C5C1D">
        <w:rPr>
          <w:rFonts w:ascii="Times New Roman" w:hAnsi="Times New Roman" w:cs="Times New Roman"/>
          <w:sz w:val="24"/>
          <w:szCs w:val="24"/>
        </w:rPr>
        <w:t>«</w:t>
      </w:r>
      <w:r w:rsidRPr="004C5C1D">
        <w:rPr>
          <w:rFonts w:ascii="Times New Roman" w:hAnsi="Times New Roman"/>
          <w:sz w:val="24"/>
          <w:szCs w:val="24"/>
        </w:rPr>
        <w:t>Ludica. Annali di storia e civiltà del gioco</w:t>
      </w:r>
      <w:r w:rsidRPr="004C5C1D">
        <w:rPr>
          <w:rFonts w:ascii="Times New Roman" w:hAnsi="Times New Roman" w:cs="Times New Roman"/>
          <w:sz w:val="24"/>
          <w:szCs w:val="24"/>
        </w:rPr>
        <w:t>»</w:t>
      </w:r>
      <w:r w:rsidRPr="004C5C1D">
        <w:rPr>
          <w:rFonts w:ascii="Times New Roman" w:hAnsi="Times New Roman"/>
          <w:sz w:val="24"/>
          <w:szCs w:val="24"/>
        </w:rPr>
        <w:t>, VII, 2001, pp. 122-150.</w:t>
      </w:r>
    </w:p>
    <w:p w14:paraId="635039E5" w14:textId="77777777" w:rsidR="00796A9D" w:rsidRDefault="00796A9D" w:rsidP="00796A9D">
      <w:pPr>
        <w:pStyle w:val="Testonotaapidipagina"/>
        <w:jc w:val="both"/>
        <w:rPr>
          <w:rFonts w:ascii="Times New Roman" w:hAnsi="Times New Roman" w:cs="Times New Roman"/>
          <w:sz w:val="24"/>
          <w:szCs w:val="24"/>
        </w:rPr>
      </w:pPr>
    </w:p>
    <w:p w14:paraId="17CA0473" w14:textId="77777777" w:rsidR="00796A9D" w:rsidRDefault="00796A9D" w:rsidP="00796A9D">
      <w:pPr>
        <w:pStyle w:val="Testonotaapidipagina"/>
        <w:jc w:val="both"/>
        <w:rPr>
          <w:rFonts w:ascii="Times New Roman" w:hAnsi="Times New Roman" w:cs="Times New Roman"/>
          <w:sz w:val="24"/>
          <w:szCs w:val="24"/>
        </w:rPr>
      </w:pPr>
      <w:r w:rsidRPr="00A47860">
        <w:rPr>
          <w:rFonts w:ascii="Times New Roman" w:hAnsi="Times New Roman" w:cs="Times New Roman"/>
          <w:smallCaps/>
          <w:sz w:val="24"/>
          <w:szCs w:val="24"/>
        </w:rPr>
        <w:t>M.N. Covini</w:t>
      </w:r>
      <w:r w:rsidRPr="00A47860">
        <w:rPr>
          <w:rFonts w:ascii="Times New Roman" w:hAnsi="Times New Roman" w:cs="Times New Roman"/>
          <w:sz w:val="24"/>
          <w:szCs w:val="24"/>
        </w:rPr>
        <w:t xml:space="preserve">, </w:t>
      </w:r>
      <w:r w:rsidRPr="00A47860">
        <w:rPr>
          <w:rFonts w:ascii="Times New Roman" w:hAnsi="Times New Roman" w:cs="Times New Roman"/>
          <w:i/>
          <w:sz w:val="24"/>
          <w:szCs w:val="24"/>
        </w:rPr>
        <w:t>Milano e Bologna dopo il 1445. Scambi militari, condotte e diplomazia</w:t>
      </w:r>
      <w:r w:rsidRPr="00A47860">
        <w:rPr>
          <w:rFonts w:ascii="Times New Roman" w:hAnsi="Times New Roman" w:cs="Times New Roman"/>
          <w:sz w:val="24"/>
          <w:szCs w:val="24"/>
        </w:rPr>
        <w:t xml:space="preserve">, in </w:t>
      </w:r>
      <w:r w:rsidRPr="00A47860">
        <w:rPr>
          <w:rFonts w:ascii="Times New Roman" w:hAnsi="Times New Roman" w:cs="Times New Roman"/>
          <w:i/>
          <w:sz w:val="24"/>
          <w:szCs w:val="24"/>
        </w:rPr>
        <w:t>Condottieri e uomini d’arme nell’Italia del Rinascimento</w:t>
      </w:r>
      <w:r w:rsidRPr="00A47860">
        <w:rPr>
          <w:rFonts w:ascii="Times New Roman" w:hAnsi="Times New Roman" w:cs="Times New Roman"/>
          <w:sz w:val="24"/>
          <w:szCs w:val="24"/>
        </w:rPr>
        <w:t xml:space="preserve">, a cura di </w:t>
      </w:r>
      <w:r w:rsidRPr="00A47860">
        <w:rPr>
          <w:rFonts w:ascii="Times New Roman" w:hAnsi="Times New Roman" w:cs="Times New Roman"/>
          <w:smallCaps/>
          <w:sz w:val="24"/>
          <w:szCs w:val="24"/>
        </w:rPr>
        <w:t>M. Del Treppo</w:t>
      </w:r>
      <w:r w:rsidRPr="00A47860">
        <w:rPr>
          <w:rFonts w:ascii="Times New Roman" w:hAnsi="Times New Roman" w:cs="Times New Roman"/>
          <w:sz w:val="24"/>
          <w:szCs w:val="24"/>
        </w:rPr>
        <w:t>, Napoli, Liguori, 2001, pp. 165-214.</w:t>
      </w:r>
    </w:p>
    <w:p w14:paraId="3C197CBB" w14:textId="77777777" w:rsidR="00796A9D" w:rsidRDefault="00796A9D" w:rsidP="00796A9D">
      <w:pPr>
        <w:pStyle w:val="Testonotaapidipagina"/>
        <w:jc w:val="both"/>
        <w:rPr>
          <w:rFonts w:ascii="Times New Roman" w:hAnsi="Times New Roman" w:cs="Times New Roman"/>
          <w:sz w:val="24"/>
          <w:szCs w:val="24"/>
        </w:rPr>
      </w:pPr>
    </w:p>
    <w:p w14:paraId="38D2DA51" w14:textId="77777777" w:rsidR="00796A9D" w:rsidRDefault="00796A9D" w:rsidP="00796A9D">
      <w:pPr>
        <w:pStyle w:val="Testonotaapidipagina"/>
        <w:jc w:val="both"/>
        <w:rPr>
          <w:rFonts w:ascii="Times New Roman" w:hAnsi="Times New Roman" w:cs="Times New Roman"/>
          <w:sz w:val="24"/>
          <w:szCs w:val="24"/>
        </w:rPr>
      </w:pPr>
      <w:r w:rsidRPr="00B31CDF">
        <w:rPr>
          <w:rFonts w:ascii="Times New Roman" w:hAnsi="Times New Roman" w:cs="Times New Roman"/>
          <w:smallCaps/>
          <w:sz w:val="24"/>
          <w:szCs w:val="24"/>
        </w:rPr>
        <w:t>N. Covini</w:t>
      </w:r>
      <w:r w:rsidRPr="00B31CDF">
        <w:rPr>
          <w:rFonts w:ascii="Times New Roman" w:hAnsi="Times New Roman" w:cs="Times New Roman"/>
          <w:sz w:val="24"/>
          <w:szCs w:val="24"/>
        </w:rPr>
        <w:t xml:space="preserve">, </w:t>
      </w:r>
      <w:r w:rsidRPr="00B31CDF">
        <w:rPr>
          <w:rFonts w:ascii="Times New Roman" w:hAnsi="Times New Roman" w:cs="Times New Roman"/>
          <w:i/>
          <w:sz w:val="24"/>
          <w:szCs w:val="24"/>
        </w:rPr>
        <w:t>Visibilità del principe e residenza aperta: la Corte dell’Arengo di Milano tra Visconti e Sforza</w:t>
      </w:r>
      <w:r w:rsidRPr="00B31CDF">
        <w:rPr>
          <w:rFonts w:ascii="Times New Roman" w:hAnsi="Times New Roman" w:cs="Times New Roman"/>
          <w:sz w:val="24"/>
          <w:szCs w:val="24"/>
        </w:rPr>
        <w:t xml:space="preserve">, in </w:t>
      </w:r>
      <w:r w:rsidRPr="00B31CDF">
        <w:rPr>
          <w:rFonts w:ascii="Times New Roman" w:hAnsi="Times New Roman" w:cs="Times New Roman"/>
          <w:i/>
          <w:sz w:val="24"/>
          <w:szCs w:val="24"/>
        </w:rPr>
        <w:t>Il principe invisibile</w:t>
      </w:r>
      <w:r w:rsidRPr="00B31CDF">
        <w:rPr>
          <w:rFonts w:ascii="Times New Roman" w:hAnsi="Times New Roman" w:cs="Times New Roman"/>
          <w:sz w:val="24"/>
          <w:szCs w:val="24"/>
        </w:rPr>
        <w:t xml:space="preserve">, a cura di </w:t>
      </w:r>
      <w:r w:rsidRPr="00B31CDF">
        <w:rPr>
          <w:rFonts w:ascii="Times New Roman" w:hAnsi="Times New Roman" w:cs="Times New Roman"/>
          <w:smallCaps/>
          <w:sz w:val="24"/>
          <w:szCs w:val="24"/>
        </w:rPr>
        <w:t>L. Bertolini, A. Calzona, G. M. Cantarella, S. Caroti</w:t>
      </w:r>
      <w:r w:rsidRPr="00B31CDF">
        <w:rPr>
          <w:rFonts w:ascii="Times New Roman" w:hAnsi="Times New Roman" w:cs="Times New Roman"/>
          <w:sz w:val="24"/>
          <w:szCs w:val="24"/>
        </w:rPr>
        <w:t>, Turnhout, Brepols, 2015, pp. 153-172.</w:t>
      </w:r>
    </w:p>
    <w:p w14:paraId="0C0E1ABD" w14:textId="77777777" w:rsidR="00796A9D" w:rsidRDefault="00796A9D" w:rsidP="00796A9D">
      <w:pPr>
        <w:pStyle w:val="Testonotaapidipagina"/>
        <w:jc w:val="both"/>
        <w:rPr>
          <w:rFonts w:ascii="Times New Roman" w:hAnsi="Times New Roman" w:cs="Times New Roman"/>
          <w:sz w:val="24"/>
          <w:szCs w:val="24"/>
        </w:rPr>
      </w:pPr>
    </w:p>
    <w:p w14:paraId="142478D0" w14:textId="77777777" w:rsidR="00796A9D" w:rsidRDefault="00796A9D" w:rsidP="00796A9D">
      <w:pPr>
        <w:pStyle w:val="Testonotaapidipagina"/>
        <w:jc w:val="both"/>
        <w:rPr>
          <w:rFonts w:ascii="Times New Roman" w:hAnsi="Times New Roman" w:cs="Times New Roman"/>
        </w:rPr>
      </w:pPr>
      <w:r w:rsidRPr="00036814">
        <w:rPr>
          <w:rFonts w:ascii="Times New Roman" w:hAnsi="Times New Roman" w:cs="Times New Roman"/>
          <w:smallCaps/>
          <w:sz w:val="24"/>
          <w:szCs w:val="24"/>
        </w:rPr>
        <w:t>B. Croce</w:t>
      </w:r>
      <w:r w:rsidRPr="00036814">
        <w:rPr>
          <w:rFonts w:ascii="Times New Roman" w:hAnsi="Times New Roman" w:cs="Times New Roman"/>
          <w:sz w:val="24"/>
          <w:szCs w:val="24"/>
        </w:rPr>
        <w:t xml:space="preserve">, </w:t>
      </w:r>
      <w:r w:rsidRPr="00036814">
        <w:rPr>
          <w:rFonts w:ascii="Times New Roman" w:hAnsi="Times New Roman" w:cs="Times New Roman"/>
          <w:i/>
          <w:sz w:val="24"/>
          <w:szCs w:val="24"/>
        </w:rPr>
        <w:t>I teatri di Napoli</w:t>
      </w:r>
      <w:r w:rsidRPr="00036814">
        <w:rPr>
          <w:rFonts w:ascii="Times New Roman" w:hAnsi="Times New Roman" w:cs="Times New Roman"/>
          <w:sz w:val="24"/>
          <w:szCs w:val="24"/>
        </w:rPr>
        <w:t>, Napoli, Pierro, 1891</w:t>
      </w:r>
      <w:r>
        <w:rPr>
          <w:rFonts w:ascii="Times New Roman" w:hAnsi="Times New Roman" w:cs="Times New Roman"/>
        </w:rPr>
        <w:t>.</w:t>
      </w:r>
    </w:p>
    <w:p w14:paraId="563B8739" w14:textId="77777777" w:rsidR="00796A9D" w:rsidRDefault="00796A9D" w:rsidP="00796A9D">
      <w:pPr>
        <w:pStyle w:val="Testonotaapidipagina"/>
        <w:jc w:val="both"/>
        <w:rPr>
          <w:rFonts w:ascii="Times New Roman" w:hAnsi="Times New Roman" w:cs="Times New Roman"/>
          <w:sz w:val="24"/>
          <w:szCs w:val="24"/>
        </w:rPr>
      </w:pPr>
    </w:p>
    <w:p w14:paraId="44BF705F" w14:textId="77777777" w:rsidR="00796A9D" w:rsidRDefault="00796A9D" w:rsidP="00796A9D">
      <w:pPr>
        <w:pStyle w:val="Testonotaapidipagina"/>
        <w:jc w:val="both"/>
        <w:rPr>
          <w:rFonts w:ascii="Times New Roman" w:hAnsi="Times New Roman" w:cs="Times New Roman"/>
          <w:sz w:val="24"/>
          <w:szCs w:val="24"/>
        </w:rPr>
      </w:pPr>
      <w:r w:rsidRPr="00A22398">
        <w:rPr>
          <w:rFonts w:ascii="Times New Roman" w:hAnsi="Times New Roman" w:cs="Times New Roman"/>
          <w:smallCaps/>
          <w:sz w:val="24"/>
          <w:szCs w:val="24"/>
        </w:rPr>
        <w:t>F. Cruciani, F. Taviani</w:t>
      </w:r>
      <w:r w:rsidRPr="00A22398">
        <w:rPr>
          <w:rFonts w:ascii="Times New Roman" w:hAnsi="Times New Roman" w:cs="Times New Roman"/>
          <w:sz w:val="24"/>
          <w:szCs w:val="24"/>
        </w:rPr>
        <w:t xml:space="preserve">, </w:t>
      </w:r>
      <w:r w:rsidRPr="00A22398">
        <w:rPr>
          <w:rFonts w:ascii="Times New Roman" w:hAnsi="Times New Roman" w:cs="Times New Roman"/>
          <w:i/>
          <w:sz w:val="24"/>
          <w:szCs w:val="24"/>
        </w:rPr>
        <w:t>Discorso preliminare per una ricerca in collaborazione</w:t>
      </w:r>
      <w:r w:rsidRPr="00A22398">
        <w:rPr>
          <w:rFonts w:ascii="Times New Roman" w:hAnsi="Times New Roman" w:cs="Times New Roman"/>
          <w:sz w:val="24"/>
          <w:szCs w:val="24"/>
        </w:rPr>
        <w:t xml:space="preserve">, in </w:t>
      </w:r>
      <w:r w:rsidRPr="00A22398">
        <w:rPr>
          <w:rFonts w:ascii="Times New Roman" w:hAnsi="Times New Roman" w:cs="Times New Roman"/>
          <w:i/>
          <w:sz w:val="24"/>
          <w:szCs w:val="24"/>
        </w:rPr>
        <w:t>Il teatro dei medici</w:t>
      </w:r>
      <w:r w:rsidRPr="00A22398">
        <w:rPr>
          <w:rFonts w:ascii="Times New Roman" w:hAnsi="Times New Roman" w:cs="Times New Roman"/>
          <w:sz w:val="24"/>
          <w:szCs w:val="24"/>
        </w:rPr>
        <w:t>, «Quaderni di teatro», VII, 1980, pp. 31-66.</w:t>
      </w:r>
    </w:p>
    <w:p w14:paraId="7F46BE1B" w14:textId="77777777" w:rsidR="00796A9D" w:rsidRDefault="00796A9D" w:rsidP="00796A9D">
      <w:pPr>
        <w:pStyle w:val="Testonotaapidipagina"/>
        <w:jc w:val="both"/>
        <w:rPr>
          <w:rFonts w:ascii="Times New Roman" w:hAnsi="Times New Roman" w:cs="Times New Roman"/>
          <w:sz w:val="24"/>
          <w:szCs w:val="24"/>
        </w:rPr>
      </w:pPr>
    </w:p>
    <w:p w14:paraId="57F80A98" w14:textId="77777777" w:rsidR="00796A9D" w:rsidRPr="00360251" w:rsidRDefault="00796A9D" w:rsidP="00796A9D">
      <w:pPr>
        <w:pStyle w:val="Testonotaapidipagina"/>
        <w:jc w:val="both"/>
        <w:rPr>
          <w:rFonts w:ascii="Times New Roman" w:hAnsi="Times New Roman" w:cs="Times New Roman"/>
          <w:sz w:val="24"/>
          <w:szCs w:val="24"/>
        </w:rPr>
      </w:pPr>
      <w:r w:rsidRPr="00360251">
        <w:rPr>
          <w:rFonts w:ascii="Times New Roman" w:hAnsi="Times New Roman" w:cs="Times New Roman"/>
          <w:smallCaps/>
          <w:sz w:val="24"/>
          <w:szCs w:val="24"/>
        </w:rPr>
        <w:t>F. Cruciani</w:t>
      </w:r>
      <w:r w:rsidRPr="00360251">
        <w:rPr>
          <w:rFonts w:ascii="Times New Roman" w:hAnsi="Times New Roman" w:cs="Times New Roman"/>
          <w:sz w:val="24"/>
          <w:szCs w:val="24"/>
        </w:rPr>
        <w:t xml:space="preserve">, </w:t>
      </w:r>
      <w:r w:rsidRPr="00360251">
        <w:rPr>
          <w:rFonts w:ascii="Times New Roman" w:hAnsi="Times New Roman" w:cs="Times New Roman"/>
          <w:i/>
          <w:sz w:val="24"/>
          <w:szCs w:val="24"/>
        </w:rPr>
        <w:t>Gli attori e l’attore a Ferrara. Premessa per un catalogo</w:t>
      </w:r>
      <w:r w:rsidRPr="00360251">
        <w:rPr>
          <w:rFonts w:ascii="Times New Roman" w:hAnsi="Times New Roman" w:cs="Times New Roman"/>
          <w:sz w:val="24"/>
          <w:szCs w:val="24"/>
        </w:rPr>
        <w:t xml:space="preserve">, in </w:t>
      </w:r>
      <w:r w:rsidRPr="00360251">
        <w:rPr>
          <w:rFonts w:ascii="Times New Roman" w:hAnsi="Times New Roman" w:cs="Times New Roman"/>
          <w:i/>
          <w:sz w:val="24"/>
          <w:szCs w:val="24"/>
        </w:rPr>
        <w:t>La corte e lo spazio: Ferrara estense</w:t>
      </w:r>
      <w:r w:rsidRPr="00360251">
        <w:rPr>
          <w:rFonts w:ascii="Times New Roman" w:hAnsi="Times New Roman" w:cs="Times New Roman"/>
          <w:sz w:val="24"/>
          <w:szCs w:val="24"/>
        </w:rPr>
        <w:t xml:space="preserve">, a cura di </w:t>
      </w:r>
      <w:r w:rsidRPr="00360251">
        <w:rPr>
          <w:rFonts w:ascii="Times New Roman" w:hAnsi="Times New Roman" w:cs="Times New Roman"/>
          <w:smallCaps/>
          <w:sz w:val="24"/>
          <w:szCs w:val="24"/>
        </w:rPr>
        <w:t>G. Pagano, A. Quondam</w:t>
      </w:r>
      <w:r w:rsidRPr="00360251">
        <w:rPr>
          <w:rFonts w:ascii="Times New Roman" w:hAnsi="Times New Roman" w:cs="Times New Roman"/>
          <w:sz w:val="24"/>
          <w:szCs w:val="24"/>
        </w:rPr>
        <w:t>, Roma, Bulzoni, 1982, pp. 451-466</w:t>
      </w:r>
      <w:r>
        <w:rPr>
          <w:rFonts w:ascii="Times New Roman" w:hAnsi="Times New Roman" w:cs="Times New Roman"/>
          <w:sz w:val="24"/>
          <w:szCs w:val="24"/>
        </w:rPr>
        <w:t>.</w:t>
      </w:r>
    </w:p>
    <w:p w14:paraId="61BB3B90" w14:textId="77777777" w:rsidR="00796A9D" w:rsidRDefault="00796A9D" w:rsidP="00796A9D">
      <w:pPr>
        <w:pStyle w:val="Testonotaapidipagina"/>
        <w:jc w:val="both"/>
        <w:rPr>
          <w:rFonts w:ascii="Times New Roman" w:hAnsi="Times New Roman" w:cs="Times New Roman"/>
          <w:sz w:val="24"/>
          <w:szCs w:val="24"/>
        </w:rPr>
      </w:pPr>
    </w:p>
    <w:p w14:paraId="66E8F50D" w14:textId="77777777" w:rsidR="00796A9D" w:rsidRDefault="00796A9D" w:rsidP="00796A9D">
      <w:pPr>
        <w:pStyle w:val="Testonotaapidipagina"/>
        <w:jc w:val="both"/>
        <w:rPr>
          <w:rFonts w:ascii="Times New Roman" w:hAnsi="Times New Roman" w:cs="Times New Roman"/>
          <w:sz w:val="24"/>
          <w:szCs w:val="24"/>
        </w:rPr>
      </w:pPr>
      <w:r w:rsidRPr="007E2139">
        <w:rPr>
          <w:rFonts w:ascii="Times New Roman" w:hAnsi="Times New Roman" w:cs="Times New Roman"/>
          <w:sz w:val="24"/>
          <w:szCs w:val="24"/>
        </w:rPr>
        <w:t xml:space="preserve">F. </w:t>
      </w:r>
      <w:r w:rsidRPr="007E2139">
        <w:rPr>
          <w:rFonts w:ascii="Times New Roman" w:hAnsi="Times New Roman" w:cs="Times New Roman"/>
          <w:smallCaps/>
          <w:sz w:val="24"/>
          <w:szCs w:val="24"/>
        </w:rPr>
        <w:t>Cruciani</w:t>
      </w:r>
      <w:r w:rsidRPr="007E2139">
        <w:rPr>
          <w:rFonts w:ascii="Times New Roman" w:hAnsi="Times New Roman" w:cs="Times New Roman"/>
          <w:sz w:val="24"/>
          <w:szCs w:val="24"/>
        </w:rPr>
        <w:t xml:space="preserve">, </w:t>
      </w:r>
      <w:r w:rsidRPr="007E2139">
        <w:rPr>
          <w:rFonts w:ascii="Times New Roman" w:hAnsi="Times New Roman" w:cs="Times New Roman"/>
          <w:i/>
          <w:sz w:val="24"/>
          <w:szCs w:val="24"/>
        </w:rPr>
        <w:t>Teatro nel Rinascimento. Roma 1450-1550</w:t>
      </w:r>
      <w:r w:rsidRPr="007E2139">
        <w:rPr>
          <w:rFonts w:ascii="Times New Roman" w:hAnsi="Times New Roman" w:cs="Times New Roman"/>
          <w:sz w:val="24"/>
          <w:szCs w:val="24"/>
        </w:rPr>
        <w:t>, Roma, Bulzoni, 1983.</w:t>
      </w:r>
    </w:p>
    <w:p w14:paraId="120DE997" w14:textId="77777777" w:rsidR="00796A9D" w:rsidRDefault="00796A9D" w:rsidP="00796A9D">
      <w:pPr>
        <w:pStyle w:val="Testonotaapidipagina"/>
        <w:jc w:val="both"/>
        <w:rPr>
          <w:rFonts w:ascii="Times New Roman" w:hAnsi="Times New Roman" w:cs="Times New Roman"/>
          <w:sz w:val="24"/>
          <w:szCs w:val="24"/>
        </w:rPr>
      </w:pPr>
    </w:p>
    <w:p w14:paraId="3AC6EE9E" w14:textId="77777777" w:rsidR="00796A9D" w:rsidRPr="0064645A" w:rsidRDefault="00796A9D" w:rsidP="00796A9D">
      <w:pPr>
        <w:pStyle w:val="Testonotaapidipagina"/>
        <w:jc w:val="both"/>
        <w:rPr>
          <w:rFonts w:ascii="Times New Roman" w:hAnsi="Times New Roman" w:cs="Times New Roman"/>
          <w:sz w:val="24"/>
          <w:szCs w:val="24"/>
        </w:rPr>
      </w:pPr>
      <w:r w:rsidRPr="0064645A">
        <w:rPr>
          <w:rFonts w:ascii="Times New Roman" w:hAnsi="Times New Roman" w:cs="Times New Roman"/>
          <w:sz w:val="24"/>
          <w:szCs w:val="24"/>
        </w:rPr>
        <w:t xml:space="preserve">F. </w:t>
      </w:r>
      <w:r w:rsidRPr="0064645A">
        <w:rPr>
          <w:rFonts w:ascii="Times New Roman" w:hAnsi="Times New Roman" w:cs="Times New Roman"/>
          <w:smallCaps/>
          <w:sz w:val="24"/>
          <w:szCs w:val="24"/>
        </w:rPr>
        <w:t>Cruciani</w:t>
      </w:r>
      <w:r w:rsidRPr="0064645A">
        <w:rPr>
          <w:rFonts w:ascii="Times New Roman" w:hAnsi="Times New Roman" w:cs="Times New Roman"/>
          <w:sz w:val="24"/>
          <w:szCs w:val="24"/>
        </w:rPr>
        <w:t xml:space="preserve">, </w:t>
      </w:r>
      <w:r w:rsidRPr="0064645A">
        <w:rPr>
          <w:rFonts w:ascii="Times New Roman" w:hAnsi="Times New Roman" w:cs="Times New Roman"/>
          <w:i/>
          <w:sz w:val="24"/>
          <w:szCs w:val="24"/>
        </w:rPr>
        <w:t>Il teatro e la festa</w:t>
      </w:r>
      <w:r w:rsidRPr="0064645A">
        <w:rPr>
          <w:rFonts w:ascii="Times New Roman" w:hAnsi="Times New Roman" w:cs="Times New Roman"/>
          <w:sz w:val="24"/>
          <w:szCs w:val="24"/>
        </w:rPr>
        <w:t xml:space="preserve">, in </w:t>
      </w:r>
      <w:r w:rsidRPr="0064645A">
        <w:rPr>
          <w:rFonts w:ascii="Times New Roman" w:hAnsi="Times New Roman" w:cs="Times New Roman"/>
          <w:smallCaps/>
          <w:sz w:val="24"/>
          <w:szCs w:val="24"/>
        </w:rPr>
        <w:t>Idem</w:t>
      </w:r>
      <w:r w:rsidRPr="0064645A">
        <w:rPr>
          <w:rFonts w:ascii="Times New Roman" w:hAnsi="Times New Roman" w:cs="Times New Roman"/>
          <w:sz w:val="24"/>
          <w:szCs w:val="24"/>
        </w:rPr>
        <w:t>, D</w:t>
      </w:r>
      <w:r w:rsidRPr="0064645A">
        <w:rPr>
          <w:rFonts w:ascii="Times New Roman" w:hAnsi="Times New Roman" w:cs="Times New Roman"/>
          <w:smallCaps/>
          <w:sz w:val="24"/>
          <w:szCs w:val="24"/>
        </w:rPr>
        <w:t>. Seragnoli</w:t>
      </w:r>
      <w:r w:rsidRPr="0064645A">
        <w:rPr>
          <w:rFonts w:ascii="Times New Roman" w:hAnsi="Times New Roman" w:cs="Times New Roman"/>
          <w:sz w:val="24"/>
          <w:szCs w:val="24"/>
        </w:rPr>
        <w:t xml:space="preserve">, </w:t>
      </w:r>
      <w:r w:rsidRPr="0064645A">
        <w:rPr>
          <w:rFonts w:ascii="Times New Roman" w:hAnsi="Times New Roman" w:cs="Times New Roman"/>
          <w:i/>
          <w:sz w:val="24"/>
          <w:szCs w:val="24"/>
        </w:rPr>
        <w:t>Il teatro italiano nel Rinascimento</w:t>
      </w:r>
      <w:r w:rsidRPr="0064645A">
        <w:rPr>
          <w:rFonts w:ascii="Times New Roman" w:hAnsi="Times New Roman" w:cs="Times New Roman"/>
          <w:sz w:val="24"/>
          <w:szCs w:val="24"/>
        </w:rPr>
        <w:t>, Bologna, il Mulino, 1987, pp. 37-59.</w:t>
      </w:r>
    </w:p>
    <w:p w14:paraId="7CBCF60A" w14:textId="77777777" w:rsidR="00796A9D" w:rsidRDefault="00796A9D" w:rsidP="00796A9D">
      <w:pPr>
        <w:pStyle w:val="Testonotaapidipagina"/>
        <w:jc w:val="both"/>
        <w:rPr>
          <w:rFonts w:ascii="Times New Roman" w:hAnsi="Times New Roman" w:cs="Times New Roman"/>
          <w:smallCaps/>
          <w:sz w:val="24"/>
          <w:szCs w:val="24"/>
        </w:rPr>
      </w:pPr>
    </w:p>
    <w:p w14:paraId="7837EB3F"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G. D’Adda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Indagini storiche, artistiche e bibliografiche sulla Libreria Visconteo-Sforzesca del castello di Pavia compilate ed illustrate con documenti inediti</w:t>
      </w:r>
      <w:r w:rsidRPr="00BA2DBB">
        <w:rPr>
          <w:rFonts w:ascii="Times New Roman" w:hAnsi="Times New Roman" w:cs="Times New Roman"/>
          <w:sz w:val="24"/>
          <w:szCs w:val="24"/>
        </w:rPr>
        <w:t>, Milano, Brigola, 1875.</w:t>
      </w:r>
    </w:p>
    <w:p w14:paraId="1448B56B" w14:textId="77777777" w:rsidR="00796A9D" w:rsidRPr="00BA2DBB" w:rsidRDefault="00796A9D" w:rsidP="00796A9D">
      <w:pPr>
        <w:pStyle w:val="Testonotaapidipagina"/>
        <w:jc w:val="both"/>
        <w:rPr>
          <w:rFonts w:ascii="Times New Roman" w:hAnsi="Times New Roman" w:cs="Times New Roman"/>
          <w:sz w:val="24"/>
          <w:szCs w:val="24"/>
        </w:rPr>
      </w:pPr>
    </w:p>
    <w:p w14:paraId="44648224"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R. D’Alos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Documenti per la storia della biblioteca di Alfonso il Magnanimo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Miscellanea Francesco Ehrle</w:t>
      </w:r>
      <w:r w:rsidRPr="00BA2DBB">
        <w:rPr>
          <w:rFonts w:ascii="Times New Roman" w:hAnsi="Times New Roman" w:cs="Times New Roman"/>
          <w:sz w:val="24"/>
          <w:szCs w:val="24"/>
        </w:rPr>
        <w:t>, Roma, Biblioteca Apostolica Vaticana, 1924, vol. IV, pp. 394-406.</w:t>
      </w:r>
    </w:p>
    <w:p w14:paraId="5EE188BA" w14:textId="77777777" w:rsidR="00796A9D" w:rsidRPr="00BA2DBB" w:rsidRDefault="00796A9D" w:rsidP="00796A9D">
      <w:pPr>
        <w:pStyle w:val="Testonotaapidipagina"/>
        <w:jc w:val="both"/>
        <w:rPr>
          <w:rFonts w:ascii="Times New Roman" w:hAnsi="Times New Roman" w:cs="Times New Roman"/>
          <w:sz w:val="24"/>
          <w:szCs w:val="24"/>
        </w:rPr>
      </w:pPr>
    </w:p>
    <w:p w14:paraId="0D4725C2"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i/>
          <w:sz w:val="24"/>
          <w:szCs w:val="24"/>
        </w:rPr>
        <w:t>Da Magonza a Subiaco: per una storia della prototipografia sublacense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M. Miglio</w:t>
      </w:r>
      <w:r w:rsidRPr="00BA2DBB">
        <w:rPr>
          <w:rFonts w:ascii="Times New Roman" w:hAnsi="Times New Roman" w:cs="Times New Roman"/>
          <w:sz w:val="24"/>
          <w:szCs w:val="24"/>
        </w:rPr>
        <w:t>, Subiaco, Iter, Tipografia editrice Santa Scolastica, 2006.</w:t>
      </w:r>
    </w:p>
    <w:p w14:paraId="7D804350" w14:textId="77777777" w:rsidR="00796A9D" w:rsidRDefault="00796A9D" w:rsidP="00796A9D">
      <w:pPr>
        <w:pStyle w:val="Testonotaapidipagina"/>
        <w:jc w:val="both"/>
        <w:rPr>
          <w:rFonts w:ascii="Times New Roman" w:hAnsi="Times New Roman" w:cs="Times New Roman"/>
          <w:sz w:val="24"/>
          <w:szCs w:val="24"/>
        </w:rPr>
      </w:pPr>
    </w:p>
    <w:p w14:paraId="3CA34AF9" w14:textId="77777777" w:rsidR="00796A9D" w:rsidRPr="001E2F87" w:rsidRDefault="00796A9D" w:rsidP="00796A9D">
      <w:pPr>
        <w:pStyle w:val="Testonotaapidipagina"/>
        <w:jc w:val="both"/>
        <w:rPr>
          <w:rFonts w:ascii="Times New Roman" w:hAnsi="Times New Roman" w:cs="Times New Roman"/>
          <w:sz w:val="24"/>
          <w:szCs w:val="24"/>
        </w:rPr>
      </w:pPr>
      <w:r w:rsidRPr="001E2F87">
        <w:rPr>
          <w:rFonts w:ascii="Times New Roman" w:hAnsi="Times New Roman" w:cs="Times New Roman"/>
          <w:smallCaps/>
          <w:sz w:val="24"/>
          <w:szCs w:val="24"/>
        </w:rPr>
        <w:t>A. D’Ancona</w:t>
      </w:r>
      <w:r w:rsidRPr="001E2F87">
        <w:rPr>
          <w:rFonts w:ascii="Times New Roman" w:hAnsi="Times New Roman" w:cs="Times New Roman"/>
          <w:sz w:val="24"/>
          <w:szCs w:val="24"/>
        </w:rPr>
        <w:t xml:space="preserve">, </w:t>
      </w:r>
      <w:r w:rsidRPr="001E2F87">
        <w:rPr>
          <w:rFonts w:ascii="Times New Roman" w:hAnsi="Times New Roman" w:cs="Times New Roman"/>
          <w:i/>
          <w:sz w:val="24"/>
          <w:szCs w:val="24"/>
        </w:rPr>
        <w:t>Origini del teatro italiano</w:t>
      </w:r>
      <w:r w:rsidRPr="001E2F87">
        <w:rPr>
          <w:rFonts w:ascii="Times New Roman" w:hAnsi="Times New Roman" w:cs="Times New Roman"/>
          <w:sz w:val="24"/>
          <w:szCs w:val="24"/>
        </w:rPr>
        <w:t>, Torino, Loescher, 1891</w:t>
      </w:r>
      <w:r w:rsidRPr="001E2F87">
        <w:rPr>
          <w:rFonts w:ascii="Times New Roman" w:hAnsi="Times New Roman" w:cs="Times New Roman"/>
          <w:sz w:val="24"/>
          <w:szCs w:val="24"/>
          <w:vertAlign w:val="superscript"/>
        </w:rPr>
        <w:t>2</w:t>
      </w:r>
      <w:r w:rsidRPr="001E2F87">
        <w:rPr>
          <w:rFonts w:ascii="Times New Roman" w:hAnsi="Times New Roman" w:cs="Times New Roman"/>
          <w:sz w:val="24"/>
          <w:szCs w:val="24"/>
        </w:rPr>
        <w:t>.</w:t>
      </w:r>
    </w:p>
    <w:p w14:paraId="5F80167C" w14:textId="77777777" w:rsidR="00796A9D" w:rsidRPr="00BA2DBB" w:rsidRDefault="00796A9D" w:rsidP="00796A9D">
      <w:pPr>
        <w:pStyle w:val="Testonotaapidipagina"/>
        <w:jc w:val="both"/>
        <w:rPr>
          <w:rFonts w:ascii="Times New Roman" w:hAnsi="Times New Roman" w:cs="Times New Roman"/>
          <w:sz w:val="24"/>
          <w:szCs w:val="24"/>
        </w:rPr>
      </w:pPr>
    </w:p>
    <w:p w14:paraId="4FEB7FB1" w14:textId="77777777" w:rsidR="00796A9D" w:rsidRDefault="00796A9D" w:rsidP="00796A9D">
      <w:pPr>
        <w:pStyle w:val="Testonotaapidipagina"/>
        <w:jc w:val="both"/>
        <w:rPr>
          <w:rFonts w:ascii="Times New Roman" w:hAnsi="Times New Roman" w:cs="Times New Roman"/>
          <w:sz w:val="24"/>
          <w:szCs w:val="24"/>
          <w:lang w:val="en-US"/>
        </w:rPr>
      </w:pPr>
      <w:r w:rsidRPr="00BA2DBB">
        <w:rPr>
          <w:rFonts w:ascii="Times New Roman" w:hAnsi="Times New Roman" w:cs="Times New Roman"/>
          <w:sz w:val="24"/>
          <w:szCs w:val="24"/>
          <w:lang w:val="en-US"/>
        </w:rPr>
        <w:t xml:space="preserve">R. </w:t>
      </w:r>
      <w:r w:rsidRPr="00BA2DBB">
        <w:rPr>
          <w:rFonts w:ascii="Times New Roman" w:hAnsi="Times New Roman" w:cs="Times New Roman"/>
          <w:smallCaps/>
          <w:sz w:val="24"/>
          <w:szCs w:val="24"/>
          <w:lang w:val="en-US"/>
        </w:rPr>
        <w:t>Daniels</w:t>
      </w:r>
      <w:r w:rsidRPr="00BA2DBB">
        <w:rPr>
          <w:rFonts w:ascii="Times New Roman" w:hAnsi="Times New Roman" w:cs="Times New Roman"/>
          <w:sz w:val="24"/>
          <w:szCs w:val="24"/>
          <w:lang w:val="en-US"/>
        </w:rPr>
        <w:t xml:space="preserve">, </w:t>
      </w:r>
      <w:r w:rsidRPr="00BA2DBB">
        <w:rPr>
          <w:rFonts w:ascii="Times New Roman" w:hAnsi="Times New Roman" w:cs="Times New Roman"/>
          <w:i/>
          <w:sz w:val="24"/>
          <w:szCs w:val="24"/>
          <w:lang w:val="en-US"/>
        </w:rPr>
        <w:t>Boccaccio and the Book: Production and Reading in Italy 1340-1520</w:t>
      </w:r>
      <w:r w:rsidRPr="00BA2DBB">
        <w:rPr>
          <w:rFonts w:ascii="Times New Roman" w:hAnsi="Times New Roman" w:cs="Times New Roman"/>
          <w:sz w:val="24"/>
          <w:szCs w:val="24"/>
          <w:lang w:val="en-US"/>
        </w:rPr>
        <w:t>, Abingdon, Legenda, 2009.</w:t>
      </w:r>
    </w:p>
    <w:p w14:paraId="188E91AE" w14:textId="77777777" w:rsidR="00F5520F" w:rsidRDefault="00F5520F" w:rsidP="00796A9D">
      <w:pPr>
        <w:pStyle w:val="Testonotaapidipagina"/>
        <w:jc w:val="both"/>
        <w:rPr>
          <w:rFonts w:ascii="Times New Roman" w:hAnsi="Times New Roman" w:cs="Times New Roman"/>
          <w:sz w:val="24"/>
          <w:szCs w:val="24"/>
          <w:lang w:val="en-US"/>
        </w:rPr>
      </w:pPr>
    </w:p>
    <w:p w14:paraId="307774A9" w14:textId="77777777" w:rsidR="00F5520F" w:rsidRPr="00F5520F" w:rsidRDefault="00F5520F" w:rsidP="00796A9D">
      <w:pPr>
        <w:pStyle w:val="Testonotaapidipagina"/>
        <w:jc w:val="both"/>
        <w:rPr>
          <w:rFonts w:ascii="Times New Roman" w:hAnsi="Times New Roman" w:cs="Times New Roman"/>
          <w:sz w:val="24"/>
          <w:szCs w:val="24"/>
          <w:lang w:val="en-US"/>
        </w:rPr>
      </w:pPr>
      <w:r w:rsidRPr="00F5520F">
        <w:rPr>
          <w:rFonts w:ascii="Times New Roman" w:hAnsi="Times New Roman" w:cs="Times New Roman"/>
          <w:smallCaps/>
          <w:sz w:val="24"/>
          <w:szCs w:val="24"/>
        </w:rPr>
        <w:t>C. D’Arco</w:t>
      </w:r>
      <w:r w:rsidRPr="00F5520F">
        <w:rPr>
          <w:rFonts w:ascii="Times New Roman" w:hAnsi="Times New Roman" w:cs="Times New Roman"/>
          <w:sz w:val="24"/>
          <w:szCs w:val="24"/>
        </w:rPr>
        <w:t xml:space="preserve">, </w:t>
      </w:r>
      <w:r w:rsidRPr="00F5520F">
        <w:rPr>
          <w:rFonts w:ascii="Times New Roman" w:hAnsi="Times New Roman" w:cs="Times New Roman"/>
          <w:i/>
          <w:sz w:val="24"/>
          <w:szCs w:val="24"/>
        </w:rPr>
        <w:t>Notizie di Isabella estense moglie a Francesco Gonzaga</w:t>
      </w:r>
      <w:r w:rsidRPr="00F5520F">
        <w:rPr>
          <w:rFonts w:ascii="Times New Roman" w:hAnsi="Times New Roman" w:cs="Times New Roman"/>
          <w:sz w:val="24"/>
          <w:szCs w:val="24"/>
        </w:rPr>
        <w:t>, «Archivio storico italiano», Appendice II, 1845, pp. 205-326.</w:t>
      </w:r>
    </w:p>
    <w:p w14:paraId="71C356ED" w14:textId="77777777" w:rsidR="00796A9D" w:rsidRDefault="00796A9D" w:rsidP="00796A9D">
      <w:pPr>
        <w:pStyle w:val="Testonotaapidipagina"/>
        <w:jc w:val="both"/>
        <w:rPr>
          <w:rFonts w:ascii="Times New Roman" w:hAnsi="Times New Roman" w:cs="Times New Roman"/>
          <w:sz w:val="24"/>
          <w:szCs w:val="24"/>
          <w:lang w:val="en-US"/>
        </w:rPr>
      </w:pPr>
    </w:p>
    <w:p w14:paraId="6DEAB2A3" w14:textId="77777777" w:rsidR="00796A9D" w:rsidRDefault="00796A9D" w:rsidP="00796A9D">
      <w:pPr>
        <w:pStyle w:val="Testonotaapidipagina"/>
        <w:jc w:val="both"/>
        <w:rPr>
          <w:rFonts w:ascii="Times New Roman" w:hAnsi="Times New Roman" w:cs="Times New Roman"/>
          <w:sz w:val="24"/>
          <w:szCs w:val="24"/>
        </w:rPr>
      </w:pPr>
      <w:r w:rsidRPr="00A14D01">
        <w:rPr>
          <w:rFonts w:ascii="Times New Roman" w:hAnsi="Times New Roman" w:cs="Times New Roman"/>
          <w:smallCaps/>
          <w:sz w:val="24"/>
          <w:szCs w:val="24"/>
        </w:rPr>
        <w:t>P. de Angelis</w:t>
      </w:r>
      <w:r w:rsidRPr="00A14D01">
        <w:rPr>
          <w:rFonts w:ascii="Times New Roman" w:hAnsi="Times New Roman" w:cs="Times New Roman"/>
          <w:sz w:val="24"/>
          <w:szCs w:val="24"/>
        </w:rPr>
        <w:t xml:space="preserve">, </w:t>
      </w:r>
      <w:r w:rsidRPr="00A14D01">
        <w:rPr>
          <w:rFonts w:ascii="Times New Roman" w:hAnsi="Times New Roman" w:cs="Times New Roman"/>
          <w:i/>
          <w:sz w:val="24"/>
          <w:szCs w:val="24"/>
        </w:rPr>
        <w:t>L’architetto e gli affreschi di Santo Spirito in Saxia</w:t>
      </w:r>
      <w:r w:rsidRPr="00A14D01">
        <w:rPr>
          <w:rFonts w:ascii="Times New Roman" w:hAnsi="Times New Roman" w:cs="Times New Roman"/>
          <w:sz w:val="24"/>
          <w:szCs w:val="24"/>
        </w:rPr>
        <w:t>, Roma, Nuova Tecnica Grafica, 1961</w:t>
      </w:r>
      <w:r>
        <w:rPr>
          <w:rFonts w:ascii="Times New Roman" w:hAnsi="Times New Roman" w:cs="Times New Roman"/>
          <w:sz w:val="24"/>
          <w:szCs w:val="24"/>
        </w:rPr>
        <w:t>.</w:t>
      </w:r>
    </w:p>
    <w:p w14:paraId="5FD410D2" w14:textId="77777777" w:rsidR="00796A9D" w:rsidRDefault="00796A9D" w:rsidP="00796A9D">
      <w:pPr>
        <w:pStyle w:val="Testonotaapidipagina"/>
        <w:jc w:val="both"/>
        <w:rPr>
          <w:rFonts w:ascii="Times New Roman" w:hAnsi="Times New Roman" w:cs="Times New Roman"/>
          <w:sz w:val="24"/>
          <w:szCs w:val="24"/>
          <w:lang w:val="en-US"/>
        </w:rPr>
      </w:pPr>
    </w:p>
    <w:p w14:paraId="659640FF" w14:textId="77777777" w:rsidR="00796A9D" w:rsidRPr="005C54C3" w:rsidRDefault="00796A9D" w:rsidP="00796A9D">
      <w:pPr>
        <w:pStyle w:val="Testonotaapidipagina"/>
        <w:jc w:val="both"/>
        <w:rPr>
          <w:rFonts w:ascii="Times New Roman" w:hAnsi="Times New Roman" w:cs="Times New Roman"/>
          <w:sz w:val="24"/>
          <w:szCs w:val="24"/>
          <w:lang w:val="en-US"/>
        </w:rPr>
      </w:pPr>
      <w:r w:rsidRPr="005C54C3">
        <w:rPr>
          <w:rFonts w:ascii="Times New Roman" w:hAnsi="Times New Roman" w:cs="Times New Roman"/>
          <w:smallCaps/>
          <w:sz w:val="24"/>
          <w:szCs w:val="24"/>
        </w:rPr>
        <w:t>L. degli Innocenti</w:t>
      </w:r>
      <w:r w:rsidRPr="005C54C3">
        <w:rPr>
          <w:rFonts w:ascii="Times New Roman" w:hAnsi="Times New Roman" w:cs="Times New Roman"/>
          <w:sz w:val="24"/>
          <w:szCs w:val="24"/>
        </w:rPr>
        <w:t xml:space="preserve">, </w:t>
      </w:r>
      <w:r w:rsidRPr="005C54C3">
        <w:rPr>
          <w:rFonts w:ascii="Times New Roman" w:hAnsi="Times New Roman" w:cs="Times New Roman"/>
          <w:i/>
          <w:sz w:val="24"/>
          <w:szCs w:val="24"/>
        </w:rPr>
        <w:t>I cantari in ottava rima tra Medioevo e primo Rinascimento: i cantimpanca e la piazza</w:t>
      </w:r>
      <w:r w:rsidRPr="005C54C3">
        <w:rPr>
          <w:rFonts w:ascii="Times New Roman" w:hAnsi="Times New Roman" w:cs="Times New Roman"/>
          <w:sz w:val="24"/>
          <w:szCs w:val="24"/>
        </w:rPr>
        <w:t xml:space="preserve">, in </w:t>
      </w:r>
      <w:r w:rsidRPr="005C54C3">
        <w:rPr>
          <w:rFonts w:ascii="Times New Roman" w:hAnsi="Times New Roman" w:cs="Times New Roman"/>
          <w:i/>
          <w:sz w:val="24"/>
          <w:szCs w:val="24"/>
        </w:rPr>
        <w:t>Cantar ottave. Per una storia dell’intonazione cantata in ottava rima</w:t>
      </w:r>
      <w:r w:rsidRPr="005C54C3">
        <w:rPr>
          <w:rFonts w:ascii="Times New Roman" w:hAnsi="Times New Roman" w:cs="Times New Roman"/>
          <w:sz w:val="24"/>
          <w:szCs w:val="24"/>
        </w:rPr>
        <w:t xml:space="preserve">, a cura di </w:t>
      </w:r>
      <w:r w:rsidRPr="005C54C3">
        <w:rPr>
          <w:rFonts w:ascii="Times New Roman" w:hAnsi="Times New Roman" w:cs="Times New Roman"/>
          <w:smallCaps/>
          <w:sz w:val="24"/>
          <w:szCs w:val="24"/>
        </w:rPr>
        <w:t>M. Agamennone</w:t>
      </w:r>
      <w:r w:rsidRPr="005C54C3">
        <w:rPr>
          <w:rFonts w:ascii="Times New Roman" w:hAnsi="Times New Roman" w:cs="Times New Roman"/>
          <w:sz w:val="24"/>
          <w:szCs w:val="24"/>
        </w:rPr>
        <w:t xml:space="preserve">, Lucca, Libreria Musicale Italiana, 2017, pp. </w:t>
      </w:r>
      <w:r>
        <w:rPr>
          <w:rFonts w:ascii="Times New Roman" w:hAnsi="Times New Roman" w:cs="Times New Roman"/>
          <w:sz w:val="24"/>
          <w:szCs w:val="24"/>
        </w:rPr>
        <w:t>3-24</w:t>
      </w:r>
      <w:r w:rsidRPr="005C54C3">
        <w:rPr>
          <w:rFonts w:ascii="Times New Roman" w:hAnsi="Times New Roman" w:cs="Times New Roman"/>
          <w:sz w:val="24"/>
          <w:szCs w:val="24"/>
        </w:rPr>
        <w:t>.</w:t>
      </w:r>
    </w:p>
    <w:p w14:paraId="50486861" w14:textId="77777777" w:rsidR="00796A9D" w:rsidRPr="00BA2DBB" w:rsidRDefault="00796A9D" w:rsidP="00796A9D">
      <w:pPr>
        <w:pStyle w:val="Testonotaapidipagina"/>
        <w:jc w:val="both"/>
        <w:rPr>
          <w:rFonts w:ascii="Times New Roman" w:hAnsi="Times New Roman" w:cs="Times New Roman"/>
          <w:sz w:val="24"/>
          <w:szCs w:val="24"/>
          <w:lang w:val="en-US"/>
        </w:rPr>
      </w:pPr>
    </w:p>
    <w:p w14:paraId="04D920BE" w14:textId="77777777" w:rsidR="00796A9D" w:rsidRPr="00BA2DBB" w:rsidRDefault="00796A9D" w:rsidP="00796A9D">
      <w:pPr>
        <w:pStyle w:val="Testonotaapidipagina"/>
        <w:jc w:val="both"/>
        <w:rPr>
          <w:rFonts w:ascii="Times New Roman" w:hAnsi="Times New Roman" w:cs="Times New Roman"/>
          <w:sz w:val="24"/>
          <w:szCs w:val="24"/>
          <w:lang w:val="en-US"/>
        </w:rPr>
      </w:pPr>
      <w:r w:rsidRPr="00BA2DBB">
        <w:rPr>
          <w:rFonts w:ascii="Times New Roman" w:hAnsi="Times New Roman" w:cs="Times New Roman"/>
          <w:smallCaps/>
          <w:sz w:val="24"/>
          <w:szCs w:val="24"/>
        </w:rPr>
        <w:t>J. de Keyser</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Francesco Filelfo and Francesco Sforza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lang w:val="en-US"/>
        </w:rPr>
        <w:t>Critical Edition</w:t>
      </w:r>
      <w:r w:rsidRPr="00BA2DBB">
        <w:rPr>
          <w:rFonts w:ascii="Times New Roman" w:hAnsi="Times New Roman" w:cs="Times New Roman"/>
          <w:sz w:val="24"/>
          <w:szCs w:val="24"/>
          <w:lang w:val="en-US"/>
        </w:rPr>
        <w:t xml:space="preserve"> </w:t>
      </w:r>
      <w:r w:rsidRPr="00BA2DBB">
        <w:rPr>
          <w:rFonts w:ascii="Times New Roman" w:hAnsi="Times New Roman" w:cs="Times New Roman"/>
          <w:i/>
          <w:sz w:val="24"/>
          <w:szCs w:val="24"/>
          <w:lang w:val="en-US"/>
        </w:rPr>
        <w:t>of Filelfo’s</w:t>
      </w:r>
      <w:r w:rsidRPr="00BA2DBB">
        <w:rPr>
          <w:rFonts w:ascii="Times New Roman" w:hAnsi="Times New Roman" w:cs="Times New Roman"/>
          <w:sz w:val="24"/>
          <w:szCs w:val="24"/>
          <w:lang w:val="en-US"/>
        </w:rPr>
        <w:t xml:space="preserve"> Sphortias, De Genuensium deditione, Oratio parentalis, </w:t>
      </w:r>
      <w:r w:rsidRPr="00BA2DBB">
        <w:rPr>
          <w:rFonts w:ascii="Times New Roman" w:hAnsi="Times New Roman" w:cs="Times New Roman"/>
          <w:i/>
          <w:sz w:val="24"/>
          <w:szCs w:val="24"/>
          <w:lang w:val="en-US"/>
        </w:rPr>
        <w:t>and his Polemical Exchange with Galeotto Marzio</w:t>
      </w:r>
      <w:r w:rsidRPr="00BA2DBB">
        <w:rPr>
          <w:rFonts w:ascii="Times New Roman" w:hAnsi="Times New Roman" w:cs="Times New Roman"/>
          <w:sz w:val="24"/>
          <w:szCs w:val="24"/>
          <w:lang w:val="en-US"/>
        </w:rPr>
        <w:t xml:space="preserve">, Hildesheim, Zürich, New York, 2015, pp. </w:t>
      </w:r>
      <w:r w:rsidRPr="00BA2DBB">
        <w:rPr>
          <w:rFonts w:ascii="Times New Roman" w:hAnsi="Times New Roman" w:cs="Times New Roman"/>
          <w:sz w:val="24"/>
          <w:szCs w:val="24"/>
        </w:rPr>
        <w:t>XI-XIX.</w:t>
      </w:r>
    </w:p>
    <w:p w14:paraId="18C9C1CA" w14:textId="77777777" w:rsidR="00796A9D" w:rsidRPr="00BA2DBB" w:rsidRDefault="00796A9D" w:rsidP="00796A9D">
      <w:pPr>
        <w:pStyle w:val="Testonotaapidipagina"/>
        <w:jc w:val="both"/>
        <w:rPr>
          <w:rFonts w:ascii="Times New Roman" w:hAnsi="Times New Roman" w:cs="Times New Roman"/>
          <w:sz w:val="24"/>
          <w:szCs w:val="24"/>
        </w:rPr>
      </w:pPr>
    </w:p>
    <w:p w14:paraId="0F1C0EAB" w14:textId="77777777" w:rsidR="00796A9D" w:rsidRPr="00BA2DBB" w:rsidRDefault="00796A9D" w:rsidP="00796A9D">
      <w:pPr>
        <w:pStyle w:val="Testonotaapidipagina"/>
        <w:jc w:val="both"/>
        <w:rPr>
          <w:rFonts w:ascii="Times New Roman" w:hAnsi="Times New Roman" w:cs="Times New Roman"/>
          <w:smallCaps/>
          <w:sz w:val="24"/>
          <w:szCs w:val="24"/>
        </w:rPr>
      </w:pPr>
      <w:r w:rsidRPr="00BA2DBB">
        <w:rPr>
          <w:rFonts w:ascii="Times New Roman" w:hAnsi="Times New Roman" w:cs="Times New Roman"/>
          <w:smallCaps/>
          <w:sz w:val="24"/>
          <w:szCs w:val="24"/>
        </w:rPr>
        <w:t>A.C. de la Mare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Humanistic Script: the First Ten Years</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Das Verhältnis der Humanisten zum Buch</w:t>
      </w:r>
      <w:r w:rsidRPr="00BA2DBB">
        <w:rPr>
          <w:rFonts w:ascii="Times New Roman" w:hAnsi="Times New Roman" w:cs="Times New Roman"/>
          <w:sz w:val="24"/>
          <w:szCs w:val="24"/>
        </w:rPr>
        <w:t xml:space="preserve">, herausgegeben von </w:t>
      </w:r>
      <w:r w:rsidRPr="00BA2DBB">
        <w:rPr>
          <w:rFonts w:ascii="Times New Roman" w:hAnsi="Times New Roman" w:cs="Times New Roman"/>
          <w:smallCaps/>
          <w:sz w:val="24"/>
          <w:szCs w:val="24"/>
        </w:rPr>
        <w:t>F. Kraft</w:t>
      </w:r>
      <w:r w:rsidRPr="00BA2DBB">
        <w:rPr>
          <w:rFonts w:ascii="Times New Roman" w:hAnsi="Times New Roman" w:cs="Times New Roman"/>
          <w:sz w:val="24"/>
          <w:szCs w:val="24"/>
        </w:rPr>
        <w:t>, D</w:t>
      </w:r>
      <w:r w:rsidRPr="00BA2DBB">
        <w:rPr>
          <w:rFonts w:ascii="Times New Roman" w:hAnsi="Times New Roman" w:cs="Times New Roman"/>
          <w:smallCaps/>
          <w:sz w:val="24"/>
          <w:szCs w:val="24"/>
        </w:rPr>
        <w:t>. Wuttke</w:t>
      </w:r>
      <w:r w:rsidRPr="00BA2DBB">
        <w:rPr>
          <w:rFonts w:ascii="Times New Roman" w:hAnsi="Times New Roman" w:cs="Times New Roman"/>
          <w:sz w:val="24"/>
          <w:szCs w:val="24"/>
        </w:rPr>
        <w:t>, Boppard, 1977, pp. 89-110.</w:t>
      </w:r>
    </w:p>
    <w:p w14:paraId="426B7702" w14:textId="77777777" w:rsidR="00796A9D" w:rsidRPr="00BA2DBB" w:rsidRDefault="00796A9D" w:rsidP="00796A9D">
      <w:pPr>
        <w:pStyle w:val="Testonotaapidipagina"/>
        <w:jc w:val="both"/>
        <w:rPr>
          <w:rFonts w:ascii="Times New Roman" w:hAnsi="Times New Roman" w:cs="Times New Roman"/>
          <w:smallCaps/>
          <w:sz w:val="24"/>
          <w:szCs w:val="24"/>
        </w:rPr>
      </w:pPr>
    </w:p>
    <w:p w14:paraId="2FC16D1B"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de la Mare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Cosimo and his Books</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Cosimo il Vecchio de’ Medici, 1389-1464</w:t>
      </w:r>
      <w:r w:rsidRPr="00BA2DBB">
        <w:rPr>
          <w:rFonts w:ascii="Times New Roman" w:hAnsi="Times New Roman" w:cs="Times New Roman"/>
          <w:sz w:val="24"/>
          <w:szCs w:val="24"/>
        </w:rPr>
        <w:t xml:space="preserve">, edited by </w:t>
      </w:r>
      <w:r w:rsidRPr="00BA2DBB">
        <w:rPr>
          <w:rFonts w:ascii="Times New Roman" w:hAnsi="Times New Roman" w:cs="Times New Roman"/>
          <w:smallCaps/>
          <w:sz w:val="24"/>
          <w:szCs w:val="24"/>
        </w:rPr>
        <w:t>F. Ames-Lewis</w:t>
      </w:r>
      <w:r w:rsidRPr="00BA2DBB">
        <w:rPr>
          <w:rFonts w:ascii="Times New Roman" w:hAnsi="Times New Roman" w:cs="Times New Roman"/>
          <w:sz w:val="24"/>
          <w:szCs w:val="24"/>
        </w:rPr>
        <w:t xml:space="preserve">, Oxford, Clarendon Press, 1992, p. 115-156. </w:t>
      </w:r>
    </w:p>
    <w:p w14:paraId="2A83756F" w14:textId="77777777" w:rsidR="00796A9D" w:rsidRPr="00BA2DBB" w:rsidRDefault="00796A9D" w:rsidP="00796A9D">
      <w:pPr>
        <w:pStyle w:val="Testonotaapidipagina"/>
        <w:jc w:val="both"/>
        <w:rPr>
          <w:rFonts w:ascii="Times New Roman" w:hAnsi="Times New Roman" w:cs="Times New Roman"/>
          <w:smallCaps/>
          <w:sz w:val="24"/>
          <w:szCs w:val="24"/>
          <w:lang w:val="en-US"/>
        </w:rPr>
      </w:pPr>
    </w:p>
    <w:p w14:paraId="103CE7E3" w14:textId="77777777" w:rsidR="00796A9D" w:rsidRPr="00BA2DBB" w:rsidRDefault="00796A9D" w:rsidP="00796A9D">
      <w:pPr>
        <w:pStyle w:val="Testonotaapidipagina"/>
        <w:jc w:val="both"/>
        <w:rPr>
          <w:rFonts w:ascii="Times New Roman" w:hAnsi="Times New Roman" w:cs="Times New Roman"/>
          <w:sz w:val="24"/>
          <w:szCs w:val="24"/>
          <w:lang w:val="en-US"/>
        </w:rPr>
      </w:pPr>
      <w:r w:rsidRPr="00BA2DBB">
        <w:rPr>
          <w:rFonts w:ascii="Times New Roman" w:hAnsi="Times New Roman" w:cs="Times New Roman"/>
          <w:smallCaps/>
          <w:sz w:val="24"/>
          <w:szCs w:val="24"/>
          <w:lang w:val="en-US"/>
        </w:rPr>
        <w:t>A. de la Mare</w:t>
      </w:r>
      <w:r w:rsidRPr="00BA2DBB">
        <w:rPr>
          <w:rFonts w:ascii="Times New Roman" w:hAnsi="Times New Roman" w:cs="Times New Roman"/>
          <w:sz w:val="24"/>
          <w:szCs w:val="24"/>
          <w:lang w:val="en-US"/>
        </w:rPr>
        <w:t xml:space="preserve">, </w:t>
      </w:r>
      <w:r w:rsidRPr="00BA2DBB">
        <w:rPr>
          <w:rFonts w:ascii="Times New Roman" w:hAnsi="Times New Roman" w:cs="Times New Roman"/>
          <w:i/>
          <w:sz w:val="24"/>
          <w:szCs w:val="24"/>
          <w:lang w:val="en-US"/>
        </w:rPr>
        <w:t>Vespasiano da Bisticci as Productor of Classical Manuscripts in Fiftheenth-Century Florence</w:t>
      </w:r>
      <w:r w:rsidRPr="00BA2DBB">
        <w:rPr>
          <w:rFonts w:ascii="Times New Roman" w:hAnsi="Times New Roman" w:cs="Times New Roman"/>
          <w:sz w:val="24"/>
          <w:szCs w:val="24"/>
          <w:lang w:val="en-US"/>
        </w:rPr>
        <w:t xml:space="preserve">, in </w:t>
      </w:r>
      <w:r w:rsidRPr="00BA2DBB">
        <w:rPr>
          <w:rFonts w:ascii="Times New Roman" w:hAnsi="Times New Roman" w:cs="Times New Roman"/>
          <w:i/>
          <w:sz w:val="24"/>
          <w:szCs w:val="24"/>
          <w:lang w:val="en-US"/>
        </w:rPr>
        <w:t>Medieval Manuscripts of Latin Classics: Production and Use</w:t>
      </w:r>
      <w:r w:rsidRPr="00BA2DBB">
        <w:rPr>
          <w:rFonts w:ascii="Times New Roman" w:hAnsi="Times New Roman" w:cs="Times New Roman"/>
          <w:sz w:val="24"/>
          <w:szCs w:val="24"/>
          <w:lang w:val="en-US"/>
        </w:rPr>
        <w:t xml:space="preserve">, edited by </w:t>
      </w:r>
      <w:r w:rsidRPr="00BA2DBB">
        <w:rPr>
          <w:rFonts w:ascii="Times New Roman" w:hAnsi="Times New Roman" w:cs="Times New Roman"/>
          <w:smallCaps/>
          <w:sz w:val="24"/>
          <w:szCs w:val="24"/>
          <w:lang w:val="en-US"/>
        </w:rPr>
        <w:t>C. A. Chavannes-Mezel, M. M. Smith</w:t>
      </w:r>
      <w:r w:rsidRPr="00BA2DBB">
        <w:rPr>
          <w:rFonts w:ascii="Times New Roman" w:hAnsi="Times New Roman" w:cs="Times New Roman"/>
          <w:sz w:val="24"/>
          <w:szCs w:val="24"/>
          <w:lang w:val="en-US"/>
        </w:rPr>
        <w:t>, London, The Red Gull Press, 1996, pp. 167-208.</w:t>
      </w:r>
    </w:p>
    <w:p w14:paraId="0B98AAA9" w14:textId="77777777" w:rsidR="00796A9D" w:rsidRPr="00BA2DBB" w:rsidRDefault="00796A9D" w:rsidP="00796A9D">
      <w:pPr>
        <w:pStyle w:val="Testonotaapidipagina"/>
        <w:jc w:val="both"/>
        <w:rPr>
          <w:rFonts w:ascii="Times New Roman" w:hAnsi="Times New Roman" w:cs="Times New Roman"/>
          <w:sz w:val="24"/>
          <w:szCs w:val="24"/>
          <w:lang w:val="en-US"/>
        </w:rPr>
      </w:pPr>
    </w:p>
    <w:p w14:paraId="7AD7DBE6"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de la Mare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Notes on Portuguese Patrons of the Florentine Book Trade in the Fifteenth Century</w:t>
      </w:r>
      <w:r w:rsidRPr="00BA2DBB">
        <w:rPr>
          <w:rFonts w:ascii="Times New Roman" w:hAnsi="Times New Roman" w:cs="Times New Roman"/>
          <w:sz w:val="24"/>
          <w:szCs w:val="24"/>
        </w:rPr>
        <w:t xml:space="preserve">, in </w:t>
      </w:r>
      <w:r w:rsidRPr="00BA2DBB">
        <w:rPr>
          <w:rFonts w:ascii="Times New Roman" w:hAnsi="Times New Roman" w:cs="Times New Roman"/>
          <w:smallCaps/>
          <w:sz w:val="24"/>
          <w:szCs w:val="24"/>
        </w:rPr>
        <w:t>K.J.P. Lowe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Cultural Links between Portugal and Italy in the Renaissance</w:t>
      </w:r>
      <w:r w:rsidRPr="00BA2DBB">
        <w:rPr>
          <w:rFonts w:ascii="Times New Roman" w:hAnsi="Times New Roman" w:cs="Times New Roman"/>
          <w:sz w:val="24"/>
          <w:szCs w:val="24"/>
        </w:rPr>
        <w:t xml:space="preserve">, Oxford, Oxford University Press, 2000, pp. 167-181. </w:t>
      </w:r>
    </w:p>
    <w:p w14:paraId="461C03D6" w14:textId="77777777" w:rsidR="00796A9D" w:rsidRDefault="00796A9D" w:rsidP="00796A9D">
      <w:pPr>
        <w:pStyle w:val="Testonotaapidipagina"/>
        <w:jc w:val="both"/>
        <w:rPr>
          <w:rFonts w:ascii="Times New Roman" w:hAnsi="Times New Roman" w:cs="Times New Roman"/>
          <w:sz w:val="24"/>
          <w:szCs w:val="24"/>
        </w:rPr>
      </w:pPr>
    </w:p>
    <w:p w14:paraId="3BCBF731" w14:textId="77777777" w:rsidR="00796A9D" w:rsidRPr="00754795" w:rsidRDefault="00796A9D" w:rsidP="00796A9D">
      <w:pPr>
        <w:pStyle w:val="Testonotaapidipagina"/>
        <w:jc w:val="both"/>
        <w:rPr>
          <w:rFonts w:ascii="Times New Roman" w:hAnsi="Times New Roman" w:cs="Times New Roman"/>
          <w:sz w:val="24"/>
          <w:szCs w:val="24"/>
        </w:rPr>
      </w:pPr>
      <w:r w:rsidRPr="00754795">
        <w:rPr>
          <w:rFonts w:ascii="Times New Roman" w:hAnsi="Times New Roman" w:cs="Times New Roman"/>
          <w:bCs/>
          <w:smallCaps/>
          <w:color w:val="000000"/>
          <w:sz w:val="24"/>
          <w:szCs w:val="24"/>
          <w:shd w:val="clear" w:color="auto" w:fill="FFFFFF"/>
        </w:rPr>
        <w:t>D. Delcorno Branca</w:t>
      </w:r>
      <w:r w:rsidRPr="00754795">
        <w:rPr>
          <w:rFonts w:ascii="Times New Roman" w:hAnsi="Times New Roman" w:cs="Times New Roman"/>
          <w:bCs/>
          <w:color w:val="000000"/>
          <w:sz w:val="24"/>
          <w:szCs w:val="24"/>
          <w:shd w:val="clear" w:color="auto" w:fill="FFFFFF"/>
        </w:rPr>
        <w:t xml:space="preserve">, </w:t>
      </w:r>
      <w:r w:rsidRPr="00754795">
        <w:rPr>
          <w:rFonts w:ascii="Times New Roman" w:hAnsi="Times New Roman" w:cs="Times New Roman"/>
          <w:bCs/>
          <w:i/>
          <w:color w:val="000000"/>
          <w:sz w:val="24"/>
          <w:szCs w:val="24"/>
          <w:shd w:val="clear" w:color="auto" w:fill="FFFFFF"/>
        </w:rPr>
        <w:t>Filologia e cultura volgare nell’Umanesimo bolognese</w:t>
      </w:r>
      <w:r w:rsidRPr="00754795">
        <w:rPr>
          <w:rFonts w:ascii="Times New Roman" w:hAnsi="Times New Roman" w:cs="Times New Roman"/>
          <w:bCs/>
          <w:color w:val="000000"/>
          <w:sz w:val="24"/>
          <w:szCs w:val="24"/>
          <w:shd w:val="clear" w:color="auto" w:fill="FFFFFF"/>
        </w:rPr>
        <w:t xml:space="preserve">, in </w:t>
      </w:r>
      <w:r w:rsidRPr="00754795">
        <w:rPr>
          <w:rFonts w:ascii="Times New Roman" w:hAnsi="Times New Roman" w:cs="Times New Roman"/>
          <w:bCs/>
          <w:i/>
          <w:color w:val="000000"/>
          <w:sz w:val="24"/>
          <w:szCs w:val="24"/>
          <w:shd w:val="clear" w:color="auto" w:fill="FFFFFF"/>
        </w:rPr>
        <w:t>Lorenzo Valla e l’Umanesimo bolognese</w:t>
      </w:r>
      <w:r w:rsidRPr="00754795">
        <w:rPr>
          <w:rFonts w:ascii="Times New Roman" w:hAnsi="Times New Roman" w:cs="Times New Roman"/>
          <w:bCs/>
          <w:color w:val="000000"/>
          <w:sz w:val="24"/>
          <w:szCs w:val="24"/>
          <w:shd w:val="clear" w:color="auto" w:fill="FFFFFF"/>
        </w:rPr>
        <w:t xml:space="preserve">, a cura di </w:t>
      </w:r>
      <w:r w:rsidRPr="00754795">
        <w:rPr>
          <w:rFonts w:ascii="Times New Roman" w:hAnsi="Times New Roman" w:cs="Times New Roman"/>
          <w:bCs/>
          <w:smallCaps/>
          <w:color w:val="000000"/>
          <w:sz w:val="24"/>
          <w:szCs w:val="24"/>
          <w:shd w:val="clear" w:color="auto" w:fill="FFFFFF"/>
        </w:rPr>
        <w:t>G. Anselmi, M. Guerra</w:t>
      </w:r>
      <w:r w:rsidRPr="00754795">
        <w:rPr>
          <w:rFonts w:ascii="Times New Roman" w:hAnsi="Times New Roman" w:cs="Times New Roman"/>
          <w:bCs/>
          <w:color w:val="000000"/>
          <w:sz w:val="24"/>
          <w:szCs w:val="24"/>
          <w:shd w:val="clear" w:color="auto" w:fill="FFFFFF"/>
        </w:rPr>
        <w:t xml:space="preserve">, Bologna, Bologna University Press, 2009, pp. 117-151.  </w:t>
      </w:r>
    </w:p>
    <w:p w14:paraId="1AD6F376" w14:textId="77777777" w:rsidR="00796A9D" w:rsidRPr="00BA2DBB" w:rsidRDefault="00796A9D" w:rsidP="00796A9D">
      <w:pPr>
        <w:pStyle w:val="Testonotaapidipagina"/>
        <w:jc w:val="both"/>
        <w:rPr>
          <w:rFonts w:ascii="Times New Roman" w:hAnsi="Times New Roman" w:cs="Times New Roman"/>
          <w:sz w:val="24"/>
          <w:szCs w:val="24"/>
          <w:lang w:val="en-US"/>
        </w:rPr>
      </w:pPr>
    </w:p>
    <w:p w14:paraId="4346B57B" w14:textId="77777777" w:rsidR="00796A9D" w:rsidRDefault="00796A9D" w:rsidP="00796A9D">
      <w:pPr>
        <w:pStyle w:val="Testonotaapidipagina"/>
        <w:jc w:val="both"/>
        <w:rPr>
          <w:rFonts w:ascii="Times New Roman" w:hAnsi="Times New Roman" w:cs="Times New Roman"/>
          <w:sz w:val="24"/>
          <w:szCs w:val="24"/>
          <w:lang w:val="en-US"/>
        </w:rPr>
      </w:pPr>
      <w:r w:rsidRPr="00BA2DBB">
        <w:rPr>
          <w:rFonts w:ascii="Times New Roman" w:hAnsi="Times New Roman" w:cs="Times New Roman"/>
          <w:sz w:val="24"/>
          <w:szCs w:val="24"/>
          <w:lang w:val="en-US"/>
        </w:rPr>
        <w:t xml:space="preserve">A.F. </w:t>
      </w:r>
      <w:r w:rsidRPr="00BA2DBB">
        <w:rPr>
          <w:rFonts w:ascii="Times New Roman" w:hAnsi="Times New Roman" w:cs="Times New Roman"/>
          <w:smallCaps/>
          <w:sz w:val="24"/>
          <w:szCs w:val="24"/>
          <w:lang w:val="en-US"/>
        </w:rPr>
        <w:t>D’Elia</w:t>
      </w:r>
      <w:r w:rsidRPr="00BA2DBB">
        <w:rPr>
          <w:rFonts w:ascii="Times New Roman" w:hAnsi="Times New Roman" w:cs="Times New Roman"/>
          <w:sz w:val="24"/>
          <w:szCs w:val="24"/>
          <w:lang w:val="en-US"/>
        </w:rPr>
        <w:t xml:space="preserve">, </w:t>
      </w:r>
      <w:r w:rsidRPr="00BA2DBB">
        <w:rPr>
          <w:rFonts w:ascii="Times New Roman" w:hAnsi="Times New Roman" w:cs="Times New Roman"/>
          <w:i/>
          <w:sz w:val="24"/>
          <w:szCs w:val="24"/>
          <w:lang w:val="en-US"/>
        </w:rPr>
        <w:t>Marriage, Sexual Pleasure, and Learned Brides in the Wedding Orations of Fifteenth Century Italy</w:t>
      </w:r>
      <w:r w:rsidRPr="00BA2DBB">
        <w:rPr>
          <w:rFonts w:ascii="Times New Roman" w:hAnsi="Times New Roman" w:cs="Times New Roman"/>
          <w:sz w:val="24"/>
          <w:szCs w:val="24"/>
          <w:lang w:val="en-US"/>
        </w:rPr>
        <w:t>, «Renaissance Quarterly», 55, Summer 2002, pp. 379-433.</w:t>
      </w:r>
    </w:p>
    <w:p w14:paraId="0AAD11B2" w14:textId="77777777" w:rsidR="00796A9D" w:rsidRDefault="00796A9D" w:rsidP="00796A9D">
      <w:pPr>
        <w:pStyle w:val="Testonotaapidipagina"/>
        <w:jc w:val="both"/>
        <w:rPr>
          <w:rFonts w:ascii="Times New Roman" w:hAnsi="Times New Roman" w:cs="Times New Roman"/>
          <w:sz w:val="24"/>
          <w:szCs w:val="24"/>
          <w:lang w:val="en-US"/>
        </w:rPr>
      </w:pPr>
    </w:p>
    <w:p w14:paraId="2C8C7D42" w14:textId="77777777" w:rsidR="00796A9D" w:rsidRDefault="00796A9D" w:rsidP="00796A9D">
      <w:pPr>
        <w:pStyle w:val="Testonotaapidipagina"/>
        <w:jc w:val="both"/>
        <w:rPr>
          <w:rFonts w:ascii="Times New Roman" w:hAnsi="Times New Roman" w:cs="Times New Roman"/>
          <w:sz w:val="24"/>
          <w:szCs w:val="24"/>
        </w:rPr>
      </w:pPr>
      <w:r w:rsidRPr="004E086A">
        <w:rPr>
          <w:rFonts w:ascii="Times New Roman" w:hAnsi="Times New Roman" w:cs="Times New Roman"/>
          <w:smallCaps/>
          <w:sz w:val="24"/>
          <w:szCs w:val="24"/>
        </w:rPr>
        <w:t>A.</w:t>
      </w:r>
      <w:r>
        <w:rPr>
          <w:rFonts w:ascii="Times New Roman" w:hAnsi="Times New Roman" w:cs="Times New Roman"/>
          <w:smallCaps/>
          <w:sz w:val="24"/>
          <w:szCs w:val="24"/>
        </w:rPr>
        <w:t>F.</w:t>
      </w:r>
      <w:r w:rsidRPr="004E086A">
        <w:rPr>
          <w:rFonts w:ascii="Times New Roman" w:hAnsi="Times New Roman" w:cs="Times New Roman"/>
          <w:smallCaps/>
          <w:sz w:val="24"/>
          <w:szCs w:val="24"/>
        </w:rPr>
        <w:t xml:space="preserve"> </w:t>
      </w:r>
      <w:r>
        <w:rPr>
          <w:rFonts w:ascii="Times New Roman" w:hAnsi="Times New Roman" w:cs="Times New Roman"/>
          <w:smallCaps/>
          <w:sz w:val="24"/>
          <w:szCs w:val="24"/>
        </w:rPr>
        <w:t>D</w:t>
      </w:r>
      <w:r w:rsidRPr="004E086A">
        <w:rPr>
          <w:rFonts w:ascii="Times New Roman" w:hAnsi="Times New Roman" w:cs="Times New Roman"/>
          <w:smallCaps/>
          <w:sz w:val="24"/>
          <w:szCs w:val="24"/>
        </w:rPr>
        <w:t>’Elia</w:t>
      </w:r>
      <w:r w:rsidRPr="004E086A">
        <w:rPr>
          <w:rFonts w:ascii="Times New Roman" w:hAnsi="Times New Roman" w:cs="Times New Roman"/>
          <w:sz w:val="24"/>
          <w:szCs w:val="24"/>
        </w:rPr>
        <w:t xml:space="preserve">, </w:t>
      </w:r>
      <w:r w:rsidRPr="004E086A">
        <w:rPr>
          <w:rFonts w:ascii="Times New Roman" w:hAnsi="Times New Roman" w:cs="Times New Roman"/>
          <w:i/>
          <w:sz w:val="24"/>
          <w:szCs w:val="24"/>
        </w:rPr>
        <w:t>The Renaissance of Marriage in Fifteenth-Century Italy</w:t>
      </w:r>
      <w:r w:rsidRPr="004E086A">
        <w:rPr>
          <w:rFonts w:ascii="Times New Roman" w:hAnsi="Times New Roman" w:cs="Times New Roman"/>
          <w:sz w:val="24"/>
          <w:szCs w:val="24"/>
        </w:rPr>
        <w:t>, Cambridge-London-Massachusetts, Harvard University Press, 2004.</w:t>
      </w:r>
    </w:p>
    <w:p w14:paraId="24AE0B2B" w14:textId="77777777" w:rsidR="00796A9D" w:rsidRDefault="00796A9D" w:rsidP="00796A9D">
      <w:pPr>
        <w:pStyle w:val="Testonotaapidipagina"/>
        <w:jc w:val="both"/>
        <w:rPr>
          <w:rFonts w:ascii="Times New Roman" w:hAnsi="Times New Roman" w:cs="Times New Roman"/>
          <w:sz w:val="24"/>
          <w:szCs w:val="24"/>
          <w:lang w:val="en-US"/>
        </w:rPr>
      </w:pPr>
    </w:p>
    <w:p w14:paraId="43EF4152" w14:textId="77777777" w:rsidR="00796A9D" w:rsidRDefault="00796A9D" w:rsidP="00796A9D">
      <w:pPr>
        <w:pStyle w:val="Testonotaapidipagina"/>
        <w:jc w:val="both"/>
        <w:rPr>
          <w:rFonts w:ascii="Times New Roman" w:hAnsi="Times New Roman" w:cs="Times New Roman"/>
          <w:sz w:val="24"/>
          <w:szCs w:val="24"/>
        </w:rPr>
      </w:pPr>
      <w:r w:rsidRPr="005223E9">
        <w:rPr>
          <w:rFonts w:ascii="Times New Roman" w:hAnsi="Times New Roman" w:cs="Times New Roman"/>
          <w:smallCaps/>
          <w:sz w:val="24"/>
          <w:szCs w:val="24"/>
        </w:rPr>
        <w:t>G.A. Dell’Acqua</w:t>
      </w:r>
      <w:r w:rsidRPr="005223E9">
        <w:rPr>
          <w:rFonts w:ascii="Times New Roman" w:hAnsi="Times New Roman" w:cs="Times New Roman"/>
          <w:sz w:val="24"/>
          <w:szCs w:val="24"/>
        </w:rPr>
        <w:t xml:space="preserve">, </w:t>
      </w:r>
      <w:r w:rsidRPr="005223E9">
        <w:rPr>
          <w:rFonts w:ascii="Times New Roman" w:hAnsi="Times New Roman" w:cs="Times New Roman"/>
          <w:i/>
          <w:sz w:val="24"/>
          <w:szCs w:val="24"/>
        </w:rPr>
        <w:t>Le arti figurative: tradizione e modernità nella politica culturale sforzesca</w:t>
      </w:r>
      <w:r w:rsidRPr="005223E9">
        <w:rPr>
          <w:rFonts w:ascii="Times New Roman" w:hAnsi="Times New Roman" w:cs="Times New Roman"/>
          <w:sz w:val="24"/>
          <w:szCs w:val="24"/>
        </w:rPr>
        <w:t xml:space="preserve">, in </w:t>
      </w:r>
      <w:r w:rsidRPr="005223E9">
        <w:rPr>
          <w:rFonts w:ascii="Times New Roman" w:hAnsi="Times New Roman" w:cs="Times New Roman"/>
          <w:i/>
          <w:sz w:val="24"/>
          <w:szCs w:val="24"/>
        </w:rPr>
        <w:t>Gli Sforza a Milano e in Lombardia e i loro rapporti con gli stati italiani ed europei (1450-1535).</w:t>
      </w:r>
      <w:r w:rsidRPr="005223E9">
        <w:rPr>
          <w:rFonts w:ascii="Times New Roman" w:hAnsi="Times New Roman" w:cs="Times New Roman"/>
          <w:sz w:val="24"/>
          <w:szCs w:val="24"/>
        </w:rPr>
        <w:t xml:space="preserve"> Atti del convegno internazionale (Milano, 18-21 maggio 1981), Milano, Istituto Editoriale Cisalpino, 1982, pp. 581-597.</w:t>
      </w:r>
    </w:p>
    <w:p w14:paraId="4CA9B251" w14:textId="77777777" w:rsidR="00796A9D" w:rsidRDefault="00796A9D" w:rsidP="00796A9D">
      <w:pPr>
        <w:pStyle w:val="Testonotaapidipagina"/>
        <w:jc w:val="both"/>
        <w:rPr>
          <w:rFonts w:ascii="Times New Roman" w:hAnsi="Times New Roman" w:cs="Times New Roman"/>
          <w:sz w:val="24"/>
          <w:szCs w:val="24"/>
        </w:rPr>
      </w:pPr>
    </w:p>
    <w:p w14:paraId="252AAADD"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F. delle Donne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Il trionfo, l’incoronazione mancata, la celebrazione letteraria: i paradigmi della propaganda di Alfonso il Magnanimo</w:t>
      </w:r>
      <w:r w:rsidRPr="00BA2DBB">
        <w:rPr>
          <w:rFonts w:ascii="Times New Roman" w:hAnsi="Times New Roman" w:cs="Times New Roman"/>
          <w:sz w:val="24"/>
          <w:szCs w:val="24"/>
        </w:rPr>
        <w:t>, «Archivio Storico Italiano», CLIX, 2011, pp. 447-476.</w:t>
      </w:r>
    </w:p>
    <w:p w14:paraId="70E9A72A" w14:textId="77777777" w:rsidR="00796A9D" w:rsidRDefault="00796A9D" w:rsidP="00796A9D">
      <w:pPr>
        <w:spacing w:after="0"/>
        <w:jc w:val="both"/>
        <w:rPr>
          <w:rFonts w:ascii="Times New Roman" w:hAnsi="Times New Roman" w:cs="Times New Roman"/>
          <w:smallCaps/>
          <w:sz w:val="24"/>
          <w:szCs w:val="24"/>
        </w:rPr>
      </w:pPr>
    </w:p>
    <w:p w14:paraId="4EBEF004"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F. Delle Donne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Alfonso il Magnanimo e l’invenzione dell’Umanesimo monarchico. Ideologia e strategie di legittimazione alla corte aragonese di Napoli</w:t>
      </w:r>
      <w:r w:rsidRPr="00BA2DBB">
        <w:rPr>
          <w:rFonts w:ascii="Times New Roman" w:hAnsi="Times New Roman" w:cs="Times New Roman"/>
          <w:sz w:val="24"/>
          <w:szCs w:val="24"/>
        </w:rPr>
        <w:t>, Roma, Istituto storico italiano per il medioevo, 2015, pp. 123-128.</w:t>
      </w:r>
    </w:p>
    <w:p w14:paraId="0E0AA9BD" w14:textId="77777777" w:rsidR="00796A9D" w:rsidRDefault="00796A9D" w:rsidP="00796A9D">
      <w:pPr>
        <w:spacing w:after="0"/>
        <w:jc w:val="both"/>
        <w:rPr>
          <w:rFonts w:ascii="Times New Roman" w:hAnsi="Times New Roman" w:cs="Times New Roman"/>
          <w:smallCaps/>
          <w:sz w:val="24"/>
          <w:szCs w:val="24"/>
        </w:rPr>
      </w:pPr>
    </w:p>
    <w:p w14:paraId="4A1E7ACC"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 Dell’Omo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 xml:space="preserve">Per uno </w:t>
      </w:r>
      <w:r w:rsidRPr="00BA2DBB">
        <w:rPr>
          <w:rFonts w:ascii="Times New Roman" w:hAnsi="Times New Roman" w:cs="Times New Roman"/>
          <w:sz w:val="24"/>
          <w:szCs w:val="24"/>
        </w:rPr>
        <w:t>status quaestionis</w:t>
      </w:r>
      <w:r w:rsidRPr="00BA2DBB">
        <w:rPr>
          <w:rFonts w:ascii="Times New Roman" w:hAnsi="Times New Roman" w:cs="Times New Roman"/>
          <w:i/>
          <w:sz w:val="24"/>
          <w:szCs w:val="24"/>
        </w:rPr>
        <w:t xml:space="preserve"> sui rapporti tra papa Paolo II e la biblioteca di Montecassino</w:t>
      </w:r>
      <w:r w:rsidRPr="00BA2DBB">
        <w:rPr>
          <w:rFonts w:ascii="Times New Roman" w:hAnsi="Times New Roman" w:cs="Times New Roman"/>
          <w:sz w:val="24"/>
          <w:szCs w:val="24"/>
        </w:rPr>
        <w:t xml:space="preserve">, «Benedectina», </w:t>
      </w:r>
      <w:r>
        <w:rPr>
          <w:rFonts w:ascii="Times New Roman" w:hAnsi="Times New Roman" w:cs="Times New Roman"/>
          <w:sz w:val="24"/>
          <w:szCs w:val="24"/>
        </w:rPr>
        <w:t>XXXVI</w:t>
      </w:r>
      <w:r w:rsidRPr="00BA2DBB">
        <w:rPr>
          <w:rFonts w:ascii="Times New Roman" w:hAnsi="Times New Roman" w:cs="Times New Roman"/>
          <w:sz w:val="24"/>
          <w:szCs w:val="24"/>
        </w:rPr>
        <w:t>, 1989, pp. 165-178.</w:t>
      </w:r>
    </w:p>
    <w:p w14:paraId="0E59B45C" w14:textId="77777777" w:rsidR="00796A9D" w:rsidRPr="00BA2DBB" w:rsidRDefault="00796A9D" w:rsidP="00796A9D">
      <w:pPr>
        <w:pStyle w:val="Testonotaapidipagina"/>
        <w:jc w:val="both"/>
        <w:rPr>
          <w:rFonts w:ascii="Times New Roman" w:hAnsi="Times New Roman" w:cs="Times New Roman"/>
          <w:sz w:val="24"/>
          <w:szCs w:val="24"/>
        </w:rPr>
      </w:pPr>
    </w:p>
    <w:p w14:paraId="2268F581"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de Mandach</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geste de Charlemagne et de Roland</w:t>
      </w:r>
      <w:r w:rsidRPr="00BA2DBB">
        <w:rPr>
          <w:rFonts w:ascii="Times New Roman" w:hAnsi="Times New Roman" w:cs="Times New Roman"/>
          <w:sz w:val="24"/>
          <w:szCs w:val="24"/>
        </w:rPr>
        <w:t>, Genève, Droz, 1961.</w:t>
      </w:r>
    </w:p>
    <w:p w14:paraId="2F9F25AA" w14:textId="77777777" w:rsidR="00796A9D" w:rsidRDefault="00796A9D" w:rsidP="00796A9D">
      <w:pPr>
        <w:spacing w:after="0"/>
        <w:jc w:val="both"/>
        <w:rPr>
          <w:rFonts w:ascii="Times New Roman" w:hAnsi="Times New Roman" w:cs="Times New Roman"/>
          <w:smallCaps/>
          <w:sz w:val="24"/>
          <w:szCs w:val="24"/>
        </w:rPr>
      </w:pPr>
    </w:p>
    <w:p w14:paraId="0774AF65"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de Marchi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miniatori padani a Siena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Francesco di Giorgio e il Rinascimento a Siena</w:t>
      </w:r>
      <w:r w:rsidRPr="00BA2DBB">
        <w:rPr>
          <w:rFonts w:ascii="Times New Roman" w:hAnsi="Times New Roman" w:cs="Times New Roman"/>
          <w:sz w:val="24"/>
          <w:szCs w:val="24"/>
        </w:rPr>
        <w:t xml:space="preserve">, Catalogo della mostra (Siena, 25 aprile-31 luglio 1993), a cura di </w:t>
      </w:r>
      <w:r w:rsidRPr="00BA2DBB">
        <w:rPr>
          <w:rFonts w:ascii="Times New Roman" w:hAnsi="Times New Roman" w:cs="Times New Roman"/>
          <w:smallCaps/>
          <w:sz w:val="24"/>
          <w:szCs w:val="24"/>
        </w:rPr>
        <w:t>L. Bellosi</w:t>
      </w:r>
      <w:r w:rsidRPr="00BA2DBB">
        <w:rPr>
          <w:rFonts w:ascii="Times New Roman" w:hAnsi="Times New Roman" w:cs="Times New Roman"/>
          <w:sz w:val="24"/>
          <w:szCs w:val="24"/>
        </w:rPr>
        <w:t>, Milano, Electa, 1993, pp. 262-265.</w:t>
      </w:r>
    </w:p>
    <w:p w14:paraId="227977DB" w14:textId="77777777" w:rsidR="00796A9D" w:rsidRDefault="00796A9D" w:rsidP="00796A9D">
      <w:pPr>
        <w:spacing w:after="0"/>
        <w:jc w:val="both"/>
        <w:rPr>
          <w:rFonts w:ascii="Times New Roman" w:hAnsi="Times New Roman" w:cs="Times New Roman"/>
          <w:smallCaps/>
          <w:sz w:val="24"/>
          <w:szCs w:val="24"/>
        </w:rPr>
      </w:pPr>
    </w:p>
    <w:p w14:paraId="28F7CEF2"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de Marchi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Tra Ferrara e Mantova. Il Messale di Barbara Gonzaga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La miniatura a Ferrara dal tempo di Cosmè Tura all’eredità di Ercole de’ Roberti</w:t>
      </w:r>
      <w:r w:rsidRPr="00BA2DBB">
        <w:rPr>
          <w:rFonts w:ascii="Times New Roman" w:hAnsi="Times New Roman" w:cs="Times New Roman"/>
          <w:sz w:val="24"/>
          <w:szCs w:val="24"/>
        </w:rPr>
        <w:t xml:space="preserve">, Catalogo della mostra </w:t>
      </w:r>
      <w:r w:rsidRPr="00BA2DBB">
        <w:rPr>
          <w:rFonts w:ascii="Times New Roman" w:hAnsi="Times New Roman" w:cs="Times New Roman"/>
          <w:smallCaps/>
          <w:sz w:val="24"/>
          <w:szCs w:val="24"/>
        </w:rPr>
        <w:t>(F</w:t>
      </w:r>
      <w:r w:rsidRPr="00BA2DBB">
        <w:rPr>
          <w:rFonts w:ascii="Times New Roman" w:hAnsi="Times New Roman" w:cs="Times New Roman"/>
          <w:sz w:val="24"/>
          <w:szCs w:val="24"/>
        </w:rPr>
        <w:t xml:space="preserve">errara, 1 marzo – 31 maggio 1998), a cura di </w:t>
      </w:r>
      <w:r w:rsidRPr="00BA2DBB">
        <w:rPr>
          <w:rFonts w:ascii="Times New Roman" w:hAnsi="Times New Roman" w:cs="Times New Roman"/>
          <w:smallCaps/>
          <w:sz w:val="24"/>
          <w:szCs w:val="24"/>
        </w:rPr>
        <w:t>F. Toniolo</w:t>
      </w:r>
      <w:r w:rsidRPr="00BA2DBB">
        <w:rPr>
          <w:rFonts w:ascii="Times New Roman" w:hAnsi="Times New Roman" w:cs="Times New Roman"/>
          <w:sz w:val="24"/>
          <w:szCs w:val="24"/>
        </w:rPr>
        <w:t>, Modena, Franco Cosimo Panini, 1998, pp. 115-118.</w:t>
      </w:r>
    </w:p>
    <w:p w14:paraId="45CAF135" w14:textId="77777777" w:rsidR="00796A9D" w:rsidRDefault="00796A9D" w:rsidP="00796A9D">
      <w:pPr>
        <w:spacing w:after="0"/>
        <w:jc w:val="both"/>
        <w:rPr>
          <w:rFonts w:ascii="Times New Roman" w:hAnsi="Times New Roman" w:cs="Times New Roman"/>
          <w:sz w:val="24"/>
          <w:szCs w:val="24"/>
        </w:rPr>
      </w:pPr>
    </w:p>
    <w:p w14:paraId="1594492F" w14:textId="77777777" w:rsidR="00796A9D" w:rsidRPr="00176F35" w:rsidRDefault="00796A9D" w:rsidP="00796A9D">
      <w:pPr>
        <w:spacing w:after="0"/>
        <w:jc w:val="both"/>
        <w:rPr>
          <w:rFonts w:ascii="Times New Roman" w:hAnsi="Times New Roman" w:cs="Times New Roman"/>
          <w:sz w:val="24"/>
          <w:szCs w:val="24"/>
        </w:rPr>
      </w:pPr>
      <w:r w:rsidRPr="00176F35">
        <w:rPr>
          <w:rFonts w:ascii="Times New Roman" w:hAnsi="Times New Roman" w:cs="Times New Roman"/>
          <w:smallCaps/>
          <w:sz w:val="24"/>
          <w:szCs w:val="24"/>
        </w:rPr>
        <w:t>S. de Maria</w:t>
      </w:r>
      <w:r w:rsidRPr="00176F35">
        <w:rPr>
          <w:rFonts w:ascii="Times New Roman" w:hAnsi="Times New Roman" w:cs="Times New Roman"/>
          <w:sz w:val="24"/>
          <w:szCs w:val="24"/>
        </w:rPr>
        <w:t xml:space="preserve">, </w:t>
      </w:r>
      <w:r w:rsidRPr="00176F35">
        <w:rPr>
          <w:rFonts w:ascii="Times New Roman" w:hAnsi="Times New Roman" w:cs="Times New Roman"/>
          <w:i/>
          <w:sz w:val="24"/>
          <w:szCs w:val="24"/>
        </w:rPr>
        <w:t>L’arco di Rimini nel Rinascimento. Onori effimeri e antichità ritrovata</w:t>
      </w:r>
      <w:r w:rsidRPr="00176F35">
        <w:rPr>
          <w:rFonts w:ascii="Times New Roman" w:hAnsi="Times New Roman" w:cs="Times New Roman"/>
          <w:sz w:val="24"/>
          <w:szCs w:val="24"/>
        </w:rPr>
        <w:t xml:space="preserve">, in </w:t>
      </w:r>
      <w:r w:rsidRPr="00176F35">
        <w:rPr>
          <w:rFonts w:ascii="Times New Roman" w:hAnsi="Times New Roman" w:cs="Times New Roman"/>
          <w:i/>
          <w:sz w:val="24"/>
          <w:szCs w:val="24"/>
        </w:rPr>
        <w:t>Culture figurative e materiali tra Emilia e Marche</w:t>
      </w:r>
      <w:r w:rsidRPr="00176F35">
        <w:rPr>
          <w:rFonts w:ascii="Times New Roman" w:hAnsi="Times New Roman" w:cs="Times New Roman"/>
          <w:sz w:val="24"/>
          <w:szCs w:val="24"/>
        </w:rPr>
        <w:t xml:space="preserve">. Studi in memoria di Mario Zuffa, a cura di </w:t>
      </w:r>
      <w:r w:rsidRPr="00176F35">
        <w:rPr>
          <w:rFonts w:ascii="Times New Roman" w:hAnsi="Times New Roman" w:cs="Times New Roman"/>
          <w:smallCaps/>
          <w:sz w:val="24"/>
          <w:szCs w:val="24"/>
        </w:rPr>
        <w:t>P. Del Bianco</w:t>
      </w:r>
      <w:r w:rsidRPr="00176F35">
        <w:rPr>
          <w:rFonts w:ascii="Times New Roman" w:hAnsi="Times New Roman" w:cs="Times New Roman"/>
          <w:sz w:val="24"/>
          <w:szCs w:val="24"/>
        </w:rPr>
        <w:t>, Rimini, Maggioli, 1984, pp. 443-462.</w:t>
      </w:r>
    </w:p>
    <w:p w14:paraId="74C85C20" w14:textId="77777777" w:rsidR="00796A9D" w:rsidRDefault="00796A9D" w:rsidP="00796A9D">
      <w:pPr>
        <w:spacing w:after="0"/>
        <w:jc w:val="both"/>
        <w:rPr>
          <w:rFonts w:ascii="Times New Roman" w:hAnsi="Times New Roman" w:cs="Times New Roman"/>
          <w:sz w:val="24"/>
          <w:szCs w:val="24"/>
        </w:rPr>
      </w:pPr>
    </w:p>
    <w:p w14:paraId="45831F7A" w14:textId="77777777" w:rsidR="00796A9D" w:rsidRDefault="00796A9D" w:rsidP="00796A9D">
      <w:pPr>
        <w:spacing w:after="0"/>
        <w:jc w:val="both"/>
        <w:rPr>
          <w:rFonts w:ascii="Times New Roman" w:hAnsi="Times New Roman" w:cs="Times New Roman"/>
          <w:bCs/>
          <w:color w:val="000000"/>
          <w:sz w:val="24"/>
          <w:szCs w:val="24"/>
          <w:shd w:val="clear" w:color="auto" w:fill="FFFFFF"/>
        </w:rPr>
      </w:pPr>
      <w:r w:rsidRPr="00EF442A">
        <w:rPr>
          <w:rFonts w:ascii="Times New Roman" w:hAnsi="Times New Roman" w:cs="Times New Roman"/>
          <w:bCs/>
          <w:color w:val="000000"/>
          <w:sz w:val="24"/>
          <w:szCs w:val="24"/>
          <w:shd w:val="clear" w:color="auto" w:fill="FFFFFF"/>
        </w:rPr>
        <w:t xml:space="preserve">S. </w:t>
      </w:r>
      <w:r w:rsidRPr="00EF442A">
        <w:rPr>
          <w:rFonts w:ascii="Times New Roman" w:hAnsi="Times New Roman" w:cs="Times New Roman"/>
          <w:bCs/>
          <w:smallCaps/>
          <w:color w:val="000000"/>
          <w:sz w:val="24"/>
          <w:szCs w:val="24"/>
          <w:shd w:val="clear" w:color="auto" w:fill="FFFFFF"/>
        </w:rPr>
        <w:t>De Maria</w:t>
      </w:r>
      <w:r w:rsidRPr="00EF442A">
        <w:rPr>
          <w:rFonts w:ascii="Times New Roman" w:hAnsi="Times New Roman" w:cs="Times New Roman"/>
          <w:bCs/>
          <w:color w:val="000000"/>
          <w:sz w:val="24"/>
          <w:szCs w:val="24"/>
          <w:shd w:val="clear" w:color="auto" w:fill="FFFFFF"/>
        </w:rPr>
        <w:t xml:space="preserve">, </w:t>
      </w:r>
      <w:r w:rsidRPr="00EF442A">
        <w:rPr>
          <w:rFonts w:ascii="Times New Roman" w:hAnsi="Times New Roman" w:cs="Times New Roman"/>
          <w:bCs/>
          <w:i/>
          <w:color w:val="000000"/>
          <w:sz w:val="24"/>
          <w:szCs w:val="24"/>
          <w:shd w:val="clear" w:color="auto" w:fill="FFFFFF"/>
        </w:rPr>
        <w:t>Artisti, antiquari e collezionisti di antichità a Bologna fra XV e XVI secolo</w:t>
      </w:r>
      <w:r w:rsidRPr="00EF442A">
        <w:rPr>
          <w:rFonts w:ascii="Times New Roman" w:hAnsi="Times New Roman" w:cs="Times New Roman"/>
          <w:bCs/>
          <w:color w:val="000000"/>
          <w:sz w:val="24"/>
          <w:szCs w:val="24"/>
          <w:shd w:val="clear" w:color="auto" w:fill="FFFFFF"/>
        </w:rPr>
        <w:t xml:space="preserve">, in </w:t>
      </w:r>
      <w:r w:rsidRPr="00EF442A">
        <w:rPr>
          <w:rFonts w:ascii="Times New Roman" w:hAnsi="Times New Roman" w:cs="Times New Roman"/>
          <w:bCs/>
          <w:i/>
          <w:color w:val="000000"/>
          <w:sz w:val="24"/>
          <w:szCs w:val="24"/>
          <w:shd w:val="clear" w:color="auto" w:fill="FFFFFF"/>
        </w:rPr>
        <w:t>Bologna e l’Umanesimo 1490-1510</w:t>
      </w:r>
      <w:r w:rsidRPr="00EF442A">
        <w:rPr>
          <w:rFonts w:ascii="Times New Roman" w:hAnsi="Times New Roman" w:cs="Times New Roman"/>
          <w:bCs/>
          <w:color w:val="000000"/>
          <w:sz w:val="24"/>
          <w:szCs w:val="24"/>
          <w:shd w:val="clear" w:color="auto" w:fill="FFFFFF"/>
        </w:rPr>
        <w:t xml:space="preserve">, Catalogo della Mostra, Bologna 6 marzo–24 aprile 1988, a cura di </w:t>
      </w:r>
      <w:r w:rsidRPr="00EF442A">
        <w:rPr>
          <w:rFonts w:ascii="Times New Roman" w:hAnsi="Times New Roman" w:cs="Times New Roman"/>
          <w:bCs/>
          <w:smallCaps/>
          <w:color w:val="000000"/>
          <w:sz w:val="24"/>
          <w:szCs w:val="24"/>
          <w:shd w:val="clear" w:color="auto" w:fill="FFFFFF"/>
        </w:rPr>
        <w:t>M. Faietti, K. Oberhuber</w:t>
      </w:r>
      <w:r w:rsidRPr="00EF442A">
        <w:rPr>
          <w:rFonts w:ascii="Times New Roman" w:hAnsi="Times New Roman" w:cs="Times New Roman"/>
          <w:bCs/>
          <w:color w:val="000000"/>
          <w:sz w:val="24"/>
          <w:szCs w:val="24"/>
          <w:shd w:val="clear" w:color="auto" w:fill="FFFFFF"/>
        </w:rPr>
        <w:t>, Bologna, Alfa Editoriale, 1988</w:t>
      </w:r>
      <w:r>
        <w:rPr>
          <w:rFonts w:ascii="Times New Roman" w:hAnsi="Times New Roman" w:cs="Times New Roman"/>
          <w:bCs/>
          <w:color w:val="000000"/>
          <w:sz w:val="24"/>
          <w:szCs w:val="24"/>
          <w:shd w:val="clear" w:color="auto" w:fill="FFFFFF"/>
        </w:rPr>
        <w:t>, pp. 32-46.</w:t>
      </w:r>
    </w:p>
    <w:p w14:paraId="525B5BDE" w14:textId="77777777" w:rsidR="00796A9D" w:rsidRDefault="00796A9D" w:rsidP="00796A9D">
      <w:pPr>
        <w:spacing w:after="0"/>
        <w:jc w:val="both"/>
        <w:rPr>
          <w:rFonts w:ascii="Times New Roman" w:hAnsi="Times New Roman" w:cs="Times New Roman"/>
          <w:smallCaps/>
          <w:sz w:val="24"/>
          <w:szCs w:val="24"/>
        </w:rPr>
      </w:pPr>
    </w:p>
    <w:p w14:paraId="15E0379B" w14:textId="77777777" w:rsidR="00796A9D" w:rsidRPr="00B56844"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T. de Marinis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napoletana dei re d’Aragona</w:t>
      </w:r>
      <w:r w:rsidRPr="00BA2DBB">
        <w:rPr>
          <w:rFonts w:ascii="Times New Roman" w:hAnsi="Times New Roman" w:cs="Times New Roman"/>
          <w:sz w:val="24"/>
          <w:szCs w:val="24"/>
        </w:rPr>
        <w:t xml:space="preserve">, Milano, Hoepli, 1947-1952, voll. VI. </w:t>
      </w:r>
    </w:p>
    <w:p w14:paraId="55C1F49F" w14:textId="77777777" w:rsidR="00796A9D" w:rsidRDefault="00796A9D" w:rsidP="00796A9D">
      <w:pPr>
        <w:pStyle w:val="Testonotaapidipagina"/>
        <w:jc w:val="both"/>
        <w:rPr>
          <w:rFonts w:ascii="Times New Roman" w:hAnsi="Times New Roman" w:cs="Times New Roman"/>
          <w:smallCaps/>
          <w:sz w:val="24"/>
          <w:szCs w:val="24"/>
        </w:rPr>
      </w:pPr>
    </w:p>
    <w:p w14:paraId="0CD26443" w14:textId="77777777" w:rsidR="00796A9D" w:rsidRPr="00BA2DBB" w:rsidRDefault="00796A9D" w:rsidP="00796A9D">
      <w:pPr>
        <w:pStyle w:val="Testonotaapidipagina"/>
        <w:jc w:val="both"/>
        <w:rPr>
          <w:rFonts w:ascii="Times New Roman" w:hAnsi="Times New Roman" w:cs="Times New Roman"/>
          <w:sz w:val="24"/>
          <w:szCs w:val="24"/>
          <w:lang w:val="en-US"/>
        </w:rPr>
      </w:pPr>
      <w:r w:rsidRPr="00BA2DBB">
        <w:rPr>
          <w:rFonts w:ascii="Times New Roman" w:hAnsi="Times New Roman" w:cs="Times New Roman"/>
          <w:smallCaps/>
          <w:sz w:val="24"/>
          <w:szCs w:val="24"/>
        </w:rPr>
        <w:t>T. de Robertis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 xml:space="preserve">I primi anni della scrittura umanistica. </w:t>
      </w:r>
      <w:r w:rsidRPr="00BA2DBB">
        <w:rPr>
          <w:rFonts w:ascii="Times New Roman" w:hAnsi="Times New Roman" w:cs="Times New Roman"/>
          <w:i/>
          <w:sz w:val="24"/>
          <w:szCs w:val="24"/>
          <w:lang w:val="en-US"/>
        </w:rPr>
        <w:t>Materiali per un aggiornamento</w:t>
      </w:r>
      <w:r w:rsidRPr="00BA2DBB">
        <w:rPr>
          <w:rFonts w:ascii="Times New Roman" w:hAnsi="Times New Roman" w:cs="Times New Roman"/>
          <w:sz w:val="24"/>
          <w:szCs w:val="24"/>
          <w:lang w:val="en-US"/>
        </w:rPr>
        <w:t xml:space="preserve">, in </w:t>
      </w:r>
      <w:r w:rsidRPr="00BA2DBB">
        <w:rPr>
          <w:rFonts w:ascii="Times New Roman" w:hAnsi="Times New Roman" w:cs="Times New Roman"/>
          <w:i/>
          <w:sz w:val="24"/>
          <w:szCs w:val="24"/>
          <w:lang w:val="en-US"/>
        </w:rPr>
        <w:t>Palaeography, Manuscript Illumination and Humanism</w:t>
      </w:r>
      <w:r w:rsidRPr="00BA2DBB">
        <w:rPr>
          <w:rFonts w:ascii="Times New Roman" w:hAnsi="Times New Roman" w:cs="Times New Roman"/>
          <w:sz w:val="24"/>
          <w:szCs w:val="24"/>
          <w:lang w:val="en-US"/>
        </w:rPr>
        <w:t xml:space="preserve">, in </w:t>
      </w:r>
      <w:r w:rsidRPr="00BA2DBB">
        <w:rPr>
          <w:rFonts w:ascii="Times New Roman" w:hAnsi="Times New Roman" w:cs="Times New Roman"/>
          <w:i/>
          <w:sz w:val="24"/>
          <w:szCs w:val="24"/>
          <w:lang w:val="en-US"/>
        </w:rPr>
        <w:t>Renaissance Italy: Studies in Memory of A.C. de la Mare</w:t>
      </w:r>
      <w:r w:rsidRPr="00BA2DBB">
        <w:rPr>
          <w:rFonts w:ascii="Times New Roman" w:hAnsi="Times New Roman" w:cs="Times New Roman"/>
          <w:sz w:val="24"/>
          <w:szCs w:val="24"/>
          <w:lang w:val="en-US"/>
        </w:rPr>
        <w:t xml:space="preserve">, edited by </w:t>
      </w:r>
      <w:r w:rsidRPr="00BA2DBB">
        <w:rPr>
          <w:rFonts w:ascii="Times New Roman" w:hAnsi="Times New Roman" w:cs="Times New Roman"/>
          <w:smallCaps/>
          <w:sz w:val="24"/>
          <w:szCs w:val="24"/>
          <w:lang w:val="en-US"/>
        </w:rPr>
        <w:t>R. Black, J. Kraye, L. Nuvoloni</w:t>
      </w:r>
      <w:r w:rsidRPr="00BA2DBB">
        <w:rPr>
          <w:rFonts w:ascii="Times New Roman" w:hAnsi="Times New Roman" w:cs="Times New Roman"/>
          <w:sz w:val="24"/>
          <w:szCs w:val="24"/>
          <w:lang w:val="en-US"/>
        </w:rPr>
        <w:t xml:space="preserve">, London, The Warburg Institute, 2016, pp. 55-74.  </w:t>
      </w:r>
    </w:p>
    <w:p w14:paraId="7E5D1269" w14:textId="77777777" w:rsidR="00796A9D" w:rsidRPr="00BA2DBB" w:rsidRDefault="00796A9D" w:rsidP="00796A9D">
      <w:pPr>
        <w:pStyle w:val="Testonotaapidipagina"/>
        <w:jc w:val="both"/>
        <w:rPr>
          <w:rFonts w:ascii="Times New Roman" w:hAnsi="Times New Roman" w:cs="Times New Roman"/>
          <w:sz w:val="24"/>
          <w:szCs w:val="24"/>
          <w:lang w:val="en-US"/>
        </w:rPr>
      </w:pPr>
    </w:p>
    <w:p w14:paraId="53984F90"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Á.G. De Santa Marìa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parti inedite della “Crónica de Juan II” de Álvar García de Santa María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D. Ferro</w:t>
      </w:r>
      <w:r w:rsidRPr="00BA2DBB">
        <w:rPr>
          <w:rFonts w:ascii="Times New Roman" w:hAnsi="Times New Roman" w:cs="Times New Roman"/>
          <w:sz w:val="24"/>
          <w:szCs w:val="24"/>
        </w:rPr>
        <w:t>, Venezia, Consiglio Nazionale delle Ricerche, 1972, pp. 113-120.</w:t>
      </w:r>
    </w:p>
    <w:p w14:paraId="15312640" w14:textId="77777777" w:rsidR="00796A9D" w:rsidRDefault="00796A9D" w:rsidP="00796A9D">
      <w:pPr>
        <w:spacing w:after="0"/>
        <w:jc w:val="both"/>
        <w:rPr>
          <w:rFonts w:ascii="Times New Roman" w:hAnsi="Times New Roman" w:cs="Times New Roman"/>
          <w:sz w:val="24"/>
          <w:szCs w:val="24"/>
        </w:rPr>
      </w:pPr>
    </w:p>
    <w:p w14:paraId="19951E0C" w14:textId="77777777" w:rsidR="00796A9D" w:rsidRPr="00CA4578" w:rsidRDefault="00796A9D" w:rsidP="00796A9D">
      <w:pPr>
        <w:spacing w:after="0"/>
        <w:jc w:val="both"/>
        <w:rPr>
          <w:rFonts w:ascii="Times New Roman" w:hAnsi="Times New Roman" w:cs="Times New Roman"/>
          <w:sz w:val="24"/>
          <w:szCs w:val="24"/>
        </w:rPr>
      </w:pPr>
      <w:r w:rsidRPr="00CA4578">
        <w:rPr>
          <w:rFonts w:ascii="Times New Roman" w:hAnsi="Times New Roman" w:cs="Times New Roman"/>
          <w:smallCaps/>
          <w:sz w:val="24"/>
          <w:szCs w:val="24"/>
          <w:lang w:val="en-GB"/>
        </w:rPr>
        <w:t>J. De Vries</w:t>
      </w:r>
      <w:r w:rsidRPr="00CA4578">
        <w:rPr>
          <w:rFonts w:ascii="Times New Roman" w:hAnsi="Times New Roman" w:cs="Times New Roman"/>
          <w:sz w:val="24"/>
          <w:szCs w:val="24"/>
          <w:lang w:val="en-GB"/>
        </w:rPr>
        <w:t xml:space="preserve">, </w:t>
      </w:r>
      <w:r w:rsidRPr="00CA4578">
        <w:rPr>
          <w:rFonts w:ascii="Times New Roman" w:hAnsi="Times New Roman" w:cs="Times New Roman"/>
          <w:i/>
          <w:sz w:val="24"/>
          <w:szCs w:val="24"/>
          <w:lang w:val="en-GB"/>
        </w:rPr>
        <w:t>Caterina Sforza and the Art of Appearances. Gender, Art and Culture in Early Modern Italy</w:t>
      </w:r>
      <w:r w:rsidRPr="00CA4578">
        <w:rPr>
          <w:rFonts w:ascii="Times New Roman" w:hAnsi="Times New Roman" w:cs="Times New Roman"/>
          <w:sz w:val="24"/>
          <w:szCs w:val="24"/>
          <w:lang w:val="en-GB"/>
        </w:rPr>
        <w:t>, Burlington, Ashgate, 2010</w:t>
      </w:r>
      <w:r>
        <w:rPr>
          <w:rFonts w:ascii="Times New Roman" w:hAnsi="Times New Roman" w:cs="Times New Roman"/>
          <w:sz w:val="24"/>
          <w:szCs w:val="24"/>
          <w:lang w:val="en-GB"/>
        </w:rPr>
        <w:t>.</w:t>
      </w:r>
    </w:p>
    <w:p w14:paraId="08AE8010" w14:textId="77777777" w:rsidR="00796A9D" w:rsidRDefault="00796A9D" w:rsidP="00796A9D">
      <w:pPr>
        <w:spacing w:after="0"/>
        <w:jc w:val="both"/>
        <w:rPr>
          <w:rFonts w:ascii="Times New Roman" w:hAnsi="Times New Roman" w:cs="Times New Roman"/>
          <w:smallCaps/>
          <w:sz w:val="24"/>
          <w:szCs w:val="24"/>
        </w:rPr>
      </w:pPr>
    </w:p>
    <w:p w14:paraId="2973A727"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Dillon Bussi, A. R. Fantoni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Medicea Laurenziana negli ultimi anni del Quattrocento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All’ombra del Lauro. Documenti librari della cultura in età laurenziana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A. Lenzuni</w:t>
      </w:r>
      <w:r w:rsidRPr="00BA2DBB">
        <w:rPr>
          <w:rFonts w:ascii="Times New Roman" w:hAnsi="Times New Roman" w:cs="Times New Roman"/>
          <w:sz w:val="24"/>
          <w:szCs w:val="24"/>
        </w:rPr>
        <w:t>, Cinisello Balsamo, Silvana, 1992, pp. 135-148.</w:t>
      </w:r>
    </w:p>
    <w:p w14:paraId="54E045A1" w14:textId="77777777" w:rsidR="00796A9D" w:rsidRDefault="00796A9D" w:rsidP="00796A9D">
      <w:pPr>
        <w:spacing w:after="0"/>
        <w:jc w:val="both"/>
        <w:rPr>
          <w:rFonts w:ascii="Times New Roman" w:hAnsi="Times New Roman" w:cs="Times New Roman"/>
          <w:smallCaps/>
          <w:sz w:val="24"/>
          <w:szCs w:val="24"/>
        </w:rPr>
      </w:pPr>
    </w:p>
    <w:p w14:paraId="3ADC0FC0"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Dillon Bussi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Ancora sulla biblioteca corviniana a Firenze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Primo incontro italo-ungherese di bibliotecari</w:t>
      </w:r>
      <w:r w:rsidRPr="00BA2DBB">
        <w:rPr>
          <w:rFonts w:ascii="Times New Roman" w:hAnsi="Times New Roman" w:cs="Times New Roman"/>
          <w:sz w:val="24"/>
          <w:szCs w:val="24"/>
        </w:rPr>
        <w:t xml:space="preserve"> (Budapest, 9-10 novembre 2000). </w:t>
      </w:r>
      <w:r w:rsidRPr="00BA2DBB">
        <w:rPr>
          <w:rFonts w:ascii="Times New Roman" w:hAnsi="Times New Roman" w:cs="Times New Roman"/>
          <w:i/>
          <w:sz w:val="24"/>
          <w:szCs w:val="24"/>
        </w:rPr>
        <w:t>Problematiche e prospettive della ricerca sul materiale librario ungherese presente in Italia e sul materiale librario italiano presente in Ungheria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M.R. Sciglitano</w:t>
      </w:r>
      <w:r w:rsidRPr="00BA2DBB">
        <w:rPr>
          <w:rFonts w:ascii="Times New Roman" w:hAnsi="Times New Roman" w:cs="Times New Roman"/>
          <w:sz w:val="24"/>
          <w:szCs w:val="24"/>
        </w:rPr>
        <w:t>, Budapest, Stádium Nyomda, 2001, vol. I, pp. 48-79.</w:t>
      </w:r>
    </w:p>
    <w:p w14:paraId="2754FF8F" w14:textId="77777777" w:rsidR="00796A9D" w:rsidRDefault="00796A9D" w:rsidP="00796A9D">
      <w:pPr>
        <w:spacing w:after="0"/>
        <w:jc w:val="both"/>
        <w:rPr>
          <w:rFonts w:ascii="Times New Roman" w:hAnsi="Times New Roman" w:cs="Times New Roman"/>
          <w:i/>
          <w:sz w:val="24"/>
          <w:szCs w:val="24"/>
        </w:rPr>
      </w:pPr>
    </w:p>
    <w:p w14:paraId="02DCDD61"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i/>
          <w:sz w:val="24"/>
          <w:szCs w:val="24"/>
        </w:rPr>
        <w:t>Dizionario biografico dei miniatori italiani. Secoli IX-XVI</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M. Bollati, M. Boskovits</w:t>
      </w:r>
      <w:r w:rsidRPr="00BA2DBB">
        <w:rPr>
          <w:rFonts w:ascii="Times New Roman" w:hAnsi="Times New Roman" w:cs="Times New Roman"/>
          <w:sz w:val="24"/>
          <w:szCs w:val="24"/>
        </w:rPr>
        <w:t>, Milano, Sylvestre Bonnard, 2004.</w:t>
      </w:r>
    </w:p>
    <w:p w14:paraId="6E259034" w14:textId="77777777" w:rsidR="00796A9D" w:rsidRDefault="00796A9D" w:rsidP="00796A9D">
      <w:pPr>
        <w:spacing w:after="0"/>
        <w:jc w:val="both"/>
        <w:rPr>
          <w:rFonts w:ascii="Times New Roman" w:hAnsi="Times New Roman" w:cs="Times New Roman"/>
          <w:i/>
          <w:sz w:val="24"/>
          <w:szCs w:val="24"/>
        </w:rPr>
      </w:pPr>
    </w:p>
    <w:p w14:paraId="3219FD0D"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i/>
          <w:sz w:val="24"/>
          <w:szCs w:val="24"/>
        </w:rPr>
        <w:t>Dizionario degli editori, tipografi, librai itineranti in Italia tra Quattrocento e Seicento</w:t>
      </w:r>
      <w:r w:rsidRPr="00BA2DBB">
        <w:rPr>
          <w:rFonts w:ascii="Times New Roman" w:hAnsi="Times New Roman" w:cs="Times New Roman"/>
          <w:sz w:val="24"/>
          <w:szCs w:val="24"/>
        </w:rPr>
        <w:t>, Pisa-Roma, Fabrizio Serra, 2013.</w:t>
      </w:r>
    </w:p>
    <w:p w14:paraId="2A0DA454" w14:textId="77777777" w:rsidR="00796A9D" w:rsidRDefault="00796A9D" w:rsidP="00796A9D">
      <w:pPr>
        <w:spacing w:after="0"/>
        <w:jc w:val="both"/>
        <w:rPr>
          <w:rFonts w:ascii="Times New Roman" w:hAnsi="Times New Roman" w:cs="Times New Roman"/>
          <w:sz w:val="24"/>
          <w:szCs w:val="24"/>
        </w:rPr>
      </w:pPr>
    </w:p>
    <w:p w14:paraId="686604BA" w14:textId="77777777" w:rsidR="00796A9D" w:rsidRPr="003B089D" w:rsidRDefault="00796A9D" w:rsidP="00796A9D">
      <w:pPr>
        <w:spacing w:after="0"/>
        <w:jc w:val="both"/>
        <w:rPr>
          <w:rFonts w:ascii="Times New Roman" w:hAnsi="Times New Roman" w:cs="Times New Roman"/>
          <w:sz w:val="24"/>
          <w:szCs w:val="24"/>
        </w:rPr>
      </w:pPr>
      <w:r w:rsidRPr="003B089D">
        <w:rPr>
          <w:rFonts w:ascii="Times New Roman" w:hAnsi="Times New Roman" w:cs="Times New Roman"/>
          <w:smallCaps/>
          <w:sz w:val="24"/>
          <w:szCs w:val="24"/>
        </w:rPr>
        <w:t>L. Donati</w:t>
      </w:r>
      <w:r w:rsidRPr="003B089D">
        <w:rPr>
          <w:rFonts w:ascii="Times New Roman" w:hAnsi="Times New Roman" w:cs="Times New Roman"/>
          <w:sz w:val="24"/>
          <w:szCs w:val="24"/>
        </w:rPr>
        <w:t xml:space="preserve">, </w:t>
      </w:r>
      <w:r w:rsidRPr="003B089D">
        <w:rPr>
          <w:rFonts w:ascii="Times New Roman" w:hAnsi="Times New Roman" w:cs="Times New Roman"/>
          <w:i/>
          <w:sz w:val="24"/>
          <w:szCs w:val="24"/>
        </w:rPr>
        <w:t>Le fonti iconografiche di alcuni manoscritti urbinati della Biblioteca Vaticana. Osservazioni intorno ai cosiddetti Tarocchi del Mantegna</w:t>
      </w:r>
      <w:r w:rsidRPr="003B089D">
        <w:rPr>
          <w:rFonts w:ascii="Times New Roman" w:hAnsi="Times New Roman" w:cs="Times New Roman"/>
          <w:sz w:val="24"/>
          <w:szCs w:val="24"/>
        </w:rPr>
        <w:t>, «La Bibliofilia», LXI, 1959, pp. 48-129.</w:t>
      </w:r>
    </w:p>
    <w:p w14:paraId="2CD04816" w14:textId="77777777" w:rsidR="00796A9D" w:rsidRDefault="00796A9D" w:rsidP="00796A9D">
      <w:pPr>
        <w:spacing w:after="0"/>
        <w:jc w:val="both"/>
        <w:rPr>
          <w:rFonts w:ascii="Times New Roman" w:hAnsi="Times New Roman" w:cs="Times New Roman"/>
          <w:smallCaps/>
          <w:sz w:val="24"/>
          <w:szCs w:val="24"/>
        </w:rPr>
      </w:pPr>
    </w:p>
    <w:p w14:paraId="4D6A38C7" w14:textId="77777777" w:rsidR="00796A9D" w:rsidRDefault="00796A9D" w:rsidP="00796A9D">
      <w:pPr>
        <w:spacing w:after="0"/>
        <w:jc w:val="both"/>
        <w:rPr>
          <w:rFonts w:ascii="Times New Roman" w:hAnsi="Times New Roman" w:cs="Times New Roman"/>
          <w:sz w:val="24"/>
          <w:szCs w:val="24"/>
          <w:lang w:val="en-US"/>
        </w:rPr>
      </w:pPr>
      <w:r w:rsidRPr="00BA2DBB">
        <w:rPr>
          <w:rFonts w:ascii="Times New Roman" w:hAnsi="Times New Roman" w:cs="Times New Roman"/>
          <w:smallCaps/>
          <w:sz w:val="24"/>
          <w:szCs w:val="24"/>
        </w:rPr>
        <w:t>A. Dressen</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 xml:space="preserve">The Library of the Badia Fiesolana. </w:t>
      </w:r>
      <w:r w:rsidRPr="00BA2DBB">
        <w:rPr>
          <w:rFonts w:ascii="Times New Roman" w:hAnsi="Times New Roman" w:cs="Times New Roman"/>
          <w:i/>
          <w:sz w:val="24"/>
          <w:szCs w:val="24"/>
          <w:lang w:val="en-US"/>
        </w:rPr>
        <w:t>Intellectual History and Education under the Medici (1462-1494),</w:t>
      </w:r>
      <w:r w:rsidRPr="00BA2DBB">
        <w:rPr>
          <w:rFonts w:ascii="Times New Roman" w:hAnsi="Times New Roman" w:cs="Times New Roman"/>
          <w:sz w:val="24"/>
          <w:szCs w:val="24"/>
          <w:lang w:val="en-US"/>
        </w:rPr>
        <w:t xml:space="preserve"> Firenze, Galluzzo, 2013.</w:t>
      </w:r>
    </w:p>
    <w:p w14:paraId="7F10FA63" w14:textId="77777777" w:rsidR="00796A9D" w:rsidRDefault="00796A9D" w:rsidP="00796A9D">
      <w:pPr>
        <w:spacing w:after="0"/>
        <w:jc w:val="both"/>
        <w:rPr>
          <w:rFonts w:ascii="Times New Roman" w:hAnsi="Times New Roman" w:cs="Times New Roman"/>
          <w:sz w:val="24"/>
          <w:szCs w:val="24"/>
          <w:lang w:val="en-US"/>
        </w:rPr>
      </w:pPr>
    </w:p>
    <w:p w14:paraId="4962AED6" w14:textId="77777777" w:rsidR="00796A9D" w:rsidRPr="00BA2DBB" w:rsidRDefault="00796A9D" w:rsidP="00796A9D">
      <w:pPr>
        <w:spacing w:after="0"/>
        <w:jc w:val="both"/>
        <w:rPr>
          <w:rFonts w:ascii="Times New Roman" w:hAnsi="Times New Roman" w:cs="Times New Roman"/>
          <w:sz w:val="24"/>
          <w:szCs w:val="24"/>
          <w:lang w:val="en-US"/>
        </w:rPr>
      </w:pPr>
      <w:r w:rsidRPr="00036A3A">
        <w:rPr>
          <w:rFonts w:ascii="Times New Roman" w:hAnsi="Times New Roman" w:cs="Times New Roman"/>
          <w:smallCaps/>
          <w:sz w:val="24"/>
          <w:szCs w:val="24"/>
        </w:rPr>
        <w:t>T. Duranti</w:t>
      </w:r>
      <w:r w:rsidRPr="00036A3A">
        <w:rPr>
          <w:rFonts w:ascii="Times New Roman" w:hAnsi="Times New Roman" w:cs="Times New Roman"/>
          <w:sz w:val="24"/>
          <w:szCs w:val="24"/>
        </w:rPr>
        <w:t xml:space="preserve">, </w:t>
      </w:r>
      <w:r w:rsidRPr="00036A3A">
        <w:rPr>
          <w:rFonts w:ascii="Times New Roman" w:hAnsi="Times New Roman" w:cs="Times New Roman"/>
          <w:i/>
          <w:sz w:val="24"/>
          <w:szCs w:val="24"/>
        </w:rPr>
        <w:t>Diplomazia e autogoverno a Bologna nel Quattrocento (1392-1466). Fonti per la storia delle istituzioni</w:t>
      </w:r>
      <w:r w:rsidRPr="00036A3A">
        <w:rPr>
          <w:rFonts w:ascii="Times New Roman" w:hAnsi="Times New Roman" w:cs="Times New Roman"/>
          <w:sz w:val="24"/>
          <w:szCs w:val="24"/>
        </w:rPr>
        <w:t>, Bologna, CLUEB, 2009</w:t>
      </w:r>
      <w:r>
        <w:rPr>
          <w:rFonts w:ascii="Times New Roman" w:hAnsi="Times New Roman" w:cs="Times New Roman"/>
        </w:rPr>
        <w:t>.</w:t>
      </w:r>
    </w:p>
    <w:p w14:paraId="69DA1FC8" w14:textId="77777777" w:rsidR="00796A9D" w:rsidRDefault="00796A9D" w:rsidP="00796A9D">
      <w:pPr>
        <w:spacing w:after="0"/>
        <w:jc w:val="both"/>
        <w:rPr>
          <w:rFonts w:ascii="Times New Roman" w:hAnsi="Times New Roman" w:cs="Times New Roman"/>
          <w:smallCaps/>
          <w:sz w:val="24"/>
          <w:szCs w:val="24"/>
        </w:rPr>
      </w:pPr>
    </w:p>
    <w:p w14:paraId="700225E7" w14:textId="77777777" w:rsidR="00796A9D" w:rsidRPr="00BA2DBB" w:rsidRDefault="00796A9D" w:rsidP="00796A9D">
      <w:pPr>
        <w:spacing w:after="0"/>
        <w:jc w:val="both"/>
        <w:rPr>
          <w:rFonts w:ascii="Times New Roman" w:hAnsi="Times New Roman" w:cs="Times New Roman"/>
          <w:sz w:val="24"/>
          <w:szCs w:val="24"/>
          <w:lang w:val="en-US"/>
        </w:rPr>
      </w:pPr>
      <w:r w:rsidRPr="00BA2DBB">
        <w:rPr>
          <w:rFonts w:ascii="Times New Roman" w:hAnsi="Times New Roman" w:cs="Times New Roman"/>
          <w:smallCaps/>
          <w:sz w:val="24"/>
          <w:szCs w:val="24"/>
        </w:rPr>
        <w:t>C. Elam</w:t>
      </w:r>
      <w:r w:rsidRPr="00BA2DBB">
        <w:rPr>
          <w:rFonts w:ascii="Times New Roman" w:hAnsi="Times New Roman" w:cs="Times New Roman"/>
          <w:i/>
          <w:sz w:val="24"/>
          <w:szCs w:val="24"/>
        </w:rPr>
        <w:t>, Il giardino delle sculture di Lorenzo de’ Medici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Il giardino di San Marco. Maestri e compagni del giovane Michelangelo</w:t>
      </w:r>
      <w:r w:rsidRPr="00BA2DBB">
        <w:rPr>
          <w:rFonts w:ascii="Times New Roman" w:hAnsi="Times New Roman" w:cs="Times New Roman"/>
          <w:sz w:val="24"/>
          <w:szCs w:val="24"/>
        </w:rPr>
        <w:t xml:space="preserve">, a cura di </w:t>
      </w:r>
      <w:r w:rsidRPr="003E7C9E">
        <w:rPr>
          <w:rFonts w:ascii="Times New Roman" w:hAnsi="Times New Roman" w:cs="Times New Roman"/>
          <w:smallCaps/>
          <w:sz w:val="24"/>
          <w:szCs w:val="24"/>
        </w:rPr>
        <w:t>P. Barocchi</w:t>
      </w:r>
      <w:r w:rsidRPr="00BA2DBB">
        <w:rPr>
          <w:rFonts w:ascii="Times New Roman" w:hAnsi="Times New Roman" w:cs="Times New Roman"/>
          <w:sz w:val="24"/>
          <w:szCs w:val="24"/>
        </w:rPr>
        <w:t>, Catalogo della Mostra (Firenze, 30 giugno-19 ottobre 1992), Cinisello Balsamo, Silvana, 1992, pp. 157-172.</w:t>
      </w:r>
    </w:p>
    <w:p w14:paraId="1D74FE7D" w14:textId="77777777" w:rsidR="00796A9D" w:rsidRDefault="00796A9D" w:rsidP="00796A9D">
      <w:pPr>
        <w:spacing w:after="0"/>
        <w:jc w:val="both"/>
        <w:rPr>
          <w:rFonts w:ascii="Times New Roman" w:hAnsi="Times New Roman" w:cs="Times New Roman"/>
          <w:smallCaps/>
          <w:sz w:val="24"/>
          <w:szCs w:val="24"/>
        </w:rPr>
      </w:pPr>
    </w:p>
    <w:p w14:paraId="2C53C6B8" w14:textId="77777777" w:rsidR="00796A9D" w:rsidRPr="0078597F" w:rsidRDefault="00796A9D" w:rsidP="00796A9D">
      <w:pPr>
        <w:spacing w:after="0"/>
        <w:jc w:val="both"/>
        <w:rPr>
          <w:rFonts w:ascii="Times New Roman" w:hAnsi="Times New Roman" w:cs="Times New Roman"/>
          <w:smallCaps/>
          <w:sz w:val="24"/>
          <w:szCs w:val="24"/>
        </w:rPr>
      </w:pPr>
      <w:r w:rsidRPr="0078597F">
        <w:rPr>
          <w:rFonts w:ascii="Times New Roman" w:hAnsi="Times New Roman" w:cs="Times New Roman"/>
          <w:bCs/>
          <w:i/>
          <w:color w:val="000000"/>
          <w:sz w:val="24"/>
          <w:szCs w:val="24"/>
          <w:shd w:val="clear" w:color="auto" w:fill="FFFFFF"/>
        </w:rPr>
        <w:t>Elisabetta d’Austria e l’Italia</w:t>
      </w:r>
      <w:r w:rsidRPr="0078597F">
        <w:rPr>
          <w:rFonts w:ascii="Times New Roman" w:hAnsi="Times New Roman" w:cs="Times New Roman"/>
          <w:bCs/>
          <w:color w:val="000000"/>
          <w:sz w:val="24"/>
          <w:szCs w:val="24"/>
          <w:shd w:val="clear" w:color="auto" w:fill="FFFFFF"/>
        </w:rPr>
        <w:t xml:space="preserve">, a cura di M. </w:t>
      </w:r>
      <w:r w:rsidRPr="0078597F">
        <w:rPr>
          <w:rFonts w:ascii="Times New Roman" w:hAnsi="Times New Roman" w:cs="Times New Roman"/>
          <w:bCs/>
          <w:smallCaps/>
          <w:color w:val="000000"/>
          <w:sz w:val="24"/>
          <w:szCs w:val="24"/>
          <w:shd w:val="clear" w:color="auto" w:fill="FFFFFF"/>
        </w:rPr>
        <w:t>Bressan</w:t>
      </w:r>
      <w:r w:rsidRPr="0078597F">
        <w:rPr>
          <w:rFonts w:ascii="Times New Roman" w:hAnsi="Times New Roman" w:cs="Times New Roman"/>
          <w:bCs/>
          <w:color w:val="000000"/>
          <w:sz w:val="24"/>
          <w:szCs w:val="24"/>
          <w:shd w:val="clear" w:color="auto" w:fill="FFFFFF"/>
        </w:rPr>
        <w:t>, Mariano del Friuli, Edizioni della Laguna, 2001.</w:t>
      </w:r>
    </w:p>
    <w:p w14:paraId="24FB5B5C" w14:textId="77777777" w:rsidR="00796A9D" w:rsidRDefault="00796A9D" w:rsidP="00796A9D">
      <w:pPr>
        <w:spacing w:after="0"/>
        <w:jc w:val="both"/>
        <w:rPr>
          <w:rFonts w:ascii="Times New Roman" w:hAnsi="Times New Roman" w:cs="Times New Roman"/>
          <w:smallCaps/>
          <w:sz w:val="24"/>
          <w:szCs w:val="24"/>
        </w:rPr>
      </w:pPr>
    </w:p>
    <w:p w14:paraId="59EC9C15"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F. Español</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El salterio y libro de horas de Alfonso el Magnánimo y el cardenal Joan de Casanova</w:t>
      </w:r>
      <w:r w:rsidRPr="00BA2DBB">
        <w:rPr>
          <w:rFonts w:ascii="Times New Roman" w:hAnsi="Times New Roman" w:cs="Times New Roman"/>
          <w:sz w:val="24"/>
          <w:szCs w:val="24"/>
        </w:rPr>
        <w:t xml:space="preserve">, «Locus amoenus», </w:t>
      </w:r>
      <w:r>
        <w:rPr>
          <w:rFonts w:ascii="Times New Roman" w:hAnsi="Times New Roman" w:cs="Times New Roman"/>
          <w:sz w:val="24"/>
          <w:szCs w:val="24"/>
        </w:rPr>
        <w:t>VI</w:t>
      </w:r>
      <w:r w:rsidRPr="00BA2DBB">
        <w:rPr>
          <w:rFonts w:ascii="Times New Roman" w:hAnsi="Times New Roman" w:cs="Times New Roman"/>
          <w:sz w:val="24"/>
          <w:szCs w:val="24"/>
        </w:rPr>
        <w:t>, 2002-2003, pp. 91-114.</w:t>
      </w:r>
    </w:p>
    <w:p w14:paraId="652CAC4A" w14:textId="77777777" w:rsidR="00796A9D" w:rsidRDefault="00796A9D" w:rsidP="00796A9D">
      <w:pPr>
        <w:spacing w:after="0"/>
        <w:jc w:val="both"/>
        <w:rPr>
          <w:rFonts w:ascii="Times New Roman" w:hAnsi="Times New Roman" w:cs="Times New Roman"/>
          <w:sz w:val="24"/>
          <w:szCs w:val="24"/>
        </w:rPr>
      </w:pPr>
    </w:p>
    <w:p w14:paraId="7DDA8AD7" w14:textId="77777777" w:rsidR="00796A9D" w:rsidRPr="001A4E54" w:rsidRDefault="00796A9D" w:rsidP="00796A9D">
      <w:pPr>
        <w:spacing w:after="0"/>
        <w:jc w:val="both"/>
        <w:rPr>
          <w:rFonts w:ascii="Times New Roman" w:hAnsi="Times New Roman" w:cs="Times New Roman"/>
          <w:sz w:val="24"/>
          <w:szCs w:val="24"/>
        </w:rPr>
      </w:pPr>
      <w:r w:rsidRPr="001A4E54">
        <w:rPr>
          <w:rFonts w:ascii="Times New Roman" w:hAnsi="Times New Roman" w:cs="Times New Roman"/>
          <w:sz w:val="24"/>
          <w:szCs w:val="24"/>
        </w:rPr>
        <w:t xml:space="preserve">E. </w:t>
      </w:r>
      <w:r w:rsidRPr="001A4E54">
        <w:rPr>
          <w:rFonts w:ascii="Times New Roman" w:hAnsi="Times New Roman" w:cs="Times New Roman"/>
          <w:smallCaps/>
          <w:sz w:val="24"/>
          <w:szCs w:val="24"/>
        </w:rPr>
        <w:t>Faccioli</w:t>
      </w:r>
      <w:r w:rsidRPr="001A4E54">
        <w:rPr>
          <w:rFonts w:ascii="Times New Roman" w:hAnsi="Times New Roman" w:cs="Times New Roman"/>
          <w:sz w:val="24"/>
          <w:szCs w:val="24"/>
        </w:rPr>
        <w:t xml:space="preserve">, </w:t>
      </w:r>
      <w:r w:rsidRPr="001A4E54">
        <w:rPr>
          <w:rFonts w:ascii="Times New Roman" w:hAnsi="Times New Roman" w:cs="Times New Roman"/>
          <w:i/>
          <w:sz w:val="24"/>
          <w:szCs w:val="24"/>
        </w:rPr>
        <w:t>Scenicità dei banchetti estensi</w:t>
      </w:r>
      <w:r w:rsidRPr="001A4E54">
        <w:rPr>
          <w:rFonts w:ascii="Times New Roman" w:hAnsi="Times New Roman" w:cs="Times New Roman"/>
          <w:sz w:val="24"/>
          <w:szCs w:val="24"/>
        </w:rPr>
        <w:t xml:space="preserve">, in </w:t>
      </w:r>
      <w:r w:rsidRPr="001A4E54">
        <w:rPr>
          <w:rFonts w:ascii="Times New Roman" w:hAnsi="Times New Roman" w:cs="Times New Roman"/>
          <w:i/>
          <w:sz w:val="24"/>
          <w:szCs w:val="24"/>
        </w:rPr>
        <w:t>Il Rinascimento nelle corti padane. Società e cultura</w:t>
      </w:r>
      <w:r w:rsidRPr="001A4E54">
        <w:rPr>
          <w:rFonts w:ascii="Times New Roman" w:hAnsi="Times New Roman" w:cs="Times New Roman"/>
          <w:sz w:val="24"/>
          <w:szCs w:val="24"/>
        </w:rPr>
        <w:t>, Bari, De Donato, 1977.</w:t>
      </w:r>
    </w:p>
    <w:p w14:paraId="440D52E4" w14:textId="77777777" w:rsidR="00796A9D" w:rsidRDefault="00796A9D" w:rsidP="00796A9D">
      <w:pPr>
        <w:spacing w:after="0"/>
        <w:jc w:val="both"/>
        <w:rPr>
          <w:rFonts w:ascii="Times New Roman" w:hAnsi="Times New Roman" w:cs="Times New Roman"/>
          <w:sz w:val="24"/>
          <w:szCs w:val="24"/>
        </w:rPr>
      </w:pPr>
    </w:p>
    <w:p w14:paraId="4E31C72C" w14:textId="77777777" w:rsidR="00796A9D" w:rsidRDefault="00796A9D" w:rsidP="00796A9D">
      <w:pPr>
        <w:spacing w:after="0"/>
        <w:jc w:val="both"/>
        <w:rPr>
          <w:rFonts w:ascii="Times New Roman" w:hAnsi="Times New Roman" w:cs="Times New Roman"/>
          <w:sz w:val="24"/>
          <w:szCs w:val="24"/>
        </w:rPr>
      </w:pPr>
      <w:r w:rsidRPr="0072747A">
        <w:rPr>
          <w:rFonts w:ascii="Times New Roman" w:hAnsi="Times New Roman" w:cs="Times New Roman"/>
          <w:sz w:val="24"/>
          <w:szCs w:val="24"/>
        </w:rPr>
        <w:t xml:space="preserve">C. </w:t>
      </w:r>
      <w:r w:rsidRPr="0072747A">
        <w:rPr>
          <w:rFonts w:ascii="Times New Roman" w:hAnsi="Times New Roman" w:cs="Times New Roman"/>
          <w:smallCaps/>
          <w:sz w:val="24"/>
          <w:szCs w:val="24"/>
        </w:rPr>
        <w:t>Falletti</w:t>
      </w:r>
      <w:r w:rsidRPr="0072747A">
        <w:rPr>
          <w:rFonts w:ascii="Times New Roman" w:hAnsi="Times New Roman" w:cs="Times New Roman"/>
          <w:sz w:val="24"/>
          <w:szCs w:val="24"/>
        </w:rPr>
        <w:t xml:space="preserve">, </w:t>
      </w:r>
      <w:r w:rsidRPr="0072747A">
        <w:rPr>
          <w:rFonts w:ascii="Times New Roman" w:hAnsi="Times New Roman" w:cs="Times New Roman"/>
          <w:i/>
          <w:sz w:val="24"/>
          <w:szCs w:val="24"/>
        </w:rPr>
        <w:t>Le feste per Eleonora d’Aragona da Napoli a Ferrara (1473)</w:t>
      </w:r>
      <w:r w:rsidRPr="0072747A">
        <w:rPr>
          <w:rFonts w:ascii="Times New Roman" w:hAnsi="Times New Roman" w:cs="Times New Roman"/>
          <w:sz w:val="24"/>
          <w:szCs w:val="24"/>
        </w:rPr>
        <w:t xml:space="preserve">, in </w:t>
      </w:r>
      <w:r w:rsidRPr="0072747A">
        <w:rPr>
          <w:rFonts w:ascii="Times New Roman" w:hAnsi="Times New Roman" w:cs="Times New Roman"/>
          <w:i/>
          <w:sz w:val="24"/>
          <w:szCs w:val="24"/>
        </w:rPr>
        <w:t>Teatro e culture della rappresentazione</w:t>
      </w:r>
      <w:r w:rsidRPr="0072747A">
        <w:rPr>
          <w:rFonts w:ascii="Times New Roman" w:hAnsi="Times New Roman" w:cs="Times New Roman"/>
          <w:i/>
          <w:snapToGrid w:val="0"/>
          <w:sz w:val="24"/>
          <w:szCs w:val="24"/>
        </w:rPr>
        <w:t>. Lo spettacolo in Italia nel Quattrocento</w:t>
      </w:r>
      <w:r w:rsidRPr="0072747A">
        <w:rPr>
          <w:rFonts w:ascii="Times New Roman" w:hAnsi="Times New Roman" w:cs="Times New Roman"/>
          <w:snapToGrid w:val="0"/>
          <w:sz w:val="24"/>
          <w:szCs w:val="24"/>
        </w:rPr>
        <w:t xml:space="preserve">, a cura di </w:t>
      </w:r>
      <w:r w:rsidRPr="0072747A">
        <w:rPr>
          <w:rFonts w:ascii="Times New Roman" w:hAnsi="Times New Roman" w:cs="Times New Roman"/>
          <w:smallCaps/>
          <w:snapToGrid w:val="0"/>
          <w:sz w:val="24"/>
          <w:szCs w:val="24"/>
        </w:rPr>
        <w:t xml:space="preserve">R. </w:t>
      </w:r>
      <w:r w:rsidRPr="0072747A">
        <w:rPr>
          <w:rFonts w:ascii="Times New Roman" w:hAnsi="Times New Roman" w:cs="Times New Roman"/>
          <w:smallCaps/>
          <w:sz w:val="24"/>
          <w:szCs w:val="24"/>
        </w:rPr>
        <w:t>Guarino</w:t>
      </w:r>
      <w:r w:rsidRPr="0072747A">
        <w:rPr>
          <w:rFonts w:ascii="Times New Roman" w:hAnsi="Times New Roman" w:cs="Times New Roman"/>
          <w:snapToGrid w:val="0"/>
          <w:sz w:val="24"/>
          <w:szCs w:val="24"/>
        </w:rPr>
        <w:t>, Bologna, il Mulino, 1988</w:t>
      </w:r>
      <w:r w:rsidRPr="0072747A">
        <w:rPr>
          <w:rFonts w:ascii="Times New Roman" w:hAnsi="Times New Roman" w:cs="Times New Roman"/>
          <w:sz w:val="24"/>
          <w:szCs w:val="24"/>
        </w:rPr>
        <w:t>, pp. 121-140.</w:t>
      </w:r>
    </w:p>
    <w:p w14:paraId="66B2D4B9" w14:textId="77777777" w:rsidR="00796A9D" w:rsidRDefault="00796A9D" w:rsidP="00796A9D">
      <w:pPr>
        <w:spacing w:after="0"/>
        <w:jc w:val="both"/>
        <w:rPr>
          <w:rFonts w:ascii="Times New Roman" w:hAnsi="Times New Roman" w:cs="Times New Roman"/>
          <w:sz w:val="24"/>
          <w:szCs w:val="24"/>
        </w:rPr>
      </w:pPr>
    </w:p>
    <w:p w14:paraId="7597B311" w14:textId="77777777" w:rsidR="00796A9D" w:rsidRPr="002762BD" w:rsidRDefault="00796A9D" w:rsidP="00796A9D">
      <w:pPr>
        <w:spacing w:after="0"/>
        <w:jc w:val="both"/>
        <w:rPr>
          <w:rFonts w:ascii="Times New Roman" w:hAnsi="Times New Roman" w:cs="Times New Roman"/>
          <w:sz w:val="24"/>
          <w:szCs w:val="24"/>
        </w:rPr>
      </w:pPr>
      <w:r w:rsidRPr="002762BD">
        <w:rPr>
          <w:rFonts w:ascii="Times New Roman" w:hAnsi="Times New Roman" w:cs="Times New Roman"/>
          <w:smallCaps/>
          <w:sz w:val="24"/>
          <w:szCs w:val="24"/>
        </w:rPr>
        <w:t>C. Falletti Cruciani</w:t>
      </w:r>
      <w:r w:rsidRPr="002762BD">
        <w:rPr>
          <w:rFonts w:ascii="Times New Roman" w:hAnsi="Times New Roman" w:cs="Times New Roman"/>
          <w:sz w:val="24"/>
          <w:szCs w:val="24"/>
        </w:rPr>
        <w:t xml:space="preserve">, </w:t>
      </w:r>
      <w:r w:rsidRPr="002762BD">
        <w:rPr>
          <w:rFonts w:ascii="Times New Roman" w:hAnsi="Times New Roman" w:cs="Times New Roman"/>
          <w:i/>
          <w:sz w:val="24"/>
          <w:szCs w:val="24"/>
        </w:rPr>
        <w:t>Le feste per Eleonora d’Aragona fra Napoli e Roma nel 1473</w:t>
      </w:r>
      <w:r w:rsidRPr="002762BD">
        <w:rPr>
          <w:rFonts w:ascii="Times New Roman" w:hAnsi="Times New Roman" w:cs="Times New Roman"/>
          <w:sz w:val="24"/>
          <w:szCs w:val="24"/>
        </w:rPr>
        <w:t xml:space="preserve">, in </w:t>
      </w:r>
      <w:r w:rsidRPr="002762BD">
        <w:rPr>
          <w:rFonts w:ascii="Times New Roman" w:hAnsi="Times New Roman" w:cs="Times New Roman"/>
          <w:i/>
          <w:sz w:val="24"/>
          <w:szCs w:val="24"/>
        </w:rPr>
        <w:t>L’attore del Parnaso. Profili di attori-musici e drammaturgie d’occasione</w:t>
      </w:r>
      <w:r w:rsidRPr="002762BD">
        <w:rPr>
          <w:rFonts w:ascii="Times New Roman" w:hAnsi="Times New Roman" w:cs="Times New Roman"/>
          <w:sz w:val="24"/>
          <w:szCs w:val="24"/>
        </w:rPr>
        <w:t xml:space="preserve">, a cura di </w:t>
      </w:r>
      <w:r w:rsidRPr="002762BD">
        <w:rPr>
          <w:rFonts w:ascii="Times New Roman" w:hAnsi="Times New Roman" w:cs="Times New Roman"/>
          <w:smallCaps/>
          <w:sz w:val="24"/>
          <w:szCs w:val="24"/>
        </w:rPr>
        <w:t>F. Bortoletti</w:t>
      </w:r>
      <w:r w:rsidRPr="002762BD">
        <w:rPr>
          <w:rFonts w:ascii="Times New Roman" w:hAnsi="Times New Roman" w:cs="Times New Roman"/>
          <w:sz w:val="24"/>
          <w:szCs w:val="24"/>
        </w:rPr>
        <w:t>, Milano, Mimesis, 2012, pp. 199-20</w:t>
      </w:r>
      <w:r>
        <w:rPr>
          <w:rFonts w:ascii="Times New Roman" w:hAnsi="Times New Roman" w:cs="Times New Roman"/>
          <w:sz w:val="24"/>
          <w:szCs w:val="24"/>
        </w:rPr>
        <w:t>9.</w:t>
      </w:r>
    </w:p>
    <w:p w14:paraId="57BD88AA" w14:textId="77777777" w:rsidR="00796A9D" w:rsidRDefault="00796A9D" w:rsidP="00796A9D">
      <w:pPr>
        <w:spacing w:after="0"/>
        <w:jc w:val="both"/>
        <w:rPr>
          <w:rFonts w:ascii="Times New Roman" w:hAnsi="Times New Roman" w:cs="Times New Roman"/>
          <w:sz w:val="24"/>
          <w:szCs w:val="24"/>
        </w:rPr>
      </w:pPr>
    </w:p>
    <w:p w14:paraId="1D30B468" w14:textId="77777777" w:rsidR="00796A9D" w:rsidRPr="009146BF" w:rsidRDefault="00796A9D" w:rsidP="00796A9D">
      <w:pPr>
        <w:spacing w:after="0"/>
        <w:jc w:val="both"/>
        <w:rPr>
          <w:rFonts w:ascii="Times New Roman" w:hAnsi="Times New Roman" w:cs="Times New Roman"/>
          <w:sz w:val="24"/>
          <w:szCs w:val="24"/>
        </w:rPr>
      </w:pPr>
      <w:r w:rsidRPr="009146BF">
        <w:rPr>
          <w:rFonts w:ascii="Times New Roman" w:hAnsi="Times New Roman" w:cs="Times New Roman"/>
          <w:smallCaps/>
          <w:sz w:val="24"/>
          <w:szCs w:val="24"/>
          <w:lang w:val="en-US"/>
        </w:rPr>
        <w:t>P. Fane Saunders</w:t>
      </w:r>
      <w:r w:rsidRPr="009146BF">
        <w:rPr>
          <w:rFonts w:ascii="Times New Roman" w:hAnsi="Times New Roman" w:cs="Times New Roman"/>
          <w:sz w:val="24"/>
          <w:szCs w:val="24"/>
          <w:lang w:val="en-US"/>
        </w:rPr>
        <w:t xml:space="preserve">, </w:t>
      </w:r>
      <w:r w:rsidRPr="009146BF">
        <w:rPr>
          <w:rFonts w:ascii="Times New Roman" w:hAnsi="Times New Roman" w:cs="Times New Roman"/>
          <w:i/>
          <w:sz w:val="24"/>
          <w:szCs w:val="24"/>
          <w:lang w:val="en-US"/>
        </w:rPr>
        <w:t>Pliny the Elder and the emergence of Renaissance Architecture</w:t>
      </w:r>
      <w:r w:rsidRPr="009146BF">
        <w:rPr>
          <w:rFonts w:ascii="Times New Roman" w:hAnsi="Times New Roman" w:cs="Times New Roman"/>
          <w:sz w:val="24"/>
          <w:szCs w:val="24"/>
          <w:lang w:val="en-US"/>
        </w:rPr>
        <w:t>, New York, Cambridge University Press, 2016.</w:t>
      </w:r>
    </w:p>
    <w:p w14:paraId="7085BAAB" w14:textId="77777777" w:rsidR="00796A9D" w:rsidRDefault="00796A9D" w:rsidP="00796A9D">
      <w:pPr>
        <w:spacing w:after="0"/>
        <w:jc w:val="both"/>
        <w:rPr>
          <w:rFonts w:ascii="Times New Roman" w:hAnsi="Times New Roman" w:cs="Times New Roman"/>
          <w:sz w:val="24"/>
          <w:szCs w:val="24"/>
        </w:rPr>
      </w:pPr>
    </w:p>
    <w:p w14:paraId="55571780" w14:textId="77777777" w:rsidR="00796A9D" w:rsidRPr="00ED4C66" w:rsidRDefault="00796A9D" w:rsidP="00796A9D">
      <w:pPr>
        <w:spacing w:after="0"/>
        <w:jc w:val="both"/>
        <w:rPr>
          <w:rFonts w:ascii="Times New Roman" w:hAnsi="Times New Roman" w:cs="Times New Roman"/>
          <w:sz w:val="24"/>
          <w:szCs w:val="24"/>
        </w:rPr>
      </w:pPr>
      <w:r w:rsidRPr="00ED4C66">
        <w:rPr>
          <w:rFonts w:ascii="Times New Roman" w:hAnsi="Times New Roman" w:cs="Times New Roman"/>
          <w:smallCaps/>
          <w:sz w:val="24"/>
          <w:szCs w:val="24"/>
        </w:rPr>
        <w:t>M. Fanti</w:t>
      </w:r>
      <w:r w:rsidRPr="00ED4C66">
        <w:rPr>
          <w:rFonts w:ascii="Times New Roman" w:hAnsi="Times New Roman" w:cs="Times New Roman"/>
          <w:sz w:val="24"/>
          <w:szCs w:val="24"/>
        </w:rPr>
        <w:t xml:space="preserve">, </w:t>
      </w:r>
      <w:r w:rsidRPr="00ED4C66">
        <w:rPr>
          <w:rFonts w:ascii="Times New Roman" w:hAnsi="Times New Roman" w:cs="Times New Roman"/>
          <w:i/>
          <w:sz w:val="24"/>
          <w:szCs w:val="24"/>
        </w:rPr>
        <w:t xml:space="preserve">Inventari dei manoscritti delle Biblioteche d’Italia. </w:t>
      </w:r>
      <w:r w:rsidRPr="00CC65EB">
        <w:rPr>
          <w:rFonts w:ascii="Times New Roman" w:hAnsi="Times New Roman" w:cs="Times New Roman"/>
          <w:sz w:val="24"/>
          <w:szCs w:val="24"/>
        </w:rPr>
        <w:t>Volume CXVI, Bologna, Biblioteca dell’Archiginnasio,</w:t>
      </w:r>
      <w:r w:rsidRPr="00ED4C66">
        <w:rPr>
          <w:rFonts w:ascii="Times New Roman" w:hAnsi="Times New Roman" w:cs="Times New Roman"/>
          <w:sz w:val="24"/>
          <w:szCs w:val="24"/>
        </w:rPr>
        <w:t xml:space="preserve"> Firenze, Olschki, 2013.</w:t>
      </w:r>
    </w:p>
    <w:p w14:paraId="092D5A34" w14:textId="77777777" w:rsidR="00796A9D" w:rsidRDefault="00796A9D" w:rsidP="00796A9D">
      <w:pPr>
        <w:spacing w:after="0"/>
        <w:jc w:val="both"/>
        <w:rPr>
          <w:rFonts w:ascii="Times New Roman" w:hAnsi="Times New Roman" w:cs="Times New Roman"/>
          <w:smallCaps/>
          <w:sz w:val="24"/>
          <w:szCs w:val="24"/>
        </w:rPr>
      </w:pPr>
    </w:p>
    <w:p w14:paraId="2BEA220E"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D. Fattori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prima tipografia mantovana</w:t>
      </w:r>
      <w:r w:rsidRPr="00BA2DBB">
        <w:rPr>
          <w:rFonts w:ascii="Times New Roman" w:hAnsi="Times New Roman" w:cs="Times New Roman"/>
          <w:sz w:val="24"/>
          <w:szCs w:val="24"/>
        </w:rPr>
        <w:t>, «La Bibliofilia», CVII, 2005, pp. 105-114.</w:t>
      </w:r>
    </w:p>
    <w:p w14:paraId="50295085" w14:textId="77777777" w:rsidR="00796A9D" w:rsidRDefault="00796A9D" w:rsidP="00796A9D">
      <w:pPr>
        <w:spacing w:after="0"/>
        <w:jc w:val="both"/>
        <w:rPr>
          <w:rFonts w:ascii="Times New Roman" w:hAnsi="Times New Roman" w:cs="Times New Roman"/>
          <w:smallCaps/>
          <w:sz w:val="24"/>
          <w:szCs w:val="24"/>
        </w:rPr>
      </w:pPr>
    </w:p>
    <w:p w14:paraId="5C02EB8F"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D. Fava, M. Salmi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manoscritti miniati della Biblioteca Estense di Modena</w:t>
      </w:r>
      <w:r w:rsidRPr="00BA2DBB">
        <w:rPr>
          <w:rFonts w:ascii="Times New Roman" w:hAnsi="Times New Roman" w:cs="Times New Roman"/>
          <w:sz w:val="24"/>
          <w:szCs w:val="24"/>
        </w:rPr>
        <w:t>, Firenze, Electa, 1950.</w:t>
      </w:r>
    </w:p>
    <w:p w14:paraId="7713C6B4" w14:textId="77777777" w:rsidR="00796A9D" w:rsidRDefault="00796A9D" w:rsidP="00796A9D">
      <w:pPr>
        <w:spacing w:after="0"/>
        <w:jc w:val="both"/>
        <w:rPr>
          <w:rFonts w:ascii="Times New Roman" w:hAnsi="Times New Roman" w:cs="Times New Roman"/>
          <w:sz w:val="24"/>
          <w:szCs w:val="24"/>
        </w:rPr>
      </w:pPr>
    </w:p>
    <w:p w14:paraId="4CBAEDF6" w14:textId="77777777" w:rsidR="00796A9D" w:rsidRPr="00FD5C5C" w:rsidRDefault="00796A9D" w:rsidP="00796A9D">
      <w:pPr>
        <w:spacing w:after="0"/>
        <w:jc w:val="both"/>
        <w:rPr>
          <w:rFonts w:ascii="Times New Roman" w:hAnsi="Times New Roman" w:cs="Times New Roman"/>
          <w:sz w:val="24"/>
          <w:szCs w:val="24"/>
        </w:rPr>
      </w:pPr>
      <w:r w:rsidRPr="00FD5C5C">
        <w:rPr>
          <w:rFonts w:ascii="Times New Roman" w:hAnsi="Times New Roman" w:cs="Times New Roman"/>
          <w:sz w:val="24"/>
          <w:szCs w:val="24"/>
        </w:rPr>
        <w:t xml:space="preserve">P. </w:t>
      </w:r>
      <w:r w:rsidRPr="00FD5C5C">
        <w:rPr>
          <w:rFonts w:ascii="Times New Roman" w:hAnsi="Times New Roman" w:cs="Times New Roman"/>
          <w:smallCaps/>
          <w:sz w:val="24"/>
          <w:szCs w:val="24"/>
        </w:rPr>
        <w:t>Fazion</w:t>
      </w:r>
      <w:r w:rsidRPr="00FD5C5C">
        <w:rPr>
          <w:rFonts w:ascii="Times New Roman" w:hAnsi="Times New Roman" w:cs="Times New Roman"/>
          <w:sz w:val="24"/>
          <w:szCs w:val="24"/>
        </w:rPr>
        <w:t xml:space="preserve">, </w:t>
      </w:r>
      <w:r w:rsidRPr="00FD5C5C">
        <w:rPr>
          <w:rFonts w:ascii="Times New Roman" w:hAnsi="Times New Roman" w:cs="Times New Roman"/>
          <w:i/>
          <w:sz w:val="24"/>
          <w:szCs w:val="24"/>
        </w:rPr>
        <w:t>«Nuptiae Bentivolorum». La città in festa nel commento di Filippo Beroaldo</w:t>
      </w:r>
      <w:r w:rsidRPr="00FD5C5C">
        <w:rPr>
          <w:rFonts w:ascii="Times New Roman" w:hAnsi="Times New Roman" w:cs="Times New Roman"/>
          <w:sz w:val="24"/>
          <w:szCs w:val="24"/>
        </w:rPr>
        <w:t xml:space="preserve">, </w:t>
      </w:r>
      <w:r w:rsidRPr="00FD5C5C">
        <w:rPr>
          <w:rFonts w:ascii="Times New Roman" w:hAnsi="Times New Roman" w:cs="Times New Roman"/>
          <w:bCs/>
          <w:color w:val="000000"/>
          <w:sz w:val="24"/>
          <w:szCs w:val="24"/>
          <w:shd w:val="clear" w:color="auto" w:fill="FFFFFF"/>
        </w:rPr>
        <w:t xml:space="preserve">in </w:t>
      </w:r>
      <w:r w:rsidRPr="00FD5C5C">
        <w:rPr>
          <w:rFonts w:ascii="Times New Roman" w:hAnsi="Times New Roman" w:cs="Times New Roman"/>
          <w:bCs/>
          <w:i/>
          <w:color w:val="000000"/>
          <w:sz w:val="24"/>
          <w:szCs w:val="24"/>
          <w:shd w:val="clear" w:color="auto" w:fill="FFFFFF"/>
        </w:rPr>
        <w:t>Bentivolorum magnificentia. Principe e cultura a Bologna nel Rinascimento</w:t>
      </w:r>
      <w:r w:rsidRPr="00FD5C5C">
        <w:rPr>
          <w:rFonts w:ascii="Times New Roman" w:hAnsi="Times New Roman" w:cs="Times New Roman"/>
          <w:bCs/>
          <w:color w:val="000000"/>
          <w:sz w:val="24"/>
          <w:szCs w:val="24"/>
          <w:shd w:val="clear" w:color="auto" w:fill="FFFFFF"/>
        </w:rPr>
        <w:t xml:space="preserve">, </w:t>
      </w:r>
      <w:r>
        <w:rPr>
          <w:rFonts w:ascii="Times New Roman" w:hAnsi="Times New Roman" w:cs="Times New Roman"/>
          <w:bCs/>
          <w:color w:val="000000"/>
          <w:sz w:val="24"/>
          <w:szCs w:val="24"/>
          <w:shd w:val="clear" w:color="auto" w:fill="FFFFFF"/>
        </w:rPr>
        <w:t xml:space="preserve">Roma, </w:t>
      </w:r>
      <w:r w:rsidRPr="00FD5C5C">
        <w:rPr>
          <w:rFonts w:ascii="Times New Roman" w:hAnsi="Times New Roman" w:cs="Times New Roman"/>
          <w:bCs/>
          <w:color w:val="000000"/>
          <w:sz w:val="24"/>
          <w:szCs w:val="24"/>
          <w:shd w:val="clear" w:color="auto" w:fill="FFFFFF"/>
        </w:rPr>
        <w:t>Bulzoni</w:t>
      </w:r>
      <w:r>
        <w:rPr>
          <w:rFonts w:ascii="Times New Roman" w:hAnsi="Times New Roman" w:cs="Times New Roman"/>
          <w:bCs/>
          <w:color w:val="000000"/>
          <w:sz w:val="24"/>
          <w:szCs w:val="24"/>
          <w:shd w:val="clear" w:color="auto" w:fill="FFFFFF"/>
        </w:rPr>
        <w:t xml:space="preserve">, </w:t>
      </w:r>
      <w:r w:rsidRPr="00FD5C5C">
        <w:rPr>
          <w:rFonts w:ascii="Times New Roman" w:hAnsi="Times New Roman" w:cs="Times New Roman"/>
          <w:bCs/>
          <w:color w:val="000000"/>
          <w:sz w:val="24"/>
          <w:szCs w:val="24"/>
          <w:shd w:val="clear" w:color="auto" w:fill="FFFFFF"/>
        </w:rPr>
        <w:t xml:space="preserve">1984, pp. 115-132.   </w:t>
      </w:r>
      <w:r w:rsidRPr="00FD5C5C">
        <w:rPr>
          <w:sz w:val="24"/>
          <w:szCs w:val="24"/>
        </w:rPr>
        <w:t xml:space="preserve"> </w:t>
      </w:r>
    </w:p>
    <w:p w14:paraId="3A47D8E6" w14:textId="77777777" w:rsidR="00796A9D" w:rsidRDefault="00796A9D" w:rsidP="00796A9D">
      <w:pPr>
        <w:spacing w:after="0"/>
        <w:jc w:val="both"/>
        <w:rPr>
          <w:rFonts w:ascii="Times New Roman" w:hAnsi="Times New Roman" w:cs="Times New Roman"/>
          <w:smallCaps/>
          <w:sz w:val="24"/>
          <w:szCs w:val="24"/>
        </w:rPr>
      </w:pPr>
    </w:p>
    <w:p w14:paraId="7158C3EC"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L. Febvre</w:t>
      </w:r>
      <w:r>
        <w:rPr>
          <w:rFonts w:ascii="Times New Roman" w:hAnsi="Times New Roman" w:cs="Times New Roman"/>
          <w:smallCaps/>
          <w:sz w:val="24"/>
          <w:szCs w:val="24"/>
        </w:rPr>
        <w:t>,</w:t>
      </w:r>
      <w:r w:rsidRPr="00BA2DBB">
        <w:rPr>
          <w:rFonts w:ascii="Times New Roman" w:hAnsi="Times New Roman" w:cs="Times New Roman"/>
          <w:smallCaps/>
          <w:sz w:val="24"/>
          <w:szCs w:val="24"/>
        </w:rPr>
        <w:t xml:space="preserve"> H. Martin</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nascita del libro</w:t>
      </w:r>
      <w:r w:rsidRPr="00BA2DBB">
        <w:rPr>
          <w:rFonts w:ascii="Times New Roman" w:hAnsi="Times New Roman" w:cs="Times New Roman"/>
          <w:sz w:val="24"/>
          <w:szCs w:val="24"/>
        </w:rPr>
        <w:t>, Bari, Laterza, 1985.</w:t>
      </w:r>
    </w:p>
    <w:p w14:paraId="756122CD" w14:textId="77777777" w:rsidR="00796A9D" w:rsidRDefault="00796A9D" w:rsidP="00796A9D">
      <w:pPr>
        <w:spacing w:after="0"/>
        <w:jc w:val="both"/>
        <w:rPr>
          <w:rFonts w:ascii="Times New Roman" w:hAnsi="Times New Roman" w:cs="Times New Roman"/>
          <w:smallCaps/>
          <w:sz w:val="24"/>
          <w:szCs w:val="24"/>
        </w:rPr>
      </w:pPr>
    </w:p>
    <w:p w14:paraId="2A810C3C"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 Ferrari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“Per non manchare in tutto del debito mio”: l’educazione dei bambini Sforza nel Quattrocento</w:t>
      </w:r>
      <w:r w:rsidRPr="00BA2DBB">
        <w:rPr>
          <w:rFonts w:ascii="Times New Roman" w:hAnsi="Times New Roman" w:cs="Times New Roman"/>
          <w:sz w:val="24"/>
          <w:szCs w:val="24"/>
        </w:rPr>
        <w:t>, Milano, F. Angeli, 2000.</w:t>
      </w:r>
    </w:p>
    <w:p w14:paraId="33BF13B8" w14:textId="77777777" w:rsidR="00796A9D" w:rsidRDefault="00796A9D" w:rsidP="00796A9D">
      <w:pPr>
        <w:spacing w:after="0"/>
        <w:jc w:val="both"/>
        <w:rPr>
          <w:rFonts w:ascii="Times New Roman" w:hAnsi="Times New Roman" w:cs="Times New Roman"/>
          <w:sz w:val="24"/>
          <w:szCs w:val="24"/>
        </w:rPr>
      </w:pPr>
    </w:p>
    <w:p w14:paraId="44643CFB" w14:textId="77777777" w:rsidR="00796A9D" w:rsidRDefault="00796A9D" w:rsidP="00796A9D">
      <w:pPr>
        <w:spacing w:after="0"/>
        <w:jc w:val="both"/>
        <w:rPr>
          <w:rFonts w:ascii="Times New Roman" w:hAnsi="Times New Roman" w:cs="Times New Roman"/>
          <w:sz w:val="24"/>
          <w:szCs w:val="24"/>
        </w:rPr>
      </w:pPr>
      <w:r w:rsidRPr="00483D09">
        <w:rPr>
          <w:rFonts w:ascii="Times New Roman" w:hAnsi="Times New Roman" w:cs="Times New Roman"/>
          <w:smallCaps/>
          <w:sz w:val="24"/>
          <w:szCs w:val="24"/>
        </w:rPr>
        <w:t>C. Ferrari da Passano</w:t>
      </w:r>
      <w:r w:rsidRPr="00483D09">
        <w:rPr>
          <w:rFonts w:ascii="Times New Roman" w:hAnsi="Times New Roman" w:cs="Times New Roman"/>
          <w:sz w:val="24"/>
          <w:szCs w:val="24"/>
        </w:rPr>
        <w:t xml:space="preserve">, </w:t>
      </w:r>
      <w:r w:rsidRPr="00483D09">
        <w:rPr>
          <w:rFonts w:ascii="Times New Roman" w:hAnsi="Times New Roman" w:cs="Times New Roman"/>
          <w:i/>
          <w:sz w:val="24"/>
          <w:szCs w:val="24"/>
        </w:rPr>
        <w:t>Il Duomo di Milano. Storia della Veneranda Fabbrica</w:t>
      </w:r>
      <w:r w:rsidRPr="00483D09">
        <w:rPr>
          <w:rFonts w:ascii="Times New Roman" w:hAnsi="Times New Roman" w:cs="Times New Roman"/>
          <w:sz w:val="24"/>
          <w:szCs w:val="24"/>
        </w:rPr>
        <w:t>, Milano, NED, 1998.</w:t>
      </w:r>
    </w:p>
    <w:p w14:paraId="5484396E" w14:textId="77777777" w:rsidR="00796A9D" w:rsidRDefault="00796A9D" w:rsidP="00796A9D">
      <w:pPr>
        <w:spacing w:after="0"/>
        <w:jc w:val="both"/>
        <w:rPr>
          <w:rFonts w:ascii="Times New Roman" w:hAnsi="Times New Roman" w:cs="Times New Roman"/>
          <w:sz w:val="24"/>
          <w:szCs w:val="24"/>
        </w:rPr>
      </w:pPr>
    </w:p>
    <w:p w14:paraId="6F9C1F67" w14:textId="77777777" w:rsidR="00796A9D" w:rsidRPr="008D5D5A" w:rsidRDefault="00796A9D" w:rsidP="00796A9D">
      <w:pPr>
        <w:spacing w:after="0"/>
        <w:jc w:val="both"/>
        <w:rPr>
          <w:rFonts w:ascii="Times New Roman" w:hAnsi="Times New Roman" w:cs="Times New Roman"/>
          <w:sz w:val="24"/>
          <w:szCs w:val="24"/>
        </w:rPr>
      </w:pPr>
      <w:r w:rsidRPr="008D5D5A">
        <w:rPr>
          <w:rFonts w:ascii="Times New Roman" w:eastAsia="Times New Roman" w:hAnsi="Times New Roman" w:cs="Times New Roman"/>
          <w:smallCaps/>
          <w:sz w:val="24"/>
          <w:szCs w:val="24"/>
        </w:rPr>
        <w:t>S. Ferrone</w:t>
      </w:r>
      <w:r w:rsidRPr="008D5D5A">
        <w:rPr>
          <w:rFonts w:ascii="Times New Roman" w:eastAsia="Times New Roman" w:hAnsi="Times New Roman" w:cs="Times New Roman"/>
          <w:sz w:val="24"/>
          <w:szCs w:val="24"/>
        </w:rPr>
        <w:t xml:space="preserve">, </w:t>
      </w:r>
      <w:r w:rsidRPr="008D5D5A">
        <w:rPr>
          <w:rFonts w:ascii="Times New Roman" w:eastAsia="Times New Roman" w:hAnsi="Times New Roman" w:cs="Times New Roman"/>
          <w:i/>
          <w:iCs/>
          <w:sz w:val="24"/>
          <w:szCs w:val="24"/>
        </w:rPr>
        <w:t>La commedia dell’Arte</w:t>
      </w:r>
      <w:r w:rsidRPr="008D5D5A">
        <w:rPr>
          <w:rFonts w:ascii="Times New Roman" w:eastAsia="Times New Roman" w:hAnsi="Times New Roman" w:cs="Times New Roman"/>
          <w:sz w:val="24"/>
          <w:szCs w:val="24"/>
        </w:rPr>
        <w:t>, Torino, Einaudi, 2014.</w:t>
      </w:r>
    </w:p>
    <w:p w14:paraId="536DA894" w14:textId="77777777" w:rsidR="00796A9D" w:rsidRDefault="00796A9D" w:rsidP="00796A9D">
      <w:pPr>
        <w:spacing w:after="0"/>
        <w:jc w:val="both"/>
        <w:rPr>
          <w:rFonts w:ascii="Times New Roman" w:hAnsi="Times New Roman" w:cs="Times New Roman"/>
          <w:sz w:val="24"/>
          <w:szCs w:val="24"/>
        </w:rPr>
      </w:pPr>
    </w:p>
    <w:p w14:paraId="30E920D7" w14:textId="77777777" w:rsidR="00796A9D" w:rsidRPr="00972846" w:rsidRDefault="00796A9D" w:rsidP="00796A9D">
      <w:pPr>
        <w:spacing w:after="0"/>
        <w:jc w:val="both"/>
        <w:rPr>
          <w:rFonts w:ascii="Times New Roman" w:hAnsi="Times New Roman" w:cs="Times New Roman"/>
          <w:sz w:val="24"/>
          <w:szCs w:val="24"/>
        </w:rPr>
      </w:pPr>
      <w:r w:rsidRPr="00972846">
        <w:rPr>
          <w:rFonts w:ascii="Times New Roman" w:hAnsi="Times New Roman"/>
          <w:smallCaps/>
          <w:sz w:val="24"/>
          <w:szCs w:val="24"/>
        </w:rPr>
        <w:t>A. Filippini</w:t>
      </w:r>
      <w:r w:rsidRPr="00972846">
        <w:rPr>
          <w:rFonts w:ascii="Times New Roman" w:hAnsi="Times New Roman"/>
          <w:sz w:val="24"/>
          <w:szCs w:val="24"/>
        </w:rPr>
        <w:t xml:space="preserve">, </w:t>
      </w:r>
      <w:r w:rsidRPr="00972846">
        <w:rPr>
          <w:rFonts w:ascii="Times New Roman" w:hAnsi="Times New Roman"/>
          <w:i/>
          <w:sz w:val="24"/>
          <w:szCs w:val="24"/>
        </w:rPr>
        <w:t>I Visconti di Milano nei secoli XI e XII. Indagini tra le fonti</w:t>
      </w:r>
      <w:r w:rsidRPr="00972846">
        <w:rPr>
          <w:rFonts w:ascii="Times New Roman" w:hAnsi="Times New Roman"/>
          <w:sz w:val="24"/>
          <w:szCs w:val="24"/>
        </w:rPr>
        <w:t>, Trento, Tangram, 2014.</w:t>
      </w:r>
    </w:p>
    <w:p w14:paraId="7A9DA13B" w14:textId="77777777" w:rsidR="00796A9D" w:rsidRDefault="00796A9D" w:rsidP="00796A9D">
      <w:pPr>
        <w:spacing w:after="0"/>
        <w:jc w:val="both"/>
        <w:rPr>
          <w:rFonts w:ascii="Times New Roman" w:hAnsi="Times New Roman" w:cs="Times New Roman"/>
          <w:sz w:val="24"/>
          <w:szCs w:val="24"/>
        </w:rPr>
      </w:pPr>
    </w:p>
    <w:p w14:paraId="0C3F5F6E" w14:textId="77777777" w:rsidR="00796A9D" w:rsidRPr="00D70E04" w:rsidRDefault="00796A9D" w:rsidP="00796A9D">
      <w:pPr>
        <w:spacing w:after="0"/>
        <w:jc w:val="both"/>
        <w:rPr>
          <w:rFonts w:ascii="Times New Roman" w:hAnsi="Times New Roman" w:cs="Times New Roman"/>
          <w:sz w:val="24"/>
          <w:szCs w:val="24"/>
          <w:lang w:val="en-US"/>
        </w:rPr>
      </w:pPr>
      <w:r w:rsidRPr="00A9539B">
        <w:rPr>
          <w:rFonts w:ascii="Times New Roman" w:hAnsi="Times New Roman" w:cs="Times New Roman"/>
          <w:smallCaps/>
          <w:sz w:val="24"/>
          <w:szCs w:val="24"/>
          <w:lang w:val="en-US"/>
        </w:rPr>
        <w:t>J.L. Flood</w:t>
      </w:r>
      <w:r w:rsidRPr="00A9539B">
        <w:rPr>
          <w:rFonts w:ascii="Times New Roman" w:hAnsi="Times New Roman" w:cs="Times New Roman"/>
          <w:sz w:val="24"/>
          <w:szCs w:val="24"/>
          <w:lang w:val="en-US"/>
        </w:rPr>
        <w:t xml:space="preserve">, </w:t>
      </w:r>
      <w:r w:rsidRPr="00A9539B">
        <w:rPr>
          <w:rFonts w:ascii="Times New Roman" w:hAnsi="Times New Roman" w:cs="Times New Roman"/>
          <w:i/>
          <w:sz w:val="24"/>
          <w:szCs w:val="24"/>
          <w:lang w:val="en-US"/>
        </w:rPr>
        <w:t>“Volentes sibi comparare infrascriptos libros impressos…”. Printed Books as a Commercial Commodity in the Fifteenth Century</w:t>
      </w:r>
      <w:r w:rsidRPr="00A9539B">
        <w:rPr>
          <w:rFonts w:ascii="Times New Roman" w:hAnsi="Times New Roman" w:cs="Times New Roman"/>
          <w:sz w:val="24"/>
          <w:szCs w:val="24"/>
          <w:lang w:val="en-US"/>
        </w:rPr>
        <w:t xml:space="preserve">, in </w:t>
      </w:r>
      <w:r w:rsidRPr="00A9539B">
        <w:rPr>
          <w:rFonts w:ascii="Times New Roman" w:hAnsi="Times New Roman" w:cs="Times New Roman"/>
          <w:smallCaps/>
          <w:sz w:val="24"/>
          <w:szCs w:val="24"/>
          <w:lang w:val="en-US"/>
        </w:rPr>
        <w:t>K. Jensen</w:t>
      </w:r>
      <w:r w:rsidRPr="00A9539B">
        <w:rPr>
          <w:rFonts w:ascii="Times New Roman" w:hAnsi="Times New Roman" w:cs="Times New Roman"/>
          <w:sz w:val="24"/>
          <w:szCs w:val="24"/>
          <w:lang w:val="en-US"/>
        </w:rPr>
        <w:t xml:space="preserve">, </w:t>
      </w:r>
      <w:r w:rsidRPr="00A9539B">
        <w:rPr>
          <w:rFonts w:ascii="Times New Roman" w:hAnsi="Times New Roman" w:cs="Times New Roman"/>
          <w:i/>
          <w:sz w:val="24"/>
          <w:szCs w:val="24"/>
          <w:lang w:val="en-US"/>
        </w:rPr>
        <w:t>Incunabula and their readers.</w:t>
      </w:r>
      <w:r w:rsidRPr="00D70E04">
        <w:rPr>
          <w:rFonts w:ascii="Times New Roman" w:hAnsi="Times New Roman" w:cs="Times New Roman"/>
          <w:i/>
          <w:sz w:val="20"/>
          <w:szCs w:val="20"/>
          <w:lang w:val="en-US"/>
        </w:rPr>
        <w:t xml:space="preserve"> </w:t>
      </w:r>
      <w:r w:rsidRPr="00D70E04">
        <w:rPr>
          <w:rFonts w:ascii="Times New Roman" w:hAnsi="Times New Roman" w:cs="Times New Roman"/>
          <w:i/>
          <w:sz w:val="24"/>
          <w:szCs w:val="24"/>
          <w:lang w:val="en-US"/>
        </w:rPr>
        <w:t>Printing, Selling and Using Books in the Fifteenth Century</w:t>
      </w:r>
      <w:r w:rsidRPr="00D70E04">
        <w:rPr>
          <w:rFonts w:ascii="Times New Roman" w:hAnsi="Times New Roman" w:cs="Times New Roman"/>
          <w:sz w:val="24"/>
          <w:szCs w:val="24"/>
          <w:lang w:val="en-US"/>
        </w:rPr>
        <w:t>, London, The British Library, 2003, pp. 139-152.</w:t>
      </w:r>
    </w:p>
    <w:p w14:paraId="763CB056" w14:textId="77777777" w:rsidR="00796A9D" w:rsidRDefault="00796A9D" w:rsidP="00796A9D">
      <w:pPr>
        <w:spacing w:after="0"/>
        <w:jc w:val="both"/>
        <w:rPr>
          <w:rFonts w:ascii="Times New Roman" w:hAnsi="Times New Roman" w:cs="Times New Roman"/>
          <w:i/>
          <w:sz w:val="24"/>
          <w:szCs w:val="24"/>
          <w:lang w:val="en-US"/>
        </w:rPr>
      </w:pPr>
    </w:p>
    <w:p w14:paraId="1145C7FC" w14:textId="77777777" w:rsidR="00796A9D" w:rsidRPr="001265DA" w:rsidRDefault="00796A9D" w:rsidP="00796A9D">
      <w:pPr>
        <w:spacing w:after="0"/>
        <w:jc w:val="both"/>
        <w:rPr>
          <w:rFonts w:ascii="Times New Roman" w:hAnsi="Times New Roman" w:cs="Times New Roman"/>
          <w:sz w:val="24"/>
          <w:szCs w:val="24"/>
        </w:rPr>
      </w:pPr>
      <w:r w:rsidRPr="001265DA">
        <w:rPr>
          <w:rFonts w:ascii="Times New Roman" w:hAnsi="Times New Roman" w:cs="Times New Roman"/>
          <w:smallCaps/>
          <w:sz w:val="24"/>
          <w:szCs w:val="24"/>
        </w:rPr>
        <w:t>M. Folin</w:t>
      </w:r>
      <w:r w:rsidRPr="001265DA">
        <w:rPr>
          <w:rFonts w:ascii="Times New Roman" w:hAnsi="Times New Roman" w:cs="Times New Roman"/>
          <w:sz w:val="24"/>
          <w:szCs w:val="24"/>
        </w:rPr>
        <w:t xml:space="preserve">, </w:t>
      </w:r>
      <w:r w:rsidRPr="001265DA">
        <w:rPr>
          <w:rFonts w:ascii="Times New Roman" w:hAnsi="Times New Roman" w:cs="Times New Roman"/>
          <w:i/>
          <w:sz w:val="24"/>
          <w:szCs w:val="24"/>
        </w:rPr>
        <w:t>Le residenze di corte e il sistema delle delizie fra medioevo ed età moderna</w:t>
      </w:r>
      <w:r w:rsidRPr="001265DA">
        <w:rPr>
          <w:rFonts w:ascii="Times New Roman" w:hAnsi="Times New Roman" w:cs="Times New Roman"/>
          <w:sz w:val="24"/>
          <w:szCs w:val="24"/>
        </w:rPr>
        <w:t xml:space="preserve">, in </w:t>
      </w:r>
      <w:r w:rsidRPr="001265DA">
        <w:rPr>
          <w:rFonts w:ascii="Times New Roman" w:hAnsi="Times New Roman" w:cs="Times New Roman"/>
          <w:i/>
          <w:sz w:val="24"/>
          <w:szCs w:val="24"/>
        </w:rPr>
        <w:t>Delizie estensi. Architettura di villa nel Rinascimento italiano ed europeo</w:t>
      </w:r>
      <w:r w:rsidRPr="001265DA">
        <w:rPr>
          <w:rFonts w:ascii="Times New Roman" w:hAnsi="Times New Roman" w:cs="Times New Roman"/>
          <w:sz w:val="24"/>
          <w:szCs w:val="24"/>
        </w:rPr>
        <w:t xml:space="preserve">, Atti del convegno internazionale di studi (Ferrara, 29-31 maggio 2006), a cura di </w:t>
      </w:r>
      <w:r w:rsidRPr="001265DA">
        <w:rPr>
          <w:rFonts w:ascii="Times New Roman" w:hAnsi="Times New Roman" w:cs="Times New Roman"/>
          <w:smallCaps/>
          <w:sz w:val="24"/>
          <w:szCs w:val="24"/>
        </w:rPr>
        <w:t>F. Ceccarelli</w:t>
      </w:r>
      <w:r w:rsidRPr="001265DA">
        <w:rPr>
          <w:rFonts w:ascii="Times New Roman" w:hAnsi="Times New Roman" w:cs="Times New Roman"/>
          <w:sz w:val="24"/>
          <w:szCs w:val="24"/>
        </w:rPr>
        <w:t xml:space="preserve">, Firenze, Olschki, 2009, p. </w:t>
      </w:r>
      <w:r>
        <w:rPr>
          <w:rFonts w:ascii="Times New Roman" w:hAnsi="Times New Roman" w:cs="Times New Roman"/>
          <w:sz w:val="24"/>
          <w:szCs w:val="24"/>
        </w:rPr>
        <w:t>96-143.</w:t>
      </w:r>
    </w:p>
    <w:p w14:paraId="3D15C206" w14:textId="77777777" w:rsidR="00796A9D" w:rsidRDefault="00796A9D" w:rsidP="00796A9D">
      <w:pPr>
        <w:pStyle w:val="Testonotaapidipagina"/>
        <w:jc w:val="both"/>
        <w:rPr>
          <w:rFonts w:ascii="Times New Roman" w:hAnsi="Times New Roman" w:cs="Times New Roman"/>
          <w:smallCaps/>
          <w:sz w:val="24"/>
          <w:szCs w:val="24"/>
        </w:rPr>
      </w:pPr>
    </w:p>
    <w:p w14:paraId="06C131DB"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Franceschini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Artisti a Ferrara in età umanistica e rinascimentale. Testimonianze archivistiche. Parte I: dal 1341 al 1471</w:t>
      </w:r>
      <w:r w:rsidRPr="00BA2DBB">
        <w:rPr>
          <w:rFonts w:ascii="Times New Roman" w:hAnsi="Times New Roman" w:cs="Times New Roman"/>
          <w:sz w:val="24"/>
          <w:szCs w:val="24"/>
        </w:rPr>
        <w:t>, Ferrara, Corbo, 1993.</w:t>
      </w:r>
    </w:p>
    <w:p w14:paraId="3CA25196" w14:textId="77777777" w:rsidR="00796A9D" w:rsidRPr="00BA2DBB" w:rsidRDefault="00796A9D" w:rsidP="00796A9D">
      <w:pPr>
        <w:pStyle w:val="Testonotaapidipagina"/>
        <w:jc w:val="both"/>
        <w:rPr>
          <w:rFonts w:ascii="Times New Roman" w:hAnsi="Times New Roman" w:cs="Times New Roman"/>
          <w:sz w:val="24"/>
          <w:szCs w:val="24"/>
        </w:rPr>
      </w:pPr>
    </w:p>
    <w:p w14:paraId="3A20B5B8"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z w:val="24"/>
          <w:szCs w:val="24"/>
        </w:rPr>
        <w:t xml:space="preserve">R. </w:t>
      </w:r>
      <w:r w:rsidRPr="00BA2DBB">
        <w:rPr>
          <w:rFonts w:ascii="Times New Roman" w:hAnsi="Times New Roman" w:cs="Times New Roman"/>
          <w:smallCaps/>
          <w:sz w:val="24"/>
          <w:szCs w:val="24"/>
        </w:rPr>
        <w:t>Frattarolo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primi anni della stampa a Napoli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Il libro a stampa. I primordi di Napoli</w:t>
      </w:r>
      <w:r w:rsidRPr="00BA2DBB">
        <w:rPr>
          <w:rFonts w:ascii="Times New Roman" w:hAnsi="Times New Roman" w:cs="Times New Roman"/>
          <w:sz w:val="24"/>
          <w:szCs w:val="24"/>
        </w:rPr>
        <w:t xml:space="preserve">, a cura di M. </w:t>
      </w:r>
      <w:r w:rsidRPr="00BA2DBB">
        <w:rPr>
          <w:rFonts w:ascii="Times New Roman" w:hAnsi="Times New Roman" w:cs="Times New Roman"/>
          <w:smallCaps/>
          <w:sz w:val="24"/>
          <w:szCs w:val="24"/>
        </w:rPr>
        <w:t>Santoro,</w:t>
      </w:r>
      <w:r w:rsidRPr="00BA2DBB">
        <w:rPr>
          <w:rFonts w:ascii="Times New Roman" w:hAnsi="Times New Roman" w:cs="Times New Roman"/>
          <w:sz w:val="24"/>
          <w:szCs w:val="24"/>
        </w:rPr>
        <w:t xml:space="preserve"> Napoli, Società Editrice Napoletana, 1979, pp. 221-226.</w:t>
      </w:r>
    </w:p>
    <w:p w14:paraId="13E81F99" w14:textId="77777777" w:rsidR="00796A9D" w:rsidRPr="00BA2DBB" w:rsidRDefault="00796A9D" w:rsidP="00796A9D">
      <w:pPr>
        <w:pStyle w:val="Testonotaapidipagina"/>
        <w:jc w:val="both"/>
        <w:rPr>
          <w:rFonts w:ascii="Times New Roman" w:hAnsi="Times New Roman" w:cs="Times New Roman"/>
          <w:sz w:val="24"/>
          <w:szCs w:val="24"/>
        </w:rPr>
      </w:pPr>
    </w:p>
    <w:p w14:paraId="4B10FC8F"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C. Freddi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L’educazione religiosa nella Ca’ Zoiosa di Vittorino da Feltre</w:t>
      </w:r>
      <w:r w:rsidRPr="00BA2DBB">
        <w:rPr>
          <w:rFonts w:ascii="Times New Roman" w:hAnsi="Times New Roman" w:cs="Times New Roman"/>
          <w:sz w:val="24"/>
          <w:szCs w:val="24"/>
        </w:rPr>
        <w:t>, Mantova, Cittadella, 2016.</w:t>
      </w:r>
    </w:p>
    <w:p w14:paraId="65B5DAD4" w14:textId="77777777" w:rsidR="00796A9D" w:rsidRDefault="00796A9D" w:rsidP="00796A9D">
      <w:pPr>
        <w:spacing w:after="0"/>
        <w:jc w:val="both"/>
        <w:rPr>
          <w:rFonts w:ascii="Times New Roman" w:hAnsi="Times New Roman" w:cs="Times New Roman"/>
          <w:smallCaps/>
          <w:sz w:val="24"/>
          <w:szCs w:val="24"/>
        </w:rPr>
      </w:pPr>
    </w:p>
    <w:p w14:paraId="0C98F1E7"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D. Friggè</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Redazioni e tradizione della Politia litteraria di Angelo Decembrio</w:t>
      </w:r>
      <w:r w:rsidRPr="00BA2DBB">
        <w:rPr>
          <w:rFonts w:ascii="Times New Roman" w:hAnsi="Times New Roman" w:cs="Times New Roman"/>
          <w:sz w:val="24"/>
          <w:szCs w:val="24"/>
        </w:rPr>
        <w:t>, «Italia medievale e umanistica», XXXVII, 1994, pp. 27-56.</w:t>
      </w:r>
    </w:p>
    <w:p w14:paraId="6284DA32" w14:textId="77777777" w:rsidR="00796A9D" w:rsidRDefault="00796A9D" w:rsidP="00796A9D">
      <w:pPr>
        <w:spacing w:after="0"/>
        <w:jc w:val="both"/>
        <w:rPr>
          <w:rFonts w:ascii="Times New Roman" w:hAnsi="Times New Roman" w:cs="Times New Roman"/>
          <w:smallCaps/>
          <w:sz w:val="24"/>
          <w:szCs w:val="24"/>
        </w:rPr>
      </w:pPr>
    </w:p>
    <w:p w14:paraId="1DB3A19C"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R. Fubini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rapporti diplomatici tra Milano e Borgogna con particolare riguardo all’alleanza del 1475-1476</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Milano e Borgogna. Due stati principeschi tra medioevo e rinascimento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J.M. Cauchies, G. Chittolini</w:t>
      </w:r>
      <w:r w:rsidRPr="00BA2DBB">
        <w:rPr>
          <w:rFonts w:ascii="Times New Roman" w:hAnsi="Times New Roman" w:cs="Times New Roman"/>
          <w:sz w:val="24"/>
          <w:szCs w:val="24"/>
        </w:rPr>
        <w:t xml:space="preserve">, Roma, Bulzoni, </w:t>
      </w:r>
      <w:r>
        <w:rPr>
          <w:rFonts w:ascii="Times New Roman" w:hAnsi="Times New Roman" w:cs="Times New Roman"/>
          <w:sz w:val="24"/>
          <w:szCs w:val="24"/>
        </w:rPr>
        <w:t xml:space="preserve">1990, </w:t>
      </w:r>
      <w:r w:rsidRPr="00BA2DBB">
        <w:rPr>
          <w:rFonts w:ascii="Times New Roman" w:hAnsi="Times New Roman" w:cs="Times New Roman"/>
          <w:sz w:val="24"/>
          <w:szCs w:val="24"/>
        </w:rPr>
        <w:t>pp. 95-114.</w:t>
      </w:r>
    </w:p>
    <w:p w14:paraId="0F4B914D" w14:textId="77777777" w:rsidR="00644366" w:rsidRDefault="00644366" w:rsidP="00796A9D">
      <w:pPr>
        <w:spacing w:after="0"/>
        <w:jc w:val="both"/>
        <w:rPr>
          <w:rFonts w:ascii="Times New Roman" w:hAnsi="Times New Roman" w:cs="Times New Roman"/>
          <w:sz w:val="24"/>
          <w:szCs w:val="24"/>
        </w:rPr>
      </w:pPr>
    </w:p>
    <w:p w14:paraId="6111F037" w14:textId="77777777" w:rsidR="00644366" w:rsidRPr="00644366" w:rsidRDefault="00644366" w:rsidP="00796A9D">
      <w:pPr>
        <w:spacing w:after="0"/>
        <w:jc w:val="both"/>
        <w:rPr>
          <w:rFonts w:ascii="Times New Roman" w:hAnsi="Times New Roman" w:cs="Times New Roman"/>
          <w:sz w:val="24"/>
          <w:szCs w:val="24"/>
        </w:rPr>
      </w:pPr>
      <w:r w:rsidRPr="00644366">
        <w:rPr>
          <w:rFonts w:ascii="Times New Roman" w:hAnsi="Times New Roman" w:cs="Times New Roman"/>
          <w:smallCaps/>
          <w:sz w:val="24"/>
          <w:szCs w:val="24"/>
        </w:rPr>
        <w:t>S. Fumian</w:t>
      </w:r>
      <w:r w:rsidRPr="00644366">
        <w:rPr>
          <w:rFonts w:ascii="Times New Roman" w:hAnsi="Times New Roman" w:cs="Times New Roman"/>
          <w:sz w:val="24"/>
          <w:szCs w:val="24"/>
        </w:rPr>
        <w:t xml:space="preserve">, </w:t>
      </w:r>
      <w:r w:rsidRPr="00644366">
        <w:rPr>
          <w:rFonts w:ascii="Times New Roman" w:hAnsi="Times New Roman" w:cs="Times New Roman"/>
          <w:i/>
          <w:sz w:val="24"/>
          <w:szCs w:val="24"/>
        </w:rPr>
        <w:t>Considerazioni in margine al Plauto Gonzaga</w:t>
      </w:r>
      <w:r w:rsidRPr="00644366">
        <w:rPr>
          <w:rFonts w:ascii="Times New Roman" w:hAnsi="Times New Roman" w:cs="Times New Roman"/>
          <w:sz w:val="24"/>
          <w:szCs w:val="24"/>
        </w:rPr>
        <w:t>, «Rivista di storia della miniatura», XIII, 2009, pp. 120-129.</w:t>
      </w:r>
    </w:p>
    <w:p w14:paraId="0839657F" w14:textId="77777777" w:rsidR="00796A9D" w:rsidRDefault="00796A9D" w:rsidP="00796A9D">
      <w:pPr>
        <w:spacing w:after="0"/>
        <w:jc w:val="both"/>
        <w:rPr>
          <w:rFonts w:ascii="Times New Roman" w:hAnsi="Times New Roman" w:cs="Times New Roman"/>
          <w:smallCaps/>
          <w:sz w:val="24"/>
          <w:szCs w:val="24"/>
        </w:rPr>
      </w:pPr>
    </w:p>
    <w:p w14:paraId="1CF761C0"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L. Fusco, G. Corti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Lorenzo de’ Medici Collector and Antiquarian</w:t>
      </w:r>
      <w:r w:rsidRPr="00BA2DBB">
        <w:rPr>
          <w:rFonts w:ascii="Times New Roman" w:hAnsi="Times New Roman" w:cs="Times New Roman"/>
          <w:sz w:val="24"/>
          <w:szCs w:val="24"/>
        </w:rPr>
        <w:t>, Cambridge, Cambridge University Press, 2006.</w:t>
      </w:r>
    </w:p>
    <w:p w14:paraId="596DC775" w14:textId="77777777" w:rsidR="00796A9D" w:rsidRDefault="00796A9D" w:rsidP="00796A9D">
      <w:pPr>
        <w:spacing w:after="0"/>
        <w:jc w:val="both"/>
        <w:rPr>
          <w:rFonts w:ascii="Times New Roman" w:hAnsi="Times New Roman" w:cs="Times New Roman"/>
          <w:smallCaps/>
          <w:sz w:val="24"/>
          <w:szCs w:val="24"/>
        </w:rPr>
      </w:pPr>
    </w:p>
    <w:p w14:paraId="6389C2FF"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F. Gabotto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Due sacre rappresentazioni in Torino nel secolo XV</w:t>
      </w:r>
      <w:r w:rsidRPr="00BA2DBB">
        <w:rPr>
          <w:rFonts w:ascii="Times New Roman" w:hAnsi="Times New Roman" w:cs="Times New Roman"/>
          <w:sz w:val="24"/>
          <w:szCs w:val="24"/>
        </w:rPr>
        <w:t xml:space="preserve">, «Archivio per lo studio delle tradizioni popolari», </w:t>
      </w:r>
      <w:r>
        <w:rPr>
          <w:rFonts w:ascii="Times New Roman" w:hAnsi="Times New Roman" w:cs="Times New Roman"/>
          <w:sz w:val="24"/>
          <w:szCs w:val="24"/>
        </w:rPr>
        <w:t>IX</w:t>
      </w:r>
      <w:r w:rsidRPr="00BA2DBB">
        <w:rPr>
          <w:rFonts w:ascii="Times New Roman" w:hAnsi="Times New Roman" w:cs="Times New Roman"/>
          <w:sz w:val="24"/>
          <w:szCs w:val="24"/>
        </w:rPr>
        <w:t xml:space="preserve">, 1890, pp. 98-104.  </w:t>
      </w:r>
    </w:p>
    <w:p w14:paraId="370A9544" w14:textId="77777777" w:rsidR="00796A9D" w:rsidRDefault="00796A9D" w:rsidP="00796A9D">
      <w:pPr>
        <w:spacing w:after="0"/>
        <w:jc w:val="both"/>
        <w:rPr>
          <w:rFonts w:ascii="Times New Roman" w:hAnsi="Times New Roman" w:cs="Times New Roman"/>
          <w:sz w:val="24"/>
          <w:szCs w:val="24"/>
        </w:rPr>
      </w:pPr>
    </w:p>
    <w:p w14:paraId="2C0D295F" w14:textId="77777777" w:rsidR="00796A9D" w:rsidRDefault="00796A9D" w:rsidP="00796A9D">
      <w:pPr>
        <w:spacing w:after="0"/>
        <w:jc w:val="both"/>
        <w:rPr>
          <w:rFonts w:ascii="Times New Roman" w:hAnsi="Times New Roman" w:cs="Times New Roman"/>
          <w:sz w:val="24"/>
          <w:szCs w:val="24"/>
        </w:rPr>
      </w:pPr>
      <w:r w:rsidRPr="00C13C04">
        <w:rPr>
          <w:rFonts w:ascii="Times New Roman" w:hAnsi="Times New Roman" w:cs="Times New Roman"/>
          <w:smallCaps/>
          <w:sz w:val="24"/>
          <w:szCs w:val="24"/>
        </w:rPr>
        <w:t>M. Gabriele</w:t>
      </w:r>
      <w:r w:rsidRPr="00C13C04">
        <w:rPr>
          <w:rFonts w:ascii="Times New Roman" w:hAnsi="Times New Roman" w:cs="Times New Roman"/>
          <w:sz w:val="24"/>
          <w:szCs w:val="24"/>
        </w:rPr>
        <w:t xml:space="preserve">, </w:t>
      </w:r>
      <w:r w:rsidRPr="00C13C04">
        <w:rPr>
          <w:rFonts w:ascii="Times New Roman" w:hAnsi="Times New Roman" w:cs="Times New Roman"/>
          <w:i/>
          <w:sz w:val="24"/>
          <w:szCs w:val="24"/>
        </w:rPr>
        <w:t>Alchimia e storia dell’arte</w:t>
      </w:r>
      <w:r w:rsidRPr="00C13C04">
        <w:rPr>
          <w:rFonts w:ascii="Times New Roman" w:hAnsi="Times New Roman" w:cs="Times New Roman"/>
          <w:sz w:val="24"/>
          <w:szCs w:val="24"/>
        </w:rPr>
        <w:t xml:space="preserve">?, in </w:t>
      </w:r>
      <w:r w:rsidRPr="00C13C04">
        <w:rPr>
          <w:rFonts w:ascii="Times New Roman" w:hAnsi="Times New Roman" w:cs="Times New Roman"/>
          <w:i/>
          <w:sz w:val="24"/>
          <w:szCs w:val="24"/>
        </w:rPr>
        <w:t>Il fuoco che non brucia. Studi sull’alchimia</w:t>
      </w:r>
      <w:r w:rsidRPr="00C13C04">
        <w:rPr>
          <w:rFonts w:ascii="Times New Roman" w:hAnsi="Times New Roman" w:cs="Times New Roman"/>
          <w:sz w:val="24"/>
          <w:szCs w:val="24"/>
        </w:rPr>
        <w:t xml:space="preserve">, a cura di </w:t>
      </w:r>
      <w:r w:rsidRPr="00C13C04">
        <w:rPr>
          <w:rFonts w:ascii="Times New Roman" w:hAnsi="Times New Roman" w:cs="Times New Roman"/>
          <w:smallCaps/>
          <w:sz w:val="24"/>
          <w:szCs w:val="24"/>
        </w:rPr>
        <w:t>M. Marra</w:t>
      </w:r>
      <w:r w:rsidRPr="00C13C04">
        <w:rPr>
          <w:rFonts w:ascii="Times New Roman" w:hAnsi="Times New Roman" w:cs="Times New Roman"/>
          <w:sz w:val="24"/>
          <w:szCs w:val="24"/>
        </w:rPr>
        <w:t>, Milano, Mimesis, 2009, pp. 129-150.</w:t>
      </w:r>
    </w:p>
    <w:p w14:paraId="0FF8E8EC" w14:textId="77777777" w:rsidR="00796A9D" w:rsidRDefault="00796A9D" w:rsidP="00796A9D">
      <w:pPr>
        <w:spacing w:after="0"/>
        <w:jc w:val="both"/>
        <w:rPr>
          <w:rFonts w:ascii="Times New Roman" w:hAnsi="Times New Roman" w:cs="Times New Roman"/>
          <w:sz w:val="24"/>
          <w:szCs w:val="24"/>
        </w:rPr>
      </w:pPr>
    </w:p>
    <w:p w14:paraId="5B0C5D2E" w14:textId="77777777" w:rsidR="00796A9D" w:rsidRPr="00B845F2" w:rsidRDefault="00796A9D" w:rsidP="00796A9D">
      <w:pPr>
        <w:spacing w:after="0"/>
        <w:jc w:val="both"/>
        <w:rPr>
          <w:rFonts w:ascii="Times New Roman" w:hAnsi="Times New Roman" w:cs="Times New Roman"/>
          <w:sz w:val="24"/>
          <w:szCs w:val="24"/>
        </w:rPr>
      </w:pPr>
      <w:r w:rsidRPr="00B845F2">
        <w:rPr>
          <w:rFonts w:ascii="Times New Roman" w:hAnsi="Times New Roman" w:cs="Times New Roman"/>
          <w:smallCaps/>
          <w:sz w:val="24"/>
          <w:szCs w:val="24"/>
        </w:rPr>
        <w:t>A. Gallo</w:t>
      </w:r>
      <w:r w:rsidRPr="00B845F2">
        <w:rPr>
          <w:rFonts w:ascii="Times New Roman" w:hAnsi="Times New Roman" w:cs="Times New Roman"/>
          <w:sz w:val="24"/>
          <w:szCs w:val="24"/>
        </w:rPr>
        <w:t xml:space="preserve">, </w:t>
      </w:r>
      <w:r w:rsidRPr="00B845F2">
        <w:rPr>
          <w:rFonts w:ascii="Times New Roman" w:hAnsi="Times New Roman" w:cs="Times New Roman"/>
          <w:i/>
          <w:sz w:val="24"/>
          <w:szCs w:val="24"/>
        </w:rPr>
        <w:t>L’autobiografia artistica di Giovanni Ambrosio (Guglielmo Ebreo) da Pesaro</w:t>
      </w:r>
      <w:r w:rsidRPr="00B845F2">
        <w:rPr>
          <w:rFonts w:ascii="Times New Roman" w:hAnsi="Times New Roman" w:cs="Times New Roman"/>
          <w:sz w:val="24"/>
          <w:szCs w:val="24"/>
        </w:rPr>
        <w:t>, «Studi musicali», XII, 1983, pp. 189-202.</w:t>
      </w:r>
    </w:p>
    <w:p w14:paraId="045F9770" w14:textId="77777777" w:rsidR="00796A9D" w:rsidRDefault="00796A9D" w:rsidP="00796A9D">
      <w:pPr>
        <w:spacing w:after="0"/>
        <w:jc w:val="both"/>
        <w:rPr>
          <w:rFonts w:ascii="Times New Roman" w:hAnsi="Times New Roman" w:cs="Times New Roman"/>
          <w:sz w:val="24"/>
          <w:szCs w:val="24"/>
        </w:rPr>
      </w:pPr>
    </w:p>
    <w:p w14:paraId="6241627A"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A. </w:t>
      </w:r>
      <w:r w:rsidRPr="00BA2DBB">
        <w:rPr>
          <w:rFonts w:ascii="Times New Roman" w:hAnsi="Times New Roman" w:cs="Times New Roman"/>
          <w:smallCaps/>
          <w:sz w:val="24"/>
          <w:szCs w:val="24"/>
        </w:rPr>
        <w:t>Ganda</w:t>
      </w:r>
      <w:r w:rsidRPr="00BA2DBB">
        <w:rPr>
          <w:rFonts w:ascii="Times New Roman" w:hAnsi="Times New Roman" w:cs="Times New Roman"/>
          <w:i/>
          <w:sz w:val="24"/>
          <w:szCs w:val="24"/>
        </w:rPr>
        <w:t>, I primordi della tipografia milanese, Antonio Zarotto da Parma (1471-1507)</w:t>
      </w:r>
      <w:r w:rsidRPr="00BA2DBB">
        <w:rPr>
          <w:rFonts w:ascii="Times New Roman" w:hAnsi="Times New Roman" w:cs="Times New Roman"/>
          <w:sz w:val="24"/>
          <w:szCs w:val="24"/>
        </w:rPr>
        <w:t>, Firenze, Olschki, 1984.</w:t>
      </w:r>
    </w:p>
    <w:p w14:paraId="016BC468" w14:textId="77777777" w:rsidR="00796A9D" w:rsidRDefault="00796A9D" w:rsidP="00796A9D">
      <w:pPr>
        <w:spacing w:after="0"/>
        <w:jc w:val="both"/>
        <w:rPr>
          <w:rFonts w:ascii="Times New Roman" w:hAnsi="Times New Roman" w:cs="Times New Roman"/>
          <w:sz w:val="24"/>
          <w:szCs w:val="24"/>
        </w:rPr>
      </w:pPr>
    </w:p>
    <w:p w14:paraId="1E5A7458" w14:textId="77777777" w:rsidR="00796A9D" w:rsidRPr="005B7173" w:rsidRDefault="00796A9D" w:rsidP="00796A9D">
      <w:pPr>
        <w:spacing w:after="0"/>
        <w:jc w:val="both"/>
        <w:rPr>
          <w:rFonts w:ascii="Times New Roman" w:hAnsi="Times New Roman" w:cs="Times New Roman"/>
          <w:sz w:val="24"/>
          <w:szCs w:val="24"/>
        </w:rPr>
      </w:pPr>
      <w:r w:rsidRPr="005B7173">
        <w:rPr>
          <w:rFonts w:ascii="Times New Roman" w:hAnsi="Times New Roman" w:cs="Times New Roman"/>
          <w:smallCaps/>
          <w:sz w:val="24"/>
          <w:szCs w:val="24"/>
        </w:rPr>
        <w:t>E. Garbero Zorzi</w:t>
      </w:r>
      <w:r w:rsidRPr="005B7173">
        <w:rPr>
          <w:rFonts w:ascii="Times New Roman" w:hAnsi="Times New Roman" w:cs="Times New Roman"/>
          <w:sz w:val="24"/>
          <w:szCs w:val="24"/>
        </w:rPr>
        <w:t xml:space="preserve">, </w:t>
      </w:r>
      <w:r w:rsidRPr="005B7173">
        <w:rPr>
          <w:rFonts w:ascii="Times New Roman" w:hAnsi="Times New Roman" w:cs="Times New Roman"/>
          <w:i/>
          <w:sz w:val="24"/>
          <w:szCs w:val="24"/>
        </w:rPr>
        <w:t>La festa cerimoniale del Rinascimento. L’ingresso trionfale e il banchetto d’onore</w:t>
      </w:r>
      <w:r w:rsidRPr="005B7173">
        <w:rPr>
          <w:rFonts w:ascii="Times New Roman" w:hAnsi="Times New Roman" w:cs="Times New Roman"/>
          <w:sz w:val="24"/>
          <w:szCs w:val="24"/>
        </w:rPr>
        <w:t xml:space="preserve">, in </w:t>
      </w:r>
      <w:r w:rsidRPr="005B7173">
        <w:rPr>
          <w:rFonts w:ascii="Times New Roman" w:hAnsi="Times New Roman" w:cs="Times New Roman"/>
          <w:i/>
          <w:sz w:val="24"/>
          <w:szCs w:val="24"/>
        </w:rPr>
        <w:t>Scene e figure del teatro italiano</w:t>
      </w:r>
      <w:r w:rsidRPr="005B7173">
        <w:rPr>
          <w:rFonts w:ascii="Times New Roman" w:hAnsi="Times New Roman" w:cs="Times New Roman"/>
          <w:sz w:val="24"/>
          <w:szCs w:val="24"/>
        </w:rPr>
        <w:t xml:space="preserve">, a cura di </w:t>
      </w:r>
      <w:r w:rsidRPr="005B7173">
        <w:rPr>
          <w:rFonts w:ascii="Times New Roman" w:hAnsi="Times New Roman" w:cs="Times New Roman"/>
          <w:smallCaps/>
          <w:sz w:val="24"/>
          <w:szCs w:val="24"/>
        </w:rPr>
        <w:t>Eadem, S. Romagnoli</w:t>
      </w:r>
      <w:r w:rsidRPr="005B7173">
        <w:rPr>
          <w:rFonts w:ascii="Times New Roman" w:hAnsi="Times New Roman" w:cs="Times New Roman"/>
          <w:sz w:val="24"/>
          <w:szCs w:val="24"/>
        </w:rPr>
        <w:t>, Bologna, il Mulino, 1985, pp. 63-80.</w:t>
      </w:r>
    </w:p>
    <w:p w14:paraId="0F2E0E0B" w14:textId="77777777" w:rsidR="00796A9D" w:rsidRDefault="00796A9D" w:rsidP="00796A9D">
      <w:pPr>
        <w:spacing w:after="0"/>
        <w:jc w:val="both"/>
        <w:rPr>
          <w:rFonts w:ascii="Times New Roman" w:hAnsi="Times New Roman" w:cs="Times New Roman"/>
          <w:smallCaps/>
          <w:sz w:val="24"/>
          <w:szCs w:val="24"/>
        </w:rPr>
      </w:pPr>
    </w:p>
    <w:p w14:paraId="74DD7234" w14:textId="77777777" w:rsidR="00796A9D" w:rsidRPr="005C7E6B" w:rsidRDefault="00796A9D" w:rsidP="00796A9D">
      <w:pPr>
        <w:spacing w:after="0"/>
        <w:jc w:val="both"/>
        <w:rPr>
          <w:rFonts w:ascii="Times New Roman" w:hAnsi="Times New Roman" w:cs="Times New Roman"/>
          <w:smallCaps/>
          <w:sz w:val="24"/>
          <w:szCs w:val="24"/>
        </w:rPr>
      </w:pPr>
      <w:r w:rsidRPr="005C7E6B">
        <w:rPr>
          <w:rFonts w:ascii="Times New Roman" w:hAnsi="Times New Roman" w:cs="Times New Roman"/>
          <w:smallCaps/>
          <w:sz w:val="24"/>
          <w:szCs w:val="24"/>
        </w:rPr>
        <w:t xml:space="preserve">E. Garbero Zorzi, </w:t>
      </w:r>
      <w:r w:rsidRPr="005C7E6B">
        <w:rPr>
          <w:rFonts w:ascii="Times New Roman" w:hAnsi="Times New Roman" w:cs="Times New Roman"/>
          <w:i/>
          <w:sz w:val="24"/>
          <w:szCs w:val="24"/>
        </w:rPr>
        <w:t>La scena di corte</w:t>
      </w:r>
      <w:r w:rsidRPr="005C7E6B">
        <w:rPr>
          <w:rFonts w:ascii="Times New Roman" w:hAnsi="Times New Roman" w:cs="Times New Roman"/>
          <w:sz w:val="24"/>
          <w:szCs w:val="24"/>
        </w:rPr>
        <w:t xml:space="preserve">, in </w:t>
      </w:r>
      <w:r w:rsidRPr="005C7E6B">
        <w:rPr>
          <w:rFonts w:ascii="Times New Roman" w:hAnsi="Times New Roman" w:cs="Times New Roman"/>
          <w:i/>
          <w:sz w:val="24"/>
          <w:szCs w:val="24"/>
        </w:rPr>
        <w:t>Le corti italiane del Rinascimento</w:t>
      </w:r>
      <w:r w:rsidRPr="005C7E6B">
        <w:rPr>
          <w:rFonts w:ascii="Times New Roman" w:hAnsi="Times New Roman" w:cs="Times New Roman"/>
          <w:sz w:val="24"/>
          <w:szCs w:val="24"/>
        </w:rPr>
        <w:t xml:space="preserve">, a cura di S. </w:t>
      </w:r>
      <w:r w:rsidRPr="005C7E6B">
        <w:rPr>
          <w:rFonts w:ascii="Times New Roman" w:hAnsi="Times New Roman" w:cs="Times New Roman"/>
          <w:smallCaps/>
          <w:sz w:val="24"/>
          <w:szCs w:val="24"/>
        </w:rPr>
        <w:t>Bertelli</w:t>
      </w:r>
      <w:r w:rsidRPr="005C7E6B">
        <w:rPr>
          <w:rFonts w:ascii="Times New Roman" w:hAnsi="Times New Roman" w:cs="Times New Roman"/>
          <w:sz w:val="24"/>
          <w:szCs w:val="24"/>
        </w:rPr>
        <w:t>, Milano, Mondadori, 1985, pp. 127-130.</w:t>
      </w:r>
    </w:p>
    <w:p w14:paraId="6E7331E8" w14:textId="77777777" w:rsidR="00796A9D" w:rsidRDefault="00796A9D" w:rsidP="00796A9D">
      <w:pPr>
        <w:spacing w:after="0"/>
        <w:jc w:val="both"/>
        <w:rPr>
          <w:rFonts w:ascii="Times New Roman" w:hAnsi="Times New Roman" w:cs="Times New Roman"/>
          <w:smallCaps/>
          <w:sz w:val="24"/>
          <w:szCs w:val="24"/>
        </w:rPr>
      </w:pPr>
    </w:p>
    <w:p w14:paraId="544E8100" w14:textId="77777777" w:rsidR="00796A9D" w:rsidRDefault="00796A9D" w:rsidP="00796A9D">
      <w:pPr>
        <w:pStyle w:val="Testonotaapidipagina"/>
        <w:jc w:val="both"/>
        <w:rPr>
          <w:sz w:val="24"/>
          <w:szCs w:val="24"/>
        </w:rPr>
      </w:pPr>
      <w:r w:rsidRPr="0082798D">
        <w:rPr>
          <w:rFonts w:ascii="Times New Roman" w:hAnsi="Times New Roman" w:cs="Times New Roman"/>
          <w:smallCaps/>
          <w:sz w:val="24"/>
          <w:szCs w:val="24"/>
        </w:rPr>
        <w:t>E. Garbero Zorzi</w:t>
      </w:r>
      <w:r w:rsidRPr="0082798D">
        <w:rPr>
          <w:rFonts w:ascii="Times New Roman" w:hAnsi="Times New Roman" w:cs="Times New Roman"/>
          <w:sz w:val="24"/>
          <w:szCs w:val="24"/>
        </w:rPr>
        <w:t xml:space="preserve">, </w:t>
      </w:r>
      <w:r w:rsidRPr="0082798D">
        <w:rPr>
          <w:rFonts w:ascii="Times New Roman" w:hAnsi="Times New Roman" w:cs="Times New Roman"/>
          <w:i/>
          <w:sz w:val="24"/>
          <w:szCs w:val="24"/>
        </w:rPr>
        <w:t>Le forme dello spettacolo in due città-stato del Rinascimento: Firenze e Milano</w:t>
      </w:r>
      <w:r w:rsidRPr="0082798D">
        <w:rPr>
          <w:rFonts w:ascii="Times New Roman" w:hAnsi="Times New Roman" w:cs="Times New Roman"/>
          <w:sz w:val="24"/>
          <w:szCs w:val="24"/>
        </w:rPr>
        <w:t xml:space="preserve">, in C. H. </w:t>
      </w:r>
      <w:r w:rsidRPr="0082798D">
        <w:rPr>
          <w:rFonts w:ascii="Times New Roman" w:hAnsi="Times New Roman" w:cs="Times New Roman"/>
          <w:smallCaps/>
          <w:sz w:val="24"/>
          <w:szCs w:val="24"/>
        </w:rPr>
        <w:t>Smyth</w:t>
      </w:r>
      <w:r w:rsidRPr="0082798D">
        <w:rPr>
          <w:rFonts w:ascii="Times New Roman" w:hAnsi="Times New Roman" w:cs="Times New Roman"/>
          <w:sz w:val="24"/>
          <w:szCs w:val="24"/>
        </w:rPr>
        <w:t xml:space="preserve">, G. C. </w:t>
      </w:r>
      <w:r w:rsidRPr="0082798D">
        <w:rPr>
          <w:rFonts w:ascii="Times New Roman" w:hAnsi="Times New Roman" w:cs="Times New Roman"/>
          <w:smallCaps/>
          <w:sz w:val="24"/>
          <w:szCs w:val="24"/>
        </w:rPr>
        <w:t>Garfagnini,</w:t>
      </w:r>
      <w:r w:rsidRPr="0082798D">
        <w:rPr>
          <w:rFonts w:ascii="Times New Roman" w:hAnsi="Times New Roman" w:cs="Times New Roman"/>
          <w:i/>
          <w:smallCaps/>
          <w:sz w:val="24"/>
          <w:szCs w:val="24"/>
        </w:rPr>
        <w:t xml:space="preserve"> </w:t>
      </w:r>
      <w:r w:rsidRPr="0082798D">
        <w:rPr>
          <w:rFonts w:ascii="Times New Roman" w:hAnsi="Times New Roman" w:cs="Times New Roman"/>
          <w:i/>
          <w:sz w:val="24"/>
          <w:szCs w:val="24"/>
        </w:rPr>
        <w:t xml:space="preserve">Florence and Milan: comparisons and relations. </w:t>
      </w:r>
      <w:r w:rsidRPr="0082798D">
        <w:rPr>
          <w:rFonts w:ascii="Times New Roman" w:hAnsi="Times New Roman" w:cs="Times New Roman"/>
          <w:sz w:val="24"/>
          <w:szCs w:val="24"/>
          <w:lang w:val="en-US"/>
        </w:rPr>
        <w:t xml:space="preserve">Acts of two Conferences at Villa I Tatti in 1982-1984, organized by </w:t>
      </w:r>
      <w:r w:rsidRPr="0082798D">
        <w:rPr>
          <w:rFonts w:ascii="Times New Roman" w:hAnsi="Times New Roman" w:cs="Times New Roman"/>
          <w:smallCaps/>
          <w:sz w:val="24"/>
          <w:szCs w:val="24"/>
          <w:lang w:val="en-US"/>
        </w:rPr>
        <w:t>S. Bertelli, N. Rubinstein, C. H. Smyth</w:t>
      </w:r>
      <w:r w:rsidRPr="0082798D">
        <w:rPr>
          <w:rFonts w:ascii="Times New Roman" w:hAnsi="Times New Roman" w:cs="Times New Roman"/>
          <w:sz w:val="24"/>
          <w:szCs w:val="24"/>
          <w:lang w:val="en-US"/>
        </w:rPr>
        <w:t xml:space="preserve">, Florence, 1989, vol. </w:t>
      </w:r>
      <w:r w:rsidRPr="0082798D">
        <w:rPr>
          <w:rFonts w:ascii="Times New Roman" w:hAnsi="Times New Roman" w:cs="Times New Roman"/>
          <w:sz w:val="24"/>
          <w:szCs w:val="24"/>
        </w:rPr>
        <w:t>II, pp. 271-285.</w:t>
      </w:r>
      <w:r w:rsidRPr="0082798D">
        <w:rPr>
          <w:sz w:val="24"/>
          <w:szCs w:val="24"/>
        </w:rPr>
        <w:t xml:space="preserve"> </w:t>
      </w:r>
    </w:p>
    <w:p w14:paraId="62B7B03E" w14:textId="77777777" w:rsidR="00796A9D" w:rsidRPr="0082798D" w:rsidRDefault="00796A9D" w:rsidP="00796A9D">
      <w:pPr>
        <w:pStyle w:val="Testonotaapidipagina"/>
        <w:jc w:val="both"/>
        <w:rPr>
          <w:rFonts w:ascii="Times New Roman" w:hAnsi="Times New Roman" w:cs="Times New Roman"/>
          <w:sz w:val="24"/>
          <w:szCs w:val="24"/>
        </w:rPr>
      </w:pPr>
    </w:p>
    <w:p w14:paraId="3BF13329"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Gardoni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Libri e Uomini di corte a Mantova tra Tre e Quattrocento</w:t>
      </w:r>
      <w:r w:rsidRPr="00BA2DBB">
        <w:rPr>
          <w:rFonts w:ascii="Times New Roman" w:hAnsi="Times New Roman" w:cs="Times New Roman"/>
          <w:sz w:val="24"/>
          <w:szCs w:val="24"/>
        </w:rPr>
        <w:t>, Firenze, Olschki, 2012.</w:t>
      </w:r>
    </w:p>
    <w:p w14:paraId="2F44704E" w14:textId="77777777" w:rsidR="00796A9D" w:rsidRDefault="00796A9D" w:rsidP="00796A9D">
      <w:pPr>
        <w:spacing w:after="0"/>
        <w:jc w:val="both"/>
        <w:rPr>
          <w:rFonts w:ascii="Times New Roman" w:hAnsi="Times New Roman" w:cs="Times New Roman"/>
          <w:sz w:val="24"/>
          <w:szCs w:val="24"/>
        </w:rPr>
      </w:pPr>
    </w:p>
    <w:p w14:paraId="6F9533F4" w14:textId="77777777" w:rsidR="00796A9D" w:rsidRPr="00D90B72" w:rsidRDefault="00796A9D" w:rsidP="00796A9D">
      <w:pPr>
        <w:spacing w:after="0"/>
        <w:jc w:val="both"/>
        <w:rPr>
          <w:rFonts w:ascii="Times New Roman" w:hAnsi="Times New Roman" w:cs="Times New Roman"/>
          <w:sz w:val="24"/>
          <w:szCs w:val="24"/>
        </w:rPr>
      </w:pPr>
      <w:r w:rsidRPr="00D90B72">
        <w:rPr>
          <w:rFonts w:ascii="Times New Roman" w:hAnsi="Times New Roman" w:cs="Times New Roman"/>
          <w:smallCaps/>
          <w:sz w:val="24"/>
          <w:szCs w:val="24"/>
        </w:rPr>
        <w:t>A. Gareffi</w:t>
      </w:r>
      <w:r w:rsidRPr="00D90B72">
        <w:rPr>
          <w:rFonts w:ascii="Times New Roman" w:hAnsi="Times New Roman" w:cs="Times New Roman"/>
          <w:sz w:val="24"/>
          <w:szCs w:val="24"/>
        </w:rPr>
        <w:t xml:space="preserve">, </w:t>
      </w:r>
      <w:r w:rsidRPr="00D90B72">
        <w:rPr>
          <w:rFonts w:ascii="Times New Roman" w:hAnsi="Times New Roman" w:cs="Times New Roman"/>
          <w:i/>
          <w:sz w:val="24"/>
          <w:szCs w:val="24"/>
        </w:rPr>
        <w:t>La scrittura e la festa. Teatro festa e letteratura nella Firenze del Rinascimento</w:t>
      </w:r>
      <w:r w:rsidRPr="00D90B72">
        <w:rPr>
          <w:rFonts w:ascii="Times New Roman" w:hAnsi="Times New Roman" w:cs="Times New Roman"/>
          <w:sz w:val="24"/>
          <w:szCs w:val="24"/>
        </w:rPr>
        <w:t>, Bologna, il Mulino, 1991.</w:t>
      </w:r>
    </w:p>
    <w:p w14:paraId="49F70CC1" w14:textId="77777777" w:rsidR="00796A9D" w:rsidRDefault="00796A9D" w:rsidP="00796A9D">
      <w:pPr>
        <w:spacing w:after="0"/>
        <w:jc w:val="both"/>
        <w:rPr>
          <w:rFonts w:ascii="Times New Roman" w:hAnsi="Times New Roman" w:cs="Times New Roman"/>
          <w:smallCaps/>
          <w:sz w:val="24"/>
          <w:szCs w:val="24"/>
        </w:rPr>
      </w:pPr>
    </w:p>
    <w:p w14:paraId="25B11E5C"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L. Gargan</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Gli umanisti e la biblioteca pubblica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biblioteche nel mondo antico e medievale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Cavallo</w:t>
      </w:r>
      <w:r w:rsidRPr="00BA2DBB">
        <w:rPr>
          <w:rFonts w:ascii="Times New Roman" w:hAnsi="Times New Roman" w:cs="Times New Roman"/>
          <w:sz w:val="24"/>
          <w:szCs w:val="24"/>
        </w:rPr>
        <w:t>, Bari, Laterza, 1988, pp. 165-186.</w:t>
      </w:r>
    </w:p>
    <w:p w14:paraId="16E66586" w14:textId="77777777" w:rsidR="00AC14BA" w:rsidRDefault="00AC14BA" w:rsidP="00796A9D">
      <w:pPr>
        <w:spacing w:after="0"/>
        <w:jc w:val="both"/>
        <w:rPr>
          <w:rFonts w:ascii="Times New Roman" w:hAnsi="Times New Roman" w:cs="Times New Roman"/>
          <w:sz w:val="24"/>
          <w:szCs w:val="24"/>
        </w:rPr>
      </w:pPr>
    </w:p>
    <w:p w14:paraId="1FD17EB4" w14:textId="77777777" w:rsidR="00AC14BA" w:rsidRPr="00AC14BA" w:rsidRDefault="00AC14BA" w:rsidP="00796A9D">
      <w:pPr>
        <w:spacing w:after="0"/>
        <w:jc w:val="both"/>
        <w:rPr>
          <w:rFonts w:ascii="Times New Roman" w:hAnsi="Times New Roman" w:cs="Times New Roman"/>
          <w:sz w:val="24"/>
          <w:szCs w:val="24"/>
        </w:rPr>
      </w:pPr>
      <w:r w:rsidRPr="00AC14BA">
        <w:rPr>
          <w:rFonts w:ascii="Times New Roman" w:hAnsi="Times New Roman" w:cs="Times New Roman"/>
          <w:smallCaps/>
          <w:sz w:val="24"/>
          <w:szCs w:val="24"/>
        </w:rPr>
        <w:t>P. Gargiulo</w:t>
      </w:r>
      <w:r w:rsidRPr="00AC14BA">
        <w:rPr>
          <w:rFonts w:ascii="Times New Roman" w:hAnsi="Times New Roman" w:cs="Times New Roman"/>
          <w:sz w:val="24"/>
          <w:szCs w:val="24"/>
        </w:rPr>
        <w:t xml:space="preserve">, </w:t>
      </w:r>
      <w:r w:rsidRPr="00AC14BA">
        <w:rPr>
          <w:rStyle w:val="Enfasicorsivo"/>
          <w:rFonts w:ascii="Times New Roman" w:hAnsi="Times New Roman" w:cs="Times New Roman"/>
          <w:color w:val="333333"/>
          <w:sz w:val="24"/>
          <w:szCs w:val="24"/>
        </w:rPr>
        <w:t>Lucrezia e la «città ferrarese»: scena e musica per la duchessa estense</w:t>
      </w:r>
      <w:r w:rsidRPr="00AC14BA">
        <w:rPr>
          <w:rFonts w:ascii="Times New Roman" w:hAnsi="Times New Roman" w:cs="Times New Roman"/>
          <w:color w:val="333333"/>
          <w:sz w:val="24"/>
          <w:szCs w:val="24"/>
        </w:rPr>
        <w:t xml:space="preserve">, in </w:t>
      </w:r>
      <w:r w:rsidRPr="00AC14BA">
        <w:rPr>
          <w:rStyle w:val="Enfasicorsivo"/>
          <w:rFonts w:ascii="Times New Roman" w:hAnsi="Times New Roman" w:cs="Times New Roman"/>
          <w:color w:val="333333"/>
          <w:sz w:val="24"/>
          <w:szCs w:val="24"/>
        </w:rPr>
        <w:t>Lucrezia Borgia a Ferrara. Testmionianze librarie e documentarie di un mito</w:t>
      </w:r>
      <w:r w:rsidRPr="00AC14BA">
        <w:rPr>
          <w:rFonts w:ascii="Times New Roman" w:hAnsi="Times New Roman" w:cs="Times New Roman"/>
          <w:color w:val="333333"/>
          <w:sz w:val="24"/>
          <w:szCs w:val="24"/>
        </w:rPr>
        <w:t xml:space="preserve">, Catalogo della mostra (Ferrara, Palazzo Paradiso, ottobre 2002), a cura di </w:t>
      </w:r>
      <w:r w:rsidRPr="00AC14BA">
        <w:rPr>
          <w:rFonts w:ascii="Times New Roman" w:hAnsi="Times New Roman" w:cs="Times New Roman"/>
          <w:smallCaps/>
          <w:color w:val="333333"/>
          <w:sz w:val="24"/>
          <w:szCs w:val="24"/>
        </w:rPr>
        <w:t>A. Farinelli Toselli</w:t>
      </w:r>
      <w:r w:rsidRPr="00AC14BA">
        <w:rPr>
          <w:rFonts w:ascii="Times New Roman" w:hAnsi="Times New Roman" w:cs="Times New Roman"/>
          <w:color w:val="333333"/>
          <w:sz w:val="24"/>
          <w:szCs w:val="24"/>
        </w:rPr>
        <w:t>, Ferrara, Ferrara arte, 2002, pp. 43-50.</w:t>
      </w:r>
    </w:p>
    <w:p w14:paraId="42F67BA2" w14:textId="77777777" w:rsidR="008A5B7C" w:rsidRDefault="008A5B7C" w:rsidP="00796A9D">
      <w:pPr>
        <w:spacing w:after="0"/>
        <w:jc w:val="both"/>
        <w:rPr>
          <w:rFonts w:ascii="Times New Roman" w:hAnsi="Times New Roman" w:cs="Times New Roman"/>
          <w:sz w:val="24"/>
          <w:szCs w:val="24"/>
        </w:rPr>
      </w:pPr>
    </w:p>
    <w:p w14:paraId="04F1D131" w14:textId="77777777" w:rsidR="008A5B7C" w:rsidRPr="008A5B7C" w:rsidRDefault="008A5B7C" w:rsidP="00796A9D">
      <w:pPr>
        <w:spacing w:after="0"/>
        <w:jc w:val="both"/>
        <w:rPr>
          <w:rFonts w:ascii="Times New Roman" w:hAnsi="Times New Roman" w:cs="Times New Roman"/>
          <w:sz w:val="24"/>
          <w:szCs w:val="24"/>
        </w:rPr>
      </w:pPr>
      <w:r w:rsidRPr="008A5B7C">
        <w:rPr>
          <w:rFonts w:ascii="Times New Roman" w:hAnsi="Times New Roman" w:cs="Times New Roman"/>
          <w:smallCaps/>
          <w:sz w:val="24"/>
          <w:szCs w:val="24"/>
        </w:rPr>
        <w:t>E. Garin</w:t>
      </w:r>
      <w:r w:rsidRPr="008A5B7C">
        <w:rPr>
          <w:rFonts w:ascii="Times New Roman" w:hAnsi="Times New Roman" w:cs="Times New Roman"/>
          <w:sz w:val="24"/>
          <w:szCs w:val="24"/>
        </w:rPr>
        <w:t xml:space="preserve">, </w:t>
      </w:r>
      <w:r w:rsidRPr="008A5B7C">
        <w:rPr>
          <w:rFonts w:ascii="Times New Roman" w:hAnsi="Times New Roman" w:cs="Times New Roman"/>
          <w:i/>
          <w:sz w:val="24"/>
          <w:szCs w:val="24"/>
        </w:rPr>
        <w:t>L’educazione in Europa</w:t>
      </w:r>
      <w:r w:rsidRPr="008A5B7C">
        <w:rPr>
          <w:rFonts w:ascii="Times New Roman" w:hAnsi="Times New Roman" w:cs="Times New Roman"/>
          <w:sz w:val="24"/>
          <w:szCs w:val="24"/>
        </w:rPr>
        <w:t>, Bari, Laterza, 1957</w:t>
      </w:r>
      <w:r>
        <w:rPr>
          <w:rFonts w:ascii="Times New Roman" w:hAnsi="Times New Roman" w:cs="Times New Roman"/>
          <w:sz w:val="24"/>
          <w:szCs w:val="24"/>
        </w:rPr>
        <w:t>.</w:t>
      </w:r>
    </w:p>
    <w:p w14:paraId="4BF30863" w14:textId="77777777" w:rsidR="00796A9D" w:rsidRDefault="00796A9D" w:rsidP="00796A9D">
      <w:pPr>
        <w:pStyle w:val="Testonotaapidipagina"/>
        <w:jc w:val="both"/>
        <w:rPr>
          <w:rFonts w:ascii="Times New Roman" w:hAnsi="Times New Roman" w:cs="Times New Roman"/>
          <w:smallCaps/>
          <w:sz w:val="24"/>
          <w:szCs w:val="24"/>
        </w:rPr>
      </w:pPr>
    </w:p>
    <w:p w14:paraId="459591A9"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E. Garin</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di San Marco</w:t>
      </w:r>
      <w:r w:rsidRPr="00BA2DBB">
        <w:rPr>
          <w:rFonts w:ascii="Times New Roman" w:hAnsi="Times New Roman" w:cs="Times New Roman"/>
          <w:sz w:val="24"/>
          <w:szCs w:val="24"/>
        </w:rPr>
        <w:t>, Firenze, Le Lettere, 2000, pp. 33-38.</w:t>
      </w:r>
    </w:p>
    <w:p w14:paraId="1601D61E" w14:textId="77777777" w:rsidR="00796A9D" w:rsidRPr="00BA2DBB" w:rsidRDefault="00796A9D" w:rsidP="00796A9D">
      <w:pPr>
        <w:pStyle w:val="Testonotaapidipagina"/>
        <w:jc w:val="both"/>
        <w:rPr>
          <w:rFonts w:ascii="Times New Roman" w:hAnsi="Times New Roman" w:cs="Times New Roman"/>
          <w:sz w:val="24"/>
          <w:szCs w:val="24"/>
        </w:rPr>
      </w:pPr>
    </w:p>
    <w:p w14:paraId="5F7FE894"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Garzelli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immagini, gli autori, i destinatari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Miniatura fiorentina del rinascimento 1440-1525. Un primo censimento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Idem</w:t>
      </w:r>
      <w:r w:rsidRPr="00BA2DBB">
        <w:rPr>
          <w:rFonts w:ascii="Times New Roman" w:hAnsi="Times New Roman" w:cs="Times New Roman"/>
          <w:sz w:val="24"/>
          <w:szCs w:val="24"/>
        </w:rPr>
        <w:t>, Firenze, La Nuova Italia, 1985.</w:t>
      </w:r>
    </w:p>
    <w:p w14:paraId="490A71FF" w14:textId="77777777" w:rsidR="00796A9D" w:rsidRPr="00BA2DBB" w:rsidRDefault="00796A9D" w:rsidP="00796A9D">
      <w:pPr>
        <w:pStyle w:val="Testonotaapidipagina"/>
        <w:jc w:val="both"/>
        <w:rPr>
          <w:rFonts w:ascii="Times New Roman" w:hAnsi="Times New Roman" w:cs="Times New Roman"/>
          <w:sz w:val="24"/>
          <w:szCs w:val="24"/>
        </w:rPr>
      </w:pPr>
    </w:p>
    <w:p w14:paraId="30C4239F"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S. Gentile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Lorenzo e Giano Lascaris. Il fondo greco della biblioteca medicea privata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Lorenzo il Magnifico e il suo mondo</w:t>
      </w:r>
      <w:r w:rsidRPr="00BA2DBB">
        <w:rPr>
          <w:rFonts w:ascii="Times New Roman" w:hAnsi="Times New Roman" w:cs="Times New Roman"/>
          <w:sz w:val="24"/>
          <w:szCs w:val="24"/>
        </w:rPr>
        <w:t xml:space="preserve">. Convegno internazionale di studi (Firenze 9-13 giugno 1992), a cura di </w:t>
      </w:r>
      <w:r w:rsidRPr="00BA2DBB">
        <w:rPr>
          <w:rFonts w:ascii="Times New Roman" w:hAnsi="Times New Roman" w:cs="Times New Roman"/>
          <w:smallCaps/>
          <w:sz w:val="24"/>
          <w:szCs w:val="24"/>
        </w:rPr>
        <w:t>G.C. Garfagnini</w:t>
      </w:r>
      <w:r w:rsidRPr="00BA2DBB">
        <w:rPr>
          <w:rFonts w:ascii="Times New Roman" w:hAnsi="Times New Roman" w:cs="Times New Roman"/>
          <w:sz w:val="24"/>
          <w:szCs w:val="24"/>
        </w:rPr>
        <w:t>, Firenze, Olschki, 1994, pp. 177-180.</w:t>
      </w:r>
    </w:p>
    <w:p w14:paraId="6F975863" w14:textId="77777777" w:rsidR="00786C32" w:rsidRDefault="00786C32" w:rsidP="00796A9D">
      <w:pPr>
        <w:pStyle w:val="Testonotaapidipagina"/>
        <w:jc w:val="both"/>
        <w:rPr>
          <w:rFonts w:ascii="Times New Roman" w:hAnsi="Times New Roman" w:cs="Times New Roman"/>
          <w:sz w:val="24"/>
          <w:szCs w:val="24"/>
        </w:rPr>
      </w:pPr>
    </w:p>
    <w:p w14:paraId="1C26AEB3" w14:textId="77777777" w:rsidR="00786C32" w:rsidRPr="00786C32" w:rsidRDefault="00786C32" w:rsidP="00796A9D">
      <w:pPr>
        <w:pStyle w:val="Testonotaapidipagina"/>
        <w:jc w:val="both"/>
        <w:rPr>
          <w:rFonts w:ascii="Times New Roman" w:hAnsi="Times New Roman" w:cs="Times New Roman"/>
          <w:sz w:val="24"/>
          <w:szCs w:val="24"/>
        </w:rPr>
      </w:pPr>
      <w:r w:rsidRPr="00786C32">
        <w:rPr>
          <w:rFonts w:ascii="Times New Roman" w:hAnsi="Times New Roman" w:cs="Times New Roman"/>
          <w:smallCaps/>
          <w:sz w:val="24"/>
          <w:szCs w:val="24"/>
        </w:rPr>
        <w:t>P. Ghinzoni</w:t>
      </w:r>
      <w:r w:rsidRPr="00786C32">
        <w:rPr>
          <w:rFonts w:ascii="Times New Roman" w:hAnsi="Times New Roman" w:cs="Times New Roman"/>
          <w:sz w:val="24"/>
          <w:szCs w:val="24"/>
        </w:rPr>
        <w:t xml:space="preserve">, </w:t>
      </w:r>
      <w:r w:rsidRPr="00786C32">
        <w:rPr>
          <w:rFonts w:ascii="Times New Roman" w:hAnsi="Times New Roman" w:cs="Times New Roman"/>
          <w:i/>
          <w:sz w:val="24"/>
          <w:szCs w:val="24"/>
        </w:rPr>
        <w:t>Nozze e commedie alla corte di Ferrara nel febbraio 1491</w:t>
      </w:r>
      <w:r w:rsidRPr="00786C32">
        <w:rPr>
          <w:rFonts w:ascii="Times New Roman" w:hAnsi="Times New Roman" w:cs="Times New Roman"/>
          <w:sz w:val="24"/>
          <w:szCs w:val="24"/>
        </w:rPr>
        <w:t>, «Archivio Storico Lombardo», XI, 1884, pp. 753-757.</w:t>
      </w:r>
    </w:p>
    <w:p w14:paraId="1308CFB0" w14:textId="77777777" w:rsidR="00796A9D" w:rsidRDefault="00796A9D" w:rsidP="00796A9D">
      <w:pPr>
        <w:pStyle w:val="Testonotaapidipagina"/>
        <w:jc w:val="both"/>
        <w:rPr>
          <w:rFonts w:ascii="Times New Roman" w:hAnsi="Times New Roman" w:cs="Times New Roman"/>
          <w:sz w:val="24"/>
          <w:szCs w:val="24"/>
        </w:rPr>
      </w:pPr>
    </w:p>
    <w:p w14:paraId="5414516D" w14:textId="77777777" w:rsidR="00796A9D" w:rsidRPr="00201C56" w:rsidRDefault="00796A9D" w:rsidP="00796A9D">
      <w:pPr>
        <w:pStyle w:val="Testonotaapidipagina"/>
        <w:jc w:val="both"/>
        <w:rPr>
          <w:rFonts w:ascii="Times New Roman" w:hAnsi="Times New Roman" w:cs="Times New Roman"/>
          <w:sz w:val="24"/>
          <w:szCs w:val="24"/>
        </w:rPr>
      </w:pPr>
      <w:r w:rsidRPr="00201C56">
        <w:rPr>
          <w:rFonts w:ascii="Times New Roman" w:hAnsi="Times New Roman" w:cs="Times New Roman"/>
          <w:smallCaps/>
          <w:sz w:val="24"/>
          <w:szCs w:val="24"/>
        </w:rPr>
        <w:t>D.Y. Ghirardo</w:t>
      </w:r>
      <w:r w:rsidRPr="00201C56">
        <w:rPr>
          <w:rFonts w:ascii="Times New Roman" w:hAnsi="Times New Roman" w:cs="Times New Roman"/>
          <w:sz w:val="24"/>
          <w:szCs w:val="24"/>
        </w:rPr>
        <w:t xml:space="preserve">, </w:t>
      </w:r>
      <w:r w:rsidRPr="00201C56">
        <w:rPr>
          <w:rFonts w:ascii="Times New Roman" w:hAnsi="Times New Roman" w:cs="Times New Roman"/>
          <w:i/>
          <w:sz w:val="24"/>
          <w:szCs w:val="24"/>
        </w:rPr>
        <w:t>Festive Bridal Entries in Renaissance Ferrara</w:t>
      </w:r>
      <w:r w:rsidRPr="00201C56">
        <w:rPr>
          <w:rFonts w:ascii="Times New Roman" w:hAnsi="Times New Roman" w:cs="Times New Roman"/>
          <w:sz w:val="24"/>
          <w:szCs w:val="24"/>
        </w:rPr>
        <w:t xml:space="preserve">, in </w:t>
      </w:r>
      <w:r w:rsidRPr="00201C56">
        <w:rPr>
          <w:rFonts w:ascii="Times New Roman" w:hAnsi="Times New Roman" w:cs="Times New Roman"/>
          <w:i/>
          <w:sz w:val="24"/>
          <w:szCs w:val="24"/>
        </w:rPr>
        <w:t>Festival Architecture</w:t>
      </w:r>
      <w:r w:rsidRPr="00201C56">
        <w:rPr>
          <w:rFonts w:ascii="Times New Roman" w:hAnsi="Times New Roman" w:cs="Times New Roman"/>
          <w:sz w:val="24"/>
          <w:szCs w:val="24"/>
        </w:rPr>
        <w:t xml:space="preserve">, edited by </w:t>
      </w:r>
      <w:r w:rsidRPr="00201C56">
        <w:rPr>
          <w:rFonts w:ascii="Times New Roman" w:hAnsi="Times New Roman" w:cs="Times New Roman"/>
          <w:smallCaps/>
          <w:sz w:val="24"/>
          <w:szCs w:val="24"/>
        </w:rPr>
        <w:t>S. Bonnemaison, C. Macy</w:t>
      </w:r>
      <w:r w:rsidRPr="00201C56">
        <w:rPr>
          <w:rFonts w:ascii="Times New Roman" w:hAnsi="Times New Roman" w:cs="Times New Roman"/>
          <w:sz w:val="24"/>
          <w:szCs w:val="24"/>
        </w:rPr>
        <w:t>, London-New York, Routledge, 2008, pp. 43-73.</w:t>
      </w:r>
    </w:p>
    <w:p w14:paraId="2A84AF2C" w14:textId="77777777" w:rsidR="00796A9D" w:rsidRPr="00201C56" w:rsidRDefault="00796A9D" w:rsidP="00796A9D">
      <w:pPr>
        <w:pStyle w:val="Testonotaapidipagina"/>
        <w:jc w:val="both"/>
        <w:rPr>
          <w:rFonts w:ascii="Times New Roman" w:hAnsi="Times New Roman" w:cs="Times New Roman"/>
          <w:sz w:val="24"/>
          <w:szCs w:val="24"/>
        </w:rPr>
      </w:pPr>
    </w:p>
    <w:p w14:paraId="3F40E607" w14:textId="77777777" w:rsidR="00796A9D" w:rsidRPr="006062F3" w:rsidRDefault="00796A9D" w:rsidP="00796A9D">
      <w:pPr>
        <w:pStyle w:val="Testonotaapidipagina"/>
        <w:jc w:val="both"/>
        <w:rPr>
          <w:rFonts w:ascii="Times New Roman" w:hAnsi="Times New Roman" w:cs="Times New Roman"/>
          <w:sz w:val="24"/>
          <w:szCs w:val="24"/>
        </w:rPr>
      </w:pPr>
      <w:r w:rsidRPr="00201C56">
        <w:rPr>
          <w:rFonts w:ascii="Times New Roman" w:hAnsi="Times New Roman" w:cs="Times New Roman"/>
          <w:smallCaps/>
          <w:sz w:val="24"/>
          <w:szCs w:val="24"/>
        </w:rPr>
        <w:t>L. Giordano</w:t>
      </w:r>
      <w:r w:rsidRPr="00201C56">
        <w:rPr>
          <w:rFonts w:ascii="Times New Roman" w:hAnsi="Times New Roman" w:cs="Times New Roman"/>
          <w:sz w:val="24"/>
          <w:szCs w:val="24"/>
        </w:rPr>
        <w:t xml:space="preserve">, </w:t>
      </w:r>
      <w:r w:rsidRPr="00201C56">
        <w:rPr>
          <w:rFonts w:ascii="Times New Roman" w:hAnsi="Times New Roman" w:cs="Times New Roman"/>
          <w:i/>
          <w:sz w:val="24"/>
          <w:szCs w:val="24"/>
        </w:rPr>
        <w:t>Beatrice d’Este. 1475-1497</w:t>
      </w:r>
      <w:r w:rsidRPr="00201C56">
        <w:rPr>
          <w:rFonts w:ascii="Times New Roman" w:hAnsi="Times New Roman" w:cs="Times New Roman"/>
          <w:smallCaps/>
          <w:sz w:val="24"/>
          <w:szCs w:val="24"/>
        </w:rPr>
        <w:t>,</w:t>
      </w:r>
      <w:r w:rsidRPr="00201C56">
        <w:rPr>
          <w:rFonts w:ascii="Times New Roman" w:hAnsi="Times New Roman" w:cs="Times New Roman"/>
          <w:sz w:val="24"/>
          <w:szCs w:val="24"/>
        </w:rPr>
        <w:t xml:space="preserve"> Pisa, ETS</w:t>
      </w:r>
      <w:r w:rsidRPr="006062F3">
        <w:rPr>
          <w:rFonts w:ascii="Times New Roman" w:hAnsi="Times New Roman" w:cs="Times New Roman"/>
          <w:sz w:val="24"/>
          <w:szCs w:val="24"/>
        </w:rPr>
        <w:t>, 2006.</w:t>
      </w:r>
    </w:p>
    <w:p w14:paraId="37C5797A" w14:textId="77777777" w:rsidR="00796A9D" w:rsidRDefault="00796A9D" w:rsidP="00796A9D">
      <w:pPr>
        <w:spacing w:after="0"/>
        <w:jc w:val="both"/>
        <w:rPr>
          <w:rFonts w:ascii="Times New Roman" w:hAnsi="Times New Roman" w:cs="Times New Roman"/>
          <w:smallCaps/>
          <w:sz w:val="24"/>
          <w:szCs w:val="24"/>
        </w:rPr>
      </w:pPr>
    </w:p>
    <w:p w14:paraId="2DD21C7B"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P. Girolla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di Francesco Gonzaga secondo l’inventario del 1407</w:t>
      </w:r>
      <w:r w:rsidRPr="00BA2DBB">
        <w:rPr>
          <w:rFonts w:ascii="Times New Roman" w:hAnsi="Times New Roman" w:cs="Times New Roman"/>
          <w:sz w:val="24"/>
          <w:szCs w:val="24"/>
        </w:rPr>
        <w:t>, «Atti e memorie della Accademia Virgiliana di Mantova», XIV-XVI, 1921-1923, pp. 30-72.</w:t>
      </w:r>
    </w:p>
    <w:p w14:paraId="709B6862" w14:textId="77777777" w:rsidR="00796A9D" w:rsidRDefault="00796A9D" w:rsidP="00796A9D">
      <w:pPr>
        <w:spacing w:after="0"/>
        <w:jc w:val="both"/>
        <w:rPr>
          <w:rFonts w:ascii="Times New Roman" w:hAnsi="Times New Roman" w:cs="Times New Roman"/>
          <w:sz w:val="24"/>
          <w:szCs w:val="24"/>
        </w:rPr>
      </w:pPr>
    </w:p>
    <w:p w14:paraId="15005F4E" w14:textId="77777777" w:rsidR="00796A9D" w:rsidRDefault="00796A9D" w:rsidP="00796A9D">
      <w:pPr>
        <w:spacing w:after="0"/>
        <w:jc w:val="both"/>
        <w:rPr>
          <w:rFonts w:ascii="Times New Roman" w:hAnsi="Times New Roman" w:cs="Times New Roman"/>
          <w:sz w:val="24"/>
          <w:szCs w:val="24"/>
        </w:rPr>
      </w:pPr>
      <w:r w:rsidRPr="00EE723E">
        <w:rPr>
          <w:rFonts w:ascii="Times New Roman" w:hAnsi="Times New Roman" w:cs="Times New Roman"/>
          <w:smallCaps/>
          <w:sz w:val="24"/>
          <w:szCs w:val="24"/>
        </w:rPr>
        <w:t>E.H. Gombrich</w:t>
      </w:r>
      <w:r w:rsidRPr="00EE723E">
        <w:rPr>
          <w:rFonts w:ascii="Times New Roman" w:hAnsi="Times New Roman" w:cs="Times New Roman"/>
          <w:sz w:val="24"/>
          <w:szCs w:val="24"/>
        </w:rPr>
        <w:t xml:space="preserve">, </w:t>
      </w:r>
      <w:r w:rsidRPr="00EE723E">
        <w:rPr>
          <w:rFonts w:ascii="Times New Roman" w:hAnsi="Times New Roman" w:cs="Times New Roman"/>
          <w:i/>
          <w:sz w:val="24"/>
          <w:szCs w:val="24"/>
        </w:rPr>
        <w:t>Immagini simboliche: studi sull'arte nel Rinascimento</w:t>
      </w:r>
      <w:r w:rsidRPr="00EE723E">
        <w:rPr>
          <w:rFonts w:ascii="Times New Roman" w:hAnsi="Times New Roman" w:cs="Times New Roman"/>
          <w:sz w:val="24"/>
          <w:szCs w:val="24"/>
        </w:rPr>
        <w:t>, Torino, Einaudi, 1978.</w:t>
      </w:r>
    </w:p>
    <w:p w14:paraId="4A54F5CC" w14:textId="77777777" w:rsidR="00796A9D" w:rsidRDefault="00796A9D" w:rsidP="00796A9D">
      <w:pPr>
        <w:spacing w:after="0"/>
        <w:jc w:val="both"/>
        <w:rPr>
          <w:rFonts w:ascii="Times New Roman" w:hAnsi="Times New Roman" w:cs="Times New Roman"/>
          <w:sz w:val="24"/>
          <w:szCs w:val="24"/>
        </w:rPr>
      </w:pPr>
    </w:p>
    <w:p w14:paraId="3866715F" w14:textId="77777777" w:rsidR="00796A9D" w:rsidRPr="0066564D" w:rsidRDefault="00796A9D" w:rsidP="00796A9D">
      <w:pPr>
        <w:spacing w:after="0"/>
        <w:jc w:val="both"/>
        <w:rPr>
          <w:rFonts w:ascii="Times New Roman" w:hAnsi="Times New Roman" w:cs="Times New Roman"/>
          <w:b/>
          <w:sz w:val="24"/>
          <w:szCs w:val="24"/>
        </w:rPr>
      </w:pPr>
      <w:r w:rsidRPr="0066564D">
        <w:rPr>
          <w:rStyle w:val="Enfasigrassetto"/>
          <w:rFonts w:ascii="Times New Roman" w:hAnsi="Times New Roman" w:cs="Times New Roman"/>
          <w:b w:val="0"/>
          <w:color w:val="000000"/>
          <w:sz w:val="24"/>
          <w:szCs w:val="24"/>
          <w:shd w:val="clear" w:color="auto" w:fill="FFFFFF"/>
        </w:rPr>
        <w:t xml:space="preserve">A. </w:t>
      </w:r>
      <w:r w:rsidRPr="0066564D">
        <w:rPr>
          <w:rStyle w:val="Enfasigrassetto"/>
          <w:rFonts w:ascii="Times New Roman" w:hAnsi="Times New Roman" w:cs="Times New Roman"/>
          <w:b w:val="0"/>
          <w:smallCaps/>
          <w:color w:val="000000"/>
          <w:sz w:val="24"/>
          <w:szCs w:val="24"/>
          <w:shd w:val="clear" w:color="auto" w:fill="FFFFFF"/>
        </w:rPr>
        <w:t>Grassi</w:t>
      </w:r>
      <w:r w:rsidRPr="0066564D">
        <w:rPr>
          <w:rStyle w:val="Enfasigrassetto"/>
          <w:rFonts w:ascii="Times New Roman" w:hAnsi="Times New Roman" w:cs="Times New Roman"/>
          <w:b w:val="0"/>
          <w:color w:val="000000"/>
          <w:sz w:val="24"/>
          <w:szCs w:val="24"/>
          <w:shd w:val="clear" w:color="auto" w:fill="FFFFFF"/>
        </w:rPr>
        <w:t xml:space="preserve">, </w:t>
      </w:r>
      <w:r w:rsidRPr="0066564D">
        <w:rPr>
          <w:rStyle w:val="Enfasigrassetto"/>
          <w:rFonts w:ascii="Times New Roman" w:hAnsi="Times New Roman" w:cs="Times New Roman"/>
          <w:b w:val="0"/>
          <w:i/>
          <w:color w:val="000000"/>
          <w:sz w:val="24"/>
          <w:szCs w:val="24"/>
          <w:shd w:val="clear" w:color="auto" w:fill="FFFFFF"/>
        </w:rPr>
        <w:t>Santa Tecla nel tardo medioevo. La grande basilica milanese, il paradisus, i mercanti</w:t>
      </w:r>
      <w:r w:rsidRPr="0066564D">
        <w:rPr>
          <w:rStyle w:val="Enfasigrassetto"/>
          <w:rFonts w:ascii="Times New Roman" w:hAnsi="Times New Roman" w:cs="Times New Roman"/>
          <w:b w:val="0"/>
          <w:color w:val="000000"/>
          <w:sz w:val="24"/>
          <w:szCs w:val="24"/>
          <w:shd w:val="clear" w:color="auto" w:fill="FFFFFF"/>
        </w:rPr>
        <w:t>, Milano, Et, 1997.</w:t>
      </w:r>
    </w:p>
    <w:p w14:paraId="4D181052" w14:textId="77777777" w:rsidR="00796A9D" w:rsidRDefault="00796A9D" w:rsidP="00796A9D">
      <w:pPr>
        <w:spacing w:after="0"/>
        <w:jc w:val="both"/>
        <w:rPr>
          <w:rFonts w:ascii="Times New Roman" w:hAnsi="Times New Roman" w:cs="Times New Roman"/>
          <w:sz w:val="24"/>
          <w:szCs w:val="24"/>
        </w:rPr>
      </w:pPr>
    </w:p>
    <w:p w14:paraId="2F36E638" w14:textId="77777777" w:rsidR="00796A9D" w:rsidRDefault="00796A9D" w:rsidP="00796A9D">
      <w:pPr>
        <w:spacing w:after="0"/>
        <w:jc w:val="both"/>
        <w:rPr>
          <w:rFonts w:ascii="Times New Roman" w:hAnsi="Times New Roman" w:cs="Times New Roman"/>
          <w:sz w:val="24"/>
          <w:szCs w:val="24"/>
          <w:lang w:val="en-US"/>
        </w:rPr>
      </w:pPr>
      <w:r w:rsidRPr="00A9539B">
        <w:rPr>
          <w:rFonts w:ascii="Times New Roman" w:hAnsi="Times New Roman" w:cs="Times New Roman"/>
          <w:smallCaps/>
          <w:sz w:val="24"/>
          <w:szCs w:val="24"/>
          <w:lang w:val="en-US"/>
        </w:rPr>
        <w:t>J. Green, F. McIntyre, P. Needham</w:t>
      </w:r>
      <w:r w:rsidRPr="00A9539B">
        <w:rPr>
          <w:rFonts w:ascii="Times New Roman" w:hAnsi="Times New Roman" w:cs="Times New Roman"/>
          <w:sz w:val="24"/>
          <w:szCs w:val="24"/>
          <w:lang w:val="en-US"/>
        </w:rPr>
        <w:t xml:space="preserve">, </w:t>
      </w:r>
      <w:r w:rsidRPr="00A9539B">
        <w:rPr>
          <w:rFonts w:ascii="Times New Roman" w:hAnsi="Times New Roman" w:cs="Times New Roman"/>
          <w:i/>
          <w:sz w:val="24"/>
          <w:szCs w:val="24"/>
          <w:lang w:val="en-US"/>
        </w:rPr>
        <w:t>The Shape of Incunable Survival and Statistical Estimation of Lost Editions</w:t>
      </w:r>
      <w:r w:rsidRPr="00A9539B">
        <w:rPr>
          <w:rFonts w:ascii="Times New Roman" w:hAnsi="Times New Roman" w:cs="Times New Roman"/>
          <w:sz w:val="24"/>
          <w:szCs w:val="24"/>
          <w:lang w:val="en-US"/>
        </w:rPr>
        <w:t>, «Papers of the Bibliographical Society of America», CV, 2012, pp. 141-175.</w:t>
      </w:r>
    </w:p>
    <w:p w14:paraId="682AB04F" w14:textId="77777777" w:rsidR="00796A9D" w:rsidRDefault="00796A9D" w:rsidP="00796A9D">
      <w:pPr>
        <w:spacing w:after="0"/>
        <w:jc w:val="both"/>
        <w:rPr>
          <w:rFonts w:ascii="Times New Roman" w:hAnsi="Times New Roman" w:cs="Times New Roman"/>
          <w:sz w:val="24"/>
          <w:szCs w:val="24"/>
          <w:lang w:val="en-US"/>
        </w:rPr>
      </w:pPr>
    </w:p>
    <w:p w14:paraId="48BAA8DB" w14:textId="77777777" w:rsidR="00796A9D" w:rsidRPr="00214475" w:rsidRDefault="00796A9D" w:rsidP="00796A9D">
      <w:pPr>
        <w:spacing w:after="0"/>
        <w:jc w:val="both"/>
        <w:rPr>
          <w:rFonts w:ascii="Times New Roman" w:hAnsi="Times New Roman" w:cs="Times New Roman"/>
          <w:sz w:val="24"/>
          <w:szCs w:val="24"/>
          <w:lang w:val="en-US"/>
        </w:rPr>
      </w:pPr>
      <w:r w:rsidRPr="00214475">
        <w:rPr>
          <w:rFonts w:ascii="Times New Roman" w:hAnsi="Times New Roman" w:cs="Times New Roman"/>
          <w:smallCaps/>
          <w:sz w:val="24"/>
          <w:szCs w:val="24"/>
        </w:rPr>
        <w:t>N. Groja</w:t>
      </w:r>
      <w:r w:rsidRPr="00214475">
        <w:rPr>
          <w:rFonts w:ascii="Times New Roman" w:hAnsi="Times New Roman" w:cs="Times New Roman"/>
          <w:sz w:val="24"/>
          <w:szCs w:val="24"/>
        </w:rPr>
        <w:t xml:space="preserve">, </w:t>
      </w:r>
      <w:r w:rsidRPr="00214475">
        <w:rPr>
          <w:rFonts w:ascii="Times New Roman" w:hAnsi="Times New Roman" w:cs="Times New Roman"/>
          <w:i/>
          <w:sz w:val="24"/>
          <w:szCs w:val="24"/>
        </w:rPr>
        <w:t>La</w:t>
      </w:r>
      <w:r w:rsidRPr="00214475">
        <w:rPr>
          <w:rFonts w:ascii="Times New Roman" w:hAnsi="Times New Roman" w:cs="Times New Roman"/>
          <w:sz w:val="24"/>
          <w:szCs w:val="24"/>
        </w:rPr>
        <w:t xml:space="preserve"> Philomathia </w:t>
      </w:r>
      <w:r w:rsidRPr="00214475">
        <w:rPr>
          <w:rFonts w:ascii="Times New Roman" w:hAnsi="Times New Roman" w:cs="Times New Roman"/>
          <w:i/>
          <w:sz w:val="24"/>
          <w:szCs w:val="24"/>
        </w:rPr>
        <w:t>di Angelo Michele Salimbeni e Sebastiano Aldrovandi: cenni di analisi</w:t>
      </w:r>
      <w:r w:rsidRPr="00214475">
        <w:rPr>
          <w:rFonts w:ascii="Times New Roman" w:hAnsi="Times New Roman" w:cs="Times New Roman"/>
          <w:sz w:val="24"/>
          <w:szCs w:val="24"/>
        </w:rPr>
        <w:t xml:space="preserve">, in </w:t>
      </w:r>
      <w:r w:rsidRPr="00214475">
        <w:rPr>
          <w:rFonts w:ascii="Times New Roman" w:hAnsi="Times New Roman" w:cs="Times New Roman"/>
          <w:i/>
          <w:sz w:val="24"/>
          <w:szCs w:val="24"/>
        </w:rPr>
        <w:t>Tales of Unfulfilled Times. Saggi critici in onore di Dario Calimani offerti dai suoi allievi</w:t>
      </w:r>
      <w:r w:rsidRPr="00214475">
        <w:rPr>
          <w:rFonts w:ascii="Times New Roman" w:hAnsi="Times New Roman" w:cs="Times New Roman"/>
          <w:sz w:val="24"/>
          <w:szCs w:val="24"/>
        </w:rPr>
        <w:t xml:space="preserve">, a cura di </w:t>
      </w:r>
      <w:r w:rsidRPr="00214475">
        <w:rPr>
          <w:rFonts w:ascii="Times New Roman" w:hAnsi="Times New Roman" w:cs="Times New Roman"/>
          <w:smallCaps/>
          <w:sz w:val="24"/>
          <w:szCs w:val="24"/>
        </w:rPr>
        <w:t>F. Fantuzzi</w:t>
      </w:r>
      <w:r w:rsidRPr="00214475">
        <w:rPr>
          <w:rFonts w:ascii="Times New Roman" w:hAnsi="Times New Roman" w:cs="Times New Roman"/>
          <w:sz w:val="24"/>
          <w:szCs w:val="24"/>
        </w:rPr>
        <w:t>, «Studi e ricerche», 9, 2017, pp. 79-88.</w:t>
      </w:r>
    </w:p>
    <w:p w14:paraId="3BECB173" w14:textId="77777777" w:rsidR="00796A9D" w:rsidRDefault="00796A9D" w:rsidP="00796A9D">
      <w:pPr>
        <w:spacing w:after="0"/>
        <w:jc w:val="both"/>
        <w:rPr>
          <w:rFonts w:ascii="Times New Roman" w:hAnsi="Times New Roman" w:cs="Times New Roman"/>
          <w:sz w:val="24"/>
          <w:szCs w:val="24"/>
        </w:rPr>
      </w:pPr>
    </w:p>
    <w:p w14:paraId="02606518" w14:textId="77777777" w:rsidR="00796A9D" w:rsidRPr="00086A7B" w:rsidRDefault="00796A9D" w:rsidP="00796A9D">
      <w:pPr>
        <w:pStyle w:val="Testonotaapidipagina"/>
        <w:jc w:val="both"/>
        <w:rPr>
          <w:rFonts w:ascii="Times New Roman" w:hAnsi="Times New Roman" w:cs="Times New Roman"/>
          <w:sz w:val="24"/>
          <w:szCs w:val="24"/>
        </w:rPr>
      </w:pPr>
      <w:r w:rsidRPr="00086A7B">
        <w:rPr>
          <w:rFonts w:ascii="Times New Roman" w:hAnsi="Times New Roman" w:cs="Times New Roman"/>
          <w:smallCaps/>
          <w:sz w:val="24"/>
          <w:szCs w:val="24"/>
        </w:rPr>
        <w:t>R. Guarino</w:t>
      </w:r>
      <w:r w:rsidRPr="00086A7B">
        <w:rPr>
          <w:rFonts w:ascii="Times New Roman" w:hAnsi="Times New Roman" w:cs="Times New Roman"/>
          <w:sz w:val="24"/>
          <w:szCs w:val="24"/>
        </w:rPr>
        <w:t xml:space="preserve">, </w:t>
      </w:r>
      <w:r w:rsidRPr="00086A7B">
        <w:rPr>
          <w:rFonts w:ascii="Times New Roman" w:hAnsi="Times New Roman" w:cs="Times New Roman"/>
          <w:i/>
          <w:sz w:val="24"/>
          <w:szCs w:val="24"/>
        </w:rPr>
        <w:t>Storiografia umanistica e spettacolo del Rinascimento</w:t>
      </w:r>
      <w:r w:rsidRPr="00086A7B">
        <w:rPr>
          <w:rFonts w:ascii="Times New Roman" w:hAnsi="Times New Roman" w:cs="Times New Roman"/>
          <w:sz w:val="24"/>
          <w:szCs w:val="24"/>
        </w:rPr>
        <w:t>, «Teatro e Storia», XIX, 1997, pp. 271-291.</w:t>
      </w:r>
    </w:p>
    <w:p w14:paraId="4712F4CD" w14:textId="77777777" w:rsidR="00796A9D" w:rsidRDefault="00796A9D" w:rsidP="00796A9D">
      <w:pPr>
        <w:spacing w:after="0"/>
        <w:jc w:val="both"/>
        <w:rPr>
          <w:rFonts w:ascii="Times New Roman" w:hAnsi="Times New Roman" w:cs="Times New Roman"/>
          <w:sz w:val="24"/>
          <w:szCs w:val="24"/>
        </w:rPr>
      </w:pPr>
    </w:p>
    <w:p w14:paraId="3D464753" w14:textId="77777777" w:rsidR="00796A9D" w:rsidRPr="00615C7D" w:rsidRDefault="00796A9D" w:rsidP="00796A9D">
      <w:pPr>
        <w:spacing w:after="0"/>
        <w:jc w:val="both"/>
        <w:rPr>
          <w:rFonts w:ascii="Times New Roman" w:hAnsi="Times New Roman" w:cs="Times New Roman"/>
          <w:sz w:val="24"/>
          <w:szCs w:val="24"/>
        </w:rPr>
      </w:pPr>
      <w:r w:rsidRPr="00615C7D">
        <w:rPr>
          <w:rFonts w:ascii="Times New Roman" w:hAnsi="Times New Roman" w:cs="Times New Roman"/>
          <w:sz w:val="24"/>
          <w:szCs w:val="24"/>
        </w:rPr>
        <w:t xml:space="preserve">R. </w:t>
      </w:r>
      <w:r w:rsidRPr="00615C7D">
        <w:rPr>
          <w:rFonts w:ascii="Times New Roman" w:hAnsi="Times New Roman" w:cs="Times New Roman"/>
          <w:smallCaps/>
          <w:sz w:val="24"/>
          <w:szCs w:val="24"/>
        </w:rPr>
        <w:t>Guarino</w:t>
      </w:r>
      <w:r w:rsidRPr="00615C7D">
        <w:rPr>
          <w:rFonts w:ascii="Times New Roman" w:hAnsi="Times New Roman" w:cs="Times New Roman"/>
          <w:sz w:val="24"/>
          <w:szCs w:val="24"/>
        </w:rPr>
        <w:t xml:space="preserve">, </w:t>
      </w:r>
      <w:r w:rsidRPr="00615C7D">
        <w:rPr>
          <w:rFonts w:ascii="Times New Roman" w:hAnsi="Times New Roman" w:cs="Times New Roman"/>
          <w:i/>
          <w:sz w:val="24"/>
          <w:szCs w:val="24"/>
        </w:rPr>
        <w:t>La presenza degli dei</w:t>
      </w:r>
      <w:r w:rsidRPr="00615C7D">
        <w:rPr>
          <w:rFonts w:ascii="Times New Roman" w:hAnsi="Times New Roman" w:cs="Times New Roman"/>
          <w:sz w:val="24"/>
          <w:szCs w:val="24"/>
        </w:rPr>
        <w:t>, ‹‹Teatro e Storia››, XIX, 2005, pp. 15-31.</w:t>
      </w:r>
    </w:p>
    <w:p w14:paraId="4C2B0661" w14:textId="77777777" w:rsidR="00796A9D" w:rsidRPr="00BA2DBB" w:rsidRDefault="00796A9D" w:rsidP="00796A9D">
      <w:pPr>
        <w:spacing w:after="0"/>
        <w:jc w:val="both"/>
        <w:rPr>
          <w:rFonts w:ascii="Times New Roman" w:hAnsi="Times New Roman" w:cs="Times New Roman"/>
          <w:sz w:val="24"/>
          <w:szCs w:val="24"/>
        </w:rPr>
      </w:pPr>
    </w:p>
    <w:p w14:paraId="29A09F2A"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D. Guernelli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Perle ai margini. Una nuova testimonianza di Girolamo da Cremona</w:t>
      </w:r>
      <w:r w:rsidRPr="00BA2DBB">
        <w:rPr>
          <w:rFonts w:ascii="Times New Roman" w:hAnsi="Times New Roman" w:cs="Times New Roman"/>
          <w:sz w:val="24"/>
          <w:szCs w:val="24"/>
        </w:rPr>
        <w:t>, «Bibliothecae.it», V, 2016, 153-171.</w:t>
      </w:r>
    </w:p>
    <w:p w14:paraId="1206E5A1" w14:textId="77777777" w:rsidR="00796A9D" w:rsidRDefault="00796A9D" w:rsidP="00796A9D">
      <w:pPr>
        <w:spacing w:after="0"/>
        <w:jc w:val="both"/>
        <w:rPr>
          <w:rFonts w:ascii="Times New Roman" w:hAnsi="Times New Roman" w:cs="Times New Roman"/>
          <w:sz w:val="24"/>
          <w:szCs w:val="24"/>
        </w:rPr>
      </w:pPr>
    </w:p>
    <w:p w14:paraId="2DA3FD06" w14:textId="77777777" w:rsidR="00796A9D" w:rsidRPr="00562898" w:rsidRDefault="00796A9D" w:rsidP="00796A9D">
      <w:pPr>
        <w:spacing w:after="0"/>
        <w:jc w:val="both"/>
        <w:rPr>
          <w:rFonts w:ascii="Times New Roman" w:hAnsi="Times New Roman" w:cs="Times New Roman"/>
          <w:sz w:val="24"/>
          <w:szCs w:val="24"/>
        </w:rPr>
      </w:pPr>
      <w:r w:rsidRPr="00562898">
        <w:rPr>
          <w:rFonts w:ascii="Times New Roman" w:hAnsi="Times New Roman" w:cs="Times New Roman"/>
          <w:smallCaps/>
          <w:sz w:val="24"/>
          <w:szCs w:val="24"/>
        </w:rPr>
        <w:t>N. Guidobaldi</w:t>
      </w:r>
      <w:r w:rsidRPr="00562898">
        <w:rPr>
          <w:rFonts w:ascii="Times New Roman" w:hAnsi="Times New Roman" w:cs="Times New Roman"/>
          <w:sz w:val="24"/>
          <w:szCs w:val="24"/>
        </w:rPr>
        <w:t xml:space="preserve">, </w:t>
      </w:r>
      <w:r w:rsidRPr="00562898">
        <w:rPr>
          <w:rFonts w:ascii="Times New Roman" w:hAnsi="Times New Roman" w:cs="Times New Roman"/>
          <w:i/>
          <w:sz w:val="24"/>
          <w:szCs w:val="24"/>
        </w:rPr>
        <w:t>La musica di Federico di Montefeltro. Immagini e suoni alla corte di Urbino</w:t>
      </w:r>
      <w:r w:rsidRPr="00562898">
        <w:rPr>
          <w:rFonts w:ascii="Times New Roman" w:hAnsi="Times New Roman" w:cs="Times New Roman"/>
          <w:sz w:val="24"/>
          <w:szCs w:val="24"/>
        </w:rPr>
        <w:t>, Firenze Olschki, 1995, pp. 52-61.</w:t>
      </w:r>
    </w:p>
    <w:p w14:paraId="072E971D" w14:textId="77777777" w:rsidR="00796A9D" w:rsidRDefault="00796A9D" w:rsidP="00796A9D">
      <w:pPr>
        <w:spacing w:after="0"/>
        <w:jc w:val="both"/>
        <w:rPr>
          <w:rFonts w:ascii="Times New Roman" w:hAnsi="Times New Roman" w:cs="Times New Roman"/>
          <w:sz w:val="24"/>
          <w:szCs w:val="24"/>
        </w:rPr>
      </w:pPr>
    </w:p>
    <w:p w14:paraId="2167F566" w14:textId="77777777" w:rsidR="00796A9D" w:rsidRPr="004051FE" w:rsidRDefault="00796A9D" w:rsidP="00796A9D">
      <w:pPr>
        <w:spacing w:after="0"/>
        <w:jc w:val="both"/>
        <w:rPr>
          <w:rFonts w:ascii="Times New Roman" w:hAnsi="Times New Roman" w:cs="Times New Roman"/>
          <w:sz w:val="24"/>
          <w:szCs w:val="24"/>
        </w:rPr>
      </w:pPr>
      <w:r w:rsidRPr="004051FE">
        <w:rPr>
          <w:rFonts w:ascii="Times New Roman" w:hAnsi="Times New Roman" w:cs="Times New Roman"/>
          <w:smallCaps/>
          <w:sz w:val="24"/>
          <w:szCs w:val="24"/>
          <w:lang w:val="en-GB"/>
        </w:rPr>
        <w:t>W.L. Gundersheimer</w:t>
      </w:r>
      <w:r w:rsidRPr="004051FE">
        <w:rPr>
          <w:rFonts w:ascii="Times New Roman" w:hAnsi="Times New Roman" w:cs="Times New Roman"/>
          <w:sz w:val="24"/>
          <w:szCs w:val="24"/>
          <w:lang w:val="en-GB"/>
        </w:rPr>
        <w:t xml:space="preserve">, </w:t>
      </w:r>
      <w:r w:rsidRPr="004051FE">
        <w:rPr>
          <w:rFonts w:ascii="Times New Roman" w:hAnsi="Times New Roman" w:cs="Times New Roman"/>
          <w:i/>
          <w:sz w:val="24"/>
          <w:szCs w:val="24"/>
          <w:lang w:val="en-GB"/>
        </w:rPr>
        <w:t>Art and Life at the Court of Ercole I d’Este: The “</w:t>
      </w:r>
      <w:r w:rsidRPr="004051FE">
        <w:rPr>
          <w:rFonts w:ascii="Times New Roman" w:hAnsi="Times New Roman" w:cs="Times New Roman"/>
          <w:sz w:val="24"/>
          <w:szCs w:val="24"/>
          <w:lang w:val="en-GB"/>
        </w:rPr>
        <w:t>De triumphis religionis</w:t>
      </w:r>
      <w:r w:rsidRPr="004051FE">
        <w:rPr>
          <w:rFonts w:ascii="Times New Roman" w:hAnsi="Times New Roman" w:cs="Times New Roman"/>
          <w:i/>
          <w:sz w:val="24"/>
          <w:szCs w:val="24"/>
          <w:lang w:val="en-GB"/>
        </w:rPr>
        <w:t>” of Giovanni Sabadino degli Arienti</w:t>
      </w:r>
      <w:r w:rsidRPr="004051FE">
        <w:rPr>
          <w:rFonts w:ascii="Times New Roman" w:hAnsi="Times New Roman" w:cs="Times New Roman"/>
          <w:sz w:val="24"/>
          <w:szCs w:val="24"/>
          <w:lang w:val="en-GB"/>
        </w:rPr>
        <w:t>, Genève, Droz, 1972.</w:t>
      </w:r>
    </w:p>
    <w:p w14:paraId="2C3E16EF" w14:textId="77777777" w:rsidR="00796A9D" w:rsidRDefault="00796A9D" w:rsidP="00796A9D">
      <w:pPr>
        <w:spacing w:after="0"/>
        <w:jc w:val="both"/>
        <w:rPr>
          <w:rFonts w:ascii="Times New Roman" w:hAnsi="Times New Roman" w:cs="Times New Roman"/>
          <w:smallCaps/>
          <w:sz w:val="24"/>
          <w:szCs w:val="24"/>
        </w:rPr>
      </w:pPr>
    </w:p>
    <w:p w14:paraId="6502903C"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T. Haffner</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Die Bibliothek des Kardinals Giovanni d'Aragona (1456-1485), Illuminierte Handschriften und Inkunabeln für einen humanistischen Bibliophilen zwischen Neapel und Rom</w:t>
      </w:r>
      <w:r w:rsidRPr="00BA2DBB">
        <w:rPr>
          <w:rFonts w:ascii="Times New Roman" w:hAnsi="Times New Roman" w:cs="Times New Roman"/>
          <w:sz w:val="24"/>
          <w:szCs w:val="24"/>
        </w:rPr>
        <w:t>, Wiesbaden, Reichert, 1997, pp. 132-138.</w:t>
      </w:r>
    </w:p>
    <w:p w14:paraId="2E643D97" w14:textId="77777777" w:rsidR="00796A9D" w:rsidRDefault="00796A9D" w:rsidP="00796A9D">
      <w:pPr>
        <w:spacing w:after="0"/>
        <w:jc w:val="both"/>
        <w:rPr>
          <w:rFonts w:ascii="Times New Roman" w:hAnsi="Times New Roman" w:cs="Times New Roman"/>
          <w:sz w:val="24"/>
          <w:szCs w:val="24"/>
        </w:rPr>
      </w:pPr>
    </w:p>
    <w:p w14:paraId="569BA3FE" w14:textId="77777777" w:rsidR="00796A9D" w:rsidRPr="002B7BF2" w:rsidRDefault="00796A9D" w:rsidP="00796A9D">
      <w:pPr>
        <w:spacing w:after="0"/>
        <w:jc w:val="both"/>
        <w:rPr>
          <w:rFonts w:ascii="Times New Roman" w:hAnsi="Times New Roman" w:cs="Times New Roman"/>
          <w:sz w:val="24"/>
          <w:szCs w:val="24"/>
        </w:rPr>
      </w:pPr>
      <w:r w:rsidRPr="002B7BF2">
        <w:rPr>
          <w:rFonts w:ascii="Times New Roman" w:hAnsi="Times New Roman" w:cs="Times New Roman"/>
          <w:sz w:val="24"/>
          <w:szCs w:val="24"/>
        </w:rPr>
        <w:t xml:space="preserve">P. </w:t>
      </w:r>
      <w:r w:rsidRPr="002B7BF2">
        <w:rPr>
          <w:rFonts w:ascii="Times New Roman" w:hAnsi="Times New Roman" w:cs="Times New Roman"/>
          <w:smallCaps/>
          <w:sz w:val="24"/>
          <w:szCs w:val="24"/>
        </w:rPr>
        <w:t>Helas</w:t>
      </w:r>
      <w:r w:rsidRPr="002B7BF2">
        <w:rPr>
          <w:rFonts w:ascii="Times New Roman" w:hAnsi="Times New Roman" w:cs="Times New Roman"/>
          <w:sz w:val="24"/>
          <w:szCs w:val="24"/>
        </w:rPr>
        <w:t xml:space="preserve">, </w:t>
      </w:r>
      <w:r w:rsidRPr="002B7BF2">
        <w:rPr>
          <w:rFonts w:ascii="Times New Roman" w:hAnsi="Times New Roman" w:cs="Times New Roman"/>
          <w:i/>
          <w:sz w:val="24"/>
          <w:szCs w:val="24"/>
        </w:rPr>
        <w:t>Lebende Bilder in der italienischen Festkultur des 15. Jahrhunderts</w:t>
      </w:r>
      <w:r w:rsidRPr="002B7BF2">
        <w:rPr>
          <w:rFonts w:ascii="Times New Roman" w:hAnsi="Times New Roman" w:cs="Times New Roman"/>
          <w:sz w:val="24"/>
          <w:szCs w:val="24"/>
        </w:rPr>
        <w:t>, Berlin, Akademie Verlag, 1999.</w:t>
      </w:r>
    </w:p>
    <w:p w14:paraId="2BEF34D2" w14:textId="77777777" w:rsidR="00796A9D" w:rsidRDefault="00796A9D" w:rsidP="00796A9D">
      <w:pPr>
        <w:spacing w:after="0"/>
        <w:jc w:val="both"/>
        <w:rPr>
          <w:rFonts w:ascii="Times New Roman" w:hAnsi="Times New Roman" w:cs="Times New Roman"/>
          <w:smallCaps/>
          <w:sz w:val="24"/>
          <w:szCs w:val="24"/>
        </w:rPr>
      </w:pPr>
    </w:p>
    <w:p w14:paraId="12CA2533" w14:textId="77777777" w:rsidR="00796A9D" w:rsidRPr="00206B3A" w:rsidRDefault="00796A9D" w:rsidP="00796A9D">
      <w:pPr>
        <w:spacing w:after="0"/>
        <w:jc w:val="both"/>
        <w:rPr>
          <w:rFonts w:ascii="Times New Roman" w:hAnsi="Times New Roman" w:cs="Times New Roman"/>
          <w:smallCaps/>
          <w:sz w:val="24"/>
          <w:szCs w:val="24"/>
        </w:rPr>
      </w:pPr>
      <w:r w:rsidRPr="00206B3A">
        <w:rPr>
          <w:rFonts w:ascii="Times New Roman" w:hAnsi="Times New Roman" w:cs="Times New Roman"/>
          <w:smallCaps/>
          <w:sz w:val="24"/>
          <w:szCs w:val="24"/>
        </w:rPr>
        <w:t>M.J. Heller</w:t>
      </w:r>
      <w:r w:rsidRPr="00206B3A">
        <w:rPr>
          <w:rFonts w:ascii="Times New Roman" w:hAnsi="Times New Roman" w:cs="Times New Roman"/>
          <w:sz w:val="24"/>
          <w:szCs w:val="24"/>
        </w:rPr>
        <w:t xml:space="preserve">, </w:t>
      </w:r>
      <w:r w:rsidRPr="00206B3A">
        <w:rPr>
          <w:rFonts w:ascii="Times New Roman" w:hAnsi="Times New Roman" w:cs="Times New Roman"/>
          <w:i/>
          <w:sz w:val="24"/>
          <w:szCs w:val="24"/>
        </w:rPr>
        <w:t>Studies in the Making of the Early Hebrew Book</w:t>
      </w:r>
      <w:r w:rsidRPr="00206B3A">
        <w:rPr>
          <w:rFonts w:ascii="Times New Roman" w:hAnsi="Times New Roman" w:cs="Times New Roman"/>
          <w:sz w:val="24"/>
          <w:szCs w:val="24"/>
        </w:rPr>
        <w:t>, Leiden-Boston, Brill, 2008.</w:t>
      </w:r>
    </w:p>
    <w:p w14:paraId="7001BEE3" w14:textId="77777777" w:rsidR="00796A9D" w:rsidRDefault="00796A9D" w:rsidP="00796A9D">
      <w:pPr>
        <w:spacing w:after="0"/>
        <w:jc w:val="both"/>
        <w:rPr>
          <w:rFonts w:ascii="Times New Roman" w:hAnsi="Times New Roman" w:cs="Times New Roman"/>
          <w:smallCaps/>
          <w:sz w:val="24"/>
          <w:szCs w:val="24"/>
        </w:rPr>
      </w:pPr>
    </w:p>
    <w:p w14:paraId="0E04EE7F"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H. J. Hermann</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miniatura a Ferrara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F. Toniolo</w:t>
      </w:r>
      <w:r w:rsidRPr="00BA2DBB">
        <w:rPr>
          <w:rFonts w:ascii="Times New Roman" w:hAnsi="Times New Roman" w:cs="Times New Roman"/>
          <w:sz w:val="24"/>
          <w:szCs w:val="24"/>
        </w:rPr>
        <w:t>, Modena, Franco Cosimo Panini, 1994.</w:t>
      </w:r>
    </w:p>
    <w:p w14:paraId="6E3E447E" w14:textId="77777777" w:rsidR="00796A9D" w:rsidRDefault="00796A9D" w:rsidP="00796A9D">
      <w:pPr>
        <w:spacing w:after="0"/>
        <w:jc w:val="both"/>
        <w:rPr>
          <w:rFonts w:ascii="Times New Roman" w:hAnsi="Times New Roman" w:cs="Times New Roman"/>
          <w:sz w:val="24"/>
          <w:szCs w:val="24"/>
        </w:rPr>
      </w:pPr>
    </w:p>
    <w:p w14:paraId="65D6851D" w14:textId="77777777" w:rsidR="00796A9D" w:rsidRPr="008A2028" w:rsidRDefault="00796A9D" w:rsidP="00796A9D">
      <w:pPr>
        <w:spacing w:after="0"/>
        <w:jc w:val="both"/>
        <w:rPr>
          <w:rFonts w:ascii="Times New Roman" w:hAnsi="Times New Roman" w:cs="Times New Roman"/>
          <w:sz w:val="24"/>
          <w:szCs w:val="24"/>
        </w:rPr>
      </w:pPr>
      <w:r w:rsidRPr="008A2028">
        <w:rPr>
          <w:rFonts w:ascii="Times New Roman" w:hAnsi="Times New Roman" w:cs="Times New Roman"/>
          <w:smallCaps/>
          <w:sz w:val="24"/>
          <w:szCs w:val="24"/>
        </w:rPr>
        <w:t>T. Hiltmann</w:t>
      </w:r>
      <w:r w:rsidRPr="008A2028">
        <w:rPr>
          <w:rFonts w:ascii="Times New Roman" w:hAnsi="Times New Roman" w:cs="Times New Roman"/>
          <w:sz w:val="24"/>
          <w:szCs w:val="24"/>
        </w:rPr>
        <w:t xml:space="preserve">, </w:t>
      </w:r>
      <w:r w:rsidRPr="008A2028">
        <w:rPr>
          <w:rFonts w:ascii="Times New Roman" w:hAnsi="Times New Roman" w:cs="Times New Roman"/>
          <w:i/>
          <w:sz w:val="24"/>
          <w:szCs w:val="24"/>
        </w:rPr>
        <w:t>Un état de noblesse et de chevalerie sans pareilles? Tournois et hérauts d’armes à la cour des ducs de Bourgogne</w:t>
      </w:r>
      <w:r w:rsidRPr="008A2028">
        <w:rPr>
          <w:rFonts w:ascii="Times New Roman" w:hAnsi="Times New Roman" w:cs="Times New Roman"/>
          <w:sz w:val="24"/>
          <w:szCs w:val="24"/>
        </w:rPr>
        <w:t xml:space="preserve">, in </w:t>
      </w:r>
      <w:r w:rsidRPr="008A2028">
        <w:rPr>
          <w:rFonts w:ascii="Times New Roman" w:hAnsi="Times New Roman" w:cs="Times New Roman"/>
          <w:i/>
          <w:sz w:val="24"/>
          <w:szCs w:val="24"/>
        </w:rPr>
        <w:t>La Cour de Bougogne et l’Europe. Le rayonnement et les limites d’un modèle culturel</w:t>
      </w:r>
      <w:r w:rsidRPr="008A2028">
        <w:rPr>
          <w:rFonts w:ascii="Times New Roman" w:hAnsi="Times New Roman" w:cs="Times New Roman"/>
          <w:sz w:val="24"/>
          <w:szCs w:val="24"/>
        </w:rPr>
        <w:t xml:space="preserve">. Actes du colloque international tenu à Paris les 9, 10 et 11 octobre 2007, Paris, Jan Thorbecke Verlag, 2013, pp. 253-288. </w:t>
      </w:r>
    </w:p>
    <w:p w14:paraId="71BDA6BD" w14:textId="77777777" w:rsidR="00796A9D" w:rsidRDefault="00796A9D" w:rsidP="00796A9D">
      <w:pPr>
        <w:spacing w:after="0"/>
        <w:jc w:val="both"/>
        <w:rPr>
          <w:rFonts w:ascii="Times New Roman" w:hAnsi="Times New Roman" w:cs="Times New Roman"/>
          <w:smallCaps/>
          <w:sz w:val="24"/>
          <w:szCs w:val="24"/>
        </w:rPr>
      </w:pPr>
    </w:p>
    <w:p w14:paraId="13B28E82"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E. D. Howe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Art and Culture at the Sistine Court. Platina’s Life of Sixtus IV and the Frescos of the Hospital of Santo Spirito</w:t>
      </w:r>
      <w:r w:rsidRPr="00BA2DBB">
        <w:rPr>
          <w:rFonts w:ascii="Times New Roman" w:hAnsi="Times New Roman" w:cs="Times New Roman"/>
          <w:sz w:val="24"/>
          <w:szCs w:val="24"/>
        </w:rPr>
        <w:t>, Città del Vaticano, Biblioteca Apostolica Vaticana, 2005.</w:t>
      </w:r>
    </w:p>
    <w:p w14:paraId="4411CFCB" w14:textId="77777777" w:rsidR="00796A9D" w:rsidRDefault="00796A9D" w:rsidP="00796A9D">
      <w:pPr>
        <w:spacing w:after="0"/>
        <w:jc w:val="both"/>
        <w:rPr>
          <w:rFonts w:ascii="Times New Roman" w:hAnsi="Times New Roman" w:cs="Times New Roman"/>
          <w:smallCaps/>
          <w:sz w:val="24"/>
          <w:szCs w:val="24"/>
          <w:lang w:val="en-US"/>
        </w:rPr>
      </w:pPr>
    </w:p>
    <w:p w14:paraId="7A5D6BEB"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lang w:val="en-US"/>
        </w:rPr>
        <w:t>G. Ianziti</w:t>
      </w:r>
      <w:r w:rsidRPr="00BA2DBB">
        <w:rPr>
          <w:rFonts w:ascii="Times New Roman" w:hAnsi="Times New Roman" w:cs="Times New Roman"/>
          <w:sz w:val="24"/>
          <w:szCs w:val="24"/>
          <w:lang w:val="en-US"/>
        </w:rPr>
        <w:t xml:space="preserve">, </w:t>
      </w:r>
      <w:r w:rsidRPr="00BA2DBB">
        <w:rPr>
          <w:rFonts w:ascii="Times New Roman" w:hAnsi="Times New Roman" w:cs="Times New Roman"/>
          <w:i/>
          <w:sz w:val="24"/>
          <w:szCs w:val="24"/>
          <w:lang w:val="en-US"/>
        </w:rPr>
        <w:t>Humanistic Historiography under the Sforza. Politics and Propaganda in Fifteenth-Century Milan</w:t>
      </w:r>
      <w:r w:rsidRPr="00BA2DBB">
        <w:rPr>
          <w:rFonts w:ascii="Times New Roman" w:hAnsi="Times New Roman" w:cs="Times New Roman"/>
          <w:sz w:val="24"/>
          <w:szCs w:val="24"/>
          <w:lang w:val="en-US"/>
        </w:rPr>
        <w:t>, Oxford, Clarendon Press, 1988.</w:t>
      </w:r>
    </w:p>
    <w:p w14:paraId="6D021A05" w14:textId="77777777" w:rsidR="00796A9D" w:rsidRDefault="00796A9D" w:rsidP="00796A9D">
      <w:pPr>
        <w:spacing w:after="0"/>
        <w:jc w:val="both"/>
        <w:rPr>
          <w:rFonts w:ascii="Times New Roman" w:hAnsi="Times New Roman" w:cs="Times New Roman"/>
          <w:smallCaps/>
          <w:sz w:val="24"/>
          <w:szCs w:val="24"/>
        </w:rPr>
      </w:pPr>
    </w:p>
    <w:p w14:paraId="04AD1134"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Ianziti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Storici, mandanti, materiali nella Milano Sforzesca, 1450-1480</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Il principe e la Storia</w:t>
      </w:r>
      <w:r w:rsidRPr="00BA2DBB">
        <w:rPr>
          <w:rFonts w:ascii="Times New Roman" w:hAnsi="Times New Roman" w:cs="Times New Roman"/>
          <w:sz w:val="24"/>
          <w:szCs w:val="24"/>
        </w:rPr>
        <w:t xml:space="preserve">, Atti del convegno (Scandiano 18-20 settembre 2003), a cura di </w:t>
      </w:r>
      <w:r w:rsidRPr="00BA2DBB">
        <w:rPr>
          <w:rFonts w:ascii="Times New Roman" w:hAnsi="Times New Roman" w:cs="Times New Roman"/>
          <w:smallCaps/>
          <w:sz w:val="24"/>
          <w:szCs w:val="24"/>
        </w:rPr>
        <w:t>T. Matarrese, C. Montagnani</w:t>
      </w:r>
      <w:r w:rsidRPr="00BA2DBB">
        <w:rPr>
          <w:rFonts w:ascii="Times New Roman" w:hAnsi="Times New Roman" w:cs="Times New Roman"/>
          <w:sz w:val="24"/>
          <w:szCs w:val="24"/>
        </w:rPr>
        <w:t>, Novara, Interlinea, 2005, pp. 465-486.</w:t>
      </w:r>
    </w:p>
    <w:p w14:paraId="7E79B434" w14:textId="77777777" w:rsidR="00796A9D" w:rsidRDefault="00796A9D" w:rsidP="00796A9D">
      <w:pPr>
        <w:spacing w:after="0"/>
        <w:jc w:val="both"/>
        <w:rPr>
          <w:rFonts w:ascii="Times New Roman" w:hAnsi="Times New Roman" w:cs="Times New Roman"/>
          <w:i/>
          <w:sz w:val="24"/>
          <w:szCs w:val="24"/>
        </w:rPr>
      </w:pPr>
    </w:p>
    <w:p w14:paraId="1E033790"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i/>
          <w:sz w:val="24"/>
          <w:szCs w:val="24"/>
        </w:rPr>
        <w:t>Iconografia di Siena. Rappresentazione della città dal XIII al XIX secolo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R. Barzanti, A. Cornice, E. Pellegrini</w:t>
      </w:r>
      <w:r w:rsidRPr="00BA2DBB">
        <w:rPr>
          <w:rFonts w:ascii="Times New Roman" w:hAnsi="Times New Roman" w:cs="Times New Roman"/>
          <w:sz w:val="24"/>
          <w:szCs w:val="24"/>
        </w:rPr>
        <w:t>, Siena, Monte dei Paschi di Siena, 2008.</w:t>
      </w:r>
    </w:p>
    <w:p w14:paraId="7C774EC6" w14:textId="77777777" w:rsidR="00796A9D" w:rsidRDefault="00796A9D" w:rsidP="00796A9D">
      <w:pPr>
        <w:spacing w:after="0"/>
        <w:jc w:val="both"/>
        <w:rPr>
          <w:rFonts w:ascii="Times New Roman" w:hAnsi="Times New Roman" w:cs="Times New Roman"/>
          <w:i/>
          <w:sz w:val="24"/>
          <w:szCs w:val="24"/>
        </w:rPr>
      </w:pPr>
    </w:p>
    <w:p w14:paraId="0815FC5E" w14:textId="77777777" w:rsidR="00796A9D" w:rsidRPr="00FA26AB" w:rsidRDefault="00796A9D" w:rsidP="00796A9D">
      <w:pPr>
        <w:spacing w:after="0"/>
        <w:jc w:val="both"/>
        <w:rPr>
          <w:rFonts w:ascii="Times New Roman" w:hAnsi="Times New Roman" w:cs="Times New Roman"/>
          <w:i/>
          <w:sz w:val="24"/>
          <w:szCs w:val="24"/>
        </w:rPr>
      </w:pPr>
      <w:r w:rsidRPr="00FA26AB">
        <w:rPr>
          <w:rFonts w:ascii="Times New Roman" w:hAnsi="Times New Roman" w:cs="Times New Roman"/>
          <w:i/>
          <w:sz w:val="24"/>
          <w:szCs w:val="24"/>
        </w:rPr>
        <w:t>Il Codice B (2173) dell'Istituto di Francia integrato dal Codice Ashburnham 2037</w:t>
      </w:r>
      <w:r w:rsidRPr="00FA26AB">
        <w:rPr>
          <w:rFonts w:ascii="Times New Roman" w:hAnsi="Times New Roman" w:cs="Times New Roman"/>
          <w:sz w:val="24"/>
          <w:szCs w:val="24"/>
        </w:rPr>
        <w:t>, Perugia, ARS, 2003.</w:t>
      </w:r>
    </w:p>
    <w:p w14:paraId="4E7F4E21" w14:textId="77777777" w:rsidR="00796A9D" w:rsidRDefault="00796A9D" w:rsidP="00796A9D">
      <w:pPr>
        <w:spacing w:after="0"/>
        <w:jc w:val="both"/>
        <w:rPr>
          <w:rFonts w:ascii="Times New Roman" w:hAnsi="Times New Roman" w:cs="Times New Roman"/>
          <w:i/>
          <w:sz w:val="24"/>
          <w:szCs w:val="24"/>
        </w:rPr>
      </w:pPr>
    </w:p>
    <w:p w14:paraId="04E539BC"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i/>
          <w:sz w:val="24"/>
          <w:szCs w:val="24"/>
        </w:rPr>
        <w:t>Il Leggendario Sforza-Savoia. Ms. Varia 124 della Biblioteca Reale di Torino</w:t>
      </w:r>
      <w:r w:rsidRPr="00BA2DBB">
        <w:rPr>
          <w:rFonts w:ascii="Times New Roman" w:hAnsi="Times New Roman" w:cs="Times New Roman"/>
          <w:sz w:val="24"/>
          <w:szCs w:val="24"/>
        </w:rPr>
        <w:t xml:space="preserve">, volume di commento al facsimile, a cura di </w:t>
      </w:r>
      <w:r w:rsidRPr="00BA2DBB">
        <w:rPr>
          <w:rFonts w:ascii="Times New Roman" w:hAnsi="Times New Roman" w:cs="Times New Roman"/>
          <w:smallCaps/>
          <w:sz w:val="24"/>
          <w:szCs w:val="24"/>
        </w:rPr>
        <w:t>P.L. Mulas</w:t>
      </w:r>
      <w:r w:rsidRPr="00BA2DBB">
        <w:rPr>
          <w:rFonts w:ascii="Times New Roman" w:hAnsi="Times New Roman" w:cs="Times New Roman"/>
          <w:sz w:val="24"/>
          <w:szCs w:val="24"/>
        </w:rPr>
        <w:t>, Modena, Franco Cosimo Panini, 2013.</w:t>
      </w:r>
    </w:p>
    <w:p w14:paraId="68E48A6E" w14:textId="77777777" w:rsidR="00796A9D" w:rsidRDefault="00796A9D" w:rsidP="00796A9D">
      <w:pPr>
        <w:spacing w:after="0"/>
        <w:jc w:val="both"/>
        <w:rPr>
          <w:rFonts w:ascii="Times New Roman" w:hAnsi="Times New Roman" w:cs="Times New Roman"/>
          <w:i/>
          <w:sz w:val="24"/>
          <w:szCs w:val="24"/>
        </w:rPr>
      </w:pPr>
    </w:p>
    <w:p w14:paraId="229F9373"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i/>
          <w:sz w:val="24"/>
          <w:szCs w:val="24"/>
        </w:rPr>
        <w:t>Il messale di Barbara Gonzaga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Pastore, G. Manzoli,</w:t>
      </w:r>
      <w:r w:rsidRPr="00BA2DBB">
        <w:rPr>
          <w:rFonts w:ascii="Times New Roman" w:hAnsi="Times New Roman" w:cs="Times New Roman"/>
          <w:sz w:val="24"/>
          <w:szCs w:val="24"/>
        </w:rPr>
        <w:t xml:space="preserve"> Mantova, Fasoli, 2008.</w:t>
      </w:r>
    </w:p>
    <w:p w14:paraId="5EE8756C" w14:textId="77777777" w:rsidR="002F5D67" w:rsidRDefault="002F5D67" w:rsidP="00796A9D">
      <w:pPr>
        <w:spacing w:after="0"/>
        <w:jc w:val="both"/>
        <w:rPr>
          <w:rFonts w:ascii="Times New Roman" w:hAnsi="Times New Roman" w:cs="Times New Roman"/>
          <w:sz w:val="24"/>
          <w:szCs w:val="24"/>
        </w:rPr>
      </w:pPr>
    </w:p>
    <w:p w14:paraId="16ED977D" w14:textId="77777777" w:rsidR="002F5D67" w:rsidRPr="002F5D67" w:rsidRDefault="002F5D67" w:rsidP="00796A9D">
      <w:pPr>
        <w:spacing w:after="0"/>
        <w:jc w:val="both"/>
        <w:rPr>
          <w:rFonts w:ascii="Times New Roman" w:hAnsi="Times New Roman" w:cs="Times New Roman"/>
          <w:sz w:val="24"/>
          <w:szCs w:val="24"/>
        </w:rPr>
      </w:pPr>
      <w:r w:rsidRPr="002F5D67">
        <w:rPr>
          <w:rFonts w:ascii="Times New Roman" w:hAnsi="Times New Roman" w:cs="Times New Roman"/>
          <w:i/>
          <w:sz w:val="24"/>
          <w:szCs w:val="24"/>
        </w:rPr>
        <w:t>Il teatro italiano. La commedia del Cinquecento</w:t>
      </w:r>
      <w:r w:rsidRPr="002F5D67">
        <w:rPr>
          <w:rFonts w:ascii="Times New Roman" w:hAnsi="Times New Roman" w:cs="Times New Roman"/>
          <w:sz w:val="24"/>
          <w:szCs w:val="24"/>
        </w:rPr>
        <w:t xml:space="preserve">, a cura di </w:t>
      </w:r>
      <w:r w:rsidRPr="002F5D67">
        <w:rPr>
          <w:rFonts w:ascii="Times New Roman" w:hAnsi="Times New Roman" w:cs="Times New Roman"/>
          <w:smallCaps/>
          <w:sz w:val="24"/>
          <w:szCs w:val="24"/>
        </w:rPr>
        <w:t>G. Davico Bonino</w:t>
      </w:r>
      <w:r w:rsidRPr="002F5D67">
        <w:rPr>
          <w:rFonts w:ascii="Times New Roman" w:hAnsi="Times New Roman" w:cs="Times New Roman"/>
          <w:sz w:val="24"/>
          <w:szCs w:val="24"/>
        </w:rPr>
        <w:t>, Torino, Einaudi, 1985</w:t>
      </w:r>
      <w:r>
        <w:rPr>
          <w:rFonts w:ascii="Times New Roman" w:hAnsi="Times New Roman" w:cs="Times New Roman"/>
          <w:sz w:val="24"/>
          <w:szCs w:val="24"/>
        </w:rPr>
        <w:t>.</w:t>
      </w:r>
    </w:p>
    <w:p w14:paraId="33D9556D" w14:textId="77777777" w:rsidR="00796A9D" w:rsidRDefault="00796A9D" w:rsidP="00796A9D">
      <w:pPr>
        <w:spacing w:after="0"/>
        <w:jc w:val="both"/>
        <w:rPr>
          <w:rFonts w:ascii="Times New Roman" w:hAnsi="Times New Roman" w:cs="Times New Roman"/>
          <w:sz w:val="24"/>
          <w:szCs w:val="24"/>
        </w:rPr>
      </w:pPr>
    </w:p>
    <w:p w14:paraId="33AF0739" w14:textId="77777777" w:rsidR="00796A9D" w:rsidRDefault="00796A9D" w:rsidP="00796A9D">
      <w:pPr>
        <w:spacing w:after="0"/>
        <w:jc w:val="both"/>
        <w:rPr>
          <w:rFonts w:ascii="Times New Roman" w:hAnsi="Times New Roman" w:cs="Times New Roman"/>
          <w:sz w:val="24"/>
          <w:szCs w:val="24"/>
        </w:rPr>
      </w:pPr>
      <w:r w:rsidRPr="00461429">
        <w:rPr>
          <w:rFonts w:ascii="Times New Roman" w:hAnsi="Times New Roman" w:cs="Times New Roman"/>
          <w:i/>
          <w:sz w:val="24"/>
          <w:szCs w:val="24"/>
        </w:rPr>
        <w:t>I manoscritti della Biblioteca Riccardiana di Firenze</w:t>
      </w:r>
      <w:r w:rsidRPr="00461429">
        <w:rPr>
          <w:rFonts w:ascii="Times New Roman" w:hAnsi="Times New Roman" w:cs="Times New Roman"/>
          <w:sz w:val="24"/>
          <w:szCs w:val="24"/>
        </w:rPr>
        <w:t xml:space="preserve">, a cura di </w:t>
      </w:r>
      <w:r w:rsidRPr="00461429">
        <w:rPr>
          <w:rFonts w:ascii="Times New Roman" w:hAnsi="Times New Roman" w:cs="Times New Roman"/>
          <w:smallCaps/>
          <w:sz w:val="24"/>
          <w:szCs w:val="24"/>
        </w:rPr>
        <w:t>T. De Robertis, R. Miriello</w:t>
      </w:r>
      <w:r w:rsidRPr="00461429">
        <w:rPr>
          <w:rFonts w:ascii="Times New Roman" w:hAnsi="Times New Roman" w:cs="Times New Roman"/>
          <w:sz w:val="24"/>
          <w:szCs w:val="24"/>
        </w:rPr>
        <w:t>, Firenze, SISMEL-Galluzzo, 2013.</w:t>
      </w:r>
    </w:p>
    <w:p w14:paraId="5CB4DA44" w14:textId="77777777" w:rsidR="00796A9D" w:rsidRDefault="00796A9D" w:rsidP="00796A9D">
      <w:pPr>
        <w:spacing w:after="0"/>
        <w:jc w:val="both"/>
        <w:rPr>
          <w:rFonts w:ascii="Times New Roman" w:hAnsi="Times New Roman" w:cs="Times New Roman"/>
          <w:sz w:val="24"/>
          <w:szCs w:val="24"/>
        </w:rPr>
      </w:pPr>
    </w:p>
    <w:p w14:paraId="21264443" w14:textId="77777777" w:rsidR="00796A9D" w:rsidRPr="00003142" w:rsidRDefault="00796A9D" w:rsidP="00796A9D">
      <w:pPr>
        <w:pStyle w:val="Testonotaapidipagina"/>
        <w:jc w:val="both"/>
        <w:rPr>
          <w:rFonts w:ascii="Times New Roman" w:hAnsi="Times New Roman" w:cs="Times New Roman"/>
          <w:sz w:val="24"/>
          <w:szCs w:val="24"/>
        </w:rPr>
      </w:pPr>
      <w:r w:rsidRPr="00003142">
        <w:rPr>
          <w:rFonts w:ascii="Times New Roman" w:hAnsi="Times New Roman" w:cs="Times New Roman"/>
          <w:smallCaps/>
          <w:sz w:val="24"/>
          <w:szCs w:val="24"/>
        </w:rPr>
        <w:t>J. Imorde,</w:t>
      </w:r>
      <w:r w:rsidRPr="00003142">
        <w:rPr>
          <w:rFonts w:ascii="Times New Roman" w:hAnsi="Times New Roman" w:cs="Times New Roman"/>
          <w:sz w:val="24"/>
          <w:szCs w:val="24"/>
        </w:rPr>
        <w:t xml:space="preserve"> </w:t>
      </w:r>
      <w:r w:rsidRPr="00003142">
        <w:rPr>
          <w:rFonts w:ascii="Times New Roman" w:hAnsi="Times New Roman" w:cs="Times New Roman"/>
          <w:i/>
          <w:sz w:val="24"/>
          <w:szCs w:val="24"/>
        </w:rPr>
        <w:t>Edible prestige</w:t>
      </w:r>
      <w:r w:rsidRPr="00003142">
        <w:rPr>
          <w:rFonts w:ascii="Times New Roman" w:hAnsi="Times New Roman" w:cs="Times New Roman"/>
          <w:sz w:val="24"/>
          <w:szCs w:val="24"/>
        </w:rPr>
        <w:t xml:space="preserve">, in </w:t>
      </w:r>
      <w:r w:rsidRPr="00003142">
        <w:rPr>
          <w:rFonts w:ascii="Times New Roman" w:hAnsi="Times New Roman" w:cs="Times New Roman"/>
          <w:i/>
          <w:sz w:val="24"/>
          <w:szCs w:val="24"/>
        </w:rPr>
        <w:t>The Edible Monument. The Art of Food for Festivals</w:t>
      </w:r>
      <w:r w:rsidRPr="00003142">
        <w:rPr>
          <w:rFonts w:ascii="Times New Roman" w:hAnsi="Times New Roman" w:cs="Times New Roman"/>
          <w:sz w:val="24"/>
          <w:szCs w:val="24"/>
        </w:rPr>
        <w:t xml:space="preserve">, edited by </w:t>
      </w:r>
      <w:r w:rsidRPr="00003142">
        <w:rPr>
          <w:rFonts w:ascii="Times New Roman" w:hAnsi="Times New Roman" w:cs="Times New Roman"/>
          <w:smallCaps/>
          <w:sz w:val="24"/>
          <w:szCs w:val="24"/>
        </w:rPr>
        <w:t>M. Reed</w:t>
      </w:r>
      <w:r w:rsidRPr="00003142">
        <w:rPr>
          <w:rFonts w:ascii="Times New Roman" w:hAnsi="Times New Roman" w:cs="Times New Roman"/>
          <w:sz w:val="24"/>
          <w:szCs w:val="24"/>
        </w:rPr>
        <w:t xml:space="preserve">, Los Angeles, Getty Research Istitute, 2015, pp. 101-125. </w:t>
      </w:r>
    </w:p>
    <w:p w14:paraId="541584D9" w14:textId="77777777" w:rsidR="00796A9D" w:rsidRDefault="00796A9D" w:rsidP="00796A9D">
      <w:pPr>
        <w:spacing w:after="0"/>
        <w:jc w:val="both"/>
        <w:rPr>
          <w:rFonts w:ascii="Times New Roman" w:hAnsi="Times New Roman" w:cs="Times New Roman"/>
          <w:sz w:val="24"/>
          <w:szCs w:val="24"/>
        </w:rPr>
      </w:pPr>
    </w:p>
    <w:p w14:paraId="58964FBF" w14:textId="77777777" w:rsidR="00796A9D" w:rsidRDefault="00796A9D" w:rsidP="00796A9D">
      <w:pPr>
        <w:spacing w:after="0"/>
        <w:jc w:val="both"/>
        <w:rPr>
          <w:rFonts w:ascii="Times New Roman" w:eastAsia="Times New Roman" w:hAnsi="Times New Roman" w:cs="Times New Roman"/>
          <w:color w:val="333333"/>
          <w:sz w:val="24"/>
          <w:szCs w:val="24"/>
          <w:shd w:val="clear" w:color="auto" w:fill="FFFFFF"/>
          <w:lang w:eastAsia="it-IT"/>
        </w:rPr>
      </w:pPr>
      <w:r w:rsidRPr="002D687E">
        <w:rPr>
          <w:rFonts w:ascii="Times New Roman" w:eastAsia="Times New Roman" w:hAnsi="Times New Roman" w:cs="Times New Roman"/>
          <w:i/>
          <w:sz w:val="24"/>
          <w:szCs w:val="24"/>
          <w:shd w:val="clear" w:color="auto" w:fill="FFFFFF"/>
          <w:lang w:eastAsia="it-IT"/>
        </w:rPr>
        <w:t>Indice</w:t>
      </w:r>
      <w:r w:rsidRPr="002D687E">
        <w:rPr>
          <w:rFonts w:ascii="Times New Roman" w:eastAsia="Times New Roman" w:hAnsi="Times New Roman" w:cs="Times New Roman"/>
          <w:sz w:val="24"/>
          <w:szCs w:val="24"/>
          <w:shd w:val="clear" w:color="auto" w:fill="FFFFFF"/>
          <w:lang w:eastAsia="it-IT"/>
        </w:rPr>
        <w:t xml:space="preserve"> </w:t>
      </w:r>
      <w:r w:rsidRPr="002D687E">
        <w:rPr>
          <w:rFonts w:ascii="Times New Roman" w:eastAsia="Times New Roman" w:hAnsi="Times New Roman" w:cs="Times New Roman"/>
          <w:i/>
          <w:sz w:val="24"/>
          <w:szCs w:val="24"/>
          <w:shd w:val="clear" w:color="auto" w:fill="FFFFFF"/>
          <w:lang w:eastAsia="it-IT"/>
        </w:rPr>
        <w:t>biografico italiano</w:t>
      </w:r>
      <w:r w:rsidRPr="002D687E">
        <w:rPr>
          <w:rFonts w:ascii="Times New Roman" w:eastAsia="Times New Roman" w:hAnsi="Times New Roman" w:cs="Times New Roman"/>
          <w:sz w:val="24"/>
          <w:szCs w:val="24"/>
          <w:shd w:val="clear" w:color="auto" w:fill="FFFFFF"/>
          <w:lang w:eastAsia="it-IT"/>
        </w:rPr>
        <w:t xml:space="preserve">, a cura di </w:t>
      </w:r>
      <w:r w:rsidRPr="002D687E">
        <w:rPr>
          <w:rFonts w:ascii="Times New Roman" w:eastAsia="Times New Roman" w:hAnsi="Times New Roman" w:cs="Times New Roman"/>
          <w:smallCaps/>
          <w:sz w:val="24"/>
          <w:szCs w:val="24"/>
          <w:shd w:val="clear" w:color="auto" w:fill="FFFFFF"/>
          <w:lang w:eastAsia="it-IT"/>
        </w:rPr>
        <w:t>T. Nappo</w:t>
      </w:r>
      <w:r w:rsidRPr="002D687E">
        <w:rPr>
          <w:rFonts w:ascii="Times New Roman" w:eastAsia="Times New Roman" w:hAnsi="Times New Roman" w:cs="Times New Roman"/>
          <w:sz w:val="24"/>
          <w:szCs w:val="24"/>
          <w:shd w:val="clear" w:color="auto" w:fill="FFFFFF"/>
          <w:lang w:eastAsia="it-IT"/>
        </w:rPr>
        <w:t>, Monaco, K.G. Saur Verlag, 2007</w:t>
      </w:r>
      <w:r w:rsidRPr="002D687E">
        <w:rPr>
          <w:rFonts w:ascii="Times New Roman" w:eastAsia="Times New Roman" w:hAnsi="Times New Roman" w:cs="Times New Roman"/>
          <w:color w:val="333333"/>
          <w:sz w:val="24"/>
          <w:szCs w:val="24"/>
          <w:shd w:val="clear" w:color="auto" w:fill="FFFFFF"/>
          <w:lang w:eastAsia="it-IT"/>
        </w:rPr>
        <w:t xml:space="preserve">. </w:t>
      </w:r>
    </w:p>
    <w:p w14:paraId="197E4734" w14:textId="77777777" w:rsidR="00796A9D" w:rsidRDefault="00796A9D" w:rsidP="00796A9D">
      <w:pPr>
        <w:spacing w:after="0"/>
        <w:jc w:val="both"/>
        <w:rPr>
          <w:rFonts w:ascii="Times New Roman" w:hAnsi="Times New Roman" w:cs="Times New Roman"/>
          <w:sz w:val="24"/>
          <w:szCs w:val="24"/>
        </w:rPr>
      </w:pPr>
    </w:p>
    <w:p w14:paraId="1C7E5030" w14:textId="77777777" w:rsidR="00796A9D" w:rsidRPr="003F1681" w:rsidRDefault="00796A9D" w:rsidP="00796A9D">
      <w:pPr>
        <w:spacing w:after="0"/>
        <w:jc w:val="both"/>
        <w:rPr>
          <w:rFonts w:ascii="Times New Roman" w:hAnsi="Times New Roman" w:cs="Times New Roman"/>
          <w:sz w:val="24"/>
          <w:szCs w:val="24"/>
        </w:rPr>
      </w:pPr>
      <w:r w:rsidRPr="003F1681">
        <w:rPr>
          <w:rFonts w:ascii="Times New Roman" w:hAnsi="Times New Roman"/>
          <w:sz w:val="24"/>
          <w:szCs w:val="24"/>
        </w:rPr>
        <w:t xml:space="preserve">D. </w:t>
      </w:r>
      <w:r w:rsidRPr="003F1681">
        <w:rPr>
          <w:rFonts w:ascii="Times New Roman" w:hAnsi="Times New Roman"/>
          <w:smallCaps/>
          <w:sz w:val="24"/>
          <w:szCs w:val="24"/>
        </w:rPr>
        <w:t>Isella</w:t>
      </w:r>
      <w:r w:rsidRPr="003F1681">
        <w:rPr>
          <w:rFonts w:ascii="Times New Roman" w:hAnsi="Times New Roman"/>
          <w:sz w:val="24"/>
          <w:szCs w:val="24"/>
        </w:rPr>
        <w:t xml:space="preserve">, </w:t>
      </w:r>
      <w:r w:rsidRPr="003F1681">
        <w:rPr>
          <w:rFonts w:ascii="Times New Roman" w:hAnsi="Times New Roman"/>
          <w:i/>
          <w:sz w:val="24"/>
          <w:szCs w:val="24"/>
        </w:rPr>
        <w:t>Lo sperimentalismo dialettale di Lancino Curzio e compagni</w:t>
      </w:r>
      <w:r w:rsidRPr="003F1681">
        <w:rPr>
          <w:rFonts w:ascii="Times New Roman" w:hAnsi="Times New Roman"/>
          <w:sz w:val="24"/>
          <w:szCs w:val="24"/>
        </w:rPr>
        <w:t xml:space="preserve">, in </w:t>
      </w:r>
      <w:r w:rsidRPr="003F1681">
        <w:rPr>
          <w:rFonts w:ascii="Times New Roman" w:hAnsi="Times New Roman"/>
          <w:i/>
          <w:sz w:val="24"/>
          <w:szCs w:val="24"/>
        </w:rPr>
        <w:t>In ricordo di Cesare Angelini, studi di letteratura e filologia,</w:t>
      </w:r>
      <w:r w:rsidRPr="003F1681">
        <w:rPr>
          <w:rFonts w:ascii="Times New Roman" w:hAnsi="Times New Roman"/>
          <w:sz w:val="24"/>
          <w:szCs w:val="24"/>
        </w:rPr>
        <w:t xml:space="preserve"> a cura di </w:t>
      </w:r>
      <w:r w:rsidRPr="003F1681">
        <w:rPr>
          <w:rFonts w:ascii="Times New Roman" w:hAnsi="Times New Roman"/>
          <w:smallCaps/>
          <w:sz w:val="24"/>
          <w:szCs w:val="24"/>
        </w:rPr>
        <w:t>F. Alessio</w:t>
      </w:r>
      <w:r w:rsidRPr="003F1681">
        <w:rPr>
          <w:rFonts w:ascii="Times New Roman" w:hAnsi="Times New Roman"/>
          <w:sz w:val="24"/>
          <w:szCs w:val="24"/>
        </w:rPr>
        <w:t xml:space="preserve"> e </w:t>
      </w:r>
      <w:r w:rsidRPr="003F1681">
        <w:rPr>
          <w:rFonts w:ascii="Times New Roman" w:hAnsi="Times New Roman"/>
          <w:smallCaps/>
          <w:sz w:val="24"/>
          <w:szCs w:val="24"/>
        </w:rPr>
        <w:t>A. Stella</w:t>
      </w:r>
      <w:r w:rsidRPr="003F1681">
        <w:rPr>
          <w:rFonts w:ascii="Times New Roman" w:hAnsi="Times New Roman"/>
          <w:sz w:val="24"/>
          <w:szCs w:val="24"/>
        </w:rPr>
        <w:t>, Milano, Il Saggiatore, 1979, pp. 146-159.</w:t>
      </w:r>
      <w:r w:rsidRPr="003F1681">
        <w:rPr>
          <w:rFonts w:ascii="Times New Roman" w:hAnsi="Times New Roman" w:cs="Times New Roman"/>
          <w:sz w:val="24"/>
          <w:szCs w:val="24"/>
        </w:rPr>
        <w:t xml:space="preserve"> </w:t>
      </w:r>
    </w:p>
    <w:p w14:paraId="34D7010D" w14:textId="77777777" w:rsidR="00796A9D" w:rsidRDefault="00796A9D" w:rsidP="00796A9D">
      <w:pPr>
        <w:spacing w:after="0"/>
        <w:jc w:val="both"/>
        <w:rPr>
          <w:rFonts w:ascii="Times New Roman" w:hAnsi="Times New Roman" w:cs="Times New Roman"/>
          <w:sz w:val="24"/>
          <w:szCs w:val="24"/>
        </w:rPr>
      </w:pPr>
    </w:p>
    <w:p w14:paraId="375031BB" w14:textId="77777777" w:rsidR="00796A9D" w:rsidRPr="00692B85" w:rsidRDefault="00796A9D" w:rsidP="00796A9D">
      <w:pPr>
        <w:spacing w:after="0"/>
        <w:jc w:val="both"/>
        <w:rPr>
          <w:rFonts w:ascii="Times New Roman" w:hAnsi="Times New Roman" w:cs="Times New Roman"/>
          <w:sz w:val="24"/>
          <w:szCs w:val="24"/>
        </w:rPr>
      </w:pPr>
      <w:r w:rsidRPr="00692B85">
        <w:rPr>
          <w:rFonts w:ascii="Times New Roman" w:hAnsi="Times New Roman" w:cs="Times New Roman"/>
          <w:smallCaps/>
          <w:sz w:val="24"/>
          <w:szCs w:val="24"/>
        </w:rPr>
        <w:t>C. James</w:t>
      </w:r>
      <w:r w:rsidRPr="00692B85">
        <w:rPr>
          <w:rFonts w:ascii="Times New Roman" w:hAnsi="Times New Roman" w:cs="Times New Roman"/>
          <w:sz w:val="24"/>
          <w:szCs w:val="24"/>
        </w:rPr>
        <w:t xml:space="preserve">, </w:t>
      </w:r>
      <w:r w:rsidRPr="00692B85">
        <w:rPr>
          <w:rFonts w:ascii="Times New Roman" w:hAnsi="Times New Roman" w:cs="Times New Roman"/>
          <w:i/>
          <w:sz w:val="24"/>
          <w:szCs w:val="24"/>
        </w:rPr>
        <w:t>Giovanni Sabadino degli Arienti. A Literary Career</w:t>
      </w:r>
      <w:r w:rsidRPr="00692B85">
        <w:rPr>
          <w:rFonts w:ascii="Times New Roman" w:hAnsi="Times New Roman" w:cs="Times New Roman"/>
          <w:sz w:val="24"/>
          <w:szCs w:val="24"/>
        </w:rPr>
        <w:t>, Firenze, Olschki, 1996.</w:t>
      </w:r>
    </w:p>
    <w:p w14:paraId="1A909CE4" w14:textId="77777777" w:rsidR="00796A9D" w:rsidRDefault="00796A9D" w:rsidP="00796A9D">
      <w:pPr>
        <w:spacing w:after="0"/>
        <w:jc w:val="both"/>
        <w:rPr>
          <w:rFonts w:ascii="Times New Roman" w:hAnsi="Times New Roman" w:cs="Times New Roman"/>
          <w:i/>
          <w:sz w:val="24"/>
          <w:szCs w:val="24"/>
        </w:rPr>
      </w:pPr>
    </w:p>
    <w:p w14:paraId="38DF9505" w14:textId="77777777" w:rsidR="00796A9D" w:rsidRDefault="00796A9D" w:rsidP="00796A9D">
      <w:pPr>
        <w:pStyle w:val="Testonotaapidipagina"/>
        <w:jc w:val="both"/>
        <w:rPr>
          <w:rFonts w:ascii="Times New Roman" w:hAnsi="Times New Roman" w:cs="Times New Roman"/>
          <w:sz w:val="24"/>
          <w:szCs w:val="24"/>
        </w:rPr>
      </w:pPr>
      <w:r w:rsidRPr="002E5247">
        <w:rPr>
          <w:rFonts w:ascii="Times New Roman" w:hAnsi="Times New Roman" w:cs="Times New Roman"/>
          <w:smallCaps/>
          <w:sz w:val="24"/>
          <w:szCs w:val="24"/>
        </w:rPr>
        <w:t>C. James</w:t>
      </w:r>
      <w:r w:rsidRPr="002E5247">
        <w:rPr>
          <w:rFonts w:ascii="Times New Roman" w:hAnsi="Times New Roman" w:cs="Times New Roman"/>
          <w:sz w:val="24"/>
          <w:szCs w:val="24"/>
        </w:rPr>
        <w:t xml:space="preserve">, </w:t>
      </w:r>
      <w:r w:rsidRPr="002E5247">
        <w:rPr>
          <w:rFonts w:ascii="Times New Roman" w:hAnsi="Times New Roman" w:cs="Times New Roman"/>
          <w:i/>
          <w:sz w:val="24"/>
          <w:szCs w:val="24"/>
        </w:rPr>
        <w:t>The Letters of Giovanni Sabadino degli Arienti</w:t>
      </w:r>
      <w:r w:rsidRPr="002E5247">
        <w:rPr>
          <w:rFonts w:ascii="Times New Roman" w:hAnsi="Times New Roman" w:cs="Times New Roman"/>
          <w:sz w:val="24"/>
          <w:szCs w:val="24"/>
        </w:rPr>
        <w:t>, Firenze, Olschki, 2002.</w:t>
      </w:r>
    </w:p>
    <w:p w14:paraId="7464B183" w14:textId="77777777" w:rsidR="00796A9D" w:rsidRDefault="00796A9D" w:rsidP="00796A9D">
      <w:pPr>
        <w:pStyle w:val="Testonotaapidipagina"/>
        <w:jc w:val="both"/>
        <w:rPr>
          <w:rFonts w:ascii="Times New Roman" w:hAnsi="Times New Roman" w:cs="Times New Roman"/>
          <w:sz w:val="24"/>
          <w:szCs w:val="24"/>
        </w:rPr>
      </w:pPr>
    </w:p>
    <w:p w14:paraId="55FAE07B"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lang w:val="en-US"/>
        </w:rPr>
        <w:t>O. Karsay</w:t>
      </w:r>
      <w:r w:rsidRPr="00BA2DBB">
        <w:rPr>
          <w:rFonts w:ascii="Times New Roman" w:hAnsi="Times New Roman" w:cs="Times New Roman"/>
          <w:sz w:val="24"/>
          <w:szCs w:val="24"/>
          <w:lang w:val="en-US"/>
        </w:rPr>
        <w:t xml:space="preserve">, </w:t>
      </w:r>
      <w:r w:rsidRPr="00BA2DBB">
        <w:rPr>
          <w:rFonts w:ascii="Times New Roman" w:hAnsi="Times New Roman" w:cs="Times New Roman"/>
          <w:i/>
          <w:sz w:val="24"/>
          <w:szCs w:val="24"/>
          <w:lang w:val="en-US"/>
        </w:rPr>
        <w:t>De laudibus Augustae Bibliothecae</w:t>
      </w:r>
      <w:r w:rsidRPr="00BA2DBB">
        <w:rPr>
          <w:rFonts w:ascii="Times New Roman" w:hAnsi="Times New Roman" w:cs="Times New Roman"/>
          <w:sz w:val="24"/>
          <w:szCs w:val="24"/>
          <w:lang w:val="en-US"/>
        </w:rPr>
        <w:t>, «The New Hungarian Quarterly», XXXII, 1991, pp. 139- 145.</w:t>
      </w:r>
    </w:p>
    <w:p w14:paraId="1482AC1F" w14:textId="77777777" w:rsidR="00796A9D" w:rsidRDefault="00796A9D" w:rsidP="00796A9D">
      <w:pPr>
        <w:pStyle w:val="Testonotaapidipagina"/>
        <w:jc w:val="both"/>
        <w:rPr>
          <w:rFonts w:ascii="Times New Roman" w:hAnsi="Times New Roman" w:cs="Times New Roman"/>
          <w:sz w:val="24"/>
          <w:szCs w:val="24"/>
        </w:rPr>
      </w:pPr>
    </w:p>
    <w:p w14:paraId="7411E824" w14:textId="77777777" w:rsidR="00796A9D" w:rsidRPr="002A0742" w:rsidRDefault="00796A9D" w:rsidP="00796A9D">
      <w:pPr>
        <w:pStyle w:val="Testonotaapidipagina"/>
        <w:jc w:val="both"/>
        <w:rPr>
          <w:rFonts w:ascii="Times New Roman" w:hAnsi="Times New Roman" w:cs="Times New Roman"/>
          <w:sz w:val="24"/>
          <w:szCs w:val="24"/>
        </w:rPr>
      </w:pPr>
      <w:r w:rsidRPr="002A0742">
        <w:rPr>
          <w:rFonts w:ascii="Times New Roman" w:hAnsi="Times New Roman" w:cs="Times New Roman"/>
          <w:smallCaps/>
          <w:sz w:val="24"/>
          <w:szCs w:val="24"/>
        </w:rPr>
        <w:t>D.L. Krohn</w:t>
      </w:r>
      <w:r w:rsidRPr="002A0742">
        <w:rPr>
          <w:rFonts w:ascii="Times New Roman" w:hAnsi="Times New Roman" w:cs="Times New Roman"/>
          <w:sz w:val="24"/>
          <w:szCs w:val="24"/>
        </w:rPr>
        <w:t xml:space="preserve">, </w:t>
      </w:r>
      <w:r w:rsidRPr="002A0742">
        <w:rPr>
          <w:rFonts w:ascii="Times New Roman" w:hAnsi="Times New Roman" w:cs="Times New Roman"/>
          <w:i/>
          <w:sz w:val="24"/>
          <w:szCs w:val="24"/>
        </w:rPr>
        <w:t>Art and Love in Renaissance Italy</w:t>
      </w:r>
      <w:r w:rsidRPr="002A0742">
        <w:rPr>
          <w:rFonts w:ascii="Times New Roman" w:hAnsi="Times New Roman" w:cs="Times New Roman"/>
          <w:sz w:val="24"/>
          <w:szCs w:val="24"/>
        </w:rPr>
        <w:t>, edited by A. Bayer, New York, Metropolitan Museum of Art, 2008</w:t>
      </w:r>
      <w:r>
        <w:rPr>
          <w:rFonts w:ascii="Times New Roman" w:hAnsi="Times New Roman" w:cs="Times New Roman"/>
          <w:sz w:val="24"/>
          <w:szCs w:val="24"/>
        </w:rPr>
        <w:t>.</w:t>
      </w:r>
    </w:p>
    <w:p w14:paraId="6E03A6D6" w14:textId="77777777" w:rsidR="00796A9D" w:rsidRDefault="00796A9D" w:rsidP="00796A9D">
      <w:pPr>
        <w:spacing w:after="0"/>
        <w:jc w:val="both"/>
        <w:rPr>
          <w:rFonts w:ascii="Times New Roman" w:hAnsi="Times New Roman" w:cs="Times New Roman"/>
          <w:i/>
          <w:sz w:val="24"/>
          <w:szCs w:val="24"/>
        </w:rPr>
      </w:pPr>
    </w:p>
    <w:p w14:paraId="1D244007"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i/>
          <w:sz w:val="24"/>
          <w:szCs w:val="24"/>
        </w:rPr>
        <w:t>La Corona d'Aragó: el poder i la imatge de l'Edat Mitjana a l'Edat Moderna, segles XII-XVIII</w:t>
      </w:r>
      <w:r w:rsidRPr="00BA2DBB">
        <w:rPr>
          <w:rFonts w:ascii="Times New Roman" w:hAnsi="Times New Roman" w:cs="Times New Roman"/>
          <w:sz w:val="24"/>
          <w:szCs w:val="24"/>
        </w:rPr>
        <w:t>, Catalogo della mostra, (Valencia, Museu de Belles Arts, Centre del Carme,16 gennaio-17 aprile 2006), Lunwerg, Sociedad Estatal para la Acción Cultural Exterior, 2006.</w:t>
      </w:r>
    </w:p>
    <w:p w14:paraId="12B90FC2" w14:textId="77777777" w:rsidR="00796A9D" w:rsidRDefault="00796A9D" w:rsidP="00796A9D">
      <w:pPr>
        <w:pStyle w:val="Testonotaapidipagina"/>
        <w:jc w:val="both"/>
        <w:rPr>
          <w:rFonts w:ascii="Times New Roman" w:hAnsi="Times New Roman" w:cs="Times New Roman"/>
          <w:smallCaps/>
          <w:sz w:val="24"/>
          <w:szCs w:val="24"/>
        </w:rPr>
      </w:pPr>
    </w:p>
    <w:p w14:paraId="609E3654"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M.P. Laffitte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Da Pavia a Parigi, le alterne fortune dei manoscritti dei duchi di Milano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Arte lombarda dai Visconti agli Sforza, Milano al centro dell’Europa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M. Natale, S. Romano</w:t>
      </w:r>
      <w:r w:rsidRPr="00BA2DBB">
        <w:rPr>
          <w:rFonts w:ascii="Times New Roman" w:hAnsi="Times New Roman" w:cs="Times New Roman"/>
          <w:sz w:val="24"/>
          <w:szCs w:val="24"/>
        </w:rPr>
        <w:t>, Milano, Skira, 2015, pp. 41-46.</w:t>
      </w:r>
    </w:p>
    <w:p w14:paraId="30971ED7" w14:textId="77777777" w:rsidR="00796A9D" w:rsidRDefault="00796A9D" w:rsidP="00796A9D">
      <w:pPr>
        <w:pStyle w:val="Testonotaapidipagina"/>
        <w:jc w:val="both"/>
        <w:rPr>
          <w:rFonts w:ascii="Times New Roman" w:hAnsi="Times New Roman" w:cs="Times New Roman"/>
          <w:sz w:val="24"/>
          <w:szCs w:val="24"/>
        </w:rPr>
      </w:pPr>
    </w:p>
    <w:p w14:paraId="3086EE48" w14:textId="77777777" w:rsidR="00796A9D" w:rsidRPr="009A2A9B" w:rsidRDefault="00796A9D" w:rsidP="00796A9D">
      <w:pPr>
        <w:pStyle w:val="Testonotaapidipagina"/>
        <w:jc w:val="both"/>
        <w:rPr>
          <w:rFonts w:ascii="Times New Roman" w:hAnsi="Times New Roman" w:cs="Times New Roman"/>
          <w:sz w:val="24"/>
          <w:szCs w:val="24"/>
        </w:rPr>
      </w:pPr>
      <w:r w:rsidRPr="009A2A9B">
        <w:rPr>
          <w:rFonts w:ascii="Times New Roman" w:hAnsi="Times New Roman" w:cs="Times New Roman"/>
          <w:smallCaps/>
          <w:sz w:val="24"/>
          <w:szCs w:val="24"/>
        </w:rPr>
        <w:t>G. Lanzoni</w:t>
      </w:r>
      <w:r w:rsidRPr="009A2A9B">
        <w:rPr>
          <w:rFonts w:ascii="Times New Roman" w:hAnsi="Times New Roman" w:cs="Times New Roman"/>
          <w:sz w:val="24"/>
          <w:szCs w:val="24"/>
        </w:rPr>
        <w:t xml:space="preserve">, </w:t>
      </w:r>
      <w:r w:rsidRPr="009A2A9B">
        <w:rPr>
          <w:rFonts w:ascii="Times New Roman" w:hAnsi="Times New Roman" w:cs="Times New Roman"/>
          <w:i/>
          <w:sz w:val="24"/>
          <w:szCs w:val="24"/>
        </w:rPr>
        <w:t xml:space="preserve">Sulle nozze di Federico I Gonzaga con Margherita di Wittelsbach, </w:t>
      </w:r>
      <w:r w:rsidRPr="009A2A9B">
        <w:rPr>
          <w:rFonts w:ascii="Times New Roman" w:hAnsi="Times New Roman" w:cs="Times New Roman"/>
          <w:sz w:val="24"/>
          <w:szCs w:val="24"/>
        </w:rPr>
        <w:t>Milano, 1898.</w:t>
      </w:r>
    </w:p>
    <w:p w14:paraId="43700145" w14:textId="77777777" w:rsidR="00796A9D" w:rsidRDefault="00796A9D" w:rsidP="00796A9D">
      <w:pPr>
        <w:spacing w:after="0"/>
        <w:jc w:val="both"/>
        <w:rPr>
          <w:rFonts w:ascii="Times New Roman" w:hAnsi="Times New Roman" w:cs="Times New Roman"/>
          <w:smallCaps/>
          <w:sz w:val="24"/>
          <w:szCs w:val="24"/>
        </w:rPr>
      </w:pPr>
    </w:p>
    <w:p w14:paraId="3AED87FD"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C.Z. Laskaris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dei Visconti e degli Sforza nel castello di Pavia: gloria di una dinastia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Pavia visconteo-sforzesca. Il castello, la città, la certosa</w:t>
      </w:r>
      <w:r w:rsidRPr="00BA2DBB">
        <w:rPr>
          <w:rFonts w:ascii="Times New Roman" w:hAnsi="Times New Roman" w:cs="Times New Roman"/>
          <w:sz w:val="24"/>
          <w:szCs w:val="24"/>
        </w:rPr>
        <w:t>, Milano, Skira, 2016</w:t>
      </w:r>
      <w:r>
        <w:rPr>
          <w:rFonts w:ascii="Times New Roman" w:hAnsi="Times New Roman" w:cs="Times New Roman"/>
          <w:sz w:val="24"/>
          <w:szCs w:val="24"/>
        </w:rPr>
        <w:t>, pp. 37-44.</w:t>
      </w:r>
    </w:p>
    <w:p w14:paraId="4586B92B" w14:textId="77777777" w:rsidR="00796A9D" w:rsidRDefault="00796A9D" w:rsidP="00796A9D">
      <w:pPr>
        <w:spacing w:after="0"/>
        <w:jc w:val="both"/>
        <w:rPr>
          <w:rFonts w:ascii="Times New Roman" w:hAnsi="Times New Roman" w:cs="Times New Roman"/>
          <w:sz w:val="24"/>
          <w:szCs w:val="24"/>
        </w:rPr>
      </w:pPr>
    </w:p>
    <w:p w14:paraId="5C7A92AB" w14:textId="77777777" w:rsidR="00796A9D" w:rsidRDefault="00796A9D" w:rsidP="00796A9D">
      <w:pPr>
        <w:spacing w:after="0"/>
        <w:jc w:val="both"/>
        <w:rPr>
          <w:rFonts w:ascii="Times New Roman" w:hAnsi="Times New Roman" w:cs="Times New Roman"/>
          <w:sz w:val="24"/>
          <w:szCs w:val="24"/>
        </w:rPr>
      </w:pPr>
      <w:r w:rsidRPr="002B70D7">
        <w:rPr>
          <w:rFonts w:ascii="Times New Roman" w:hAnsi="Times New Roman" w:cs="Times New Roman"/>
          <w:i/>
          <w:sz w:val="24"/>
          <w:szCs w:val="24"/>
        </w:rPr>
        <w:t>La stagione dei Bentivoglio nella Bologna rinascimentale</w:t>
      </w:r>
      <w:r w:rsidRPr="002B70D7">
        <w:rPr>
          <w:rFonts w:ascii="Times New Roman" w:hAnsi="Times New Roman" w:cs="Times New Roman"/>
          <w:sz w:val="24"/>
          <w:szCs w:val="24"/>
        </w:rPr>
        <w:t xml:space="preserve">, Catalogo della mostra, Bologna 21 ottobre 2006 – 7 gennaio 2007, a cura di </w:t>
      </w:r>
      <w:r w:rsidRPr="002B70D7">
        <w:rPr>
          <w:rFonts w:ascii="Times New Roman" w:hAnsi="Times New Roman" w:cs="Times New Roman"/>
          <w:smallCaps/>
          <w:sz w:val="24"/>
          <w:szCs w:val="24"/>
        </w:rPr>
        <w:t>L. Amdalò</w:t>
      </w:r>
      <w:r w:rsidRPr="002B70D7">
        <w:rPr>
          <w:rFonts w:ascii="Times New Roman" w:hAnsi="Times New Roman" w:cs="Times New Roman"/>
          <w:sz w:val="24"/>
          <w:szCs w:val="24"/>
        </w:rPr>
        <w:t>, Bologna, Minerva, 2006.</w:t>
      </w:r>
    </w:p>
    <w:p w14:paraId="6559811C" w14:textId="77777777" w:rsidR="00796A9D" w:rsidRDefault="00796A9D" w:rsidP="00796A9D">
      <w:pPr>
        <w:spacing w:after="0"/>
        <w:jc w:val="both"/>
        <w:rPr>
          <w:rFonts w:ascii="Times New Roman" w:hAnsi="Times New Roman" w:cs="Times New Roman"/>
          <w:sz w:val="24"/>
          <w:szCs w:val="24"/>
        </w:rPr>
      </w:pPr>
    </w:p>
    <w:p w14:paraId="35BB0AF4" w14:textId="77777777" w:rsidR="00796A9D" w:rsidRPr="00601D6B" w:rsidRDefault="00796A9D" w:rsidP="00796A9D">
      <w:pPr>
        <w:spacing w:after="0"/>
        <w:jc w:val="both"/>
        <w:rPr>
          <w:rFonts w:ascii="Times New Roman" w:hAnsi="Times New Roman" w:cs="Times New Roman"/>
          <w:sz w:val="24"/>
          <w:szCs w:val="24"/>
        </w:rPr>
      </w:pPr>
      <w:r w:rsidRPr="00601D6B">
        <w:rPr>
          <w:rFonts w:ascii="Times New Roman" w:hAnsi="Times New Roman" w:cs="Times New Roman"/>
          <w:smallCaps/>
          <w:sz w:val="24"/>
          <w:szCs w:val="24"/>
        </w:rPr>
        <w:t>L. Laureati</w:t>
      </w:r>
      <w:r w:rsidRPr="00601D6B">
        <w:rPr>
          <w:rFonts w:ascii="Times New Roman" w:hAnsi="Times New Roman" w:cs="Times New Roman"/>
          <w:sz w:val="24"/>
          <w:szCs w:val="24"/>
        </w:rPr>
        <w:t xml:space="preserve">, </w:t>
      </w:r>
      <w:r w:rsidRPr="00601D6B">
        <w:rPr>
          <w:rFonts w:ascii="Times New Roman" w:hAnsi="Times New Roman" w:cs="Times New Roman"/>
          <w:i/>
          <w:sz w:val="24"/>
          <w:szCs w:val="24"/>
        </w:rPr>
        <w:t>Da Borgia a Este: due vite in quarant’anni</w:t>
      </w:r>
      <w:r w:rsidRPr="00601D6B">
        <w:rPr>
          <w:rFonts w:ascii="Times New Roman" w:hAnsi="Times New Roman" w:cs="Times New Roman"/>
          <w:sz w:val="24"/>
          <w:szCs w:val="24"/>
        </w:rPr>
        <w:t xml:space="preserve">, in </w:t>
      </w:r>
      <w:r w:rsidRPr="00601D6B">
        <w:rPr>
          <w:rFonts w:ascii="Times New Roman" w:hAnsi="Times New Roman" w:cs="Times New Roman"/>
          <w:i/>
          <w:sz w:val="24"/>
          <w:szCs w:val="24"/>
        </w:rPr>
        <w:t>Lucrezia Borgia</w:t>
      </w:r>
      <w:r w:rsidRPr="00601D6B">
        <w:rPr>
          <w:rFonts w:ascii="Times New Roman" w:hAnsi="Times New Roman" w:cs="Times New Roman"/>
          <w:sz w:val="24"/>
          <w:szCs w:val="24"/>
        </w:rPr>
        <w:t xml:space="preserve">, a cura di </w:t>
      </w:r>
      <w:r w:rsidRPr="00601D6B">
        <w:rPr>
          <w:rFonts w:ascii="Times New Roman" w:hAnsi="Times New Roman" w:cs="Times New Roman"/>
          <w:smallCaps/>
          <w:sz w:val="24"/>
          <w:szCs w:val="24"/>
        </w:rPr>
        <w:t>Eadem</w:t>
      </w:r>
      <w:r w:rsidRPr="00601D6B">
        <w:rPr>
          <w:rFonts w:ascii="Times New Roman" w:hAnsi="Times New Roman" w:cs="Times New Roman"/>
          <w:sz w:val="24"/>
          <w:szCs w:val="24"/>
        </w:rPr>
        <w:t>, Ferrara, Ferrara Arte, 2002, pp. 21-75.</w:t>
      </w:r>
    </w:p>
    <w:p w14:paraId="63A00F2D" w14:textId="77777777" w:rsidR="00796A9D" w:rsidRDefault="00796A9D" w:rsidP="00796A9D">
      <w:pPr>
        <w:spacing w:after="0"/>
        <w:jc w:val="both"/>
        <w:rPr>
          <w:rFonts w:ascii="Times New Roman" w:hAnsi="Times New Roman" w:cs="Times New Roman"/>
          <w:sz w:val="24"/>
          <w:szCs w:val="24"/>
        </w:rPr>
      </w:pPr>
    </w:p>
    <w:p w14:paraId="0E7317B4" w14:textId="77777777" w:rsidR="00796A9D" w:rsidRPr="009964AF" w:rsidRDefault="00796A9D" w:rsidP="00796A9D">
      <w:pPr>
        <w:spacing w:after="0"/>
        <w:jc w:val="both"/>
        <w:rPr>
          <w:rFonts w:ascii="Times New Roman" w:hAnsi="Times New Roman" w:cs="Times New Roman"/>
          <w:smallCaps/>
          <w:sz w:val="24"/>
          <w:szCs w:val="24"/>
        </w:rPr>
      </w:pPr>
      <w:r w:rsidRPr="009964AF">
        <w:rPr>
          <w:rFonts w:ascii="Times New Roman" w:hAnsi="Times New Roman" w:cs="Times New Roman"/>
          <w:smallCaps/>
          <w:sz w:val="24"/>
          <w:szCs w:val="24"/>
        </w:rPr>
        <w:t>I. Lazzarini</w:t>
      </w:r>
      <w:r w:rsidRPr="009964AF">
        <w:rPr>
          <w:rFonts w:ascii="Times New Roman" w:hAnsi="Times New Roman" w:cs="Times New Roman"/>
          <w:sz w:val="24"/>
          <w:szCs w:val="24"/>
        </w:rPr>
        <w:t xml:space="preserve">, </w:t>
      </w:r>
      <w:r w:rsidRPr="009964AF">
        <w:rPr>
          <w:rFonts w:ascii="Times New Roman" w:hAnsi="Times New Roman" w:cs="Times New Roman"/>
          <w:i/>
          <w:sz w:val="24"/>
          <w:szCs w:val="24"/>
        </w:rPr>
        <w:t>Mantoue et la Bourgogne au XV</w:t>
      </w:r>
      <w:r w:rsidRPr="009964AF">
        <w:rPr>
          <w:rFonts w:ascii="Times New Roman" w:hAnsi="Times New Roman" w:cs="Times New Roman"/>
          <w:i/>
          <w:sz w:val="24"/>
          <w:szCs w:val="24"/>
          <w:vertAlign w:val="superscript"/>
        </w:rPr>
        <w:t xml:space="preserve">e </w:t>
      </w:r>
      <w:r w:rsidRPr="009964AF">
        <w:rPr>
          <w:rFonts w:ascii="Times New Roman" w:hAnsi="Times New Roman" w:cs="Times New Roman"/>
          <w:i/>
          <w:sz w:val="24"/>
          <w:szCs w:val="24"/>
        </w:rPr>
        <w:t>siècle</w:t>
      </w:r>
      <w:r w:rsidRPr="009964AF">
        <w:rPr>
          <w:rFonts w:ascii="Times New Roman" w:hAnsi="Times New Roman" w:cs="Times New Roman"/>
          <w:sz w:val="24"/>
          <w:szCs w:val="24"/>
        </w:rPr>
        <w:t xml:space="preserve">, in </w:t>
      </w:r>
      <w:r w:rsidRPr="009964AF">
        <w:rPr>
          <w:rFonts w:ascii="Times New Roman" w:hAnsi="Times New Roman" w:cs="Times New Roman"/>
          <w:i/>
          <w:sz w:val="24"/>
          <w:szCs w:val="24"/>
        </w:rPr>
        <w:t>La Cour de Bougogne et l’Europe. Le rayonnement et les limites d’un modèle culturel.</w:t>
      </w:r>
      <w:r w:rsidRPr="009964AF">
        <w:rPr>
          <w:rFonts w:ascii="Times New Roman" w:hAnsi="Times New Roman" w:cs="Times New Roman"/>
          <w:sz w:val="24"/>
          <w:szCs w:val="24"/>
        </w:rPr>
        <w:t xml:space="preserve"> Actes du colloque international tenu à Paris les 9, 10 et 11 octobre 2007, sous la direction de </w:t>
      </w:r>
      <w:r w:rsidRPr="009964AF">
        <w:rPr>
          <w:rFonts w:ascii="Times New Roman" w:hAnsi="Times New Roman" w:cs="Times New Roman"/>
          <w:smallCaps/>
          <w:sz w:val="24"/>
          <w:szCs w:val="24"/>
        </w:rPr>
        <w:t>T. Hiltmann, F. Viltart</w:t>
      </w:r>
      <w:r w:rsidRPr="009964AF">
        <w:rPr>
          <w:rFonts w:ascii="Times New Roman" w:hAnsi="Times New Roman" w:cs="Times New Roman"/>
          <w:sz w:val="24"/>
          <w:szCs w:val="24"/>
        </w:rPr>
        <w:t>, Paris, Jan Thorbecke Verlag, 2013, pp. 543-558.</w:t>
      </w:r>
    </w:p>
    <w:p w14:paraId="70610C82" w14:textId="77777777" w:rsidR="00796A9D" w:rsidRDefault="00796A9D" w:rsidP="00796A9D">
      <w:pPr>
        <w:spacing w:after="0"/>
        <w:jc w:val="both"/>
        <w:rPr>
          <w:rFonts w:ascii="Times New Roman" w:hAnsi="Times New Roman" w:cs="Times New Roman"/>
          <w:smallCaps/>
          <w:sz w:val="24"/>
          <w:szCs w:val="24"/>
        </w:rPr>
      </w:pPr>
    </w:p>
    <w:p w14:paraId="5629D94D" w14:textId="77777777" w:rsidR="00796A9D" w:rsidRPr="00E357BB" w:rsidRDefault="00796A9D" w:rsidP="00796A9D">
      <w:pPr>
        <w:spacing w:after="0"/>
        <w:jc w:val="both"/>
        <w:rPr>
          <w:rFonts w:ascii="Times New Roman" w:hAnsi="Times New Roman" w:cs="Times New Roman"/>
          <w:sz w:val="24"/>
          <w:szCs w:val="24"/>
        </w:rPr>
      </w:pPr>
      <w:r w:rsidRPr="00E357BB">
        <w:rPr>
          <w:rFonts w:ascii="Times New Roman" w:hAnsi="Times New Roman" w:cs="Times New Roman"/>
          <w:smallCaps/>
          <w:sz w:val="24"/>
          <w:szCs w:val="24"/>
        </w:rPr>
        <w:t>I. Lazzarini</w:t>
      </w:r>
      <w:r w:rsidRPr="00E357BB">
        <w:rPr>
          <w:rFonts w:ascii="Times New Roman" w:hAnsi="Times New Roman" w:cs="Times New Roman"/>
          <w:sz w:val="24"/>
          <w:szCs w:val="24"/>
        </w:rPr>
        <w:t xml:space="preserve">, </w:t>
      </w:r>
      <w:r w:rsidRPr="00E357BB">
        <w:rPr>
          <w:rFonts w:ascii="Times New Roman" w:hAnsi="Times New Roman" w:cs="Times New Roman"/>
          <w:i/>
          <w:sz w:val="24"/>
          <w:szCs w:val="24"/>
        </w:rPr>
        <w:t>Communication and Conflict: Italian Diplomacy in the Early Renaissance, 1350-1520</w:t>
      </w:r>
      <w:r w:rsidRPr="00E357BB">
        <w:rPr>
          <w:rFonts w:ascii="Times New Roman" w:hAnsi="Times New Roman" w:cs="Times New Roman"/>
          <w:sz w:val="24"/>
          <w:szCs w:val="24"/>
        </w:rPr>
        <w:t>, Oxford, Oxford University Press, 2015.</w:t>
      </w:r>
    </w:p>
    <w:p w14:paraId="1E824567" w14:textId="77777777" w:rsidR="00796A9D" w:rsidRDefault="00796A9D" w:rsidP="00796A9D">
      <w:pPr>
        <w:spacing w:after="0"/>
        <w:jc w:val="both"/>
        <w:rPr>
          <w:rFonts w:ascii="Times New Roman" w:hAnsi="Times New Roman" w:cs="Times New Roman"/>
          <w:smallCaps/>
          <w:sz w:val="24"/>
          <w:szCs w:val="24"/>
        </w:rPr>
      </w:pPr>
    </w:p>
    <w:p w14:paraId="06AD3F83"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Lazzi,</w:t>
      </w:r>
      <w:r w:rsidRPr="00BA2DBB">
        <w:rPr>
          <w:rFonts w:ascii="Times New Roman" w:hAnsi="Times New Roman" w:cs="Times New Roman"/>
          <w:sz w:val="24"/>
          <w:szCs w:val="24"/>
        </w:rPr>
        <w:t xml:space="preserve"> </w:t>
      </w:r>
      <w:r w:rsidRPr="00BA2DBB">
        <w:rPr>
          <w:rFonts w:ascii="Times New Roman" w:hAnsi="Times New Roman" w:cs="Times New Roman"/>
          <w:smallCaps/>
          <w:sz w:val="24"/>
          <w:szCs w:val="24"/>
        </w:rPr>
        <w:t>P. Ventrone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Simonetta Vespucci. La nascita della Venere fiorentina</w:t>
      </w:r>
      <w:r w:rsidRPr="00BA2DBB">
        <w:rPr>
          <w:rFonts w:ascii="Times New Roman" w:hAnsi="Times New Roman" w:cs="Times New Roman"/>
          <w:sz w:val="24"/>
          <w:szCs w:val="24"/>
        </w:rPr>
        <w:t>, Firenze, Polistampa, 2007.</w:t>
      </w:r>
    </w:p>
    <w:p w14:paraId="3F6A35D1" w14:textId="77777777" w:rsidR="00796A9D" w:rsidRDefault="00796A9D" w:rsidP="00796A9D">
      <w:pPr>
        <w:spacing w:after="0"/>
        <w:jc w:val="both"/>
        <w:rPr>
          <w:rFonts w:ascii="Times New Roman" w:hAnsi="Times New Roman" w:cs="Times New Roman"/>
          <w:sz w:val="24"/>
          <w:szCs w:val="24"/>
        </w:rPr>
      </w:pPr>
    </w:p>
    <w:p w14:paraId="689F79BA" w14:textId="77777777" w:rsidR="00796A9D" w:rsidRPr="00FD5A69" w:rsidRDefault="00796A9D" w:rsidP="00796A9D">
      <w:pPr>
        <w:spacing w:after="0"/>
        <w:jc w:val="both"/>
        <w:rPr>
          <w:rFonts w:ascii="Times New Roman" w:hAnsi="Times New Roman" w:cs="Times New Roman"/>
          <w:sz w:val="24"/>
          <w:szCs w:val="24"/>
        </w:rPr>
      </w:pPr>
      <w:r w:rsidRPr="00FD5A69">
        <w:rPr>
          <w:rFonts w:ascii="Times New Roman" w:hAnsi="Times New Roman" w:cs="Times New Roman"/>
          <w:i/>
          <w:sz w:val="24"/>
          <w:szCs w:val="24"/>
        </w:rPr>
        <w:t>Le nozze dei Bentivoglio (1487). Cronisti e poeti</w:t>
      </w:r>
      <w:r w:rsidRPr="00FD5A69">
        <w:rPr>
          <w:rFonts w:ascii="Times New Roman" w:hAnsi="Times New Roman" w:cs="Times New Roman"/>
          <w:sz w:val="24"/>
          <w:szCs w:val="24"/>
        </w:rPr>
        <w:t xml:space="preserve">, a cura di </w:t>
      </w:r>
      <w:r w:rsidRPr="00FD5A69">
        <w:rPr>
          <w:rFonts w:ascii="Times New Roman" w:hAnsi="Times New Roman" w:cs="Times New Roman"/>
          <w:smallCaps/>
          <w:sz w:val="24"/>
          <w:szCs w:val="24"/>
        </w:rPr>
        <w:t>B. Basile, S. Scioli</w:t>
      </w:r>
      <w:r w:rsidRPr="00FD5A69">
        <w:rPr>
          <w:rFonts w:ascii="Times New Roman" w:hAnsi="Times New Roman" w:cs="Times New Roman"/>
          <w:sz w:val="24"/>
          <w:szCs w:val="24"/>
        </w:rPr>
        <w:t>, Napoli, La scuola di Pitagora, 2014.</w:t>
      </w:r>
    </w:p>
    <w:p w14:paraId="490DB680" w14:textId="77777777" w:rsidR="00796A9D" w:rsidRDefault="00796A9D" w:rsidP="00796A9D">
      <w:pPr>
        <w:spacing w:after="0"/>
        <w:jc w:val="both"/>
        <w:rPr>
          <w:rFonts w:ascii="Times New Roman" w:hAnsi="Times New Roman" w:cs="Times New Roman"/>
          <w:sz w:val="24"/>
          <w:szCs w:val="24"/>
        </w:rPr>
      </w:pPr>
    </w:p>
    <w:p w14:paraId="2E1F35DA" w14:textId="77777777" w:rsidR="00796A9D" w:rsidRPr="00B513DF" w:rsidRDefault="00796A9D" w:rsidP="00796A9D">
      <w:pPr>
        <w:spacing w:after="0"/>
        <w:jc w:val="both"/>
        <w:rPr>
          <w:rFonts w:ascii="Times New Roman" w:hAnsi="Times New Roman" w:cs="Times New Roman"/>
          <w:sz w:val="24"/>
          <w:szCs w:val="24"/>
        </w:rPr>
      </w:pPr>
      <w:r w:rsidRPr="00B513DF">
        <w:rPr>
          <w:rFonts w:ascii="Times New Roman" w:hAnsi="Times New Roman" w:cs="Times New Roman"/>
          <w:i/>
          <w:sz w:val="24"/>
          <w:szCs w:val="24"/>
        </w:rPr>
        <w:t>Le Pompe dei Medici. Guerre, nozze, battesimi e funerali nella Toscana dei primi tre Granduchi (1550-1600)</w:t>
      </w:r>
      <w:r w:rsidRPr="00B513DF">
        <w:rPr>
          <w:rFonts w:ascii="Times New Roman" w:hAnsi="Times New Roman" w:cs="Times New Roman"/>
          <w:sz w:val="24"/>
          <w:szCs w:val="24"/>
        </w:rPr>
        <w:t>, Catalogo della mostra (Firenze 5-12 maggio 2017), Torrita di Siena, Società Bibliografica Toscana, 2017.</w:t>
      </w:r>
    </w:p>
    <w:p w14:paraId="7E61AE81" w14:textId="77777777" w:rsidR="00796A9D" w:rsidRDefault="00796A9D" w:rsidP="00796A9D">
      <w:pPr>
        <w:spacing w:after="0"/>
        <w:jc w:val="both"/>
        <w:rPr>
          <w:rFonts w:ascii="Times New Roman" w:hAnsi="Times New Roman" w:cs="Times New Roman"/>
          <w:smallCaps/>
          <w:sz w:val="24"/>
          <w:szCs w:val="24"/>
        </w:rPr>
      </w:pPr>
    </w:p>
    <w:p w14:paraId="0470818E"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 Levi d’Ancona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miniatura fiorentina tra Gotico e Rinascimento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La miniatura italiana tra Gotico e Rinascimento</w:t>
      </w:r>
      <w:r w:rsidRPr="00BA2DBB">
        <w:rPr>
          <w:rFonts w:ascii="Times New Roman" w:hAnsi="Times New Roman" w:cs="Times New Roman"/>
          <w:sz w:val="24"/>
          <w:szCs w:val="24"/>
        </w:rPr>
        <w:t xml:space="preserve">, Atti del II Congresso di Storia della Miniatura Italiana. (Cortona 24-26 settembre 1982), a cura di </w:t>
      </w:r>
      <w:r w:rsidRPr="00BA2DBB">
        <w:rPr>
          <w:rFonts w:ascii="Times New Roman" w:hAnsi="Times New Roman" w:cs="Times New Roman"/>
          <w:smallCaps/>
          <w:sz w:val="24"/>
          <w:szCs w:val="24"/>
        </w:rPr>
        <w:t>E. Sesti</w:t>
      </w:r>
      <w:r w:rsidRPr="00BA2DBB">
        <w:rPr>
          <w:rFonts w:ascii="Times New Roman" w:hAnsi="Times New Roman" w:cs="Times New Roman"/>
          <w:sz w:val="24"/>
          <w:szCs w:val="24"/>
        </w:rPr>
        <w:t>, Firenze, Olschki, 1985, pp. 451-463.</w:t>
      </w:r>
    </w:p>
    <w:p w14:paraId="6B26CD45" w14:textId="77777777" w:rsidR="00796A9D" w:rsidRDefault="00796A9D" w:rsidP="00796A9D">
      <w:pPr>
        <w:spacing w:after="0"/>
        <w:jc w:val="both"/>
        <w:rPr>
          <w:rFonts w:ascii="Times New Roman" w:hAnsi="Times New Roman" w:cs="Times New Roman"/>
          <w:smallCaps/>
          <w:sz w:val="24"/>
          <w:szCs w:val="24"/>
        </w:rPr>
      </w:pPr>
    </w:p>
    <w:p w14:paraId="4A9DC21B" w14:textId="77777777" w:rsidR="00796A9D" w:rsidRPr="00732D7B" w:rsidRDefault="00796A9D" w:rsidP="00796A9D">
      <w:pPr>
        <w:spacing w:after="0"/>
        <w:jc w:val="both"/>
        <w:rPr>
          <w:rFonts w:ascii="Times New Roman" w:hAnsi="Times New Roman" w:cs="Times New Roman"/>
          <w:sz w:val="24"/>
          <w:szCs w:val="24"/>
        </w:rPr>
      </w:pPr>
      <w:r w:rsidRPr="00732D7B">
        <w:rPr>
          <w:rFonts w:ascii="Times New Roman" w:hAnsi="Times New Roman" w:cs="Times New Roman"/>
          <w:smallCaps/>
          <w:sz w:val="24"/>
          <w:szCs w:val="24"/>
        </w:rPr>
        <w:t>A. Lisini</w:t>
      </w:r>
      <w:r w:rsidRPr="00732D7B">
        <w:rPr>
          <w:rFonts w:ascii="Times New Roman" w:hAnsi="Times New Roman" w:cs="Times New Roman"/>
          <w:sz w:val="24"/>
          <w:szCs w:val="24"/>
        </w:rPr>
        <w:t xml:space="preserve">, </w:t>
      </w:r>
      <w:r w:rsidRPr="00732D7B">
        <w:rPr>
          <w:rFonts w:ascii="Times New Roman" w:hAnsi="Times New Roman" w:cs="Times New Roman"/>
          <w:i/>
          <w:sz w:val="24"/>
          <w:szCs w:val="24"/>
        </w:rPr>
        <w:t>Le feste fatte in Siena nel 1465 per il matrimonio di Ippolita Sforza Visconti con Alfonso duca di Calabria</w:t>
      </w:r>
      <w:r w:rsidRPr="00732D7B">
        <w:rPr>
          <w:rFonts w:ascii="Times New Roman" w:hAnsi="Times New Roman" w:cs="Times New Roman"/>
          <w:sz w:val="24"/>
          <w:szCs w:val="24"/>
        </w:rPr>
        <w:t>, Siena, Lazzeri, 1898.</w:t>
      </w:r>
    </w:p>
    <w:p w14:paraId="212C7155" w14:textId="77777777" w:rsidR="00796A9D" w:rsidRDefault="00796A9D" w:rsidP="00796A9D">
      <w:pPr>
        <w:spacing w:after="0"/>
        <w:jc w:val="both"/>
        <w:rPr>
          <w:rFonts w:ascii="Times New Roman" w:hAnsi="Times New Roman" w:cs="Times New Roman"/>
          <w:smallCaps/>
          <w:sz w:val="24"/>
          <w:szCs w:val="24"/>
        </w:rPr>
      </w:pPr>
    </w:p>
    <w:p w14:paraId="41049675"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L. Lockwood</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musica a Ferrara nel Rinascimento</w:t>
      </w:r>
      <w:r w:rsidRPr="00BA2DBB">
        <w:rPr>
          <w:rFonts w:ascii="Times New Roman" w:hAnsi="Times New Roman" w:cs="Times New Roman"/>
          <w:sz w:val="24"/>
          <w:szCs w:val="24"/>
        </w:rPr>
        <w:t>, Bologna, il Mulino, 1987.</w:t>
      </w:r>
    </w:p>
    <w:p w14:paraId="680CD267" w14:textId="77777777" w:rsidR="00796A9D" w:rsidRDefault="00796A9D" w:rsidP="00796A9D">
      <w:pPr>
        <w:spacing w:after="0"/>
        <w:jc w:val="both"/>
        <w:rPr>
          <w:rFonts w:ascii="Times New Roman" w:hAnsi="Times New Roman" w:cs="Times New Roman"/>
          <w:sz w:val="24"/>
          <w:szCs w:val="24"/>
        </w:rPr>
      </w:pPr>
    </w:p>
    <w:p w14:paraId="4EF0B9B2" w14:textId="77777777" w:rsidR="00796A9D" w:rsidRPr="00207673" w:rsidRDefault="00796A9D" w:rsidP="00796A9D">
      <w:pPr>
        <w:spacing w:after="0"/>
        <w:jc w:val="both"/>
        <w:rPr>
          <w:rFonts w:ascii="Times New Roman" w:hAnsi="Times New Roman" w:cs="Times New Roman"/>
          <w:sz w:val="24"/>
          <w:szCs w:val="24"/>
        </w:rPr>
      </w:pPr>
      <w:r w:rsidRPr="00207673">
        <w:rPr>
          <w:rFonts w:ascii="Times New Roman" w:hAnsi="Times New Roman" w:cs="Times New Roman"/>
          <w:smallCaps/>
          <w:sz w:val="24"/>
          <w:szCs w:val="24"/>
        </w:rPr>
        <w:t>F.V. Lombardi</w:t>
      </w:r>
      <w:r w:rsidRPr="00207673">
        <w:rPr>
          <w:rFonts w:ascii="Times New Roman" w:hAnsi="Times New Roman" w:cs="Times New Roman"/>
          <w:sz w:val="24"/>
          <w:szCs w:val="24"/>
        </w:rPr>
        <w:t xml:space="preserve">, </w:t>
      </w:r>
      <w:r w:rsidRPr="00207673">
        <w:rPr>
          <w:rFonts w:ascii="Times New Roman" w:hAnsi="Times New Roman" w:cs="Times New Roman"/>
          <w:i/>
          <w:sz w:val="24"/>
          <w:szCs w:val="24"/>
        </w:rPr>
        <w:t>Liste delle nozze di Roberto Malatesta e di Elisabetta da Montefeltro (25 giugno 1475),</w:t>
      </w:r>
      <w:r w:rsidRPr="00207673">
        <w:rPr>
          <w:rFonts w:ascii="Times New Roman" w:hAnsi="Times New Roman" w:cs="Times New Roman"/>
          <w:sz w:val="24"/>
          <w:szCs w:val="24"/>
        </w:rPr>
        <w:t xml:space="preserve"> «Romagna arte e storia», XVIII, 1986, pp. 13-26.</w:t>
      </w:r>
    </w:p>
    <w:p w14:paraId="0410BA4F" w14:textId="77777777" w:rsidR="00796A9D" w:rsidRDefault="00796A9D" w:rsidP="00796A9D">
      <w:pPr>
        <w:spacing w:after="0"/>
        <w:jc w:val="both"/>
        <w:rPr>
          <w:rFonts w:ascii="Times New Roman" w:hAnsi="Times New Roman" w:cs="Times New Roman"/>
          <w:sz w:val="24"/>
          <w:szCs w:val="24"/>
        </w:rPr>
      </w:pPr>
    </w:p>
    <w:p w14:paraId="10C8179C" w14:textId="77777777" w:rsidR="00796A9D" w:rsidRDefault="00796A9D" w:rsidP="00796A9D">
      <w:pPr>
        <w:spacing w:after="0"/>
        <w:jc w:val="both"/>
        <w:rPr>
          <w:rFonts w:ascii="Times New Roman" w:hAnsi="Times New Roman" w:cs="Times New Roman"/>
          <w:sz w:val="24"/>
          <w:szCs w:val="24"/>
        </w:rPr>
      </w:pPr>
      <w:r w:rsidRPr="0099152E">
        <w:rPr>
          <w:rFonts w:ascii="Times New Roman" w:hAnsi="Times New Roman" w:cs="Times New Roman"/>
          <w:sz w:val="24"/>
          <w:szCs w:val="24"/>
        </w:rPr>
        <w:t xml:space="preserve">G. </w:t>
      </w:r>
      <w:r w:rsidRPr="0099152E">
        <w:rPr>
          <w:rFonts w:ascii="Times New Roman" w:hAnsi="Times New Roman" w:cs="Times New Roman"/>
          <w:smallCaps/>
          <w:sz w:val="24"/>
          <w:szCs w:val="24"/>
        </w:rPr>
        <w:t>Lopez</w:t>
      </w:r>
      <w:r w:rsidRPr="0099152E">
        <w:rPr>
          <w:rFonts w:ascii="Times New Roman" w:hAnsi="Times New Roman" w:cs="Times New Roman"/>
          <w:sz w:val="24"/>
          <w:szCs w:val="24"/>
        </w:rPr>
        <w:t xml:space="preserve">, </w:t>
      </w:r>
      <w:r w:rsidRPr="0099152E">
        <w:rPr>
          <w:rFonts w:ascii="Times New Roman" w:hAnsi="Times New Roman" w:cs="Times New Roman"/>
          <w:i/>
          <w:sz w:val="24"/>
          <w:szCs w:val="24"/>
        </w:rPr>
        <w:t>Feste di nozze per Ludovico il Moro</w:t>
      </w:r>
      <w:r w:rsidRPr="0099152E">
        <w:rPr>
          <w:rFonts w:ascii="Times New Roman" w:hAnsi="Times New Roman" w:cs="Times New Roman"/>
          <w:sz w:val="24"/>
          <w:szCs w:val="24"/>
        </w:rPr>
        <w:t>, Milano, De Carlo, 1976.</w:t>
      </w:r>
    </w:p>
    <w:p w14:paraId="673E63E8" w14:textId="77777777" w:rsidR="00796A9D" w:rsidRDefault="00796A9D" w:rsidP="00796A9D">
      <w:pPr>
        <w:spacing w:after="0"/>
        <w:jc w:val="both"/>
        <w:rPr>
          <w:rFonts w:ascii="Times New Roman" w:hAnsi="Times New Roman" w:cs="Times New Roman"/>
          <w:sz w:val="24"/>
          <w:szCs w:val="24"/>
        </w:rPr>
      </w:pPr>
    </w:p>
    <w:p w14:paraId="5F8BA9E0" w14:textId="147CD3A2" w:rsidR="00796A9D" w:rsidRPr="005445D6" w:rsidRDefault="00796A9D" w:rsidP="00796A9D">
      <w:pPr>
        <w:spacing w:after="0"/>
        <w:jc w:val="both"/>
        <w:rPr>
          <w:rFonts w:ascii="Times New Roman" w:hAnsi="Times New Roman" w:cs="Times New Roman"/>
          <w:sz w:val="24"/>
          <w:szCs w:val="24"/>
        </w:rPr>
      </w:pPr>
      <w:r w:rsidRPr="005445D6">
        <w:rPr>
          <w:rFonts w:ascii="Times New Roman" w:hAnsi="Times New Roman"/>
          <w:smallCaps/>
          <w:sz w:val="24"/>
          <w:szCs w:val="24"/>
        </w:rPr>
        <w:t>G. Lopez</w:t>
      </w:r>
      <w:r w:rsidRPr="005445D6">
        <w:rPr>
          <w:rFonts w:ascii="Times New Roman" w:hAnsi="Times New Roman"/>
          <w:sz w:val="24"/>
          <w:szCs w:val="24"/>
        </w:rPr>
        <w:t xml:space="preserve">, F. </w:t>
      </w:r>
      <w:r w:rsidRPr="005445D6">
        <w:rPr>
          <w:rFonts w:ascii="Times New Roman" w:hAnsi="Times New Roman"/>
          <w:smallCaps/>
          <w:sz w:val="24"/>
          <w:szCs w:val="24"/>
        </w:rPr>
        <w:t>dell’Acqua, L. Grassi</w:t>
      </w:r>
      <w:r w:rsidR="005B0928">
        <w:rPr>
          <w:rFonts w:ascii="Times New Roman" w:hAnsi="Times New Roman"/>
          <w:smallCaps/>
          <w:sz w:val="24"/>
          <w:szCs w:val="24"/>
        </w:rPr>
        <w:t>,</w:t>
      </w:r>
      <w:r w:rsidRPr="005445D6">
        <w:rPr>
          <w:rFonts w:ascii="Times New Roman" w:hAnsi="Times New Roman"/>
          <w:smallCaps/>
          <w:sz w:val="24"/>
          <w:szCs w:val="24"/>
        </w:rPr>
        <w:t xml:space="preserve"> G. Bologna</w:t>
      </w:r>
      <w:r w:rsidRPr="005445D6">
        <w:rPr>
          <w:rFonts w:ascii="Times New Roman" w:hAnsi="Times New Roman"/>
          <w:sz w:val="24"/>
          <w:szCs w:val="24"/>
        </w:rPr>
        <w:t xml:space="preserve">, </w:t>
      </w:r>
      <w:r w:rsidRPr="005445D6">
        <w:rPr>
          <w:rFonts w:ascii="Times New Roman" w:hAnsi="Times New Roman"/>
          <w:i/>
          <w:sz w:val="24"/>
          <w:szCs w:val="24"/>
        </w:rPr>
        <w:t>Gli Sforza a Milano</w:t>
      </w:r>
      <w:r w:rsidRPr="005445D6">
        <w:rPr>
          <w:rFonts w:ascii="Times New Roman" w:hAnsi="Times New Roman"/>
          <w:sz w:val="24"/>
          <w:szCs w:val="24"/>
        </w:rPr>
        <w:t>, Milano, Fondazione Cariplo, 1978.</w:t>
      </w:r>
    </w:p>
    <w:p w14:paraId="0C00D41D" w14:textId="77777777" w:rsidR="00796A9D" w:rsidRDefault="00796A9D" w:rsidP="00796A9D">
      <w:pPr>
        <w:spacing w:after="0"/>
        <w:jc w:val="both"/>
        <w:rPr>
          <w:rFonts w:ascii="Times New Roman" w:hAnsi="Times New Roman" w:cs="Times New Roman"/>
          <w:sz w:val="24"/>
          <w:szCs w:val="24"/>
        </w:rPr>
      </w:pPr>
    </w:p>
    <w:p w14:paraId="16D618EE" w14:textId="77777777" w:rsidR="00796A9D" w:rsidRPr="00DA4716" w:rsidRDefault="00796A9D" w:rsidP="00796A9D">
      <w:pPr>
        <w:spacing w:after="0"/>
        <w:jc w:val="both"/>
        <w:rPr>
          <w:rFonts w:ascii="Times New Roman" w:hAnsi="Times New Roman" w:cs="Times New Roman"/>
          <w:sz w:val="24"/>
          <w:szCs w:val="24"/>
        </w:rPr>
      </w:pPr>
      <w:r w:rsidRPr="00DA4716">
        <w:rPr>
          <w:rFonts w:ascii="Times New Roman" w:hAnsi="Times New Roman" w:cs="Times New Roman"/>
          <w:sz w:val="24"/>
          <w:szCs w:val="24"/>
        </w:rPr>
        <w:t xml:space="preserve">G. </w:t>
      </w:r>
      <w:r w:rsidRPr="00DA4716">
        <w:rPr>
          <w:rFonts w:ascii="Times New Roman" w:hAnsi="Times New Roman" w:cs="Times New Roman"/>
          <w:smallCaps/>
          <w:sz w:val="24"/>
          <w:szCs w:val="24"/>
        </w:rPr>
        <w:t>Lubkin</w:t>
      </w:r>
      <w:r w:rsidRPr="00DA4716">
        <w:rPr>
          <w:rFonts w:ascii="Times New Roman" w:hAnsi="Times New Roman" w:cs="Times New Roman"/>
          <w:sz w:val="24"/>
          <w:szCs w:val="24"/>
        </w:rPr>
        <w:t xml:space="preserve">, </w:t>
      </w:r>
      <w:r w:rsidRPr="00DA4716">
        <w:rPr>
          <w:rFonts w:ascii="Times New Roman" w:hAnsi="Times New Roman" w:cs="Times New Roman"/>
          <w:i/>
          <w:sz w:val="24"/>
          <w:szCs w:val="24"/>
        </w:rPr>
        <w:t>A Renaissance Court, Milan under Galeazzo Maria Sforza</w:t>
      </w:r>
      <w:r w:rsidRPr="00DA4716">
        <w:rPr>
          <w:rFonts w:ascii="Times New Roman" w:hAnsi="Times New Roman" w:cs="Times New Roman"/>
          <w:sz w:val="24"/>
          <w:szCs w:val="24"/>
        </w:rPr>
        <w:t>, Berkeley, University of California Press, 1994.</w:t>
      </w:r>
    </w:p>
    <w:p w14:paraId="2E872560" w14:textId="77777777" w:rsidR="00796A9D" w:rsidRPr="0099152E" w:rsidRDefault="00796A9D" w:rsidP="00796A9D">
      <w:pPr>
        <w:spacing w:after="0"/>
        <w:jc w:val="both"/>
        <w:rPr>
          <w:rFonts w:ascii="Times New Roman" w:hAnsi="Times New Roman" w:cs="Times New Roman"/>
          <w:sz w:val="24"/>
          <w:szCs w:val="24"/>
        </w:rPr>
      </w:pPr>
    </w:p>
    <w:p w14:paraId="11B18F39" w14:textId="77777777" w:rsidR="00796A9D" w:rsidRPr="008A5CC2" w:rsidRDefault="00796A9D" w:rsidP="00796A9D">
      <w:pPr>
        <w:spacing w:after="0"/>
        <w:jc w:val="both"/>
        <w:rPr>
          <w:rFonts w:ascii="Times New Roman" w:hAnsi="Times New Roman" w:cs="Times New Roman"/>
          <w:sz w:val="24"/>
          <w:szCs w:val="24"/>
        </w:rPr>
      </w:pPr>
      <w:r w:rsidRPr="008A5CC2">
        <w:rPr>
          <w:rFonts w:ascii="Times New Roman" w:hAnsi="Times New Roman" w:cs="Times New Roman"/>
          <w:smallCaps/>
          <w:sz w:val="24"/>
          <w:szCs w:val="24"/>
        </w:rPr>
        <w:t>A. Luzio, R. Renier</w:t>
      </w:r>
      <w:r w:rsidRPr="008A5CC2">
        <w:rPr>
          <w:rFonts w:ascii="Times New Roman" w:hAnsi="Times New Roman" w:cs="Times New Roman"/>
          <w:sz w:val="24"/>
          <w:szCs w:val="24"/>
        </w:rPr>
        <w:t xml:space="preserve">, </w:t>
      </w:r>
      <w:r w:rsidRPr="008A5CC2">
        <w:rPr>
          <w:rFonts w:ascii="Times New Roman" w:hAnsi="Times New Roman" w:cs="Times New Roman"/>
          <w:i/>
          <w:sz w:val="24"/>
          <w:szCs w:val="24"/>
        </w:rPr>
        <w:t>Delle relazioni di Isabella d’Este Gonzaga con Ludovico e Beatrice Sforza</w:t>
      </w:r>
      <w:r w:rsidRPr="008A5CC2">
        <w:rPr>
          <w:rFonts w:ascii="Times New Roman" w:hAnsi="Times New Roman" w:cs="Times New Roman"/>
          <w:sz w:val="24"/>
          <w:szCs w:val="24"/>
        </w:rPr>
        <w:t>, Milano, Bortolotti, 1890.</w:t>
      </w:r>
    </w:p>
    <w:p w14:paraId="63D02BC9" w14:textId="77777777" w:rsidR="00796A9D" w:rsidRDefault="00796A9D" w:rsidP="00796A9D">
      <w:pPr>
        <w:spacing w:after="0"/>
        <w:jc w:val="both"/>
        <w:rPr>
          <w:rFonts w:ascii="Times New Roman" w:hAnsi="Times New Roman" w:cs="Times New Roman"/>
          <w:smallCaps/>
          <w:sz w:val="24"/>
          <w:szCs w:val="24"/>
        </w:rPr>
      </w:pPr>
    </w:p>
    <w:p w14:paraId="442CB30F" w14:textId="77777777" w:rsidR="00796A9D" w:rsidRDefault="00796A9D" w:rsidP="00796A9D">
      <w:pPr>
        <w:spacing w:after="0"/>
        <w:jc w:val="both"/>
        <w:rPr>
          <w:rFonts w:ascii="Times New Roman" w:hAnsi="Times New Roman" w:cs="Times New Roman"/>
          <w:sz w:val="24"/>
          <w:szCs w:val="24"/>
        </w:rPr>
      </w:pPr>
      <w:r w:rsidRPr="00AA11E1">
        <w:rPr>
          <w:rFonts w:ascii="Times New Roman" w:hAnsi="Times New Roman" w:cs="Times New Roman"/>
          <w:smallCaps/>
          <w:sz w:val="24"/>
          <w:szCs w:val="24"/>
        </w:rPr>
        <w:t>A. Luzio, R. Renier</w:t>
      </w:r>
      <w:r w:rsidRPr="00AA11E1">
        <w:rPr>
          <w:rFonts w:ascii="Times New Roman" w:hAnsi="Times New Roman" w:cs="Times New Roman"/>
          <w:sz w:val="24"/>
          <w:szCs w:val="24"/>
        </w:rPr>
        <w:t xml:space="preserve">, </w:t>
      </w:r>
      <w:r w:rsidRPr="00AA11E1">
        <w:rPr>
          <w:rFonts w:ascii="Times New Roman" w:hAnsi="Times New Roman" w:cs="Times New Roman"/>
          <w:i/>
          <w:sz w:val="24"/>
          <w:szCs w:val="24"/>
        </w:rPr>
        <w:t>Mantova e Urbino (1471-1539). Isabella d’Este ed Elisabetta Gonzaga nelle relazioni famigliari e nelle vicende politiche</w:t>
      </w:r>
      <w:r w:rsidRPr="00AA11E1">
        <w:rPr>
          <w:rFonts w:ascii="Times New Roman" w:hAnsi="Times New Roman" w:cs="Times New Roman"/>
          <w:sz w:val="24"/>
          <w:szCs w:val="24"/>
        </w:rPr>
        <w:t>, Torino, Roux, 1893.</w:t>
      </w:r>
    </w:p>
    <w:p w14:paraId="01DE15A7" w14:textId="77777777" w:rsidR="00796A9D" w:rsidRDefault="00796A9D" w:rsidP="00796A9D">
      <w:pPr>
        <w:spacing w:after="0"/>
        <w:jc w:val="both"/>
        <w:rPr>
          <w:rFonts w:ascii="Times New Roman" w:hAnsi="Times New Roman" w:cs="Times New Roman"/>
          <w:smallCaps/>
          <w:sz w:val="24"/>
          <w:szCs w:val="24"/>
        </w:rPr>
      </w:pPr>
    </w:p>
    <w:p w14:paraId="3FF15AEB"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Luzio, R. Renier</w:t>
      </w:r>
      <w:r w:rsidRPr="00BA2DBB">
        <w:rPr>
          <w:rFonts w:ascii="Times New Roman" w:hAnsi="Times New Roman" w:cs="Times New Roman"/>
          <w:i/>
          <w:sz w:val="24"/>
          <w:szCs w:val="24"/>
        </w:rPr>
        <w:t>, La coltura e le relazioni letterarie di Isabella d’Este Gonzaga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S. Albonico</w:t>
      </w:r>
      <w:r w:rsidRPr="00BA2DBB">
        <w:rPr>
          <w:rFonts w:ascii="Times New Roman" w:hAnsi="Times New Roman" w:cs="Times New Roman"/>
          <w:sz w:val="24"/>
          <w:szCs w:val="24"/>
        </w:rPr>
        <w:t>, Milano, Sylvestre Bonnard, 2005.</w:t>
      </w:r>
    </w:p>
    <w:p w14:paraId="2939CC81" w14:textId="77777777" w:rsidR="00796A9D" w:rsidRDefault="00796A9D" w:rsidP="00796A9D">
      <w:pPr>
        <w:spacing w:after="0" w:line="240" w:lineRule="auto"/>
        <w:jc w:val="both"/>
        <w:rPr>
          <w:rFonts w:ascii="Times New Roman" w:hAnsi="Times New Roman" w:cs="Times New Roman"/>
          <w:sz w:val="24"/>
          <w:szCs w:val="24"/>
        </w:rPr>
      </w:pPr>
    </w:p>
    <w:p w14:paraId="29674742" w14:textId="77777777" w:rsidR="00796A9D" w:rsidRDefault="00796A9D" w:rsidP="00796A9D">
      <w:pPr>
        <w:spacing w:after="0" w:line="240" w:lineRule="auto"/>
        <w:jc w:val="both"/>
        <w:rPr>
          <w:rFonts w:ascii="Times New Roman" w:hAnsi="Times New Roman" w:cs="Times New Roman"/>
          <w:sz w:val="24"/>
          <w:szCs w:val="24"/>
        </w:rPr>
      </w:pPr>
      <w:r w:rsidRPr="00BA2DBB">
        <w:rPr>
          <w:rFonts w:ascii="Times New Roman" w:hAnsi="Times New Roman" w:cs="Times New Roman"/>
          <w:sz w:val="24"/>
          <w:szCs w:val="24"/>
        </w:rPr>
        <w:t xml:space="preserve">G. </w:t>
      </w:r>
      <w:r w:rsidRPr="00BA2DBB">
        <w:rPr>
          <w:rFonts w:ascii="Times New Roman" w:hAnsi="Times New Roman" w:cs="Times New Roman"/>
          <w:smallCaps/>
          <w:sz w:val="24"/>
          <w:szCs w:val="24"/>
        </w:rPr>
        <w:t>Macchiavelli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Dizionario dei librai di Napoli nel Rinascimento</w:t>
      </w:r>
      <w:r w:rsidRPr="00BA2DBB">
        <w:rPr>
          <w:rFonts w:ascii="Times New Roman" w:hAnsi="Times New Roman" w:cs="Times New Roman"/>
          <w:sz w:val="24"/>
          <w:szCs w:val="24"/>
        </w:rPr>
        <w:t xml:space="preserve">, Napoli, M. D’Auria, 2012. </w:t>
      </w:r>
    </w:p>
    <w:p w14:paraId="7A257302" w14:textId="77777777" w:rsidR="00796A9D" w:rsidRDefault="00796A9D" w:rsidP="00796A9D">
      <w:pPr>
        <w:spacing w:after="0" w:line="240" w:lineRule="auto"/>
        <w:jc w:val="both"/>
        <w:rPr>
          <w:rFonts w:ascii="Times New Roman" w:hAnsi="Times New Roman" w:cs="Times New Roman"/>
          <w:sz w:val="24"/>
          <w:szCs w:val="24"/>
        </w:rPr>
      </w:pPr>
    </w:p>
    <w:p w14:paraId="09BA113C" w14:textId="77777777" w:rsidR="00796A9D" w:rsidRDefault="00796A9D" w:rsidP="00796A9D">
      <w:pPr>
        <w:pStyle w:val="Testonotaapidipagina"/>
        <w:jc w:val="both"/>
        <w:rPr>
          <w:sz w:val="24"/>
          <w:szCs w:val="24"/>
        </w:rPr>
      </w:pPr>
      <w:r w:rsidRPr="00372DF6">
        <w:rPr>
          <w:rFonts w:ascii="Times New Roman" w:hAnsi="Times New Roman" w:cs="Times New Roman"/>
          <w:i/>
          <w:sz w:val="24"/>
          <w:szCs w:val="24"/>
        </w:rPr>
        <w:t>Maestri della scultura in legno nel Ducato degli Sforza. Catalogo della mostra</w:t>
      </w:r>
      <w:r w:rsidRPr="00372DF6">
        <w:rPr>
          <w:rFonts w:ascii="Times New Roman" w:hAnsi="Times New Roman" w:cs="Times New Roman"/>
          <w:sz w:val="24"/>
          <w:szCs w:val="24"/>
        </w:rPr>
        <w:t xml:space="preserve"> (Milano, 21 ottobre 2005-29 gennaio 2006), a cura di </w:t>
      </w:r>
      <w:r w:rsidRPr="00372DF6">
        <w:rPr>
          <w:rFonts w:ascii="Times New Roman" w:hAnsi="Times New Roman" w:cs="Times New Roman"/>
          <w:smallCaps/>
          <w:sz w:val="24"/>
          <w:szCs w:val="24"/>
        </w:rPr>
        <w:t>G. Romano, C. Salsi</w:t>
      </w:r>
      <w:r w:rsidRPr="00372DF6">
        <w:rPr>
          <w:rFonts w:ascii="Times New Roman" w:hAnsi="Times New Roman" w:cs="Times New Roman"/>
          <w:sz w:val="24"/>
          <w:szCs w:val="24"/>
        </w:rPr>
        <w:t>, Cinisello Balsamo, Silvana, 2005</w:t>
      </w:r>
      <w:r w:rsidRPr="00372DF6">
        <w:rPr>
          <w:sz w:val="24"/>
          <w:szCs w:val="24"/>
        </w:rPr>
        <w:t xml:space="preserve">. </w:t>
      </w:r>
    </w:p>
    <w:p w14:paraId="4233E7DD" w14:textId="77777777" w:rsidR="00796A9D" w:rsidRDefault="00796A9D" w:rsidP="00796A9D">
      <w:pPr>
        <w:pStyle w:val="Testonotaapidipagina"/>
        <w:jc w:val="both"/>
        <w:rPr>
          <w:sz w:val="24"/>
          <w:szCs w:val="24"/>
        </w:rPr>
      </w:pPr>
    </w:p>
    <w:p w14:paraId="5C52E48C" w14:textId="77777777" w:rsidR="00796A9D" w:rsidRPr="00CE1BBB" w:rsidRDefault="00796A9D" w:rsidP="00796A9D">
      <w:pPr>
        <w:pStyle w:val="Testonotaapidipagina"/>
        <w:jc w:val="both"/>
        <w:rPr>
          <w:sz w:val="24"/>
          <w:szCs w:val="24"/>
        </w:rPr>
      </w:pPr>
      <w:r w:rsidRPr="00CE1BBB">
        <w:rPr>
          <w:rFonts w:ascii="Times New Roman" w:hAnsi="Times New Roman" w:cs="Times New Roman"/>
          <w:smallCaps/>
          <w:sz w:val="24"/>
          <w:szCs w:val="24"/>
        </w:rPr>
        <w:t>G. Malacarne</w:t>
      </w:r>
      <w:r w:rsidRPr="00CE1BBB">
        <w:rPr>
          <w:rFonts w:ascii="Times New Roman" w:hAnsi="Times New Roman" w:cs="Times New Roman"/>
          <w:sz w:val="24"/>
          <w:szCs w:val="24"/>
        </w:rPr>
        <w:t xml:space="preserve">, </w:t>
      </w:r>
      <w:r w:rsidRPr="00CE1BBB">
        <w:rPr>
          <w:rFonts w:ascii="Times New Roman" w:hAnsi="Times New Roman" w:cs="Times New Roman"/>
          <w:i/>
          <w:sz w:val="24"/>
          <w:szCs w:val="24"/>
        </w:rPr>
        <w:t>Sulla mensa del principe. Alimentazione e banchetti alla Corte dei Gonzaga</w:t>
      </w:r>
      <w:r w:rsidRPr="00CE1BBB">
        <w:rPr>
          <w:rFonts w:ascii="Times New Roman" w:hAnsi="Times New Roman" w:cs="Times New Roman"/>
          <w:sz w:val="24"/>
          <w:szCs w:val="24"/>
        </w:rPr>
        <w:t>, Modena, il Bulino, 2000.</w:t>
      </w:r>
    </w:p>
    <w:p w14:paraId="7316B1D6" w14:textId="77777777" w:rsidR="00796A9D" w:rsidRDefault="00796A9D" w:rsidP="00796A9D">
      <w:pPr>
        <w:pStyle w:val="Testonotaapidipagina"/>
        <w:jc w:val="both"/>
        <w:rPr>
          <w:rFonts w:ascii="Times New Roman" w:hAnsi="Times New Roman" w:cs="Times New Roman"/>
          <w:sz w:val="24"/>
          <w:szCs w:val="24"/>
        </w:rPr>
      </w:pPr>
    </w:p>
    <w:p w14:paraId="48B15CEC" w14:textId="77777777" w:rsidR="00796A9D" w:rsidRPr="00E259C2" w:rsidRDefault="00796A9D" w:rsidP="00796A9D">
      <w:pPr>
        <w:pStyle w:val="Testonotaapidipagina"/>
        <w:jc w:val="both"/>
        <w:rPr>
          <w:rFonts w:ascii="Times New Roman" w:hAnsi="Times New Roman" w:cs="Times New Roman"/>
          <w:sz w:val="24"/>
          <w:szCs w:val="24"/>
        </w:rPr>
      </w:pPr>
      <w:r w:rsidRPr="00E259C2">
        <w:rPr>
          <w:rFonts w:ascii="Times New Roman" w:hAnsi="Times New Roman" w:cs="Times New Roman"/>
          <w:smallCaps/>
          <w:sz w:val="24"/>
          <w:szCs w:val="24"/>
        </w:rPr>
        <w:t>S. Mamone</w:t>
      </w:r>
      <w:r w:rsidRPr="00E259C2">
        <w:rPr>
          <w:rFonts w:ascii="Times New Roman" w:hAnsi="Times New Roman" w:cs="Times New Roman"/>
          <w:sz w:val="24"/>
          <w:szCs w:val="24"/>
        </w:rPr>
        <w:t xml:space="preserve">, </w:t>
      </w:r>
      <w:r w:rsidRPr="00E259C2">
        <w:rPr>
          <w:rFonts w:ascii="Times New Roman" w:hAnsi="Times New Roman" w:cs="Times New Roman"/>
          <w:i/>
          <w:sz w:val="24"/>
          <w:szCs w:val="24"/>
        </w:rPr>
        <w:t>Dèi, semidei e uomini. Lo spettacolo a Firenze tra neoplatonismo e realtà borghese (XV-XVII secolo),</w:t>
      </w:r>
      <w:r w:rsidRPr="00E259C2">
        <w:rPr>
          <w:rFonts w:ascii="Times New Roman" w:hAnsi="Times New Roman" w:cs="Times New Roman"/>
          <w:sz w:val="24"/>
          <w:szCs w:val="24"/>
        </w:rPr>
        <w:t xml:space="preserve"> Roma, Bulzoni, 2003, pp.  81-107.</w:t>
      </w:r>
    </w:p>
    <w:p w14:paraId="57469F14" w14:textId="77777777" w:rsidR="00796A9D" w:rsidRDefault="00796A9D" w:rsidP="00796A9D">
      <w:pPr>
        <w:spacing w:after="0" w:line="240" w:lineRule="auto"/>
        <w:jc w:val="both"/>
        <w:rPr>
          <w:rFonts w:ascii="Times New Roman" w:hAnsi="Times New Roman" w:cs="Times New Roman"/>
          <w:sz w:val="24"/>
          <w:szCs w:val="24"/>
        </w:rPr>
      </w:pPr>
    </w:p>
    <w:p w14:paraId="4B5197D5" w14:textId="77777777" w:rsidR="00796A9D" w:rsidRPr="00037EA6" w:rsidRDefault="00796A9D" w:rsidP="00796A9D">
      <w:pPr>
        <w:spacing w:after="0" w:line="240" w:lineRule="auto"/>
        <w:jc w:val="both"/>
        <w:rPr>
          <w:rFonts w:ascii="Times New Roman" w:hAnsi="Times New Roman" w:cs="Times New Roman"/>
          <w:sz w:val="24"/>
          <w:szCs w:val="24"/>
        </w:rPr>
      </w:pPr>
      <w:r w:rsidRPr="00037EA6">
        <w:rPr>
          <w:rFonts w:ascii="Times New Roman" w:hAnsi="Times New Roman" w:cs="Times New Roman"/>
          <w:smallCaps/>
          <w:sz w:val="24"/>
          <w:szCs w:val="24"/>
        </w:rPr>
        <w:t>A. Manciulli</w:t>
      </w:r>
      <w:r w:rsidRPr="00037EA6">
        <w:rPr>
          <w:rFonts w:ascii="Times New Roman" w:hAnsi="Times New Roman" w:cs="Times New Roman"/>
          <w:sz w:val="24"/>
          <w:szCs w:val="24"/>
        </w:rPr>
        <w:t xml:space="preserve">, </w:t>
      </w:r>
      <w:r w:rsidRPr="00037EA6">
        <w:rPr>
          <w:rFonts w:ascii="Times New Roman" w:hAnsi="Times New Roman" w:cs="Times New Roman"/>
          <w:i/>
          <w:sz w:val="24"/>
          <w:szCs w:val="24"/>
        </w:rPr>
        <w:t>Le arti della tavola</w:t>
      </w:r>
      <w:r w:rsidRPr="00037EA6">
        <w:rPr>
          <w:rFonts w:ascii="Times New Roman" w:hAnsi="Times New Roman" w:cs="Times New Roman"/>
          <w:sz w:val="24"/>
          <w:szCs w:val="24"/>
        </w:rPr>
        <w:t xml:space="preserve">, in </w:t>
      </w:r>
      <w:r w:rsidRPr="00037EA6">
        <w:rPr>
          <w:rFonts w:ascii="Times New Roman" w:hAnsi="Times New Roman" w:cs="Times New Roman"/>
          <w:i/>
          <w:sz w:val="24"/>
          <w:szCs w:val="24"/>
        </w:rPr>
        <w:t>Et coquatur ponendo. Cultura della cucina e della tavola in Europa tra medioevo ed età moderna</w:t>
      </w:r>
      <w:r w:rsidRPr="00037EA6">
        <w:rPr>
          <w:rFonts w:ascii="Times New Roman" w:hAnsi="Times New Roman" w:cs="Times New Roman"/>
          <w:sz w:val="24"/>
          <w:szCs w:val="24"/>
        </w:rPr>
        <w:t>, Prato, Istituto internazionale di Storia economica, 1996, pp. 325-340.</w:t>
      </w:r>
    </w:p>
    <w:p w14:paraId="143AB0DB" w14:textId="77777777" w:rsidR="00796A9D" w:rsidRPr="00BA2DBB" w:rsidRDefault="00796A9D" w:rsidP="00796A9D">
      <w:pPr>
        <w:spacing w:after="0" w:line="240" w:lineRule="auto"/>
        <w:jc w:val="both"/>
        <w:rPr>
          <w:rFonts w:ascii="Times New Roman" w:hAnsi="Times New Roman" w:cs="Times New Roman"/>
          <w:sz w:val="24"/>
          <w:szCs w:val="24"/>
        </w:rPr>
      </w:pPr>
    </w:p>
    <w:p w14:paraId="2A9F794F"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Manfredi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codici latini di Niccolò V. Edizione degli inventari e identificazione dei manoscritti</w:t>
      </w:r>
      <w:r w:rsidRPr="00BA2DBB">
        <w:rPr>
          <w:rFonts w:ascii="Times New Roman" w:hAnsi="Times New Roman" w:cs="Times New Roman"/>
          <w:sz w:val="24"/>
          <w:szCs w:val="24"/>
        </w:rPr>
        <w:t>, Città del Vaticano, Biblioteca Apostolica Vaticana, 1994.</w:t>
      </w:r>
    </w:p>
    <w:p w14:paraId="42FD8492" w14:textId="77777777" w:rsidR="00796A9D" w:rsidRDefault="00796A9D" w:rsidP="00796A9D">
      <w:pPr>
        <w:spacing w:after="0"/>
        <w:jc w:val="both"/>
        <w:rPr>
          <w:rFonts w:ascii="Times New Roman" w:hAnsi="Times New Roman" w:cs="Times New Roman"/>
          <w:smallCaps/>
          <w:sz w:val="24"/>
          <w:szCs w:val="24"/>
        </w:rPr>
      </w:pPr>
    </w:p>
    <w:p w14:paraId="12D3A9B6"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Manfredi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nascita della Vaticana in età umanistica da Niccolò V a Sisto IV</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origini della Biblioteca Vaticana tra Umanesimo e Rinascimento (1447-1534)</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Idem</w:t>
      </w:r>
      <w:r w:rsidRPr="00BA2DBB">
        <w:rPr>
          <w:rFonts w:ascii="Times New Roman" w:hAnsi="Times New Roman" w:cs="Times New Roman"/>
          <w:sz w:val="24"/>
          <w:szCs w:val="24"/>
        </w:rPr>
        <w:t>, Città del Vaticano, Biblioteca Apostolica Vaticana, 2010, pp. 159-165.</w:t>
      </w:r>
    </w:p>
    <w:p w14:paraId="5D226855" w14:textId="77777777" w:rsidR="00796A9D" w:rsidRPr="00BA2DBB" w:rsidRDefault="00796A9D" w:rsidP="00796A9D">
      <w:pPr>
        <w:spacing w:after="0"/>
        <w:jc w:val="both"/>
        <w:rPr>
          <w:rFonts w:ascii="Times New Roman" w:hAnsi="Times New Roman" w:cs="Times New Roman"/>
          <w:sz w:val="24"/>
          <w:szCs w:val="24"/>
        </w:rPr>
      </w:pPr>
    </w:p>
    <w:p w14:paraId="0C096E15"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i/>
          <w:sz w:val="24"/>
          <w:szCs w:val="24"/>
        </w:rPr>
        <w:t>Mantegna 1431-1506</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Agosti, D. Thiébaut</w:t>
      </w:r>
      <w:r w:rsidRPr="00BA2DBB">
        <w:rPr>
          <w:rFonts w:ascii="Times New Roman" w:hAnsi="Times New Roman" w:cs="Times New Roman"/>
          <w:sz w:val="24"/>
          <w:szCs w:val="24"/>
        </w:rPr>
        <w:t xml:space="preserve">, Milano, Officina Libraria, 2008. </w:t>
      </w:r>
    </w:p>
    <w:p w14:paraId="60D0D001" w14:textId="77777777" w:rsidR="00796A9D" w:rsidRPr="00BA2DBB" w:rsidRDefault="00796A9D" w:rsidP="00796A9D">
      <w:pPr>
        <w:pStyle w:val="Testonotaapidipagina"/>
        <w:jc w:val="both"/>
        <w:rPr>
          <w:rFonts w:ascii="Times New Roman" w:hAnsi="Times New Roman" w:cs="Times New Roman"/>
          <w:sz w:val="24"/>
          <w:szCs w:val="24"/>
        </w:rPr>
      </w:pPr>
    </w:p>
    <w:p w14:paraId="45C88EEE" w14:textId="77777777" w:rsidR="00796A9D" w:rsidRPr="006C0704" w:rsidRDefault="00796A9D" w:rsidP="00796A9D">
      <w:pPr>
        <w:spacing w:after="0"/>
        <w:jc w:val="both"/>
        <w:rPr>
          <w:rFonts w:ascii="Times New Roman" w:hAnsi="Times New Roman" w:cs="Times New Roman"/>
          <w:i/>
          <w:sz w:val="24"/>
          <w:szCs w:val="24"/>
        </w:rPr>
      </w:pPr>
      <w:r w:rsidRPr="006C0704">
        <w:rPr>
          <w:rStyle w:val="Enfasicorsivo"/>
          <w:rFonts w:ascii="Times New Roman" w:hAnsi="Times New Roman" w:cs="Times New Roman"/>
          <w:smallCaps/>
          <w:color w:val="000000"/>
          <w:sz w:val="24"/>
          <w:szCs w:val="24"/>
          <w:shd w:val="clear" w:color="auto" w:fill="FFFFFF"/>
        </w:rPr>
        <w:t>B. Maracchi Biagiarelli</w:t>
      </w:r>
      <w:r w:rsidRPr="006C0704">
        <w:rPr>
          <w:rStyle w:val="Enfasicorsivo"/>
          <w:rFonts w:ascii="Times New Roman" w:hAnsi="Times New Roman" w:cs="Times New Roman"/>
          <w:color w:val="000000"/>
          <w:sz w:val="24"/>
          <w:szCs w:val="24"/>
          <w:shd w:val="clear" w:color="auto" w:fill="FFFFFF"/>
        </w:rPr>
        <w:t>,</w:t>
      </w:r>
      <w:r w:rsidRPr="00BA2DBB">
        <w:rPr>
          <w:rStyle w:val="Enfasicorsivo"/>
          <w:rFonts w:ascii="Times New Roman" w:hAnsi="Times New Roman" w:cs="Times New Roman"/>
          <w:color w:val="000000"/>
          <w:sz w:val="24"/>
          <w:szCs w:val="24"/>
          <w:shd w:val="clear" w:color="auto" w:fill="FFFFFF"/>
        </w:rPr>
        <w:t xml:space="preserve"> Il privilegio di stampatore ducale nella Firenze Medicea, </w:t>
      </w:r>
      <w:r w:rsidRPr="006C0704">
        <w:rPr>
          <w:rStyle w:val="Enfasicorsivo"/>
          <w:rFonts w:ascii="Times New Roman" w:hAnsi="Times New Roman" w:cs="Times New Roman"/>
          <w:color w:val="000000"/>
          <w:sz w:val="24"/>
          <w:szCs w:val="24"/>
          <w:shd w:val="clear" w:color="auto" w:fill="FFFFFF"/>
        </w:rPr>
        <w:t xml:space="preserve">«Archivio Storico Italiano», CCXXIII, 1965, pp. 342-247.  </w:t>
      </w:r>
      <w:r w:rsidRPr="006C0704">
        <w:rPr>
          <w:rFonts w:ascii="Times New Roman" w:hAnsi="Times New Roman" w:cs="Times New Roman"/>
          <w:i/>
          <w:sz w:val="24"/>
          <w:szCs w:val="24"/>
        </w:rPr>
        <w:t xml:space="preserve">  </w:t>
      </w:r>
    </w:p>
    <w:p w14:paraId="3A200EC3" w14:textId="77777777" w:rsidR="00796A9D" w:rsidRDefault="00796A9D" w:rsidP="00796A9D">
      <w:pPr>
        <w:spacing w:after="0"/>
        <w:jc w:val="both"/>
        <w:rPr>
          <w:rFonts w:ascii="Times New Roman" w:hAnsi="Times New Roman" w:cs="Times New Roman"/>
          <w:sz w:val="24"/>
          <w:szCs w:val="24"/>
        </w:rPr>
      </w:pPr>
    </w:p>
    <w:p w14:paraId="7AE3218F" w14:textId="77777777" w:rsidR="00796A9D" w:rsidRPr="00825919" w:rsidRDefault="00796A9D" w:rsidP="00796A9D">
      <w:pPr>
        <w:spacing w:after="0"/>
        <w:jc w:val="both"/>
        <w:rPr>
          <w:rFonts w:ascii="Times New Roman" w:hAnsi="Times New Roman" w:cs="Times New Roman"/>
          <w:sz w:val="24"/>
          <w:szCs w:val="24"/>
        </w:rPr>
      </w:pPr>
      <w:r w:rsidRPr="00825919">
        <w:rPr>
          <w:rFonts w:ascii="Times New Roman" w:hAnsi="Times New Roman" w:cs="Times New Roman"/>
          <w:smallCaps/>
          <w:sz w:val="24"/>
          <w:szCs w:val="24"/>
        </w:rPr>
        <w:t>P.C. Marani</w:t>
      </w:r>
      <w:r w:rsidRPr="00825919">
        <w:rPr>
          <w:rFonts w:ascii="Times New Roman" w:hAnsi="Times New Roman" w:cs="Times New Roman"/>
          <w:sz w:val="24"/>
          <w:szCs w:val="24"/>
        </w:rPr>
        <w:t xml:space="preserve">, </w:t>
      </w:r>
      <w:r w:rsidRPr="00825919">
        <w:rPr>
          <w:rFonts w:ascii="Times New Roman" w:hAnsi="Times New Roman" w:cs="Times New Roman"/>
          <w:i/>
          <w:sz w:val="24"/>
          <w:szCs w:val="24"/>
        </w:rPr>
        <w:t>La fortuna del San Lorenzo di Milano tra Quattro e Cinquecento: da Leonardo a Bramante e Raffaello</w:t>
      </w:r>
      <w:r w:rsidRPr="00825919">
        <w:rPr>
          <w:rFonts w:ascii="Times New Roman" w:hAnsi="Times New Roman" w:cs="Times New Roman"/>
          <w:sz w:val="24"/>
          <w:szCs w:val="24"/>
        </w:rPr>
        <w:t xml:space="preserve">, in </w:t>
      </w:r>
      <w:r w:rsidRPr="00825919">
        <w:rPr>
          <w:rFonts w:ascii="Times New Roman" w:hAnsi="Times New Roman" w:cs="Times New Roman"/>
          <w:i/>
          <w:sz w:val="24"/>
          <w:szCs w:val="24"/>
        </w:rPr>
        <w:t>La costruzione della basilica di San Lorenzo a Milano</w:t>
      </w:r>
      <w:r w:rsidRPr="00825919">
        <w:rPr>
          <w:rFonts w:ascii="Times New Roman" w:hAnsi="Times New Roman" w:cs="Times New Roman"/>
          <w:sz w:val="24"/>
          <w:szCs w:val="24"/>
        </w:rPr>
        <w:t xml:space="preserve">, a cura di L. </w:t>
      </w:r>
      <w:r w:rsidRPr="00825919">
        <w:rPr>
          <w:rFonts w:ascii="Times New Roman" w:hAnsi="Times New Roman" w:cs="Times New Roman"/>
          <w:smallCaps/>
          <w:sz w:val="24"/>
          <w:szCs w:val="24"/>
        </w:rPr>
        <w:t>Fieni</w:t>
      </w:r>
      <w:r w:rsidRPr="00825919">
        <w:rPr>
          <w:rFonts w:ascii="Times New Roman" w:hAnsi="Times New Roman" w:cs="Times New Roman"/>
          <w:sz w:val="24"/>
          <w:szCs w:val="24"/>
        </w:rPr>
        <w:t>, Cinisello Balsamo, Silvana, 2004, pp. 185-200.</w:t>
      </w:r>
    </w:p>
    <w:p w14:paraId="768B592A" w14:textId="77777777" w:rsidR="00796A9D" w:rsidRDefault="00796A9D" w:rsidP="00796A9D">
      <w:pPr>
        <w:spacing w:after="0"/>
        <w:jc w:val="both"/>
        <w:rPr>
          <w:rFonts w:ascii="Times New Roman" w:hAnsi="Times New Roman" w:cs="Times New Roman"/>
          <w:smallCaps/>
          <w:sz w:val="24"/>
          <w:szCs w:val="24"/>
        </w:rPr>
      </w:pPr>
    </w:p>
    <w:p w14:paraId="5AE8A7F4" w14:textId="77777777" w:rsidR="00D84E5D" w:rsidRPr="00D84E5D" w:rsidRDefault="00D84E5D" w:rsidP="00796A9D">
      <w:pPr>
        <w:spacing w:after="0"/>
        <w:jc w:val="both"/>
        <w:rPr>
          <w:rFonts w:ascii="Times New Roman" w:hAnsi="Times New Roman" w:cs="Times New Roman"/>
          <w:smallCaps/>
          <w:sz w:val="24"/>
          <w:szCs w:val="24"/>
        </w:rPr>
      </w:pPr>
      <w:r w:rsidRPr="00D84E5D">
        <w:rPr>
          <w:rFonts w:ascii="Times New Roman" w:hAnsi="Times New Roman" w:cs="Times New Roman"/>
          <w:sz w:val="24"/>
          <w:szCs w:val="24"/>
        </w:rPr>
        <w:t xml:space="preserve">C. </w:t>
      </w:r>
      <w:r w:rsidRPr="00D84E5D">
        <w:rPr>
          <w:rFonts w:ascii="Times New Roman" w:hAnsi="Times New Roman" w:cs="Times New Roman"/>
          <w:smallCaps/>
          <w:sz w:val="24"/>
          <w:szCs w:val="24"/>
        </w:rPr>
        <w:t>Marchesi</w:t>
      </w:r>
      <w:r w:rsidRPr="00D84E5D">
        <w:rPr>
          <w:rFonts w:ascii="Times New Roman" w:hAnsi="Times New Roman" w:cs="Times New Roman"/>
          <w:sz w:val="24"/>
          <w:szCs w:val="24"/>
        </w:rPr>
        <w:t xml:space="preserve">, </w:t>
      </w:r>
      <w:r w:rsidRPr="00D84E5D">
        <w:rPr>
          <w:rFonts w:ascii="Times New Roman" w:hAnsi="Times New Roman" w:cs="Times New Roman"/>
          <w:i/>
          <w:sz w:val="24"/>
          <w:szCs w:val="24"/>
        </w:rPr>
        <w:t>Documenti inediti sugli umanisti fiorentini della seconda metà del sec. XV</w:t>
      </w:r>
      <w:r w:rsidRPr="00D84E5D">
        <w:rPr>
          <w:rFonts w:ascii="Times New Roman" w:hAnsi="Times New Roman" w:cs="Times New Roman"/>
          <w:sz w:val="24"/>
          <w:szCs w:val="24"/>
        </w:rPr>
        <w:t>, Catania, Giannotta, 1899</w:t>
      </w:r>
      <w:r>
        <w:rPr>
          <w:rFonts w:ascii="Times New Roman" w:hAnsi="Times New Roman" w:cs="Times New Roman"/>
          <w:sz w:val="24"/>
          <w:szCs w:val="24"/>
        </w:rPr>
        <w:t>.</w:t>
      </w:r>
    </w:p>
    <w:p w14:paraId="2A8013AF" w14:textId="77777777" w:rsidR="00D84E5D" w:rsidRDefault="00D84E5D" w:rsidP="00796A9D">
      <w:pPr>
        <w:spacing w:after="0"/>
        <w:jc w:val="both"/>
        <w:rPr>
          <w:rFonts w:ascii="Times New Roman" w:hAnsi="Times New Roman" w:cs="Times New Roman"/>
          <w:smallCaps/>
          <w:sz w:val="24"/>
          <w:szCs w:val="24"/>
        </w:rPr>
      </w:pPr>
    </w:p>
    <w:p w14:paraId="0E7FE476"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J.V. Marsilla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El poder visible: demanda y funciones del arte en la corte de Alfonso el Magnánimo</w:t>
      </w:r>
      <w:r w:rsidRPr="00BA2DBB">
        <w:rPr>
          <w:rFonts w:ascii="Times New Roman" w:hAnsi="Times New Roman" w:cs="Times New Roman"/>
          <w:sz w:val="24"/>
          <w:szCs w:val="24"/>
        </w:rPr>
        <w:t>, «Ars longa: cuadernos de arte», 7-8, 1997, pp. 33-47.</w:t>
      </w:r>
    </w:p>
    <w:p w14:paraId="5B6C4C12" w14:textId="77777777" w:rsidR="00796A9D" w:rsidRDefault="00796A9D" w:rsidP="00796A9D">
      <w:pPr>
        <w:spacing w:after="0"/>
        <w:jc w:val="both"/>
        <w:rPr>
          <w:rFonts w:ascii="Times New Roman" w:hAnsi="Times New Roman" w:cs="Times New Roman"/>
          <w:smallCaps/>
          <w:sz w:val="24"/>
          <w:szCs w:val="24"/>
        </w:rPr>
      </w:pPr>
    </w:p>
    <w:p w14:paraId="64AF3A22"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C. Martelli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Bartolomeo della Gatta pittore e miniatore tra Arezzo, Roma e Urbino</w:t>
      </w:r>
      <w:r w:rsidRPr="00BA2DBB">
        <w:rPr>
          <w:rFonts w:ascii="Times New Roman" w:hAnsi="Times New Roman" w:cs="Times New Roman"/>
          <w:sz w:val="24"/>
          <w:szCs w:val="24"/>
        </w:rPr>
        <w:t>, Firenze, Centro DI, 2013.</w:t>
      </w:r>
    </w:p>
    <w:p w14:paraId="31562443" w14:textId="77777777" w:rsidR="00796A9D" w:rsidRDefault="00796A9D" w:rsidP="00796A9D">
      <w:pPr>
        <w:pStyle w:val="Testonotaapidipagina"/>
        <w:jc w:val="both"/>
        <w:rPr>
          <w:rFonts w:ascii="Times New Roman" w:hAnsi="Times New Roman" w:cs="Times New Roman"/>
          <w:smallCaps/>
          <w:sz w:val="24"/>
          <w:szCs w:val="24"/>
        </w:rPr>
      </w:pPr>
    </w:p>
    <w:p w14:paraId="50B9E61F"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M. Martelli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Formazione e significato della Biblioteca Medicea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 luoghi della memoria scritta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Manoscritti, incunaboli, libri a stampa di Biblioteche Statali Italiane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Cavallo</w:t>
      </w:r>
      <w:r w:rsidRPr="00BA2DBB">
        <w:rPr>
          <w:rFonts w:ascii="Times New Roman" w:hAnsi="Times New Roman" w:cs="Times New Roman"/>
          <w:sz w:val="24"/>
          <w:szCs w:val="24"/>
        </w:rPr>
        <w:t>, Roma, Istituto Poligrafico e Zecca dello Stato, 1994, pp. 107-113.</w:t>
      </w:r>
    </w:p>
    <w:p w14:paraId="06BE0D8E" w14:textId="77777777" w:rsidR="00796A9D" w:rsidRDefault="00796A9D" w:rsidP="00796A9D">
      <w:pPr>
        <w:pStyle w:val="Testonotaapidipagina"/>
        <w:jc w:val="both"/>
        <w:rPr>
          <w:rFonts w:ascii="Times New Roman" w:hAnsi="Times New Roman" w:cs="Times New Roman"/>
          <w:sz w:val="24"/>
          <w:szCs w:val="24"/>
        </w:rPr>
      </w:pPr>
    </w:p>
    <w:p w14:paraId="441AAF57" w14:textId="77777777" w:rsidR="00796A9D" w:rsidRPr="00835E8E" w:rsidRDefault="00796A9D" w:rsidP="00796A9D">
      <w:pPr>
        <w:pStyle w:val="Testonotaapidipagina"/>
        <w:jc w:val="both"/>
        <w:rPr>
          <w:rFonts w:ascii="Times New Roman" w:hAnsi="Times New Roman" w:cs="Times New Roman"/>
          <w:sz w:val="24"/>
          <w:szCs w:val="24"/>
        </w:rPr>
      </w:pPr>
      <w:r w:rsidRPr="00835E8E">
        <w:rPr>
          <w:rFonts w:ascii="Times New Roman" w:hAnsi="Times New Roman" w:cs="Times New Roman"/>
          <w:smallCaps/>
          <w:sz w:val="24"/>
          <w:szCs w:val="24"/>
        </w:rPr>
        <w:t>L. Marzorati, G. Rimoldi</w:t>
      </w:r>
      <w:r w:rsidRPr="00835E8E">
        <w:rPr>
          <w:rFonts w:ascii="Times New Roman" w:hAnsi="Times New Roman" w:cs="Times New Roman"/>
          <w:sz w:val="24"/>
          <w:szCs w:val="24"/>
        </w:rPr>
        <w:t xml:space="preserve">, </w:t>
      </w:r>
      <w:r w:rsidRPr="00835E8E">
        <w:rPr>
          <w:rFonts w:ascii="Times New Roman" w:hAnsi="Times New Roman" w:cs="Times New Roman"/>
          <w:i/>
          <w:sz w:val="24"/>
          <w:szCs w:val="24"/>
        </w:rPr>
        <w:t>Gian Alberto Bossi e i Vascones: figure e testimonianze di un cenacolo umanistico-gaudente nella Busto Arsizio di inizio Cinquecento</w:t>
      </w:r>
      <w:r w:rsidRPr="00835E8E">
        <w:rPr>
          <w:rFonts w:ascii="Times New Roman" w:hAnsi="Times New Roman" w:cs="Times New Roman"/>
          <w:sz w:val="24"/>
          <w:szCs w:val="24"/>
        </w:rPr>
        <w:t>, Busto Arsizio, Freeman, 2005.</w:t>
      </w:r>
    </w:p>
    <w:p w14:paraId="4EC583A2" w14:textId="77777777" w:rsidR="00796A9D" w:rsidRPr="00835E8E" w:rsidRDefault="00796A9D" w:rsidP="00796A9D">
      <w:pPr>
        <w:pStyle w:val="Testonotaapidipagina"/>
        <w:jc w:val="both"/>
        <w:rPr>
          <w:rFonts w:ascii="Times New Roman" w:hAnsi="Times New Roman" w:cs="Times New Roman"/>
          <w:sz w:val="24"/>
          <w:szCs w:val="24"/>
        </w:rPr>
      </w:pPr>
    </w:p>
    <w:p w14:paraId="0A57AE54"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F. Massip</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L’inferno in scena: presenze diaboliche nel teatro catalano medioevale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Dramma medioevale europeo</w:t>
      </w:r>
      <w:r w:rsidRPr="00BA2DBB">
        <w:rPr>
          <w:rFonts w:ascii="Times New Roman" w:hAnsi="Times New Roman" w:cs="Times New Roman"/>
          <w:sz w:val="24"/>
          <w:szCs w:val="24"/>
        </w:rPr>
        <w:t xml:space="preserve">. Atti della III conferenza internazionale su Aspetti del dramma medievale europeo (Camerino, 3-5 luglio 1998), a cura di </w:t>
      </w:r>
      <w:r w:rsidRPr="00BA2DBB">
        <w:rPr>
          <w:rFonts w:ascii="Times New Roman" w:hAnsi="Times New Roman" w:cs="Times New Roman"/>
          <w:smallCaps/>
          <w:sz w:val="24"/>
          <w:szCs w:val="24"/>
        </w:rPr>
        <w:t>S. Higgins, F. Paino</w:t>
      </w:r>
      <w:r w:rsidRPr="00BA2DBB">
        <w:rPr>
          <w:rFonts w:ascii="Times New Roman" w:hAnsi="Times New Roman" w:cs="Times New Roman"/>
          <w:sz w:val="24"/>
          <w:szCs w:val="24"/>
        </w:rPr>
        <w:t xml:space="preserve">, Camerino, Università degli Studi di Camerino, 1999, pp. 187-214. </w:t>
      </w:r>
    </w:p>
    <w:p w14:paraId="60C78323" w14:textId="77777777" w:rsidR="00796A9D" w:rsidRDefault="00796A9D" w:rsidP="00796A9D">
      <w:pPr>
        <w:pStyle w:val="Testonotaapidipagina"/>
        <w:jc w:val="both"/>
        <w:rPr>
          <w:rFonts w:ascii="Times New Roman" w:hAnsi="Times New Roman" w:cs="Times New Roman"/>
          <w:sz w:val="24"/>
          <w:szCs w:val="24"/>
        </w:rPr>
      </w:pPr>
    </w:p>
    <w:p w14:paraId="60FEBF83" w14:textId="77777777" w:rsidR="00796A9D" w:rsidRPr="00D55CA6" w:rsidRDefault="00796A9D" w:rsidP="00796A9D">
      <w:pPr>
        <w:pStyle w:val="Testonotaapidipagina"/>
        <w:jc w:val="both"/>
        <w:rPr>
          <w:rFonts w:ascii="Times New Roman" w:hAnsi="Times New Roman" w:cs="Times New Roman"/>
          <w:sz w:val="24"/>
          <w:szCs w:val="24"/>
        </w:rPr>
      </w:pPr>
      <w:r w:rsidRPr="00D55CA6">
        <w:rPr>
          <w:rFonts w:ascii="Times New Roman" w:hAnsi="Times New Roman" w:cs="Times New Roman"/>
          <w:sz w:val="24"/>
          <w:szCs w:val="24"/>
        </w:rPr>
        <w:t xml:space="preserve">A. </w:t>
      </w:r>
      <w:r w:rsidRPr="00D55CA6">
        <w:rPr>
          <w:rFonts w:ascii="Times New Roman" w:hAnsi="Times New Roman" w:cs="Times New Roman"/>
          <w:smallCaps/>
          <w:sz w:val="24"/>
          <w:szCs w:val="24"/>
        </w:rPr>
        <w:t>Maurizzi</w:t>
      </w:r>
      <w:r w:rsidRPr="00D55CA6">
        <w:rPr>
          <w:rFonts w:ascii="Times New Roman" w:hAnsi="Times New Roman" w:cs="Times New Roman"/>
          <w:sz w:val="24"/>
          <w:szCs w:val="24"/>
        </w:rPr>
        <w:t xml:space="preserve">, </w:t>
      </w:r>
      <w:r w:rsidRPr="00D55CA6">
        <w:rPr>
          <w:rFonts w:ascii="Times New Roman" w:hAnsi="Times New Roman" w:cs="Times New Roman"/>
          <w:i/>
          <w:sz w:val="24"/>
          <w:szCs w:val="24"/>
        </w:rPr>
        <w:t>Bologna, 27 gennaio/2 febbraio 1487: il corteo trionfale e la fabula mitologica nelle nozze tra Annibale Bentivoglio e Lucrezia d’Este</w:t>
      </w:r>
      <w:r w:rsidRPr="00D55CA6">
        <w:rPr>
          <w:rFonts w:ascii="Times New Roman" w:hAnsi="Times New Roman" w:cs="Times New Roman"/>
          <w:sz w:val="24"/>
          <w:szCs w:val="24"/>
        </w:rPr>
        <w:t>, «Engramma», rivista online, 100, settembre−ottobre 2012, http://www.engramma.it/eOS/index.php?id_articolo=579.</w:t>
      </w:r>
    </w:p>
    <w:p w14:paraId="2805F0B7" w14:textId="77777777" w:rsidR="00796A9D" w:rsidRDefault="00796A9D" w:rsidP="00796A9D">
      <w:pPr>
        <w:pStyle w:val="Testonotaapidipagina"/>
        <w:jc w:val="both"/>
        <w:rPr>
          <w:rFonts w:ascii="Times New Roman" w:hAnsi="Times New Roman" w:cs="Times New Roman"/>
          <w:smallCaps/>
          <w:sz w:val="24"/>
          <w:szCs w:val="24"/>
        </w:rPr>
      </w:pPr>
    </w:p>
    <w:p w14:paraId="06F05415"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R. Mazza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Lorenzo Rossi tipografo in Ferrara 1482-1500</w:t>
      </w:r>
      <w:r w:rsidRPr="00BA2DBB">
        <w:rPr>
          <w:rFonts w:ascii="Times New Roman" w:hAnsi="Times New Roman" w:cs="Times New Roman"/>
          <w:sz w:val="24"/>
          <w:szCs w:val="24"/>
        </w:rPr>
        <w:t>, Ferrara, Worbas, 1984.</w:t>
      </w:r>
    </w:p>
    <w:p w14:paraId="4CD65490" w14:textId="77777777" w:rsidR="00796A9D" w:rsidRPr="00BA2DBB" w:rsidRDefault="00796A9D" w:rsidP="00796A9D">
      <w:pPr>
        <w:pStyle w:val="Testonotaapidipagina"/>
        <w:jc w:val="both"/>
        <w:rPr>
          <w:rFonts w:ascii="Times New Roman" w:hAnsi="Times New Roman" w:cs="Times New Roman"/>
          <w:sz w:val="24"/>
          <w:szCs w:val="24"/>
        </w:rPr>
      </w:pPr>
    </w:p>
    <w:p w14:paraId="5576F539"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C. Mazzi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L’inventario quattrocentistico della biblioteca di S. Croce in Firenze,</w:t>
      </w:r>
      <w:r w:rsidRPr="00BA2DBB">
        <w:rPr>
          <w:rFonts w:ascii="Times New Roman" w:hAnsi="Times New Roman" w:cs="Times New Roman"/>
          <w:sz w:val="24"/>
          <w:szCs w:val="24"/>
        </w:rPr>
        <w:t xml:space="preserve"> «Rivista delle biblioteche e degli archivi», VIII, 1897-1898, pp. 16-31; 99-113; 129-147.</w:t>
      </w:r>
    </w:p>
    <w:p w14:paraId="4FAA6E89" w14:textId="77777777" w:rsidR="00796A9D" w:rsidRDefault="00796A9D" w:rsidP="00796A9D">
      <w:pPr>
        <w:pStyle w:val="Testonotaapidipagina"/>
        <w:jc w:val="both"/>
        <w:rPr>
          <w:rFonts w:ascii="Times New Roman" w:hAnsi="Times New Roman" w:cs="Times New Roman"/>
          <w:sz w:val="24"/>
          <w:szCs w:val="24"/>
        </w:rPr>
      </w:pPr>
    </w:p>
    <w:p w14:paraId="585F6E03" w14:textId="77777777" w:rsidR="00796A9D" w:rsidRPr="00415D74" w:rsidRDefault="00796A9D" w:rsidP="00796A9D">
      <w:pPr>
        <w:pStyle w:val="Testonotaapidipagina"/>
        <w:jc w:val="both"/>
        <w:rPr>
          <w:rFonts w:ascii="Times New Roman" w:hAnsi="Times New Roman" w:cs="Times New Roman"/>
          <w:sz w:val="24"/>
          <w:szCs w:val="24"/>
        </w:rPr>
      </w:pPr>
      <w:r w:rsidRPr="00415D74">
        <w:rPr>
          <w:rFonts w:ascii="Times New Roman" w:hAnsi="Times New Roman" w:cs="Times New Roman"/>
          <w:smallCaps/>
          <w:sz w:val="24"/>
          <w:szCs w:val="24"/>
        </w:rPr>
        <w:t>V. Mele</w:t>
      </w:r>
      <w:r w:rsidRPr="00415D74">
        <w:rPr>
          <w:rFonts w:ascii="Times New Roman" w:hAnsi="Times New Roman" w:cs="Times New Roman"/>
          <w:sz w:val="24"/>
          <w:szCs w:val="24"/>
        </w:rPr>
        <w:t xml:space="preserve">, </w:t>
      </w:r>
      <w:r w:rsidRPr="00415D74">
        <w:rPr>
          <w:rFonts w:ascii="Times New Roman" w:hAnsi="Times New Roman" w:cs="Times New Roman"/>
          <w:i/>
          <w:sz w:val="24"/>
          <w:szCs w:val="24"/>
        </w:rPr>
        <w:t>La creazione di una figura politica: l’entrata in Napoli di Ippolita Maria Sforza Visconti d’Aragona, duchessa di Calabria</w:t>
      </w:r>
      <w:r w:rsidRPr="00415D74">
        <w:rPr>
          <w:rFonts w:ascii="Times New Roman" w:hAnsi="Times New Roman" w:cs="Times New Roman"/>
          <w:sz w:val="24"/>
          <w:szCs w:val="24"/>
        </w:rPr>
        <w:t>, «Quaderni d’italianistica», XXXVIII, 2012, pp. 27-77.</w:t>
      </w:r>
    </w:p>
    <w:p w14:paraId="600C46AC" w14:textId="77777777" w:rsidR="00796A9D" w:rsidRPr="00BA2DBB" w:rsidRDefault="00796A9D" w:rsidP="00796A9D">
      <w:pPr>
        <w:pStyle w:val="Testonotaapidipagina"/>
        <w:jc w:val="both"/>
        <w:rPr>
          <w:rFonts w:ascii="Times New Roman" w:hAnsi="Times New Roman" w:cs="Times New Roman"/>
          <w:sz w:val="24"/>
          <w:szCs w:val="24"/>
        </w:rPr>
      </w:pPr>
    </w:p>
    <w:p w14:paraId="52002FAA"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V. Mele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corte di Ippolita Sforza, Duchessa di Calabria, nelle corrispondenze diplomatiche tra Napoli e Milano</w:t>
      </w:r>
      <w:r w:rsidRPr="00BA2DBB">
        <w:rPr>
          <w:rFonts w:ascii="Times New Roman" w:hAnsi="Times New Roman" w:cs="Times New Roman"/>
          <w:sz w:val="24"/>
          <w:szCs w:val="24"/>
        </w:rPr>
        <w:t xml:space="preserve">, «Mélanges de la Casa de Velázquez», </w:t>
      </w:r>
      <w:r>
        <w:rPr>
          <w:rFonts w:ascii="Times New Roman" w:hAnsi="Times New Roman" w:cs="Times New Roman"/>
          <w:sz w:val="24"/>
          <w:szCs w:val="24"/>
        </w:rPr>
        <w:t>XLV</w:t>
      </w:r>
      <w:r w:rsidRPr="00BA2DBB">
        <w:rPr>
          <w:rFonts w:ascii="Times New Roman" w:hAnsi="Times New Roman" w:cs="Times New Roman"/>
          <w:sz w:val="24"/>
          <w:szCs w:val="24"/>
        </w:rPr>
        <w:t xml:space="preserve">, 2015, pp. 125-141. </w:t>
      </w:r>
    </w:p>
    <w:p w14:paraId="6C317E46" w14:textId="77777777" w:rsidR="00796A9D" w:rsidRDefault="00796A9D" w:rsidP="00796A9D">
      <w:pPr>
        <w:pStyle w:val="Testonotaapidipagina"/>
        <w:jc w:val="both"/>
        <w:rPr>
          <w:rFonts w:ascii="Times New Roman" w:hAnsi="Times New Roman" w:cs="Times New Roman"/>
          <w:sz w:val="24"/>
          <w:szCs w:val="24"/>
        </w:rPr>
      </w:pPr>
    </w:p>
    <w:p w14:paraId="41C62463" w14:textId="77777777" w:rsidR="00796A9D" w:rsidRPr="00F61B03" w:rsidRDefault="00796A9D" w:rsidP="00796A9D">
      <w:pPr>
        <w:pStyle w:val="Testonotaapidipagina"/>
        <w:jc w:val="both"/>
        <w:rPr>
          <w:rFonts w:ascii="Times New Roman" w:hAnsi="Times New Roman" w:cs="Times New Roman"/>
          <w:sz w:val="24"/>
          <w:szCs w:val="24"/>
        </w:rPr>
      </w:pPr>
      <w:r w:rsidRPr="00F61B03">
        <w:rPr>
          <w:rFonts w:ascii="Times New Roman" w:hAnsi="Times New Roman" w:cs="Times New Roman"/>
          <w:smallCaps/>
          <w:sz w:val="24"/>
          <w:szCs w:val="24"/>
        </w:rPr>
        <w:t>P. Meli</w:t>
      </w:r>
      <w:r w:rsidRPr="00F61B03">
        <w:rPr>
          <w:rFonts w:ascii="Times New Roman" w:hAnsi="Times New Roman" w:cs="Times New Roman"/>
          <w:sz w:val="24"/>
          <w:szCs w:val="24"/>
        </w:rPr>
        <w:t xml:space="preserve">, </w:t>
      </w:r>
      <w:r w:rsidRPr="00F61B03">
        <w:rPr>
          <w:rFonts w:ascii="Times New Roman" w:hAnsi="Times New Roman" w:cs="Times New Roman"/>
          <w:i/>
          <w:sz w:val="24"/>
          <w:szCs w:val="24"/>
        </w:rPr>
        <w:t>Corrispondenza di Francesco Valori e Piero Vettori</w:t>
      </w:r>
      <w:r w:rsidRPr="00F61B03">
        <w:rPr>
          <w:rFonts w:ascii="Times New Roman" w:hAnsi="Times New Roman" w:cs="Times New Roman"/>
          <w:sz w:val="24"/>
          <w:szCs w:val="24"/>
        </w:rPr>
        <w:t>, Battipaglia, Laveglia &amp; Carlone, 2011.</w:t>
      </w:r>
    </w:p>
    <w:p w14:paraId="696EC59A" w14:textId="77777777" w:rsidR="00796A9D" w:rsidRPr="00BA2DBB" w:rsidRDefault="00796A9D" w:rsidP="00796A9D">
      <w:pPr>
        <w:pStyle w:val="Testonotaapidipagina"/>
        <w:jc w:val="both"/>
        <w:rPr>
          <w:rFonts w:ascii="Times New Roman" w:hAnsi="Times New Roman" w:cs="Times New Roman"/>
          <w:sz w:val="24"/>
          <w:szCs w:val="24"/>
        </w:rPr>
      </w:pPr>
    </w:p>
    <w:p w14:paraId="599F8467"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Melograni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Quanto costa la magnificenza? Il caso della “Bibia bella” di Borso d’Este</w:t>
      </w:r>
      <w:r w:rsidRPr="00BA2DBB">
        <w:rPr>
          <w:rFonts w:ascii="Times New Roman" w:hAnsi="Times New Roman" w:cs="Times New Roman"/>
          <w:sz w:val="24"/>
          <w:szCs w:val="24"/>
        </w:rPr>
        <w:t>, «Bollettino d’Arte», 144, aprile-giugno 2008, pp.7-24.</w:t>
      </w:r>
    </w:p>
    <w:p w14:paraId="57A74CFE" w14:textId="77777777" w:rsidR="00796A9D" w:rsidRPr="00BA2DBB" w:rsidRDefault="00796A9D" w:rsidP="00796A9D">
      <w:pPr>
        <w:pStyle w:val="Testonotaapidipagina"/>
        <w:jc w:val="both"/>
        <w:rPr>
          <w:rFonts w:ascii="Times New Roman" w:hAnsi="Times New Roman" w:cs="Times New Roman"/>
          <w:sz w:val="24"/>
          <w:szCs w:val="24"/>
        </w:rPr>
      </w:pPr>
    </w:p>
    <w:p w14:paraId="4841837D"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Melograni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Tipologie e costi della miniatura fiorentina di fine Quattrocento: un riesame della Bibbia di Attavante per il re di Portogallo</w:t>
      </w:r>
      <w:r w:rsidRPr="00BA2DBB">
        <w:rPr>
          <w:rFonts w:ascii="Times New Roman" w:hAnsi="Times New Roman" w:cs="Times New Roman"/>
          <w:sz w:val="24"/>
          <w:szCs w:val="24"/>
        </w:rPr>
        <w:t>, «Bollettino d’Arte», serie VII, 2011, fascicolo 10, pp. 111-124.</w:t>
      </w:r>
    </w:p>
    <w:p w14:paraId="145E3CBD" w14:textId="77777777" w:rsidR="00796A9D" w:rsidRPr="00BA2DBB" w:rsidRDefault="00796A9D" w:rsidP="00796A9D">
      <w:pPr>
        <w:pStyle w:val="Testonotaapidipagina"/>
        <w:jc w:val="both"/>
        <w:rPr>
          <w:rFonts w:ascii="Times New Roman" w:hAnsi="Times New Roman" w:cs="Times New Roman"/>
          <w:sz w:val="24"/>
          <w:szCs w:val="24"/>
        </w:rPr>
      </w:pPr>
    </w:p>
    <w:p w14:paraId="7E4CC877"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z w:val="24"/>
          <w:szCs w:val="24"/>
        </w:rPr>
        <w:t xml:space="preserve">S. </w:t>
      </w:r>
      <w:r w:rsidRPr="00BA2DBB">
        <w:rPr>
          <w:rFonts w:ascii="Times New Roman" w:hAnsi="Times New Roman" w:cs="Times New Roman"/>
          <w:smallCaps/>
          <w:sz w:val="24"/>
          <w:szCs w:val="24"/>
        </w:rPr>
        <w:t>Meschini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Bernardo Corio e le fonti della Storia di Milano,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Storia della storiografia</w:t>
      </w:r>
      <w:r w:rsidRPr="00BA2DBB">
        <w:rPr>
          <w:rFonts w:ascii="Times New Roman" w:hAnsi="Times New Roman" w:cs="Times New Roman"/>
          <w:sz w:val="24"/>
          <w:szCs w:val="24"/>
        </w:rPr>
        <w:t>, Milano, Jaca Book, vol. 56</w:t>
      </w:r>
      <w:r>
        <w:rPr>
          <w:rFonts w:ascii="Times New Roman" w:hAnsi="Times New Roman" w:cs="Times New Roman"/>
          <w:sz w:val="24"/>
          <w:szCs w:val="24"/>
        </w:rPr>
        <w:t xml:space="preserve">, </w:t>
      </w:r>
      <w:r w:rsidRPr="00BA2DBB">
        <w:rPr>
          <w:rFonts w:ascii="Times New Roman" w:hAnsi="Times New Roman" w:cs="Times New Roman"/>
          <w:sz w:val="24"/>
          <w:szCs w:val="24"/>
        </w:rPr>
        <w:t xml:space="preserve">2009, pp. 29-52.  </w:t>
      </w:r>
    </w:p>
    <w:p w14:paraId="62B38B11" w14:textId="77777777" w:rsidR="00796A9D" w:rsidRPr="00BA2DBB" w:rsidRDefault="00796A9D" w:rsidP="00796A9D">
      <w:pPr>
        <w:pStyle w:val="Testonotaapidipagina"/>
        <w:jc w:val="both"/>
        <w:rPr>
          <w:rFonts w:ascii="Times New Roman" w:hAnsi="Times New Roman" w:cs="Times New Roman"/>
          <w:sz w:val="24"/>
          <w:szCs w:val="24"/>
        </w:rPr>
      </w:pPr>
    </w:p>
    <w:p w14:paraId="1CEB0589"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C. Mezzetti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degli Estensi: inventari dei manoscritti e gestione delle raccolte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Biblioteche nella seconda metà del Quattrocento</w:t>
      </w:r>
      <w:r w:rsidRPr="00BA2DBB">
        <w:rPr>
          <w:rFonts w:ascii="Times New Roman" w:hAnsi="Times New Roman" w:cs="Times New Roman"/>
          <w:sz w:val="24"/>
          <w:szCs w:val="24"/>
        </w:rPr>
        <w:t xml:space="preserve">. Atti del Convegno (Urbino, 5-6 giugno 2008), a cura di </w:t>
      </w:r>
      <w:r w:rsidRPr="00BA2DBB">
        <w:rPr>
          <w:rFonts w:ascii="Times New Roman" w:hAnsi="Times New Roman" w:cs="Times New Roman"/>
          <w:smallCaps/>
          <w:sz w:val="24"/>
          <w:szCs w:val="24"/>
        </w:rPr>
        <w:t>G. Arbizzoni, C. Bianca, M. Peruzzi</w:t>
      </w:r>
      <w:r w:rsidRPr="00BA2DBB">
        <w:rPr>
          <w:rFonts w:ascii="Times New Roman" w:hAnsi="Times New Roman" w:cs="Times New Roman"/>
          <w:sz w:val="24"/>
          <w:szCs w:val="24"/>
        </w:rPr>
        <w:t>, Urbino, Accademia Raffaello, 2008, pp. 67-108.</w:t>
      </w:r>
    </w:p>
    <w:p w14:paraId="7F4023FE" w14:textId="77777777" w:rsidR="00796A9D" w:rsidRDefault="00796A9D" w:rsidP="00796A9D">
      <w:pPr>
        <w:spacing w:after="0"/>
        <w:jc w:val="both"/>
        <w:rPr>
          <w:rFonts w:ascii="Times New Roman" w:hAnsi="Times New Roman" w:cs="Times New Roman"/>
          <w:smallCaps/>
          <w:sz w:val="24"/>
          <w:szCs w:val="24"/>
        </w:rPr>
      </w:pPr>
    </w:p>
    <w:p w14:paraId="5AB1D590"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L. Michelini Tocci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Agapito, bibliotecario docto, acorto et diligente della biblioteca urbinate alla fine del Quattrocento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Collectanea vaticana in honorem Anselmi M. card. Albareda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 Bibliotheca Apostolica edita</w:t>
      </w:r>
      <w:r w:rsidRPr="00BA2DBB">
        <w:rPr>
          <w:rFonts w:ascii="Times New Roman" w:hAnsi="Times New Roman" w:cs="Times New Roman"/>
          <w:sz w:val="24"/>
          <w:szCs w:val="24"/>
        </w:rPr>
        <w:t>, «Studi e testi», 219, 1962, pp. 245-280.</w:t>
      </w:r>
    </w:p>
    <w:p w14:paraId="735ACCC0" w14:textId="77777777" w:rsidR="00796A9D" w:rsidRDefault="00796A9D" w:rsidP="00796A9D">
      <w:pPr>
        <w:spacing w:after="0"/>
        <w:jc w:val="both"/>
        <w:rPr>
          <w:rFonts w:ascii="Times New Roman" w:hAnsi="Times New Roman" w:cs="Times New Roman"/>
          <w:smallCaps/>
          <w:sz w:val="24"/>
          <w:szCs w:val="24"/>
        </w:rPr>
      </w:pPr>
    </w:p>
    <w:p w14:paraId="7D6DE0FA"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L. Michelini Tocci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formazione della biblioteca di Federico da Montefeltro: codici contemporanei e libri a stampa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Federico di Montefeltro. Lo stato, le arti, la cultura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Cerboni Baiardi, G. Chittolini, P. Floriani</w:t>
      </w:r>
      <w:r w:rsidRPr="00BA2DBB">
        <w:rPr>
          <w:rFonts w:ascii="Times New Roman" w:hAnsi="Times New Roman" w:cs="Times New Roman"/>
          <w:sz w:val="24"/>
          <w:szCs w:val="24"/>
        </w:rPr>
        <w:t>, Roma, Bulzoni, 1986, pp. 9-18.</w:t>
      </w:r>
    </w:p>
    <w:p w14:paraId="7B5CC124" w14:textId="77777777" w:rsidR="00796A9D" w:rsidRDefault="00796A9D" w:rsidP="00796A9D">
      <w:pPr>
        <w:spacing w:after="0"/>
        <w:jc w:val="both"/>
        <w:rPr>
          <w:rFonts w:ascii="Times New Roman" w:hAnsi="Times New Roman" w:cs="Times New Roman"/>
          <w:smallCaps/>
          <w:sz w:val="24"/>
          <w:szCs w:val="24"/>
        </w:rPr>
      </w:pPr>
    </w:p>
    <w:p w14:paraId="306A78B1"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 Miglio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Saggi di stampa. Tipografi e cultura a Roma nel Quattrocento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A. Modigliani</w:t>
      </w:r>
      <w:r w:rsidRPr="00BA2DBB">
        <w:rPr>
          <w:rFonts w:ascii="Times New Roman" w:hAnsi="Times New Roman" w:cs="Times New Roman"/>
          <w:sz w:val="24"/>
          <w:szCs w:val="24"/>
        </w:rPr>
        <w:t xml:space="preserve">, Roma, Roma nel Rinascimento, 2002. </w:t>
      </w:r>
    </w:p>
    <w:p w14:paraId="7FA4E674" w14:textId="77777777" w:rsidR="00194828" w:rsidRDefault="00194828" w:rsidP="00796A9D">
      <w:pPr>
        <w:spacing w:after="0"/>
        <w:jc w:val="both"/>
        <w:rPr>
          <w:rFonts w:ascii="Times New Roman" w:hAnsi="Times New Roman" w:cs="Times New Roman"/>
          <w:sz w:val="24"/>
          <w:szCs w:val="24"/>
        </w:rPr>
      </w:pPr>
    </w:p>
    <w:p w14:paraId="7429ED45" w14:textId="77777777" w:rsidR="00194828" w:rsidRPr="00194828" w:rsidRDefault="00194828" w:rsidP="00796A9D">
      <w:pPr>
        <w:spacing w:after="0"/>
        <w:jc w:val="both"/>
        <w:rPr>
          <w:rFonts w:ascii="Times New Roman" w:hAnsi="Times New Roman" w:cs="Times New Roman"/>
          <w:sz w:val="24"/>
          <w:szCs w:val="24"/>
        </w:rPr>
      </w:pPr>
      <w:r w:rsidRPr="00194828">
        <w:rPr>
          <w:rFonts w:ascii="Times New Roman" w:hAnsi="Times New Roman" w:cs="Times New Roman"/>
          <w:smallCaps/>
          <w:sz w:val="24"/>
          <w:szCs w:val="24"/>
        </w:rPr>
        <w:t>G. Mimois</w:t>
      </w:r>
      <w:r w:rsidRPr="00194828">
        <w:rPr>
          <w:rFonts w:ascii="Times New Roman" w:hAnsi="Times New Roman" w:cs="Times New Roman"/>
          <w:sz w:val="24"/>
          <w:szCs w:val="24"/>
        </w:rPr>
        <w:t xml:space="preserve">, </w:t>
      </w:r>
      <w:r w:rsidRPr="00194828">
        <w:rPr>
          <w:rFonts w:ascii="Times New Roman" w:hAnsi="Times New Roman" w:cs="Times New Roman"/>
          <w:i/>
          <w:sz w:val="24"/>
          <w:szCs w:val="24"/>
        </w:rPr>
        <w:t>Storia del riso e della derisione</w:t>
      </w:r>
      <w:r w:rsidRPr="00194828">
        <w:rPr>
          <w:rFonts w:ascii="Times New Roman" w:hAnsi="Times New Roman" w:cs="Times New Roman"/>
          <w:sz w:val="24"/>
          <w:szCs w:val="24"/>
        </w:rPr>
        <w:t>, Bari, Dedalo, 2004</w:t>
      </w:r>
      <w:r>
        <w:rPr>
          <w:rFonts w:ascii="Times New Roman" w:hAnsi="Times New Roman" w:cs="Times New Roman"/>
          <w:sz w:val="24"/>
          <w:szCs w:val="24"/>
        </w:rPr>
        <w:t>.</w:t>
      </w:r>
    </w:p>
    <w:p w14:paraId="07805719" w14:textId="77777777" w:rsidR="00796A9D" w:rsidRDefault="00796A9D" w:rsidP="00796A9D">
      <w:pPr>
        <w:spacing w:after="0"/>
        <w:jc w:val="both"/>
        <w:rPr>
          <w:rFonts w:ascii="Times New Roman" w:hAnsi="Times New Roman" w:cs="Times New Roman"/>
          <w:sz w:val="24"/>
          <w:szCs w:val="24"/>
        </w:rPr>
      </w:pPr>
    </w:p>
    <w:p w14:paraId="619A0444" w14:textId="77777777" w:rsidR="00796A9D" w:rsidRDefault="00796A9D" w:rsidP="00796A9D">
      <w:pPr>
        <w:spacing w:after="0"/>
        <w:jc w:val="both"/>
        <w:rPr>
          <w:rFonts w:ascii="Times New Roman" w:hAnsi="Times New Roman" w:cs="Times New Roman"/>
          <w:sz w:val="24"/>
          <w:szCs w:val="24"/>
        </w:rPr>
      </w:pPr>
      <w:r w:rsidRPr="007D6327">
        <w:rPr>
          <w:rFonts w:ascii="Times New Roman" w:hAnsi="Times New Roman" w:cs="Times New Roman"/>
          <w:smallCaps/>
          <w:sz w:val="24"/>
          <w:szCs w:val="24"/>
        </w:rPr>
        <w:t>B. Mitchell</w:t>
      </w:r>
      <w:r w:rsidRPr="007D6327">
        <w:rPr>
          <w:rFonts w:ascii="Times New Roman" w:hAnsi="Times New Roman" w:cs="Times New Roman"/>
          <w:sz w:val="24"/>
          <w:szCs w:val="24"/>
        </w:rPr>
        <w:t xml:space="preserve">, </w:t>
      </w:r>
      <w:r w:rsidRPr="007D6327">
        <w:rPr>
          <w:rFonts w:ascii="Times New Roman" w:hAnsi="Times New Roman" w:cs="Times New Roman"/>
          <w:i/>
          <w:sz w:val="24"/>
          <w:szCs w:val="24"/>
        </w:rPr>
        <w:t>Italian Civic Pageantry in the High Renaissance. A Descriptive Bibliography of Triumphal Entries and Selected Other Festivals for State Occasions</w:t>
      </w:r>
      <w:r w:rsidRPr="007D6327">
        <w:rPr>
          <w:rFonts w:ascii="Times New Roman" w:hAnsi="Times New Roman" w:cs="Times New Roman"/>
          <w:sz w:val="24"/>
          <w:szCs w:val="24"/>
        </w:rPr>
        <w:t>, Firenze, Olschki, 1979.</w:t>
      </w:r>
    </w:p>
    <w:p w14:paraId="6CA288A8" w14:textId="77777777" w:rsidR="00796A9D" w:rsidRDefault="00796A9D" w:rsidP="00796A9D">
      <w:pPr>
        <w:spacing w:after="0"/>
        <w:jc w:val="both"/>
        <w:rPr>
          <w:rFonts w:ascii="Times New Roman" w:hAnsi="Times New Roman" w:cs="Times New Roman"/>
          <w:sz w:val="24"/>
          <w:szCs w:val="24"/>
        </w:rPr>
      </w:pPr>
    </w:p>
    <w:p w14:paraId="32617AB6" w14:textId="77777777" w:rsidR="00796A9D" w:rsidRDefault="00796A9D" w:rsidP="00796A9D">
      <w:pPr>
        <w:spacing w:after="0"/>
        <w:jc w:val="both"/>
        <w:rPr>
          <w:rFonts w:ascii="Times New Roman" w:hAnsi="Times New Roman" w:cs="Times New Roman"/>
          <w:sz w:val="24"/>
          <w:szCs w:val="24"/>
        </w:rPr>
      </w:pPr>
      <w:r w:rsidRPr="00B74986">
        <w:rPr>
          <w:rFonts w:ascii="Times New Roman" w:hAnsi="Times New Roman" w:cs="Times New Roman"/>
          <w:smallCaps/>
          <w:sz w:val="24"/>
          <w:szCs w:val="24"/>
        </w:rPr>
        <w:t>J. Molina Figueras</w:t>
      </w:r>
      <w:r w:rsidRPr="00B74986">
        <w:rPr>
          <w:rFonts w:ascii="Times New Roman" w:hAnsi="Times New Roman" w:cs="Times New Roman"/>
          <w:sz w:val="24"/>
          <w:szCs w:val="24"/>
        </w:rPr>
        <w:t xml:space="preserve">, </w:t>
      </w:r>
      <w:r w:rsidRPr="00B74986">
        <w:rPr>
          <w:rFonts w:ascii="Times New Roman" w:hAnsi="Times New Roman" w:cs="Times New Roman"/>
          <w:i/>
          <w:sz w:val="24"/>
          <w:szCs w:val="24"/>
        </w:rPr>
        <w:t>Un emblema arturiano per Alfonso d’Aragona. Storia, mito, propaganda</w:t>
      </w:r>
      <w:r w:rsidRPr="00B74986">
        <w:rPr>
          <w:rFonts w:ascii="Times New Roman" w:hAnsi="Times New Roman" w:cs="Times New Roman"/>
          <w:sz w:val="24"/>
          <w:szCs w:val="24"/>
        </w:rPr>
        <w:t>, «Bollettino dell'istituto storico italiano per il medio evo», CXIV, 2012, pp. 241-263.</w:t>
      </w:r>
    </w:p>
    <w:p w14:paraId="60AD5E53" w14:textId="77777777" w:rsidR="00796A9D" w:rsidRDefault="00796A9D" w:rsidP="00796A9D">
      <w:pPr>
        <w:spacing w:after="0"/>
        <w:jc w:val="both"/>
        <w:rPr>
          <w:rFonts w:ascii="Times New Roman" w:hAnsi="Times New Roman" w:cs="Times New Roman"/>
          <w:sz w:val="24"/>
          <w:szCs w:val="24"/>
        </w:rPr>
      </w:pPr>
    </w:p>
    <w:p w14:paraId="7608778E" w14:textId="77777777" w:rsidR="00796A9D" w:rsidRDefault="00796A9D" w:rsidP="00796A9D">
      <w:pPr>
        <w:spacing w:after="0"/>
        <w:jc w:val="both"/>
        <w:rPr>
          <w:rFonts w:ascii="Times New Roman" w:hAnsi="Times New Roman" w:cs="Times New Roman"/>
          <w:sz w:val="24"/>
          <w:szCs w:val="24"/>
        </w:rPr>
      </w:pPr>
      <w:r w:rsidRPr="008D5D5A">
        <w:rPr>
          <w:rFonts w:ascii="Times New Roman" w:hAnsi="Times New Roman" w:cs="Times New Roman"/>
          <w:smallCaps/>
          <w:sz w:val="24"/>
          <w:szCs w:val="24"/>
        </w:rPr>
        <w:t>C. Molinari</w:t>
      </w:r>
      <w:r w:rsidRPr="008D5D5A">
        <w:rPr>
          <w:rFonts w:ascii="Times New Roman" w:hAnsi="Times New Roman" w:cs="Times New Roman"/>
          <w:sz w:val="24"/>
          <w:szCs w:val="24"/>
        </w:rPr>
        <w:t xml:space="preserve">, </w:t>
      </w:r>
      <w:r w:rsidRPr="008D5D5A">
        <w:rPr>
          <w:rFonts w:ascii="Times New Roman" w:hAnsi="Times New Roman" w:cs="Times New Roman"/>
          <w:i/>
          <w:sz w:val="24"/>
          <w:szCs w:val="24"/>
        </w:rPr>
        <w:t>Sull’iconografia come fonte per la storia dello spettacolo</w:t>
      </w:r>
      <w:r w:rsidRPr="008D5D5A">
        <w:rPr>
          <w:rFonts w:ascii="Times New Roman" w:hAnsi="Times New Roman" w:cs="Times New Roman"/>
          <w:sz w:val="24"/>
          <w:szCs w:val="24"/>
        </w:rPr>
        <w:t>, «Biblioteca Teatrale», gennaio-giugno 1996, 37-38, pp. 19-40.</w:t>
      </w:r>
    </w:p>
    <w:p w14:paraId="3DDF87E2" w14:textId="77777777" w:rsidR="00A90093" w:rsidRDefault="00A90093" w:rsidP="00796A9D">
      <w:pPr>
        <w:spacing w:after="0"/>
        <w:jc w:val="both"/>
        <w:rPr>
          <w:rFonts w:ascii="Times New Roman" w:hAnsi="Times New Roman" w:cs="Times New Roman"/>
          <w:sz w:val="24"/>
          <w:szCs w:val="24"/>
        </w:rPr>
      </w:pPr>
    </w:p>
    <w:p w14:paraId="436CC856" w14:textId="77777777" w:rsidR="00A90093" w:rsidRPr="00A90093" w:rsidRDefault="00A90093" w:rsidP="00796A9D">
      <w:pPr>
        <w:spacing w:after="0"/>
        <w:jc w:val="both"/>
        <w:rPr>
          <w:rFonts w:ascii="Times New Roman" w:hAnsi="Times New Roman" w:cs="Times New Roman"/>
          <w:sz w:val="24"/>
          <w:szCs w:val="24"/>
        </w:rPr>
      </w:pPr>
      <w:r w:rsidRPr="00A90093">
        <w:rPr>
          <w:rFonts w:ascii="Times New Roman" w:hAnsi="Times New Roman" w:cs="Times New Roman"/>
          <w:sz w:val="24"/>
          <w:szCs w:val="24"/>
        </w:rPr>
        <w:t xml:space="preserve">G. </w:t>
      </w:r>
      <w:r w:rsidRPr="00A90093">
        <w:rPr>
          <w:rFonts w:ascii="Times New Roman" w:hAnsi="Times New Roman" w:cs="Times New Roman"/>
          <w:smallCaps/>
          <w:sz w:val="24"/>
          <w:szCs w:val="24"/>
        </w:rPr>
        <w:t>Mondovì</w:t>
      </w:r>
      <w:r w:rsidRPr="00A90093">
        <w:rPr>
          <w:rFonts w:ascii="Times New Roman" w:hAnsi="Times New Roman" w:cs="Times New Roman"/>
          <w:sz w:val="24"/>
          <w:szCs w:val="24"/>
        </w:rPr>
        <w:t xml:space="preserve">, </w:t>
      </w:r>
      <w:r w:rsidRPr="00A90093">
        <w:rPr>
          <w:rStyle w:val="Enfasigrassetto"/>
          <w:rFonts w:ascii="Times New Roman" w:hAnsi="Times New Roman" w:cs="Times New Roman"/>
          <w:b w:val="0"/>
          <w:i/>
          <w:sz w:val="24"/>
          <w:szCs w:val="24"/>
        </w:rPr>
        <w:t>Per le fauste nozze Rimini-Todesco-Assagioli: 9 settembre 1883</w:t>
      </w:r>
      <w:r w:rsidRPr="00A90093">
        <w:rPr>
          <w:rStyle w:val="Enfasigrassetto"/>
          <w:rFonts w:ascii="Times New Roman" w:hAnsi="Times New Roman" w:cs="Times New Roman"/>
          <w:b w:val="0"/>
          <w:sz w:val="24"/>
          <w:szCs w:val="24"/>
        </w:rPr>
        <w:t>, Mantova, 1883.</w:t>
      </w:r>
    </w:p>
    <w:p w14:paraId="3F4E5FE9" w14:textId="77777777" w:rsidR="00796A9D" w:rsidRDefault="00796A9D" w:rsidP="00796A9D">
      <w:pPr>
        <w:spacing w:after="0"/>
        <w:jc w:val="both"/>
        <w:rPr>
          <w:rFonts w:ascii="Times New Roman" w:hAnsi="Times New Roman" w:cs="Times New Roman"/>
          <w:sz w:val="24"/>
          <w:szCs w:val="24"/>
        </w:rPr>
      </w:pPr>
    </w:p>
    <w:p w14:paraId="3CC2513A" w14:textId="77777777" w:rsidR="00796A9D" w:rsidRPr="00E2695F" w:rsidRDefault="00796A9D" w:rsidP="00796A9D">
      <w:pPr>
        <w:spacing w:after="0"/>
        <w:jc w:val="both"/>
        <w:rPr>
          <w:rFonts w:ascii="Times New Roman" w:hAnsi="Times New Roman" w:cs="Times New Roman"/>
          <w:sz w:val="24"/>
          <w:szCs w:val="24"/>
        </w:rPr>
      </w:pPr>
      <w:r w:rsidRPr="00E2695F">
        <w:rPr>
          <w:rFonts w:ascii="Times New Roman" w:hAnsi="Times New Roman" w:cs="Times New Roman"/>
          <w:i/>
          <w:sz w:val="24"/>
          <w:szCs w:val="24"/>
        </w:rPr>
        <w:t>Monte di credito su pegno di Milano. Cenni storici</w:t>
      </w:r>
      <w:r w:rsidRPr="00E2695F">
        <w:rPr>
          <w:rFonts w:ascii="Times New Roman" w:hAnsi="Times New Roman" w:cs="Times New Roman"/>
          <w:sz w:val="24"/>
          <w:szCs w:val="24"/>
        </w:rPr>
        <w:t xml:space="preserve">. Roma, Associazione Bancaria Italiana, 1956.   </w:t>
      </w:r>
    </w:p>
    <w:p w14:paraId="05B2E0E9" w14:textId="77777777" w:rsidR="00796A9D" w:rsidRDefault="00796A9D" w:rsidP="00796A9D">
      <w:pPr>
        <w:spacing w:after="0"/>
        <w:jc w:val="both"/>
        <w:rPr>
          <w:rFonts w:ascii="Times New Roman" w:hAnsi="Times New Roman" w:cs="Times New Roman"/>
          <w:sz w:val="24"/>
          <w:szCs w:val="24"/>
        </w:rPr>
      </w:pPr>
    </w:p>
    <w:p w14:paraId="3A6AFF05"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L. </w:t>
      </w:r>
      <w:r w:rsidRPr="00BA2DBB">
        <w:rPr>
          <w:rFonts w:ascii="Times New Roman" w:hAnsi="Times New Roman" w:cs="Times New Roman"/>
          <w:smallCaps/>
          <w:sz w:val="24"/>
          <w:szCs w:val="24"/>
        </w:rPr>
        <w:t>Moranti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L’arte tipografica in Urbino (1493-1800)</w:t>
      </w:r>
      <w:r w:rsidRPr="00BA2DBB">
        <w:rPr>
          <w:rFonts w:ascii="Times New Roman" w:hAnsi="Times New Roman" w:cs="Times New Roman"/>
          <w:sz w:val="24"/>
          <w:szCs w:val="24"/>
        </w:rPr>
        <w:t>, Firenze, Olschki, 1967.</w:t>
      </w:r>
    </w:p>
    <w:p w14:paraId="35C63B62" w14:textId="77777777" w:rsidR="00796A9D" w:rsidRDefault="00796A9D" w:rsidP="00796A9D">
      <w:pPr>
        <w:spacing w:after="0"/>
        <w:jc w:val="both"/>
        <w:rPr>
          <w:rFonts w:ascii="Times New Roman" w:hAnsi="Times New Roman" w:cs="Times New Roman"/>
          <w:smallCaps/>
          <w:sz w:val="24"/>
          <w:szCs w:val="24"/>
        </w:rPr>
      </w:pPr>
    </w:p>
    <w:p w14:paraId="10E0ECE8"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 Moranti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Organizzazione della biblioteca di Federico da Montefeltro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Federico di Montefeltro. Lo stato, le arti, la cultura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Cerboni Baiardi, G. Chittolini, P. Floriani</w:t>
      </w:r>
      <w:r w:rsidRPr="00BA2DBB">
        <w:rPr>
          <w:rFonts w:ascii="Times New Roman" w:hAnsi="Times New Roman" w:cs="Times New Roman"/>
          <w:sz w:val="24"/>
          <w:szCs w:val="24"/>
        </w:rPr>
        <w:t>, Roma, Bulzoni, 1986, pp. 20-25.</w:t>
      </w:r>
    </w:p>
    <w:p w14:paraId="1FED2CA4" w14:textId="77777777" w:rsidR="00796A9D" w:rsidRDefault="00796A9D" w:rsidP="00796A9D">
      <w:pPr>
        <w:spacing w:after="0"/>
        <w:jc w:val="both"/>
        <w:rPr>
          <w:rFonts w:ascii="Times New Roman" w:hAnsi="Times New Roman" w:cs="Times New Roman"/>
          <w:smallCaps/>
          <w:sz w:val="24"/>
          <w:szCs w:val="24"/>
        </w:rPr>
      </w:pPr>
    </w:p>
    <w:p w14:paraId="68D6576F"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Morello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Pittori e miniatori per la Bibbia Urbinate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La Bibbia di Federico da Montefeltro. Commentario al codice</w:t>
      </w:r>
      <w:r w:rsidRPr="00BA2DBB">
        <w:rPr>
          <w:rFonts w:ascii="Times New Roman" w:hAnsi="Times New Roman" w:cs="Times New Roman"/>
          <w:sz w:val="24"/>
          <w:szCs w:val="24"/>
        </w:rPr>
        <w:t>, a cura di A</w:t>
      </w:r>
      <w:r w:rsidRPr="00BA2DBB">
        <w:rPr>
          <w:rFonts w:ascii="Times New Roman" w:hAnsi="Times New Roman" w:cs="Times New Roman"/>
          <w:smallCaps/>
          <w:sz w:val="24"/>
          <w:szCs w:val="24"/>
        </w:rPr>
        <w:t>.M. Piazzoni</w:t>
      </w:r>
      <w:r w:rsidRPr="00BA2DBB">
        <w:rPr>
          <w:rFonts w:ascii="Times New Roman" w:hAnsi="Times New Roman" w:cs="Times New Roman"/>
          <w:sz w:val="24"/>
          <w:szCs w:val="24"/>
        </w:rPr>
        <w:t>, Modena, Franco Cosimo Panini, 2005, vol. I, pp. 93-118.</w:t>
      </w:r>
    </w:p>
    <w:p w14:paraId="01E51E96" w14:textId="77777777" w:rsidR="00796A9D" w:rsidRDefault="00796A9D" w:rsidP="00796A9D">
      <w:pPr>
        <w:spacing w:after="0"/>
        <w:jc w:val="both"/>
        <w:rPr>
          <w:rFonts w:ascii="Times New Roman" w:hAnsi="Times New Roman" w:cs="Times New Roman"/>
          <w:i/>
          <w:sz w:val="24"/>
          <w:szCs w:val="24"/>
        </w:rPr>
      </w:pPr>
    </w:p>
    <w:p w14:paraId="4DD30B20"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i/>
          <w:sz w:val="24"/>
          <w:szCs w:val="24"/>
        </w:rPr>
        <w:t>Mostra dei codici gonzagheschi: la biblioteca dei Gonzaga da Luigi I ad Isabella</w:t>
      </w:r>
      <w:r w:rsidRPr="00BA2DBB">
        <w:rPr>
          <w:rFonts w:ascii="Times New Roman" w:hAnsi="Times New Roman" w:cs="Times New Roman"/>
          <w:sz w:val="24"/>
          <w:szCs w:val="24"/>
        </w:rPr>
        <w:t xml:space="preserve">, Catalogo della mostra (Mantova, 18 settembre-10 ottobre 1966), a cura di </w:t>
      </w:r>
      <w:r w:rsidRPr="00BA2DBB">
        <w:rPr>
          <w:rFonts w:ascii="Times New Roman" w:hAnsi="Times New Roman" w:cs="Times New Roman"/>
          <w:smallCaps/>
          <w:sz w:val="24"/>
          <w:szCs w:val="24"/>
        </w:rPr>
        <w:t>U. Meroni</w:t>
      </w:r>
      <w:r w:rsidRPr="00BA2DBB">
        <w:rPr>
          <w:rFonts w:ascii="Times New Roman" w:hAnsi="Times New Roman" w:cs="Times New Roman"/>
          <w:sz w:val="24"/>
          <w:szCs w:val="24"/>
        </w:rPr>
        <w:t>, Mantova, Stabilimento tipografico editoriale, 1966.</w:t>
      </w:r>
    </w:p>
    <w:p w14:paraId="345EB208" w14:textId="77777777" w:rsidR="00796A9D" w:rsidRDefault="00796A9D" w:rsidP="00796A9D">
      <w:pPr>
        <w:spacing w:after="0"/>
        <w:jc w:val="both"/>
        <w:rPr>
          <w:rFonts w:ascii="Times New Roman" w:hAnsi="Times New Roman" w:cs="Times New Roman"/>
          <w:sz w:val="24"/>
          <w:szCs w:val="24"/>
        </w:rPr>
      </w:pPr>
    </w:p>
    <w:p w14:paraId="2FE09A80"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E. </w:t>
      </w:r>
      <w:r w:rsidRPr="00BA2DBB">
        <w:rPr>
          <w:rFonts w:ascii="Times New Roman" w:hAnsi="Times New Roman" w:cs="Times New Roman"/>
          <w:smallCaps/>
          <w:sz w:val="24"/>
          <w:szCs w:val="24"/>
        </w:rPr>
        <w:t xml:space="preserve">Motta, </w:t>
      </w:r>
      <w:r w:rsidRPr="00BA2DBB">
        <w:rPr>
          <w:rFonts w:ascii="Times New Roman" w:hAnsi="Times New Roman" w:cs="Times New Roman"/>
          <w:i/>
          <w:smallCaps/>
          <w:sz w:val="24"/>
          <w:szCs w:val="24"/>
        </w:rPr>
        <w:t>P</w:t>
      </w:r>
      <w:r w:rsidRPr="00BA2DBB">
        <w:rPr>
          <w:rFonts w:ascii="Times New Roman" w:hAnsi="Times New Roman" w:cs="Times New Roman"/>
          <w:i/>
          <w:sz w:val="24"/>
          <w:szCs w:val="24"/>
        </w:rPr>
        <w:t xml:space="preserve">anfilo Castaldi, Antonio Planella, Pietro Ugleimer e il vescovo d’Aleria, </w:t>
      </w:r>
      <w:r w:rsidRPr="00BA2DBB">
        <w:rPr>
          <w:rFonts w:ascii="Times New Roman" w:hAnsi="Times New Roman" w:cs="Times New Roman"/>
          <w:sz w:val="24"/>
          <w:szCs w:val="24"/>
        </w:rPr>
        <w:t>‹‹Rivista Storica Italiana››, XI, 1884, pp. 258-270.</w:t>
      </w:r>
    </w:p>
    <w:p w14:paraId="5693DFD0" w14:textId="77777777" w:rsidR="00796A9D" w:rsidRDefault="00796A9D" w:rsidP="00796A9D">
      <w:pPr>
        <w:spacing w:after="0"/>
        <w:jc w:val="both"/>
        <w:rPr>
          <w:rFonts w:ascii="Times New Roman" w:hAnsi="Times New Roman" w:cs="Times New Roman"/>
          <w:smallCaps/>
          <w:sz w:val="24"/>
          <w:szCs w:val="24"/>
        </w:rPr>
      </w:pPr>
    </w:p>
    <w:p w14:paraId="01FE1B10"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E. Motta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Altri documenti per la Libreria sforzesca di Pavia</w:t>
      </w:r>
      <w:r w:rsidRPr="00BA2DBB">
        <w:rPr>
          <w:rFonts w:ascii="Times New Roman" w:hAnsi="Times New Roman" w:cs="Times New Roman"/>
          <w:sz w:val="24"/>
          <w:szCs w:val="24"/>
        </w:rPr>
        <w:t>, «Il Bibliofilo», X, 1889, pp. 107-111.</w:t>
      </w:r>
    </w:p>
    <w:p w14:paraId="0C60E8E4" w14:textId="77777777" w:rsidR="00796A9D" w:rsidRDefault="00796A9D" w:rsidP="00796A9D">
      <w:pPr>
        <w:spacing w:after="0"/>
        <w:jc w:val="both"/>
        <w:rPr>
          <w:rFonts w:ascii="Times New Roman" w:hAnsi="Times New Roman" w:cs="Times New Roman"/>
          <w:sz w:val="24"/>
          <w:szCs w:val="24"/>
        </w:rPr>
      </w:pPr>
    </w:p>
    <w:p w14:paraId="7CD32F85" w14:textId="77777777" w:rsidR="00796A9D" w:rsidRPr="00E34589" w:rsidRDefault="00796A9D" w:rsidP="00796A9D">
      <w:pPr>
        <w:spacing w:after="0"/>
        <w:jc w:val="both"/>
        <w:rPr>
          <w:rFonts w:ascii="Times New Roman" w:hAnsi="Times New Roman" w:cs="Times New Roman"/>
          <w:sz w:val="24"/>
          <w:szCs w:val="24"/>
        </w:rPr>
      </w:pPr>
      <w:r w:rsidRPr="00E34589">
        <w:rPr>
          <w:rFonts w:ascii="Times New Roman" w:hAnsi="Times New Roman" w:cs="Times New Roman"/>
          <w:smallCaps/>
          <w:sz w:val="24"/>
          <w:szCs w:val="24"/>
        </w:rPr>
        <w:t>E. Motta</w:t>
      </w:r>
      <w:r w:rsidRPr="00E34589">
        <w:rPr>
          <w:rFonts w:ascii="Times New Roman" w:hAnsi="Times New Roman" w:cs="Times New Roman"/>
          <w:sz w:val="24"/>
          <w:szCs w:val="24"/>
        </w:rPr>
        <w:t xml:space="preserve">, </w:t>
      </w:r>
      <w:r w:rsidRPr="00E34589">
        <w:rPr>
          <w:rFonts w:ascii="Times New Roman" w:hAnsi="Times New Roman" w:cs="Times New Roman"/>
          <w:i/>
          <w:sz w:val="24"/>
          <w:szCs w:val="24"/>
        </w:rPr>
        <w:t xml:space="preserve">Nozze principesche nel </w:t>
      </w:r>
      <w:r>
        <w:rPr>
          <w:rFonts w:ascii="Times New Roman" w:hAnsi="Times New Roman" w:cs="Times New Roman"/>
          <w:i/>
          <w:sz w:val="24"/>
          <w:szCs w:val="24"/>
        </w:rPr>
        <w:t>Q</w:t>
      </w:r>
      <w:r w:rsidRPr="00E34589">
        <w:rPr>
          <w:rFonts w:ascii="Times New Roman" w:hAnsi="Times New Roman" w:cs="Times New Roman"/>
          <w:i/>
          <w:sz w:val="24"/>
          <w:szCs w:val="24"/>
        </w:rPr>
        <w:t>uattrocento: corredi, inventari e descrizioni</w:t>
      </w:r>
      <w:r w:rsidRPr="00E34589">
        <w:rPr>
          <w:rFonts w:ascii="Times New Roman" w:hAnsi="Times New Roman" w:cs="Times New Roman"/>
          <w:sz w:val="24"/>
          <w:szCs w:val="24"/>
        </w:rPr>
        <w:t>, Milano, Rivara, 1894</w:t>
      </w:r>
      <w:r>
        <w:rPr>
          <w:rFonts w:ascii="Times New Roman" w:hAnsi="Times New Roman" w:cs="Times New Roman"/>
          <w:sz w:val="24"/>
          <w:szCs w:val="24"/>
        </w:rPr>
        <w:t>.</w:t>
      </w:r>
    </w:p>
    <w:p w14:paraId="4CD2F718" w14:textId="77777777" w:rsidR="00796A9D" w:rsidRDefault="00796A9D" w:rsidP="00796A9D">
      <w:pPr>
        <w:spacing w:after="0"/>
        <w:jc w:val="both"/>
        <w:rPr>
          <w:rFonts w:ascii="Times New Roman" w:hAnsi="Times New Roman" w:cs="Times New Roman"/>
          <w:sz w:val="24"/>
          <w:szCs w:val="24"/>
        </w:rPr>
      </w:pPr>
    </w:p>
    <w:p w14:paraId="545E331A"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E. </w:t>
      </w:r>
      <w:r w:rsidRPr="00BA2DBB">
        <w:rPr>
          <w:rFonts w:ascii="Times New Roman" w:hAnsi="Times New Roman" w:cs="Times New Roman"/>
          <w:smallCaps/>
          <w:sz w:val="24"/>
          <w:szCs w:val="24"/>
        </w:rPr>
        <w:t>Motta</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Un tipografo a Milano nel 1469</w:t>
      </w:r>
      <w:r w:rsidRPr="00BA2DBB">
        <w:rPr>
          <w:rFonts w:ascii="Times New Roman" w:hAnsi="Times New Roman" w:cs="Times New Roman"/>
          <w:sz w:val="24"/>
          <w:szCs w:val="24"/>
        </w:rPr>
        <w:t xml:space="preserve">, ‹‹Archivio Storico Lombardo››, XXII, 1895, pp. 150-155.  </w:t>
      </w:r>
    </w:p>
    <w:p w14:paraId="3CDB4F0D" w14:textId="77777777" w:rsidR="00796A9D" w:rsidRDefault="00796A9D" w:rsidP="00796A9D">
      <w:pPr>
        <w:spacing w:after="0"/>
        <w:jc w:val="both"/>
        <w:rPr>
          <w:rFonts w:ascii="Times New Roman" w:hAnsi="Times New Roman" w:cs="Times New Roman"/>
          <w:sz w:val="24"/>
          <w:szCs w:val="24"/>
        </w:rPr>
      </w:pPr>
    </w:p>
    <w:p w14:paraId="4474810F" w14:textId="77777777" w:rsidR="00796A9D" w:rsidRPr="00DC2185" w:rsidRDefault="00796A9D" w:rsidP="00796A9D">
      <w:pPr>
        <w:pStyle w:val="Testonotaapidipagina"/>
        <w:jc w:val="both"/>
        <w:rPr>
          <w:rFonts w:ascii="Times New Roman" w:hAnsi="Times New Roman" w:cs="Times New Roman"/>
          <w:sz w:val="24"/>
          <w:szCs w:val="24"/>
          <w:lang w:val="en-US"/>
        </w:rPr>
      </w:pPr>
      <w:r w:rsidRPr="00DC2185">
        <w:rPr>
          <w:rFonts w:ascii="Times New Roman" w:hAnsi="Times New Roman" w:cs="Times New Roman"/>
          <w:smallCaps/>
          <w:sz w:val="24"/>
          <w:szCs w:val="24"/>
        </w:rPr>
        <w:t>F. Muecke</w:t>
      </w:r>
      <w:r w:rsidRPr="00DC2185">
        <w:rPr>
          <w:rFonts w:ascii="Times New Roman" w:hAnsi="Times New Roman" w:cs="Times New Roman"/>
          <w:sz w:val="24"/>
          <w:szCs w:val="24"/>
        </w:rPr>
        <w:t xml:space="preserve">, “Fama superest?” </w:t>
      </w:r>
      <w:r w:rsidRPr="00DC2185">
        <w:rPr>
          <w:rFonts w:ascii="Times New Roman" w:hAnsi="Times New Roman" w:cs="Times New Roman"/>
          <w:i/>
          <w:sz w:val="24"/>
          <w:szCs w:val="24"/>
          <w:lang w:val="en-US"/>
        </w:rPr>
        <w:t>Soundings in the Reception of Biondo Flavio</w:t>
      </w:r>
      <w:r w:rsidRPr="00DC2185">
        <w:rPr>
          <w:rFonts w:ascii="Times New Roman" w:hAnsi="Times New Roman" w:cs="Times New Roman"/>
          <w:sz w:val="24"/>
          <w:szCs w:val="24"/>
          <w:lang w:val="en-US"/>
        </w:rPr>
        <w:t xml:space="preserve"> </w:t>
      </w:r>
      <w:r w:rsidRPr="00DC2185">
        <w:rPr>
          <w:rFonts w:ascii="Times New Roman" w:hAnsi="Times New Roman" w:cs="Times New Roman"/>
          <w:i/>
          <w:sz w:val="24"/>
          <w:szCs w:val="24"/>
          <w:lang w:val="en-US"/>
        </w:rPr>
        <w:t>Roma Triumphans</w:t>
      </w:r>
      <w:r w:rsidRPr="00DC2185">
        <w:rPr>
          <w:rFonts w:ascii="Times New Roman" w:hAnsi="Times New Roman" w:cs="Times New Roman"/>
          <w:sz w:val="24"/>
          <w:szCs w:val="24"/>
          <w:lang w:val="en-US"/>
        </w:rPr>
        <w:t xml:space="preserve">, in </w:t>
      </w:r>
      <w:r w:rsidRPr="00DC2185">
        <w:rPr>
          <w:rFonts w:ascii="Times New Roman" w:hAnsi="Times New Roman" w:cs="Times New Roman"/>
          <w:i/>
          <w:sz w:val="24"/>
          <w:szCs w:val="24"/>
          <w:lang w:val="en-US"/>
        </w:rPr>
        <w:t>A New Sense of the Past. The Scholarship of Biondo Flavio</w:t>
      </w:r>
      <w:r w:rsidRPr="00DC2185">
        <w:rPr>
          <w:rFonts w:ascii="Times New Roman" w:hAnsi="Times New Roman" w:cs="Times New Roman"/>
          <w:sz w:val="24"/>
          <w:szCs w:val="24"/>
          <w:lang w:val="en-US"/>
        </w:rPr>
        <w:t xml:space="preserve"> </w:t>
      </w:r>
      <w:r w:rsidRPr="00DC2185">
        <w:rPr>
          <w:rFonts w:ascii="Times New Roman" w:hAnsi="Times New Roman" w:cs="Times New Roman"/>
          <w:i/>
          <w:sz w:val="24"/>
          <w:szCs w:val="24"/>
          <w:lang w:val="en-US"/>
        </w:rPr>
        <w:t>(1392-1463)</w:t>
      </w:r>
      <w:r w:rsidRPr="00DC2185">
        <w:rPr>
          <w:rFonts w:ascii="Times New Roman" w:hAnsi="Times New Roman" w:cs="Times New Roman"/>
          <w:sz w:val="24"/>
          <w:szCs w:val="24"/>
          <w:lang w:val="en-US"/>
        </w:rPr>
        <w:t xml:space="preserve">, Edited by </w:t>
      </w:r>
      <w:r w:rsidRPr="00DC2185">
        <w:rPr>
          <w:rFonts w:ascii="Times New Roman" w:hAnsi="Times New Roman" w:cs="Times New Roman"/>
          <w:smallCaps/>
          <w:sz w:val="24"/>
          <w:szCs w:val="24"/>
          <w:lang w:val="en-US"/>
        </w:rPr>
        <w:t>A. Mazzocco, M. Laureys</w:t>
      </w:r>
      <w:r w:rsidRPr="00DC2185">
        <w:rPr>
          <w:rFonts w:ascii="Times New Roman" w:hAnsi="Times New Roman" w:cs="Times New Roman"/>
          <w:sz w:val="24"/>
          <w:szCs w:val="24"/>
          <w:lang w:val="en-US"/>
        </w:rPr>
        <w:t xml:space="preserve">, Leuven, Leuven University Press, 2016, pp. 219-243. </w:t>
      </w:r>
    </w:p>
    <w:p w14:paraId="44880666" w14:textId="77777777" w:rsidR="00796A9D" w:rsidRDefault="00796A9D" w:rsidP="00796A9D">
      <w:pPr>
        <w:pStyle w:val="Testonotaapidipagina"/>
        <w:jc w:val="both"/>
        <w:rPr>
          <w:rFonts w:ascii="Times New Roman" w:hAnsi="Times New Roman" w:cs="Times New Roman"/>
          <w:smallCaps/>
          <w:sz w:val="24"/>
          <w:szCs w:val="24"/>
        </w:rPr>
      </w:pPr>
    </w:p>
    <w:p w14:paraId="316A4AC0"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P.L. Mulas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miniatura lombarda del Quattrocento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La Pittura in Lombardia. Il Quattrocento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Bora</w:t>
      </w:r>
      <w:r w:rsidRPr="00BA2DBB">
        <w:rPr>
          <w:rFonts w:ascii="Times New Roman" w:hAnsi="Times New Roman" w:cs="Times New Roman"/>
          <w:sz w:val="24"/>
          <w:szCs w:val="24"/>
        </w:rPr>
        <w:t>, Milano, Electa, 1993, pp. 397-418.</w:t>
      </w:r>
    </w:p>
    <w:p w14:paraId="55C27D78" w14:textId="77777777" w:rsidR="00796A9D" w:rsidRDefault="00796A9D" w:rsidP="00796A9D">
      <w:pPr>
        <w:pStyle w:val="Testonotaapidipagina"/>
        <w:jc w:val="both"/>
        <w:rPr>
          <w:rFonts w:ascii="Times New Roman" w:hAnsi="Times New Roman" w:cs="Times New Roman"/>
          <w:sz w:val="24"/>
          <w:szCs w:val="24"/>
        </w:rPr>
      </w:pPr>
    </w:p>
    <w:p w14:paraId="215436A4" w14:textId="77777777" w:rsidR="00796A9D" w:rsidRPr="007F2CDA" w:rsidRDefault="00796A9D" w:rsidP="00796A9D">
      <w:pPr>
        <w:pStyle w:val="Testonotaapidipagina"/>
        <w:jc w:val="both"/>
        <w:rPr>
          <w:rFonts w:ascii="Times New Roman" w:hAnsi="Times New Roman" w:cs="Times New Roman"/>
          <w:sz w:val="24"/>
          <w:szCs w:val="24"/>
        </w:rPr>
      </w:pPr>
      <w:r w:rsidRPr="007F2CDA">
        <w:rPr>
          <w:rFonts w:ascii="Times New Roman" w:hAnsi="Times New Roman" w:cs="Times New Roman"/>
          <w:smallCaps/>
          <w:sz w:val="24"/>
          <w:szCs w:val="24"/>
        </w:rPr>
        <w:t>P.L. Mulas</w:t>
      </w:r>
      <w:r w:rsidRPr="007F2CDA">
        <w:rPr>
          <w:rFonts w:ascii="Times New Roman" w:hAnsi="Times New Roman" w:cs="Times New Roman"/>
          <w:sz w:val="24"/>
          <w:szCs w:val="24"/>
        </w:rPr>
        <w:t>, «</w:t>
      </w:r>
      <w:r w:rsidRPr="007F2CDA">
        <w:rPr>
          <w:rFonts w:ascii="Times New Roman" w:hAnsi="Times New Roman" w:cs="Times New Roman"/>
          <w:i/>
          <w:sz w:val="24"/>
          <w:szCs w:val="24"/>
        </w:rPr>
        <w:t>Cum aparatu ac triumpho quo pagina in hac licet aspicere». L’investitura ducale di Ludovico Sforza</w:t>
      </w:r>
      <w:r w:rsidRPr="007F2CDA">
        <w:rPr>
          <w:rFonts w:ascii="Times New Roman" w:hAnsi="Times New Roman" w:cs="Times New Roman"/>
          <w:sz w:val="24"/>
          <w:szCs w:val="24"/>
        </w:rPr>
        <w:t xml:space="preserve">, </w:t>
      </w:r>
      <w:r w:rsidRPr="007F2CDA">
        <w:rPr>
          <w:rFonts w:ascii="Times New Roman" w:hAnsi="Times New Roman" w:cs="Times New Roman"/>
          <w:i/>
          <w:sz w:val="24"/>
          <w:szCs w:val="24"/>
        </w:rPr>
        <w:t>il Messale Arcimboldi e alcuni problemi di miniatura lombarda</w:t>
      </w:r>
      <w:r w:rsidRPr="007F2CDA">
        <w:rPr>
          <w:rFonts w:ascii="Times New Roman" w:hAnsi="Times New Roman" w:cs="Times New Roman"/>
          <w:sz w:val="24"/>
          <w:szCs w:val="24"/>
        </w:rPr>
        <w:t xml:space="preserve">, «Artes», </w:t>
      </w:r>
      <w:r>
        <w:rPr>
          <w:rFonts w:ascii="Times New Roman" w:hAnsi="Times New Roman" w:cs="Times New Roman"/>
          <w:sz w:val="24"/>
          <w:szCs w:val="24"/>
        </w:rPr>
        <w:t>II</w:t>
      </w:r>
      <w:r w:rsidRPr="007F2CDA">
        <w:rPr>
          <w:rFonts w:ascii="Times New Roman" w:hAnsi="Times New Roman" w:cs="Times New Roman"/>
          <w:sz w:val="24"/>
          <w:szCs w:val="24"/>
        </w:rPr>
        <w:t>, 1994, pp. 5-38.</w:t>
      </w:r>
    </w:p>
    <w:p w14:paraId="36C10772" w14:textId="77777777" w:rsidR="00796A9D" w:rsidRPr="00BA2DBB" w:rsidRDefault="00796A9D" w:rsidP="00796A9D">
      <w:pPr>
        <w:pStyle w:val="Testonotaapidipagina"/>
        <w:jc w:val="both"/>
        <w:rPr>
          <w:rFonts w:ascii="Times New Roman" w:hAnsi="Times New Roman" w:cs="Times New Roman"/>
          <w:smallCaps/>
          <w:sz w:val="24"/>
          <w:szCs w:val="24"/>
        </w:rPr>
      </w:pPr>
    </w:p>
    <w:p w14:paraId="26478066" w14:textId="77777777" w:rsidR="00796A9D" w:rsidRPr="00BA2DBB" w:rsidRDefault="00796A9D" w:rsidP="00796A9D">
      <w:pPr>
        <w:pStyle w:val="Testonotaapidipagina"/>
        <w:jc w:val="both"/>
        <w:rPr>
          <w:rFonts w:ascii="Times New Roman" w:hAnsi="Times New Roman" w:cs="Times New Roman"/>
          <w:smallCaps/>
          <w:sz w:val="24"/>
          <w:szCs w:val="24"/>
        </w:rPr>
      </w:pPr>
      <w:r w:rsidRPr="00BA2DBB">
        <w:rPr>
          <w:rFonts w:ascii="Times New Roman" w:hAnsi="Times New Roman" w:cs="Times New Roman"/>
          <w:smallCaps/>
          <w:sz w:val="24"/>
          <w:szCs w:val="24"/>
        </w:rPr>
        <w:t>P.L. Mulas</w:t>
      </w:r>
      <w:r w:rsidRPr="00BA2DBB">
        <w:rPr>
          <w:rFonts w:ascii="Times New Roman" w:hAnsi="Times New Roman" w:cs="Times New Roman"/>
          <w:sz w:val="24"/>
          <w:szCs w:val="24"/>
        </w:rPr>
        <w:t>, Auctore Mauro filio.</w:t>
      </w:r>
      <w:r w:rsidRPr="00BA2DBB">
        <w:rPr>
          <w:rFonts w:ascii="Times New Roman" w:hAnsi="Times New Roman" w:cs="Times New Roman"/>
          <w:i/>
          <w:sz w:val="24"/>
          <w:szCs w:val="24"/>
        </w:rPr>
        <w:t xml:space="preserve"> Il programma iconografico dei frontespizi miniati dei Commentarii di Giovanni Simonetta</w:t>
      </w:r>
      <w:r w:rsidRPr="00BA2DBB">
        <w:rPr>
          <w:rFonts w:ascii="Times New Roman" w:hAnsi="Times New Roman" w:cs="Times New Roman"/>
          <w:sz w:val="24"/>
          <w:szCs w:val="24"/>
        </w:rPr>
        <w:t>, «Bulletin du bibliophile», I, 1996, pp. 9-34.</w:t>
      </w:r>
    </w:p>
    <w:p w14:paraId="201596AF" w14:textId="77777777" w:rsidR="00796A9D" w:rsidRPr="00BA2DBB" w:rsidRDefault="00796A9D" w:rsidP="00796A9D">
      <w:pPr>
        <w:pStyle w:val="Testonotaapidipagina"/>
        <w:jc w:val="both"/>
        <w:rPr>
          <w:rFonts w:ascii="Times New Roman" w:hAnsi="Times New Roman" w:cs="Times New Roman"/>
          <w:smallCaps/>
          <w:sz w:val="24"/>
          <w:szCs w:val="24"/>
        </w:rPr>
      </w:pPr>
    </w:p>
    <w:p w14:paraId="774271F1" w14:textId="77777777" w:rsidR="00796A9D" w:rsidRPr="00BA2DBB" w:rsidRDefault="00796A9D" w:rsidP="00796A9D">
      <w:pPr>
        <w:pStyle w:val="Testonotaapidipagina"/>
        <w:jc w:val="both"/>
        <w:rPr>
          <w:rFonts w:ascii="Times New Roman" w:hAnsi="Times New Roman" w:cs="Times New Roman"/>
          <w:smallCaps/>
          <w:sz w:val="24"/>
          <w:szCs w:val="24"/>
        </w:rPr>
      </w:pPr>
      <w:r w:rsidRPr="00BA2DBB">
        <w:rPr>
          <w:rFonts w:ascii="Times New Roman" w:hAnsi="Times New Roman" w:cs="Times New Roman"/>
          <w:smallCaps/>
          <w:sz w:val="24"/>
          <w:szCs w:val="24"/>
        </w:rPr>
        <w:t>P.L. Mulas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miniatura lombarda nell’ultimo quarto del Quattrocento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Ore Torriani</w:t>
      </w:r>
      <w:r w:rsidRPr="00BA2DBB">
        <w:rPr>
          <w:rFonts w:ascii="Times New Roman" w:hAnsi="Times New Roman" w:cs="Times New Roman"/>
          <w:sz w:val="24"/>
          <w:szCs w:val="24"/>
        </w:rPr>
        <w:t>. Commento al fac-simile, Modena, Franco Cosimo Panini, 2009, pp. 11-84.</w:t>
      </w:r>
    </w:p>
    <w:p w14:paraId="4B1A177F" w14:textId="77777777" w:rsidR="00796A9D" w:rsidRPr="00BA2DBB" w:rsidRDefault="00796A9D" w:rsidP="00796A9D">
      <w:pPr>
        <w:pStyle w:val="Testonotaapidipagina"/>
        <w:jc w:val="both"/>
        <w:rPr>
          <w:rFonts w:ascii="Times New Roman" w:hAnsi="Times New Roman" w:cs="Times New Roman"/>
          <w:smallCaps/>
          <w:sz w:val="24"/>
          <w:szCs w:val="24"/>
        </w:rPr>
      </w:pPr>
    </w:p>
    <w:p w14:paraId="4304412C"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P.L. Mulas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Codici offerti ai duchi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Almum Studium Papiense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Storia dell’Università di Pavia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D. Mantovani</w:t>
      </w:r>
      <w:r w:rsidRPr="00BA2DBB">
        <w:rPr>
          <w:rFonts w:ascii="Times New Roman" w:hAnsi="Times New Roman" w:cs="Times New Roman"/>
          <w:sz w:val="24"/>
          <w:szCs w:val="24"/>
        </w:rPr>
        <w:t>, Milano, Cisalpino-Monduzzi, 2012, tomo I, vol. I, pp. 735-741.</w:t>
      </w:r>
    </w:p>
    <w:p w14:paraId="15450D41" w14:textId="77777777" w:rsidR="00796A9D" w:rsidRPr="00BA2DBB" w:rsidRDefault="00796A9D" w:rsidP="00796A9D">
      <w:pPr>
        <w:pStyle w:val="Testonotaapidipagina"/>
        <w:jc w:val="both"/>
        <w:rPr>
          <w:rFonts w:ascii="Times New Roman" w:hAnsi="Times New Roman" w:cs="Times New Roman"/>
          <w:sz w:val="24"/>
          <w:szCs w:val="24"/>
        </w:rPr>
      </w:pPr>
    </w:p>
    <w:p w14:paraId="151A290B"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P.L. Mulas</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Una proposta per la miniatura e la pittura del Rinascimento a Pavia: il Maestro delle Ore Birago, alias Maestro dell’Annunciata Castiglioni?,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Miniatura. Lo sguardo e la parola</w:t>
      </w:r>
      <w:r w:rsidRPr="00BA2DBB">
        <w:rPr>
          <w:rFonts w:ascii="Times New Roman" w:hAnsi="Times New Roman" w:cs="Times New Roman"/>
          <w:sz w:val="24"/>
          <w:szCs w:val="24"/>
        </w:rPr>
        <w:t xml:space="preserve">. Studi in onore di Giordana Maria Canova, a cura di </w:t>
      </w:r>
      <w:r w:rsidRPr="00BA2DBB">
        <w:rPr>
          <w:rFonts w:ascii="Times New Roman" w:hAnsi="Times New Roman" w:cs="Times New Roman"/>
          <w:smallCaps/>
          <w:sz w:val="24"/>
          <w:szCs w:val="24"/>
        </w:rPr>
        <w:t>F. Toniolo, G. Toscano</w:t>
      </w:r>
      <w:r w:rsidRPr="00BA2DBB">
        <w:rPr>
          <w:rFonts w:ascii="Times New Roman" w:hAnsi="Times New Roman" w:cs="Times New Roman"/>
          <w:sz w:val="24"/>
          <w:szCs w:val="24"/>
        </w:rPr>
        <w:t>, Cinisello Balsamo, Silvana, 2012, pp.  232-236.</w:t>
      </w:r>
    </w:p>
    <w:p w14:paraId="27A547D7" w14:textId="77777777" w:rsidR="00796A9D" w:rsidRPr="00BA2DBB" w:rsidRDefault="00796A9D" w:rsidP="00796A9D">
      <w:pPr>
        <w:pStyle w:val="Testonotaapidipagina"/>
        <w:jc w:val="both"/>
        <w:rPr>
          <w:rFonts w:ascii="Times New Roman" w:hAnsi="Times New Roman" w:cs="Times New Roman"/>
          <w:sz w:val="24"/>
          <w:szCs w:val="24"/>
        </w:rPr>
      </w:pPr>
    </w:p>
    <w:p w14:paraId="0AC1C977"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V. Muñoz Gómez</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¿Representar la legitimidad? Objetos, símbolos y comunicación en las ceremonias públicas del reinado de Fernando I de Aragón</w:t>
      </w:r>
      <w:r w:rsidRPr="00BA2DBB">
        <w:rPr>
          <w:rFonts w:ascii="Times New Roman" w:hAnsi="Times New Roman" w:cs="Times New Roman"/>
          <w:sz w:val="24"/>
          <w:szCs w:val="24"/>
        </w:rPr>
        <w:t>, «Medievalista», 23, Janeiro – Junho 2018, rivista online, http://www2.fcsh.unl.pt/iem/medievalista/MEDIEVALISTA23/gomez2312.html, visto il 09/02/2018.</w:t>
      </w:r>
    </w:p>
    <w:p w14:paraId="475AA336" w14:textId="77777777" w:rsidR="00796A9D" w:rsidRPr="00BA2DBB" w:rsidRDefault="00796A9D" w:rsidP="00796A9D">
      <w:pPr>
        <w:pStyle w:val="Testonotaapidipagina"/>
        <w:jc w:val="both"/>
        <w:rPr>
          <w:rFonts w:ascii="Times New Roman" w:hAnsi="Times New Roman" w:cs="Times New Roman"/>
          <w:sz w:val="24"/>
          <w:szCs w:val="24"/>
        </w:rPr>
      </w:pPr>
    </w:p>
    <w:p w14:paraId="7B34254E"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E. Müntz, P. Fabre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bibliothèque du Vatican au XV siècle d’après des documents inédits</w:t>
      </w:r>
      <w:r w:rsidRPr="00BA2DBB">
        <w:rPr>
          <w:rFonts w:ascii="Times New Roman" w:hAnsi="Times New Roman" w:cs="Times New Roman"/>
          <w:sz w:val="24"/>
          <w:szCs w:val="24"/>
        </w:rPr>
        <w:t xml:space="preserve">, Paris, Ernest Thorin, 1887.  </w:t>
      </w:r>
    </w:p>
    <w:p w14:paraId="1A88279C" w14:textId="77777777" w:rsidR="00796A9D" w:rsidRDefault="00796A9D" w:rsidP="00796A9D">
      <w:pPr>
        <w:pStyle w:val="Testonotaapidipagina"/>
        <w:jc w:val="both"/>
        <w:rPr>
          <w:rFonts w:ascii="Times New Roman" w:hAnsi="Times New Roman" w:cs="Times New Roman"/>
          <w:sz w:val="24"/>
          <w:szCs w:val="24"/>
        </w:rPr>
      </w:pPr>
    </w:p>
    <w:p w14:paraId="74645254" w14:textId="77777777" w:rsidR="00796A9D" w:rsidRDefault="00796A9D" w:rsidP="00796A9D">
      <w:pPr>
        <w:pStyle w:val="Testonotaapidipagina"/>
        <w:jc w:val="both"/>
        <w:rPr>
          <w:rFonts w:ascii="Times New Roman" w:hAnsi="Times New Roman" w:cs="Times New Roman"/>
          <w:sz w:val="24"/>
          <w:szCs w:val="24"/>
        </w:rPr>
      </w:pPr>
      <w:r w:rsidRPr="001313E5">
        <w:rPr>
          <w:rFonts w:ascii="Times New Roman" w:hAnsi="Times New Roman" w:cs="Times New Roman"/>
          <w:smallCaps/>
          <w:sz w:val="24"/>
          <w:szCs w:val="24"/>
        </w:rPr>
        <w:t>P. Needham</w:t>
      </w:r>
      <w:r w:rsidRPr="001313E5">
        <w:rPr>
          <w:rFonts w:ascii="Times New Roman" w:hAnsi="Times New Roman" w:cs="Times New Roman"/>
          <w:sz w:val="24"/>
          <w:szCs w:val="24"/>
        </w:rPr>
        <w:t xml:space="preserve">, </w:t>
      </w:r>
      <w:r w:rsidRPr="001313E5">
        <w:rPr>
          <w:rFonts w:ascii="Times New Roman" w:hAnsi="Times New Roman" w:cs="Times New Roman"/>
          <w:i/>
          <w:sz w:val="24"/>
          <w:szCs w:val="24"/>
        </w:rPr>
        <w:t>The late use of incunables and the paths of book survival</w:t>
      </w:r>
      <w:r w:rsidRPr="001313E5">
        <w:rPr>
          <w:rFonts w:ascii="Times New Roman" w:hAnsi="Times New Roman" w:cs="Times New Roman"/>
          <w:sz w:val="24"/>
          <w:szCs w:val="24"/>
        </w:rPr>
        <w:t>, «Wolfenbütteler Notizen zur Buchgeschichte», 29, 2004, p. 32-41.</w:t>
      </w:r>
    </w:p>
    <w:p w14:paraId="47B7455E" w14:textId="77777777" w:rsidR="00796A9D" w:rsidRDefault="00796A9D" w:rsidP="00796A9D">
      <w:pPr>
        <w:pStyle w:val="Testonotaapidipagina"/>
        <w:jc w:val="both"/>
        <w:rPr>
          <w:rFonts w:ascii="Times New Roman" w:hAnsi="Times New Roman" w:cs="Times New Roman"/>
          <w:sz w:val="24"/>
          <w:szCs w:val="24"/>
        </w:rPr>
      </w:pPr>
    </w:p>
    <w:p w14:paraId="5CED13DE" w14:textId="77777777" w:rsidR="00796A9D" w:rsidRPr="003C084B" w:rsidRDefault="00796A9D" w:rsidP="00796A9D">
      <w:pPr>
        <w:pStyle w:val="Testonotaapidipagina"/>
        <w:jc w:val="both"/>
        <w:rPr>
          <w:rFonts w:ascii="Times New Roman" w:hAnsi="Times New Roman" w:cs="Times New Roman"/>
          <w:sz w:val="24"/>
          <w:szCs w:val="24"/>
        </w:rPr>
      </w:pPr>
      <w:r w:rsidRPr="003C084B">
        <w:rPr>
          <w:rFonts w:ascii="Times New Roman" w:hAnsi="Times New Roman" w:cs="Times New Roman"/>
          <w:sz w:val="24"/>
          <w:szCs w:val="24"/>
        </w:rPr>
        <w:t xml:space="preserve">P. NEGRI, </w:t>
      </w:r>
      <w:r w:rsidRPr="003C084B">
        <w:rPr>
          <w:rFonts w:ascii="Times New Roman" w:hAnsi="Times New Roman" w:cs="Times New Roman"/>
          <w:i/>
          <w:sz w:val="24"/>
          <w:szCs w:val="24"/>
        </w:rPr>
        <w:t>Milano, Ferrara e Impero durante l’impresa di Carlo VIII in Italia</w:t>
      </w:r>
      <w:r w:rsidRPr="003C084B">
        <w:rPr>
          <w:rFonts w:ascii="Times New Roman" w:hAnsi="Times New Roman" w:cs="Times New Roman"/>
          <w:sz w:val="24"/>
          <w:szCs w:val="24"/>
        </w:rPr>
        <w:t>, «Archivio Storico Lombardo», V, 1917, pp. 423-571.</w:t>
      </w:r>
    </w:p>
    <w:p w14:paraId="0E201AFF" w14:textId="77777777" w:rsidR="00796A9D" w:rsidRPr="00BA2DBB" w:rsidRDefault="00796A9D" w:rsidP="00796A9D">
      <w:pPr>
        <w:pStyle w:val="Testonotaapidipagina"/>
        <w:jc w:val="both"/>
        <w:rPr>
          <w:rFonts w:ascii="Times New Roman" w:hAnsi="Times New Roman" w:cs="Times New Roman"/>
          <w:sz w:val="24"/>
          <w:szCs w:val="24"/>
        </w:rPr>
      </w:pPr>
    </w:p>
    <w:p w14:paraId="00B858F8"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i/>
          <w:sz w:val="24"/>
          <w:szCs w:val="24"/>
        </w:rPr>
        <w:t>Nel segno del corvo. Libri e miniature della biblioteca di Mattia Corvino (1443-1490)</w:t>
      </w:r>
      <w:r w:rsidRPr="00BA2DBB">
        <w:rPr>
          <w:rFonts w:ascii="Times New Roman" w:hAnsi="Times New Roman" w:cs="Times New Roman"/>
          <w:sz w:val="24"/>
          <w:szCs w:val="24"/>
        </w:rPr>
        <w:t xml:space="preserve">, Catalogo della mostra (Modena 15 novembre 2002 – 15 febbraio 2003), a cura di </w:t>
      </w:r>
      <w:r w:rsidRPr="005070E0">
        <w:rPr>
          <w:rFonts w:ascii="Times New Roman" w:hAnsi="Times New Roman" w:cs="Times New Roman"/>
          <w:smallCaps/>
          <w:sz w:val="24"/>
          <w:szCs w:val="24"/>
        </w:rPr>
        <w:t>N. Bono</w:t>
      </w:r>
      <w:r w:rsidRPr="00BA2DBB">
        <w:rPr>
          <w:rFonts w:ascii="Times New Roman" w:hAnsi="Times New Roman" w:cs="Times New Roman"/>
          <w:sz w:val="24"/>
          <w:szCs w:val="24"/>
        </w:rPr>
        <w:t>, Modena, Il Bulino, 2002.</w:t>
      </w:r>
    </w:p>
    <w:p w14:paraId="3B39DBA4" w14:textId="77777777" w:rsidR="00796A9D" w:rsidRDefault="00796A9D" w:rsidP="00796A9D">
      <w:pPr>
        <w:pStyle w:val="Testonotaapidipagina"/>
        <w:jc w:val="both"/>
        <w:rPr>
          <w:rFonts w:ascii="Times New Roman" w:hAnsi="Times New Roman" w:cs="Times New Roman"/>
          <w:sz w:val="24"/>
          <w:szCs w:val="24"/>
        </w:rPr>
      </w:pPr>
    </w:p>
    <w:p w14:paraId="35ABE93D" w14:textId="77777777" w:rsidR="00796A9D" w:rsidRDefault="00796A9D" w:rsidP="00796A9D">
      <w:pPr>
        <w:pStyle w:val="Testonotaapidipagina"/>
        <w:jc w:val="both"/>
        <w:rPr>
          <w:rFonts w:ascii="Times New Roman" w:eastAsia="Times New Roman" w:hAnsi="Times New Roman" w:cs="Times New Roman"/>
          <w:sz w:val="24"/>
          <w:szCs w:val="24"/>
          <w:lang w:val="en-US"/>
        </w:rPr>
      </w:pPr>
      <w:r w:rsidRPr="000F5A3D">
        <w:rPr>
          <w:rFonts w:ascii="Times New Roman" w:eastAsia="Times New Roman" w:hAnsi="Times New Roman" w:cs="Times New Roman"/>
          <w:smallCaps/>
          <w:sz w:val="24"/>
          <w:szCs w:val="24"/>
        </w:rPr>
        <w:t>N. Newbigin</w:t>
      </w:r>
      <w:r w:rsidRPr="000F5A3D">
        <w:rPr>
          <w:rFonts w:ascii="Times New Roman" w:eastAsia="Times New Roman" w:hAnsi="Times New Roman" w:cs="Times New Roman"/>
          <w:sz w:val="24"/>
          <w:szCs w:val="24"/>
        </w:rPr>
        <w:t xml:space="preserve">, </w:t>
      </w:r>
      <w:r w:rsidRPr="000F5A3D">
        <w:rPr>
          <w:rFonts w:ascii="Times New Roman" w:eastAsia="Times New Roman" w:hAnsi="Times New Roman" w:cs="Times New Roman"/>
          <w:i/>
          <w:sz w:val="24"/>
          <w:szCs w:val="24"/>
        </w:rPr>
        <w:t xml:space="preserve">Feste d’Oltrarno. </w:t>
      </w:r>
      <w:r w:rsidRPr="000F5A3D">
        <w:rPr>
          <w:rFonts w:ascii="Times New Roman" w:eastAsia="Times New Roman" w:hAnsi="Times New Roman" w:cs="Times New Roman"/>
          <w:i/>
          <w:sz w:val="24"/>
          <w:szCs w:val="24"/>
          <w:lang w:val="en-US"/>
        </w:rPr>
        <w:t>Plays in Churches in Fifteenth-Century Florence</w:t>
      </w:r>
      <w:r w:rsidRPr="000F5A3D">
        <w:rPr>
          <w:rFonts w:ascii="Times New Roman" w:eastAsia="Times New Roman" w:hAnsi="Times New Roman" w:cs="Times New Roman"/>
          <w:sz w:val="24"/>
          <w:szCs w:val="24"/>
          <w:lang w:val="en-US"/>
        </w:rPr>
        <w:t>, Firenze, Olschki, 1996.</w:t>
      </w:r>
    </w:p>
    <w:p w14:paraId="1F1F931E" w14:textId="77777777" w:rsidR="00796A9D" w:rsidRDefault="00796A9D" w:rsidP="00796A9D">
      <w:pPr>
        <w:pStyle w:val="Testonotaapidipagina"/>
        <w:jc w:val="both"/>
        <w:rPr>
          <w:rFonts w:ascii="Times New Roman" w:eastAsia="Times New Roman" w:hAnsi="Times New Roman" w:cs="Times New Roman"/>
          <w:sz w:val="24"/>
          <w:szCs w:val="24"/>
          <w:lang w:val="en-US"/>
        </w:rPr>
      </w:pPr>
    </w:p>
    <w:p w14:paraId="195BA417" w14:textId="77777777" w:rsidR="00796A9D" w:rsidRPr="000D7E97" w:rsidRDefault="00796A9D" w:rsidP="00796A9D">
      <w:pPr>
        <w:pStyle w:val="Testonotaapidipagina"/>
        <w:jc w:val="both"/>
        <w:rPr>
          <w:rFonts w:ascii="Times New Roman" w:eastAsia="Times New Roman" w:hAnsi="Times New Roman" w:cs="Times New Roman"/>
          <w:sz w:val="24"/>
          <w:szCs w:val="24"/>
          <w:lang w:val="en-US"/>
        </w:rPr>
      </w:pPr>
      <w:r w:rsidRPr="000D7E97">
        <w:rPr>
          <w:rFonts w:ascii="Times New Roman" w:hAnsi="Times New Roman" w:cs="Times New Roman"/>
          <w:smallCaps/>
          <w:sz w:val="24"/>
          <w:szCs w:val="24"/>
        </w:rPr>
        <w:t>C. Nocilli</w:t>
      </w:r>
      <w:r w:rsidRPr="000D7E97">
        <w:rPr>
          <w:rFonts w:ascii="Times New Roman" w:hAnsi="Times New Roman" w:cs="Times New Roman"/>
          <w:sz w:val="24"/>
          <w:szCs w:val="24"/>
        </w:rPr>
        <w:t xml:space="preserve">, </w:t>
      </w:r>
      <w:r w:rsidRPr="000D7E97">
        <w:rPr>
          <w:rFonts w:ascii="Times New Roman" w:hAnsi="Times New Roman" w:cs="Times New Roman"/>
          <w:i/>
          <w:sz w:val="24"/>
          <w:szCs w:val="24"/>
        </w:rPr>
        <w:t>Coreografare l’identità</w:t>
      </w:r>
      <w:r w:rsidRPr="000D7E97">
        <w:rPr>
          <w:rFonts w:ascii="Times New Roman" w:hAnsi="Times New Roman" w:cs="Times New Roman"/>
          <w:sz w:val="24"/>
          <w:szCs w:val="24"/>
        </w:rPr>
        <w:t xml:space="preserve">, </w:t>
      </w:r>
      <w:r w:rsidRPr="000D7E97">
        <w:rPr>
          <w:rFonts w:ascii="Times New Roman" w:hAnsi="Times New Roman" w:cs="Times New Roman"/>
          <w:i/>
          <w:sz w:val="24"/>
          <w:szCs w:val="24"/>
        </w:rPr>
        <w:t>La danza alla corte aragonese di Napoli (1443-1502),</w:t>
      </w:r>
      <w:r w:rsidRPr="000D7E97">
        <w:rPr>
          <w:rFonts w:ascii="Times New Roman" w:hAnsi="Times New Roman" w:cs="Times New Roman"/>
          <w:sz w:val="24"/>
          <w:szCs w:val="24"/>
        </w:rPr>
        <w:t xml:space="preserve"> Torino, UTET, 2011.</w:t>
      </w:r>
    </w:p>
    <w:p w14:paraId="6BB2D70D" w14:textId="77777777" w:rsidR="00796A9D" w:rsidRDefault="00796A9D" w:rsidP="00796A9D">
      <w:pPr>
        <w:pStyle w:val="Testonotaapidipagina"/>
        <w:jc w:val="both"/>
        <w:rPr>
          <w:rFonts w:ascii="Times New Roman" w:hAnsi="Times New Roman" w:cs="Times New Roman"/>
          <w:sz w:val="24"/>
          <w:szCs w:val="24"/>
        </w:rPr>
      </w:pPr>
    </w:p>
    <w:p w14:paraId="46F0FF9D" w14:textId="77777777" w:rsidR="00796A9D" w:rsidRPr="00A30861" w:rsidRDefault="00796A9D" w:rsidP="00796A9D">
      <w:pPr>
        <w:pStyle w:val="Testonotaapidipagina"/>
        <w:jc w:val="both"/>
        <w:rPr>
          <w:rFonts w:ascii="Times New Roman" w:hAnsi="Times New Roman" w:cs="Times New Roman"/>
          <w:sz w:val="24"/>
          <w:szCs w:val="24"/>
        </w:rPr>
      </w:pPr>
      <w:r w:rsidRPr="00A30861">
        <w:rPr>
          <w:rFonts w:ascii="Times New Roman" w:hAnsi="Times New Roman" w:cs="Times New Roman"/>
          <w:sz w:val="24"/>
          <w:szCs w:val="24"/>
        </w:rPr>
        <w:t xml:space="preserve">C. </w:t>
      </w:r>
      <w:r w:rsidRPr="00A30861">
        <w:rPr>
          <w:rFonts w:ascii="Times New Roman" w:hAnsi="Times New Roman" w:cs="Times New Roman"/>
          <w:smallCaps/>
          <w:sz w:val="24"/>
          <w:szCs w:val="24"/>
        </w:rPr>
        <w:t>Normore</w:t>
      </w:r>
      <w:r w:rsidRPr="00A30861">
        <w:rPr>
          <w:rFonts w:ascii="Times New Roman" w:hAnsi="Times New Roman" w:cs="Times New Roman"/>
          <w:sz w:val="24"/>
          <w:szCs w:val="24"/>
        </w:rPr>
        <w:t xml:space="preserve">, </w:t>
      </w:r>
      <w:r w:rsidRPr="00A30861">
        <w:rPr>
          <w:rFonts w:ascii="Times New Roman" w:hAnsi="Times New Roman" w:cs="Times New Roman"/>
          <w:i/>
          <w:sz w:val="24"/>
          <w:szCs w:val="24"/>
        </w:rPr>
        <w:t>A Feast for the Eyes. Art, Performance, and Late Medieval Banquet</w:t>
      </w:r>
      <w:r w:rsidRPr="00A30861">
        <w:rPr>
          <w:rFonts w:ascii="Times New Roman" w:hAnsi="Times New Roman" w:cs="Times New Roman"/>
          <w:sz w:val="24"/>
          <w:szCs w:val="24"/>
        </w:rPr>
        <w:t>, Chicago, University of Chicago Press, 2015.</w:t>
      </w:r>
    </w:p>
    <w:p w14:paraId="268B0779" w14:textId="77777777" w:rsidR="00796A9D" w:rsidRDefault="00796A9D" w:rsidP="00796A9D">
      <w:pPr>
        <w:pStyle w:val="Testonotaapidipagina"/>
        <w:jc w:val="both"/>
        <w:rPr>
          <w:rFonts w:ascii="Times New Roman" w:hAnsi="Times New Roman" w:cs="Times New Roman"/>
          <w:sz w:val="24"/>
          <w:szCs w:val="24"/>
        </w:rPr>
      </w:pPr>
    </w:p>
    <w:p w14:paraId="3EAA73D7" w14:textId="77777777" w:rsidR="00796A9D" w:rsidRPr="008038A3" w:rsidRDefault="00796A9D" w:rsidP="00796A9D">
      <w:pPr>
        <w:pStyle w:val="Testonotaapidipagina"/>
        <w:jc w:val="both"/>
        <w:rPr>
          <w:rFonts w:ascii="Times New Roman" w:hAnsi="Times New Roman" w:cs="Times New Roman"/>
          <w:sz w:val="24"/>
          <w:szCs w:val="24"/>
        </w:rPr>
      </w:pPr>
      <w:r w:rsidRPr="008038A3">
        <w:rPr>
          <w:rFonts w:ascii="Times New Roman" w:hAnsi="Times New Roman" w:cs="Times New Roman"/>
          <w:smallCaps/>
          <w:sz w:val="24"/>
          <w:szCs w:val="24"/>
        </w:rPr>
        <w:t>F. Novati</w:t>
      </w:r>
      <w:r w:rsidRPr="008038A3">
        <w:rPr>
          <w:rFonts w:ascii="Times New Roman" w:hAnsi="Times New Roman" w:cs="Times New Roman"/>
          <w:sz w:val="24"/>
          <w:szCs w:val="24"/>
        </w:rPr>
        <w:t xml:space="preserve">, </w:t>
      </w:r>
      <w:r w:rsidRPr="008038A3">
        <w:rPr>
          <w:rFonts w:ascii="Times New Roman" w:hAnsi="Times New Roman" w:cs="Times New Roman"/>
          <w:i/>
          <w:sz w:val="24"/>
          <w:szCs w:val="24"/>
        </w:rPr>
        <w:t>Scritti sull’editoria popolare nell’Italia di Antico Regime</w:t>
      </w:r>
      <w:r w:rsidRPr="008038A3">
        <w:rPr>
          <w:rFonts w:ascii="Times New Roman" w:hAnsi="Times New Roman" w:cs="Times New Roman"/>
          <w:sz w:val="24"/>
          <w:szCs w:val="24"/>
        </w:rPr>
        <w:t xml:space="preserve">, a cura di </w:t>
      </w:r>
      <w:r w:rsidRPr="008038A3">
        <w:rPr>
          <w:rFonts w:ascii="Times New Roman" w:hAnsi="Times New Roman" w:cs="Times New Roman"/>
          <w:smallCaps/>
          <w:sz w:val="24"/>
          <w:szCs w:val="24"/>
        </w:rPr>
        <w:t>E. Barbieri, A. Brambilla</w:t>
      </w:r>
      <w:r w:rsidRPr="008038A3">
        <w:rPr>
          <w:rFonts w:ascii="Times New Roman" w:hAnsi="Times New Roman" w:cs="Times New Roman"/>
          <w:sz w:val="24"/>
          <w:szCs w:val="24"/>
        </w:rPr>
        <w:t>, Roma, Archivio Guido Izzi, 2004.</w:t>
      </w:r>
    </w:p>
    <w:p w14:paraId="2C2AD281" w14:textId="77777777" w:rsidR="00796A9D" w:rsidRPr="00BA2DBB" w:rsidRDefault="00796A9D" w:rsidP="00796A9D">
      <w:pPr>
        <w:pStyle w:val="Testonotaapidipagina"/>
        <w:jc w:val="both"/>
        <w:rPr>
          <w:rFonts w:ascii="Times New Roman" w:hAnsi="Times New Roman" w:cs="Times New Roman"/>
          <w:sz w:val="24"/>
          <w:szCs w:val="24"/>
        </w:rPr>
      </w:pPr>
    </w:p>
    <w:p w14:paraId="01DA58B6"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Nuovo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Il commercio librario a Ferrara tra XV e XVI secolo</w:t>
      </w:r>
      <w:r w:rsidRPr="00BA2DBB">
        <w:rPr>
          <w:rFonts w:ascii="Times New Roman" w:hAnsi="Times New Roman" w:cs="Times New Roman"/>
          <w:sz w:val="24"/>
          <w:szCs w:val="24"/>
        </w:rPr>
        <w:t>, Firenze, Olschki, 1998.</w:t>
      </w:r>
    </w:p>
    <w:p w14:paraId="3089FA49" w14:textId="77777777" w:rsidR="00796A9D" w:rsidRPr="00BA2DBB" w:rsidRDefault="00796A9D" w:rsidP="00796A9D">
      <w:pPr>
        <w:pStyle w:val="Testonotaapidipagina"/>
        <w:jc w:val="both"/>
        <w:rPr>
          <w:rFonts w:ascii="Times New Roman" w:hAnsi="Times New Roman" w:cs="Times New Roman"/>
          <w:sz w:val="24"/>
          <w:szCs w:val="24"/>
        </w:rPr>
      </w:pPr>
    </w:p>
    <w:p w14:paraId="385396E4"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Nuovo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Privilegi librari a Milano (sec. XV-XVI</w:t>
      </w:r>
      <w:r w:rsidRPr="00BA2DBB">
        <w:rPr>
          <w:rFonts w:ascii="Times New Roman" w:hAnsi="Times New Roman" w:cs="Times New Roman"/>
          <w:sz w:val="24"/>
          <w:szCs w:val="24"/>
        </w:rPr>
        <w:t xml:space="preserve">), «La Bibliofilia», CXVI, 2014, pp. 193-204. </w:t>
      </w:r>
    </w:p>
    <w:p w14:paraId="79D08789" w14:textId="77777777" w:rsidR="00796A9D" w:rsidRDefault="00796A9D" w:rsidP="00796A9D">
      <w:pPr>
        <w:pStyle w:val="Testonotaapidipagina"/>
        <w:jc w:val="both"/>
        <w:rPr>
          <w:rFonts w:ascii="Times New Roman" w:hAnsi="Times New Roman" w:cs="Times New Roman"/>
          <w:sz w:val="24"/>
          <w:szCs w:val="24"/>
        </w:rPr>
      </w:pPr>
    </w:p>
    <w:p w14:paraId="4FEC8363" w14:textId="77777777" w:rsidR="00796A9D" w:rsidRPr="008B3DCD" w:rsidRDefault="00796A9D" w:rsidP="00796A9D">
      <w:pPr>
        <w:pStyle w:val="Testonotaapidipagina"/>
        <w:jc w:val="both"/>
        <w:rPr>
          <w:rFonts w:ascii="Times New Roman" w:hAnsi="Times New Roman" w:cs="Times New Roman"/>
          <w:sz w:val="24"/>
          <w:szCs w:val="24"/>
        </w:rPr>
      </w:pPr>
      <w:r w:rsidRPr="008B3DCD">
        <w:rPr>
          <w:rFonts w:ascii="Times New Roman" w:hAnsi="Times New Roman" w:cs="Times New Roman"/>
          <w:smallCaps/>
          <w:sz w:val="24"/>
          <w:szCs w:val="24"/>
        </w:rPr>
        <w:t>I. Nuovo</w:t>
      </w:r>
      <w:r w:rsidRPr="008B3DCD">
        <w:rPr>
          <w:rFonts w:ascii="Times New Roman" w:hAnsi="Times New Roman" w:cs="Times New Roman"/>
          <w:sz w:val="24"/>
          <w:szCs w:val="24"/>
        </w:rPr>
        <w:t xml:space="preserve">, </w:t>
      </w:r>
      <w:r w:rsidRPr="008B3DCD">
        <w:rPr>
          <w:rFonts w:ascii="Times New Roman" w:hAnsi="Times New Roman" w:cs="Times New Roman"/>
          <w:i/>
          <w:sz w:val="24"/>
          <w:szCs w:val="24"/>
        </w:rPr>
        <w:t>Sulla struttura di un dialogo di Ludovico Carbone</w:t>
      </w:r>
      <w:r w:rsidRPr="008B3DCD">
        <w:rPr>
          <w:rFonts w:ascii="Times New Roman" w:hAnsi="Times New Roman" w:cs="Times New Roman"/>
          <w:sz w:val="24"/>
          <w:szCs w:val="24"/>
        </w:rPr>
        <w:t xml:space="preserve"> (</w:t>
      </w:r>
      <w:r w:rsidRPr="008B3DCD">
        <w:rPr>
          <w:rFonts w:ascii="Times New Roman" w:hAnsi="Times New Roman" w:cs="Times New Roman"/>
          <w:i/>
          <w:sz w:val="24"/>
          <w:szCs w:val="24"/>
        </w:rPr>
        <w:t>de Neapolitana profectione</w:t>
      </w:r>
      <w:r w:rsidRPr="008B3DCD">
        <w:rPr>
          <w:rFonts w:ascii="Times New Roman" w:hAnsi="Times New Roman" w:cs="Times New Roman"/>
          <w:sz w:val="24"/>
          <w:szCs w:val="24"/>
        </w:rPr>
        <w:t xml:space="preserve">), «Annali della Facoltà di Lettere e Filosofia dell’Università degli Studi di Bari», XXI, 1978, pp. 93-113.   </w:t>
      </w:r>
    </w:p>
    <w:p w14:paraId="3F79471B" w14:textId="77777777" w:rsidR="00796A9D" w:rsidRDefault="00796A9D" w:rsidP="00796A9D">
      <w:pPr>
        <w:pStyle w:val="Testonotaapidipagina"/>
        <w:jc w:val="both"/>
        <w:rPr>
          <w:rFonts w:ascii="Times New Roman" w:hAnsi="Times New Roman" w:cs="Times New Roman"/>
          <w:sz w:val="24"/>
          <w:szCs w:val="24"/>
        </w:rPr>
      </w:pPr>
    </w:p>
    <w:p w14:paraId="2AA99DFE" w14:textId="77777777" w:rsidR="00796A9D" w:rsidRDefault="00796A9D" w:rsidP="00796A9D">
      <w:pPr>
        <w:pStyle w:val="Testonotaapidipagina"/>
        <w:jc w:val="both"/>
        <w:rPr>
          <w:rFonts w:ascii="Times New Roman" w:hAnsi="Times New Roman" w:cs="Times New Roman"/>
          <w:sz w:val="24"/>
          <w:szCs w:val="24"/>
        </w:rPr>
      </w:pPr>
      <w:r w:rsidRPr="008972E1">
        <w:rPr>
          <w:rFonts w:ascii="Times New Roman" w:hAnsi="Times New Roman" w:cs="Times New Roman"/>
          <w:sz w:val="24"/>
          <w:szCs w:val="24"/>
        </w:rPr>
        <w:t>I</w:t>
      </w:r>
      <w:r w:rsidRPr="008972E1">
        <w:rPr>
          <w:rFonts w:ascii="Times New Roman" w:hAnsi="Times New Roman" w:cs="Times New Roman"/>
          <w:smallCaps/>
          <w:sz w:val="24"/>
          <w:szCs w:val="24"/>
        </w:rPr>
        <w:t>. Nuovo</w:t>
      </w:r>
      <w:r w:rsidRPr="008972E1">
        <w:rPr>
          <w:rFonts w:ascii="Times New Roman" w:hAnsi="Times New Roman" w:cs="Times New Roman"/>
          <w:sz w:val="24"/>
          <w:szCs w:val="24"/>
        </w:rPr>
        <w:t xml:space="preserve">, </w:t>
      </w:r>
      <w:r w:rsidRPr="008972E1">
        <w:rPr>
          <w:rFonts w:ascii="Times New Roman" w:hAnsi="Times New Roman" w:cs="Times New Roman"/>
          <w:i/>
          <w:sz w:val="24"/>
          <w:szCs w:val="24"/>
        </w:rPr>
        <w:t>La festa tra spettacolo e invenzione: il corteo nuziale di Isabella d’Aragona e Gian Galeazzo Sforza</w:t>
      </w:r>
      <w:r w:rsidRPr="008972E1">
        <w:rPr>
          <w:rFonts w:ascii="Times New Roman" w:hAnsi="Times New Roman" w:cs="Times New Roman"/>
          <w:sz w:val="24"/>
          <w:szCs w:val="24"/>
        </w:rPr>
        <w:t xml:space="preserve">, in </w:t>
      </w:r>
      <w:r w:rsidRPr="008972E1">
        <w:rPr>
          <w:rFonts w:ascii="Times New Roman" w:hAnsi="Times New Roman" w:cs="Times New Roman"/>
          <w:i/>
          <w:sz w:val="24"/>
          <w:szCs w:val="24"/>
        </w:rPr>
        <w:t>Patrimonium in festa. Cortei, tornei, artifici e feste alla fine del Medioevo (secoli XV-XVI)</w:t>
      </w:r>
      <w:r w:rsidRPr="008972E1">
        <w:rPr>
          <w:rFonts w:ascii="Times New Roman" w:hAnsi="Times New Roman" w:cs="Times New Roman"/>
          <w:sz w:val="24"/>
          <w:szCs w:val="24"/>
        </w:rPr>
        <w:t xml:space="preserve">, a cura di A. </w:t>
      </w:r>
      <w:r w:rsidRPr="008972E1">
        <w:rPr>
          <w:rFonts w:ascii="Times New Roman" w:hAnsi="Times New Roman" w:cs="Times New Roman"/>
          <w:smallCaps/>
          <w:sz w:val="24"/>
          <w:szCs w:val="24"/>
        </w:rPr>
        <w:t>Modigliani</w:t>
      </w:r>
      <w:r w:rsidRPr="008972E1">
        <w:rPr>
          <w:rFonts w:ascii="Times New Roman" w:hAnsi="Times New Roman" w:cs="Times New Roman"/>
          <w:sz w:val="24"/>
          <w:szCs w:val="24"/>
        </w:rPr>
        <w:t>, Orte, Ente Ottava Medievale di Orte, 2000, pp. 133-149.</w:t>
      </w:r>
    </w:p>
    <w:p w14:paraId="481EE22E" w14:textId="77777777" w:rsidR="00796A9D" w:rsidRDefault="00796A9D" w:rsidP="00796A9D">
      <w:pPr>
        <w:pStyle w:val="Testonotaapidipagina"/>
        <w:jc w:val="both"/>
        <w:rPr>
          <w:rFonts w:ascii="Times New Roman" w:hAnsi="Times New Roman" w:cs="Times New Roman"/>
          <w:sz w:val="24"/>
          <w:szCs w:val="24"/>
        </w:rPr>
      </w:pPr>
    </w:p>
    <w:p w14:paraId="63D7CE6F" w14:textId="77777777" w:rsidR="00796A9D" w:rsidRPr="003E4D8E" w:rsidRDefault="00796A9D" w:rsidP="00796A9D">
      <w:pPr>
        <w:pStyle w:val="Testonotaapidipagina"/>
        <w:jc w:val="both"/>
        <w:rPr>
          <w:rFonts w:ascii="Times New Roman" w:hAnsi="Times New Roman" w:cs="Times New Roman"/>
          <w:sz w:val="24"/>
          <w:szCs w:val="24"/>
        </w:rPr>
      </w:pPr>
      <w:r w:rsidRPr="003E4D8E">
        <w:rPr>
          <w:rFonts w:ascii="Times New Roman" w:hAnsi="Times New Roman" w:cs="Times New Roman"/>
          <w:smallCaps/>
          <w:sz w:val="24"/>
          <w:szCs w:val="24"/>
        </w:rPr>
        <w:t>A. Ortner</w:t>
      </w:r>
      <w:r w:rsidRPr="003E4D8E">
        <w:rPr>
          <w:rFonts w:ascii="Times New Roman" w:hAnsi="Times New Roman" w:cs="Times New Roman"/>
          <w:sz w:val="24"/>
          <w:szCs w:val="24"/>
        </w:rPr>
        <w:t xml:space="preserve">, </w:t>
      </w:r>
      <w:r w:rsidRPr="003E4D8E">
        <w:rPr>
          <w:rFonts w:ascii="Times New Roman" w:hAnsi="Times New Roman" w:cs="Times New Roman"/>
          <w:i/>
          <w:sz w:val="24"/>
          <w:szCs w:val="24"/>
        </w:rPr>
        <w:t>Petrarcas Trionfi in Malerei, Dichtung und Festkultur. Untersuchung zur Entstehung und Verbreitung eines florentinischen Bildmotivs auf cassoni un</w:t>
      </w:r>
      <w:r>
        <w:rPr>
          <w:rFonts w:ascii="Times New Roman" w:hAnsi="Times New Roman" w:cs="Times New Roman"/>
          <w:i/>
          <w:sz w:val="24"/>
          <w:szCs w:val="24"/>
        </w:rPr>
        <w:t>d</w:t>
      </w:r>
      <w:r w:rsidRPr="003E4D8E">
        <w:rPr>
          <w:rFonts w:ascii="Times New Roman" w:hAnsi="Times New Roman" w:cs="Times New Roman"/>
          <w:i/>
          <w:sz w:val="24"/>
          <w:szCs w:val="24"/>
        </w:rPr>
        <w:t xml:space="preserve"> deschi da parto des 15. Jahrhunderts</w:t>
      </w:r>
      <w:r w:rsidRPr="003E4D8E">
        <w:rPr>
          <w:rFonts w:ascii="Times New Roman" w:hAnsi="Times New Roman" w:cs="Times New Roman"/>
          <w:sz w:val="24"/>
          <w:szCs w:val="24"/>
        </w:rPr>
        <w:t>, Weimar, Verlag, 1998.</w:t>
      </w:r>
    </w:p>
    <w:p w14:paraId="69175C5A" w14:textId="77777777" w:rsidR="00796A9D" w:rsidRPr="003E4D8E" w:rsidRDefault="00796A9D" w:rsidP="00796A9D">
      <w:pPr>
        <w:pStyle w:val="Testonotaapidipagina"/>
        <w:jc w:val="both"/>
        <w:rPr>
          <w:rFonts w:ascii="Times New Roman" w:hAnsi="Times New Roman" w:cs="Times New Roman"/>
          <w:sz w:val="24"/>
          <w:szCs w:val="24"/>
        </w:rPr>
      </w:pPr>
    </w:p>
    <w:p w14:paraId="403ED557" w14:textId="77777777" w:rsidR="00796A9D" w:rsidRPr="007A6950" w:rsidRDefault="00796A9D" w:rsidP="00796A9D">
      <w:pPr>
        <w:pStyle w:val="Testonotaapidipagina"/>
        <w:jc w:val="both"/>
        <w:rPr>
          <w:rFonts w:ascii="Times New Roman" w:hAnsi="Times New Roman" w:cs="Times New Roman"/>
          <w:sz w:val="24"/>
          <w:szCs w:val="24"/>
        </w:rPr>
      </w:pPr>
      <w:r w:rsidRPr="007A6950">
        <w:rPr>
          <w:rFonts w:ascii="Times New Roman" w:hAnsi="Times New Roman" w:cs="Times New Roman"/>
          <w:smallCaps/>
          <w:sz w:val="24"/>
          <w:szCs w:val="24"/>
        </w:rPr>
        <w:t>G. Osti</w:t>
      </w:r>
      <w:r w:rsidRPr="007A6950">
        <w:rPr>
          <w:rFonts w:ascii="Times New Roman" w:hAnsi="Times New Roman" w:cs="Times New Roman"/>
          <w:sz w:val="24"/>
          <w:szCs w:val="24"/>
        </w:rPr>
        <w:t xml:space="preserve">, </w:t>
      </w:r>
      <w:r w:rsidRPr="007A6950">
        <w:rPr>
          <w:rFonts w:ascii="Times New Roman" w:hAnsi="Times New Roman" w:cs="Times New Roman"/>
          <w:i/>
          <w:sz w:val="24"/>
          <w:szCs w:val="24"/>
        </w:rPr>
        <w:t>Attraverso la regione trentino-tirolese nel Quattrocento</w:t>
      </w:r>
      <w:r w:rsidRPr="007A6950">
        <w:rPr>
          <w:rFonts w:ascii="Times New Roman" w:hAnsi="Times New Roman" w:cs="Times New Roman"/>
          <w:sz w:val="24"/>
          <w:szCs w:val="24"/>
        </w:rPr>
        <w:t>, Rovereto, Nicolodi, 2005</w:t>
      </w:r>
      <w:r>
        <w:rPr>
          <w:rFonts w:ascii="Times New Roman" w:hAnsi="Times New Roman" w:cs="Times New Roman"/>
          <w:sz w:val="24"/>
          <w:szCs w:val="24"/>
        </w:rPr>
        <w:t>.</w:t>
      </w:r>
    </w:p>
    <w:p w14:paraId="458B52FB" w14:textId="77777777" w:rsidR="00796A9D" w:rsidRPr="008972E1" w:rsidRDefault="00796A9D" w:rsidP="00796A9D">
      <w:pPr>
        <w:pStyle w:val="Testonotaapidipagina"/>
        <w:jc w:val="both"/>
        <w:rPr>
          <w:rFonts w:ascii="Times New Roman" w:hAnsi="Times New Roman" w:cs="Times New Roman"/>
          <w:sz w:val="24"/>
          <w:szCs w:val="24"/>
        </w:rPr>
      </w:pPr>
    </w:p>
    <w:p w14:paraId="0CFB4200"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Pacchioni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Belbello da Pavia e Gerolamo da Cremona, miniatori. Un prezioso messale gonzaghesco del secolo XV</w:t>
      </w:r>
      <w:r w:rsidRPr="00BA2DBB">
        <w:rPr>
          <w:rFonts w:ascii="Times New Roman" w:hAnsi="Times New Roman" w:cs="Times New Roman"/>
          <w:sz w:val="24"/>
          <w:szCs w:val="24"/>
        </w:rPr>
        <w:t>, «L’arte», XVIII, 1915, pp. 241-343.</w:t>
      </w:r>
    </w:p>
    <w:p w14:paraId="1E1FB32C" w14:textId="77777777" w:rsidR="00503816" w:rsidRDefault="00503816" w:rsidP="00796A9D">
      <w:pPr>
        <w:spacing w:after="0"/>
        <w:jc w:val="both"/>
        <w:rPr>
          <w:rFonts w:ascii="Times New Roman" w:hAnsi="Times New Roman" w:cs="Times New Roman"/>
          <w:sz w:val="24"/>
          <w:szCs w:val="24"/>
        </w:rPr>
      </w:pPr>
    </w:p>
    <w:p w14:paraId="4129692A" w14:textId="77777777" w:rsidR="00503816" w:rsidRPr="00503816" w:rsidRDefault="00503816" w:rsidP="00796A9D">
      <w:pPr>
        <w:spacing w:after="0"/>
        <w:jc w:val="both"/>
        <w:rPr>
          <w:rFonts w:ascii="Times New Roman" w:hAnsi="Times New Roman" w:cs="Times New Roman"/>
          <w:sz w:val="24"/>
          <w:szCs w:val="24"/>
        </w:rPr>
      </w:pPr>
      <w:r w:rsidRPr="00503816">
        <w:rPr>
          <w:rFonts w:ascii="Times New Roman" w:hAnsi="Times New Roman" w:cs="Times New Roman"/>
          <w:smallCaps/>
          <w:sz w:val="24"/>
          <w:szCs w:val="24"/>
        </w:rPr>
        <w:t>E. Paganuzzi</w:t>
      </w:r>
      <w:r w:rsidRPr="00503816">
        <w:rPr>
          <w:rFonts w:ascii="Times New Roman" w:hAnsi="Times New Roman" w:cs="Times New Roman"/>
          <w:sz w:val="24"/>
          <w:szCs w:val="24"/>
        </w:rPr>
        <w:t xml:space="preserve">, </w:t>
      </w:r>
      <w:r w:rsidRPr="00503816">
        <w:rPr>
          <w:rFonts w:ascii="Times New Roman" w:hAnsi="Times New Roman" w:cs="Times New Roman"/>
          <w:i/>
          <w:sz w:val="24"/>
          <w:szCs w:val="24"/>
        </w:rPr>
        <w:t>Verona e la musica durante il primo dominio veneziano</w:t>
      </w:r>
      <w:r w:rsidRPr="00503816">
        <w:rPr>
          <w:rFonts w:ascii="Times New Roman" w:hAnsi="Times New Roman" w:cs="Times New Roman"/>
          <w:sz w:val="24"/>
          <w:szCs w:val="24"/>
        </w:rPr>
        <w:t xml:space="preserve">, in </w:t>
      </w:r>
      <w:r w:rsidRPr="00503816">
        <w:rPr>
          <w:rFonts w:ascii="Times New Roman" w:hAnsi="Times New Roman" w:cs="Times New Roman"/>
          <w:i/>
          <w:sz w:val="24"/>
          <w:szCs w:val="24"/>
        </w:rPr>
        <w:t>Il primo dominio veneziano a Verona (1405-1509</w:t>
      </w:r>
      <w:r w:rsidRPr="00503816">
        <w:rPr>
          <w:rFonts w:ascii="Times New Roman" w:hAnsi="Times New Roman" w:cs="Times New Roman"/>
          <w:sz w:val="24"/>
          <w:szCs w:val="24"/>
        </w:rPr>
        <w:t>)</w:t>
      </w:r>
      <w:r w:rsidRPr="00503816">
        <w:rPr>
          <w:rFonts w:ascii="Times New Roman" w:hAnsi="Times New Roman" w:cs="Times New Roman"/>
          <w:i/>
          <w:sz w:val="24"/>
          <w:szCs w:val="24"/>
        </w:rPr>
        <w:t>,</w:t>
      </w:r>
      <w:r w:rsidRPr="00503816">
        <w:rPr>
          <w:rFonts w:ascii="Times New Roman" w:hAnsi="Times New Roman" w:cs="Times New Roman"/>
          <w:sz w:val="24"/>
          <w:szCs w:val="24"/>
        </w:rPr>
        <w:t xml:space="preserve"> Atti del convegno (Verona 16-17 settembre 1988), Verona, Fiorni, 1991, pp. 227-256.</w:t>
      </w:r>
    </w:p>
    <w:p w14:paraId="6CB4435A" w14:textId="77777777" w:rsidR="00796A9D" w:rsidRDefault="00796A9D" w:rsidP="00796A9D">
      <w:pPr>
        <w:spacing w:after="0"/>
        <w:jc w:val="both"/>
        <w:rPr>
          <w:rFonts w:ascii="Times New Roman" w:hAnsi="Times New Roman" w:cs="Times New Roman"/>
          <w:sz w:val="24"/>
          <w:szCs w:val="24"/>
        </w:rPr>
      </w:pPr>
    </w:p>
    <w:p w14:paraId="5A88BE64"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I. </w:t>
      </w:r>
      <w:r w:rsidRPr="00BA2DBB">
        <w:rPr>
          <w:rFonts w:ascii="Times New Roman" w:hAnsi="Times New Roman" w:cs="Times New Roman"/>
          <w:smallCaps/>
          <w:sz w:val="24"/>
          <w:szCs w:val="24"/>
        </w:rPr>
        <w:t>Pagliari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“Una libreria che in Italia non v’era una simile ne’anco a Roma”. La biblioteca dei Gonzaga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Gonzaga. La celeste galleria. L’esercizio del collezionismo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R. Morselli</w:t>
      </w:r>
      <w:r w:rsidRPr="00BA2DBB">
        <w:rPr>
          <w:rFonts w:ascii="Times New Roman" w:hAnsi="Times New Roman" w:cs="Times New Roman"/>
          <w:sz w:val="24"/>
          <w:szCs w:val="24"/>
        </w:rPr>
        <w:t>, Milano, Skira, 2002, pp. 111-125.</w:t>
      </w:r>
    </w:p>
    <w:p w14:paraId="4AFCF558" w14:textId="77777777" w:rsidR="00796A9D" w:rsidRDefault="00796A9D" w:rsidP="00796A9D">
      <w:pPr>
        <w:spacing w:after="0"/>
        <w:jc w:val="both"/>
        <w:rPr>
          <w:rFonts w:ascii="Times New Roman" w:hAnsi="Times New Roman" w:cs="Times New Roman"/>
          <w:sz w:val="24"/>
          <w:szCs w:val="24"/>
        </w:rPr>
      </w:pPr>
    </w:p>
    <w:p w14:paraId="655D03D6" w14:textId="77777777" w:rsidR="00796A9D" w:rsidRDefault="00796A9D" w:rsidP="00796A9D">
      <w:pPr>
        <w:spacing w:after="0"/>
        <w:jc w:val="both"/>
        <w:rPr>
          <w:rFonts w:ascii="Times New Roman" w:hAnsi="Times New Roman" w:cs="Times New Roman"/>
          <w:sz w:val="24"/>
          <w:szCs w:val="24"/>
        </w:rPr>
      </w:pPr>
      <w:r w:rsidRPr="00C81A13">
        <w:rPr>
          <w:rFonts w:ascii="Times New Roman" w:hAnsi="Times New Roman" w:cs="Times New Roman"/>
          <w:smallCaps/>
          <w:sz w:val="24"/>
          <w:szCs w:val="24"/>
        </w:rPr>
        <w:t>M. Palma</w:t>
      </w:r>
      <w:r w:rsidRPr="00C81A13">
        <w:rPr>
          <w:rFonts w:ascii="Times New Roman" w:hAnsi="Times New Roman" w:cs="Times New Roman"/>
          <w:sz w:val="24"/>
          <w:szCs w:val="24"/>
        </w:rPr>
        <w:t xml:space="preserve">, </w:t>
      </w:r>
      <w:r w:rsidRPr="00C81A13">
        <w:rPr>
          <w:rFonts w:ascii="Times New Roman" w:hAnsi="Times New Roman" w:cs="Times New Roman"/>
          <w:i/>
          <w:sz w:val="24"/>
          <w:szCs w:val="24"/>
        </w:rPr>
        <w:t>Aspetti quantitativi della produzione libraria manoscritta e a stampa nel Quattrocento</w:t>
      </w:r>
      <w:r w:rsidRPr="00C81A13">
        <w:rPr>
          <w:rFonts w:ascii="Times New Roman" w:hAnsi="Times New Roman" w:cs="Times New Roman"/>
          <w:sz w:val="24"/>
          <w:szCs w:val="24"/>
        </w:rPr>
        <w:t>, «La Bibliofilia», CXVI, 2014, pp. 165-178.</w:t>
      </w:r>
    </w:p>
    <w:p w14:paraId="3C6924E6" w14:textId="77777777" w:rsidR="00796A9D" w:rsidRDefault="00796A9D" w:rsidP="00796A9D">
      <w:pPr>
        <w:spacing w:after="0"/>
        <w:jc w:val="both"/>
        <w:rPr>
          <w:rFonts w:ascii="Times New Roman" w:hAnsi="Times New Roman" w:cs="Times New Roman"/>
          <w:sz w:val="24"/>
          <w:szCs w:val="24"/>
        </w:rPr>
      </w:pPr>
    </w:p>
    <w:p w14:paraId="28B96492" w14:textId="77777777" w:rsidR="00796A9D" w:rsidRDefault="00796A9D" w:rsidP="00796A9D">
      <w:pPr>
        <w:spacing w:after="0"/>
        <w:jc w:val="both"/>
        <w:rPr>
          <w:rFonts w:ascii="Times New Roman" w:hAnsi="Times New Roman" w:cs="Times New Roman"/>
          <w:sz w:val="24"/>
          <w:szCs w:val="24"/>
        </w:rPr>
      </w:pPr>
      <w:r w:rsidRPr="00882F10">
        <w:rPr>
          <w:rFonts w:ascii="Times New Roman" w:hAnsi="Times New Roman" w:cs="Times New Roman"/>
          <w:smallCaps/>
          <w:sz w:val="24"/>
          <w:szCs w:val="24"/>
        </w:rPr>
        <w:t>E. Panofsky, F. Saxl</w:t>
      </w:r>
      <w:r w:rsidRPr="00882F10">
        <w:rPr>
          <w:rFonts w:ascii="Times New Roman" w:hAnsi="Times New Roman" w:cs="Times New Roman"/>
          <w:sz w:val="24"/>
          <w:szCs w:val="24"/>
        </w:rPr>
        <w:t xml:space="preserve">, </w:t>
      </w:r>
      <w:r w:rsidRPr="00882F10">
        <w:rPr>
          <w:rFonts w:ascii="Times New Roman" w:hAnsi="Times New Roman" w:cs="Times New Roman"/>
          <w:i/>
          <w:sz w:val="24"/>
          <w:szCs w:val="24"/>
        </w:rPr>
        <w:t>Classical Mythology in Medieval Art</w:t>
      </w:r>
      <w:r w:rsidRPr="00882F10">
        <w:rPr>
          <w:rFonts w:ascii="Times New Roman" w:hAnsi="Times New Roman" w:cs="Times New Roman"/>
          <w:sz w:val="24"/>
          <w:szCs w:val="24"/>
        </w:rPr>
        <w:t>, «Metropolitan Museum Studies», IV, 1933, pp. 228-279.</w:t>
      </w:r>
    </w:p>
    <w:p w14:paraId="6B5406C9" w14:textId="77777777" w:rsidR="00796A9D" w:rsidRDefault="00796A9D" w:rsidP="00796A9D">
      <w:pPr>
        <w:spacing w:after="0"/>
        <w:jc w:val="both"/>
        <w:rPr>
          <w:rFonts w:ascii="Times New Roman" w:hAnsi="Times New Roman" w:cs="Times New Roman"/>
          <w:sz w:val="24"/>
          <w:szCs w:val="24"/>
        </w:rPr>
      </w:pPr>
    </w:p>
    <w:p w14:paraId="11952D61" w14:textId="77777777" w:rsidR="00796A9D" w:rsidRDefault="00796A9D" w:rsidP="00796A9D">
      <w:pPr>
        <w:spacing w:after="0"/>
        <w:jc w:val="both"/>
        <w:rPr>
          <w:rFonts w:ascii="Times New Roman" w:hAnsi="Times New Roman" w:cs="Times New Roman"/>
          <w:sz w:val="24"/>
          <w:szCs w:val="24"/>
        </w:rPr>
      </w:pPr>
      <w:r w:rsidRPr="00CF42BE">
        <w:rPr>
          <w:rFonts w:ascii="Times New Roman" w:hAnsi="Times New Roman" w:cs="Times New Roman"/>
          <w:smallCaps/>
          <w:sz w:val="24"/>
          <w:szCs w:val="24"/>
        </w:rPr>
        <w:t>P.G. Pasini</w:t>
      </w:r>
      <w:r w:rsidRPr="00CF42BE">
        <w:rPr>
          <w:rFonts w:ascii="Times New Roman" w:hAnsi="Times New Roman" w:cs="Times New Roman"/>
          <w:i/>
          <w:sz w:val="24"/>
          <w:szCs w:val="24"/>
        </w:rPr>
        <w:t>, Fortuna e immagini dell’Arco riminese. Appunti per una storia dell’Arco di Augusto e del suo contesto</w:t>
      </w:r>
      <w:r w:rsidRPr="00CF42BE">
        <w:rPr>
          <w:rFonts w:ascii="Times New Roman" w:hAnsi="Times New Roman" w:cs="Times New Roman"/>
          <w:sz w:val="24"/>
          <w:szCs w:val="24"/>
        </w:rPr>
        <w:t xml:space="preserve">, in </w:t>
      </w:r>
      <w:r w:rsidRPr="00CF42BE">
        <w:rPr>
          <w:rFonts w:ascii="Times New Roman" w:hAnsi="Times New Roman" w:cs="Times New Roman"/>
          <w:i/>
          <w:sz w:val="24"/>
          <w:szCs w:val="24"/>
        </w:rPr>
        <w:t>L’arco d’Augusto. Significati e vicende di un grande segno urbano</w:t>
      </w:r>
      <w:r w:rsidRPr="00CF42BE">
        <w:rPr>
          <w:rFonts w:ascii="Times New Roman" w:hAnsi="Times New Roman" w:cs="Times New Roman"/>
          <w:sz w:val="24"/>
          <w:szCs w:val="24"/>
        </w:rPr>
        <w:t xml:space="preserve">, a cura di </w:t>
      </w:r>
      <w:r w:rsidRPr="00CF42BE">
        <w:rPr>
          <w:rFonts w:ascii="Times New Roman" w:hAnsi="Times New Roman" w:cs="Times New Roman"/>
          <w:smallCaps/>
          <w:sz w:val="24"/>
          <w:szCs w:val="24"/>
        </w:rPr>
        <w:t>P.L. Foschi, P.G. Pasini</w:t>
      </w:r>
      <w:r w:rsidRPr="00CF42BE">
        <w:rPr>
          <w:rFonts w:ascii="Times New Roman" w:hAnsi="Times New Roman" w:cs="Times New Roman"/>
          <w:sz w:val="24"/>
          <w:szCs w:val="24"/>
        </w:rPr>
        <w:t xml:space="preserve">, Rimini, Musei Comunali, 1988, pp. 63-101.  </w:t>
      </w:r>
    </w:p>
    <w:p w14:paraId="22FAAC7F" w14:textId="77777777" w:rsidR="00796A9D" w:rsidRDefault="00796A9D" w:rsidP="00796A9D">
      <w:pPr>
        <w:spacing w:after="0"/>
        <w:jc w:val="both"/>
        <w:rPr>
          <w:rFonts w:ascii="Times New Roman" w:hAnsi="Times New Roman" w:cs="Times New Roman"/>
          <w:sz w:val="24"/>
          <w:szCs w:val="24"/>
        </w:rPr>
      </w:pPr>
    </w:p>
    <w:p w14:paraId="05B837D7" w14:textId="77777777" w:rsidR="00796A9D" w:rsidRPr="000C44FE" w:rsidRDefault="00796A9D" w:rsidP="00796A9D">
      <w:pPr>
        <w:spacing w:after="0"/>
        <w:jc w:val="both"/>
        <w:rPr>
          <w:rFonts w:ascii="Times New Roman" w:hAnsi="Times New Roman" w:cs="Times New Roman"/>
          <w:sz w:val="24"/>
          <w:szCs w:val="24"/>
        </w:rPr>
      </w:pPr>
      <w:r w:rsidRPr="000C44FE">
        <w:rPr>
          <w:rFonts w:ascii="Times New Roman" w:hAnsi="Times New Roman" w:cs="Times New Roman"/>
          <w:sz w:val="24"/>
          <w:szCs w:val="24"/>
        </w:rPr>
        <w:t xml:space="preserve">P.D. </w:t>
      </w:r>
      <w:r w:rsidRPr="000C44FE">
        <w:rPr>
          <w:rFonts w:ascii="Times New Roman" w:hAnsi="Times New Roman" w:cs="Times New Roman"/>
          <w:smallCaps/>
          <w:sz w:val="24"/>
          <w:szCs w:val="24"/>
        </w:rPr>
        <w:t>Pasolini</w:t>
      </w:r>
      <w:r w:rsidRPr="000C44FE">
        <w:rPr>
          <w:rFonts w:ascii="Times New Roman" w:hAnsi="Times New Roman" w:cs="Times New Roman"/>
          <w:sz w:val="24"/>
          <w:szCs w:val="24"/>
        </w:rPr>
        <w:t xml:space="preserve">, </w:t>
      </w:r>
      <w:r w:rsidRPr="000C44FE">
        <w:rPr>
          <w:rFonts w:ascii="Times New Roman" w:hAnsi="Times New Roman" w:cs="Times New Roman"/>
          <w:i/>
          <w:sz w:val="24"/>
          <w:szCs w:val="24"/>
        </w:rPr>
        <w:t>Caterina Sforza</w:t>
      </w:r>
      <w:r w:rsidRPr="000C44FE">
        <w:rPr>
          <w:rFonts w:ascii="Times New Roman" w:hAnsi="Times New Roman" w:cs="Times New Roman"/>
          <w:sz w:val="24"/>
          <w:szCs w:val="24"/>
        </w:rPr>
        <w:t>, Roma, Loescher, 1893.</w:t>
      </w:r>
    </w:p>
    <w:p w14:paraId="0742F353" w14:textId="77777777" w:rsidR="00796A9D" w:rsidRDefault="00796A9D" w:rsidP="00796A9D">
      <w:pPr>
        <w:spacing w:after="0"/>
        <w:jc w:val="both"/>
        <w:rPr>
          <w:rFonts w:ascii="Times New Roman" w:hAnsi="Times New Roman" w:cs="Times New Roman"/>
          <w:smallCaps/>
          <w:sz w:val="24"/>
          <w:szCs w:val="24"/>
        </w:rPr>
      </w:pPr>
    </w:p>
    <w:p w14:paraId="2E7D5DD1"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R. Passoni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Il Codice Varia 124 della Biblioteca Reale di Torino e Cristoforo de Predis</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Il Codice Varia 124 della Biblioteca Reale di Torino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A. Vitale Brovarone</w:t>
      </w:r>
      <w:r w:rsidRPr="00BA2DBB">
        <w:rPr>
          <w:rFonts w:ascii="Times New Roman" w:hAnsi="Times New Roman" w:cs="Times New Roman"/>
          <w:sz w:val="24"/>
          <w:szCs w:val="24"/>
        </w:rPr>
        <w:t>, Torino, Istituto bancario San Paolo di Torino, 1987, vol. I, pp. 85-113.</w:t>
      </w:r>
    </w:p>
    <w:p w14:paraId="1A84EA47" w14:textId="77777777" w:rsidR="00796A9D" w:rsidRDefault="00796A9D" w:rsidP="00796A9D">
      <w:pPr>
        <w:spacing w:after="0"/>
        <w:jc w:val="both"/>
        <w:rPr>
          <w:rFonts w:ascii="Times New Roman" w:hAnsi="Times New Roman" w:cs="Times New Roman"/>
          <w:sz w:val="24"/>
          <w:szCs w:val="24"/>
        </w:rPr>
      </w:pPr>
    </w:p>
    <w:p w14:paraId="781C66FA" w14:textId="77777777" w:rsidR="00796A9D" w:rsidRPr="009E4723" w:rsidRDefault="00796A9D" w:rsidP="00796A9D">
      <w:pPr>
        <w:spacing w:after="0"/>
        <w:jc w:val="both"/>
        <w:rPr>
          <w:rFonts w:ascii="Times New Roman" w:hAnsi="Times New Roman" w:cs="Times New Roman"/>
          <w:sz w:val="24"/>
          <w:szCs w:val="24"/>
        </w:rPr>
      </w:pPr>
      <w:r w:rsidRPr="009E4723">
        <w:rPr>
          <w:rFonts w:ascii="Times New Roman" w:hAnsi="Times New Roman" w:cs="Times New Roman"/>
          <w:sz w:val="24"/>
          <w:szCs w:val="24"/>
        </w:rPr>
        <w:t xml:space="preserve">L. </w:t>
      </w:r>
      <w:r w:rsidRPr="009E4723">
        <w:rPr>
          <w:rFonts w:ascii="Times New Roman" w:hAnsi="Times New Roman" w:cs="Times New Roman"/>
          <w:smallCaps/>
          <w:sz w:val="24"/>
          <w:szCs w:val="24"/>
        </w:rPr>
        <w:t>Patetta</w:t>
      </w:r>
      <w:r w:rsidRPr="009E4723">
        <w:rPr>
          <w:rFonts w:ascii="Times New Roman" w:hAnsi="Times New Roman" w:cs="Times New Roman"/>
          <w:sz w:val="24"/>
          <w:szCs w:val="24"/>
        </w:rPr>
        <w:t xml:space="preserve">, </w:t>
      </w:r>
      <w:r w:rsidRPr="009E4723">
        <w:rPr>
          <w:rFonts w:ascii="Times New Roman" w:hAnsi="Times New Roman" w:cs="Times New Roman"/>
          <w:i/>
          <w:sz w:val="24"/>
          <w:szCs w:val="24"/>
        </w:rPr>
        <w:t>L’architettura del Quattrocento a Milano</w:t>
      </w:r>
      <w:r w:rsidRPr="009E4723">
        <w:rPr>
          <w:rFonts w:ascii="Times New Roman" w:hAnsi="Times New Roman" w:cs="Times New Roman"/>
          <w:sz w:val="24"/>
          <w:szCs w:val="24"/>
        </w:rPr>
        <w:t>, Milano, Maggioli, 2011.</w:t>
      </w:r>
    </w:p>
    <w:p w14:paraId="74A78612" w14:textId="77777777" w:rsidR="00796A9D" w:rsidRDefault="00796A9D" w:rsidP="00796A9D">
      <w:pPr>
        <w:spacing w:after="0"/>
        <w:jc w:val="both"/>
        <w:rPr>
          <w:rFonts w:ascii="Times New Roman" w:hAnsi="Times New Roman" w:cs="Times New Roman"/>
          <w:smallCaps/>
          <w:sz w:val="24"/>
          <w:szCs w:val="24"/>
        </w:rPr>
      </w:pPr>
    </w:p>
    <w:p w14:paraId="59CF471D" w14:textId="77777777" w:rsidR="00796A9D" w:rsidRPr="00DA070F" w:rsidRDefault="00796A9D" w:rsidP="00796A9D">
      <w:pPr>
        <w:pStyle w:val="Testonotaapidipagina"/>
        <w:jc w:val="both"/>
        <w:rPr>
          <w:rFonts w:ascii="Times New Roman" w:hAnsi="Times New Roman" w:cs="Times New Roman"/>
          <w:sz w:val="24"/>
          <w:szCs w:val="24"/>
        </w:rPr>
      </w:pPr>
      <w:r w:rsidRPr="00DA070F">
        <w:rPr>
          <w:rFonts w:ascii="Times New Roman" w:hAnsi="Times New Roman" w:cs="Times New Roman"/>
          <w:sz w:val="24"/>
          <w:szCs w:val="24"/>
        </w:rPr>
        <w:t xml:space="preserve">L. </w:t>
      </w:r>
      <w:r w:rsidRPr="00DA070F">
        <w:rPr>
          <w:rFonts w:ascii="Times New Roman" w:hAnsi="Times New Roman" w:cs="Times New Roman"/>
          <w:smallCaps/>
          <w:sz w:val="24"/>
          <w:szCs w:val="24"/>
        </w:rPr>
        <w:t>Patetta</w:t>
      </w:r>
      <w:r w:rsidRPr="00DA070F">
        <w:rPr>
          <w:rFonts w:ascii="Times New Roman" w:hAnsi="Times New Roman" w:cs="Times New Roman"/>
          <w:sz w:val="24"/>
          <w:szCs w:val="24"/>
        </w:rPr>
        <w:t xml:space="preserve">, </w:t>
      </w:r>
      <w:r w:rsidRPr="00DA070F">
        <w:rPr>
          <w:rFonts w:ascii="Times New Roman" w:hAnsi="Times New Roman" w:cs="Times New Roman"/>
          <w:i/>
          <w:sz w:val="24"/>
          <w:szCs w:val="24"/>
        </w:rPr>
        <w:t>Bramante architetto a Milano e la sua cerchia (1480-1499)</w:t>
      </w:r>
      <w:r w:rsidRPr="00DA070F">
        <w:rPr>
          <w:rFonts w:ascii="Times New Roman" w:hAnsi="Times New Roman" w:cs="Times New Roman"/>
          <w:sz w:val="24"/>
          <w:szCs w:val="24"/>
        </w:rPr>
        <w:t xml:space="preserve">, in </w:t>
      </w:r>
      <w:r w:rsidRPr="00DA070F">
        <w:rPr>
          <w:rFonts w:ascii="Times New Roman" w:hAnsi="Times New Roman" w:cs="Times New Roman"/>
          <w:i/>
          <w:sz w:val="24"/>
          <w:szCs w:val="24"/>
        </w:rPr>
        <w:t>Bramante e la sua cerchia a Milano e in Lombardia 1480-1500</w:t>
      </w:r>
      <w:r w:rsidRPr="00DA070F">
        <w:rPr>
          <w:rFonts w:ascii="Times New Roman" w:hAnsi="Times New Roman" w:cs="Times New Roman"/>
          <w:sz w:val="24"/>
          <w:szCs w:val="24"/>
        </w:rPr>
        <w:t xml:space="preserve">, Milano, Skira, 2001, pp. 13-37.  </w:t>
      </w:r>
    </w:p>
    <w:p w14:paraId="7FE816FF" w14:textId="77777777" w:rsidR="00796A9D" w:rsidRDefault="00796A9D" w:rsidP="00796A9D">
      <w:pPr>
        <w:spacing w:after="0"/>
        <w:jc w:val="both"/>
        <w:rPr>
          <w:rFonts w:ascii="Times New Roman" w:hAnsi="Times New Roman" w:cs="Times New Roman"/>
          <w:smallCaps/>
          <w:sz w:val="24"/>
          <w:szCs w:val="24"/>
        </w:rPr>
      </w:pPr>
    </w:p>
    <w:p w14:paraId="05C73152"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J. Paviot</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Du nouveau sur la création de l'ordre de la toison d'or</w:t>
      </w:r>
      <w:r w:rsidRPr="00BA2DBB">
        <w:rPr>
          <w:rFonts w:ascii="Times New Roman" w:hAnsi="Times New Roman" w:cs="Times New Roman"/>
          <w:sz w:val="24"/>
          <w:szCs w:val="24"/>
        </w:rPr>
        <w:t xml:space="preserve">, «Journal des Savants», </w:t>
      </w:r>
      <w:r>
        <w:rPr>
          <w:rFonts w:ascii="Times New Roman" w:hAnsi="Times New Roman" w:cs="Times New Roman"/>
          <w:sz w:val="24"/>
          <w:szCs w:val="24"/>
        </w:rPr>
        <w:t>II</w:t>
      </w:r>
      <w:r w:rsidRPr="00BA2DBB">
        <w:rPr>
          <w:rFonts w:ascii="Times New Roman" w:hAnsi="Times New Roman" w:cs="Times New Roman"/>
          <w:sz w:val="24"/>
          <w:szCs w:val="24"/>
        </w:rPr>
        <w:t>, 2002, pp. 279-298.</w:t>
      </w:r>
    </w:p>
    <w:p w14:paraId="45BBD3DB" w14:textId="77777777" w:rsidR="00796A9D" w:rsidRDefault="00796A9D" w:rsidP="00796A9D">
      <w:pPr>
        <w:spacing w:after="0"/>
        <w:jc w:val="both"/>
        <w:rPr>
          <w:rFonts w:ascii="Times New Roman" w:hAnsi="Times New Roman" w:cs="Times New Roman"/>
          <w:smallCaps/>
          <w:sz w:val="24"/>
          <w:szCs w:val="24"/>
        </w:rPr>
      </w:pPr>
    </w:p>
    <w:p w14:paraId="51BB53D2"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 Pedralli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Novo, grande, coverto e ferrato. Gli inventati di biblioteca e la cultura a Milano nel Quattrocento</w:t>
      </w:r>
      <w:r w:rsidRPr="00BA2DBB">
        <w:rPr>
          <w:rFonts w:ascii="Times New Roman" w:hAnsi="Times New Roman" w:cs="Times New Roman"/>
          <w:sz w:val="24"/>
          <w:szCs w:val="24"/>
        </w:rPr>
        <w:t>, Milano, Vita e Pensiero, 2002.</w:t>
      </w:r>
    </w:p>
    <w:p w14:paraId="1A8B8246" w14:textId="77777777" w:rsidR="00A90093" w:rsidRDefault="00A90093" w:rsidP="00796A9D">
      <w:pPr>
        <w:spacing w:after="0"/>
        <w:jc w:val="both"/>
        <w:rPr>
          <w:rFonts w:ascii="Times New Roman" w:hAnsi="Times New Roman" w:cs="Times New Roman"/>
          <w:sz w:val="24"/>
          <w:szCs w:val="24"/>
        </w:rPr>
      </w:pPr>
    </w:p>
    <w:p w14:paraId="751168E1" w14:textId="77777777" w:rsidR="00A90093" w:rsidRPr="00A90093" w:rsidRDefault="00A90093" w:rsidP="00796A9D">
      <w:pPr>
        <w:spacing w:after="0"/>
        <w:jc w:val="both"/>
        <w:rPr>
          <w:rFonts w:ascii="Times New Roman" w:hAnsi="Times New Roman" w:cs="Times New Roman"/>
          <w:sz w:val="24"/>
          <w:szCs w:val="24"/>
        </w:rPr>
      </w:pPr>
      <w:r w:rsidRPr="00A90093">
        <w:rPr>
          <w:rFonts w:ascii="Times New Roman" w:hAnsi="Times New Roman" w:cs="Times New Roman"/>
          <w:smallCaps/>
          <w:sz w:val="24"/>
          <w:szCs w:val="24"/>
        </w:rPr>
        <w:t>G. Pedullà</w:t>
      </w:r>
      <w:r w:rsidRPr="00A90093">
        <w:rPr>
          <w:rFonts w:ascii="Times New Roman" w:hAnsi="Times New Roman" w:cs="Times New Roman"/>
          <w:sz w:val="24"/>
          <w:szCs w:val="24"/>
        </w:rPr>
        <w:t xml:space="preserve">, </w:t>
      </w:r>
      <w:r w:rsidRPr="00A90093">
        <w:rPr>
          <w:rFonts w:ascii="Times New Roman" w:hAnsi="Times New Roman" w:cs="Times New Roman"/>
          <w:i/>
          <w:sz w:val="24"/>
          <w:szCs w:val="24"/>
        </w:rPr>
        <w:t>Prima di Ariosto: le rappresentazioni di Plauto e Terenzio in volgare</w:t>
      </w:r>
      <w:r w:rsidRPr="00A90093">
        <w:rPr>
          <w:rFonts w:ascii="Times New Roman" w:hAnsi="Times New Roman" w:cs="Times New Roman"/>
          <w:sz w:val="24"/>
          <w:szCs w:val="24"/>
        </w:rPr>
        <w:t xml:space="preserve">, in </w:t>
      </w:r>
      <w:r w:rsidRPr="00A90093">
        <w:rPr>
          <w:rFonts w:ascii="Times New Roman" w:hAnsi="Times New Roman" w:cs="Times New Roman"/>
          <w:i/>
          <w:sz w:val="24"/>
          <w:szCs w:val="24"/>
        </w:rPr>
        <w:t>Atlante della letteratura italiana</w:t>
      </w:r>
      <w:r w:rsidRPr="00A90093">
        <w:rPr>
          <w:rFonts w:ascii="Times New Roman" w:hAnsi="Times New Roman" w:cs="Times New Roman"/>
          <w:sz w:val="24"/>
          <w:szCs w:val="24"/>
        </w:rPr>
        <w:t xml:space="preserve">, vol. I, </w:t>
      </w:r>
      <w:r w:rsidRPr="00A90093">
        <w:rPr>
          <w:rFonts w:ascii="Times New Roman" w:hAnsi="Times New Roman" w:cs="Times New Roman"/>
          <w:i/>
          <w:sz w:val="24"/>
          <w:szCs w:val="24"/>
        </w:rPr>
        <w:t>Dalle origini al Rinascimento</w:t>
      </w:r>
      <w:r w:rsidRPr="00A90093">
        <w:rPr>
          <w:rFonts w:ascii="Times New Roman" w:hAnsi="Times New Roman" w:cs="Times New Roman"/>
          <w:sz w:val="24"/>
          <w:szCs w:val="24"/>
        </w:rPr>
        <w:t>, Torino, Einaudi, 2010, pp. 793-795.</w:t>
      </w:r>
    </w:p>
    <w:p w14:paraId="37F17B72" w14:textId="77777777" w:rsidR="00796A9D" w:rsidRDefault="00796A9D" w:rsidP="00796A9D">
      <w:pPr>
        <w:spacing w:after="0"/>
        <w:jc w:val="both"/>
        <w:rPr>
          <w:rFonts w:ascii="Times New Roman" w:hAnsi="Times New Roman" w:cs="Times New Roman"/>
          <w:smallCaps/>
          <w:sz w:val="24"/>
          <w:szCs w:val="24"/>
        </w:rPr>
      </w:pPr>
    </w:p>
    <w:p w14:paraId="46199A0F"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E. Pellegrin</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bibliothèque des Visconti et des Sforza ducs de Milan au XV siècle</w:t>
      </w:r>
      <w:r w:rsidRPr="00BA2DBB">
        <w:rPr>
          <w:rFonts w:ascii="Times New Roman" w:hAnsi="Times New Roman" w:cs="Times New Roman"/>
          <w:sz w:val="24"/>
          <w:szCs w:val="24"/>
        </w:rPr>
        <w:t>, Paris, C.N.R.S., 1955.</w:t>
      </w:r>
    </w:p>
    <w:p w14:paraId="5F37FC87" w14:textId="77777777" w:rsidR="00796A9D" w:rsidRDefault="00796A9D" w:rsidP="00796A9D">
      <w:pPr>
        <w:spacing w:after="0"/>
        <w:jc w:val="both"/>
        <w:rPr>
          <w:rFonts w:ascii="Times New Roman" w:hAnsi="Times New Roman" w:cs="Times New Roman"/>
          <w:sz w:val="24"/>
          <w:szCs w:val="24"/>
        </w:rPr>
      </w:pPr>
    </w:p>
    <w:p w14:paraId="01DFA109" w14:textId="77777777" w:rsidR="00796A9D" w:rsidRPr="002762BD" w:rsidRDefault="00796A9D" w:rsidP="00796A9D">
      <w:pPr>
        <w:spacing w:after="0"/>
        <w:jc w:val="both"/>
        <w:rPr>
          <w:rFonts w:ascii="Times New Roman" w:hAnsi="Times New Roman" w:cs="Times New Roman"/>
          <w:sz w:val="24"/>
          <w:szCs w:val="24"/>
        </w:rPr>
      </w:pPr>
      <w:r w:rsidRPr="002762BD">
        <w:rPr>
          <w:rFonts w:ascii="Times New Roman" w:hAnsi="Times New Roman" w:cs="Times New Roman"/>
          <w:sz w:val="24"/>
          <w:szCs w:val="24"/>
        </w:rPr>
        <w:t xml:space="preserve">A. </w:t>
      </w:r>
      <w:r w:rsidRPr="002762BD">
        <w:rPr>
          <w:rFonts w:ascii="Times New Roman" w:hAnsi="Times New Roman" w:cs="Times New Roman"/>
          <w:smallCaps/>
          <w:sz w:val="24"/>
          <w:szCs w:val="24"/>
        </w:rPr>
        <w:t>Perosa</w:t>
      </w:r>
      <w:r w:rsidRPr="002762BD">
        <w:rPr>
          <w:rFonts w:ascii="Times New Roman" w:hAnsi="Times New Roman" w:cs="Times New Roman"/>
          <w:sz w:val="24"/>
          <w:szCs w:val="24"/>
        </w:rPr>
        <w:t xml:space="preserve">, </w:t>
      </w:r>
      <w:r w:rsidRPr="002762BD">
        <w:rPr>
          <w:rFonts w:ascii="Times New Roman" w:hAnsi="Times New Roman" w:cs="Times New Roman"/>
          <w:i/>
          <w:sz w:val="24"/>
          <w:szCs w:val="24"/>
        </w:rPr>
        <w:t>Epigrammi conviviali di Domizio Calderini</w:t>
      </w:r>
      <w:r w:rsidRPr="002762BD">
        <w:rPr>
          <w:rFonts w:ascii="Times New Roman" w:hAnsi="Times New Roman" w:cs="Times New Roman"/>
          <w:sz w:val="24"/>
          <w:szCs w:val="24"/>
        </w:rPr>
        <w:t>, «Annali della Scuola Normale Superiore di Pisa. Classe di Lettere e Filosofia», IV, 1974, pp. 791-804.</w:t>
      </w:r>
    </w:p>
    <w:p w14:paraId="7B318F83" w14:textId="77777777" w:rsidR="00796A9D" w:rsidRDefault="00796A9D" w:rsidP="00796A9D">
      <w:pPr>
        <w:pStyle w:val="Testonotaapidipagina"/>
        <w:jc w:val="both"/>
        <w:rPr>
          <w:rFonts w:ascii="Times New Roman" w:hAnsi="Times New Roman" w:cs="Times New Roman"/>
          <w:smallCaps/>
          <w:sz w:val="24"/>
          <w:szCs w:val="24"/>
        </w:rPr>
      </w:pPr>
    </w:p>
    <w:p w14:paraId="375B8C1B"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M. Peruzzi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Cultura, Potere, immagine. La biblioteca di Federico di Montefeltro</w:t>
      </w:r>
      <w:r w:rsidRPr="00BA2DBB">
        <w:rPr>
          <w:rFonts w:ascii="Times New Roman" w:hAnsi="Times New Roman" w:cs="Times New Roman"/>
          <w:sz w:val="24"/>
          <w:szCs w:val="24"/>
        </w:rPr>
        <w:t>, Urbino, Accademia Raffaello, 2004.</w:t>
      </w:r>
    </w:p>
    <w:p w14:paraId="4E1AA76C" w14:textId="77777777" w:rsidR="00796A9D" w:rsidRPr="00BA2DBB" w:rsidRDefault="00796A9D" w:rsidP="00796A9D">
      <w:pPr>
        <w:pStyle w:val="Testonotaapidipagina"/>
        <w:jc w:val="both"/>
        <w:rPr>
          <w:rFonts w:ascii="Times New Roman" w:hAnsi="Times New Roman" w:cs="Times New Roman"/>
          <w:sz w:val="24"/>
          <w:szCs w:val="24"/>
        </w:rPr>
      </w:pPr>
    </w:p>
    <w:p w14:paraId="6F95BC3D"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z w:val="24"/>
          <w:szCs w:val="24"/>
        </w:rPr>
        <w:t xml:space="preserve">M. </w:t>
      </w:r>
      <w:r w:rsidRPr="00BA2DBB">
        <w:rPr>
          <w:rFonts w:ascii="Times New Roman" w:hAnsi="Times New Roman" w:cs="Times New Roman"/>
          <w:smallCaps/>
          <w:sz w:val="24"/>
          <w:szCs w:val="24"/>
        </w:rPr>
        <w:t>Peruzzi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di Federico da Montefeltro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Principi e signori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Biblioteche nella seconda metà del Quattrocento</w:t>
      </w:r>
      <w:r w:rsidRPr="00BA2DBB">
        <w:rPr>
          <w:rFonts w:ascii="Times New Roman" w:hAnsi="Times New Roman" w:cs="Times New Roman"/>
          <w:sz w:val="24"/>
          <w:szCs w:val="24"/>
        </w:rPr>
        <w:t xml:space="preserve">. Atti del Convegno (Urbino, 5-6 giugno 2008), a cura di </w:t>
      </w:r>
      <w:r w:rsidRPr="00BA2DBB">
        <w:rPr>
          <w:rFonts w:ascii="Times New Roman" w:hAnsi="Times New Roman" w:cs="Times New Roman"/>
          <w:smallCaps/>
          <w:sz w:val="24"/>
          <w:szCs w:val="24"/>
        </w:rPr>
        <w:t>G. Arbizzoni, C. Bianca, M. Peruzzi</w:t>
      </w:r>
      <w:r w:rsidRPr="00BA2DBB">
        <w:rPr>
          <w:rFonts w:ascii="Times New Roman" w:hAnsi="Times New Roman" w:cs="Times New Roman"/>
          <w:sz w:val="24"/>
          <w:szCs w:val="24"/>
        </w:rPr>
        <w:t xml:space="preserve">, Urbino, Accademia Raffaello, 2008, pp. 300-314.  </w:t>
      </w:r>
    </w:p>
    <w:p w14:paraId="5E63607A" w14:textId="77777777" w:rsidR="00796A9D" w:rsidRPr="00BA2DBB" w:rsidRDefault="00796A9D" w:rsidP="00796A9D">
      <w:pPr>
        <w:pStyle w:val="Testonotaapidipagina"/>
        <w:jc w:val="both"/>
        <w:rPr>
          <w:rFonts w:ascii="Times New Roman" w:hAnsi="Times New Roman" w:cs="Times New Roman"/>
          <w:sz w:val="24"/>
          <w:szCs w:val="24"/>
        </w:rPr>
      </w:pPr>
    </w:p>
    <w:p w14:paraId="25790CF3"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M. Peruzzi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formazione della biblioteca e i manoscritti latini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Ornatissimo codice. La biblioteca di Federico da Montefeltro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Idem, L. Mochi Onori, ‎C. Caldari</w:t>
      </w:r>
      <w:r w:rsidRPr="00BA2DBB">
        <w:rPr>
          <w:rFonts w:ascii="Times New Roman" w:hAnsi="Times New Roman" w:cs="Times New Roman"/>
          <w:sz w:val="24"/>
          <w:szCs w:val="24"/>
        </w:rPr>
        <w:t>, Milano, Skira, 2008, pp. 35-38.</w:t>
      </w:r>
    </w:p>
    <w:p w14:paraId="2FF29DF2" w14:textId="77777777" w:rsidR="00796A9D" w:rsidRPr="00BA2DBB" w:rsidRDefault="00796A9D" w:rsidP="00796A9D">
      <w:pPr>
        <w:pStyle w:val="Testonotaapidipagina"/>
        <w:jc w:val="both"/>
        <w:rPr>
          <w:rFonts w:ascii="Times New Roman" w:hAnsi="Times New Roman" w:cs="Times New Roman"/>
          <w:sz w:val="24"/>
          <w:szCs w:val="24"/>
        </w:rPr>
      </w:pPr>
    </w:p>
    <w:p w14:paraId="09A21453"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M. Peruzzi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Biblioteche e politica nel Quattrocento. Alcune considerazioni</w:t>
      </w:r>
      <w:r w:rsidRPr="00BA2DBB">
        <w:rPr>
          <w:rFonts w:ascii="Times New Roman" w:hAnsi="Times New Roman" w:cs="Times New Roman"/>
          <w:sz w:val="24"/>
          <w:szCs w:val="24"/>
        </w:rPr>
        <w:t>, «Culture del testo e del documento», 29, maggio-agosto 2009, pp. 15-46.</w:t>
      </w:r>
    </w:p>
    <w:p w14:paraId="29F26B9A" w14:textId="77777777" w:rsidR="00796A9D" w:rsidRDefault="00796A9D" w:rsidP="00796A9D">
      <w:pPr>
        <w:pStyle w:val="Testonotaapidipagina"/>
        <w:jc w:val="both"/>
        <w:rPr>
          <w:rFonts w:ascii="Times New Roman" w:hAnsi="Times New Roman" w:cs="Times New Roman"/>
          <w:sz w:val="24"/>
          <w:szCs w:val="24"/>
        </w:rPr>
      </w:pPr>
    </w:p>
    <w:p w14:paraId="5416B64E" w14:textId="77777777" w:rsidR="00796A9D" w:rsidRPr="006A3A5B" w:rsidRDefault="00796A9D" w:rsidP="00796A9D">
      <w:pPr>
        <w:pStyle w:val="Testonotaapidipagina"/>
        <w:jc w:val="both"/>
        <w:rPr>
          <w:rFonts w:ascii="Times New Roman" w:hAnsi="Times New Roman" w:cs="Times New Roman"/>
          <w:sz w:val="24"/>
          <w:szCs w:val="24"/>
        </w:rPr>
      </w:pPr>
      <w:r w:rsidRPr="006A3A5B">
        <w:rPr>
          <w:rFonts w:ascii="Times New Roman" w:hAnsi="Times New Roman"/>
          <w:sz w:val="24"/>
          <w:szCs w:val="24"/>
          <w:shd w:val="clear" w:color="auto" w:fill="F9F9F9"/>
        </w:rPr>
        <w:t xml:space="preserve">L. </w:t>
      </w:r>
      <w:r w:rsidRPr="006A3A5B">
        <w:rPr>
          <w:rFonts w:ascii="Times New Roman" w:hAnsi="Times New Roman"/>
          <w:smallCaps/>
          <w:sz w:val="24"/>
          <w:szCs w:val="24"/>
          <w:shd w:val="clear" w:color="auto" w:fill="F9F9F9"/>
        </w:rPr>
        <w:t>Pesavento</w:t>
      </w:r>
      <w:r w:rsidRPr="006A3A5B">
        <w:rPr>
          <w:rFonts w:ascii="Times New Roman" w:hAnsi="Times New Roman"/>
          <w:sz w:val="24"/>
          <w:szCs w:val="24"/>
          <w:shd w:val="clear" w:color="auto" w:fill="F9F9F9"/>
        </w:rPr>
        <w:t xml:space="preserve">, </w:t>
      </w:r>
      <w:r w:rsidRPr="006A3A5B">
        <w:rPr>
          <w:rStyle w:val="Enfasicorsivo"/>
          <w:rFonts w:ascii="Times New Roman" w:hAnsi="Times New Roman"/>
          <w:sz w:val="24"/>
          <w:szCs w:val="24"/>
          <w:shd w:val="clear" w:color="auto" w:fill="F9F9F9"/>
        </w:rPr>
        <w:t>La "pulcherrima urbs Mediolani" di P. L. e la storiografia milanese di età sforzesca</w:t>
      </w:r>
      <w:r w:rsidRPr="006A3A5B">
        <w:rPr>
          <w:rFonts w:ascii="Times New Roman" w:hAnsi="Times New Roman"/>
          <w:sz w:val="24"/>
          <w:szCs w:val="24"/>
          <w:shd w:val="clear" w:color="auto" w:fill="F9F9F9"/>
        </w:rPr>
        <w:t xml:space="preserve">, in </w:t>
      </w:r>
      <w:r w:rsidRPr="006A3A5B">
        <w:rPr>
          <w:rStyle w:val="Enfasicorsivo"/>
          <w:rFonts w:ascii="Times New Roman" w:hAnsi="Times New Roman"/>
          <w:sz w:val="24"/>
          <w:szCs w:val="24"/>
          <w:shd w:val="clear" w:color="auto" w:fill="F9F9F9"/>
        </w:rPr>
        <w:t>La memoria e la città. Scritture storiche tra Medioevo ed Età Moderna</w:t>
      </w:r>
      <w:r w:rsidRPr="006A3A5B">
        <w:rPr>
          <w:rFonts w:ascii="Times New Roman" w:hAnsi="Times New Roman"/>
          <w:sz w:val="24"/>
          <w:szCs w:val="24"/>
          <w:shd w:val="clear" w:color="auto" w:fill="F9F9F9"/>
        </w:rPr>
        <w:t xml:space="preserve">, a cura di </w:t>
      </w:r>
      <w:r w:rsidRPr="006A3A5B">
        <w:rPr>
          <w:rFonts w:ascii="Times New Roman" w:hAnsi="Times New Roman"/>
          <w:smallCaps/>
          <w:sz w:val="24"/>
          <w:szCs w:val="24"/>
          <w:shd w:val="clear" w:color="auto" w:fill="F9F9F9"/>
        </w:rPr>
        <w:t>C. Bastia, M. Bolognani</w:t>
      </w:r>
      <w:r w:rsidRPr="006A3A5B">
        <w:rPr>
          <w:rFonts w:ascii="Times New Roman" w:hAnsi="Times New Roman"/>
          <w:sz w:val="24"/>
          <w:szCs w:val="24"/>
          <w:shd w:val="clear" w:color="auto" w:fill="F9F9F9"/>
        </w:rPr>
        <w:t>, Bologna, Il Nove, 1995, pp. 361-372.</w:t>
      </w:r>
    </w:p>
    <w:p w14:paraId="065CB37E" w14:textId="77777777" w:rsidR="00796A9D" w:rsidRDefault="00796A9D" w:rsidP="00796A9D">
      <w:pPr>
        <w:pStyle w:val="Testonotaapidipagina"/>
        <w:jc w:val="both"/>
        <w:rPr>
          <w:rFonts w:ascii="Times New Roman" w:hAnsi="Times New Roman" w:cs="Times New Roman"/>
          <w:smallCaps/>
          <w:sz w:val="24"/>
          <w:szCs w:val="24"/>
        </w:rPr>
      </w:pPr>
    </w:p>
    <w:p w14:paraId="2D5EA47E" w14:textId="77777777" w:rsidR="00796A9D" w:rsidRDefault="00796A9D" w:rsidP="00796A9D">
      <w:pPr>
        <w:pStyle w:val="Testonotaapidipagina"/>
        <w:jc w:val="both"/>
        <w:rPr>
          <w:rFonts w:ascii="Times New Roman" w:hAnsi="Times New Roman" w:cs="Times New Roman"/>
          <w:sz w:val="24"/>
          <w:szCs w:val="24"/>
        </w:rPr>
      </w:pPr>
      <w:r w:rsidRPr="006C6C0E">
        <w:rPr>
          <w:rFonts w:ascii="Times New Roman" w:hAnsi="Times New Roman" w:cs="Times New Roman"/>
          <w:smallCaps/>
          <w:sz w:val="24"/>
          <w:szCs w:val="24"/>
        </w:rPr>
        <w:t>L. Pesavento</w:t>
      </w:r>
      <w:r w:rsidRPr="006C6C0E">
        <w:rPr>
          <w:rFonts w:ascii="Times New Roman" w:hAnsi="Times New Roman" w:cs="Times New Roman"/>
          <w:sz w:val="24"/>
          <w:szCs w:val="24"/>
        </w:rPr>
        <w:t xml:space="preserve">, </w:t>
      </w:r>
      <w:r w:rsidRPr="006C6C0E">
        <w:rPr>
          <w:rFonts w:ascii="Times New Roman" w:hAnsi="Times New Roman" w:cs="Times New Roman"/>
          <w:i/>
          <w:sz w:val="24"/>
          <w:szCs w:val="24"/>
        </w:rPr>
        <w:t xml:space="preserve">L’umanista e il principe. La </w:t>
      </w:r>
      <w:r w:rsidRPr="006C6C0E">
        <w:rPr>
          <w:rFonts w:ascii="Times New Roman" w:hAnsi="Times New Roman" w:cs="Times New Roman"/>
          <w:sz w:val="24"/>
          <w:szCs w:val="24"/>
        </w:rPr>
        <w:t>Vita ducum</w:t>
      </w:r>
      <w:r w:rsidRPr="006C6C0E">
        <w:rPr>
          <w:rFonts w:ascii="Times New Roman" w:hAnsi="Times New Roman" w:cs="Times New Roman"/>
          <w:i/>
          <w:sz w:val="24"/>
          <w:szCs w:val="24"/>
        </w:rPr>
        <w:t xml:space="preserve"> di Pietro Lazzaroni</w:t>
      </w:r>
      <w:r w:rsidRPr="006C6C0E">
        <w:rPr>
          <w:rFonts w:ascii="Times New Roman" w:hAnsi="Times New Roman" w:cs="Times New Roman"/>
          <w:sz w:val="24"/>
          <w:szCs w:val="24"/>
        </w:rPr>
        <w:t>, Pisa, Gisem, 1996.</w:t>
      </w:r>
    </w:p>
    <w:p w14:paraId="22D946B3" w14:textId="77777777" w:rsidR="00796A9D" w:rsidRDefault="00796A9D" w:rsidP="00796A9D">
      <w:pPr>
        <w:pStyle w:val="Testonotaapidipagina"/>
        <w:jc w:val="both"/>
        <w:rPr>
          <w:rFonts w:ascii="Times New Roman" w:hAnsi="Times New Roman" w:cs="Times New Roman"/>
          <w:sz w:val="24"/>
          <w:szCs w:val="24"/>
        </w:rPr>
      </w:pPr>
    </w:p>
    <w:p w14:paraId="0479FB1A" w14:textId="77777777" w:rsidR="00796A9D" w:rsidRPr="003A449E" w:rsidRDefault="00796A9D" w:rsidP="00796A9D">
      <w:pPr>
        <w:pStyle w:val="Testonotaapidipagina"/>
        <w:jc w:val="both"/>
        <w:rPr>
          <w:rFonts w:ascii="Times New Roman" w:hAnsi="Times New Roman" w:cs="Times New Roman"/>
          <w:smallCaps/>
          <w:sz w:val="24"/>
          <w:szCs w:val="24"/>
        </w:rPr>
      </w:pPr>
      <w:r w:rsidRPr="003A449E">
        <w:rPr>
          <w:rFonts w:ascii="Times New Roman" w:hAnsi="Times New Roman" w:cs="Times New Roman"/>
          <w:smallCaps/>
          <w:sz w:val="24"/>
          <w:szCs w:val="24"/>
        </w:rPr>
        <w:t>G. Petrella</w:t>
      </w:r>
      <w:r w:rsidRPr="003A449E">
        <w:rPr>
          <w:rFonts w:ascii="Times New Roman" w:hAnsi="Times New Roman" w:cs="Times New Roman"/>
          <w:sz w:val="24"/>
          <w:szCs w:val="24"/>
        </w:rPr>
        <w:t xml:space="preserve">, </w:t>
      </w:r>
      <w:r w:rsidRPr="003A449E">
        <w:rPr>
          <w:rFonts w:ascii="Times New Roman" w:hAnsi="Times New Roman" w:cs="Times New Roman"/>
          <w:i/>
          <w:sz w:val="24"/>
          <w:szCs w:val="24"/>
        </w:rPr>
        <w:t>L’officina del geografo</w:t>
      </w:r>
      <w:r w:rsidRPr="003A449E">
        <w:rPr>
          <w:rFonts w:ascii="Times New Roman" w:hAnsi="Times New Roman" w:cs="Times New Roman"/>
          <w:sz w:val="24"/>
          <w:szCs w:val="24"/>
        </w:rPr>
        <w:t xml:space="preserve">. La Descrittione di tutta Italia </w:t>
      </w:r>
      <w:r w:rsidRPr="003A449E">
        <w:rPr>
          <w:rFonts w:ascii="Times New Roman" w:hAnsi="Times New Roman" w:cs="Times New Roman"/>
          <w:i/>
          <w:sz w:val="24"/>
          <w:szCs w:val="24"/>
        </w:rPr>
        <w:t>di Leandro Alberti e gli studi geografico-antiquari tra Quattro e Cinquecento</w:t>
      </w:r>
      <w:r w:rsidRPr="003A449E">
        <w:rPr>
          <w:rFonts w:ascii="Times New Roman" w:hAnsi="Times New Roman" w:cs="Times New Roman"/>
          <w:sz w:val="24"/>
          <w:szCs w:val="24"/>
        </w:rPr>
        <w:t xml:space="preserve">. Con un saggio di edizione (Lombardia-Toscana), Milano, Vita e Pensiero, 2004.    </w:t>
      </w:r>
    </w:p>
    <w:p w14:paraId="56A2BF27" w14:textId="77777777" w:rsidR="00796A9D" w:rsidRDefault="00796A9D" w:rsidP="00796A9D">
      <w:pPr>
        <w:pStyle w:val="Testonotaapidipagina"/>
        <w:jc w:val="both"/>
        <w:rPr>
          <w:rFonts w:ascii="Times New Roman" w:hAnsi="Times New Roman" w:cs="Times New Roman"/>
          <w:smallCaps/>
          <w:sz w:val="24"/>
          <w:szCs w:val="24"/>
        </w:rPr>
      </w:pPr>
    </w:p>
    <w:p w14:paraId="3C8C298A" w14:textId="77777777" w:rsidR="00796A9D" w:rsidRPr="00A30B66" w:rsidRDefault="00796A9D" w:rsidP="00796A9D">
      <w:pPr>
        <w:pStyle w:val="Testonotaapidipagina"/>
        <w:jc w:val="both"/>
        <w:rPr>
          <w:rFonts w:ascii="Times New Roman" w:hAnsi="Times New Roman" w:cs="Times New Roman"/>
          <w:sz w:val="24"/>
          <w:szCs w:val="24"/>
        </w:rPr>
      </w:pPr>
      <w:r w:rsidRPr="00A30B66">
        <w:rPr>
          <w:rFonts w:ascii="Times New Roman" w:hAnsi="Times New Roman" w:cs="Times New Roman"/>
          <w:smallCaps/>
          <w:sz w:val="24"/>
          <w:szCs w:val="24"/>
        </w:rPr>
        <w:t>G. Petrella</w:t>
      </w:r>
      <w:r w:rsidRPr="00A30B66">
        <w:rPr>
          <w:rFonts w:ascii="Times New Roman" w:hAnsi="Times New Roman" w:cs="Times New Roman"/>
          <w:sz w:val="24"/>
          <w:szCs w:val="24"/>
        </w:rPr>
        <w:t xml:space="preserve">, </w:t>
      </w:r>
      <w:r w:rsidRPr="00A30B66">
        <w:rPr>
          <w:rFonts w:ascii="Times New Roman" w:hAnsi="Times New Roman" w:cs="Times New Roman"/>
          <w:i/>
          <w:sz w:val="24"/>
          <w:szCs w:val="24"/>
        </w:rPr>
        <w:t>Fra testo e immagine: edizioni popolari del Rinascimento in una miscellanea ottocentesca</w:t>
      </w:r>
      <w:r w:rsidRPr="00A30B66">
        <w:rPr>
          <w:rFonts w:ascii="Times New Roman" w:hAnsi="Times New Roman" w:cs="Times New Roman"/>
          <w:sz w:val="24"/>
          <w:szCs w:val="24"/>
        </w:rPr>
        <w:t>, Udine, Forum, 2009.</w:t>
      </w:r>
    </w:p>
    <w:p w14:paraId="68225BF6" w14:textId="77777777" w:rsidR="00796A9D" w:rsidRPr="00BA2DBB" w:rsidRDefault="00796A9D" w:rsidP="00796A9D">
      <w:pPr>
        <w:pStyle w:val="Testonotaapidipagina"/>
        <w:jc w:val="both"/>
        <w:rPr>
          <w:rFonts w:ascii="Times New Roman" w:hAnsi="Times New Roman" w:cs="Times New Roman"/>
          <w:sz w:val="24"/>
          <w:szCs w:val="24"/>
        </w:rPr>
      </w:pPr>
    </w:p>
    <w:p w14:paraId="092EDB7D"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A. </w:t>
      </w:r>
      <w:r w:rsidRPr="00BA2DBB">
        <w:rPr>
          <w:rFonts w:ascii="Times New Roman" w:hAnsi="Times New Roman" w:cs="Times New Roman"/>
          <w:smallCaps/>
          <w:sz w:val="24"/>
          <w:szCs w:val="24"/>
        </w:rPr>
        <w:t>Petrucci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Biblioteca, libri, scritture nella Napoli aragonese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biblioteche nel mondo antico e medievale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biblioteche nel mondo antico e medievale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Cavallo</w:t>
      </w:r>
      <w:r w:rsidRPr="00BA2DBB">
        <w:rPr>
          <w:rFonts w:ascii="Times New Roman" w:hAnsi="Times New Roman" w:cs="Times New Roman"/>
          <w:sz w:val="24"/>
          <w:szCs w:val="24"/>
        </w:rPr>
        <w:t xml:space="preserve">, Bari, Laterza, 1988, pp. 183-190. </w:t>
      </w:r>
    </w:p>
    <w:p w14:paraId="65A70C32" w14:textId="77777777" w:rsidR="00796A9D" w:rsidRDefault="00796A9D" w:rsidP="00796A9D">
      <w:pPr>
        <w:spacing w:after="0"/>
        <w:jc w:val="both"/>
        <w:rPr>
          <w:rFonts w:ascii="Times New Roman" w:hAnsi="Times New Roman" w:cs="Times New Roman"/>
          <w:smallCaps/>
          <w:sz w:val="24"/>
          <w:szCs w:val="24"/>
        </w:rPr>
      </w:pPr>
    </w:p>
    <w:p w14:paraId="548BC66F"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F. Petrucci Nardelli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Visconteo Sforzesca. Ubicazione e disposizione del materiale librario</w:t>
      </w:r>
      <w:r w:rsidRPr="00BA2DBB">
        <w:rPr>
          <w:rFonts w:ascii="Times New Roman" w:hAnsi="Times New Roman" w:cs="Times New Roman"/>
          <w:sz w:val="24"/>
          <w:szCs w:val="24"/>
        </w:rPr>
        <w:t>, «La Bibliofilia», XCVIII, 1995, pp. 21-33.</w:t>
      </w:r>
    </w:p>
    <w:p w14:paraId="11487C39" w14:textId="77777777" w:rsidR="00796A9D" w:rsidRDefault="00796A9D" w:rsidP="00796A9D">
      <w:pPr>
        <w:spacing w:after="0"/>
        <w:jc w:val="both"/>
        <w:rPr>
          <w:rFonts w:ascii="Times New Roman" w:hAnsi="Times New Roman" w:cs="Times New Roman"/>
          <w:sz w:val="24"/>
          <w:szCs w:val="24"/>
        </w:rPr>
      </w:pPr>
    </w:p>
    <w:p w14:paraId="24D25FC4" w14:textId="77777777" w:rsidR="00796A9D" w:rsidRPr="00793EA5" w:rsidRDefault="00796A9D" w:rsidP="00796A9D">
      <w:pPr>
        <w:spacing w:after="0"/>
        <w:jc w:val="both"/>
        <w:rPr>
          <w:rFonts w:ascii="Times New Roman" w:hAnsi="Times New Roman" w:cs="Times New Roman"/>
          <w:sz w:val="24"/>
          <w:szCs w:val="24"/>
        </w:rPr>
      </w:pPr>
      <w:r w:rsidRPr="00793EA5">
        <w:rPr>
          <w:rFonts w:ascii="Times New Roman" w:hAnsi="Times New Roman" w:cs="Times New Roman"/>
          <w:smallCaps/>
          <w:sz w:val="24"/>
          <w:szCs w:val="24"/>
        </w:rPr>
        <w:t>M.A. Petta</w:t>
      </w:r>
      <w:r w:rsidRPr="00793EA5">
        <w:rPr>
          <w:rFonts w:ascii="Times New Roman" w:hAnsi="Times New Roman" w:cs="Times New Roman"/>
          <w:sz w:val="24"/>
          <w:szCs w:val="24"/>
        </w:rPr>
        <w:t xml:space="preserve">, </w:t>
      </w:r>
      <w:r w:rsidRPr="00793EA5">
        <w:rPr>
          <w:rFonts w:ascii="Times New Roman" w:hAnsi="Times New Roman" w:cs="Times New Roman"/>
          <w:i/>
          <w:sz w:val="24"/>
          <w:szCs w:val="24"/>
        </w:rPr>
        <w:t>Printed Funerals in 16th-17th Century Milan</w:t>
      </w:r>
      <w:r w:rsidRPr="00793EA5">
        <w:rPr>
          <w:rFonts w:ascii="Times New Roman" w:hAnsi="Times New Roman" w:cs="Times New Roman"/>
          <w:sz w:val="24"/>
          <w:szCs w:val="24"/>
        </w:rPr>
        <w:t xml:space="preserve">, in </w:t>
      </w:r>
      <w:r w:rsidRPr="00793EA5">
        <w:rPr>
          <w:rFonts w:ascii="Times New Roman" w:hAnsi="Times New Roman" w:cs="Times New Roman"/>
          <w:i/>
          <w:sz w:val="24"/>
          <w:szCs w:val="24"/>
        </w:rPr>
        <w:t>Routines of Existence: Time, Life and After Life in Society and Religion</w:t>
      </w:r>
      <w:r w:rsidRPr="00793EA5">
        <w:rPr>
          <w:rFonts w:ascii="Times New Roman" w:hAnsi="Times New Roman" w:cs="Times New Roman"/>
          <w:sz w:val="24"/>
          <w:szCs w:val="24"/>
        </w:rPr>
        <w:t xml:space="preserve">, edited by </w:t>
      </w:r>
      <w:r w:rsidRPr="00793EA5">
        <w:rPr>
          <w:rFonts w:ascii="Times New Roman" w:hAnsi="Times New Roman" w:cs="Times New Roman"/>
          <w:smallCaps/>
          <w:sz w:val="24"/>
          <w:szCs w:val="24"/>
        </w:rPr>
        <w:t>E. Brambilla</w:t>
      </w:r>
      <w:r w:rsidRPr="00793EA5">
        <w:rPr>
          <w:rFonts w:ascii="Times New Roman" w:hAnsi="Times New Roman" w:cs="Times New Roman"/>
          <w:sz w:val="24"/>
          <w:szCs w:val="24"/>
        </w:rPr>
        <w:t>, Pisa, Plus-Pisa University Press, 2009, pp. 106-137.</w:t>
      </w:r>
    </w:p>
    <w:p w14:paraId="35B09980" w14:textId="77777777" w:rsidR="00796A9D" w:rsidRDefault="00796A9D" w:rsidP="00796A9D">
      <w:pPr>
        <w:spacing w:after="0"/>
        <w:jc w:val="both"/>
        <w:rPr>
          <w:rFonts w:ascii="Times New Roman" w:hAnsi="Times New Roman" w:cs="Times New Roman"/>
          <w:smallCaps/>
          <w:sz w:val="24"/>
          <w:szCs w:val="24"/>
        </w:rPr>
      </w:pPr>
    </w:p>
    <w:p w14:paraId="52FD9F49" w14:textId="77777777" w:rsidR="00796A9D" w:rsidRDefault="00796A9D" w:rsidP="00796A9D">
      <w:pPr>
        <w:spacing w:after="0"/>
        <w:jc w:val="both"/>
        <w:rPr>
          <w:rFonts w:ascii="Times New Roman" w:hAnsi="Times New Roman" w:cs="Times New Roman"/>
          <w:sz w:val="24"/>
          <w:szCs w:val="24"/>
          <w:lang w:val="en-US"/>
        </w:rPr>
      </w:pPr>
      <w:r w:rsidRPr="00BA2DBB">
        <w:rPr>
          <w:rFonts w:ascii="Times New Roman" w:hAnsi="Times New Roman" w:cs="Times New Roman"/>
          <w:smallCaps/>
          <w:sz w:val="24"/>
          <w:szCs w:val="24"/>
        </w:rPr>
        <w:t>A. Pettegree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The Renaissance Library and the Challenge of Print</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 xml:space="preserve">The Meaning of the Library. </w:t>
      </w:r>
      <w:r w:rsidRPr="00BA2DBB">
        <w:rPr>
          <w:rFonts w:ascii="Times New Roman" w:hAnsi="Times New Roman" w:cs="Times New Roman"/>
          <w:i/>
          <w:sz w:val="24"/>
          <w:szCs w:val="24"/>
          <w:lang w:val="en-US"/>
        </w:rPr>
        <w:t>A Cultural History</w:t>
      </w:r>
      <w:r w:rsidRPr="00BA2DBB">
        <w:rPr>
          <w:rFonts w:ascii="Times New Roman" w:hAnsi="Times New Roman" w:cs="Times New Roman"/>
          <w:sz w:val="24"/>
          <w:szCs w:val="24"/>
          <w:lang w:val="en-US"/>
        </w:rPr>
        <w:t xml:space="preserve">, Edited by A. </w:t>
      </w:r>
      <w:r w:rsidRPr="00BA2DBB">
        <w:rPr>
          <w:rFonts w:ascii="Times New Roman" w:hAnsi="Times New Roman" w:cs="Times New Roman"/>
          <w:smallCaps/>
          <w:sz w:val="24"/>
          <w:szCs w:val="24"/>
          <w:lang w:val="en-US"/>
        </w:rPr>
        <w:t>Crawford</w:t>
      </w:r>
      <w:r w:rsidRPr="00BA2DBB">
        <w:rPr>
          <w:rFonts w:ascii="Times New Roman" w:hAnsi="Times New Roman" w:cs="Times New Roman"/>
          <w:sz w:val="24"/>
          <w:szCs w:val="24"/>
          <w:lang w:val="en-US"/>
        </w:rPr>
        <w:t>, Princeton</w:t>
      </w:r>
      <w:r>
        <w:rPr>
          <w:rFonts w:ascii="Times New Roman" w:hAnsi="Times New Roman" w:cs="Times New Roman"/>
          <w:sz w:val="24"/>
          <w:szCs w:val="24"/>
          <w:lang w:val="en-US"/>
        </w:rPr>
        <w:t>-</w:t>
      </w:r>
      <w:r w:rsidRPr="00BA2DBB">
        <w:rPr>
          <w:rFonts w:ascii="Times New Roman" w:hAnsi="Times New Roman" w:cs="Times New Roman"/>
          <w:sz w:val="24"/>
          <w:szCs w:val="24"/>
          <w:lang w:val="en-US"/>
        </w:rPr>
        <w:t>Oxford, Princeton University Press, 2015, pp. 72-90.</w:t>
      </w:r>
    </w:p>
    <w:p w14:paraId="66D4A0EA" w14:textId="77777777" w:rsidR="00796A9D" w:rsidRDefault="00796A9D" w:rsidP="00796A9D">
      <w:pPr>
        <w:spacing w:after="0"/>
        <w:jc w:val="both"/>
        <w:rPr>
          <w:rFonts w:ascii="Times New Roman" w:hAnsi="Times New Roman" w:cs="Times New Roman"/>
          <w:sz w:val="24"/>
          <w:szCs w:val="24"/>
          <w:lang w:val="en-US"/>
        </w:rPr>
      </w:pPr>
    </w:p>
    <w:p w14:paraId="062E1258" w14:textId="77777777" w:rsidR="00796A9D" w:rsidRPr="000522E4" w:rsidRDefault="00796A9D" w:rsidP="00796A9D">
      <w:pPr>
        <w:spacing w:after="0"/>
        <w:jc w:val="both"/>
        <w:rPr>
          <w:rFonts w:ascii="Times New Roman" w:hAnsi="Times New Roman" w:cs="Times New Roman"/>
          <w:sz w:val="24"/>
          <w:szCs w:val="24"/>
          <w:lang w:val="en-US"/>
        </w:rPr>
      </w:pPr>
      <w:r w:rsidRPr="000522E4">
        <w:rPr>
          <w:rFonts w:ascii="Times New Roman" w:hAnsi="Times New Roman" w:cs="Times New Roman"/>
          <w:bCs/>
          <w:color w:val="000000"/>
          <w:sz w:val="24"/>
          <w:szCs w:val="24"/>
          <w:shd w:val="clear" w:color="auto" w:fill="FFFFFF"/>
        </w:rPr>
        <w:t xml:space="preserve">F. </w:t>
      </w:r>
      <w:r w:rsidRPr="000522E4">
        <w:rPr>
          <w:rFonts w:ascii="Times New Roman" w:hAnsi="Times New Roman" w:cs="Times New Roman"/>
          <w:bCs/>
          <w:smallCaps/>
          <w:color w:val="000000"/>
          <w:sz w:val="24"/>
          <w:szCs w:val="24"/>
          <w:shd w:val="clear" w:color="auto" w:fill="FFFFFF"/>
        </w:rPr>
        <w:t>Pezzarossa</w:t>
      </w:r>
      <w:r w:rsidRPr="000522E4">
        <w:rPr>
          <w:rFonts w:ascii="Times New Roman" w:hAnsi="Times New Roman" w:cs="Times New Roman"/>
          <w:bCs/>
          <w:color w:val="000000"/>
          <w:sz w:val="24"/>
          <w:szCs w:val="24"/>
          <w:shd w:val="clear" w:color="auto" w:fill="FFFFFF"/>
        </w:rPr>
        <w:t xml:space="preserve">, </w:t>
      </w:r>
      <w:r w:rsidRPr="000522E4">
        <w:rPr>
          <w:rFonts w:ascii="Times New Roman" w:hAnsi="Times New Roman" w:cs="Times New Roman"/>
          <w:bCs/>
          <w:i/>
          <w:color w:val="000000"/>
          <w:sz w:val="24"/>
          <w:szCs w:val="24"/>
          <w:shd w:val="clear" w:color="auto" w:fill="FFFFFF"/>
        </w:rPr>
        <w:t>‹‹Ad honorem et laude del nome Bentivoglio››. La letteratura della festa nel secondo Quattrocento</w:t>
      </w:r>
      <w:r w:rsidRPr="000522E4">
        <w:rPr>
          <w:rFonts w:ascii="Times New Roman" w:hAnsi="Times New Roman" w:cs="Times New Roman"/>
          <w:bCs/>
          <w:color w:val="000000"/>
          <w:sz w:val="24"/>
          <w:szCs w:val="24"/>
          <w:shd w:val="clear" w:color="auto" w:fill="FFFFFF"/>
        </w:rPr>
        <w:t xml:space="preserve">, in </w:t>
      </w:r>
      <w:r w:rsidRPr="000522E4">
        <w:rPr>
          <w:rFonts w:ascii="Times New Roman" w:hAnsi="Times New Roman" w:cs="Times New Roman"/>
          <w:bCs/>
          <w:i/>
          <w:color w:val="000000"/>
          <w:sz w:val="24"/>
          <w:szCs w:val="24"/>
          <w:shd w:val="clear" w:color="auto" w:fill="FFFFFF"/>
        </w:rPr>
        <w:t>Bentivolorum magnificentia. Principe e cultura a Bologna nel Rinascimento</w:t>
      </w:r>
      <w:r w:rsidRPr="000522E4">
        <w:rPr>
          <w:rFonts w:ascii="Times New Roman" w:hAnsi="Times New Roman" w:cs="Times New Roman"/>
          <w:bCs/>
          <w:color w:val="000000"/>
          <w:sz w:val="24"/>
          <w:szCs w:val="24"/>
          <w:shd w:val="clear" w:color="auto" w:fill="FFFFFF"/>
        </w:rPr>
        <w:t xml:space="preserve">, a cura di </w:t>
      </w:r>
      <w:r w:rsidRPr="000522E4">
        <w:rPr>
          <w:rFonts w:ascii="Times New Roman" w:hAnsi="Times New Roman" w:cs="Times New Roman"/>
          <w:bCs/>
          <w:smallCaps/>
          <w:color w:val="000000"/>
          <w:sz w:val="24"/>
          <w:szCs w:val="24"/>
          <w:shd w:val="clear" w:color="auto" w:fill="FFFFFF"/>
        </w:rPr>
        <w:t>B. Basile</w:t>
      </w:r>
      <w:r w:rsidRPr="000522E4">
        <w:rPr>
          <w:rFonts w:ascii="Times New Roman" w:hAnsi="Times New Roman" w:cs="Times New Roman"/>
          <w:bCs/>
          <w:color w:val="000000"/>
          <w:sz w:val="24"/>
          <w:szCs w:val="24"/>
          <w:shd w:val="clear" w:color="auto" w:fill="FFFFFF"/>
        </w:rPr>
        <w:t>, Roma, Bulzoni, 1984, pp. 35-113.</w:t>
      </w:r>
    </w:p>
    <w:p w14:paraId="30826B93" w14:textId="77777777" w:rsidR="00796A9D" w:rsidRDefault="00796A9D" w:rsidP="00796A9D">
      <w:pPr>
        <w:spacing w:after="0"/>
        <w:jc w:val="both"/>
        <w:rPr>
          <w:rFonts w:ascii="Times New Roman" w:hAnsi="Times New Roman" w:cs="Times New Roman"/>
          <w:sz w:val="24"/>
          <w:szCs w:val="24"/>
        </w:rPr>
      </w:pPr>
    </w:p>
    <w:p w14:paraId="1665A352" w14:textId="77777777" w:rsidR="00796A9D" w:rsidRPr="00FC7E47" w:rsidRDefault="00796A9D" w:rsidP="00796A9D">
      <w:pPr>
        <w:spacing w:after="0"/>
        <w:jc w:val="both"/>
        <w:rPr>
          <w:rFonts w:ascii="Times New Roman" w:hAnsi="Times New Roman" w:cs="Times New Roman"/>
          <w:sz w:val="24"/>
          <w:szCs w:val="24"/>
        </w:rPr>
      </w:pPr>
      <w:r w:rsidRPr="00FC7E47">
        <w:rPr>
          <w:rFonts w:ascii="Times New Roman" w:hAnsi="Times New Roman" w:cs="Times New Roman"/>
          <w:smallCaps/>
          <w:sz w:val="24"/>
          <w:szCs w:val="24"/>
        </w:rPr>
        <w:t>L. Pezzuto</w:t>
      </w:r>
      <w:r w:rsidRPr="00FC7E47">
        <w:rPr>
          <w:rFonts w:ascii="Times New Roman" w:hAnsi="Times New Roman" w:cs="Times New Roman"/>
          <w:sz w:val="24"/>
          <w:szCs w:val="24"/>
        </w:rPr>
        <w:t xml:space="preserve">, </w:t>
      </w:r>
      <w:r w:rsidRPr="00FC7E47">
        <w:rPr>
          <w:rFonts w:ascii="Times New Roman" w:hAnsi="Times New Roman" w:cs="Times New Roman"/>
          <w:i/>
          <w:sz w:val="24"/>
          <w:szCs w:val="24"/>
        </w:rPr>
        <w:t>“I Pianeti Finiguerra”, Il recupero della Fortuna di un modello iconografico noto tra la fine del Quattrocento e gli inizi del Cinquecento</w:t>
      </w:r>
      <w:r w:rsidRPr="00FC7E47">
        <w:rPr>
          <w:rFonts w:ascii="Times New Roman" w:hAnsi="Times New Roman" w:cs="Times New Roman"/>
          <w:sz w:val="24"/>
          <w:szCs w:val="24"/>
        </w:rPr>
        <w:t>, «Iconographica», XIV, 2015,141-152.</w:t>
      </w:r>
    </w:p>
    <w:p w14:paraId="54374E1D" w14:textId="77777777" w:rsidR="00796A9D" w:rsidRDefault="00796A9D" w:rsidP="00796A9D">
      <w:pPr>
        <w:spacing w:after="0"/>
        <w:jc w:val="both"/>
        <w:rPr>
          <w:rFonts w:ascii="Times New Roman" w:hAnsi="Times New Roman" w:cs="Times New Roman"/>
          <w:smallCaps/>
          <w:sz w:val="24"/>
          <w:szCs w:val="24"/>
        </w:rPr>
      </w:pPr>
    </w:p>
    <w:p w14:paraId="68BC99C1"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P. Piacentini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biblioteche papali. La Biblioteca Vaticana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Principi e signori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Principi e Signori. Le Biblioteche nella seconda metà del Quattrocento</w:t>
      </w:r>
      <w:r w:rsidRPr="00BA2DBB">
        <w:rPr>
          <w:rFonts w:ascii="Times New Roman" w:hAnsi="Times New Roman" w:cs="Times New Roman"/>
          <w:sz w:val="24"/>
          <w:szCs w:val="24"/>
        </w:rPr>
        <w:t xml:space="preserve">. Atti del Convegno (Urbino, 5-6 giugno 2008), a cura di </w:t>
      </w:r>
      <w:r w:rsidRPr="00BA2DBB">
        <w:rPr>
          <w:rFonts w:ascii="Times New Roman" w:hAnsi="Times New Roman" w:cs="Times New Roman"/>
          <w:smallCaps/>
          <w:sz w:val="24"/>
          <w:szCs w:val="24"/>
        </w:rPr>
        <w:t>G. Arbizzoni, C. Bianca, M. Peruzzi</w:t>
      </w:r>
      <w:r w:rsidRPr="00BA2DBB">
        <w:rPr>
          <w:rFonts w:ascii="Times New Roman" w:hAnsi="Times New Roman" w:cs="Times New Roman"/>
          <w:sz w:val="24"/>
          <w:szCs w:val="24"/>
        </w:rPr>
        <w:t>, Urbino, Accademia Raffaello, 2008, pp. 109-121.</w:t>
      </w:r>
    </w:p>
    <w:p w14:paraId="26637E8C" w14:textId="77777777" w:rsidR="00796A9D" w:rsidRDefault="00796A9D" w:rsidP="00796A9D">
      <w:pPr>
        <w:spacing w:after="0"/>
        <w:jc w:val="both"/>
        <w:rPr>
          <w:rFonts w:ascii="Times New Roman" w:hAnsi="Times New Roman" w:cs="Times New Roman"/>
          <w:smallCaps/>
          <w:sz w:val="24"/>
          <w:szCs w:val="24"/>
        </w:rPr>
      </w:pPr>
    </w:p>
    <w:p w14:paraId="51FA76E2" w14:textId="77777777" w:rsidR="00796A9D" w:rsidRPr="00D9346C"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P. Piacentini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Platina, la Biblioteca Vaticana e i registri di introitus ed exitus. Da una ricerca di Giuseppe Lombardi</w:t>
      </w:r>
      <w:r w:rsidRPr="00BA2DBB">
        <w:rPr>
          <w:rFonts w:ascii="Times New Roman" w:hAnsi="Times New Roman" w:cs="Times New Roman"/>
          <w:sz w:val="24"/>
          <w:szCs w:val="24"/>
        </w:rPr>
        <w:t>, Roma, Roma nel Rinascimento, 2009.</w:t>
      </w:r>
    </w:p>
    <w:p w14:paraId="10AF9485" w14:textId="77777777" w:rsidR="00796A9D" w:rsidRDefault="00796A9D" w:rsidP="00796A9D">
      <w:pPr>
        <w:spacing w:after="0"/>
        <w:jc w:val="both"/>
        <w:rPr>
          <w:rFonts w:ascii="Times New Roman" w:hAnsi="Times New Roman" w:cs="Times New Roman"/>
          <w:smallCaps/>
          <w:sz w:val="24"/>
          <w:szCs w:val="24"/>
        </w:rPr>
      </w:pPr>
    </w:p>
    <w:p w14:paraId="3AE172AE" w14:textId="77777777" w:rsidR="00796A9D" w:rsidRDefault="00796A9D" w:rsidP="00796A9D">
      <w:pPr>
        <w:spacing w:after="0"/>
        <w:jc w:val="both"/>
        <w:rPr>
          <w:rFonts w:ascii="Times New Roman" w:hAnsi="Times New Roman" w:cs="Times New Roman"/>
          <w:sz w:val="24"/>
          <w:szCs w:val="24"/>
        </w:rPr>
      </w:pPr>
      <w:r w:rsidRPr="00090678">
        <w:rPr>
          <w:rFonts w:ascii="Times New Roman" w:hAnsi="Times New Roman" w:cs="Times New Roman"/>
          <w:sz w:val="24"/>
          <w:szCs w:val="24"/>
        </w:rPr>
        <w:t xml:space="preserve">M. </w:t>
      </w:r>
      <w:r w:rsidRPr="00090678">
        <w:rPr>
          <w:rFonts w:ascii="Times New Roman" w:hAnsi="Times New Roman" w:cs="Times New Roman"/>
          <w:smallCaps/>
          <w:sz w:val="24"/>
          <w:szCs w:val="24"/>
        </w:rPr>
        <w:t>Pieri</w:t>
      </w:r>
      <w:r w:rsidRPr="00090678">
        <w:rPr>
          <w:rFonts w:ascii="Times New Roman" w:hAnsi="Times New Roman" w:cs="Times New Roman"/>
          <w:sz w:val="24"/>
          <w:szCs w:val="24"/>
        </w:rPr>
        <w:t xml:space="preserve">, </w:t>
      </w:r>
      <w:r w:rsidRPr="00090678">
        <w:rPr>
          <w:rFonts w:ascii="Times New Roman" w:hAnsi="Times New Roman" w:cs="Times New Roman"/>
          <w:i/>
          <w:sz w:val="24"/>
          <w:szCs w:val="24"/>
        </w:rPr>
        <w:t>«Sumptuosissime pompe»: Lo spettacolo nella Napoli aragonese</w:t>
      </w:r>
      <w:r w:rsidRPr="00090678">
        <w:rPr>
          <w:rFonts w:ascii="Times New Roman" w:hAnsi="Times New Roman" w:cs="Times New Roman"/>
          <w:sz w:val="24"/>
          <w:szCs w:val="24"/>
        </w:rPr>
        <w:t xml:space="preserve">, in </w:t>
      </w:r>
      <w:r w:rsidRPr="00090678">
        <w:rPr>
          <w:rFonts w:ascii="Times New Roman" w:hAnsi="Times New Roman" w:cs="Times New Roman"/>
          <w:i/>
          <w:sz w:val="24"/>
          <w:szCs w:val="24"/>
        </w:rPr>
        <w:t>Studi di filologia e critica offerti dagli allievi a Lanfranco Caretti</w:t>
      </w:r>
      <w:r w:rsidRPr="00090678">
        <w:rPr>
          <w:rFonts w:ascii="Times New Roman" w:hAnsi="Times New Roman" w:cs="Times New Roman"/>
          <w:sz w:val="24"/>
          <w:szCs w:val="24"/>
        </w:rPr>
        <w:t>, Roma, Salerno, 1985, pp. 39-82.</w:t>
      </w:r>
    </w:p>
    <w:p w14:paraId="75F9582C" w14:textId="77777777" w:rsidR="002B1F3B" w:rsidRDefault="002B1F3B" w:rsidP="00796A9D">
      <w:pPr>
        <w:spacing w:after="0"/>
        <w:jc w:val="both"/>
        <w:rPr>
          <w:rFonts w:ascii="Times New Roman" w:hAnsi="Times New Roman" w:cs="Times New Roman"/>
          <w:smallCaps/>
          <w:sz w:val="24"/>
          <w:szCs w:val="24"/>
        </w:rPr>
      </w:pPr>
    </w:p>
    <w:p w14:paraId="79B87D74" w14:textId="77777777" w:rsidR="002B1F3B" w:rsidRPr="00991FA2" w:rsidRDefault="002B1F3B" w:rsidP="00796A9D">
      <w:pPr>
        <w:spacing w:after="0"/>
        <w:jc w:val="both"/>
        <w:rPr>
          <w:rFonts w:ascii="Times New Roman" w:hAnsi="Times New Roman" w:cs="Times New Roman"/>
          <w:smallCaps/>
          <w:sz w:val="24"/>
          <w:szCs w:val="24"/>
        </w:rPr>
      </w:pPr>
      <w:r w:rsidRPr="00991FA2">
        <w:rPr>
          <w:rFonts w:ascii="Times New Roman" w:hAnsi="Times New Roman" w:cs="Times New Roman"/>
          <w:smallCaps/>
          <w:sz w:val="24"/>
          <w:szCs w:val="24"/>
        </w:rPr>
        <w:t>M. Pieri</w:t>
      </w:r>
      <w:r w:rsidRPr="00991FA2">
        <w:rPr>
          <w:rFonts w:ascii="Times New Roman" w:hAnsi="Times New Roman" w:cs="Times New Roman"/>
          <w:sz w:val="24"/>
          <w:szCs w:val="24"/>
        </w:rPr>
        <w:t xml:space="preserve">, </w:t>
      </w:r>
      <w:r w:rsidRPr="00991FA2">
        <w:rPr>
          <w:rFonts w:ascii="Times New Roman" w:hAnsi="Times New Roman" w:cs="Times New Roman"/>
          <w:i/>
          <w:sz w:val="24"/>
          <w:szCs w:val="24"/>
        </w:rPr>
        <w:t>Raccontare e rappresentare: Boiardo e il palcoscenico di Ercole</w:t>
      </w:r>
      <w:r w:rsidRPr="00991FA2">
        <w:rPr>
          <w:rFonts w:ascii="Times New Roman" w:hAnsi="Times New Roman" w:cs="Times New Roman"/>
          <w:sz w:val="24"/>
          <w:szCs w:val="24"/>
        </w:rPr>
        <w:t xml:space="preserve">, in </w:t>
      </w:r>
      <w:r w:rsidRPr="00991FA2">
        <w:rPr>
          <w:rFonts w:ascii="Times New Roman" w:hAnsi="Times New Roman" w:cs="Times New Roman"/>
          <w:i/>
          <w:sz w:val="24"/>
          <w:szCs w:val="24"/>
        </w:rPr>
        <w:t>Boiardo a Scandiano. Dieci anni di studi</w:t>
      </w:r>
      <w:r w:rsidRPr="00991FA2">
        <w:rPr>
          <w:rFonts w:ascii="Times New Roman" w:hAnsi="Times New Roman" w:cs="Times New Roman"/>
          <w:sz w:val="24"/>
          <w:szCs w:val="24"/>
        </w:rPr>
        <w:t xml:space="preserve">, a cura di </w:t>
      </w:r>
      <w:r w:rsidRPr="00991FA2">
        <w:rPr>
          <w:rFonts w:ascii="Times New Roman" w:hAnsi="Times New Roman" w:cs="Times New Roman"/>
          <w:smallCaps/>
          <w:sz w:val="24"/>
          <w:szCs w:val="24"/>
        </w:rPr>
        <w:t>A. Canova, G. Ruozzi</w:t>
      </w:r>
      <w:r w:rsidRPr="00991FA2">
        <w:rPr>
          <w:rFonts w:ascii="Times New Roman" w:hAnsi="Times New Roman" w:cs="Times New Roman"/>
          <w:sz w:val="24"/>
          <w:szCs w:val="24"/>
        </w:rPr>
        <w:t>, Novara, Interlinea, 2012, pp. 56-73.</w:t>
      </w:r>
    </w:p>
    <w:p w14:paraId="35B1B384" w14:textId="77777777" w:rsidR="00796A9D" w:rsidRDefault="00796A9D" w:rsidP="00796A9D">
      <w:pPr>
        <w:spacing w:after="0"/>
        <w:jc w:val="both"/>
        <w:rPr>
          <w:rFonts w:ascii="Times New Roman" w:hAnsi="Times New Roman" w:cs="Times New Roman"/>
          <w:smallCaps/>
          <w:sz w:val="24"/>
          <w:szCs w:val="24"/>
        </w:rPr>
      </w:pPr>
    </w:p>
    <w:p w14:paraId="7D40A9D6"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S. Pietrini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Spettacoli e immaginario teatrale nel medioevo</w:t>
      </w:r>
      <w:r w:rsidRPr="00BA2DBB">
        <w:rPr>
          <w:rFonts w:ascii="Times New Roman" w:hAnsi="Times New Roman" w:cs="Times New Roman"/>
          <w:sz w:val="24"/>
          <w:szCs w:val="24"/>
        </w:rPr>
        <w:t>, Roma, Bulzoni, 2001.</w:t>
      </w:r>
    </w:p>
    <w:p w14:paraId="34C0839C" w14:textId="77777777" w:rsidR="00796A9D" w:rsidRDefault="00796A9D" w:rsidP="00796A9D">
      <w:pPr>
        <w:spacing w:after="0"/>
        <w:jc w:val="both"/>
        <w:rPr>
          <w:rFonts w:ascii="Times New Roman" w:hAnsi="Times New Roman" w:cs="Times New Roman"/>
          <w:sz w:val="24"/>
          <w:szCs w:val="24"/>
        </w:rPr>
      </w:pPr>
    </w:p>
    <w:p w14:paraId="5885BDBB" w14:textId="77777777" w:rsidR="00796A9D" w:rsidRPr="00092044" w:rsidRDefault="00796A9D" w:rsidP="00796A9D">
      <w:pPr>
        <w:spacing w:after="0"/>
        <w:jc w:val="both"/>
        <w:rPr>
          <w:rFonts w:ascii="Times New Roman" w:hAnsi="Times New Roman" w:cs="Times New Roman"/>
          <w:sz w:val="24"/>
          <w:szCs w:val="24"/>
        </w:rPr>
      </w:pPr>
      <w:r w:rsidRPr="00092044">
        <w:rPr>
          <w:rFonts w:ascii="Times New Roman" w:hAnsi="Times New Roman" w:cs="Times New Roman"/>
          <w:smallCaps/>
          <w:sz w:val="24"/>
          <w:szCs w:val="24"/>
        </w:rPr>
        <w:t>M.A. Pincelli</w:t>
      </w:r>
      <w:r w:rsidRPr="00092044">
        <w:rPr>
          <w:rFonts w:ascii="Times New Roman" w:hAnsi="Times New Roman" w:cs="Times New Roman"/>
          <w:sz w:val="24"/>
          <w:szCs w:val="24"/>
        </w:rPr>
        <w:t xml:space="preserve">, </w:t>
      </w:r>
      <w:r w:rsidRPr="00092044">
        <w:rPr>
          <w:rFonts w:ascii="Times New Roman" w:hAnsi="Times New Roman" w:cs="Times New Roman"/>
          <w:i/>
          <w:sz w:val="24"/>
          <w:szCs w:val="24"/>
        </w:rPr>
        <w:t>La Roma Triumphans e la nascita dell’antiquaria: Biondo Flavio e Andrea Mantegna</w:t>
      </w:r>
      <w:r w:rsidRPr="00092044">
        <w:rPr>
          <w:rFonts w:ascii="Times New Roman" w:hAnsi="Times New Roman" w:cs="Times New Roman"/>
          <w:sz w:val="24"/>
          <w:szCs w:val="24"/>
        </w:rPr>
        <w:t>, «Studiolo», V, 2007, pp. 19-28.</w:t>
      </w:r>
    </w:p>
    <w:p w14:paraId="1DCC8268" w14:textId="77777777" w:rsidR="00796A9D" w:rsidRDefault="00796A9D" w:rsidP="00796A9D">
      <w:pPr>
        <w:spacing w:after="0"/>
        <w:jc w:val="both"/>
        <w:rPr>
          <w:rFonts w:ascii="Times New Roman" w:hAnsi="Times New Roman" w:cs="Times New Roman"/>
          <w:sz w:val="24"/>
          <w:szCs w:val="24"/>
        </w:rPr>
      </w:pPr>
    </w:p>
    <w:p w14:paraId="49B39098" w14:textId="77777777" w:rsidR="00796A9D" w:rsidRPr="00D9346C" w:rsidRDefault="00796A9D" w:rsidP="00796A9D">
      <w:pPr>
        <w:spacing w:after="0"/>
        <w:jc w:val="both"/>
        <w:rPr>
          <w:rFonts w:ascii="Times New Roman" w:hAnsi="Times New Roman" w:cs="Times New Roman"/>
          <w:sz w:val="24"/>
          <w:szCs w:val="24"/>
        </w:rPr>
      </w:pPr>
      <w:r w:rsidRPr="00D9346C">
        <w:rPr>
          <w:rFonts w:ascii="Times New Roman" w:hAnsi="Times New Roman" w:cs="Times New Roman"/>
          <w:sz w:val="24"/>
          <w:szCs w:val="24"/>
        </w:rPr>
        <w:t xml:space="preserve">A. </w:t>
      </w:r>
      <w:r w:rsidRPr="00D9346C">
        <w:rPr>
          <w:rFonts w:ascii="Times New Roman" w:hAnsi="Times New Roman" w:cs="Times New Roman"/>
          <w:smallCaps/>
          <w:sz w:val="24"/>
          <w:szCs w:val="24"/>
        </w:rPr>
        <w:t>Pinelli</w:t>
      </w:r>
      <w:r w:rsidRPr="00D9346C">
        <w:rPr>
          <w:rFonts w:ascii="Times New Roman" w:hAnsi="Times New Roman" w:cs="Times New Roman"/>
          <w:sz w:val="24"/>
          <w:szCs w:val="24"/>
        </w:rPr>
        <w:t xml:space="preserve">, </w:t>
      </w:r>
      <w:r w:rsidRPr="00D9346C">
        <w:rPr>
          <w:rFonts w:ascii="Times New Roman" w:hAnsi="Times New Roman" w:cs="Times New Roman"/>
          <w:i/>
          <w:sz w:val="24"/>
          <w:szCs w:val="24"/>
        </w:rPr>
        <w:t>Feste e trionfi: continuità e metamorfosi di un tema</w:t>
      </w:r>
      <w:r w:rsidRPr="00D9346C">
        <w:rPr>
          <w:rFonts w:ascii="Times New Roman" w:hAnsi="Times New Roman" w:cs="Times New Roman"/>
          <w:sz w:val="24"/>
          <w:szCs w:val="24"/>
        </w:rPr>
        <w:t xml:space="preserve">, in </w:t>
      </w:r>
      <w:r w:rsidRPr="00D9346C">
        <w:rPr>
          <w:rFonts w:ascii="Times New Roman" w:hAnsi="Times New Roman" w:cs="Times New Roman"/>
          <w:i/>
          <w:sz w:val="24"/>
          <w:szCs w:val="24"/>
        </w:rPr>
        <w:t>Memoria dell’antico nell’arte italiana</w:t>
      </w:r>
      <w:r w:rsidRPr="00D9346C">
        <w:rPr>
          <w:rFonts w:ascii="Times New Roman" w:hAnsi="Times New Roman" w:cs="Times New Roman"/>
          <w:sz w:val="24"/>
          <w:szCs w:val="24"/>
        </w:rPr>
        <w:t>, Torino, Einaudi, 1985, vol. II, pp. 279-350.</w:t>
      </w:r>
    </w:p>
    <w:p w14:paraId="08BEF5A2" w14:textId="77777777" w:rsidR="00796A9D" w:rsidRDefault="00796A9D" w:rsidP="00796A9D">
      <w:pPr>
        <w:spacing w:after="0"/>
        <w:jc w:val="both"/>
        <w:rPr>
          <w:rFonts w:ascii="Times New Roman" w:hAnsi="Times New Roman" w:cs="Times New Roman"/>
          <w:sz w:val="24"/>
          <w:szCs w:val="24"/>
        </w:rPr>
      </w:pPr>
    </w:p>
    <w:p w14:paraId="20E1F63C" w14:textId="77777777" w:rsidR="00796A9D" w:rsidRDefault="00796A9D" w:rsidP="00796A9D">
      <w:pPr>
        <w:spacing w:after="0"/>
        <w:jc w:val="both"/>
        <w:rPr>
          <w:rFonts w:ascii="Times New Roman" w:hAnsi="Times New Roman" w:cs="Times New Roman"/>
          <w:sz w:val="24"/>
          <w:szCs w:val="24"/>
        </w:rPr>
      </w:pPr>
      <w:r w:rsidRPr="00650444">
        <w:rPr>
          <w:rFonts w:ascii="Times New Roman" w:hAnsi="Times New Roman" w:cs="Times New Roman"/>
          <w:sz w:val="24"/>
          <w:szCs w:val="24"/>
        </w:rPr>
        <w:t xml:space="preserve">O. </w:t>
      </w:r>
      <w:r w:rsidRPr="00650444">
        <w:rPr>
          <w:rFonts w:ascii="Times New Roman" w:hAnsi="Times New Roman" w:cs="Times New Roman"/>
          <w:smallCaps/>
          <w:sz w:val="24"/>
          <w:szCs w:val="24"/>
        </w:rPr>
        <w:t>Pinto</w:t>
      </w:r>
      <w:r w:rsidRPr="00650444">
        <w:rPr>
          <w:rFonts w:ascii="Times New Roman" w:hAnsi="Times New Roman" w:cs="Times New Roman"/>
          <w:sz w:val="24"/>
          <w:szCs w:val="24"/>
        </w:rPr>
        <w:t xml:space="preserve">, </w:t>
      </w:r>
      <w:r w:rsidRPr="00650444">
        <w:rPr>
          <w:rFonts w:ascii="Times New Roman" w:hAnsi="Times New Roman" w:cs="Times New Roman"/>
          <w:i/>
          <w:sz w:val="24"/>
          <w:szCs w:val="24"/>
        </w:rPr>
        <w:t>Nuptialia, saggio di bibliografia di scritti italiani pubblicati per nozze dal 1484 al 1799</w:t>
      </w:r>
      <w:r w:rsidRPr="00650444">
        <w:rPr>
          <w:rFonts w:ascii="Times New Roman" w:hAnsi="Times New Roman" w:cs="Times New Roman"/>
          <w:sz w:val="24"/>
          <w:szCs w:val="24"/>
        </w:rPr>
        <w:t>, Firenze, Olschki, 1971.</w:t>
      </w:r>
    </w:p>
    <w:p w14:paraId="17B01FFC" w14:textId="77777777" w:rsidR="00796A9D" w:rsidRDefault="00796A9D" w:rsidP="00796A9D">
      <w:pPr>
        <w:spacing w:after="0"/>
        <w:jc w:val="both"/>
        <w:rPr>
          <w:rFonts w:ascii="Times New Roman" w:hAnsi="Times New Roman" w:cs="Times New Roman"/>
          <w:sz w:val="24"/>
          <w:szCs w:val="24"/>
        </w:rPr>
      </w:pPr>
    </w:p>
    <w:p w14:paraId="5AC7C543" w14:textId="77777777" w:rsidR="00796A9D" w:rsidRDefault="00796A9D" w:rsidP="00796A9D">
      <w:pPr>
        <w:spacing w:after="0"/>
        <w:jc w:val="both"/>
        <w:rPr>
          <w:rFonts w:ascii="Times New Roman" w:hAnsi="Times New Roman" w:cs="Times New Roman"/>
          <w:sz w:val="24"/>
          <w:szCs w:val="24"/>
        </w:rPr>
      </w:pPr>
      <w:r w:rsidRPr="00485359">
        <w:rPr>
          <w:rFonts w:ascii="Times New Roman" w:hAnsi="Times New Roman" w:cs="Times New Roman"/>
          <w:sz w:val="24"/>
          <w:szCs w:val="24"/>
        </w:rPr>
        <w:t xml:space="preserve">D. </w:t>
      </w:r>
      <w:r w:rsidRPr="00485359">
        <w:rPr>
          <w:rFonts w:ascii="Times New Roman" w:hAnsi="Times New Roman" w:cs="Times New Roman"/>
          <w:smallCaps/>
          <w:sz w:val="24"/>
          <w:szCs w:val="24"/>
        </w:rPr>
        <w:t>Pisani</w:t>
      </w:r>
      <w:r w:rsidRPr="00485359">
        <w:rPr>
          <w:rFonts w:ascii="Times New Roman" w:hAnsi="Times New Roman" w:cs="Times New Roman"/>
          <w:sz w:val="24"/>
          <w:szCs w:val="24"/>
        </w:rPr>
        <w:t xml:space="preserve">, </w:t>
      </w:r>
      <w:r w:rsidRPr="00485359">
        <w:rPr>
          <w:rFonts w:ascii="Times New Roman" w:hAnsi="Times New Roman" w:cs="Times New Roman"/>
          <w:i/>
          <w:sz w:val="24"/>
          <w:szCs w:val="24"/>
        </w:rPr>
        <w:t>Piuttosto un arco trionfale che una porta di città. Agostino di Duccio e la porta di San Pietro a Perugia</w:t>
      </w:r>
      <w:r w:rsidRPr="00485359">
        <w:rPr>
          <w:rFonts w:ascii="Times New Roman" w:hAnsi="Times New Roman" w:cs="Times New Roman"/>
          <w:sz w:val="24"/>
          <w:szCs w:val="24"/>
        </w:rPr>
        <w:t>, Venezia, Marsilio, 2009.</w:t>
      </w:r>
    </w:p>
    <w:p w14:paraId="3CE77674" w14:textId="77777777" w:rsidR="00796A9D" w:rsidRDefault="00796A9D" w:rsidP="00796A9D">
      <w:pPr>
        <w:spacing w:after="0"/>
        <w:jc w:val="both"/>
        <w:rPr>
          <w:rFonts w:ascii="Times New Roman" w:hAnsi="Times New Roman" w:cs="Times New Roman"/>
          <w:sz w:val="24"/>
          <w:szCs w:val="24"/>
        </w:rPr>
      </w:pPr>
    </w:p>
    <w:p w14:paraId="16B81530" w14:textId="77777777" w:rsidR="00796A9D" w:rsidRPr="00E9264E" w:rsidRDefault="00796A9D" w:rsidP="00796A9D">
      <w:pPr>
        <w:spacing w:after="0"/>
        <w:jc w:val="both"/>
        <w:rPr>
          <w:rFonts w:ascii="Times New Roman" w:hAnsi="Times New Roman" w:cs="Times New Roman"/>
          <w:sz w:val="24"/>
          <w:szCs w:val="24"/>
        </w:rPr>
      </w:pPr>
      <w:r w:rsidRPr="00E9264E">
        <w:rPr>
          <w:rFonts w:ascii="Times New Roman" w:hAnsi="Times New Roman" w:cs="Times New Roman"/>
          <w:smallCaps/>
          <w:sz w:val="24"/>
          <w:szCs w:val="24"/>
        </w:rPr>
        <w:t>C.A. Pisoni</w:t>
      </w:r>
      <w:r w:rsidRPr="00E9264E">
        <w:rPr>
          <w:rFonts w:ascii="Times New Roman" w:hAnsi="Times New Roman" w:cs="Times New Roman"/>
          <w:sz w:val="24"/>
          <w:szCs w:val="24"/>
        </w:rPr>
        <w:t xml:space="preserve">, </w:t>
      </w:r>
      <w:r w:rsidRPr="00E9264E">
        <w:rPr>
          <w:rFonts w:ascii="Times New Roman" w:hAnsi="Times New Roman" w:cs="Times New Roman"/>
          <w:i/>
          <w:sz w:val="24"/>
          <w:szCs w:val="24"/>
        </w:rPr>
        <w:t>Musica e libri per il magnifico comite Lanciloto Boromeo</w:t>
      </w:r>
      <w:r w:rsidRPr="00E9264E">
        <w:rPr>
          <w:rFonts w:ascii="Times New Roman" w:hAnsi="Times New Roman" w:cs="Times New Roman"/>
          <w:sz w:val="24"/>
          <w:szCs w:val="24"/>
        </w:rPr>
        <w:t>, per le nozze Borromeo Rospigliosi, Germignaga, 1999.</w:t>
      </w:r>
    </w:p>
    <w:p w14:paraId="2F118C22" w14:textId="77777777" w:rsidR="00796A9D" w:rsidRDefault="00796A9D" w:rsidP="00796A9D">
      <w:pPr>
        <w:spacing w:after="0"/>
        <w:jc w:val="both"/>
        <w:rPr>
          <w:rFonts w:ascii="Times New Roman" w:hAnsi="Times New Roman" w:cs="Times New Roman"/>
          <w:smallCaps/>
          <w:sz w:val="24"/>
          <w:szCs w:val="24"/>
        </w:rPr>
      </w:pPr>
    </w:p>
    <w:p w14:paraId="4F39C8F2"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 Pontone</w:t>
      </w:r>
      <w:r w:rsidRPr="00BA2DBB">
        <w:rPr>
          <w:rFonts w:ascii="Times New Roman" w:hAnsi="Times New Roman" w:cs="Times New Roman"/>
          <w:i/>
          <w:sz w:val="24"/>
          <w:szCs w:val="24"/>
        </w:rPr>
        <w:t xml:space="preserve">, I manoscritti trivulziani per Massimiliano Sforza e l'attività milanese del copista Giovanni Battista Lorenzi, </w:t>
      </w:r>
      <w:r w:rsidRPr="00BA2DBB">
        <w:rPr>
          <w:rFonts w:ascii="Times New Roman" w:hAnsi="Times New Roman" w:cs="Times New Roman"/>
          <w:sz w:val="24"/>
          <w:szCs w:val="24"/>
        </w:rPr>
        <w:t>«Aevum», 87, 2013, pp. 685-711.</w:t>
      </w:r>
    </w:p>
    <w:p w14:paraId="76DEC886" w14:textId="77777777" w:rsidR="00796A9D" w:rsidRDefault="00796A9D" w:rsidP="00796A9D">
      <w:pPr>
        <w:spacing w:after="0"/>
        <w:jc w:val="both"/>
        <w:rPr>
          <w:rFonts w:ascii="Times New Roman" w:hAnsi="Times New Roman" w:cs="Times New Roman"/>
          <w:sz w:val="24"/>
          <w:szCs w:val="24"/>
        </w:rPr>
      </w:pPr>
    </w:p>
    <w:p w14:paraId="5BBFAA00" w14:textId="77777777" w:rsidR="00796A9D" w:rsidRDefault="00796A9D" w:rsidP="00796A9D">
      <w:pPr>
        <w:spacing w:after="0"/>
        <w:jc w:val="both"/>
        <w:rPr>
          <w:rFonts w:ascii="Times New Roman" w:hAnsi="Times New Roman" w:cs="Times New Roman"/>
          <w:sz w:val="24"/>
          <w:szCs w:val="24"/>
        </w:rPr>
      </w:pPr>
      <w:r w:rsidRPr="008F68BF">
        <w:rPr>
          <w:rFonts w:ascii="Times New Roman" w:hAnsi="Times New Roman" w:cs="Times New Roman"/>
          <w:smallCaps/>
          <w:sz w:val="24"/>
          <w:szCs w:val="24"/>
        </w:rPr>
        <w:t>A. Pontremoli - P. La Rocca</w:t>
      </w:r>
      <w:r w:rsidRPr="008F68BF">
        <w:rPr>
          <w:rFonts w:ascii="Times New Roman" w:hAnsi="Times New Roman" w:cs="Times New Roman"/>
          <w:sz w:val="24"/>
          <w:szCs w:val="24"/>
        </w:rPr>
        <w:t xml:space="preserve">, </w:t>
      </w:r>
      <w:r w:rsidRPr="008F68BF">
        <w:rPr>
          <w:rFonts w:ascii="Times New Roman" w:hAnsi="Times New Roman" w:cs="Times New Roman"/>
          <w:i/>
          <w:sz w:val="24"/>
          <w:szCs w:val="24"/>
        </w:rPr>
        <w:t>Il ballare lombardo. Teoria e prassi coreutica nella festa di corte del XV secolo</w:t>
      </w:r>
      <w:r w:rsidRPr="008F68BF">
        <w:rPr>
          <w:rFonts w:ascii="Times New Roman" w:hAnsi="Times New Roman" w:cs="Times New Roman"/>
          <w:sz w:val="24"/>
          <w:szCs w:val="24"/>
        </w:rPr>
        <w:t>, Milano, Vita e Pensiero, 1987.</w:t>
      </w:r>
    </w:p>
    <w:p w14:paraId="62E99C70" w14:textId="77777777" w:rsidR="00796A9D" w:rsidRDefault="00796A9D" w:rsidP="00796A9D">
      <w:pPr>
        <w:spacing w:after="0"/>
        <w:jc w:val="both"/>
        <w:rPr>
          <w:rFonts w:ascii="Times New Roman" w:hAnsi="Times New Roman" w:cs="Times New Roman"/>
          <w:sz w:val="24"/>
          <w:szCs w:val="24"/>
        </w:rPr>
      </w:pPr>
    </w:p>
    <w:p w14:paraId="372357BE" w14:textId="77777777" w:rsidR="00796A9D" w:rsidRPr="009F5308" w:rsidRDefault="00796A9D" w:rsidP="00796A9D">
      <w:pPr>
        <w:spacing w:after="0"/>
        <w:jc w:val="both"/>
        <w:rPr>
          <w:rFonts w:ascii="Times New Roman" w:hAnsi="Times New Roman" w:cs="Times New Roman"/>
          <w:sz w:val="24"/>
          <w:szCs w:val="24"/>
        </w:rPr>
      </w:pPr>
      <w:r w:rsidRPr="009F5308">
        <w:rPr>
          <w:rFonts w:ascii="Times New Roman" w:hAnsi="Times New Roman" w:cs="Times New Roman"/>
          <w:smallCaps/>
          <w:sz w:val="24"/>
          <w:szCs w:val="24"/>
        </w:rPr>
        <w:t>A. Pontremoli</w:t>
      </w:r>
      <w:r w:rsidRPr="009F5308">
        <w:rPr>
          <w:rFonts w:ascii="Times New Roman" w:hAnsi="Times New Roman" w:cs="Times New Roman"/>
          <w:sz w:val="24"/>
          <w:szCs w:val="24"/>
        </w:rPr>
        <w:t xml:space="preserve">, </w:t>
      </w:r>
      <w:r w:rsidRPr="009F5308">
        <w:rPr>
          <w:rFonts w:ascii="Times New Roman" w:hAnsi="Times New Roman" w:cs="Times New Roman"/>
          <w:i/>
          <w:sz w:val="24"/>
          <w:szCs w:val="24"/>
        </w:rPr>
        <w:t>Danza e Rinascimento. Cultura coreica e buone maniere nella società di corte del XV secolo</w:t>
      </w:r>
      <w:r w:rsidRPr="009F5308">
        <w:rPr>
          <w:rFonts w:ascii="Times New Roman" w:hAnsi="Times New Roman" w:cs="Times New Roman"/>
          <w:sz w:val="24"/>
          <w:szCs w:val="24"/>
        </w:rPr>
        <w:t>, Macerata, Ephemeria, 2011.</w:t>
      </w:r>
    </w:p>
    <w:p w14:paraId="61E9F2CE" w14:textId="77777777" w:rsidR="00796A9D" w:rsidRDefault="00796A9D" w:rsidP="00796A9D">
      <w:pPr>
        <w:pStyle w:val="Testonotaapidipagina"/>
        <w:jc w:val="both"/>
        <w:rPr>
          <w:rFonts w:ascii="Times New Roman" w:hAnsi="Times New Roman" w:cs="Times New Roman"/>
          <w:smallCaps/>
          <w:sz w:val="24"/>
          <w:szCs w:val="24"/>
        </w:rPr>
      </w:pPr>
    </w:p>
    <w:p w14:paraId="6714C06B" w14:textId="77777777" w:rsidR="00796A9D" w:rsidRDefault="00796A9D" w:rsidP="00796A9D">
      <w:pPr>
        <w:pStyle w:val="Testonotaapidipagina"/>
        <w:jc w:val="both"/>
        <w:rPr>
          <w:rFonts w:ascii="Times New Roman" w:hAnsi="Times New Roman" w:cs="Times New Roman"/>
          <w:sz w:val="24"/>
          <w:szCs w:val="24"/>
        </w:rPr>
      </w:pPr>
      <w:r w:rsidRPr="00F36D95">
        <w:rPr>
          <w:rFonts w:ascii="Times New Roman" w:hAnsi="Times New Roman" w:cs="Times New Roman"/>
          <w:smallCaps/>
          <w:sz w:val="24"/>
          <w:szCs w:val="24"/>
        </w:rPr>
        <w:t>G. Porro</w:t>
      </w:r>
      <w:r w:rsidRPr="00F36D95">
        <w:rPr>
          <w:rFonts w:ascii="Times New Roman" w:hAnsi="Times New Roman" w:cs="Times New Roman"/>
          <w:sz w:val="24"/>
          <w:szCs w:val="24"/>
        </w:rPr>
        <w:t xml:space="preserve">, </w:t>
      </w:r>
      <w:r w:rsidRPr="00F36D95">
        <w:rPr>
          <w:rFonts w:ascii="Times New Roman" w:hAnsi="Times New Roman" w:cs="Times New Roman"/>
          <w:i/>
          <w:sz w:val="24"/>
          <w:szCs w:val="24"/>
        </w:rPr>
        <w:t>Nozze di Beatrice d'Este e di Anna Sforza. (Documenti copiati dagli originali esistenti nell'Archivio di Stato di Milano),</w:t>
      </w:r>
      <w:r w:rsidRPr="00F36D95">
        <w:rPr>
          <w:rFonts w:ascii="Times New Roman" w:hAnsi="Times New Roman" w:cs="Times New Roman"/>
          <w:sz w:val="24"/>
          <w:szCs w:val="24"/>
        </w:rPr>
        <w:t xml:space="preserve"> «Archivio Storico Lombardo», IX, 1882, p. 4</w:t>
      </w:r>
      <w:r>
        <w:rPr>
          <w:rFonts w:ascii="Times New Roman" w:hAnsi="Times New Roman" w:cs="Times New Roman"/>
          <w:sz w:val="24"/>
          <w:szCs w:val="24"/>
        </w:rPr>
        <w:t>68-496</w:t>
      </w:r>
      <w:r w:rsidRPr="00F36D95">
        <w:rPr>
          <w:rFonts w:ascii="Times New Roman" w:hAnsi="Times New Roman" w:cs="Times New Roman"/>
          <w:sz w:val="24"/>
          <w:szCs w:val="24"/>
        </w:rPr>
        <w:t>.</w:t>
      </w:r>
    </w:p>
    <w:p w14:paraId="2226C52E" w14:textId="77777777" w:rsidR="00796A9D" w:rsidRDefault="00796A9D" w:rsidP="00796A9D">
      <w:pPr>
        <w:pStyle w:val="Testonotaapidipagina"/>
        <w:jc w:val="both"/>
        <w:rPr>
          <w:rFonts w:ascii="Times New Roman" w:hAnsi="Times New Roman" w:cs="Times New Roman"/>
          <w:smallCaps/>
          <w:sz w:val="24"/>
          <w:szCs w:val="24"/>
        </w:rPr>
      </w:pPr>
    </w:p>
    <w:p w14:paraId="4467364D" w14:textId="77777777" w:rsidR="00796A9D" w:rsidRPr="008033B7" w:rsidRDefault="00796A9D" w:rsidP="00796A9D">
      <w:pPr>
        <w:pStyle w:val="Testonotaapidipagina"/>
        <w:jc w:val="both"/>
        <w:rPr>
          <w:rFonts w:ascii="Times New Roman" w:hAnsi="Times New Roman" w:cs="Times New Roman"/>
          <w:smallCaps/>
          <w:sz w:val="24"/>
          <w:szCs w:val="24"/>
        </w:rPr>
      </w:pPr>
      <w:r w:rsidRPr="008033B7">
        <w:rPr>
          <w:rFonts w:ascii="Times New Roman" w:hAnsi="Times New Roman" w:cs="Times New Roman"/>
          <w:smallCaps/>
          <w:sz w:val="24"/>
          <w:szCs w:val="24"/>
        </w:rPr>
        <w:t>Y. Potin</w:t>
      </w:r>
      <w:r w:rsidRPr="008033B7">
        <w:rPr>
          <w:rFonts w:ascii="Times New Roman" w:hAnsi="Times New Roman" w:cs="Times New Roman"/>
          <w:sz w:val="24"/>
          <w:szCs w:val="24"/>
        </w:rPr>
        <w:t xml:space="preserve">, </w:t>
      </w:r>
      <w:r w:rsidRPr="008033B7">
        <w:rPr>
          <w:rFonts w:ascii="Times New Roman" w:hAnsi="Times New Roman" w:cs="Times New Roman"/>
          <w:i/>
          <w:sz w:val="24"/>
          <w:szCs w:val="24"/>
        </w:rPr>
        <w:t>Des inventaires pour catalogues? Les archives d’une bibliothèque médiévale: la librairie royale du Louvre (1368-1429),</w:t>
      </w:r>
      <w:r w:rsidRPr="008033B7">
        <w:rPr>
          <w:rFonts w:ascii="Times New Roman" w:hAnsi="Times New Roman" w:cs="Times New Roman"/>
          <w:sz w:val="24"/>
          <w:szCs w:val="24"/>
        </w:rPr>
        <w:t xml:space="preserve"> in </w:t>
      </w:r>
      <w:r w:rsidRPr="008033B7">
        <w:rPr>
          <w:rFonts w:ascii="Times New Roman" w:hAnsi="Times New Roman" w:cs="Times New Roman"/>
          <w:i/>
          <w:sz w:val="24"/>
          <w:szCs w:val="24"/>
        </w:rPr>
        <w:t>Bibliothek als Archiv</w:t>
      </w:r>
      <w:r w:rsidRPr="008033B7">
        <w:rPr>
          <w:rFonts w:ascii="Times New Roman" w:hAnsi="Times New Roman" w:cs="Times New Roman"/>
          <w:sz w:val="24"/>
          <w:szCs w:val="24"/>
        </w:rPr>
        <w:t xml:space="preserve">, herausgegeben von </w:t>
      </w:r>
      <w:r w:rsidRPr="008033B7">
        <w:rPr>
          <w:rFonts w:ascii="Times New Roman" w:hAnsi="Times New Roman" w:cs="Times New Roman"/>
          <w:smallCaps/>
          <w:sz w:val="24"/>
          <w:szCs w:val="24"/>
        </w:rPr>
        <w:t>H.E. Bödeker</w:t>
      </w:r>
      <w:r w:rsidRPr="008033B7">
        <w:rPr>
          <w:rFonts w:ascii="Times New Roman" w:hAnsi="Times New Roman" w:cs="Times New Roman"/>
          <w:sz w:val="24"/>
          <w:szCs w:val="24"/>
        </w:rPr>
        <w:t>, Göttingen, 2007, pp. 119-140.</w:t>
      </w:r>
    </w:p>
    <w:p w14:paraId="469AF17A" w14:textId="77777777" w:rsidR="00796A9D" w:rsidRDefault="00796A9D" w:rsidP="00796A9D">
      <w:pPr>
        <w:pStyle w:val="Testonotaapidipagina"/>
        <w:jc w:val="both"/>
        <w:rPr>
          <w:rFonts w:ascii="Times New Roman" w:hAnsi="Times New Roman" w:cs="Times New Roman"/>
          <w:smallCaps/>
          <w:sz w:val="24"/>
          <w:szCs w:val="24"/>
        </w:rPr>
      </w:pPr>
    </w:p>
    <w:p w14:paraId="412EB66D"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U. Procacci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Cosimo de’Medici e la costruzione della Badia fiesolana</w:t>
      </w:r>
      <w:r w:rsidRPr="00BA2DBB">
        <w:rPr>
          <w:rFonts w:ascii="Times New Roman" w:hAnsi="Times New Roman" w:cs="Times New Roman"/>
          <w:sz w:val="24"/>
          <w:szCs w:val="24"/>
        </w:rPr>
        <w:t xml:space="preserve">, «Commentari», XIX, 1968, pp. 80-97. </w:t>
      </w:r>
    </w:p>
    <w:p w14:paraId="38195D06" w14:textId="77777777" w:rsidR="00796A9D" w:rsidRPr="00BA2DBB" w:rsidRDefault="00796A9D" w:rsidP="00796A9D">
      <w:pPr>
        <w:pStyle w:val="Testonotaapidipagina"/>
        <w:jc w:val="both"/>
        <w:rPr>
          <w:rFonts w:ascii="Times New Roman" w:hAnsi="Times New Roman" w:cs="Times New Roman"/>
          <w:sz w:val="24"/>
          <w:szCs w:val="24"/>
        </w:rPr>
      </w:pPr>
    </w:p>
    <w:p w14:paraId="40127876"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z w:val="24"/>
          <w:szCs w:val="24"/>
        </w:rPr>
        <w:t>P</w:t>
      </w:r>
      <w:r w:rsidRPr="00BA2DBB">
        <w:rPr>
          <w:rFonts w:ascii="Times New Roman" w:hAnsi="Times New Roman" w:cs="Times New Roman"/>
          <w:smallCaps/>
          <w:sz w:val="24"/>
          <w:szCs w:val="24"/>
        </w:rPr>
        <w:t>. Proverbio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Notes on the diaspora of the hebrew manuscripts: from Volterra to Urbino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Federico da Montefeltro and his Library</w:t>
      </w:r>
      <w:r w:rsidRPr="00BA2DBB">
        <w:rPr>
          <w:rFonts w:ascii="Times New Roman" w:hAnsi="Times New Roman" w:cs="Times New Roman"/>
          <w:sz w:val="24"/>
          <w:szCs w:val="24"/>
        </w:rPr>
        <w:t>, Milano, Y. Press, 2007, pp. 51-60.</w:t>
      </w:r>
    </w:p>
    <w:p w14:paraId="1FA41312" w14:textId="77777777" w:rsidR="00796A9D" w:rsidRPr="00BA2DBB" w:rsidRDefault="00796A9D" w:rsidP="00796A9D">
      <w:pPr>
        <w:pStyle w:val="Testonotaapidipagina"/>
        <w:jc w:val="both"/>
        <w:rPr>
          <w:rFonts w:ascii="Times New Roman" w:hAnsi="Times New Roman" w:cs="Times New Roman"/>
          <w:sz w:val="24"/>
          <w:szCs w:val="24"/>
        </w:rPr>
      </w:pPr>
    </w:p>
    <w:p w14:paraId="747C68F6"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G. Pugliese Carratelli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Bessarione, il Cusano e l’Umanesimo meridionale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L’eredità greca e l’ellenismo veneziano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Benzoni</w:t>
      </w:r>
      <w:r w:rsidRPr="00BA2DBB">
        <w:rPr>
          <w:rFonts w:ascii="Times New Roman" w:hAnsi="Times New Roman" w:cs="Times New Roman"/>
          <w:sz w:val="24"/>
          <w:szCs w:val="24"/>
        </w:rPr>
        <w:t>, Firenze, Olschki, 2002.</w:t>
      </w:r>
    </w:p>
    <w:p w14:paraId="63D393E2" w14:textId="77777777" w:rsidR="00796A9D" w:rsidRDefault="00796A9D" w:rsidP="00796A9D">
      <w:pPr>
        <w:pStyle w:val="Testonotaapidipagina"/>
        <w:jc w:val="both"/>
        <w:rPr>
          <w:rFonts w:ascii="Times New Roman" w:hAnsi="Times New Roman" w:cs="Times New Roman"/>
          <w:sz w:val="24"/>
          <w:szCs w:val="24"/>
        </w:rPr>
      </w:pPr>
    </w:p>
    <w:p w14:paraId="46DD424F" w14:textId="77777777" w:rsidR="00796A9D" w:rsidRDefault="00796A9D" w:rsidP="00796A9D">
      <w:pPr>
        <w:pStyle w:val="Testonotaapidipagina"/>
        <w:jc w:val="both"/>
        <w:rPr>
          <w:rFonts w:ascii="Times New Roman" w:hAnsi="Times New Roman" w:cs="Times New Roman"/>
          <w:sz w:val="24"/>
          <w:szCs w:val="24"/>
        </w:rPr>
      </w:pPr>
      <w:r w:rsidRPr="00723764">
        <w:rPr>
          <w:rFonts w:ascii="Times New Roman" w:hAnsi="Times New Roman" w:cs="Times New Roman"/>
          <w:smallCaps/>
          <w:sz w:val="24"/>
          <w:szCs w:val="24"/>
        </w:rPr>
        <w:t>C.M. Pyle</w:t>
      </w:r>
      <w:r w:rsidRPr="00723764">
        <w:rPr>
          <w:rFonts w:ascii="Times New Roman" w:hAnsi="Times New Roman" w:cs="Times New Roman"/>
          <w:sz w:val="24"/>
          <w:szCs w:val="24"/>
        </w:rPr>
        <w:t xml:space="preserve">, </w:t>
      </w:r>
      <w:r w:rsidRPr="00723764">
        <w:rPr>
          <w:rFonts w:ascii="Times New Roman" w:hAnsi="Times New Roman" w:cs="Times New Roman"/>
          <w:i/>
          <w:sz w:val="24"/>
          <w:szCs w:val="24"/>
        </w:rPr>
        <w:t>Per la biografia di Baldassare Taccone</w:t>
      </w:r>
      <w:r w:rsidRPr="00723764">
        <w:rPr>
          <w:rFonts w:ascii="Times New Roman" w:hAnsi="Times New Roman" w:cs="Times New Roman"/>
          <w:sz w:val="24"/>
          <w:szCs w:val="24"/>
        </w:rPr>
        <w:t>, «Archivio storico lombardo», CXVII, 1991, pp. 391-413.</w:t>
      </w:r>
    </w:p>
    <w:p w14:paraId="3145982F" w14:textId="77777777" w:rsidR="00796A9D" w:rsidRDefault="00796A9D" w:rsidP="00796A9D">
      <w:pPr>
        <w:pStyle w:val="Testonotaapidipagina"/>
        <w:jc w:val="both"/>
        <w:rPr>
          <w:rFonts w:ascii="Times New Roman" w:hAnsi="Times New Roman" w:cs="Times New Roman"/>
          <w:smallCaps/>
          <w:sz w:val="24"/>
          <w:szCs w:val="24"/>
        </w:rPr>
      </w:pPr>
    </w:p>
    <w:p w14:paraId="55EC017D" w14:textId="77777777" w:rsidR="00796A9D" w:rsidRPr="00053387" w:rsidRDefault="00796A9D" w:rsidP="00796A9D">
      <w:pPr>
        <w:pStyle w:val="Testonotaapidipagina"/>
        <w:jc w:val="both"/>
        <w:rPr>
          <w:rFonts w:ascii="Times New Roman" w:hAnsi="Times New Roman" w:cs="Times New Roman"/>
          <w:sz w:val="24"/>
          <w:szCs w:val="24"/>
        </w:rPr>
      </w:pPr>
      <w:r w:rsidRPr="00053387">
        <w:rPr>
          <w:rFonts w:ascii="Times New Roman" w:hAnsi="Times New Roman" w:cs="Times New Roman"/>
          <w:smallCaps/>
          <w:sz w:val="24"/>
          <w:szCs w:val="24"/>
        </w:rPr>
        <w:t>C.M. Pyle</w:t>
      </w:r>
      <w:r w:rsidRPr="00053387">
        <w:rPr>
          <w:rFonts w:ascii="Times New Roman" w:hAnsi="Times New Roman" w:cs="Times New Roman"/>
          <w:sz w:val="24"/>
          <w:szCs w:val="24"/>
        </w:rPr>
        <w:t xml:space="preserve">, </w:t>
      </w:r>
      <w:r w:rsidRPr="00053387">
        <w:rPr>
          <w:rFonts w:ascii="Times New Roman" w:hAnsi="Times New Roman" w:cs="Times New Roman"/>
          <w:i/>
          <w:sz w:val="24"/>
          <w:szCs w:val="24"/>
        </w:rPr>
        <w:t>Una relazione sconosciuta delle nozze di Isabella d'Aragona con Giangaleazzo Sforza nel febbraio 1489: Giovanni II Tolentino a Baldassare Taccone</w:t>
      </w:r>
      <w:r w:rsidRPr="00053387">
        <w:rPr>
          <w:rFonts w:ascii="Times New Roman" w:hAnsi="Times New Roman" w:cs="Times New Roman"/>
          <w:sz w:val="24"/>
          <w:szCs w:val="24"/>
        </w:rPr>
        <w:t xml:space="preserve">, «Libri e documenti», XVIII, 1993, pp. 20-26.  </w:t>
      </w:r>
    </w:p>
    <w:p w14:paraId="5A01FE03" w14:textId="77777777" w:rsidR="00796A9D" w:rsidRPr="00BA2DBB" w:rsidRDefault="00796A9D" w:rsidP="00796A9D">
      <w:pPr>
        <w:pStyle w:val="Testonotaapidipagina"/>
        <w:jc w:val="both"/>
        <w:rPr>
          <w:rFonts w:ascii="Times New Roman" w:hAnsi="Times New Roman" w:cs="Times New Roman"/>
          <w:sz w:val="24"/>
          <w:szCs w:val="24"/>
        </w:rPr>
      </w:pPr>
    </w:p>
    <w:p w14:paraId="197A9E9F"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C. Quattrini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Foppa e i miniatori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Vincenzo Foppa. Tecniche d’esecuzione, indagini e restauri</w:t>
      </w:r>
      <w:r w:rsidRPr="00BA2DBB">
        <w:rPr>
          <w:rFonts w:ascii="Times New Roman" w:hAnsi="Times New Roman" w:cs="Times New Roman"/>
          <w:sz w:val="24"/>
          <w:szCs w:val="24"/>
        </w:rPr>
        <w:t xml:space="preserve">. Atti del Seminario Internazionale di Studi (Brescia, 26-27 ottobre 2001), a cura di </w:t>
      </w:r>
      <w:r w:rsidRPr="00BA2DBB">
        <w:rPr>
          <w:rFonts w:ascii="Times New Roman" w:hAnsi="Times New Roman" w:cs="Times New Roman"/>
          <w:smallCaps/>
          <w:sz w:val="24"/>
          <w:szCs w:val="24"/>
        </w:rPr>
        <w:t>M. Capella, I. Gianfranceschi, E. Lucchesi Ragni</w:t>
      </w:r>
      <w:r w:rsidRPr="00BA2DBB">
        <w:rPr>
          <w:rFonts w:ascii="Times New Roman" w:hAnsi="Times New Roman" w:cs="Times New Roman"/>
          <w:sz w:val="24"/>
          <w:szCs w:val="24"/>
        </w:rPr>
        <w:t>, Milano, Skira, 2002, pp. 249-258.</w:t>
      </w:r>
    </w:p>
    <w:p w14:paraId="1023F1F6" w14:textId="77777777" w:rsidR="00796A9D" w:rsidRPr="00BA2DBB" w:rsidRDefault="00796A9D" w:rsidP="00796A9D">
      <w:pPr>
        <w:pStyle w:val="Testonotaapidipagina"/>
        <w:jc w:val="both"/>
        <w:rPr>
          <w:rFonts w:ascii="Times New Roman" w:hAnsi="Times New Roman" w:cs="Times New Roman"/>
          <w:sz w:val="24"/>
          <w:szCs w:val="24"/>
        </w:rPr>
      </w:pPr>
    </w:p>
    <w:p w14:paraId="4E0626AF"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Quondam</w:t>
      </w:r>
      <w:r w:rsidRPr="00BA2DBB">
        <w:rPr>
          <w:rFonts w:ascii="Times New Roman" w:hAnsi="Times New Roman" w:cs="Times New Roman"/>
          <w:i/>
          <w:sz w:val="24"/>
          <w:szCs w:val="24"/>
        </w:rPr>
        <w:t>, La biblioteca della corte estense a Ferrara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 luoghi della memoria scritta. Manoscritti, incunaboli, libri a stampa di Biblioteche Statali Italiane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G. Cavallo</w:t>
      </w:r>
      <w:r w:rsidRPr="00BA2DBB">
        <w:rPr>
          <w:rFonts w:ascii="Times New Roman" w:hAnsi="Times New Roman" w:cs="Times New Roman"/>
          <w:sz w:val="24"/>
          <w:szCs w:val="24"/>
        </w:rPr>
        <w:t>, Roma, Istituto Poligrafico e Zecca dello Stato, 1994, p. 207-215.</w:t>
      </w:r>
    </w:p>
    <w:p w14:paraId="5D06E9E1" w14:textId="77777777" w:rsidR="00796A9D" w:rsidRPr="00BA2DBB" w:rsidRDefault="00796A9D" w:rsidP="00796A9D">
      <w:pPr>
        <w:pStyle w:val="Testonotaapidipagina"/>
        <w:jc w:val="both"/>
        <w:rPr>
          <w:rFonts w:ascii="Times New Roman" w:hAnsi="Times New Roman" w:cs="Times New Roman"/>
          <w:smallCaps/>
          <w:sz w:val="24"/>
          <w:szCs w:val="24"/>
        </w:rPr>
      </w:pPr>
    </w:p>
    <w:p w14:paraId="6D474290"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Quondam</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biblioteche della corte estense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Il libro a corte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Idem</w:t>
      </w:r>
      <w:r w:rsidRPr="00BA2DBB">
        <w:rPr>
          <w:rFonts w:ascii="Times New Roman" w:hAnsi="Times New Roman" w:cs="Times New Roman"/>
          <w:sz w:val="24"/>
          <w:szCs w:val="24"/>
        </w:rPr>
        <w:t>, Roma, Bulzoni, 1994, pp. 7-38.</w:t>
      </w:r>
    </w:p>
    <w:p w14:paraId="61D188BE" w14:textId="77777777" w:rsidR="00796A9D" w:rsidRPr="00BA2DBB" w:rsidRDefault="00796A9D" w:rsidP="00796A9D">
      <w:pPr>
        <w:pStyle w:val="Testonotaapidipagina"/>
        <w:jc w:val="both"/>
        <w:rPr>
          <w:rFonts w:ascii="Times New Roman" w:hAnsi="Times New Roman" w:cs="Times New Roman"/>
          <w:sz w:val="24"/>
          <w:szCs w:val="24"/>
        </w:rPr>
      </w:pPr>
    </w:p>
    <w:p w14:paraId="3E77D9BC"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M.D. Reeve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The Editing of Pliny’s Natural History</w:t>
      </w:r>
      <w:r w:rsidRPr="00BA2DBB">
        <w:rPr>
          <w:rFonts w:ascii="Times New Roman" w:hAnsi="Times New Roman" w:cs="Times New Roman"/>
          <w:sz w:val="24"/>
          <w:szCs w:val="24"/>
        </w:rPr>
        <w:t xml:space="preserve">, «Revue d’histoire des textes», II, 2007, pp. 107-179. </w:t>
      </w:r>
    </w:p>
    <w:p w14:paraId="16E8CCAD" w14:textId="77777777" w:rsidR="00796A9D" w:rsidRPr="00BA2DBB" w:rsidRDefault="00796A9D" w:rsidP="00796A9D">
      <w:pPr>
        <w:spacing w:after="0"/>
        <w:jc w:val="both"/>
        <w:rPr>
          <w:rFonts w:ascii="Times New Roman" w:hAnsi="Times New Roman" w:cs="Times New Roman"/>
          <w:sz w:val="24"/>
          <w:szCs w:val="24"/>
        </w:rPr>
      </w:pPr>
    </w:p>
    <w:p w14:paraId="7C00D858"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L. Regnicoli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Cenni sulla storia del codice laurenziano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Il Libro d’ore di Lorenzo de’ Medici. Volume di commento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F. Arduini</w:t>
      </w:r>
      <w:r w:rsidRPr="00BA2DBB">
        <w:rPr>
          <w:rFonts w:ascii="Times New Roman" w:hAnsi="Times New Roman" w:cs="Times New Roman"/>
          <w:sz w:val="24"/>
          <w:szCs w:val="24"/>
        </w:rPr>
        <w:t xml:space="preserve">, Modena, Franco Cosimo Panini, 2005, pp. 95-107.  </w:t>
      </w:r>
    </w:p>
    <w:p w14:paraId="47789D75" w14:textId="77777777" w:rsidR="00796A9D" w:rsidRDefault="00796A9D" w:rsidP="00796A9D">
      <w:pPr>
        <w:pStyle w:val="Testonotaapidipagina"/>
        <w:jc w:val="both"/>
        <w:rPr>
          <w:rFonts w:ascii="Times New Roman" w:hAnsi="Times New Roman" w:cs="Times New Roman"/>
          <w:sz w:val="24"/>
          <w:szCs w:val="24"/>
        </w:rPr>
      </w:pPr>
    </w:p>
    <w:p w14:paraId="793D6426" w14:textId="77777777" w:rsidR="00796A9D" w:rsidRPr="00BB7CE2" w:rsidRDefault="00796A9D" w:rsidP="00796A9D">
      <w:pPr>
        <w:pStyle w:val="Testonotaapidipagina"/>
        <w:jc w:val="both"/>
        <w:rPr>
          <w:rFonts w:ascii="Times New Roman" w:hAnsi="Times New Roman" w:cs="Times New Roman"/>
          <w:sz w:val="24"/>
          <w:szCs w:val="24"/>
        </w:rPr>
      </w:pPr>
      <w:r w:rsidRPr="00BB7CE2">
        <w:rPr>
          <w:rFonts w:ascii="Times New Roman" w:hAnsi="Times New Roman" w:cs="Times New Roman"/>
          <w:smallCaps/>
          <w:sz w:val="24"/>
          <w:szCs w:val="24"/>
        </w:rPr>
        <w:t>D.E. Rhodes</w:t>
      </w:r>
      <w:r w:rsidRPr="00BB7CE2">
        <w:rPr>
          <w:rFonts w:ascii="Times New Roman" w:hAnsi="Times New Roman" w:cs="Times New Roman"/>
          <w:sz w:val="24"/>
          <w:szCs w:val="24"/>
        </w:rPr>
        <w:t xml:space="preserve">, </w:t>
      </w:r>
      <w:r w:rsidRPr="00BB7CE2">
        <w:rPr>
          <w:rFonts w:ascii="Times New Roman" w:hAnsi="Times New Roman" w:cs="Times New Roman"/>
          <w:i/>
          <w:sz w:val="24"/>
          <w:szCs w:val="24"/>
        </w:rPr>
        <w:t>La tipografia nel secolo XV a Vicenza, Santorso e Torrebelvicino</w:t>
      </w:r>
      <w:r w:rsidRPr="00BB7CE2">
        <w:rPr>
          <w:rFonts w:ascii="Times New Roman" w:hAnsi="Times New Roman" w:cs="Times New Roman"/>
          <w:sz w:val="24"/>
          <w:szCs w:val="24"/>
        </w:rPr>
        <w:t>, «Odeo Olimpico», XIX, 1983-1986, pp. 181-228.</w:t>
      </w:r>
    </w:p>
    <w:p w14:paraId="4337ED0E" w14:textId="77777777" w:rsidR="00796A9D" w:rsidRPr="00BA2DBB" w:rsidRDefault="00796A9D" w:rsidP="00796A9D">
      <w:pPr>
        <w:pStyle w:val="Testonotaapidipagina"/>
        <w:jc w:val="both"/>
        <w:rPr>
          <w:rFonts w:ascii="Times New Roman" w:hAnsi="Times New Roman" w:cs="Times New Roman"/>
          <w:sz w:val="24"/>
          <w:szCs w:val="24"/>
        </w:rPr>
      </w:pPr>
    </w:p>
    <w:p w14:paraId="538E179D"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B</w:t>
      </w:r>
      <w:r w:rsidRPr="00BA2DBB">
        <w:rPr>
          <w:rFonts w:ascii="Times New Roman" w:hAnsi="Times New Roman" w:cs="Times New Roman"/>
          <w:color w:val="222222"/>
          <w:sz w:val="24"/>
          <w:szCs w:val="24"/>
          <w:shd w:val="clear" w:color="auto" w:fill="FFFFFF"/>
        </w:rPr>
        <w:t xml:space="preserve">. </w:t>
      </w:r>
      <w:r w:rsidRPr="00BA2DBB">
        <w:rPr>
          <w:rFonts w:ascii="Times New Roman" w:hAnsi="Times New Roman" w:cs="Times New Roman"/>
          <w:smallCaps/>
          <w:color w:val="222222"/>
          <w:sz w:val="24"/>
          <w:szCs w:val="24"/>
          <w:shd w:val="clear" w:color="auto" w:fill="FFFFFF"/>
        </w:rPr>
        <w:t>Richardson</w:t>
      </w:r>
      <w:r w:rsidRPr="009802F3">
        <w:rPr>
          <w:rFonts w:ascii="Times New Roman" w:hAnsi="Times New Roman" w:cs="Times New Roman"/>
          <w:b/>
          <w:color w:val="222222"/>
          <w:sz w:val="24"/>
          <w:szCs w:val="24"/>
          <w:shd w:val="clear" w:color="auto" w:fill="FFFFFF"/>
        </w:rPr>
        <w:t xml:space="preserve">, </w:t>
      </w:r>
      <w:r w:rsidRPr="0020070D">
        <w:rPr>
          <w:rStyle w:val="Enfasigrassetto"/>
          <w:rFonts w:ascii="Times New Roman" w:hAnsi="Times New Roman" w:cs="Times New Roman"/>
          <w:b w:val="0"/>
          <w:i/>
          <w:color w:val="000000"/>
          <w:sz w:val="24"/>
          <w:szCs w:val="24"/>
          <w:shd w:val="clear" w:color="auto" w:fill="FFFFFF"/>
        </w:rPr>
        <w:t>Stampatori, autori e lettori nell'Italia del Rinascimento</w:t>
      </w:r>
      <w:r w:rsidRPr="0020070D">
        <w:rPr>
          <w:rStyle w:val="Enfasicorsivo"/>
          <w:rFonts w:ascii="Times New Roman" w:hAnsi="Times New Roman" w:cs="Times New Roman"/>
          <w:b/>
          <w:color w:val="000000"/>
          <w:sz w:val="24"/>
          <w:szCs w:val="24"/>
          <w:shd w:val="clear" w:color="auto" w:fill="FFFFFF"/>
        </w:rPr>
        <w:t>,</w:t>
      </w:r>
      <w:r w:rsidRPr="00BA2DBB">
        <w:rPr>
          <w:rStyle w:val="Enfasicorsivo"/>
          <w:rFonts w:ascii="Times New Roman" w:hAnsi="Times New Roman" w:cs="Times New Roman"/>
          <w:color w:val="000000"/>
          <w:sz w:val="24"/>
          <w:szCs w:val="24"/>
          <w:shd w:val="clear" w:color="auto" w:fill="FFFFFF"/>
        </w:rPr>
        <w:t xml:space="preserve"> </w:t>
      </w:r>
      <w:r w:rsidRPr="00BA2DBB">
        <w:rPr>
          <w:rFonts w:ascii="Times New Roman" w:hAnsi="Times New Roman" w:cs="Times New Roman"/>
          <w:color w:val="000000"/>
          <w:sz w:val="24"/>
          <w:szCs w:val="24"/>
          <w:shd w:val="clear" w:color="auto" w:fill="FFFFFF"/>
        </w:rPr>
        <w:t>Milano, S. Bonnard, 2004.</w:t>
      </w:r>
      <w:r w:rsidRPr="00BA2DBB">
        <w:rPr>
          <w:rFonts w:ascii="Times New Roman" w:hAnsi="Times New Roman" w:cs="Times New Roman"/>
          <w:sz w:val="24"/>
          <w:szCs w:val="24"/>
        </w:rPr>
        <w:t xml:space="preserve"> </w:t>
      </w:r>
    </w:p>
    <w:p w14:paraId="0D2CC099" w14:textId="77777777" w:rsidR="00796A9D" w:rsidRDefault="00796A9D" w:rsidP="00796A9D">
      <w:pPr>
        <w:pStyle w:val="Testonotaapidipagina"/>
        <w:jc w:val="both"/>
        <w:rPr>
          <w:rFonts w:ascii="Times New Roman" w:hAnsi="Times New Roman" w:cs="Times New Roman"/>
          <w:sz w:val="24"/>
          <w:szCs w:val="24"/>
          <w:lang w:val="en-US"/>
        </w:rPr>
      </w:pPr>
    </w:p>
    <w:p w14:paraId="08E569E7" w14:textId="77777777" w:rsidR="00796A9D" w:rsidRPr="00BA2DBB" w:rsidRDefault="00796A9D" w:rsidP="00796A9D">
      <w:pPr>
        <w:pStyle w:val="Testonotaapidipagina"/>
        <w:jc w:val="both"/>
        <w:rPr>
          <w:rFonts w:ascii="Times New Roman" w:hAnsi="Times New Roman" w:cs="Times New Roman"/>
          <w:sz w:val="24"/>
          <w:szCs w:val="24"/>
          <w:lang w:val="en-US"/>
        </w:rPr>
      </w:pPr>
      <w:r w:rsidRPr="00BA2DBB">
        <w:rPr>
          <w:rFonts w:ascii="Times New Roman" w:hAnsi="Times New Roman" w:cs="Times New Roman"/>
          <w:sz w:val="24"/>
          <w:szCs w:val="24"/>
          <w:lang w:val="en-US"/>
        </w:rPr>
        <w:t xml:space="preserve">B. </w:t>
      </w:r>
      <w:r w:rsidRPr="00BA2DBB">
        <w:rPr>
          <w:rFonts w:ascii="Times New Roman" w:hAnsi="Times New Roman" w:cs="Times New Roman"/>
          <w:smallCaps/>
          <w:sz w:val="24"/>
          <w:szCs w:val="24"/>
          <w:lang w:val="en-US"/>
        </w:rPr>
        <w:t>Richardson</w:t>
      </w:r>
      <w:r w:rsidRPr="00BA2DBB">
        <w:rPr>
          <w:rFonts w:ascii="Times New Roman" w:hAnsi="Times New Roman" w:cs="Times New Roman"/>
          <w:sz w:val="24"/>
          <w:szCs w:val="24"/>
          <w:lang w:val="en-US"/>
        </w:rPr>
        <w:t xml:space="preserve">, </w:t>
      </w:r>
      <w:r w:rsidRPr="00BA2DBB">
        <w:rPr>
          <w:rFonts w:ascii="Times New Roman" w:hAnsi="Times New Roman" w:cs="Times New Roman"/>
          <w:i/>
          <w:sz w:val="24"/>
          <w:szCs w:val="24"/>
          <w:lang w:val="en-US"/>
        </w:rPr>
        <w:t>Isabella d’Este and the Social Use of Books</w:t>
      </w:r>
      <w:r w:rsidRPr="00BA2DBB">
        <w:rPr>
          <w:rFonts w:ascii="Times New Roman" w:hAnsi="Times New Roman" w:cs="Times New Roman"/>
          <w:sz w:val="24"/>
          <w:szCs w:val="24"/>
          <w:lang w:val="en-US"/>
        </w:rPr>
        <w:t xml:space="preserve">, «La Bibliofilia», CXIV, 2012, pp. 293-326.  </w:t>
      </w:r>
    </w:p>
    <w:p w14:paraId="641C7EDC" w14:textId="77777777" w:rsidR="00796A9D" w:rsidRPr="00BA2DBB" w:rsidRDefault="00796A9D" w:rsidP="00796A9D">
      <w:pPr>
        <w:pStyle w:val="Testonotaapidipagina"/>
        <w:jc w:val="both"/>
        <w:rPr>
          <w:rFonts w:ascii="Times New Roman" w:hAnsi="Times New Roman" w:cs="Times New Roman"/>
          <w:sz w:val="24"/>
          <w:szCs w:val="24"/>
          <w:lang w:val="en-US"/>
        </w:rPr>
      </w:pPr>
    </w:p>
    <w:p w14:paraId="343BA3C0"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F. Rizzi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Un umanista ignorato, Taddeo Ugoleto</w:t>
      </w:r>
      <w:r w:rsidRPr="00BA2DBB">
        <w:rPr>
          <w:rFonts w:ascii="Times New Roman" w:hAnsi="Times New Roman" w:cs="Times New Roman"/>
          <w:sz w:val="24"/>
          <w:szCs w:val="24"/>
        </w:rPr>
        <w:t>, «Aurea Parma», XXXVII, gennaio-marzo 1953, pp. 3-17.</w:t>
      </w:r>
    </w:p>
    <w:p w14:paraId="6F05D0D1" w14:textId="77777777" w:rsidR="00796A9D" w:rsidRDefault="00796A9D" w:rsidP="00796A9D">
      <w:pPr>
        <w:pStyle w:val="Testonotaapidipagina"/>
        <w:jc w:val="both"/>
        <w:rPr>
          <w:rFonts w:ascii="Times New Roman" w:hAnsi="Times New Roman" w:cs="Times New Roman"/>
          <w:sz w:val="24"/>
          <w:szCs w:val="24"/>
        </w:rPr>
      </w:pPr>
    </w:p>
    <w:p w14:paraId="4D28DA7C" w14:textId="77777777" w:rsidR="00796A9D" w:rsidRPr="00DB4C01" w:rsidRDefault="00796A9D" w:rsidP="00796A9D">
      <w:pPr>
        <w:pStyle w:val="Testonotaapidipagina"/>
        <w:jc w:val="both"/>
        <w:rPr>
          <w:rFonts w:ascii="Times New Roman" w:hAnsi="Times New Roman" w:cs="Times New Roman"/>
          <w:sz w:val="24"/>
          <w:szCs w:val="24"/>
        </w:rPr>
      </w:pPr>
      <w:r w:rsidRPr="00DB4C01">
        <w:rPr>
          <w:rFonts w:ascii="Times New Roman" w:hAnsi="Times New Roman" w:cs="Times New Roman"/>
          <w:smallCaps/>
          <w:sz w:val="24"/>
          <w:szCs w:val="24"/>
        </w:rPr>
        <w:t>A. Rochon</w:t>
      </w:r>
      <w:r w:rsidRPr="00DB4C01">
        <w:rPr>
          <w:rFonts w:ascii="Times New Roman" w:hAnsi="Times New Roman" w:cs="Times New Roman"/>
          <w:sz w:val="24"/>
          <w:szCs w:val="24"/>
        </w:rPr>
        <w:t xml:space="preserve">, </w:t>
      </w:r>
      <w:r w:rsidRPr="00DB4C01">
        <w:rPr>
          <w:rFonts w:ascii="Times New Roman" w:hAnsi="Times New Roman" w:cs="Times New Roman"/>
          <w:i/>
          <w:sz w:val="24"/>
          <w:szCs w:val="24"/>
        </w:rPr>
        <w:t>La jeunesse de Laurent de Medicis (1449-1478)</w:t>
      </w:r>
      <w:r w:rsidRPr="00DB4C01">
        <w:rPr>
          <w:rFonts w:ascii="Times New Roman" w:hAnsi="Times New Roman" w:cs="Times New Roman"/>
          <w:sz w:val="24"/>
          <w:szCs w:val="24"/>
        </w:rPr>
        <w:t>, Parigi, Les belles lettres, 1963.</w:t>
      </w:r>
    </w:p>
    <w:p w14:paraId="3352AAED" w14:textId="77777777" w:rsidR="00796A9D" w:rsidRPr="00BA2DBB" w:rsidRDefault="00796A9D" w:rsidP="00796A9D">
      <w:pPr>
        <w:pStyle w:val="Testonotaapidipagina"/>
        <w:jc w:val="both"/>
        <w:rPr>
          <w:rFonts w:ascii="Times New Roman" w:hAnsi="Times New Roman" w:cs="Times New Roman"/>
          <w:sz w:val="24"/>
          <w:szCs w:val="24"/>
        </w:rPr>
      </w:pPr>
    </w:p>
    <w:p w14:paraId="057424D0"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B. Roeck, A. Tönnesmann</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Federico da Montefeltro. Arte, stato e mestiere delle armi</w:t>
      </w:r>
      <w:r w:rsidRPr="00BA2DBB">
        <w:rPr>
          <w:rFonts w:ascii="Times New Roman" w:hAnsi="Times New Roman" w:cs="Times New Roman"/>
          <w:sz w:val="24"/>
          <w:szCs w:val="24"/>
        </w:rPr>
        <w:t>, Torino, Einaudi, 2009.</w:t>
      </w:r>
    </w:p>
    <w:p w14:paraId="53B4E374" w14:textId="77777777" w:rsidR="00796A9D" w:rsidRDefault="00796A9D" w:rsidP="00796A9D">
      <w:pPr>
        <w:spacing w:after="0"/>
        <w:jc w:val="both"/>
        <w:rPr>
          <w:rFonts w:ascii="Times New Roman" w:hAnsi="Times New Roman" w:cs="Times New Roman"/>
          <w:smallCaps/>
          <w:sz w:val="24"/>
          <w:szCs w:val="24"/>
        </w:rPr>
      </w:pPr>
    </w:p>
    <w:p w14:paraId="5D86B334"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T. Rogledi Manni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tipografia a Milano nel XV secolo</w:t>
      </w:r>
      <w:r w:rsidRPr="00BA2DBB">
        <w:rPr>
          <w:rFonts w:ascii="Times New Roman" w:hAnsi="Times New Roman" w:cs="Times New Roman"/>
          <w:sz w:val="24"/>
          <w:szCs w:val="24"/>
        </w:rPr>
        <w:t>, Firenze, Olschki, 1980.</w:t>
      </w:r>
    </w:p>
    <w:p w14:paraId="1395B878" w14:textId="77777777" w:rsidR="00796A9D" w:rsidRDefault="00796A9D" w:rsidP="00796A9D">
      <w:pPr>
        <w:spacing w:after="0"/>
        <w:jc w:val="both"/>
        <w:rPr>
          <w:rFonts w:ascii="Times New Roman" w:hAnsi="Times New Roman" w:cs="Times New Roman"/>
          <w:sz w:val="24"/>
          <w:szCs w:val="24"/>
        </w:rPr>
      </w:pPr>
    </w:p>
    <w:p w14:paraId="71D2A09E" w14:textId="77777777" w:rsidR="00796A9D" w:rsidRPr="00594CFA" w:rsidRDefault="00796A9D" w:rsidP="00796A9D">
      <w:pPr>
        <w:spacing w:after="0"/>
        <w:jc w:val="both"/>
        <w:rPr>
          <w:rFonts w:ascii="Times New Roman" w:hAnsi="Times New Roman" w:cs="Times New Roman"/>
          <w:sz w:val="24"/>
          <w:szCs w:val="24"/>
        </w:rPr>
      </w:pPr>
      <w:r w:rsidRPr="00594CFA">
        <w:rPr>
          <w:rFonts w:ascii="Times New Roman" w:hAnsi="Times New Roman" w:cs="Times New Roman"/>
          <w:sz w:val="24"/>
          <w:szCs w:val="24"/>
        </w:rPr>
        <w:t xml:space="preserve">C. </w:t>
      </w:r>
      <w:r w:rsidRPr="00594CFA">
        <w:rPr>
          <w:rFonts w:ascii="Times New Roman" w:hAnsi="Times New Roman" w:cs="Times New Roman"/>
          <w:smallCaps/>
          <w:sz w:val="24"/>
          <w:szCs w:val="24"/>
        </w:rPr>
        <w:t>Romano</w:t>
      </w:r>
      <w:r w:rsidRPr="00594CFA">
        <w:rPr>
          <w:rFonts w:ascii="Times New Roman" w:hAnsi="Times New Roman" w:cs="Times New Roman"/>
          <w:sz w:val="24"/>
          <w:szCs w:val="24"/>
        </w:rPr>
        <w:t xml:space="preserve">, </w:t>
      </w:r>
      <w:r w:rsidRPr="00594CFA">
        <w:rPr>
          <w:rFonts w:ascii="Times New Roman" w:hAnsi="Times New Roman" w:cs="Times New Roman"/>
          <w:i/>
          <w:sz w:val="24"/>
          <w:szCs w:val="24"/>
        </w:rPr>
        <w:t>Matteo da Milano e il Messale Arcimboldi: problematiche e spunti di riflessione</w:t>
      </w:r>
      <w:r w:rsidRPr="00594CFA">
        <w:rPr>
          <w:rFonts w:ascii="Times New Roman" w:hAnsi="Times New Roman" w:cs="Times New Roman"/>
          <w:sz w:val="24"/>
          <w:szCs w:val="24"/>
        </w:rPr>
        <w:t>, «Libri e documenti», XXXII-XXXIII, 2006-2007, pp. 9-33.</w:t>
      </w:r>
    </w:p>
    <w:p w14:paraId="3868C31D" w14:textId="77777777" w:rsidR="00796A9D" w:rsidRDefault="00796A9D" w:rsidP="00796A9D">
      <w:pPr>
        <w:spacing w:after="0"/>
        <w:jc w:val="both"/>
        <w:rPr>
          <w:rFonts w:ascii="Times New Roman" w:hAnsi="Times New Roman" w:cs="Times New Roman"/>
          <w:sz w:val="24"/>
          <w:szCs w:val="24"/>
        </w:rPr>
      </w:pPr>
    </w:p>
    <w:p w14:paraId="2611F0CD" w14:textId="77777777" w:rsidR="00796A9D" w:rsidRPr="00C01AD2" w:rsidRDefault="00796A9D" w:rsidP="00796A9D">
      <w:pPr>
        <w:spacing w:after="0"/>
        <w:jc w:val="both"/>
        <w:rPr>
          <w:rFonts w:ascii="Times New Roman" w:hAnsi="Times New Roman" w:cs="Times New Roman"/>
          <w:sz w:val="24"/>
          <w:szCs w:val="24"/>
        </w:rPr>
      </w:pPr>
      <w:r w:rsidRPr="00C01AD2">
        <w:rPr>
          <w:rFonts w:ascii="Times New Roman" w:hAnsi="Times New Roman" w:cs="Times New Roman"/>
          <w:smallCaps/>
          <w:sz w:val="24"/>
          <w:szCs w:val="24"/>
        </w:rPr>
        <w:t xml:space="preserve">W. Roscoe, </w:t>
      </w:r>
      <w:r w:rsidRPr="00C01AD2">
        <w:rPr>
          <w:rFonts w:ascii="Times New Roman" w:hAnsi="Times New Roman" w:cs="Times New Roman"/>
          <w:i/>
          <w:smallCaps/>
          <w:sz w:val="24"/>
          <w:szCs w:val="24"/>
        </w:rPr>
        <w:t>T</w:t>
      </w:r>
      <w:r w:rsidRPr="00C01AD2">
        <w:rPr>
          <w:rFonts w:ascii="Times New Roman" w:hAnsi="Times New Roman" w:cs="Times New Roman"/>
          <w:i/>
          <w:sz w:val="24"/>
          <w:szCs w:val="24"/>
        </w:rPr>
        <w:t>he Life of Lorenzo de’ Medici Called the Magnificent</w:t>
      </w:r>
      <w:r w:rsidRPr="00C01AD2">
        <w:rPr>
          <w:rFonts w:ascii="Times New Roman" w:hAnsi="Times New Roman" w:cs="Times New Roman"/>
          <w:sz w:val="24"/>
          <w:szCs w:val="24"/>
        </w:rPr>
        <w:t>, London, Stand, 1825.</w:t>
      </w:r>
    </w:p>
    <w:p w14:paraId="194FA3F8" w14:textId="77777777" w:rsidR="00796A9D" w:rsidRDefault="00796A9D" w:rsidP="00796A9D">
      <w:pPr>
        <w:spacing w:after="0"/>
        <w:jc w:val="both"/>
        <w:rPr>
          <w:rFonts w:ascii="Times New Roman" w:hAnsi="Times New Roman" w:cs="Times New Roman"/>
          <w:sz w:val="24"/>
          <w:szCs w:val="24"/>
        </w:rPr>
      </w:pPr>
    </w:p>
    <w:p w14:paraId="1F521D1D" w14:textId="77777777" w:rsidR="00796A9D" w:rsidRPr="0017384D" w:rsidRDefault="00796A9D" w:rsidP="00796A9D">
      <w:pPr>
        <w:spacing w:after="0"/>
        <w:jc w:val="both"/>
        <w:rPr>
          <w:rFonts w:ascii="Times New Roman" w:hAnsi="Times New Roman" w:cs="Times New Roman"/>
          <w:sz w:val="24"/>
          <w:szCs w:val="24"/>
        </w:rPr>
      </w:pPr>
      <w:r w:rsidRPr="0017384D">
        <w:rPr>
          <w:rFonts w:ascii="Times New Roman" w:hAnsi="Times New Roman" w:cs="Times New Roman"/>
          <w:smallCaps/>
          <w:sz w:val="24"/>
          <w:szCs w:val="24"/>
        </w:rPr>
        <w:t>E. Rossetti,</w:t>
      </w:r>
      <w:r w:rsidRPr="0017384D">
        <w:rPr>
          <w:rFonts w:ascii="Times New Roman" w:hAnsi="Times New Roman" w:cs="Times New Roman"/>
          <w:sz w:val="24"/>
          <w:szCs w:val="24"/>
        </w:rPr>
        <w:t xml:space="preserve"> </w:t>
      </w:r>
      <w:r w:rsidRPr="0017384D">
        <w:rPr>
          <w:rFonts w:ascii="Times New Roman" w:hAnsi="Times New Roman" w:cs="Times New Roman"/>
          <w:i/>
          <w:sz w:val="24"/>
          <w:szCs w:val="24"/>
        </w:rPr>
        <w:t>Bramante cortigiano? Note sui rapporti tra l’artista e la società milanese</w:t>
      </w:r>
      <w:r w:rsidRPr="0017384D">
        <w:rPr>
          <w:rFonts w:ascii="Times New Roman" w:hAnsi="Times New Roman" w:cs="Times New Roman"/>
          <w:sz w:val="24"/>
          <w:szCs w:val="24"/>
        </w:rPr>
        <w:t xml:space="preserve">, in </w:t>
      </w:r>
      <w:r w:rsidRPr="0017384D">
        <w:rPr>
          <w:rFonts w:ascii="Times New Roman" w:hAnsi="Times New Roman" w:cs="Times New Roman"/>
          <w:i/>
          <w:sz w:val="24"/>
          <w:szCs w:val="24"/>
        </w:rPr>
        <w:t>Bramante a Milano. Le arti in Lombardia 1477-1499</w:t>
      </w:r>
      <w:r w:rsidRPr="0017384D">
        <w:rPr>
          <w:rFonts w:ascii="Times New Roman" w:hAnsi="Times New Roman" w:cs="Times New Roman"/>
          <w:sz w:val="24"/>
          <w:szCs w:val="24"/>
        </w:rPr>
        <w:t xml:space="preserve">, a cura di </w:t>
      </w:r>
      <w:r w:rsidRPr="0017384D">
        <w:rPr>
          <w:rFonts w:ascii="Times New Roman" w:hAnsi="Times New Roman" w:cs="Times New Roman"/>
          <w:smallCaps/>
          <w:sz w:val="24"/>
          <w:szCs w:val="24"/>
        </w:rPr>
        <w:t>M. Ceriana, E. Daffara, M. Natale</w:t>
      </w:r>
      <w:r w:rsidRPr="0017384D">
        <w:rPr>
          <w:rFonts w:ascii="Times New Roman" w:hAnsi="Times New Roman" w:cs="Times New Roman"/>
          <w:sz w:val="24"/>
          <w:szCs w:val="24"/>
        </w:rPr>
        <w:t>, Milano, Skira, 2015</w:t>
      </w:r>
      <w:r>
        <w:rPr>
          <w:rFonts w:ascii="Times New Roman" w:hAnsi="Times New Roman" w:cs="Times New Roman"/>
          <w:sz w:val="24"/>
          <w:szCs w:val="24"/>
        </w:rPr>
        <w:t>, 95-99.</w:t>
      </w:r>
    </w:p>
    <w:p w14:paraId="2C33A7F8" w14:textId="77777777" w:rsidR="00796A9D" w:rsidRDefault="00796A9D" w:rsidP="00796A9D">
      <w:pPr>
        <w:spacing w:after="0"/>
        <w:jc w:val="both"/>
        <w:rPr>
          <w:rFonts w:ascii="Times New Roman" w:hAnsi="Times New Roman" w:cs="Times New Roman"/>
          <w:sz w:val="24"/>
          <w:szCs w:val="24"/>
        </w:rPr>
      </w:pPr>
    </w:p>
    <w:p w14:paraId="54BFA50B" w14:textId="77777777" w:rsidR="00796A9D" w:rsidRPr="00DD53BB" w:rsidRDefault="00796A9D" w:rsidP="00796A9D">
      <w:pPr>
        <w:spacing w:after="0"/>
        <w:jc w:val="both"/>
        <w:rPr>
          <w:rFonts w:ascii="Times New Roman" w:hAnsi="Times New Roman" w:cs="Times New Roman"/>
          <w:sz w:val="24"/>
          <w:szCs w:val="24"/>
        </w:rPr>
      </w:pPr>
      <w:r w:rsidRPr="00DD53BB">
        <w:rPr>
          <w:rFonts w:ascii="Times New Roman" w:hAnsi="Times New Roman" w:cs="Times New Roman"/>
          <w:sz w:val="24"/>
          <w:szCs w:val="24"/>
        </w:rPr>
        <w:t xml:space="preserve">M. </w:t>
      </w:r>
      <w:r w:rsidRPr="00DD53BB">
        <w:rPr>
          <w:rFonts w:ascii="Times New Roman" w:hAnsi="Times New Roman" w:cs="Times New Roman"/>
          <w:smallCaps/>
          <w:sz w:val="24"/>
          <w:szCs w:val="24"/>
        </w:rPr>
        <w:t>Rossi</w:t>
      </w:r>
      <w:r w:rsidRPr="00DD53BB">
        <w:rPr>
          <w:rFonts w:ascii="Times New Roman" w:hAnsi="Times New Roman" w:cs="Times New Roman"/>
          <w:sz w:val="24"/>
          <w:szCs w:val="24"/>
        </w:rPr>
        <w:t xml:space="preserve">, </w:t>
      </w:r>
      <w:r w:rsidRPr="00DD53BB">
        <w:rPr>
          <w:rFonts w:ascii="Times New Roman" w:hAnsi="Times New Roman" w:cs="Times New Roman"/>
          <w:i/>
          <w:sz w:val="24"/>
          <w:szCs w:val="24"/>
        </w:rPr>
        <w:t>Disegno storico dell’arte lombarda</w:t>
      </w:r>
      <w:r w:rsidRPr="00DD53BB">
        <w:rPr>
          <w:rFonts w:ascii="Times New Roman" w:hAnsi="Times New Roman" w:cs="Times New Roman"/>
          <w:sz w:val="24"/>
          <w:szCs w:val="24"/>
        </w:rPr>
        <w:t>, Milano, Vita e Pensiero, 2005.</w:t>
      </w:r>
    </w:p>
    <w:p w14:paraId="572B6991" w14:textId="77777777" w:rsidR="00796A9D" w:rsidRDefault="00796A9D" w:rsidP="00796A9D">
      <w:pPr>
        <w:spacing w:after="0"/>
        <w:jc w:val="both"/>
        <w:rPr>
          <w:rFonts w:ascii="Times New Roman" w:hAnsi="Times New Roman" w:cs="Times New Roman"/>
          <w:sz w:val="24"/>
          <w:szCs w:val="24"/>
        </w:rPr>
      </w:pPr>
    </w:p>
    <w:p w14:paraId="377DBFF6" w14:textId="77777777" w:rsidR="00796A9D" w:rsidRPr="0020070D" w:rsidRDefault="00796A9D" w:rsidP="00796A9D">
      <w:pPr>
        <w:spacing w:after="0"/>
        <w:jc w:val="both"/>
        <w:rPr>
          <w:rFonts w:ascii="Times New Roman" w:hAnsi="Times New Roman" w:cs="Times New Roman"/>
          <w:b/>
          <w:sz w:val="24"/>
          <w:szCs w:val="24"/>
        </w:rPr>
      </w:pPr>
      <w:r w:rsidRPr="0020070D">
        <w:rPr>
          <w:rStyle w:val="Enfasigrassetto"/>
          <w:rFonts w:ascii="Times New Roman" w:hAnsi="Times New Roman" w:cs="Times New Roman"/>
          <w:b w:val="0"/>
          <w:color w:val="000000"/>
          <w:sz w:val="24"/>
          <w:szCs w:val="24"/>
          <w:shd w:val="clear" w:color="auto" w:fill="FFFFFF"/>
        </w:rPr>
        <w:t xml:space="preserve">U. </w:t>
      </w:r>
      <w:r w:rsidRPr="0020070D">
        <w:rPr>
          <w:rStyle w:val="Enfasigrassetto"/>
          <w:rFonts w:ascii="Times New Roman" w:hAnsi="Times New Roman" w:cs="Times New Roman"/>
          <w:b w:val="0"/>
          <w:smallCaps/>
          <w:color w:val="000000"/>
          <w:sz w:val="24"/>
          <w:szCs w:val="24"/>
          <w:shd w:val="clear" w:color="auto" w:fill="FFFFFF"/>
        </w:rPr>
        <w:t>Rozzo</w:t>
      </w:r>
      <w:r w:rsidRPr="0020070D">
        <w:rPr>
          <w:rStyle w:val="Enfasigrassetto"/>
          <w:rFonts w:ascii="Times New Roman" w:hAnsi="Times New Roman" w:cs="Times New Roman"/>
          <w:b w:val="0"/>
          <w:color w:val="000000"/>
          <w:sz w:val="24"/>
          <w:szCs w:val="24"/>
          <w:shd w:val="clear" w:color="auto" w:fill="FFFFFF"/>
        </w:rPr>
        <w:t xml:space="preserve">, </w:t>
      </w:r>
      <w:r w:rsidRPr="0020070D">
        <w:rPr>
          <w:rStyle w:val="Enfasigrassetto"/>
          <w:rFonts w:ascii="Times New Roman" w:hAnsi="Times New Roman" w:cs="Times New Roman"/>
          <w:b w:val="0"/>
          <w:i/>
          <w:color w:val="000000"/>
          <w:sz w:val="24"/>
          <w:szCs w:val="24"/>
          <w:shd w:val="clear" w:color="auto" w:fill="FFFFFF"/>
        </w:rPr>
        <w:t>L’Ordine de le imbandisone per le nozze di Gian Galeazzo Sforza con Isabella d’Aragona</w:t>
      </w:r>
      <w:r w:rsidRPr="0020070D">
        <w:rPr>
          <w:rStyle w:val="Enfasigrassetto"/>
          <w:rFonts w:ascii="Times New Roman" w:hAnsi="Times New Roman" w:cs="Times New Roman"/>
          <w:b w:val="0"/>
          <w:color w:val="000000"/>
          <w:sz w:val="24"/>
          <w:szCs w:val="24"/>
          <w:shd w:val="clear" w:color="auto" w:fill="FFFFFF"/>
        </w:rPr>
        <w:t>, ‹‹Libri e documenti››, XIV, 1989, pp. 1-14</w:t>
      </w:r>
      <w:r w:rsidRPr="0020070D">
        <w:rPr>
          <w:rStyle w:val="Enfasigrassetto"/>
          <w:rFonts w:ascii="Times New Roman" w:hAnsi="Times New Roman" w:cs="Times New Roman"/>
          <w:b w:val="0"/>
          <w:color w:val="000000"/>
          <w:shd w:val="clear" w:color="auto" w:fill="FFFFFF"/>
        </w:rPr>
        <w:t>.</w:t>
      </w:r>
    </w:p>
    <w:p w14:paraId="6E3A0380" w14:textId="77777777" w:rsidR="00796A9D" w:rsidRDefault="00796A9D" w:rsidP="00796A9D">
      <w:pPr>
        <w:spacing w:after="0"/>
        <w:jc w:val="both"/>
        <w:rPr>
          <w:rFonts w:ascii="Times New Roman" w:hAnsi="Times New Roman" w:cs="Times New Roman"/>
          <w:sz w:val="24"/>
          <w:szCs w:val="24"/>
        </w:rPr>
      </w:pPr>
    </w:p>
    <w:p w14:paraId="42A53C1D"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U. </w:t>
      </w:r>
      <w:r w:rsidRPr="00BA2DBB">
        <w:rPr>
          <w:rFonts w:ascii="Times New Roman" w:hAnsi="Times New Roman" w:cs="Times New Roman"/>
          <w:smallCaps/>
          <w:sz w:val="24"/>
          <w:szCs w:val="24"/>
        </w:rPr>
        <w:t>Rozzo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Visconteo-sforzesca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Principi e Signori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Principi e Signori. Le Biblioteche nella seconda metà del Quattrocento</w:t>
      </w:r>
      <w:r w:rsidRPr="00BA2DBB">
        <w:rPr>
          <w:rFonts w:ascii="Times New Roman" w:hAnsi="Times New Roman" w:cs="Times New Roman"/>
          <w:sz w:val="24"/>
          <w:szCs w:val="24"/>
        </w:rPr>
        <w:t xml:space="preserve">. Atti del Convegno (Urbino, 5-6 giugno 2008), a cura di </w:t>
      </w:r>
      <w:r w:rsidRPr="00BA2DBB">
        <w:rPr>
          <w:rFonts w:ascii="Times New Roman" w:hAnsi="Times New Roman" w:cs="Times New Roman"/>
          <w:smallCaps/>
          <w:sz w:val="24"/>
          <w:szCs w:val="24"/>
        </w:rPr>
        <w:t>G. Arbizzoni, C. Bianca, M. Peruzzi</w:t>
      </w:r>
      <w:r w:rsidRPr="00BA2DBB">
        <w:rPr>
          <w:rFonts w:ascii="Times New Roman" w:hAnsi="Times New Roman" w:cs="Times New Roman"/>
          <w:sz w:val="24"/>
          <w:szCs w:val="24"/>
        </w:rPr>
        <w:t>, Urbino, Accademia Raffaello, 2008, pp. 3-38.</w:t>
      </w:r>
    </w:p>
    <w:p w14:paraId="57FFECB1" w14:textId="77777777" w:rsidR="00796A9D" w:rsidRDefault="00796A9D" w:rsidP="00796A9D">
      <w:pPr>
        <w:spacing w:after="0"/>
        <w:jc w:val="both"/>
        <w:rPr>
          <w:rFonts w:ascii="Times New Roman" w:hAnsi="Times New Roman" w:cs="Times New Roman"/>
          <w:smallCaps/>
          <w:sz w:val="24"/>
          <w:szCs w:val="24"/>
        </w:rPr>
      </w:pPr>
    </w:p>
    <w:p w14:paraId="10281912" w14:textId="77777777" w:rsidR="00796A9D" w:rsidRDefault="00796A9D" w:rsidP="00796A9D">
      <w:pPr>
        <w:spacing w:after="0"/>
        <w:jc w:val="both"/>
        <w:rPr>
          <w:rFonts w:ascii="Times New Roman" w:hAnsi="Times New Roman" w:cs="Times New Roman"/>
          <w:sz w:val="24"/>
          <w:szCs w:val="24"/>
        </w:rPr>
      </w:pPr>
      <w:r w:rsidRPr="00A30B66">
        <w:rPr>
          <w:rFonts w:ascii="Times New Roman" w:hAnsi="Times New Roman" w:cs="Times New Roman"/>
          <w:smallCaps/>
          <w:sz w:val="24"/>
          <w:szCs w:val="24"/>
        </w:rPr>
        <w:t>U. Rozzo</w:t>
      </w:r>
      <w:r w:rsidRPr="00A30B66">
        <w:rPr>
          <w:rFonts w:ascii="Times New Roman" w:hAnsi="Times New Roman" w:cs="Times New Roman"/>
          <w:sz w:val="24"/>
          <w:szCs w:val="24"/>
        </w:rPr>
        <w:t xml:space="preserve">, </w:t>
      </w:r>
      <w:r w:rsidRPr="00A30B66">
        <w:rPr>
          <w:rFonts w:ascii="Times New Roman" w:hAnsi="Times New Roman" w:cs="Times New Roman"/>
          <w:i/>
          <w:sz w:val="24"/>
          <w:szCs w:val="24"/>
        </w:rPr>
        <w:t>La strage ignorata: i fogli volanti a stampa nell'Italia dei secoli XV e XVI</w:t>
      </w:r>
      <w:r w:rsidRPr="00A30B66">
        <w:rPr>
          <w:rFonts w:ascii="Times New Roman" w:hAnsi="Times New Roman" w:cs="Times New Roman"/>
          <w:sz w:val="24"/>
          <w:szCs w:val="24"/>
        </w:rPr>
        <w:t>, Udine, Forum, 2008</w:t>
      </w:r>
      <w:r>
        <w:rPr>
          <w:rFonts w:ascii="Times New Roman" w:hAnsi="Times New Roman" w:cs="Times New Roman"/>
          <w:sz w:val="24"/>
          <w:szCs w:val="24"/>
        </w:rPr>
        <w:t>.</w:t>
      </w:r>
    </w:p>
    <w:p w14:paraId="6D56880D" w14:textId="77777777" w:rsidR="005868B5" w:rsidRDefault="005868B5" w:rsidP="00796A9D">
      <w:pPr>
        <w:spacing w:after="0"/>
        <w:jc w:val="both"/>
        <w:rPr>
          <w:rFonts w:ascii="Times New Roman" w:hAnsi="Times New Roman" w:cs="Times New Roman"/>
          <w:sz w:val="24"/>
          <w:szCs w:val="24"/>
        </w:rPr>
      </w:pPr>
    </w:p>
    <w:p w14:paraId="2BAE43A0" w14:textId="77777777" w:rsidR="005868B5" w:rsidRPr="005868B5" w:rsidRDefault="005868B5" w:rsidP="00796A9D">
      <w:pPr>
        <w:spacing w:after="0"/>
        <w:jc w:val="both"/>
        <w:rPr>
          <w:rFonts w:ascii="Times New Roman" w:hAnsi="Times New Roman" w:cs="Times New Roman"/>
          <w:sz w:val="24"/>
          <w:szCs w:val="24"/>
        </w:rPr>
      </w:pPr>
      <w:r w:rsidRPr="005868B5">
        <w:rPr>
          <w:rFonts w:ascii="Times New Roman" w:hAnsi="Times New Roman" w:cs="Times New Roman"/>
          <w:smallCaps/>
          <w:sz w:val="24"/>
          <w:szCs w:val="24"/>
        </w:rPr>
        <w:t>F. Ruffini</w:t>
      </w:r>
      <w:r w:rsidRPr="005868B5">
        <w:rPr>
          <w:rFonts w:ascii="Times New Roman" w:hAnsi="Times New Roman" w:cs="Times New Roman"/>
          <w:sz w:val="24"/>
          <w:szCs w:val="24"/>
        </w:rPr>
        <w:t xml:space="preserve">, </w:t>
      </w:r>
      <w:r w:rsidRPr="005868B5">
        <w:rPr>
          <w:rFonts w:ascii="Times New Roman" w:hAnsi="Times New Roman" w:cs="Times New Roman"/>
          <w:i/>
          <w:sz w:val="24"/>
          <w:szCs w:val="24"/>
        </w:rPr>
        <w:t>Preliminari per un’analisi dei Menaechmi ferraresi del 1486</w:t>
      </w:r>
      <w:r w:rsidRPr="005868B5">
        <w:rPr>
          <w:rFonts w:ascii="Times New Roman" w:hAnsi="Times New Roman" w:cs="Times New Roman"/>
          <w:sz w:val="24"/>
          <w:szCs w:val="24"/>
        </w:rPr>
        <w:t>, «Schifanoia», III, 1987, pp. 125-135.</w:t>
      </w:r>
    </w:p>
    <w:p w14:paraId="57650FFD" w14:textId="77777777" w:rsidR="00796A9D" w:rsidRDefault="00796A9D" w:rsidP="00796A9D">
      <w:pPr>
        <w:spacing w:after="0"/>
        <w:jc w:val="both"/>
        <w:rPr>
          <w:rFonts w:ascii="Times New Roman" w:hAnsi="Times New Roman" w:cs="Times New Roman"/>
          <w:smallCaps/>
          <w:sz w:val="24"/>
          <w:szCs w:val="24"/>
        </w:rPr>
      </w:pPr>
    </w:p>
    <w:p w14:paraId="5B2345F5" w14:textId="77777777" w:rsidR="00796A9D" w:rsidRPr="004C11B2" w:rsidRDefault="00796A9D" w:rsidP="00796A9D">
      <w:pPr>
        <w:spacing w:after="0"/>
        <w:jc w:val="both"/>
        <w:rPr>
          <w:rFonts w:ascii="Times New Roman" w:hAnsi="Times New Roman" w:cs="Times New Roman"/>
          <w:smallCaps/>
          <w:sz w:val="24"/>
          <w:szCs w:val="24"/>
        </w:rPr>
      </w:pPr>
      <w:r w:rsidRPr="004C11B2">
        <w:rPr>
          <w:rFonts w:ascii="Times New Roman" w:hAnsi="Times New Roman" w:cs="Times New Roman"/>
          <w:sz w:val="24"/>
          <w:szCs w:val="24"/>
        </w:rPr>
        <w:t xml:space="preserve">F. </w:t>
      </w:r>
      <w:r w:rsidRPr="004C11B2">
        <w:rPr>
          <w:rFonts w:ascii="Times New Roman" w:hAnsi="Times New Roman" w:cs="Times New Roman"/>
          <w:smallCaps/>
          <w:sz w:val="24"/>
          <w:szCs w:val="24"/>
        </w:rPr>
        <w:t>Ruggeri</w:t>
      </w:r>
      <w:r w:rsidRPr="004C11B2">
        <w:rPr>
          <w:rFonts w:ascii="Times New Roman" w:hAnsi="Times New Roman" w:cs="Times New Roman"/>
          <w:sz w:val="24"/>
          <w:szCs w:val="24"/>
        </w:rPr>
        <w:t xml:space="preserve">, </w:t>
      </w:r>
      <w:r w:rsidRPr="004C11B2">
        <w:rPr>
          <w:rFonts w:ascii="Times New Roman" w:hAnsi="Times New Roman" w:cs="Times New Roman"/>
          <w:i/>
          <w:sz w:val="24"/>
          <w:szCs w:val="24"/>
        </w:rPr>
        <w:t>Il santo chiodo venerato nel Duomo di Milano</w:t>
      </w:r>
      <w:r w:rsidRPr="004C11B2">
        <w:rPr>
          <w:rFonts w:ascii="Times New Roman" w:hAnsi="Times New Roman" w:cs="Times New Roman"/>
          <w:sz w:val="24"/>
          <w:szCs w:val="24"/>
        </w:rPr>
        <w:t>, Milano, NED, 2005</w:t>
      </w:r>
      <w:r>
        <w:rPr>
          <w:rFonts w:ascii="Times New Roman" w:hAnsi="Times New Roman" w:cs="Times New Roman"/>
          <w:sz w:val="24"/>
          <w:szCs w:val="24"/>
        </w:rPr>
        <w:t>.</w:t>
      </w:r>
    </w:p>
    <w:p w14:paraId="733FBB2A" w14:textId="77777777" w:rsidR="00796A9D" w:rsidRDefault="00796A9D" w:rsidP="00796A9D">
      <w:pPr>
        <w:spacing w:after="0"/>
        <w:jc w:val="both"/>
        <w:rPr>
          <w:rFonts w:ascii="Times New Roman" w:hAnsi="Times New Roman" w:cs="Times New Roman"/>
          <w:smallCaps/>
          <w:sz w:val="24"/>
          <w:szCs w:val="24"/>
        </w:rPr>
      </w:pPr>
    </w:p>
    <w:p w14:paraId="6EFC416D"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R. Ruggiero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«Homines talem scribendi qualem vivendi formulam tenent».</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di Antonello Petrucci, “secretario” ribelle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Biblioteche nel Regno fra Tre e Cinquecento</w:t>
      </w:r>
      <w:r w:rsidRPr="00BA2DBB">
        <w:rPr>
          <w:rFonts w:ascii="Times New Roman" w:hAnsi="Times New Roman" w:cs="Times New Roman"/>
          <w:sz w:val="24"/>
          <w:szCs w:val="24"/>
        </w:rPr>
        <w:t>, a cura di</w:t>
      </w:r>
      <w:r w:rsidRPr="00B52843">
        <w:rPr>
          <w:rFonts w:ascii="Times New Roman" w:hAnsi="Times New Roman" w:cs="Times New Roman"/>
          <w:sz w:val="20"/>
          <w:szCs w:val="20"/>
        </w:rPr>
        <w:t xml:space="preserve"> </w:t>
      </w:r>
      <w:r w:rsidRPr="00B52843">
        <w:rPr>
          <w:rFonts w:ascii="Times New Roman" w:hAnsi="Times New Roman" w:cs="Times New Roman"/>
          <w:smallCaps/>
          <w:sz w:val="20"/>
          <w:szCs w:val="20"/>
        </w:rPr>
        <w:t xml:space="preserve">C. </w:t>
      </w:r>
      <w:r w:rsidRPr="000E2C40">
        <w:rPr>
          <w:rFonts w:ascii="Times New Roman" w:hAnsi="Times New Roman" w:cs="Times New Roman"/>
          <w:smallCaps/>
          <w:sz w:val="24"/>
          <w:szCs w:val="24"/>
        </w:rPr>
        <w:t>Corfiati, M. de Nichilo</w:t>
      </w:r>
      <w:r w:rsidRPr="000E2C40">
        <w:rPr>
          <w:rFonts w:ascii="Times New Roman" w:hAnsi="Times New Roman" w:cs="Times New Roman"/>
          <w:sz w:val="24"/>
          <w:szCs w:val="24"/>
        </w:rPr>
        <w:t xml:space="preserve">, Lecce, Pensa Multimedia, 2009, pp. </w:t>
      </w:r>
      <w:r>
        <w:rPr>
          <w:rFonts w:ascii="Times New Roman" w:hAnsi="Times New Roman" w:cs="Times New Roman"/>
          <w:sz w:val="24"/>
          <w:szCs w:val="24"/>
        </w:rPr>
        <w:t>171-192.</w:t>
      </w:r>
    </w:p>
    <w:p w14:paraId="5E66E683" w14:textId="77777777" w:rsidR="00796A9D" w:rsidRDefault="00796A9D" w:rsidP="00796A9D">
      <w:pPr>
        <w:spacing w:after="0"/>
        <w:jc w:val="both"/>
        <w:rPr>
          <w:rFonts w:ascii="Times New Roman" w:hAnsi="Times New Roman" w:cs="Times New Roman"/>
          <w:smallCaps/>
          <w:sz w:val="24"/>
          <w:szCs w:val="24"/>
        </w:rPr>
      </w:pPr>
    </w:p>
    <w:p w14:paraId="2CA6096E"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J. Ruysschaert</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Siste IV fondateur de la Bibliothèque Vaticane (15 juin 1475</w:t>
      </w:r>
      <w:r w:rsidRPr="00BA2DBB">
        <w:rPr>
          <w:rFonts w:ascii="Times New Roman" w:hAnsi="Times New Roman" w:cs="Times New Roman"/>
          <w:sz w:val="24"/>
          <w:szCs w:val="24"/>
        </w:rPr>
        <w:t>), «Archivium Historiae Pontificiae», VII, 1969, pp. 513-524.</w:t>
      </w:r>
    </w:p>
    <w:p w14:paraId="78C492A1" w14:textId="77777777" w:rsidR="00796A9D" w:rsidRDefault="00796A9D" w:rsidP="00796A9D">
      <w:pPr>
        <w:spacing w:after="0"/>
        <w:jc w:val="both"/>
        <w:rPr>
          <w:rFonts w:ascii="Times New Roman" w:hAnsi="Times New Roman" w:cs="Times New Roman"/>
          <w:smallCaps/>
          <w:sz w:val="24"/>
          <w:szCs w:val="24"/>
        </w:rPr>
      </w:pPr>
    </w:p>
    <w:p w14:paraId="283A2A3E"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J. Ruysschaert</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Les collaborateurs stables de Platina, premier bibliothécaire de la Vaticane (1475-1481),</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Palaeographica diplomatica et archivistica</w:t>
      </w:r>
      <w:r w:rsidRPr="00BA2DBB">
        <w:rPr>
          <w:rFonts w:ascii="Times New Roman" w:hAnsi="Times New Roman" w:cs="Times New Roman"/>
          <w:sz w:val="24"/>
          <w:szCs w:val="24"/>
        </w:rPr>
        <w:t>. Studi in onore di Giulio Battelli, Roma, Edizioni di storia e letteratura, 1979, pp. 579-591.</w:t>
      </w:r>
    </w:p>
    <w:p w14:paraId="5A735AD2" w14:textId="77777777" w:rsidR="00796A9D" w:rsidRDefault="00796A9D" w:rsidP="00796A9D">
      <w:pPr>
        <w:spacing w:after="0"/>
        <w:jc w:val="both"/>
        <w:rPr>
          <w:rFonts w:ascii="Times New Roman" w:hAnsi="Times New Roman" w:cs="Times New Roman"/>
          <w:sz w:val="24"/>
          <w:szCs w:val="24"/>
        </w:rPr>
      </w:pPr>
    </w:p>
    <w:p w14:paraId="16702360" w14:textId="77777777" w:rsidR="00796A9D" w:rsidRDefault="00796A9D" w:rsidP="00796A9D">
      <w:pPr>
        <w:pStyle w:val="Testonotaapidipagina"/>
        <w:jc w:val="both"/>
        <w:rPr>
          <w:rFonts w:ascii="Times New Roman" w:hAnsi="Times New Roman" w:cs="Times New Roman"/>
          <w:sz w:val="24"/>
          <w:szCs w:val="24"/>
        </w:rPr>
      </w:pPr>
      <w:r w:rsidRPr="007E13AF">
        <w:rPr>
          <w:rFonts w:ascii="Times New Roman" w:hAnsi="Times New Roman" w:cs="Times New Roman"/>
          <w:smallCaps/>
          <w:sz w:val="24"/>
          <w:szCs w:val="24"/>
        </w:rPr>
        <w:t>T. Saffioti</w:t>
      </w:r>
      <w:r w:rsidRPr="007E13AF">
        <w:rPr>
          <w:rFonts w:ascii="Times New Roman" w:hAnsi="Times New Roman" w:cs="Times New Roman"/>
          <w:sz w:val="24"/>
          <w:szCs w:val="24"/>
        </w:rPr>
        <w:t xml:space="preserve">, </w:t>
      </w:r>
      <w:r w:rsidRPr="007E13AF">
        <w:rPr>
          <w:rFonts w:ascii="Times New Roman" w:hAnsi="Times New Roman" w:cs="Times New Roman"/>
          <w:i/>
          <w:sz w:val="24"/>
          <w:szCs w:val="24"/>
        </w:rPr>
        <w:t>La giulleria in Italia. Pratica scenica e festività</w:t>
      </w:r>
      <w:r w:rsidRPr="007E13AF">
        <w:rPr>
          <w:rFonts w:ascii="Times New Roman" w:hAnsi="Times New Roman" w:cs="Times New Roman"/>
          <w:sz w:val="24"/>
          <w:szCs w:val="24"/>
        </w:rPr>
        <w:t>, «Medievalista», XV, 2012, pp. 281-294.</w:t>
      </w:r>
    </w:p>
    <w:p w14:paraId="6709E1BB" w14:textId="77777777" w:rsidR="00796A9D" w:rsidRDefault="00796A9D" w:rsidP="00796A9D">
      <w:pPr>
        <w:pStyle w:val="Testonotaapidipagina"/>
        <w:jc w:val="both"/>
        <w:rPr>
          <w:sz w:val="24"/>
          <w:szCs w:val="24"/>
        </w:rPr>
      </w:pPr>
    </w:p>
    <w:p w14:paraId="0125A432" w14:textId="77777777" w:rsidR="00796A9D" w:rsidRPr="0091087F" w:rsidRDefault="00796A9D" w:rsidP="00796A9D">
      <w:pPr>
        <w:pStyle w:val="Testonotaapidipagina"/>
        <w:jc w:val="both"/>
        <w:rPr>
          <w:sz w:val="24"/>
          <w:szCs w:val="24"/>
        </w:rPr>
      </w:pPr>
      <w:r w:rsidRPr="0091087F">
        <w:rPr>
          <w:rFonts w:ascii="Times New Roman" w:hAnsi="Times New Roman" w:cs="Times New Roman"/>
          <w:smallCaps/>
          <w:sz w:val="24"/>
          <w:szCs w:val="24"/>
        </w:rPr>
        <w:t>M. Saltamacchia</w:t>
      </w:r>
      <w:r w:rsidRPr="0091087F">
        <w:rPr>
          <w:rFonts w:ascii="Times New Roman" w:hAnsi="Times New Roman" w:cs="Times New Roman"/>
          <w:sz w:val="24"/>
          <w:szCs w:val="24"/>
        </w:rPr>
        <w:t xml:space="preserve">, </w:t>
      </w:r>
      <w:r w:rsidRPr="0091087F">
        <w:rPr>
          <w:rFonts w:ascii="Times New Roman" w:hAnsi="Times New Roman" w:cs="Times New Roman"/>
          <w:i/>
          <w:sz w:val="24"/>
          <w:szCs w:val="24"/>
        </w:rPr>
        <w:t>Costruire cattedrali. Il popolo del Duomo di Milano</w:t>
      </w:r>
      <w:r w:rsidRPr="0091087F">
        <w:rPr>
          <w:rFonts w:ascii="Times New Roman" w:hAnsi="Times New Roman" w:cs="Times New Roman"/>
          <w:sz w:val="24"/>
          <w:szCs w:val="24"/>
        </w:rPr>
        <w:t>, Genova-Milano, Marietti, 2011.</w:t>
      </w:r>
    </w:p>
    <w:p w14:paraId="1C18BCCD" w14:textId="77777777" w:rsidR="00796A9D" w:rsidRDefault="00796A9D" w:rsidP="00796A9D">
      <w:pPr>
        <w:spacing w:after="0"/>
        <w:jc w:val="both"/>
        <w:rPr>
          <w:rFonts w:ascii="Times New Roman" w:hAnsi="Times New Roman" w:cs="Times New Roman"/>
          <w:sz w:val="24"/>
          <w:szCs w:val="24"/>
        </w:rPr>
      </w:pPr>
    </w:p>
    <w:p w14:paraId="7C0FC582" w14:textId="77777777" w:rsidR="00796A9D" w:rsidRPr="00BA2DBB" w:rsidRDefault="00796A9D" w:rsidP="00796A9D">
      <w:pPr>
        <w:spacing w:after="0"/>
        <w:jc w:val="both"/>
        <w:rPr>
          <w:rFonts w:ascii="Times New Roman" w:hAnsi="Times New Roman" w:cs="Times New Roman"/>
          <w:sz w:val="24"/>
          <w:szCs w:val="24"/>
        </w:rPr>
      </w:pPr>
      <w:r w:rsidRPr="002670C4">
        <w:rPr>
          <w:rFonts w:ascii="Times New Roman" w:hAnsi="Times New Roman" w:cs="Times New Roman"/>
          <w:smallCaps/>
          <w:sz w:val="24"/>
          <w:szCs w:val="24"/>
        </w:rPr>
        <w:t>E. Sandal</w:t>
      </w:r>
      <w:r w:rsidRPr="002670C4">
        <w:rPr>
          <w:rFonts w:ascii="Times New Roman" w:hAnsi="Times New Roman" w:cs="Times New Roman"/>
          <w:sz w:val="24"/>
          <w:szCs w:val="24"/>
        </w:rPr>
        <w:t xml:space="preserve">, </w:t>
      </w:r>
      <w:r w:rsidRPr="002670C4">
        <w:rPr>
          <w:rFonts w:ascii="Times New Roman" w:hAnsi="Times New Roman" w:cs="Times New Roman"/>
          <w:i/>
          <w:sz w:val="24"/>
          <w:szCs w:val="24"/>
        </w:rPr>
        <w:t>La tipografia e il commercio dei libri nei domini della Serenissima</w:t>
      </w:r>
      <w:r w:rsidRPr="002670C4">
        <w:rPr>
          <w:rFonts w:ascii="Times New Roman" w:hAnsi="Times New Roman" w:cs="Times New Roman"/>
          <w:sz w:val="24"/>
          <w:szCs w:val="24"/>
        </w:rPr>
        <w:t xml:space="preserve">, in </w:t>
      </w:r>
      <w:r w:rsidRPr="002670C4">
        <w:rPr>
          <w:rFonts w:ascii="Times New Roman" w:hAnsi="Times New Roman" w:cs="Times New Roman"/>
          <w:i/>
          <w:sz w:val="24"/>
          <w:szCs w:val="24"/>
        </w:rPr>
        <w:t>Cartai e stampatori in Veneto</w:t>
      </w:r>
      <w:r w:rsidRPr="002670C4">
        <w:rPr>
          <w:rFonts w:ascii="Times New Roman" w:hAnsi="Times New Roman" w:cs="Times New Roman"/>
          <w:sz w:val="24"/>
          <w:szCs w:val="24"/>
        </w:rPr>
        <w:t xml:space="preserve">, a cura di </w:t>
      </w:r>
      <w:r w:rsidRPr="002670C4">
        <w:rPr>
          <w:rFonts w:ascii="Times New Roman" w:hAnsi="Times New Roman" w:cs="Times New Roman"/>
          <w:smallCaps/>
          <w:sz w:val="24"/>
          <w:szCs w:val="24"/>
        </w:rPr>
        <w:t>G.L. Fontana, E. Sandal</w:t>
      </w:r>
      <w:r w:rsidRPr="002670C4">
        <w:rPr>
          <w:rFonts w:ascii="Times New Roman" w:hAnsi="Times New Roman" w:cs="Times New Roman"/>
          <w:sz w:val="24"/>
          <w:szCs w:val="24"/>
        </w:rPr>
        <w:t>, Brescia, Grafo, 2001</w:t>
      </w:r>
      <w:r>
        <w:rPr>
          <w:rFonts w:ascii="Times New Roman" w:hAnsi="Times New Roman" w:cs="Times New Roman"/>
        </w:rPr>
        <w:t>, pp. 156-170.</w:t>
      </w:r>
    </w:p>
    <w:p w14:paraId="04190B0C" w14:textId="77777777" w:rsidR="00796A9D" w:rsidRDefault="00796A9D" w:rsidP="00796A9D">
      <w:pPr>
        <w:spacing w:after="0"/>
        <w:jc w:val="both"/>
        <w:rPr>
          <w:rFonts w:ascii="Times New Roman" w:hAnsi="Times New Roman" w:cs="Times New Roman"/>
          <w:smallCaps/>
          <w:sz w:val="24"/>
          <w:szCs w:val="24"/>
        </w:rPr>
      </w:pPr>
    </w:p>
    <w:p w14:paraId="4FC97C23"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C. Santarelli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Riflessi della Milano musicale sforzesca nel codice Varia 124 della Biblioteca Reale di Torino</w:t>
      </w:r>
      <w:r w:rsidRPr="00BA2DBB">
        <w:rPr>
          <w:rFonts w:ascii="Times New Roman" w:hAnsi="Times New Roman" w:cs="Times New Roman"/>
          <w:sz w:val="24"/>
          <w:szCs w:val="24"/>
        </w:rPr>
        <w:t>, «Music in art», XXXIII, 2008, pp. 30-37.</w:t>
      </w:r>
    </w:p>
    <w:p w14:paraId="7FAC2E11" w14:textId="77777777" w:rsidR="00796A9D" w:rsidRDefault="00796A9D" w:rsidP="00796A9D">
      <w:pPr>
        <w:spacing w:after="0"/>
        <w:jc w:val="both"/>
        <w:rPr>
          <w:rFonts w:ascii="Times New Roman" w:hAnsi="Times New Roman" w:cs="Times New Roman"/>
          <w:sz w:val="24"/>
          <w:szCs w:val="24"/>
        </w:rPr>
      </w:pPr>
    </w:p>
    <w:p w14:paraId="0B703CD6" w14:textId="77777777" w:rsidR="00796A9D" w:rsidRDefault="00796A9D" w:rsidP="00796A9D">
      <w:pPr>
        <w:spacing w:after="0"/>
        <w:jc w:val="both"/>
        <w:rPr>
          <w:rFonts w:ascii="Times New Roman" w:hAnsi="Times New Roman" w:cs="Times New Roman"/>
          <w:color w:val="222222"/>
          <w:sz w:val="24"/>
          <w:szCs w:val="24"/>
          <w:shd w:val="clear" w:color="auto" w:fill="FFFFFF"/>
        </w:rPr>
      </w:pPr>
      <w:r w:rsidRPr="003655CC">
        <w:rPr>
          <w:rFonts w:ascii="Times New Roman" w:hAnsi="Times New Roman" w:cs="Times New Roman"/>
          <w:sz w:val="24"/>
          <w:szCs w:val="24"/>
        </w:rPr>
        <w:t xml:space="preserve">F. </w:t>
      </w:r>
      <w:r w:rsidRPr="003655CC">
        <w:rPr>
          <w:rFonts w:ascii="Times New Roman" w:hAnsi="Times New Roman" w:cs="Times New Roman"/>
          <w:smallCaps/>
          <w:sz w:val="24"/>
          <w:szCs w:val="24"/>
        </w:rPr>
        <w:t>Santi</w:t>
      </w:r>
      <w:r w:rsidRPr="003655CC">
        <w:rPr>
          <w:rFonts w:ascii="Times New Roman" w:hAnsi="Times New Roman" w:cs="Times New Roman"/>
          <w:sz w:val="24"/>
          <w:szCs w:val="24"/>
        </w:rPr>
        <w:t xml:space="preserve">, </w:t>
      </w:r>
      <w:r w:rsidRPr="003655CC">
        <w:rPr>
          <w:rFonts w:ascii="Times New Roman" w:hAnsi="Times New Roman" w:cs="Times New Roman"/>
          <w:i/>
          <w:sz w:val="24"/>
          <w:szCs w:val="24"/>
        </w:rPr>
        <w:t>Un’orazione di Giasone del Maino</w:t>
      </w:r>
      <w:r w:rsidRPr="003655CC">
        <w:rPr>
          <w:rFonts w:ascii="Times New Roman" w:hAnsi="Times New Roman" w:cs="Times New Roman"/>
          <w:sz w:val="24"/>
          <w:szCs w:val="24"/>
        </w:rPr>
        <w:t xml:space="preserve">, ‹‹Bollettino della Società Pavese di Storia Patria››, </w:t>
      </w:r>
      <w:r w:rsidRPr="003655CC">
        <w:rPr>
          <w:rFonts w:ascii="Times New Roman" w:hAnsi="Times New Roman" w:cs="Times New Roman"/>
          <w:color w:val="222222"/>
          <w:sz w:val="24"/>
          <w:szCs w:val="24"/>
          <w:shd w:val="clear" w:color="auto" w:fill="FFFFFF"/>
        </w:rPr>
        <w:t>XCVII, 1997, pp. 173-204.</w:t>
      </w:r>
    </w:p>
    <w:p w14:paraId="6BDA9E8E" w14:textId="77777777" w:rsidR="003D0E2C" w:rsidRDefault="003D0E2C" w:rsidP="00796A9D">
      <w:pPr>
        <w:spacing w:after="0"/>
        <w:jc w:val="both"/>
        <w:rPr>
          <w:rFonts w:ascii="Times New Roman" w:hAnsi="Times New Roman" w:cs="Times New Roman"/>
          <w:sz w:val="24"/>
          <w:szCs w:val="24"/>
        </w:rPr>
      </w:pPr>
    </w:p>
    <w:p w14:paraId="3D018BFF" w14:textId="77777777" w:rsidR="003D0E2C" w:rsidRPr="003D0E2C" w:rsidRDefault="003D0E2C" w:rsidP="00796A9D">
      <w:pPr>
        <w:spacing w:after="0"/>
        <w:jc w:val="both"/>
        <w:rPr>
          <w:rFonts w:ascii="Times New Roman" w:hAnsi="Times New Roman" w:cs="Times New Roman"/>
        </w:rPr>
      </w:pPr>
      <w:r w:rsidRPr="003D0E2C">
        <w:rPr>
          <w:rFonts w:ascii="Times New Roman" w:hAnsi="Times New Roman" w:cs="Times New Roman"/>
          <w:smallCaps/>
        </w:rPr>
        <w:t>A. Santorio</w:t>
      </w:r>
      <w:r w:rsidRPr="003D0E2C">
        <w:rPr>
          <w:rFonts w:ascii="Times New Roman" w:hAnsi="Times New Roman" w:cs="Times New Roman"/>
        </w:rPr>
        <w:t xml:space="preserve">, </w:t>
      </w:r>
      <w:r w:rsidRPr="003D0E2C">
        <w:rPr>
          <w:rFonts w:ascii="Times New Roman" w:hAnsi="Times New Roman" w:cs="Times New Roman"/>
          <w:i/>
        </w:rPr>
        <w:t>Pellegrino Prisciani e la pratica teatrale alla corte d’Este di Ferrara</w:t>
      </w:r>
      <w:r w:rsidRPr="003D0E2C">
        <w:rPr>
          <w:rFonts w:ascii="Times New Roman" w:hAnsi="Times New Roman" w:cs="Times New Roman"/>
        </w:rPr>
        <w:t>, «Engramma», rivista online, LXXXV, novembre 2010, http://www.engramma.it/eOS/index.php?id_articolo=578, ultima visita, 21/12/2018.</w:t>
      </w:r>
    </w:p>
    <w:p w14:paraId="7F648A61" w14:textId="77777777" w:rsidR="00796A9D" w:rsidRDefault="00796A9D" w:rsidP="00796A9D">
      <w:pPr>
        <w:spacing w:after="0"/>
        <w:jc w:val="both"/>
        <w:rPr>
          <w:rFonts w:ascii="Times New Roman" w:hAnsi="Times New Roman" w:cs="Times New Roman"/>
          <w:sz w:val="24"/>
          <w:szCs w:val="24"/>
        </w:rPr>
      </w:pPr>
    </w:p>
    <w:p w14:paraId="4F1D95C9"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M. </w:t>
      </w:r>
      <w:r w:rsidRPr="00BA2DBB">
        <w:rPr>
          <w:rFonts w:ascii="Times New Roman" w:hAnsi="Times New Roman" w:cs="Times New Roman"/>
          <w:smallCaps/>
          <w:sz w:val="24"/>
          <w:szCs w:val="24"/>
        </w:rPr>
        <w:t>Santoro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stampa a Napoli nel Quattrocento</w:t>
      </w:r>
      <w:r w:rsidRPr="00BA2DBB">
        <w:rPr>
          <w:rFonts w:ascii="Times New Roman" w:hAnsi="Times New Roman" w:cs="Times New Roman"/>
          <w:sz w:val="24"/>
          <w:szCs w:val="24"/>
        </w:rPr>
        <w:t>, Napoli, Istituto Nazionale di Studi sul Rinascimento Meridionale, 1984.</w:t>
      </w:r>
    </w:p>
    <w:p w14:paraId="3D082540" w14:textId="77777777" w:rsidR="00796A9D" w:rsidRDefault="00796A9D" w:rsidP="00796A9D">
      <w:pPr>
        <w:spacing w:after="0"/>
        <w:jc w:val="both"/>
        <w:rPr>
          <w:rFonts w:ascii="Times New Roman" w:hAnsi="Times New Roman" w:cs="Times New Roman"/>
          <w:sz w:val="24"/>
          <w:szCs w:val="24"/>
        </w:rPr>
      </w:pPr>
    </w:p>
    <w:p w14:paraId="7C89CAEF"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M. </w:t>
      </w:r>
      <w:r w:rsidRPr="00BA2DBB">
        <w:rPr>
          <w:rFonts w:ascii="Times New Roman" w:hAnsi="Times New Roman" w:cs="Times New Roman"/>
          <w:smallCaps/>
          <w:sz w:val="24"/>
          <w:szCs w:val="24"/>
        </w:rPr>
        <w:t>Santoro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Stampa e cultura: il contributo aragonese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carte aragonesi</w:t>
      </w:r>
      <w:r w:rsidRPr="00BA2DBB">
        <w:rPr>
          <w:rFonts w:ascii="Times New Roman" w:hAnsi="Times New Roman" w:cs="Times New Roman"/>
          <w:sz w:val="24"/>
          <w:szCs w:val="24"/>
        </w:rPr>
        <w:t xml:space="preserve">. Atti del convegno (Rovello, 3-4 ottobre 2002), a cura di </w:t>
      </w:r>
      <w:r w:rsidRPr="00BA2DBB">
        <w:rPr>
          <w:rFonts w:ascii="Times New Roman" w:hAnsi="Times New Roman" w:cs="Times New Roman"/>
          <w:smallCaps/>
          <w:sz w:val="24"/>
          <w:szCs w:val="24"/>
        </w:rPr>
        <w:t>Idem</w:t>
      </w:r>
      <w:r w:rsidRPr="00BA2DBB">
        <w:rPr>
          <w:rFonts w:ascii="Times New Roman" w:hAnsi="Times New Roman" w:cs="Times New Roman"/>
          <w:sz w:val="24"/>
          <w:szCs w:val="24"/>
        </w:rPr>
        <w:t xml:space="preserve">, Pisa, Istituti editoriali e poligrafici internazionali, 2004, pp. 191-206. </w:t>
      </w:r>
    </w:p>
    <w:p w14:paraId="4D3B25FD" w14:textId="77777777" w:rsidR="00796A9D" w:rsidRDefault="00796A9D" w:rsidP="00796A9D">
      <w:pPr>
        <w:spacing w:after="0"/>
        <w:jc w:val="both"/>
        <w:rPr>
          <w:rFonts w:ascii="Times New Roman" w:hAnsi="Times New Roman" w:cs="Times New Roman"/>
          <w:sz w:val="24"/>
          <w:szCs w:val="24"/>
        </w:rPr>
      </w:pPr>
    </w:p>
    <w:p w14:paraId="712D3BCA" w14:textId="77777777" w:rsidR="00796A9D" w:rsidRDefault="00796A9D" w:rsidP="00796A9D">
      <w:pPr>
        <w:spacing w:after="0"/>
        <w:jc w:val="both"/>
        <w:rPr>
          <w:rFonts w:ascii="Times New Roman" w:hAnsi="Times New Roman" w:cs="Times New Roman"/>
          <w:sz w:val="24"/>
          <w:szCs w:val="24"/>
        </w:rPr>
      </w:pPr>
      <w:r w:rsidRPr="00B23FE2">
        <w:rPr>
          <w:rFonts w:ascii="Times New Roman" w:hAnsi="Times New Roman" w:cs="Times New Roman"/>
          <w:smallCaps/>
          <w:sz w:val="24"/>
          <w:szCs w:val="24"/>
        </w:rPr>
        <w:t>P. Sanvito</w:t>
      </w:r>
      <w:r w:rsidRPr="00B23FE2">
        <w:rPr>
          <w:rFonts w:ascii="Times New Roman" w:hAnsi="Times New Roman" w:cs="Times New Roman"/>
          <w:sz w:val="24"/>
          <w:szCs w:val="24"/>
        </w:rPr>
        <w:t xml:space="preserve">, </w:t>
      </w:r>
      <w:r w:rsidRPr="00B23FE2">
        <w:rPr>
          <w:rFonts w:ascii="Times New Roman" w:hAnsi="Times New Roman" w:cs="Times New Roman"/>
          <w:i/>
          <w:sz w:val="24"/>
          <w:szCs w:val="24"/>
        </w:rPr>
        <w:t>Il tardogotico del Duomo di Milano. Architettura e decorazione intorno all’anno 1400</w:t>
      </w:r>
      <w:r w:rsidRPr="00B23FE2">
        <w:rPr>
          <w:rFonts w:ascii="Times New Roman" w:hAnsi="Times New Roman" w:cs="Times New Roman"/>
          <w:sz w:val="24"/>
          <w:szCs w:val="24"/>
        </w:rPr>
        <w:t>, Münster, LIT Verlag, 2002.</w:t>
      </w:r>
    </w:p>
    <w:p w14:paraId="6F5BAF43" w14:textId="77777777" w:rsidR="00796A9D" w:rsidRDefault="00796A9D" w:rsidP="00796A9D">
      <w:pPr>
        <w:spacing w:after="0"/>
        <w:jc w:val="both"/>
        <w:rPr>
          <w:rFonts w:ascii="Times New Roman" w:hAnsi="Times New Roman" w:cs="Times New Roman"/>
          <w:sz w:val="24"/>
          <w:szCs w:val="24"/>
        </w:rPr>
      </w:pPr>
    </w:p>
    <w:p w14:paraId="2B5F9959" w14:textId="77777777" w:rsidR="00796A9D" w:rsidRPr="003C5D2A" w:rsidRDefault="00796A9D" w:rsidP="00796A9D">
      <w:pPr>
        <w:spacing w:after="0"/>
        <w:jc w:val="both"/>
        <w:rPr>
          <w:rFonts w:ascii="Times New Roman" w:hAnsi="Times New Roman" w:cs="Times New Roman"/>
          <w:sz w:val="24"/>
          <w:szCs w:val="24"/>
        </w:rPr>
      </w:pPr>
      <w:r w:rsidRPr="003C5D2A">
        <w:rPr>
          <w:rFonts w:ascii="Times New Roman" w:hAnsi="Times New Roman" w:cs="Times New Roman"/>
          <w:smallCaps/>
          <w:sz w:val="24"/>
          <w:szCs w:val="24"/>
        </w:rPr>
        <w:t>J. Sasportes</w:t>
      </w:r>
      <w:r w:rsidRPr="003C5D2A">
        <w:rPr>
          <w:rFonts w:ascii="Times New Roman" w:hAnsi="Times New Roman" w:cs="Times New Roman"/>
          <w:sz w:val="24"/>
          <w:szCs w:val="24"/>
        </w:rPr>
        <w:t xml:space="preserve">, </w:t>
      </w:r>
      <w:r w:rsidRPr="003C5D2A">
        <w:rPr>
          <w:rFonts w:ascii="Times New Roman" w:hAnsi="Times New Roman" w:cs="Times New Roman"/>
          <w:i/>
          <w:sz w:val="24"/>
          <w:szCs w:val="24"/>
        </w:rPr>
        <w:t>Storia della danza italiana dalle origini ai giorni nostri</w:t>
      </w:r>
      <w:r w:rsidRPr="003C5D2A">
        <w:rPr>
          <w:rFonts w:ascii="Times New Roman" w:hAnsi="Times New Roman" w:cs="Times New Roman"/>
          <w:sz w:val="24"/>
          <w:szCs w:val="24"/>
        </w:rPr>
        <w:t>, Torino, EDT, 2011.</w:t>
      </w:r>
    </w:p>
    <w:p w14:paraId="0D8AB67D" w14:textId="77777777" w:rsidR="00796A9D" w:rsidRDefault="00796A9D" w:rsidP="00796A9D">
      <w:pPr>
        <w:spacing w:after="0"/>
        <w:jc w:val="both"/>
        <w:rPr>
          <w:rFonts w:ascii="Times New Roman" w:hAnsi="Times New Roman" w:cs="Times New Roman"/>
          <w:sz w:val="24"/>
          <w:szCs w:val="24"/>
        </w:rPr>
      </w:pPr>
    </w:p>
    <w:p w14:paraId="1D879402" w14:textId="77777777" w:rsidR="00796A9D" w:rsidRPr="00DA2A3C" w:rsidRDefault="00796A9D" w:rsidP="00796A9D">
      <w:pPr>
        <w:pStyle w:val="Testonotaapidipagina"/>
        <w:jc w:val="both"/>
        <w:rPr>
          <w:rFonts w:ascii="Times New Roman" w:hAnsi="Times New Roman" w:cs="Times New Roman"/>
          <w:sz w:val="24"/>
          <w:szCs w:val="24"/>
        </w:rPr>
      </w:pPr>
      <w:r w:rsidRPr="00DA2A3C">
        <w:rPr>
          <w:rFonts w:ascii="Times New Roman" w:hAnsi="Times New Roman" w:cs="Times New Roman"/>
          <w:smallCaps/>
          <w:sz w:val="24"/>
          <w:szCs w:val="24"/>
        </w:rPr>
        <w:t>A. Saviotti</w:t>
      </w:r>
      <w:r w:rsidRPr="00DA2A3C">
        <w:rPr>
          <w:rFonts w:ascii="Times New Roman" w:hAnsi="Times New Roman" w:cs="Times New Roman"/>
          <w:sz w:val="24"/>
          <w:szCs w:val="24"/>
        </w:rPr>
        <w:t xml:space="preserve">, </w:t>
      </w:r>
      <w:r w:rsidRPr="00DA2A3C">
        <w:rPr>
          <w:rFonts w:ascii="Times New Roman" w:hAnsi="Times New Roman" w:cs="Times New Roman"/>
          <w:i/>
          <w:sz w:val="24"/>
          <w:szCs w:val="24"/>
        </w:rPr>
        <w:t>Una rappresentazione allegorica in Urbino nel 1474</w:t>
      </w:r>
      <w:r w:rsidRPr="00DA2A3C">
        <w:rPr>
          <w:rFonts w:ascii="Times New Roman" w:hAnsi="Times New Roman" w:cs="Times New Roman"/>
          <w:sz w:val="24"/>
          <w:szCs w:val="24"/>
        </w:rPr>
        <w:t>, «Atti e Memorie della Real Accademica Petrarca di Scienze, Lettere ed Arti in Arezzo», I, 1920, pp. 180-236.</w:t>
      </w:r>
    </w:p>
    <w:p w14:paraId="7545C5D9" w14:textId="77777777" w:rsidR="00796A9D" w:rsidRDefault="00796A9D" w:rsidP="00796A9D">
      <w:pPr>
        <w:spacing w:after="0"/>
        <w:jc w:val="both"/>
        <w:rPr>
          <w:rFonts w:ascii="Times New Roman" w:hAnsi="Times New Roman" w:cs="Times New Roman"/>
          <w:sz w:val="24"/>
          <w:szCs w:val="24"/>
        </w:rPr>
      </w:pPr>
    </w:p>
    <w:p w14:paraId="10C40DB8" w14:textId="77777777" w:rsidR="00796A9D" w:rsidRPr="00DA32EB" w:rsidRDefault="00796A9D" w:rsidP="00796A9D">
      <w:pPr>
        <w:spacing w:after="0"/>
        <w:jc w:val="both"/>
        <w:rPr>
          <w:rFonts w:ascii="Times New Roman" w:hAnsi="Times New Roman" w:cs="Times New Roman"/>
          <w:sz w:val="24"/>
          <w:szCs w:val="24"/>
        </w:rPr>
      </w:pPr>
      <w:r w:rsidRPr="00DA32EB">
        <w:rPr>
          <w:rFonts w:ascii="Times New Roman" w:hAnsi="Times New Roman" w:cs="Times New Roman"/>
          <w:smallCaps/>
          <w:sz w:val="24"/>
          <w:szCs w:val="24"/>
        </w:rPr>
        <w:t>M. Scalini</w:t>
      </w:r>
      <w:r w:rsidRPr="00DA32EB">
        <w:rPr>
          <w:rFonts w:ascii="Times New Roman" w:hAnsi="Times New Roman" w:cs="Times New Roman"/>
          <w:sz w:val="24"/>
          <w:szCs w:val="24"/>
        </w:rPr>
        <w:t xml:space="preserve">, </w:t>
      </w:r>
      <w:r w:rsidRPr="00DA32EB">
        <w:rPr>
          <w:rFonts w:ascii="Times New Roman" w:hAnsi="Times New Roman" w:cs="Times New Roman"/>
          <w:i/>
          <w:sz w:val="24"/>
          <w:szCs w:val="24"/>
        </w:rPr>
        <w:t>Francia orafo, zecchiere e medaglista. Ipotesi e confronti</w:t>
      </w:r>
      <w:r w:rsidRPr="00DA32EB">
        <w:rPr>
          <w:rFonts w:ascii="Times New Roman" w:hAnsi="Times New Roman" w:cs="Times New Roman"/>
          <w:sz w:val="24"/>
          <w:szCs w:val="24"/>
        </w:rPr>
        <w:t xml:space="preserve">, in </w:t>
      </w:r>
      <w:r w:rsidRPr="00DA32EB">
        <w:rPr>
          <w:rFonts w:ascii="Times New Roman" w:hAnsi="Times New Roman" w:cs="Times New Roman"/>
          <w:i/>
          <w:sz w:val="24"/>
          <w:szCs w:val="24"/>
        </w:rPr>
        <w:t>Il genio di Francesco Francia. Un orafo pittore nella Bologna del Rinascimento</w:t>
      </w:r>
      <w:r w:rsidRPr="00DA32EB">
        <w:rPr>
          <w:rFonts w:ascii="Times New Roman" w:hAnsi="Times New Roman" w:cs="Times New Roman"/>
          <w:sz w:val="24"/>
          <w:szCs w:val="24"/>
        </w:rPr>
        <w:t>, Venezia, Marsilio, 2018.</w:t>
      </w:r>
    </w:p>
    <w:p w14:paraId="4C4F174C" w14:textId="77777777" w:rsidR="00796A9D" w:rsidRPr="00DA32EB" w:rsidRDefault="00796A9D" w:rsidP="00796A9D">
      <w:pPr>
        <w:spacing w:after="0"/>
        <w:jc w:val="both"/>
        <w:rPr>
          <w:rFonts w:ascii="Times New Roman" w:hAnsi="Times New Roman" w:cs="Times New Roman"/>
          <w:sz w:val="24"/>
          <w:szCs w:val="24"/>
        </w:rPr>
      </w:pPr>
    </w:p>
    <w:p w14:paraId="113D9514"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P. Scarcia Piacentini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Ricerche sugli antichi inventari della Biblioteca Vaticana: i codici di lavoro di Sisto IV</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Un pontificato ed una città: Sisto IV</w:t>
      </w:r>
      <w:r w:rsidRPr="00BA2DBB">
        <w:rPr>
          <w:rFonts w:ascii="Times New Roman" w:hAnsi="Times New Roman" w:cs="Times New Roman"/>
          <w:sz w:val="24"/>
          <w:szCs w:val="24"/>
        </w:rPr>
        <w:t xml:space="preserve">. Atti del Convegno (Roma 3-7 dicembre 1984), a cura di </w:t>
      </w:r>
      <w:r w:rsidRPr="00BA2DBB">
        <w:rPr>
          <w:rFonts w:ascii="Times New Roman" w:hAnsi="Times New Roman" w:cs="Times New Roman"/>
          <w:smallCaps/>
          <w:sz w:val="24"/>
          <w:szCs w:val="24"/>
        </w:rPr>
        <w:t>M. Miglio</w:t>
      </w:r>
      <w:r w:rsidRPr="00BA2DBB">
        <w:rPr>
          <w:rFonts w:ascii="Times New Roman" w:hAnsi="Times New Roman" w:cs="Times New Roman"/>
          <w:sz w:val="24"/>
          <w:szCs w:val="24"/>
        </w:rPr>
        <w:t>, Città del Vaticano, 1999, pp. 116-177.</w:t>
      </w:r>
    </w:p>
    <w:p w14:paraId="028CEB46" w14:textId="77777777" w:rsidR="00796A9D" w:rsidRPr="00BA2DBB" w:rsidRDefault="00796A9D" w:rsidP="00796A9D">
      <w:pPr>
        <w:pStyle w:val="Testonotaapidipagina"/>
        <w:jc w:val="both"/>
        <w:rPr>
          <w:rFonts w:ascii="Times New Roman" w:hAnsi="Times New Roman" w:cs="Times New Roman"/>
          <w:sz w:val="24"/>
          <w:szCs w:val="24"/>
        </w:rPr>
      </w:pPr>
    </w:p>
    <w:p w14:paraId="732A8916"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E. Scarton</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congiura dei baroni del 1485-1487 e la sorte dei ribelli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Poteri, relazioni, guerra nel regno di Ferrante d'Aragona. Studi sulle corrispondenze diplomatiche,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F. Senatore, F. Storti</w:t>
      </w:r>
      <w:r w:rsidRPr="00BA2DBB">
        <w:rPr>
          <w:rFonts w:ascii="Times New Roman" w:hAnsi="Times New Roman" w:cs="Times New Roman"/>
          <w:sz w:val="24"/>
          <w:szCs w:val="24"/>
        </w:rPr>
        <w:t>, Napoli, Cliopress, 2011, pp. 213-290.</w:t>
      </w:r>
    </w:p>
    <w:p w14:paraId="41D9F4B9" w14:textId="77777777" w:rsidR="00796A9D" w:rsidRPr="00BA2DBB" w:rsidRDefault="00796A9D" w:rsidP="00796A9D">
      <w:pPr>
        <w:pStyle w:val="Testonotaapidipagina"/>
        <w:jc w:val="both"/>
        <w:rPr>
          <w:rFonts w:ascii="Times New Roman" w:hAnsi="Times New Roman" w:cs="Times New Roman"/>
          <w:sz w:val="24"/>
          <w:szCs w:val="24"/>
        </w:rPr>
      </w:pPr>
    </w:p>
    <w:p w14:paraId="618E44FB"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P. Schandel</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 xml:space="preserve">Les images de dédicace à la cour de Bourgogne, </w:t>
      </w:r>
      <w:r w:rsidRPr="00BA2DBB">
        <w:rPr>
          <w:rFonts w:ascii="Times New Roman" w:hAnsi="Times New Roman" w:cs="Times New Roman"/>
          <w:sz w:val="24"/>
          <w:szCs w:val="24"/>
        </w:rPr>
        <w:t>in</w:t>
      </w:r>
      <w:r w:rsidRPr="00BA2DBB">
        <w:rPr>
          <w:rFonts w:ascii="Times New Roman" w:hAnsi="Times New Roman" w:cs="Times New Roman"/>
          <w:i/>
          <w:sz w:val="24"/>
          <w:szCs w:val="24"/>
        </w:rPr>
        <w:t xml:space="preserve"> Miniatures flamandes 1404-1482</w:t>
      </w:r>
      <w:r w:rsidRPr="00BA2DBB">
        <w:rPr>
          <w:rFonts w:ascii="Times New Roman" w:hAnsi="Times New Roman" w:cs="Times New Roman"/>
          <w:sz w:val="24"/>
          <w:szCs w:val="24"/>
        </w:rPr>
        <w:t xml:space="preserve">, sous la direction de </w:t>
      </w:r>
      <w:r w:rsidRPr="00BA2DBB">
        <w:rPr>
          <w:rFonts w:ascii="Times New Roman" w:hAnsi="Times New Roman" w:cs="Times New Roman"/>
          <w:smallCaps/>
          <w:sz w:val="24"/>
          <w:szCs w:val="24"/>
        </w:rPr>
        <w:t>B. Bousmanne, T. Delcourt</w:t>
      </w:r>
      <w:r w:rsidRPr="00BA2DBB">
        <w:rPr>
          <w:rFonts w:ascii="Times New Roman" w:hAnsi="Times New Roman" w:cs="Times New Roman"/>
          <w:sz w:val="24"/>
          <w:szCs w:val="24"/>
        </w:rPr>
        <w:t>, Paris, Bibliothèque Nationale de France/Bibliotèque royale de Belgique, 2011, pp. 66-80.</w:t>
      </w:r>
    </w:p>
    <w:p w14:paraId="29F940FA" w14:textId="77777777" w:rsidR="00796A9D" w:rsidRDefault="00796A9D" w:rsidP="00796A9D">
      <w:pPr>
        <w:pStyle w:val="Testonotaapidipagina"/>
        <w:jc w:val="both"/>
        <w:rPr>
          <w:rFonts w:ascii="Times New Roman" w:hAnsi="Times New Roman" w:cs="Times New Roman"/>
          <w:smallCaps/>
          <w:sz w:val="24"/>
          <w:szCs w:val="24"/>
        </w:rPr>
      </w:pPr>
    </w:p>
    <w:p w14:paraId="5A3E90F5"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P. Schandel,</w:t>
      </w:r>
      <w:r w:rsidRPr="00BA2DBB">
        <w:rPr>
          <w:rFonts w:ascii="Times New Roman" w:hAnsi="Times New Roman" w:cs="Times New Roman"/>
          <w:i/>
          <w:sz w:val="24"/>
          <w:szCs w:val="24"/>
        </w:rPr>
        <w:t xml:space="preserve"> Il libro d’ore di Vienna</w:t>
      </w:r>
      <w:r w:rsidRPr="00BA2DBB">
        <w:rPr>
          <w:rFonts w:ascii="Times New Roman" w:hAnsi="Times New Roman" w:cs="Times New Roman"/>
          <w:sz w:val="24"/>
          <w:szCs w:val="24"/>
        </w:rPr>
        <w:t xml:space="preserve">, «FMR», </w:t>
      </w:r>
      <w:r>
        <w:rPr>
          <w:rStyle w:val="Enfasicorsivo"/>
          <w:rFonts w:ascii="Times New Roman" w:eastAsia="SimSun" w:hAnsi="Times New Roman" w:cs="Times New Roman"/>
          <w:sz w:val="24"/>
          <w:szCs w:val="24"/>
        </w:rPr>
        <w:t>IX</w:t>
      </w:r>
      <w:r w:rsidRPr="00193A4B">
        <w:rPr>
          <w:rStyle w:val="Enfasicorsivo"/>
          <w:rFonts w:ascii="Times New Roman" w:eastAsia="SimSun" w:hAnsi="Times New Roman" w:cs="Times New Roman"/>
          <w:sz w:val="24"/>
          <w:szCs w:val="24"/>
        </w:rPr>
        <w:t>, 2005,</w:t>
      </w:r>
      <w:r w:rsidRPr="00BA2DBB">
        <w:rPr>
          <w:rStyle w:val="Enfasicorsivo"/>
          <w:rFonts w:ascii="Times New Roman" w:eastAsia="SimSun" w:hAnsi="Times New Roman" w:cs="Times New Roman"/>
          <w:sz w:val="24"/>
          <w:szCs w:val="24"/>
        </w:rPr>
        <w:t xml:space="preserve"> </w:t>
      </w:r>
      <w:r w:rsidRPr="00BA2DBB">
        <w:rPr>
          <w:rFonts w:ascii="Times New Roman" w:hAnsi="Times New Roman" w:cs="Times New Roman"/>
          <w:sz w:val="24"/>
          <w:szCs w:val="24"/>
        </w:rPr>
        <w:t>pp. 25-40.</w:t>
      </w:r>
    </w:p>
    <w:p w14:paraId="2D4BF48D" w14:textId="77777777" w:rsidR="00796A9D" w:rsidRDefault="00796A9D" w:rsidP="00796A9D">
      <w:pPr>
        <w:pStyle w:val="Testonotaapidipagina"/>
        <w:jc w:val="both"/>
        <w:rPr>
          <w:rFonts w:ascii="Times New Roman" w:hAnsi="Times New Roman" w:cs="Times New Roman"/>
          <w:sz w:val="24"/>
          <w:szCs w:val="24"/>
        </w:rPr>
      </w:pPr>
    </w:p>
    <w:p w14:paraId="55F18E20" w14:textId="77777777" w:rsidR="00796A9D" w:rsidRPr="00495187" w:rsidRDefault="00796A9D" w:rsidP="00796A9D">
      <w:pPr>
        <w:pStyle w:val="Testonotaapidipagina"/>
        <w:jc w:val="both"/>
        <w:rPr>
          <w:rFonts w:ascii="Times New Roman" w:hAnsi="Times New Roman" w:cs="Times New Roman"/>
          <w:sz w:val="24"/>
          <w:szCs w:val="24"/>
        </w:rPr>
      </w:pPr>
      <w:r w:rsidRPr="00495187">
        <w:rPr>
          <w:rFonts w:ascii="Times New Roman" w:hAnsi="Times New Roman" w:cs="Times New Roman"/>
          <w:smallCaps/>
          <w:sz w:val="24"/>
          <w:szCs w:val="24"/>
        </w:rPr>
        <w:t>B. Schirg, P. Gwynne</w:t>
      </w:r>
      <w:r w:rsidRPr="00495187">
        <w:rPr>
          <w:rFonts w:ascii="Times New Roman" w:hAnsi="Times New Roman" w:cs="Times New Roman"/>
          <w:sz w:val="24"/>
          <w:szCs w:val="24"/>
        </w:rPr>
        <w:t xml:space="preserve">, </w:t>
      </w:r>
      <w:r w:rsidRPr="00495187">
        <w:rPr>
          <w:rFonts w:ascii="Times New Roman" w:hAnsi="Times New Roman" w:cs="Times New Roman"/>
          <w:i/>
          <w:sz w:val="24"/>
          <w:szCs w:val="24"/>
        </w:rPr>
        <w:t xml:space="preserve">The Economics of Poetry. </w:t>
      </w:r>
      <w:r w:rsidRPr="00495187">
        <w:rPr>
          <w:rFonts w:ascii="Times New Roman" w:hAnsi="Times New Roman" w:cs="Times New Roman"/>
          <w:i/>
          <w:sz w:val="24"/>
          <w:szCs w:val="24"/>
          <w:lang w:val="en-US"/>
        </w:rPr>
        <w:t>Fast Production as a Crucial Skill in Neo-Latin Encomiastic Poetry</w:t>
      </w:r>
      <w:r w:rsidRPr="00495187">
        <w:rPr>
          <w:rFonts w:ascii="Times New Roman" w:hAnsi="Times New Roman" w:cs="Times New Roman"/>
          <w:sz w:val="24"/>
          <w:szCs w:val="24"/>
          <w:lang w:val="en-US"/>
        </w:rPr>
        <w:t>, «Studi rinascimentali», XIII, 2015, pp. 11-32.</w:t>
      </w:r>
    </w:p>
    <w:p w14:paraId="2EE657B7" w14:textId="77777777" w:rsidR="00796A9D" w:rsidRDefault="00796A9D" w:rsidP="00796A9D">
      <w:pPr>
        <w:pStyle w:val="Testonotaapidipagina"/>
        <w:jc w:val="both"/>
        <w:rPr>
          <w:rFonts w:ascii="Times New Roman" w:hAnsi="Times New Roman" w:cs="Times New Roman"/>
          <w:sz w:val="24"/>
          <w:szCs w:val="24"/>
        </w:rPr>
      </w:pPr>
    </w:p>
    <w:p w14:paraId="55BFC525" w14:textId="77777777" w:rsidR="00796A9D" w:rsidRDefault="00796A9D" w:rsidP="00796A9D">
      <w:pPr>
        <w:pStyle w:val="Testonotaapidipagina"/>
        <w:jc w:val="both"/>
        <w:rPr>
          <w:rFonts w:ascii="Times New Roman" w:hAnsi="Times New Roman" w:cs="Times New Roman"/>
          <w:smallCaps/>
          <w:sz w:val="24"/>
          <w:szCs w:val="24"/>
        </w:rPr>
      </w:pPr>
      <w:r w:rsidRPr="007E3F64">
        <w:rPr>
          <w:rFonts w:ascii="Times New Roman" w:hAnsi="Times New Roman" w:cs="Times New Roman"/>
          <w:smallCaps/>
          <w:sz w:val="24"/>
          <w:szCs w:val="24"/>
        </w:rPr>
        <w:t>R.</w:t>
      </w:r>
      <w:r>
        <w:rPr>
          <w:rFonts w:ascii="Times New Roman" w:hAnsi="Times New Roman" w:cs="Times New Roman"/>
          <w:smallCaps/>
          <w:sz w:val="24"/>
          <w:szCs w:val="24"/>
        </w:rPr>
        <w:t>V.</w:t>
      </w:r>
      <w:r w:rsidRPr="007E3F64">
        <w:rPr>
          <w:rFonts w:ascii="Times New Roman" w:hAnsi="Times New Roman" w:cs="Times New Roman"/>
          <w:smallCaps/>
          <w:sz w:val="24"/>
          <w:szCs w:val="24"/>
        </w:rPr>
        <w:t xml:space="preserve"> Schofield</w:t>
      </w:r>
      <w:r w:rsidRPr="007E3F64">
        <w:rPr>
          <w:rFonts w:ascii="Times New Roman" w:hAnsi="Times New Roman" w:cs="Times New Roman"/>
          <w:sz w:val="24"/>
          <w:szCs w:val="24"/>
        </w:rPr>
        <w:t xml:space="preserve">, </w:t>
      </w:r>
      <w:r w:rsidRPr="007E3F64">
        <w:rPr>
          <w:rFonts w:ascii="Times New Roman" w:hAnsi="Times New Roman" w:cs="Times New Roman"/>
          <w:i/>
          <w:iCs/>
          <w:sz w:val="24"/>
          <w:szCs w:val="24"/>
        </w:rPr>
        <w:t>Giovanni da Tolentino goes to Rome: a Description of the Antiquities of Rome in 1490</w:t>
      </w:r>
      <w:r w:rsidRPr="007E3F64">
        <w:rPr>
          <w:rFonts w:ascii="Times New Roman" w:hAnsi="Times New Roman" w:cs="Times New Roman"/>
          <w:sz w:val="24"/>
          <w:szCs w:val="24"/>
        </w:rPr>
        <w:t>, «Journal of the Warburg and Courtauld Institute», XLIII</w:t>
      </w:r>
      <w:r>
        <w:rPr>
          <w:rFonts w:ascii="Times New Roman" w:hAnsi="Times New Roman" w:cs="Times New Roman"/>
          <w:sz w:val="24"/>
          <w:szCs w:val="24"/>
        </w:rPr>
        <w:t xml:space="preserve">, </w:t>
      </w:r>
      <w:r w:rsidRPr="007E3F64">
        <w:rPr>
          <w:rFonts w:ascii="Times New Roman" w:hAnsi="Times New Roman" w:cs="Times New Roman"/>
          <w:sz w:val="24"/>
          <w:szCs w:val="24"/>
        </w:rPr>
        <w:t>1980, pp. 246-256.</w:t>
      </w:r>
      <w:r w:rsidRPr="00032D39">
        <w:rPr>
          <w:rFonts w:ascii="Times New Roman" w:hAnsi="Times New Roman" w:cs="Times New Roman"/>
          <w:smallCaps/>
          <w:sz w:val="24"/>
          <w:szCs w:val="24"/>
        </w:rPr>
        <w:t xml:space="preserve"> </w:t>
      </w:r>
    </w:p>
    <w:p w14:paraId="38FB0917" w14:textId="77777777" w:rsidR="00796A9D" w:rsidRDefault="00796A9D" w:rsidP="00796A9D">
      <w:pPr>
        <w:pStyle w:val="Testonotaapidipagina"/>
        <w:jc w:val="both"/>
        <w:rPr>
          <w:rFonts w:ascii="Times New Roman" w:hAnsi="Times New Roman" w:cs="Times New Roman"/>
          <w:smallCaps/>
          <w:sz w:val="24"/>
          <w:szCs w:val="24"/>
        </w:rPr>
      </w:pPr>
    </w:p>
    <w:p w14:paraId="1198795F" w14:textId="77777777" w:rsidR="00796A9D" w:rsidRPr="007875B4" w:rsidRDefault="00796A9D" w:rsidP="00796A9D">
      <w:pPr>
        <w:pStyle w:val="Testonotaapidipagina"/>
        <w:jc w:val="both"/>
        <w:rPr>
          <w:rFonts w:ascii="Times New Roman" w:hAnsi="Times New Roman" w:cs="Times New Roman"/>
          <w:sz w:val="24"/>
          <w:szCs w:val="24"/>
        </w:rPr>
      </w:pPr>
      <w:r w:rsidRPr="007875B4">
        <w:rPr>
          <w:rFonts w:ascii="Times New Roman" w:hAnsi="Times New Roman" w:cs="Times New Roman"/>
          <w:smallCaps/>
          <w:sz w:val="24"/>
          <w:szCs w:val="24"/>
        </w:rPr>
        <w:t>R.V. Schofield</w:t>
      </w:r>
      <w:r w:rsidRPr="007875B4">
        <w:rPr>
          <w:rFonts w:ascii="Times New Roman" w:hAnsi="Times New Roman" w:cs="Times New Roman"/>
          <w:sz w:val="24"/>
          <w:szCs w:val="24"/>
        </w:rPr>
        <w:t xml:space="preserve">, </w:t>
      </w:r>
      <w:r w:rsidRPr="007875B4">
        <w:rPr>
          <w:rFonts w:ascii="Times New Roman" w:hAnsi="Times New Roman" w:cs="Times New Roman"/>
          <w:i/>
          <w:sz w:val="24"/>
          <w:szCs w:val="24"/>
        </w:rPr>
        <w:t>A Humanistic Description of the Architecture for the Wedding of Gian Galeazzo Sforza and Isabella D’Aragona</w:t>
      </w:r>
      <w:r w:rsidRPr="007875B4">
        <w:rPr>
          <w:rFonts w:ascii="Times New Roman" w:hAnsi="Times New Roman" w:cs="Times New Roman"/>
          <w:sz w:val="24"/>
          <w:szCs w:val="24"/>
        </w:rPr>
        <w:t>, «Papers of the British School at Rome», LVI, 1988, pp. 213-240.</w:t>
      </w:r>
    </w:p>
    <w:p w14:paraId="2174E5F7" w14:textId="77777777" w:rsidR="00796A9D" w:rsidRDefault="00796A9D" w:rsidP="00796A9D">
      <w:pPr>
        <w:pStyle w:val="Testonotaapidipagina"/>
        <w:jc w:val="both"/>
        <w:rPr>
          <w:rFonts w:ascii="Times New Roman" w:hAnsi="Times New Roman" w:cs="Times New Roman"/>
          <w:sz w:val="24"/>
          <w:szCs w:val="24"/>
        </w:rPr>
      </w:pPr>
    </w:p>
    <w:p w14:paraId="1CA6EDE7" w14:textId="77777777" w:rsidR="00796A9D" w:rsidRPr="00F328B6" w:rsidRDefault="00796A9D" w:rsidP="00796A9D">
      <w:pPr>
        <w:pStyle w:val="Testonotaapidipagina"/>
        <w:jc w:val="both"/>
        <w:rPr>
          <w:rFonts w:ascii="Times New Roman" w:hAnsi="Times New Roman" w:cs="Times New Roman"/>
          <w:sz w:val="24"/>
          <w:szCs w:val="24"/>
        </w:rPr>
      </w:pPr>
      <w:r w:rsidRPr="00F328B6">
        <w:rPr>
          <w:rFonts w:ascii="Times New Roman" w:hAnsi="Times New Roman" w:cs="Times New Roman"/>
          <w:sz w:val="24"/>
          <w:szCs w:val="24"/>
        </w:rPr>
        <w:t xml:space="preserve">R.V. </w:t>
      </w:r>
      <w:r w:rsidRPr="00F328B6">
        <w:rPr>
          <w:rFonts w:ascii="Times New Roman" w:hAnsi="Times New Roman" w:cs="Times New Roman"/>
          <w:smallCaps/>
          <w:sz w:val="24"/>
          <w:szCs w:val="24"/>
        </w:rPr>
        <w:t>Schofield</w:t>
      </w:r>
      <w:r w:rsidRPr="00F328B6">
        <w:rPr>
          <w:rFonts w:ascii="Times New Roman" w:hAnsi="Times New Roman" w:cs="Times New Roman"/>
          <w:sz w:val="24"/>
          <w:szCs w:val="24"/>
        </w:rPr>
        <w:t xml:space="preserve">, </w:t>
      </w:r>
      <w:r w:rsidRPr="00F328B6">
        <w:rPr>
          <w:rFonts w:ascii="Times New Roman" w:hAnsi="Times New Roman" w:cs="Times New Roman"/>
          <w:i/>
          <w:sz w:val="24"/>
          <w:szCs w:val="24"/>
        </w:rPr>
        <w:t>Amadeo, Bramante, Leonardo and the Tiburio of Milan Cathedral</w:t>
      </w:r>
      <w:r w:rsidRPr="00F328B6">
        <w:rPr>
          <w:rFonts w:ascii="Times New Roman" w:hAnsi="Times New Roman" w:cs="Times New Roman"/>
          <w:sz w:val="24"/>
          <w:szCs w:val="24"/>
        </w:rPr>
        <w:t>, «Academia Leonardi Vinci», 2, 1989, pp. 82-84.</w:t>
      </w:r>
    </w:p>
    <w:p w14:paraId="4B018119" w14:textId="77777777" w:rsidR="00796A9D" w:rsidRDefault="00796A9D" w:rsidP="00796A9D">
      <w:pPr>
        <w:pStyle w:val="Testonotaapidipagina"/>
        <w:jc w:val="both"/>
        <w:rPr>
          <w:rFonts w:ascii="Times New Roman" w:hAnsi="Times New Roman" w:cs="Times New Roman"/>
          <w:sz w:val="24"/>
          <w:szCs w:val="24"/>
        </w:rPr>
      </w:pPr>
    </w:p>
    <w:p w14:paraId="13C26F2E" w14:textId="77777777" w:rsidR="00796A9D" w:rsidRPr="00032D39" w:rsidRDefault="00796A9D" w:rsidP="00796A9D">
      <w:pPr>
        <w:spacing w:after="0"/>
        <w:jc w:val="both"/>
        <w:rPr>
          <w:rFonts w:ascii="Times New Roman" w:hAnsi="Times New Roman" w:cs="Times New Roman"/>
          <w:sz w:val="24"/>
          <w:szCs w:val="24"/>
        </w:rPr>
      </w:pPr>
      <w:r w:rsidRPr="007875B4">
        <w:rPr>
          <w:rFonts w:ascii="Times New Roman" w:hAnsi="Times New Roman" w:cs="Times New Roman"/>
          <w:smallCaps/>
          <w:sz w:val="24"/>
          <w:szCs w:val="24"/>
        </w:rPr>
        <w:t>R.V. Schofield</w:t>
      </w:r>
      <w:r>
        <w:rPr>
          <w:rFonts w:ascii="Times New Roman" w:hAnsi="Times New Roman" w:cs="Times New Roman"/>
          <w:smallCaps/>
          <w:sz w:val="24"/>
          <w:szCs w:val="24"/>
        </w:rPr>
        <w:t>,</w:t>
      </w:r>
      <w:r w:rsidRPr="007C244E">
        <w:rPr>
          <w:rFonts w:ascii="Times New Roman" w:hAnsi="Times New Roman" w:cs="Times New Roman"/>
          <w:i/>
          <w:sz w:val="24"/>
          <w:szCs w:val="24"/>
        </w:rPr>
        <w:t xml:space="preserve"> L’architettura temporanea costruita per il matrimonio di Gian Galeazzo Sforza e Isabella d’Aragona</w:t>
      </w:r>
      <w:r w:rsidRPr="007C244E">
        <w:rPr>
          <w:rFonts w:ascii="Times New Roman" w:hAnsi="Times New Roman" w:cs="Times New Roman"/>
          <w:sz w:val="24"/>
          <w:szCs w:val="24"/>
        </w:rPr>
        <w:t>, «Quaderni dell’istituto di Storia dell’Architettura», 57-58, 2011-2012, pp. 77-84.</w:t>
      </w:r>
    </w:p>
    <w:p w14:paraId="252FFC0C" w14:textId="77777777" w:rsidR="00796A9D" w:rsidRPr="007C244E" w:rsidRDefault="00796A9D" w:rsidP="00796A9D">
      <w:pPr>
        <w:pStyle w:val="Testonotaapidipagina"/>
        <w:jc w:val="both"/>
        <w:rPr>
          <w:rFonts w:ascii="Times New Roman" w:hAnsi="Times New Roman" w:cs="Times New Roman"/>
          <w:sz w:val="24"/>
          <w:szCs w:val="24"/>
        </w:rPr>
      </w:pPr>
    </w:p>
    <w:p w14:paraId="3CE52503" w14:textId="77777777" w:rsidR="00796A9D" w:rsidRDefault="00796A9D" w:rsidP="00796A9D">
      <w:pPr>
        <w:pStyle w:val="Testonotaapidipagina"/>
        <w:jc w:val="both"/>
        <w:rPr>
          <w:rFonts w:ascii="Times New Roman" w:hAnsi="Times New Roman" w:cs="Times New Roman"/>
          <w:sz w:val="24"/>
          <w:szCs w:val="24"/>
          <w:lang w:val="en-US"/>
        </w:rPr>
      </w:pPr>
      <w:r w:rsidRPr="00BA2DBB">
        <w:rPr>
          <w:rFonts w:ascii="Times New Roman" w:hAnsi="Times New Roman" w:cs="Times New Roman"/>
          <w:smallCaps/>
          <w:sz w:val="24"/>
          <w:szCs w:val="24"/>
          <w:lang w:val="en-US"/>
        </w:rPr>
        <w:t>V. Scholderer</w:t>
      </w:r>
      <w:r w:rsidRPr="00BA2DBB">
        <w:rPr>
          <w:rFonts w:ascii="Times New Roman" w:hAnsi="Times New Roman" w:cs="Times New Roman"/>
          <w:sz w:val="24"/>
          <w:szCs w:val="24"/>
          <w:lang w:val="en-US"/>
        </w:rPr>
        <w:t>,</w:t>
      </w:r>
      <w:r w:rsidRPr="00BA2DBB">
        <w:rPr>
          <w:rFonts w:ascii="Times New Roman" w:hAnsi="Times New Roman" w:cs="Times New Roman"/>
          <w:i/>
          <w:sz w:val="24"/>
          <w:szCs w:val="24"/>
          <w:lang w:val="en-US"/>
        </w:rPr>
        <w:t xml:space="preserve"> Fifthy Essays in Fifteenth and Sixteenth Century Bibliography</w:t>
      </w:r>
      <w:r w:rsidRPr="00BA2DBB">
        <w:rPr>
          <w:rFonts w:ascii="Times New Roman" w:hAnsi="Times New Roman" w:cs="Times New Roman"/>
          <w:sz w:val="24"/>
          <w:szCs w:val="24"/>
          <w:lang w:val="en-US"/>
        </w:rPr>
        <w:t>, Amsterdam, Menno Hertzberger &amp; Co, 1966.</w:t>
      </w:r>
    </w:p>
    <w:p w14:paraId="3DC9B6F6" w14:textId="77777777" w:rsidR="00796A9D" w:rsidRDefault="00796A9D" w:rsidP="00796A9D">
      <w:pPr>
        <w:pStyle w:val="Testonotaapidipagina"/>
        <w:jc w:val="both"/>
        <w:rPr>
          <w:rFonts w:ascii="Times New Roman" w:hAnsi="Times New Roman" w:cs="Times New Roman"/>
          <w:sz w:val="24"/>
          <w:szCs w:val="24"/>
          <w:lang w:val="en-US"/>
        </w:rPr>
      </w:pPr>
    </w:p>
    <w:p w14:paraId="7E7CD128" w14:textId="77777777" w:rsidR="00796A9D" w:rsidRDefault="00796A9D" w:rsidP="00796A9D">
      <w:pPr>
        <w:pStyle w:val="Testonotaapidipagina"/>
        <w:jc w:val="both"/>
        <w:rPr>
          <w:rFonts w:ascii="Times New Roman" w:hAnsi="Times New Roman" w:cs="Times New Roman"/>
          <w:sz w:val="24"/>
          <w:szCs w:val="24"/>
          <w:lang w:val="en-US"/>
        </w:rPr>
      </w:pPr>
      <w:r w:rsidRPr="006B7EEA">
        <w:rPr>
          <w:rFonts w:ascii="Times New Roman" w:hAnsi="Times New Roman" w:cs="Times New Roman"/>
          <w:sz w:val="24"/>
          <w:szCs w:val="24"/>
        </w:rPr>
        <w:t xml:space="preserve">A. </w:t>
      </w:r>
      <w:r w:rsidRPr="006B7EEA">
        <w:rPr>
          <w:rFonts w:ascii="Times New Roman" w:hAnsi="Times New Roman" w:cs="Times New Roman"/>
          <w:smallCaps/>
          <w:sz w:val="24"/>
          <w:szCs w:val="24"/>
        </w:rPr>
        <w:t>Scotti</w:t>
      </w:r>
      <w:r w:rsidRPr="006B7EEA">
        <w:rPr>
          <w:rFonts w:ascii="Times New Roman" w:hAnsi="Times New Roman" w:cs="Times New Roman"/>
          <w:sz w:val="24"/>
          <w:szCs w:val="24"/>
        </w:rPr>
        <w:t xml:space="preserve">, </w:t>
      </w:r>
      <w:r w:rsidRPr="006B7EEA">
        <w:rPr>
          <w:rFonts w:ascii="Times New Roman" w:hAnsi="Times New Roman" w:cs="Times New Roman"/>
          <w:i/>
          <w:sz w:val="24"/>
          <w:szCs w:val="24"/>
        </w:rPr>
        <w:t>The Sforza Castle in Milan</w:t>
      </w:r>
      <w:r w:rsidRPr="006B7EEA">
        <w:rPr>
          <w:rFonts w:ascii="Times New Roman" w:hAnsi="Times New Roman" w:cs="Times New Roman"/>
          <w:sz w:val="24"/>
          <w:szCs w:val="24"/>
        </w:rPr>
        <w:t xml:space="preserve"> </w:t>
      </w:r>
      <w:r w:rsidRPr="006B7EEA">
        <w:rPr>
          <w:rFonts w:ascii="Times New Roman" w:hAnsi="Times New Roman" w:cs="Times New Roman"/>
          <w:i/>
          <w:sz w:val="24"/>
          <w:szCs w:val="24"/>
        </w:rPr>
        <w:t>(1450-1499</w:t>
      </w:r>
      <w:r w:rsidRPr="006B7EEA">
        <w:rPr>
          <w:rFonts w:ascii="Times New Roman" w:hAnsi="Times New Roman" w:cs="Times New Roman"/>
          <w:sz w:val="24"/>
          <w:szCs w:val="24"/>
        </w:rPr>
        <w:t xml:space="preserve">), in </w:t>
      </w:r>
      <w:r w:rsidRPr="006B7EEA">
        <w:rPr>
          <w:rFonts w:ascii="Times New Roman" w:hAnsi="Times New Roman" w:cs="Times New Roman"/>
          <w:i/>
          <w:sz w:val="24"/>
          <w:szCs w:val="24"/>
        </w:rPr>
        <w:t xml:space="preserve">A Renaissance Architecture of Power. </w:t>
      </w:r>
      <w:r w:rsidRPr="006B7EEA">
        <w:rPr>
          <w:rFonts w:ascii="Times New Roman" w:hAnsi="Times New Roman" w:cs="Times New Roman"/>
          <w:i/>
          <w:sz w:val="24"/>
          <w:szCs w:val="24"/>
          <w:lang w:val="en-US"/>
        </w:rPr>
        <w:t>Princely Palaces in the Italian Renaissance</w:t>
      </w:r>
      <w:r w:rsidRPr="006B7EEA">
        <w:rPr>
          <w:rFonts w:ascii="Times New Roman" w:hAnsi="Times New Roman" w:cs="Times New Roman"/>
          <w:sz w:val="24"/>
          <w:szCs w:val="24"/>
          <w:lang w:val="en-US"/>
        </w:rPr>
        <w:t xml:space="preserve">, edited by S. </w:t>
      </w:r>
      <w:r w:rsidRPr="006B7EEA">
        <w:rPr>
          <w:rFonts w:ascii="Times New Roman" w:hAnsi="Times New Roman" w:cs="Times New Roman"/>
          <w:smallCaps/>
          <w:sz w:val="24"/>
          <w:szCs w:val="24"/>
          <w:lang w:val="en-US"/>
        </w:rPr>
        <w:t>Beltramo, F. Cantatore, M. Folin</w:t>
      </w:r>
      <w:r w:rsidRPr="006B7EEA">
        <w:rPr>
          <w:rFonts w:ascii="Times New Roman" w:hAnsi="Times New Roman" w:cs="Times New Roman"/>
          <w:sz w:val="24"/>
          <w:szCs w:val="24"/>
          <w:lang w:val="en-US"/>
        </w:rPr>
        <w:t>, Boston, Brill, 2016.</w:t>
      </w:r>
    </w:p>
    <w:p w14:paraId="1570EAEA" w14:textId="77777777" w:rsidR="00796A9D" w:rsidRDefault="00796A9D" w:rsidP="00796A9D">
      <w:pPr>
        <w:pStyle w:val="Testonotaapidipagina"/>
        <w:jc w:val="both"/>
        <w:rPr>
          <w:rFonts w:ascii="Times New Roman" w:hAnsi="Times New Roman" w:cs="Times New Roman"/>
          <w:sz w:val="24"/>
          <w:szCs w:val="24"/>
          <w:lang w:val="en-US"/>
        </w:rPr>
      </w:pPr>
    </w:p>
    <w:p w14:paraId="27F0BE65" w14:textId="77777777" w:rsidR="00796A9D" w:rsidRPr="00F43608" w:rsidRDefault="00796A9D" w:rsidP="00796A9D">
      <w:pPr>
        <w:pStyle w:val="Testonotaapidipagina"/>
        <w:jc w:val="both"/>
        <w:rPr>
          <w:rFonts w:ascii="Times New Roman" w:hAnsi="Times New Roman" w:cs="Times New Roman"/>
          <w:sz w:val="24"/>
          <w:szCs w:val="24"/>
          <w:lang w:val="en-US"/>
        </w:rPr>
      </w:pPr>
      <w:r w:rsidRPr="00F43608">
        <w:rPr>
          <w:rFonts w:ascii="Times New Roman" w:hAnsi="Times New Roman" w:cs="Times New Roman"/>
          <w:smallCaps/>
          <w:sz w:val="24"/>
          <w:szCs w:val="24"/>
        </w:rPr>
        <w:t>E. Screpanti</w:t>
      </w:r>
      <w:r w:rsidRPr="00F43608">
        <w:rPr>
          <w:rFonts w:ascii="Times New Roman" w:hAnsi="Times New Roman" w:cs="Times New Roman"/>
          <w:sz w:val="24"/>
          <w:szCs w:val="24"/>
        </w:rPr>
        <w:t xml:space="preserve">, </w:t>
      </w:r>
      <w:r w:rsidRPr="00F43608">
        <w:rPr>
          <w:rFonts w:ascii="Times New Roman" w:hAnsi="Times New Roman" w:cs="Times New Roman"/>
          <w:i/>
          <w:sz w:val="24"/>
          <w:szCs w:val="24"/>
        </w:rPr>
        <w:t>L’angelo della liberazione nel tumulto dei Ciompi. Firenze, giugno-agosto 1378</w:t>
      </w:r>
      <w:r w:rsidRPr="00F43608">
        <w:rPr>
          <w:rFonts w:ascii="Times New Roman" w:hAnsi="Times New Roman" w:cs="Times New Roman"/>
          <w:sz w:val="24"/>
          <w:szCs w:val="24"/>
        </w:rPr>
        <w:t>, Siena, Protagon, 2008, pp. 339-344.</w:t>
      </w:r>
    </w:p>
    <w:p w14:paraId="59C4E2AF" w14:textId="77777777" w:rsidR="00796A9D" w:rsidRPr="00BA2DBB" w:rsidRDefault="00796A9D" w:rsidP="00796A9D">
      <w:pPr>
        <w:pStyle w:val="Testonotaapidipagina"/>
        <w:jc w:val="both"/>
        <w:rPr>
          <w:rFonts w:ascii="Times New Roman" w:hAnsi="Times New Roman" w:cs="Times New Roman"/>
          <w:sz w:val="24"/>
          <w:szCs w:val="24"/>
        </w:rPr>
      </w:pPr>
    </w:p>
    <w:p w14:paraId="7139440A"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M. Scudieri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miniatura a Firenze nell’età di Lorenzo de’ Medici e di Mattia Corvino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Mattia Corvino e Firenze. Arte e umanesimo alla corte del re di Ungheria</w:t>
      </w:r>
      <w:r w:rsidRPr="00BA2DBB">
        <w:rPr>
          <w:rFonts w:ascii="Times New Roman" w:hAnsi="Times New Roman" w:cs="Times New Roman"/>
          <w:sz w:val="24"/>
          <w:szCs w:val="24"/>
        </w:rPr>
        <w:t xml:space="preserve">, Catalogo della mostra (Firenze 10 ottobre 2013 – 6 gennaio 2014), a cura di </w:t>
      </w:r>
      <w:r w:rsidRPr="00BA2DBB">
        <w:rPr>
          <w:rFonts w:ascii="Times New Roman" w:hAnsi="Times New Roman" w:cs="Times New Roman"/>
          <w:smallCaps/>
          <w:sz w:val="24"/>
          <w:szCs w:val="24"/>
        </w:rPr>
        <w:t>P. Farbaky, D. Pocs, M. Scudieri</w:t>
      </w:r>
      <w:r w:rsidRPr="00BA2DBB">
        <w:rPr>
          <w:rFonts w:ascii="Times New Roman" w:hAnsi="Times New Roman" w:cs="Times New Roman"/>
          <w:sz w:val="24"/>
          <w:szCs w:val="24"/>
        </w:rPr>
        <w:t xml:space="preserve">, Firenze, Giunti, 2013, pp. 250-261. </w:t>
      </w:r>
    </w:p>
    <w:p w14:paraId="3CF42620" w14:textId="77777777" w:rsidR="00796A9D" w:rsidRDefault="00796A9D" w:rsidP="00796A9D">
      <w:pPr>
        <w:pStyle w:val="Testonotaapidipagina"/>
        <w:jc w:val="both"/>
        <w:rPr>
          <w:rFonts w:ascii="Times New Roman" w:hAnsi="Times New Roman" w:cs="Times New Roman"/>
          <w:smallCaps/>
          <w:sz w:val="24"/>
          <w:szCs w:val="24"/>
        </w:rPr>
      </w:pPr>
    </w:p>
    <w:p w14:paraId="7D676214"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M. Scudieri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Sfogliando il Graduale 558</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Fra Giovanni Angelico. Pittore e miniatore o miniatore e pittore?,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Idem, S. Giacomelli</w:t>
      </w:r>
      <w:r w:rsidRPr="00BA2DBB">
        <w:rPr>
          <w:rFonts w:ascii="Times New Roman" w:hAnsi="Times New Roman" w:cs="Times New Roman"/>
          <w:sz w:val="24"/>
          <w:szCs w:val="24"/>
        </w:rPr>
        <w:t>, Firenze, Giunti, 2007, pp. 26-58.</w:t>
      </w:r>
    </w:p>
    <w:p w14:paraId="022A8BE9" w14:textId="77777777" w:rsidR="00796A9D" w:rsidRDefault="00796A9D" w:rsidP="00796A9D">
      <w:pPr>
        <w:pStyle w:val="Testonotaapidipagina"/>
        <w:jc w:val="both"/>
        <w:rPr>
          <w:rFonts w:ascii="Times New Roman" w:hAnsi="Times New Roman" w:cs="Times New Roman"/>
          <w:sz w:val="24"/>
          <w:szCs w:val="24"/>
        </w:rPr>
      </w:pPr>
    </w:p>
    <w:p w14:paraId="354619D3" w14:textId="77777777" w:rsidR="00796A9D" w:rsidRDefault="00796A9D" w:rsidP="00796A9D">
      <w:pPr>
        <w:pStyle w:val="Testonotaapidipagina"/>
        <w:jc w:val="both"/>
        <w:rPr>
          <w:rFonts w:ascii="Times New Roman" w:hAnsi="Times New Roman" w:cs="Times New Roman"/>
          <w:sz w:val="24"/>
          <w:szCs w:val="24"/>
        </w:rPr>
      </w:pPr>
      <w:r w:rsidRPr="00764EFF">
        <w:rPr>
          <w:rFonts w:ascii="Times New Roman" w:hAnsi="Times New Roman" w:cs="Times New Roman"/>
          <w:smallCaps/>
          <w:sz w:val="24"/>
          <w:szCs w:val="24"/>
        </w:rPr>
        <w:t>D. Seragnoli</w:t>
      </w:r>
      <w:r w:rsidRPr="00764EFF">
        <w:rPr>
          <w:rFonts w:ascii="Times New Roman" w:hAnsi="Times New Roman" w:cs="Times New Roman"/>
          <w:sz w:val="24"/>
          <w:szCs w:val="24"/>
        </w:rPr>
        <w:t xml:space="preserve">, </w:t>
      </w:r>
      <w:r w:rsidRPr="00764EFF">
        <w:rPr>
          <w:rFonts w:ascii="Times New Roman" w:hAnsi="Times New Roman" w:cs="Times New Roman"/>
          <w:i/>
          <w:sz w:val="24"/>
          <w:szCs w:val="24"/>
        </w:rPr>
        <w:t>Immaginazione e significati. Giovanni Santi e le culture della rappresentazione</w:t>
      </w:r>
      <w:r w:rsidRPr="00764EFF">
        <w:rPr>
          <w:rFonts w:ascii="Times New Roman" w:hAnsi="Times New Roman" w:cs="Times New Roman"/>
          <w:sz w:val="24"/>
          <w:szCs w:val="24"/>
        </w:rPr>
        <w:t xml:space="preserve">, in </w:t>
      </w:r>
      <w:r w:rsidRPr="00FA5C93">
        <w:rPr>
          <w:rFonts w:ascii="Times New Roman" w:hAnsi="Times New Roman" w:cs="Times New Roman"/>
          <w:i/>
          <w:sz w:val="24"/>
          <w:szCs w:val="24"/>
        </w:rPr>
        <w:t>Giovanni Santi</w:t>
      </w:r>
      <w:r>
        <w:rPr>
          <w:rFonts w:ascii="Times New Roman" w:hAnsi="Times New Roman" w:cs="Times New Roman"/>
          <w:i/>
          <w:sz w:val="24"/>
          <w:szCs w:val="24"/>
        </w:rPr>
        <w:t>,</w:t>
      </w:r>
      <w:r>
        <w:rPr>
          <w:rFonts w:ascii="Times New Roman" w:hAnsi="Times New Roman" w:cs="Times New Roman"/>
          <w:sz w:val="24"/>
          <w:szCs w:val="24"/>
        </w:rPr>
        <w:t xml:space="preserve"> </w:t>
      </w:r>
      <w:r w:rsidRPr="00B8407E">
        <w:rPr>
          <w:rFonts w:ascii="Times New Roman" w:hAnsi="Times New Roman" w:cs="Times New Roman"/>
          <w:sz w:val="24"/>
          <w:szCs w:val="24"/>
        </w:rPr>
        <w:t xml:space="preserve">Atti del convegno internazionale di Studi (Urbino 17-19 marzo 1995), a cura di </w:t>
      </w:r>
      <w:r w:rsidRPr="00B8407E">
        <w:rPr>
          <w:rFonts w:ascii="Times New Roman" w:hAnsi="Times New Roman" w:cs="Times New Roman"/>
          <w:smallCaps/>
          <w:sz w:val="24"/>
          <w:szCs w:val="24"/>
        </w:rPr>
        <w:t>R. Varese</w:t>
      </w:r>
      <w:r w:rsidRPr="00B8407E">
        <w:rPr>
          <w:rFonts w:ascii="Times New Roman" w:hAnsi="Times New Roman" w:cs="Times New Roman"/>
          <w:sz w:val="24"/>
          <w:szCs w:val="24"/>
        </w:rPr>
        <w:t>, Milano, Electa, 1999</w:t>
      </w:r>
      <w:r w:rsidRPr="00764EFF">
        <w:rPr>
          <w:rFonts w:ascii="Times New Roman" w:hAnsi="Times New Roman" w:cs="Times New Roman"/>
          <w:sz w:val="24"/>
          <w:szCs w:val="24"/>
        </w:rPr>
        <w:t>, pp. 119-140.</w:t>
      </w:r>
    </w:p>
    <w:p w14:paraId="5D5985A0" w14:textId="77777777" w:rsidR="00A90093" w:rsidRDefault="00A90093" w:rsidP="00796A9D">
      <w:pPr>
        <w:pStyle w:val="Testonotaapidipagina"/>
        <w:jc w:val="both"/>
        <w:rPr>
          <w:rFonts w:ascii="Times New Roman" w:hAnsi="Times New Roman" w:cs="Times New Roman"/>
          <w:sz w:val="24"/>
          <w:szCs w:val="24"/>
        </w:rPr>
      </w:pPr>
    </w:p>
    <w:p w14:paraId="4E683107" w14:textId="77777777" w:rsidR="00A90093" w:rsidRPr="00A90093" w:rsidRDefault="00A90093" w:rsidP="00796A9D">
      <w:pPr>
        <w:pStyle w:val="Testonotaapidipagina"/>
        <w:jc w:val="both"/>
        <w:rPr>
          <w:rFonts w:ascii="Times New Roman" w:hAnsi="Times New Roman" w:cs="Times New Roman"/>
          <w:sz w:val="24"/>
          <w:szCs w:val="24"/>
        </w:rPr>
      </w:pPr>
      <w:r w:rsidRPr="00A90093">
        <w:rPr>
          <w:rFonts w:ascii="Times New Roman" w:hAnsi="Times New Roman" w:cs="Times New Roman"/>
          <w:smallCaps/>
          <w:sz w:val="24"/>
          <w:szCs w:val="24"/>
        </w:rPr>
        <w:t>D. Seragnoli</w:t>
      </w:r>
      <w:r w:rsidRPr="00A90093">
        <w:rPr>
          <w:rFonts w:ascii="Times New Roman" w:hAnsi="Times New Roman" w:cs="Times New Roman"/>
          <w:sz w:val="24"/>
          <w:szCs w:val="24"/>
        </w:rPr>
        <w:t xml:space="preserve">, </w:t>
      </w:r>
      <w:r w:rsidRPr="00A90093">
        <w:rPr>
          <w:rFonts w:ascii="Times New Roman" w:hAnsi="Times New Roman" w:cs="Times New Roman"/>
          <w:i/>
          <w:sz w:val="24"/>
          <w:szCs w:val="24"/>
        </w:rPr>
        <w:t>L’età di Alfonso I e la pittura del Dosso</w:t>
      </w:r>
      <w:r w:rsidRPr="00A90093">
        <w:rPr>
          <w:rFonts w:ascii="Times New Roman" w:hAnsi="Times New Roman" w:cs="Times New Roman"/>
          <w:sz w:val="24"/>
          <w:szCs w:val="24"/>
        </w:rPr>
        <w:t>, Atti del convegno internazionale di studi (Ferrara, 9-12 dicembre 1998), Modena, Panini, 2004, pp. 57-69</w:t>
      </w:r>
      <w:r>
        <w:rPr>
          <w:rFonts w:ascii="Times New Roman" w:hAnsi="Times New Roman" w:cs="Times New Roman"/>
          <w:sz w:val="24"/>
          <w:szCs w:val="24"/>
        </w:rPr>
        <w:t>.</w:t>
      </w:r>
    </w:p>
    <w:p w14:paraId="0E2DB496" w14:textId="77777777" w:rsidR="00796A9D" w:rsidRPr="00BA2DBB" w:rsidRDefault="00796A9D" w:rsidP="00796A9D">
      <w:pPr>
        <w:pStyle w:val="Testonotaapidipagina"/>
        <w:jc w:val="both"/>
        <w:rPr>
          <w:rFonts w:ascii="Times New Roman" w:hAnsi="Times New Roman" w:cs="Times New Roman"/>
          <w:sz w:val="24"/>
          <w:szCs w:val="24"/>
        </w:rPr>
      </w:pPr>
    </w:p>
    <w:p w14:paraId="0A758635"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A. Serra Desfili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Historia de dos palacios y una ciudad: Valencia, 1238-1460</w:t>
      </w:r>
      <w:r w:rsidRPr="00BA2DBB">
        <w:rPr>
          <w:rFonts w:ascii="Times New Roman" w:hAnsi="Times New Roman" w:cs="Times New Roman"/>
          <w:sz w:val="24"/>
          <w:szCs w:val="24"/>
        </w:rPr>
        <w:t>, «Annales de Historia del Arte», 23, 2013, pp. 333-367.</w:t>
      </w:r>
    </w:p>
    <w:p w14:paraId="59AA5D12" w14:textId="77777777" w:rsidR="00796A9D" w:rsidRDefault="00796A9D" w:rsidP="00796A9D">
      <w:pPr>
        <w:pStyle w:val="Testonotaapidipagina"/>
        <w:jc w:val="both"/>
        <w:rPr>
          <w:rFonts w:ascii="Times New Roman" w:hAnsi="Times New Roman" w:cs="Times New Roman"/>
          <w:sz w:val="24"/>
          <w:szCs w:val="24"/>
        </w:rPr>
      </w:pPr>
    </w:p>
    <w:p w14:paraId="77C14FC1" w14:textId="77777777" w:rsidR="00796A9D" w:rsidRPr="00BF0BDC" w:rsidRDefault="00796A9D" w:rsidP="00796A9D">
      <w:pPr>
        <w:pStyle w:val="Testonotaapidipagina"/>
        <w:jc w:val="both"/>
        <w:rPr>
          <w:rFonts w:ascii="Times New Roman" w:hAnsi="Times New Roman" w:cs="Times New Roman"/>
          <w:sz w:val="24"/>
          <w:szCs w:val="24"/>
        </w:rPr>
      </w:pPr>
      <w:r w:rsidRPr="00BF0BDC">
        <w:rPr>
          <w:rFonts w:ascii="Times New Roman" w:hAnsi="Times New Roman" w:cs="Times New Roman"/>
          <w:smallCaps/>
          <w:sz w:val="24"/>
          <w:szCs w:val="24"/>
        </w:rPr>
        <w:t>A. Severi</w:t>
      </w:r>
      <w:r w:rsidRPr="00BF0BDC">
        <w:rPr>
          <w:rFonts w:ascii="Times New Roman" w:hAnsi="Times New Roman" w:cs="Times New Roman"/>
          <w:sz w:val="24"/>
          <w:szCs w:val="24"/>
        </w:rPr>
        <w:t xml:space="preserve">, </w:t>
      </w:r>
      <w:r w:rsidRPr="00BF0BDC">
        <w:rPr>
          <w:rFonts w:ascii="Times New Roman" w:hAnsi="Times New Roman" w:cs="Times New Roman"/>
          <w:i/>
          <w:sz w:val="24"/>
          <w:szCs w:val="24"/>
        </w:rPr>
        <w:t>Filippo Beroaldo il Vecchio un maestro per l’Europa. Da commentatore di classici a classico moderno (1481-1550</w:t>
      </w:r>
      <w:r w:rsidRPr="00BF0BDC">
        <w:rPr>
          <w:rFonts w:ascii="Times New Roman" w:hAnsi="Times New Roman" w:cs="Times New Roman"/>
          <w:sz w:val="24"/>
          <w:szCs w:val="24"/>
        </w:rPr>
        <w:t>), Bologna, il Mulino, 2015</w:t>
      </w:r>
      <w:r>
        <w:rPr>
          <w:rFonts w:ascii="Times New Roman" w:hAnsi="Times New Roman" w:cs="Times New Roman"/>
          <w:sz w:val="24"/>
          <w:szCs w:val="24"/>
        </w:rPr>
        <w:t>.</w:t>
      </w:r>
    </w:p>
    <w:p w14:paraId="4E1DA59C" w14:textId="77777777" w:rsidR="00796A9D" w:rsidRDefault="00796A9D" w:rsidP="00796A9D">
      <w:pPr>
        <w:pStyle w:val="Testonotaapidipagina"/>
        <w:jc w:val="both"/>
        <w:rPr>
          <w:rFonts w:ascii="Times New Roman" w:hAnsi="Times New Roman" w:cs="Times New Roman"/>
          <w:sz w:val="24"/>
          <w:szCs w:val="24"/>
        </w:rPr>
      </w:pPr>
    </w:p>
    <w:p w14:paraId="62672D4F" w14:textId="77777777" w:rsidR="00796A9D" w:rsidRPr="00745A07" w:rsidRDefault="00796A9D" w:rsidP="00796A9D">
      <w:pPr>
        <w:pStyle w:val="Testonotaapidipagina"/>
        <w:jc w:val="both"/>
        <w:rPr>
          <w:rFonts w:ascii="Times New Roman" w:hAnsi="Times New Roman" w:cs="Times New Roman"/>
        </w:rPr>
      </w:pPr>
      <w:r w:rsidRPr="00745A07">
        <w:rPr>
          <w:rFonts w:ascii="Times New Roman" w:hAnsi="Times New Roman" w:cs="Times New Roman"/>
          <w:smallCaps/>
          <w:sz w:val="24"/>
          <w:szCs w:val="24"/>
        </w:rPr>
        <w:t>O. Shima</w:t>
      </w:r>
      <w:r w:rsidRPr="00745A07">
        <w:rPr>
          <w:rFonts w:ascii="Times New Roman" w:hAnsi="Times New Roman" w:cs="Times New Roman"/>
          <w:sz w:val="24"/>
          <w:szCs w:val="24"/>
        </w:rPr>
        <w:t xml:space="preserve">, </w:t>
      </w:r>
      <w:r w:rsidRPr="00745A07">
        <w:rPr>
          <w:rFonts w:ascii="Times New Roman" w:hAnsi="Times New Roman" w:cs="Times New Roman"/>
          <w:i/>
          <w:sz w:val="24"/>
          <w:szCs w:val="24"/>
        </w:rPr>
        <w:t>La propaganda política en torno al conflicto sucesorio de Enrique IV (1457-1474</w:t>
      </w:r>
      <w:r w:rsidRPr="00745A07">
        <w:rPr>
          <w:rFonts w:ascii="Times New Roman" w:hAnsi="Times New Roman" w:cs="Times New Roman"/>
          <w:sz w:val="24"/>
          <w:szCs w:val="24"/>
        </w:rPr>
        <w:t>), Alicante, Biblioteca Virtual Miguel de Cervantes, 2004, pp. 168-174</w:t>
      </w:r>
      <w:r>
        <w:rPr>
          <w:rFonts w:ascii="Times New Roman" w:hAnsi="Times New Roman" w:cs="Times New Roman"/>
        </w:rPr>
        <w:t xml:space="preserve">. </w:t>
      </w:r>
      <w:r w:rsidRPr="00F979A0">
        <w:rPr>
          <w:rFonts w:ascii="Times New Roman" w:hAnsi="Times New Roman" w:cs="Times New Roman"/>
        </w:rPr>
        <w:t xml:space="preserve">   </w:t>
      </w:r>
    </w:p>
    <w:p w14:paraId="2B420F29" w14:textId="77777777" w:rsidR="00796A9D" w:rsidRPr="00BA2DBB" w:rsidRDefault="00796A9D" w:rsidP="00796A9D">
      <w:pPr>
        <w:pStyle w:val="Testonotaapidipagina"/>
        <w:jc w:val="both"/>
        <w:rPr>
          <w:rFonts w:ascii="Times New Roman" w:hAnsi="Times New Roman" w:cs="Times New Roman"/>
          <w:sz w:val="24"/>
          <w:szCs w:val="24"/>
        </w:rPr>
      </w:pPr>
    </w:p>
    <w:p w14:paraId="204C5B1C"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R. </w:t>
      </w:r>
      <w:r w:rsidRPr="00BA2DBB">
        <w:rPr>
          <w:rFonts w:ascii="Times New Roman" w:hAnsi="Times New Roman" w:cs="Times New Roman"/>
          <w:smallCaps/>
          <w:sz w:val="24"/>
          <w:szCs w:val="24"/>
        </w:rPr>
        <w:t>Signorini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Acquisitions for Ludovico II Gonzaga Library</w:t>
      </w:r>
      <w:r w:rsidRPr="00BA2DBB">
        <w:rPr>
          <w:rFonts w:ascii="Times New Roman" w:hAnsi="Times New Roman" w:cs="Times New Roman"/>
          <w:sz w:val="24"/>
          <w:szCs w:val="24"/>
        </w:rPr>
        <w:t xml:space="preserve">, «Journal of the Warburg and Courtauld Institutes», </w:t>
      </w:r>
      <w:r>
        <w:rPr>
          <w:rFonts w:ascii="Times New Roman" w:hAnsi="Times New Roman" w:cs="Times New Roman"/>
          <w:sz w:val="24"/>
          <w:szCs w:val="24"/>
        </w:rPr>
        <w:t>XLIV</w:t>
      </w:r>
      <w:r w:rsidRPr="00BA2DBB">
        <w:rPr>
          <w:rFonts w:ascii="Times New Roman" w:hAnsi="Times New Roman" w:cs="Times New Roman"/>
          <w:sz w:val="24"/>
          <w:szCs w:val="24"/>
        </w:rPr>
        <w:t>, 1981, pp. 180-183.</w:t>
      </w:r>
    </w:p>
    <w:p w14:paraId="2C4FF207" w14:textId="77777777" w:rsidR="00796A9D" w:rsidRDefault="00796A9D" w:rsidP="00796A9D">
      <w:pPr>
        <w:spacing w:after="0"/>
        <w:jc w:val="both"/>
        <w:rPr>
          <w:rFonts w:ascii="Times New Roman" w:hAnsi="Times New Roman" w:cs="Times New Roman"/>
          <w:sz w:val="24"/>
          <w:szCs w:val="24"/>
        </w:rPr>
      </w:pPr>
    </w:p>
    <w:p w14:paraId="1204BA82" w14:textId="77777777" w:rsidR="00796A9D" w:rsidRPr="00B71FB2" w:rsidRDefault="00796A9D" w:rsidP="00796A9D">
      <w:pPr>
        <w:spacing w:after="0"/>
        <w:jc w:val="both"/>
        <w:rPr>
          <w:rFonts w:ascii="Times New Roman" w:hAnsi="Times New Roman" w:cs="Times New Roman"/>
          <w:sz w:val="24"/>
          <w:szCs w:val="24"/>
        </w:rPr>
      </w:pPr>
      <w:r w:rsidRPr="00B71FB2">
        <w:rPr>
          <w:rFonts w:ascii="Times New Roman" w:hAnsi="Times New Roman" w:cs="Times New Roman"/>
          <w:smallCaps/>
          <w:sz w:val="24"/>
          <w:szCs w:val="24"/>
        </w:rPr>
        <w:t>R. Signorini</w:t>
      </w:r>
      <w:r w:rsidRPr="00B71FB2">
        <w:rPr>
          <w:rFonts w:ascii="Times New Roman" w:hAnsi="Times New Roman" w:cs="Times New Roman"/>
          <w:sz w:val="24"/>
          <w:szCs w:val="24"/>
        </w:rPr>
        <w:t xml:space="preserve">, </w:t>
      </w:r>
      <w:r w:rsidRPr="00B71FB2">
        <w:rPr>
          <w:rFonts w:ascii="Times New Roman" w:hAnsi="Times New Roman" w:cs="Times New Roman"/>
          <w:i/>
          <w:sz w:val="24"/>
          <w:szCs w:val="24"/>
        </w:rPr>
        <w:t>Federico e Margherita oggi sposi (martedì 7 giugno 1463). Nozze Gonzaga-Wittelsbach</w:t>
      </w:r>
      <w:r w:rsidRPr="00B71FB2">
        <w:rPr>
          <w:rFonts w:ascii="Times New Roman" w:hAnsi="Times New Roman" w:cs="Times New Roman"/>
          <w:sz w:val="24"/>
          <w:szCs w:val="24"/>
        </w:rPr>
        <w:t xml:space="preserve">, in </w:t>
      </w:r>
      <w:r w:rsidRPr="00B71FB2">
        <w:rPr>
          <w:rFonts w:ascii="Times New Roman" w:hAnsi="Times New Roman" w:cs="Times New Roman"/>
          <w:i/>
          <w:sz w:val="24"/>
          <w:szCs w:val="24"/>
        </w:rPr>
        <w:t>“Vincoli d’amore”. Spose in casa Gonzaga tra XV e XVIII secolo</w:t>
      </w:r>
      <w:r w:rsidRPr="00B71FB2">
        <w:rPr>
          <w:rFonts w:ascii="Times New Roman" w:hAnsi="Times New Roman" w:cs="Times New Roman"/>
          <w:sz w:val="24"/>
          <w:szCs w:val="24"/>
        </w:rPr>
        <w:t xml:space="preserve">, a cura di </w:t>
      </w:r>
      <w:r w:rsidRPr="00B71FB2">
        <w:rPr>
          <w:rFonts w:ascii="Times New Roman" w:hAnsi="Times New Roman" w:cs="Times New Roman"/>
          <w:smallCaps/>
          <w:sz w:val="24"/>
          <w:szCs w:val="24"/>
        </w:rPr>
        <w:t>P. Venturelli</w:t>
      </w:r>
      <w:r w:rsidRPr="00B71FB2">
        <w:rPr>
          <w:rFonts w:ascii="Times New Roman" w:hAnsi="Times New Roman" w:cs="Times New Roman"/>
          <w:sz w:val="24"/>
          <w:szCs w:val="24"/>
        </w:rPr>
        <w:t>, Milano, Skira</w:t>
      </w:r>
      <w:r>
        <w:rPr>
          <w:rFonts w:ascii="Times New Roman" w:hAnsi="Times New Roman" w:cs="Times New Roman"/>
          <w:sz w:val="24"/>
          <w:szCs w:val="24"/>
        </w:rPr>
        <w:t>,</w:t>
      </w:r>
      <w:r w:rsidRPr="00B71FB2">
        <w:rPr>
          <w:rFonts w:ascii="Times New Roman" w:hAnsi="Times New Roman" w:cs="Times New Roman"/>
          <w:sz w:val="24"/>
          <w:szCs w:val="24"/>
        </w:rPr>
        <w:t xml:space="preserve"> 2013</w:t>
      </w:r>
      <w:r>
        <w:rPr>
          <w:rFonts w:ascii="Times New Roman" w:hAnsi="Times New Roman" w:cs="Times New Roman"/>
          <w:sz w:val="24"/>
          <w:szCs w:val="24"/>
        </w:rPr>
        <w:t>, pp. 3-21.</w:t>
      </w:r>
    </w:p>
    <w:p w14:paraId="5A73B709" w14:textId="77777777" w:rsidR="00796A9D" w:rsidRPr="00BA2DBB" w:rsidRDefault="00796A9D" w:rsidP="00796A9D">
      <w:pPr>
        <w:spacing w:after="0"/>
        <w:jc w:val="both"/>
        <w:rPr>
          <w:rFonts w:ascii="Times New Roman" w:hAnsi="Times New Roman" w:cs="Times New Roman"/>
          <w:sz w:val="24"/>
          <w:szCs w:val="24"/>
        </w:rPr>
      </w:pPr>
    </w:p>
    <w:p w14:paraId="2441BBBF"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 Simonetta</w:t>
      </w:r>
      <w:r w:rsidRPr="00BA2DBB">
        <w:rPr>
          <w:rFonts w:ascii="Times New Roman" w:hAnsi="Times New Roman" w:cs="Times New Roman"/>
          <w:sz w:val="24"/>
          <w:szCs w:val="24"/>
        </w:rPr>
        <w:t>, Guidoubaldus dux Urbini</w:t>
      </w:r>
      <w:r w:rsidRPr="00BA2DBB">
        <w:rPr>
          <w:rFonts w:ascii="Times New Roman" w:hAnsi="Times New Roman" w:cs="Times New Roman"/>
          <w:i/>
          <w:iCs/>
          <w:sz w:val="24"/>
          <w:szCs w:val="24"/>
        </w:rPr>
        <w:t>: Ritratto del principe da giovane</w:t>
      </w:r>
      <w:r w:rsidRPr="00BA2DBB">
        <w:rPr>
          <w:rFonts w:ascii="Times New Roman" w:hAnsi="Times New Roman" w:cs="Times New Roman"/>
          <w:sz w:val="24"/>
          <w:szCs w:val="24"/>
        </w:rPr>
        <w:t>, «Humanistica», IV, 1, 2009, pp. 16-18.</w:t>
      </w:r>
    </w:p>
    <w:p w14:paraId="08CC624F" w14:textId="77777777" w:rsidR="00796A9D" w:rsidRPr="00BA2DBB" w:rsidRDefault="00796A9D" w:rsidP="00796A9D">
      <w:pPr>
        <w:spacing w:after="0"/>
        <w:jc w:val="both"/>
        <w:rPr>
          <w:rFonts w:ascii="Times New Roman" w:hAnsi="Times New Roman" w:cs="Times New Roman"/>
          <w:sz w:val="24"/>
          <w:szCs w:val="24"/>
        </w:rPr>
      </w:pPr>
    </w:p>
    <w:p w14:paraId="23E434F6"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G. </w:t>
      </w:r>
      <w:r w:rsidRPr="00BA2DBB">
        <w:rPr>
          <w:rFonts w:ascii="Times New Roman" w:hAnsi="Times New Roman" w:cs="Times New Roman"/>
          <w:smallCaps/>
          <w:sz w:val="24"/>
          <w:szCs w:val="24"/>
        </w:rPr>
        <w:t>Small</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Clio à la cour de Borgogne au XV</w:t>
      </w:r>
      <w:r w:rsidRPr="00BA2DBB">
        <w:rPr>
          <w:rFonts w:ascii="Times New Roman" w:hAnsi="Times New Roman" w:cs="Times New Roman"/>
          <w:i/>
          <w:sz w:val="24"/>
          <w:szCs w:val="24"/>
          <w:vertAlign w:val="superscript"/>
        </w:rPr>
        <w:t>eme</w:t>
      </w:r>
      <w:r w:rsidRPr="00BA2DBB">
        <w:rPr>
          <w:rFonts w:ascii="Times New Roman" w:hAnsi="Times New Roman" w:cs="Times New Roman"/>
          <w:i/>
          <w:sz w:val="24"/>
          <w:szCs w:val="24"/>
        </w:rPr>
        <w:t xml:space="preserve"> siècle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La Librairie des ducs de Bourgogne, Manuscrits conservés à la Bibliothèque royale de Belgique</w:t>
      </w:r>
      <w:r w:rsidRPr="00BA2DBB">
        <w:rPr>
          <w:rFonts w:ascii="Times New Roman" w:hAnsi="Times New Roman" w:cs="Times New Roman"/>
          <w:sz w:val="24"/>
          <w:szCs w:val="24"/>
        </w:rPr>
        <w:t>, Turnhout, Brepols, 2009, vol. VI, pp. 11-24.</w:t>
      </w:r>
    </w:p>
    <w:p w14:paraId="04D0870E" w14:textId="77777777" w:rsidR="00796A9D" w:rsidRDefault="00796A9D" w:rsidP="00796A9D">
      <w:pPr>
        <w:spacing w:after="0"/>
        <w:jc w:val="both"/>
        <w:rPr>
          <w:rFonts w:ascii="Times New Roman" w:hAnsi="Times New Roman" w:cs="Times New Roman"/>
          <w:sz w:val="24"/>
          <w:szCs w:val="24"/>
        </w:rPr>
      </w:pPr>
    </w:p>
    <w:p w14:paraId="4ED9D4B7" w14:textId="77777777" w:rsidR="00796A9D" w:rsidRDefault="00796A9D" w:rsidP="00796A9D">
      <w:pPr>
        <w:spacing w:after="0"/>
        <w:jc w:val="both"/>
        <w:rPr>
          <w:rFonts w:ascii="Times New Roman" w:hAnsi="Times New Roman" w:cs="Times New Roman"/>
          <w:sz w:val="24"/>
          <w:szCs w:val="24"/>
        </w:rPr>
      </w:pPr>
      <w:r w:rsidRPr="007875B4">
        <w:rPr>
          <w:rFonts w:ascii="Times New Roman" w:hAnsi="Times New Roman" w:cs="Times New Roman"/>
          <w:sz w:val="24"/>
          <w:szCs w:val="24"/>
        </w:rPr>
        <w:t xml:space="preserve">N. </w:t>
      </w:r>
      <w:r w:rsidRPr="007875B4">
        <w:rPr>
          <w:rFonts w:ascii="Times New Roman" w:hAnsi="Times New Roman" w:cs="Times New Roman"/>
          <w:smallCaps/>
          <w:sz w:val="24"/>
          <w:szCs w:val="24"/>
        </w:rPr>
        <w:t>Soldini</w:t>
      </w:r>
      <w:r w:rsidRPr="007875B4">
        <w:rPr>
          <w:rFonts w:ascii="Times New Roman" w:hAnsi="Times New Roman" w:cs="Times New Roman"/>
          <w:sz w:val="24"/>
          <w:szCs w:val="24"/>
        </w:rPr>
        <w:t xml:space="preserve">, </w:t>
      </w:r>
      <w:r w:rsidRPr="007875B4">
        <w:rPr>
          <w:rFonts w:ascii="Times New Roman" w:hAnsi="Times New Roman" w:cs="Times New Roman"/>
          <w:i/>
          <w:sz w:val="24"/>
          <w:szCs w:val="24"/>
        </w:rPr>
        <w:t>Nec spe nec metu</w:t>
      </w:r>
      <w:r w:rsidRPr="007875B4">
        <w:rPr>
          <w:rFonts w:ascii="Times New Roman" w:hAnsi="Times New Roman" w:cs="Times New Roman"/>
          <w:sz w:val="24"/>
          <w:szCs w:val="24"/>
        </w:rPr>
        <w:t>, Firenze, Olschki, 2007.</w:t>
      </w:r>
    </w:p>
    <w:p w14:paraId="15C245E7" w14:textId="77777777" w:rsidR="00796A9D" w:rsidRDefault="00796A9D" w:rsidP="00796A9D">
      <w:pPr>
        <w:spacing w:after="0"/>
        <w:jc w:val="both"/>
        <w:rPr>
          <w:rFonts w:ascii="Times New Roman" w:hAnsi="Times New Roman" w:cs="Times New Roman"/>
          <w:sz w:val="24"/>
          <w:szCs w:val="24"/>
        </w:rPr>
      </w:pPr>
    </w:p>
    <w:p w14:paraId="59006517" w14:textId="77777777" w:rsidR="00796A9D" w:rsidRPr="00430518" w:rsidRDefault="00796A9D" w:rsidP="00796A9D">
      <w:pPr>
        <w:pStyle w:val="Testonotaapidipagina"/>
        <w:jc w:val="both"/>
        <w:rPr>
          <w:rFonts w:ascii="Times New Roman" w:hAnsi="Times New Roman" w:cs="Times New Roman"/>
          <w:sz w:val="24"/>
          <w:szCs w:val="24"/>
        </w:rPr>
      </w:pPr>
      <w:r w:rsidRPr="00430518">
        <w:rPr>
          <w:rFonts w:ascii="Times New Roman" w:hAnsi="Times New Roman" w:cs="Times New Roman"/>
          <w:sz w:val="24"/>
          <w:szCs w:val="24"/>
        </w:rPr>
        <w:t xml:space="preserve">E. </w:t>
      </w:r>
      <w:r w:rsidRPr="00430518">
        <w:rPr>
          <w:rFonts w:ascii="Times New Roman" w:hAnsi="Times New Roman" w:cs="Times New Roman"/>
          <w:smallCaps/>
          <w:sz w:val="24"/>
          <w:szCs w:val="24"/>
        </w:rPr>
        <w:t>Solmi</w:t>
      </w:r>
      <w:r w:rsidRPr="00430518">
        <w:rPr>
          <w:rFonts w:ascii="Times New Roman" w:hAnsi="Times New Roman" w:cs="Times New Roman"/>
          <w:sz w:val="24"/>
          <w:szCs w:val="24"/>
        </w:rPr>
        <w:t xml:space="preserve">, </w:t>
      </w:r>
      <w:r w:rsidRPr="00430518">
        <w:rPr>
          <w:rFonts w:ascii="Times New Roman" w:hAnsi="Times New Roman" w:cs="Times New Roman"/>
          <w:i/>
          <w:sz w:val="24"/>
          <w:szCs w:val="24"/>
        </w:rPr>
        <w:t>La festa del Paradiso di Leonardo da Vinci e Bernardo Bellincione (13 gennaio 1490),</w:t>
      </w:r>
      <w:r w:rsidRPr="00430518">
        <w:rPr>
          <w:rFonts w:ascii="Times New Roman" w:hAnsi="Times New Roman" w:cs="Times New Roman"/>
          <w:sz w:val="24"/>
          <w:szCs w:val="24"/>
        </w:rPr>
        <w:t xml:space="preserve"> ‹‹Archivio Storico Lombardo››, XXXI, 1904, pp. 75-89.</w:t>
      </w:r>
    </w:p>
    <w:p w14:paraId="7F3309B4" w14:textId="77777777" w:rsidR="00796A9D" w:rsidRDefault="00796A9D" w:rsidP="00796A9D">
      <w:pPr>
        <w:spacing w:after="0"/>
        <w:jc w:val="both"/>
        <w:rPr>
          <w:rFonts w:ascii="Times New Roman" w:hAnsi="Times New Roman" w:cs="Times New Roman"/>
          <w:sz w:val="24"/>
          <w:szCs w:val="24"/>
        </w:rPr>
      </w:pPr>
    </w:p>
    <w:p w14:paraId="6408433D" w14:textId="77777777" w:rsidR="00796A9D" w:rsidRPr="002F76DA" w:rsidRDefault="00796A9D" w:rsidP="00796A9D">
      <w:pPr>
        <w:spacing w:after="0"/>
        <w:jc w:val="both"/>
        <w:rPr>
          <w:rFonts w:ascii="Times New Roman" w:hAnsi="Times New Roman" w:cs="Times New Roman"/>
          <w:sz w:val="24"/>
          <w:szCs w:val="24"/>
        </w:rPr>
      </w:pPr>
      <w:r w:rsidRPr="002F76DA">
        <w:rPr>
          <w:rFonts w:ascii="Times New Roman" w:hAnsi="Times New Roman" w:cs="Times New Roman"/>
          <w:smallCaps/>
          <w:sz w:val="24"/>
          <w:szCs w:val="24"/>
        </w:rPr>
        <w:t>G. Soranzo</w:t>
      </w:r>
      <w:r w:rsidRPr="002F76DA">
        <w:rPr>
          <w:rFonts w:ascii="Times New Roman" w:hAnsi="Times New Roman" w:cs="Times New Roman"/>
          <w:sz w:val="24"/>
          <w:szCs w:val="24"/>
        </w:rPr>
        <w:t xml:space="preserve">, </w:t>
      </w:r>
      <w:r w:rsidRPr="002F76DA">
        <w:rPr>
          <w:rFonts w:ascii="Times New Roman" w:hAnsi="Times New Roman" w:cs="Times New Roman"/>
          <w:i/>
          <w:sz w:val="24"/>
          <w:szCs w:val="24"/>
        </w:rPr>
        <w:t>Il tempo di Alessandro VI papa e di fra Girolamo Savonarola</w:t>
      </w:r>
      <w:r w:rsidRPr="002F76DA">
        <w:rPr>
          <w:rFonts w:ascii="Times New Roman" w:hAnsi="Times New Roman" w:cs="Times New Roman"/>
          <w:sz w:val="24"/>
          <w:szCs w:val="24"/>
        </w:rPr>
        <w:t>, Milano, Vita e Pensiero, 1960.</w:t>
      </w:r>
    </w:p>
    <w:p w14:paraId="2C0856F3" w14:textId="77777777" w:rsidR="00796A9D" w:rsidRDefault="00796A9D" w:rsidP="00796A9D">
      <w:pPr>
        <w:spacing w:after="0"/>
        <w:jc w:val="both"/>
        <w:rPr>
          <w:rFonts w:ascii="Times New Roman" w:hAnsi="Times New Roman" w:cs="Times New Roman"/>
          <w:smallCaps/>
          <w:sz w:val="24"/>
          <w:szCs w:val="24"/>
        </w:rPr>
      </w:pPr>
    </w:p>
    <w:p w14:paraId="56FC6F4F"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R. Sordelli</w:t>
      </w:r>
      <w:r>
        <w:rPr>
          <w:rFonts w:ascii="Times New Roman" w:hAnsi="Times New Roman" w:cs="Times New Roman"/>
          <w:smallCaps/>
          <w:sz w:val="24"/>
          <w:szCs w:val="24"/>
        </w:rPr>
        <w:t xml:space="preserve">, </w:t>
      </w:r>
      <w:r w:rsidRPr="00BA2DBB">
        <w:rPr>
          <w:rFonts w:ascii="Times New Roman" w:hAnsi="Times New Roman" w:cs="Times New Roman"/>
          <w:smallCaps/>
          <w:sz w:val="24"/>
          <w:szCs w:val="24"/>
        </w:rPr>
        <w:t>L. Sordelli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privilegi di stampa a Milano nel secolo XV</w:t>
      </w:r>
      <w:r w:rsidRPr="00BA2DBB">
        <w:rPr>
          <w:rFonts w:ascii="Times New Roman" w:hAnsi="Times New Roman" w:cs="Times New Roman"/>
          <w:sz w:val="24"/>
          <w:szCs w:val="24"/>
        </w:rPr>
        <w:t>, ‹‹Rivista di Diritto industriale››, VI, 1957, pp. 130-137.</w:t>
      </w:r>
    </w:p>
    <w:p w14:paraId="2D470B08" w14:textId="77777777" w:rsidR="00796A9D" w:rsidRDefault="00796A9D" w:rsidP="00796A9D">
      <w:pPr>
        <w:spacing w:after="0"/>
        <w:jc w:val="both"/>
        <w:rPr>
          <w:rFonts w:ascii="Times New Roman" w:hAnsi="Times New Roman" w:cs="Times New Roman"/>
          <w:sz w:val="24"/>
          <w:szCs w:val="24"/>
        </w:rPr>
      </w:pPr>
    </w:p>
    <w:p w14:paraId="197F09E0"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Spaggiari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Gli stemmi</w:t>
      </w:r>
      <w:r w:rsidRPr="00BA2DBB">
        <w:rPr>
          <w:rFonts w:ascii="Times New Roman" w:hAnsi="Times New Roman" w:cs="Times New Roman"/>
          <w:sz w:val="24"/>
          <w:szCs w:val="24"/>
        </w:rPr>
        <w:t xml:space="preserve">, «Bollettino d’Arte», 144, aprile-giugno 2008, pp. 25-33.  </w:t>
      </w:r>
    </w:p>
    <w:p w14:paraId="39AA934B" w14:textId="77777777" w:rsidR="00796A9D" w:rsidRDefault="00796A9D" w:rsidP="00796A9D">
      <w:pPr>
        <w:spacing w:after="0"/>
        <w:jc w:val="both"/>
        <w:rPr>
          <w:rFonts w:ascii="Times New Roman" w:hAnsi="Times New Roman" w:cs="Times New Roman"/>
          <w:sz w:val="24"/>
          <w:szCs w:val="24"/>
        </w:rPr>
      </w:pPr>
    </w:p>
    <w:p w14:paraId="5FE17192" w14:textId="77777777" w:rsidR="00796A9D" w:rsidRPr="00E865B1" w:rsidRDefault="00796A9D" w:rsidP="00796A9D">
      <w:pPr>
        <w:pStyle w:val="Testonotaapidipagina"/>
        <w:jc w:val="both"/>
        <w:rPr>
          <w:rFonts w:ascii="Times New Roman" w:hAnsi="Times New Roman" w:cs="Times New Roman"/>
          <w:sz w:val="24"/>
          <w:szCs w:val="24"/>
        </w:rPr>
      </w:pPr>
      <w:r w:rsidRPr="00E865B1">
        <w:rPr>
          <w:rFonts w:ascii="Times New Roman" w:hAnsi="Times New Roman" w:cs="Times New Roman"/>
          <w:smallCaps/>
          <w:sz w:val="24"/>
          <w:szCs w:val="24"/>
        </w:rPr>
        <w:t>B.</w:t>
      </w:r>
      <w:r>
        <w:rPr>
          <w:rFonts w:ascii="Times New Roman" w:hAnsi="Times New Roman" w:cs="Times New Roman"/>
          <w:smallCaps/>
          <w:sz w:val="24"/>
          <w:szCs w:val="24"/>
        </w:rPr>
        <w:t xml:space="preserve"> </w:t>
      </w:r>
      <w:r w:rsidRPr="00E865B1">
        <w:rPr>
          <w:rFonts w:ascii="Times New Roman" w:hAnsi="Times New Roman" w:cs="Times New Roman"/>
          <w:smallCaps/>
          <w:sz w:val="24"/>
          <w:szCs w:val="24"/>
        </w:rPr>
        <w:t>Sparti</w:t>
      </w:r>
      <w:r w:rsidRPr="00E865B1">
        <w:rPr>
          <w:rFonts w:ascii="Times New Roman" w:hAnsi="Times New Roman" w:cs="Times New Roman"/>
          <w:sz w:val="24"/>
          <w:szCs w:val="24"/>
        </w:rPr>
        <w:t xml:space="preserve">, </w:t>
      </w:r>
      <w:r w:rsidRPr="00E865B1">
        <w:rPr>
          <w:rFonts w:ascii="Times New Roman" w:hAnsi="Times New Roman" w:cs="Times New Roman"/>
          <w:i/>
          <w:sz w:val="24"/>
          <w:szCs w:val="24"/>
        </w:rPr>
        <w:t>La danza come politica al tempo di Machiavelli</w:t>
      </w:r>
      <w:r w:rsidRPr="00E865B1">
        <w:rPr>
          <w:rFonts w:ascii="Times New Roman" w:hAnsi="Times New Roman" w:cs="Times New Roman"/>
          <w:sz w:val="24"/>
          <w:szCs w:val="24"/>
        </w:rPr>
        <w:t xml:space="preserve">, in </w:t>
      </w:r>
      <w:r w:rsidRPr="00E865B1">
        <w:rPr>
          <w:rFonts w:ascii="Times New Roman" w:hAnsi="Times New Roman" w:cs="Times New Roman"/>
          <w:i/>
          <w:sz w:val="24"/>
          <w:szCs w:val="24"/>
        </w:rPr>
        <w:t>La lingua e le lingue di Machiavelli</w:t>
      </w:r>
      <w:r w:rsidRPr="00E865B1">
        <w:rPr>
          <w:rFonts w:ascii="Times New Roman" w:hAnsi="Times New Roman" w:cs="Times New Roman"/>
          <w:sz w:val="24"/>
          <w:szCs w:val="24"/>
        </w:rPr>
        <w:t xml:space="preserve">. Atti del Convegno internazionale di studi (Torino, 2-4 dicembre 1999), a cura di </w:t>
      </w:r>
      <w:r w:rsidRPr="00E865B1">
        <w:rPr>
          <w:rFonts w:ascii="Times New Roman" w:hAnsi="Times New Roman" w:cs="Times New Roman"/>
          <w:smallCaps/>
          <w:sz w:val="24"/>
          <w:szCs w:val="24"/>
        </w:rPr>
        <w:t>A. Pontremoli</w:t>
      </w:r>
      <w:r w:rsidRPr="00E865B1">
        <w:rPr>
          <w:rFonts w:ascii="Times New Roman" w:hAnsi="Times New Roman" w:cs="Times New Roman"/>
          <w:sz w:val="24"/>
          <w:szCs w:val="24"/>
        </w:rPr>
        <w:t xml:space="preserve">, Firenze, Olschki, 2001, pp. 295-315. </w:t>
      </w:r>
    </w:p>
    <w:p w14:paraId="66CED942" w14:textId="77777777" w:rsidR="00796A9D" w:rsidRDefault="00796A9D" w:rsidP="00796A9D">
      <w:pPr>
        <w:spacing w:after="0"/>
        <w:jc w:val="both"/>
        <w:rPr>
          <w:rFonts w:ascii="Times New Roman" w:hAnsi="Times New Roman" w:cs="Times New Roman"/>
          <w:sz w:val="24"/>
          <w:szCs w:val="24"/>
        </w:rPr>
      </w:pPr>
    </w:p>
    <w:p w14:paraId="2871B669"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D. </w:t>
      </w:r>
      <w:r w:rsidRPr="00BA2DBB">
        <w:rPr>
          <w:rFonts w:ascii="Times New Roman" w:hAnsi="Times New Roman" w:cs="Times New Roman"/>
          <w:smallCaps/>
          <w:sz w:val="24"/>
          <w:szCs w:val="24"/>
        </w:rPr>
        <w:t>Speranzi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Per la storia della libreria medicea privata. Giano Lascaris, Sergio Stiso di Zollino e il copista Gabriele</w:t>
      </w:r>
      <w:r w:rsidRPr="00BA2DBB">
        <w:rPr>
          <w:rFonts w:ascii="Times New Roman" w:hAnsi="Times New Roman" w:cs="Times New Roman"/>
          <w:sz w:val="24"/>
          <w:szCs w:val="24"/>
        </w:rPr>
        <w:t xml:space="preserve">, «Italia medievale e umanistica», </w:t>
      </w:r>
      <w:r>
        <w:rPr>
          <w:rFonts w:ascii="Times New Roman" w:hAnsi="Times New Roman" w:cs="Times New Roman"/>
          <w:sz w:val="24"/>
          <w:szCs w:val="24"/>
        </w:rPr>
        <w:t>XLVIII</w:t>
      </w:r>
      <w:r w:rsidRPr="00BA2DBB">
        <w:rPr>
          <w:rFonts w:ascii="Times New Roman" w:hAnsi="Times New Roman" w:cs="Times New Roman"/>
          <w:sz w:val="24"/>
          <w:szCs w:val="24"/>
        </w:rPr>
        <w:t>, 2007, pp. 77-111.</w:t>
      </w:r>
    </w:p>
    <w:p w14:paraId="2D6F902B" w14:textId="77777777" w:rsidR="00796A9D" w:rsidRPr="00BA2DBB" w:rsidRDefault="00796A9D" w:rsidP="00796A9D">
      <w:pPr>
        <w:spacing w:after="0"/>
        <w:jc w:val="both"/>
        <w:rPr>
          <w:rFonts w:ascii="Times New Roman" w:hAnsi="Times New Roman" w:cs="Times New Roman"/>
          <w:sz w:val="24"/>
          <w:szCs w:val="24"/>
        </w:rPr>
      </w:pPr>
    </w:p>
    <w:p w14:paraId="2BFA9A0A"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D. Speranzi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dei Medici. Appunti sulla storia della formazione del fondo greco della libreria medicea privata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Principi e signori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Biblioteche nella seconda metà del Quattrocento</w:t>
      </w:r>
      <w:r w:rsidRPr="00BA2DBB">
        <w:rPr>
          <w:rFonts w:ascii="Times New Roman" w:hAnsi="Times New Roman" w:cs="Times New Roman"/>
          <w:sz w:val="24"/>
          <w:szCs w:val="24"/>
        </w:rPr>
        <w:t xml:space="preserve">. Atti del Convegno (Urbino, 5-6 giugno 2008), a cura di </w:t>
      </w:r>
      <w:r w:rsidRPr="00BA2DBB">
        <w:rPr>
          <w:rFonts w:ascii="Times New Roman" w:hAnsi="Times New Roman" w:cs="Times New Roman"/>
          <w:smallCaps/>
          <w:sz w:val="24"/>
          <w:szCs w:val="24"/>
        </w:rPr>
        <w:t>G. Arbizzoni, C. Bianca, M. Peruzzi</w:t>
      </w:r>
      <w:r w:rsidRPr="00BA2DBB">
        <w:rPr>
          <w:rFonts w:ascii="Times New Roman" w:hAnsi="Times New Roman" w:cs="Times New Roman"/>
          <w:sz w:val="24"/>
          <w:szCs w:val="24"/>
        </w:rPr>
        <w:t>, Urbino, Accademia Raffaello, 2008, pp. 217-264.</w:t>
      </w:r>
    </w:p>
    <w:p w14:paraId="47F431FF" w14:textId="77777777" w:rsidR="00150EE0" w:rsidRDefault="00150EE0" w:rsidP="00796A9D">
      <w:pPr>
        <w:spacing w:after="0"/>
        <w:jc w:val="both"/>
        <w:rPr>
          <w:rFonts w:ascii="Times New Roman" w:hAnsi="Times New Roman" w:cs="Times New Roman"/>
          <w:sz w:val="24"/>
          <w:szCs w:val="24"/>
        </w:rPr>
      </w:pPr>
    </w:p>
    <w:p w14:paraId="7E2EDE99" w14:textId="77777777" w:rsidR="00150EE0" w:rsidRPr="00150EE0" w:rsidRDefault="00150EE0" w:rsidP="00796A9D">
      <w:pPr>
        <w:spacing w:after="0"/>
        <w:jc w:val="both"/>
        <w:rPr>
          <w:rFonts w:ascii="Times New Roman" w:hAnsi="Times New Roman" w:cs="Times New Roman"/>
          <w:sz w:val="24"/>
          <w:szCs w:val="24"/>
        </w:rPr>
      </w:pPr>
      <w:r w:rsidRPr="00150EE0">
        <w:rPr>
          <w:rFonts w:ascii="Times New Roman" w:hAnsi="Times New Roman" w:cs="Times New Roman"/>
          <w:i/>
          <w:sz w:val="24"/>
          <w:szCs w:val="24"/>
        </w:rPr>
        <w:t>Splendeurs de la Cour de Bourgogne. Récit et Chroniques</w:t>
      </w:r>
      <w:r w:rsidRPr="00150EE0">
        <w:rPr>
          <w:rFonts w:ascii="Times New Roman" w:hAnsi="Times New Roman" w:cs="Times New Roman"/>
          <w:sz w:val="24"/>
          <w:szCs w:val="24"/>
        </w:rPr>
        <w:t xml:space="preserve">, edition de </w:t>
      </w:r>
      <w:r w:rsidRPr="00150EE0">
        <w:rPr>
          <w:rFonts w:ascii="Times New Roman" w:hAnsi="Times New Roman" w:cs="Times New Roman"/>
          <w:smallCaps/>
          <w:sz w:val="24"/>
          <w:szCs w:val="24"/>
        </w:rPr>
        <w:t>D. Régnier Bohler</w:t>
      </w:r>
      <w:r w:rsidRPr="00150EE0">
        <w:rPr>
          <w:rFonts w:ascii="Times New Roman" w:hAnsi="Times New Roman" w:cs="Times New Roman"/>
          <w:sz w:val="24"/>
          <w:szCs w:val="24"/>
        </w:rPr>
        <w:t>, Paris, Robert Laffont, 1995, pp. 1068-1088.</w:t>
      </w:r>
    </w:p>
    <w:p w14:paraId="671E810D" w14:textId="77777777" w:rsidR="00796A9D" w:rsidRDefault="00796A9D" w:rsidP="00796A9D">
      <w:pPr>
        <w:spacing w:after="0"/>
        <w:jc w:val="both"/>
        <w:rPr>
          <w:rFonts w:ascii="Times New Roman" w:hAnsi="Times New Roman" w:cs="Times New Roman"/>
          <w:sz w:val="24"/>
          <w:szCs w:val="24"/>
        </w:rPr>
      </w:pPr>
    </w:p>
    <w:p w14:paraId="1849B81A" w14:textId="77777777" w:rsidR="00796A9D" w:rsidRPr="00032D39" w:rsidRDefault="00796A9D" w:rsidP="00796A9D">
      <w:pPr>
        <w:spacing w:after="0"/>
        <w:jc w:val="both"/>
        <w:rPr>
          <w:rFonts w:ascii="Times New Roman" w:hAnsi="Times New Roman" w:cs="Times New Roman"/>
          <w:i/>
          <w:sz w:val="24"/>
          <w:szCs w:val="24"/>
        </w:rPr>
      </w:pPr>
      <w:r w:rsidRPr="0041360C">
        <w:rPr>
          <w:rFonts w:ascii="Times New Roman" w:hAnsi="Times New Roman" w:cs="Times New Roman"/>
          <w:smallCaps/>
          <w:sz w:val="24"/>
          <w:szCs w:val="24"/>
        </w:rPr>
        <w:t>T. Steinitz</w:t>
      </w:r>
      <w:r w:rsidRPr="0041360C">
        <w:rPr>
          <w:rFonts w:ascii="Times New Roman" w:hAnsi="Times New Roman" w:cs="Times New Roman"/>
          <w:sz w:val="24"/>
          <w:szCs w:val="24"/>
        </w:rPr>
        <w:t xml:space="preserve">, </w:t>
      </w:r>
      <w:r w:rsidRPr="0041360C">
        <w:rPr>
          <w:rStyle w:val="Enfasicorsivo"/>
          <w:rFonts w:ascii="Times New Roman" w:hAnsi="Times New Roman" w:cs="Times New Roman"/>
          <w:sz w:val="24"/>
          <w:szCs w:val="24"/>
        </w:rPr>
        <w:t xml:space="preserve">The voyage of Isabella d'Aragon from Naples to Milan, «Bibliothèque d’Humanisme et Renaissance», </w:t>
      </w:r>
      <w:r>
        <w:rPr>
          <w:rStyle w:val="Enfasicorsivo"/>
          <w:rFonts w:ascii="Times New Roman" w:hAnsi="Times New Roman" w:cs="Times New Roman"/>
          <w:sz w:val="24"/>
          <w:szCs w:val="24"/>
        </w:rPr>
        <w:t>XXIII</w:t>
      </w:r>
      <w:r w:rsidRPr="00032D39">
        <w:rPr>
          <w:rStyle w:val="Enfasicorsivo"/>
          <w:rFonts w:ascii="Times New Roman" w:hAnsi="Times New Roman" w:cs="Times New Roman"/>
          <w:sz w:val="24"/>
          <w:szCs w:val="24"/>
        </w:rPr>
        <w:t>, 1961, pp. 17-33.</w:t>
      </w:r>
    </w:p>
    <w:p w14:paraId="5F2871E5" w14:textId="77777777" w:rsidR="00796A9D" w:rsidRDefault="00796A9D" w:rsidP="00796A9D">
      <w:pPr>
        <w:spacing w:after="0"/>
        <w:jc w:val="both"/>
        <w:rPr>
          <w:rFonts w:ascii="Times New Roman" w:hAnsi="Times New Roman" w:cs="Times New Roman"/>
          <w:smallCaps/>
          <w:sz w:val="24"/>
          <w:szCs w:val="24"/>
        </w:rPr>
      </w:pPr>
    </w:p>
    <w:p w14:paraId="2DA63DBA" w14:textId="77777777" w:rsidR="00796A9D" w:rsidRDefault="00796A9D" w:rsidP="00796A9D">
      <w:pPr>
        <w:spacing w:after="0"/>
        <w:jc w:val="both"/>
        <w:rPr>
          <w:rFonts w:ascii="Times New Roman" w:hAnsi="Times New Roman" w:cs="Times New Roman"/>
          <w:sz w:val="24"/>
          <w:szCs w:val="24"/>
          <w:lang w:val="en-US"/>
        </w:rPr>
      </w:pPr>
      <w:r w:rsidRPr="00BA2DBB">
        <w:rPr>
          <w:rFonts w:ascii="Times New Roman" w:hAnsi="Times New Roman" w:cs="Times New Roman"/>
          <w:smallCaps/>
          <w:sz w:val="24"/>
          <w:szCs w:val="24"/>
        </w:rPr>
        <w:t>C. Stornajolo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 xml:space="preserve">Codices Urbinates Graeci Bibliothecae Vaticanae. </w:t>
      </w:r>
      <w:r w:rsidRPr="00BA2DBB">
        <w:rPr>
          <w:rFonts w:ascii="Times New Roman" w:hAnsi="Times New Roman" w:cs="Times New Roman"/>
          <w:i/>
          <w:sz w:val="24"/>
          <w:szCs w:val="24"/>
          <w:lang w:val="en-US"/>
        </w:rPr>
        <w:t>Accedit index vetus Bibliothecae Urbinatis nunc primum editus</w:t>
      </w:r>
      <w:r w:rsidRPr="00BA2DBB">
        <w:rPr>
          <w:rFonts w:ascii="Times New Roman" w:hAnsi="Times New Roman" w:cs="Times New Roman"/>
          <w:sz w:val="24"/>
          <w:szCs w:val="24"/>
          <w:lang w:val="en-US"/>
        </w:rPr>
        <w:t xml:space="preserve">, Romae 1895. </w:t>
      </w:r>
    </w:p>
    <w:p w14:paraId="5D9AD2BF" w14:textId="77777777" w:rsidR="00796A9D" w:rsidRDefault="00796A9D" w:rsidP="00796A9D">
      <w:pPr>
        <w:spacing w:after="0"/>
        <w:jc w:val="both"/>
        <w:rPr>
          <w:rFonts w:ascii="Times New Roman" w:hAnsi="Times New Roman" w:cs="Times New Roman"/>
          <w:sz w:val="24"/>
          <w:szCs w:val="24"/>
          <w:lang w:val="en-US"/>
        </w:rPr>
      </w:pPr>
    </w:p>
    <w:p w14:paraId="1793E2D9" w14:textId="77777777" w:rsidR="00395961" w:rsidRPr="00395961" w:rsidRDefault="00395961" w:rsidP="00395961">
      <w:pPr>
        <w:spacing w:after="0"/>
        <w:jc w:val="both"/>
        <w:rPr>
          <w:rFonts w:ascii="Times New Roman" w:hAnsi="Times New Roman" w:cs="Times New Roman"/>
          <w:sz w:val="24"/>
          <w:szCs w:val="24"/>
          <w:lang w:val="en-US"/>
        </w:rPr>
      </w:pPr>
      <w:r w:rsidRPr="00395961">
        <w:rPr>
          <w:rFonts w:ascii="Times New Roman" w:hAnsi="Times New Roman" w:cs="Times New Roman"/>
          <w:smallCaps/>
          <w:sz w:val="24"/>
          <w:szCs w:val="24"/>
        </w:rPr>
        <w:t>E.A. Tabri</w:t>
      </w:r>
      <w:r w:rsidRPr="00395961">
        <w:rPr>
          <w:rFonts w:ascii="Times New Roman" w:hAnsi="Times New Roman" w:cs="Times New Roman"/>
          <w:sz w:val="24"/>
          <w:szCs w:val="24"/>
        </w:rPr>
        <w:t xml:space="preserve">, </w:t>
      </w:r>
      <w:r w:rsidRPr="00395961">
        <w:rPr>
          <w:rFonts w:ascii="Times New Roman" w:hAnsi="Times New Roman" w:cs="Times New Roman"/>
          <w:i/>
          <w:sz w:val="24"/>
          <w:szCs w:val="24"/>
        </w:rPr>
        <w:t>Political Culture in the Early Northern Renaissance. The Court of Charles the Bold, Duke of Burgundy (1467-1477)</w:t>
      </w:r>
      <w:r w:rsidRPr="00395961">
        <w:rPr>
          <w:rFonts w:ascii="Times New Roman" w:hAnsi="Times New Roman" w:cs="Times New Roman"/>
          <w:sz w:val="24"/>
          <w:szCs w:val="24"/>
        </w:rPr>
        <w:t>, Lewiston, Edwin Mellen Press, 2004.</w:t>
      </w:r>
    </w:p>
    <w:p w14:paraId="1F72632B" w14:textId="77777777" w:rsidR="00395961" w:rsidRDefault="00395961" w:rsidP="00796A9D">
      <w:pPr>
        <w:spacing w:after="0"/>
        <w:jc w:val="both"/>
        <w:rPr>
          <w:rFonts w:ascii="Times New Roman" w:hAnsi="Times New Roman" w:cs="Times New Roman"/>
          <w:smallCaps/>
          <w:sz w:val="24"/>
          <w:szCs w:val="24"/>
        </w:rPr>
      </w:pPr>
    </w:p>
    <w:p w14:paraId="02533547" w14:textId="77777777" w:rsidR="00796A9D" w:rsidRDefault="00796A9D" w:rsidP="00796A9D">
      <w:pPr>
        <w:spacing w:after="0"/>
        <w:jc w:val="both"/>
        <w:rPr>
          <w:rFonts w:ascii="Times New Roman" w:hAnsi="Times New Roman" w:cs="Times New Roman"/>
        </w:rPr>
      </w:pPr>
      <w:r w:rsidRPr="00DF6E6D">
        <w:rPr>
          <w:rFonts w:ascii="Times New Roman" w:hAnsi="Times New Roman" w:cs="Times New Roman"/>
          <w:smallCaps/>
          <w:sz w:val="24"/>
          <w:szCs w:val="24"/>
        </w:rPr>
        <w:t>I. Taddei</w:t>
      </w:r>
      <w:r w:rsidRPr="00DF6E6D">
        <w:rPr>
          <w:rFonts w:ascii="Times New Roman" w:hAnsi="Times New Roman" w:cs="Times New Roman"/>
          <w:sz w:val="24"/>
          <w:szCs w:val="24"/>
        </w:rPr>
        <w:t xml:space="preserve">, </w:t>
      </w:r>
      <w:r w:rsidRPr="00DF6E6D">
        <w:rPr>
          <w:rFonts w:ascii="Times New Roman" w:hAnsi="Times New Roman" w:cs="Times New Roman"/>
          <w:i/>
          <w:sz w:val="24"/>
          <w:szCs w:val="24"/>
        </w:rPr>
        <w:t>Fanciulli e giovani. Crescere a Firenze nel Rinascimento</w:t>
      </w:r>
      <w:r w:rsidRPr="00DF6E6D">
        <w:rPr>
          <w:rFonts w:ascii="Times New Roman" w:hAnsi="Times New Roman" w:cs="Times New Roman"/>
          <w:sz w:val="24"/>
          <w:szCs w:val="24"/>
        </w:rPr>
        <w:t>, Firenze, Olschki, 2001</w:t>
      </w:r>
      <w:r>
        <w:rPr>
          <w:rFonts w:ascii="Times New Roman" w:hAnsi="Times New Roman" w:cs="Times New Roman"/>
        </w:rPr>
        <w:t>.</w:t>
      </w:r>
    </w:p>
    <w:p w14:paraId="4D2F914D" w14:textId="77777777" w:rsidR="00796A9D" w:rsidRDefault="00796A9D" w:rsidP="00796A9D">
      <w:pPr>
        <w:spacing w:after="0"/>
        <w:jc w:val="both"/>
        <w:rPr>
          <w:rFonts w:ascii="Times New Roman" w:hAnsi="Times New Roman" w:cs="Times New Roman"/>
          <w:sz w:val="24"/>
          <w:szCs w:val="24"/>
          <w:lang w:val="en-US"/>
        </w:rPr>
      </w:pPr>
    </w:p>
    <w:p w14:paraId="34E60CC5" w14:textId="77777777" w:rsidR="00796A9D" w:rsidRPr="00845A80" w:rsidRDefault="00796A9D" w:rsidP="00796A9D">
      <w:pPr>
        <w:spacing w:after="0"/>
        <w:jc w:val="both"/>
        <w:rPr>
          <w:rFonts w:ascii="Times New Roman" w:hAnsi="Times New Roman" w:cs="Times New Roman"/>
          <w:sz w:val="24"/>
          <w:szCs w:val="24"/>
          <w:lang w:val="en-US"/>
        </w:rPr>
      </w:pPr>
      <w:r w:rsidRPr="00845A80">
        <w:rPr>
          <w:rFonts w:ascii="Times New Roman" w:hAnsi="Times New Roman" w:cs="Times New Roman"/>
          <w:smallCaps/>
          <w:sz w:val="24"/>
          <w:szCs w:val="24"/>
        </w:rPr>
        <w:t>F. Tasso</w:t>
      </w:r>
      <w:r w:rsidRPr="00845A80">
        <w:rPr>
          <w:rFonts w:ascii="Times New Roman" w:hAnsi="Times New Roman" w:cs="Times New Roman"/>
          <w:sz w:val="24"/>
          <w:szCs w:val="24"/>
        </w:rPr>
        <w:t xml:space="preserve">, </w:t>
      </w:r>
      <w:r w:rsidRPr="00845A80">
        <w:rPr>
          <w:rFonts w:ascii="Times New Roman" w:hAnsi="Times New Roman" w:cs="Times New Roman"/>
          <w:i/>
          <w:sz w:val="24"/>
          <w:szCs w:val="24"/>
        </w:rPr>
        <w:t>Documenti sul Duomo e Gian Galeazzo Visconti tra ingegneri della cattedrale e artisti di corte</w:t>
      </w:r>
      <w:r w:rsidRPr="00845A80">
        <w:rPr>
          <w:rFonts w:ascii="Times New Roman" w:hAnsi="Times New Roman" w:cs="Times New Roman"/>
          <w:sz w:val="24"/>
          <w:szCs w:val="24"/>
        </w:rPr>
        <w:t xml:space="preserve">, in </w:t>
      </w:r>
      <w:r w:rsidRPr="00845A80">
        <w:rPr>
          <w:rFonts w:ascii="Times New Roman" w:hAnsi="Times New Roman" w:cs="Times New Roman"/>
          <w:i/>
          <w:sz w:val="24"/>
          <w:szCs w:val="24"/>
        </w:rPr>
        <w:t>Il Duomo di Milano</w:t>
      </w:r>
      <w:r w:rsidRPr="00845A80">
        <w:rPr>
          <w:rFonts w:ascii="Times New Roman" w:hAnsi="Times New Roman" w:cs="Times New Roman"/>
          <w:sz w:val="24"/>
          <w:szCs w:val="24"/>
        </w:rPr>
        <w:t xml:space="preserve">, a cura di </w:t>
      </w:r>
      <w:r w:rsidRPr="00845A80">
        <w:rPr>
          <w:rFonts w:ascii="Times New Roman" w:hAnsi="Times New Roman" w:cs="Times New Roman"/>
          <w:smallCaps/>
          <w:sz w:val="24"/>
          <w:szCs w:val="24"/>
        </w:rPr>
        <w:t>G. A. Sacchi Landriani, A. Robbiati Bianchi</w:t>
      </w:r>
      <w:r w:rsidRPr="00845A80">
        <w:rPr>
          <w:rFonts w:ascii="Times New Roman" w:hAnsi="Times New Roman" w:cs="Times New Roman"/>
          <w:sz w:val="24"/>
          <w:szCs w:val="24"/>
        </w:rPr>
        <w:t>, Istituto Lombardo di Scienze e Lettere, Milano, 2013, pp. 31-50</w:t>
      </w:r>
      <w:r w:rsidRPr="00845A80">
        <w:rPr>
          <w:sz w:val="24"/>
          <w:szCs w:val="24"/>
        </w:rPr>
        <w:t>.</w:t>
      </w:r>
    </w:p>
    <w:p w14:paraId="7884AB38" w14:textId="77777777" w:rsidR="00796A9D" w:rsidRDefault="00796A9D" w:rsidP="00796A9D">
      <w:pPr>
        <w:spacing w:after="0"/>
        <w:jc w:val="both"/>
        <w:rPr>
          <w:rFonts w:ascii="Times New Roman" w:hAnsi="Times New Roman" w:cs="Times New Roman"/>
          <w:smallCaps/>
          <w:sz w:val="24"/>
          <w:szCs w:val="24"/>
        </w:rPr>
      </w:pPr>
    </w:p>
    <w:p w14:paraId="14A97264"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F. Tateo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centri culturali dell’Umanesimo</w:t>
      </w:r>
      <w:r w:rsidRPr="00BA2DBB">
        <w:rPr>
          <w:rFonts w:ascii="Times New Roman" w:hAnsi="Times New Roman" w:cs="Times New Roman"/>
          <w:sz w:val="24"/>
          <w:szCs w:val="24"/>
        </w:rPr>
        <w:t>, Bari, Laterza, 1971.</w:t>
      </w:r>
    </w:p>
    <w:p w14:paraId="4396214C" w14:textId="77777777" w:rsidR="00796A9D" w:rsidRDefault="00796A9D" w:rsidP="00796A9D">
      <w:pPr>
        <w:spacing w:after="0"/>
        <w:jc w:val="both"/>
        <w:rPr>
          <w:rFonts w:ascii="Times New Roman" w:hAnsi="Times New Roman" w:cs="Times New Roman"/>
          <w:smallCaps/>
          <w:sz w:val="24"/>
          <w:szCs w:val="24"/>
        </w:rPr>
      </w:pPr>
    </w:p>
    <w:p w14:paraId="71883893"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D. Thiébaut</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Les manuscrits italiens du Roi René</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Splendeur de l’enluminure, Le roi René et les Livres</w:t>
      </w:r>
      <w:r w:rsidRPr="00BA2DBB">
        <w:rPr>
          <w:rFonts w:ascii="Times New Roman" w:hAnsi="Times New Roman" w:cs="Times New Roman"/>
          <w:sz w:val="24"/>
          <w:szCs w:val="24"/>
        </w:rPr>
        <w:t xml:space="preserve">, sous la direction de </w:t>
      </w:r>
      <w:r w:rsidRPr="00BA2DBB">
        <w:rPr>
          <w:rFonts w:ascii="Times New Roman" w:hAnsi="Times New Roman" w:cs="Times New Roman"/>
          <w:smallCaps/>
          <w:sz w:val="24"/>
          <w:szCs w:val="24"/>
        </w:rPr>
        <w:t>Marc-Édouard Gautier</w:t>
      </w:r>
      <w:r w:rsidRPr="00BA2DBB">
        <w:rPr>
          <w:rFonts w:ascii="Times New Roman" w:hAnsi="Times New Roman" w:cs="Times New Roman"/>
          <w:sz w:val="24"/>
          <w:szCs w:val="24"/>
        </w:rPr>
        <w:t xml:space="preserve">, Ville d’Angers, Actes Sud, 2009, pp. 47-54. </w:t>
      </w:r>
    </w:p>
    <w:p w14:paraId="11EF42AF" w14:textId="77777777" w:rsidR="00796A9D" w:rsidRDefault="00796A9D" w:rsidP="00796A9D">
      <w:pPr>
        <w:spacing w:after="0"/>
        <w:jc w:val="both"/>
        <w:rPr>
          <w:rFonts w:ascii="Times New Roman" w:hAnsi="Times New Roman" w:cs="Times New Roman"/>
          <w:sz w:val="24"/>
          <w:szCs w:val="24"/>
        </w:rPr>
      </w:pPr>
    </w:p>
    <w:p w14:paraId="22DE00FA" w14:textId="77777777" w:rsidR="00796A9D" w:rsidRPr="008D12DF" w:rsidRDefault="00796A9D" w:rsidP="00796A9D">
      <w:pPr>
        <w:pStyle w:val="Nessunaspaziatura"/>
        <w:jc w:val="both"/>
        <w:rPr>
          <w:rFonts w:ascii="Times New Roman" w:hAnsi="Times New Roman"/>
          <w:sz w:val="24"/>
          <w:szCs w:val="24"/>
        </w:rPr>
      </w:pPr>
      <w:r w:rsidRPr="008D12DF">
        <w:rPr>
          <w:rFonts w:ascii="Times New Roman" w:hAnsi="Times New Roman"/>
          <w:smallCaps/>
          <w:sz w:val="24"/>
          <w:szCs w:val="24"/>
        </w:rPr>
        <w:t xml:space="preserve">A. Tissoni Benvenuti, </w:t>
      </w:r>
      <w:r w:rsidRPr="008D12DF">
        <w:rPr>
          <w:rFonts w:ascii="Times New Roman" w:hAnsi="Times New Roman"/>
          <w:i/>
          <w:sz w:val="24"/>
          <w:szCs w:val="24"/>
        </w:rPr>
        <w:t>Il teatro volgare della Milano sforzesca</w:t>
      </w:r>
      <w:r w:rsidRPr="008D12DF">
        <w:rPr>
          <w:rFonts w:ascii="Times New Roman" w:hAnsi="Times New Roman"/>
          <w:sz w:val="24"/>
          <w:szCs w:val="24"/>
        </w:rPr>
        <w:t xml:space="preserve">, in </w:t>
      </w:r>
      <w:r w:rsidRPr="008D12DF">
        <w:rPr>
          <w:rFonts w:ascii="Times New Roman" w:hAnsi="Times New Roman"/>
          <w:i/>
          <w:sz w:val="24"/>
          <w:szCs w:val="24"/>
        </w:rPr>
        <w:t>Milano nell’età di Ludovico il Moro</w:t>
      </w:r>
      <w:r w:rsidRPr="008D12DF">
        <w:rPr>
          <w:rFonts w:ascii="Times New Roman" w:hAnsi="Times New Roman"/>
          <w:sz w:val="24"/>
          <w:szCs w:val="24"/>
        </w:rPr>
        <w:t xml:space="preserve">, Atti del convegno internazionale </w:t>
      </w:r>
      <w:r>
        <w:rPr>
          <w:rFonts w:ascii="Times New Roman" w:hAnsi="Times New Roman"/>
          <w:sz w:val="24"/>
          <w:szCs w:val="24"/>
        </w:rPr>
        <w:t xml:space="preserve">(Milano, </w:t>
      </w:r>
      <w:r w:rsidRPr="008D12DF">
        <w:rPr>
          <w:rFonts w:ascii="Times New Roman" w:hAnsi="Times New Roman"/>
          <w:sz w:val="24"/>
          <w:szCs w:val="24"/>
        </w:rPr>
        <w:t>28 febbraio-4 marzo 1983</w:t>
      </w:r>
      <w:r>
        <w:rPr>
          <w:rFonts w:ascii="Times New Roman" w:hAnsi="Times New Roman"/>
          <w:sz w:val="24"/>
          <w:szCs w:val="24"/>
        </w:rPr>
        <w:t>)</w:t>
      </w:r>
      <w:r w:rsidRPr="008D12DF">
        <w:rPr>
          <w:rFonts w:ascii="Times New Roman" w:hAnsi="Times New Roman"/>
          <w:sz w:val="24"/>
          <w:szCs w:val="24"/>
        </w:rPr>
        <w:t>, Milano, Comune di Milano e Biblioteca Trivulziana, 1983, p</w:t>
      </w:r>
      <w:r>
        <w:rPr>
          <w:rFonts w:ascii="Times New Roman" w:hAnsi="Times New Roman"/>
          <w:sz w:val="24"/>
          <w:szCs w:val="24"/>
        </w:rPr>
        <w:t>p</w:t>
      </w:r>
      <w:r w:rsidRPr="008D12DF">
        <w:rPr>
          <w:rFonts w:ascii="Times New Roman" w:hAnsi="Times New Roman"/>
          <w:sz w:val="24"/>
          <w:szCs w:val="24"/>
        </w:rPr>
        <w:t>. 333-351.</w:t>
      </w:r>
    </w:p>
    <w:p w14:paraId="39D842A6" w14:textId="77777777" w:rsidR="00796A9D" w:rsidRPr="00BA2DBB" w:rsidRDefault="00796A9D" w:rsidP="00796A9D">
      <w:pPr>
        <w:spacing w:after="0"/>
        <w:jc w:val="both"/>
        <w:rPr>
          <w:rFonts w:ascii="Times New Roman" w:hAnsi="Times New Roman" w:cs="Times New Roman"/>
          <w:sz w:val="24"/>
          <w:szCs w:val="24"/>
        </w:rPr>
      </w:pPr>
    </w:p>
    <w:p w14:paraId="3881AD40"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M. </w:t>
      </w:r>
      <w:r w:rsidRPr="00BA2DBB">
        <w:rPr>
          <w:rFonts w:ascii="Times New Roman" w:hAnsi="Times New Roman" w:cs="Times New Roman"/>
          <w:smallCaps/>
          <w:sz w:val="24"/>
          <w:szCs w:val="24"/>
        </w:rPr>
        <w:t>Tomasi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Pittura murale arturiana in Italia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Modi e forme della fruizione della materia arturiana nell’Italia dei sec. XII-XV</w:t>
      </w:r>
      <w:r w:rsidRPr="00BA2DBB">
        <w:rPr>
          <w:rFonts w:ascii="Times New Roman" w:hAnsi="Times New Roman" w:cs="Times New Roman"/>
          <w:sz w:val="24"/>
          <w:szCs w:val="24"/>
        </w:rPr>
        <w:t xml:space="preserve">, Atti del convegno (Milano, 4-5 febbraio 2005), Milano, Istituto Lombardo di Scienze e Lettere, 2006, pp. 33-66.  </w:t>
      </w:r>
    </w:p>
    <w:p w14:paraId="61E04D02" w14:textId="77777777" w:rsidR="00796A9D" w:rsidRPr="00BA2DBB" w:rsidRDefault="00796A9D" w:rsidP="00796A9D">
      <w:pPr>
        <w:spacing w:after="0"/>
        <w:jc w:val="both"/>
        <w:rPr>
          <w:rFonts w:ascii="Times New Roman" w:hAnsi="Times New Roman" w:cs="Times New Roman"/>
          <w:sz w:val="24"/>
          <w:szCs w:val="24"/>
        </w:rPr>
      </w:pPr>
    </w:p>
    <w:p w14:paraId="74F740FB"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F. Toniolo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Descrizione codicologica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La Bibbia di Borso d’Este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Commentario al codice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Idem</w:t>
      </w:r>
      <w:r w:rsidRPr="00BA2DBB">
        <w:rPr>
          <w:rFonts w:ascii="Times New Roman" w:hAnsi="Times New Roman" w:cs="Times New Roman"/>
          <w:sz w:val="24"/>
          <w:szCs w:val="24"/>
        </w:rPr>
        <w:t>, Modena, Franco Cosimo Panini, 1996, vol. I, pp. 139-142.</w:t>
      </w:r>
    </w:p>
    <w:p w14:paraId="4C84D5AB" w14:textId="77777777" w:rsidR="00796A9D" w:rsidRPr="00BA2DBB" w:rsidRDefault="00796A9D" w:rsidP="00796A9D">
      <w:pPr>
        <w:spacing w:after="0"/>
        <w:jc w:val="both"/>
        <w:rPr>
          <w:rFonts w:ascii="Times New Roman" w:hAnsi="Times New Roman" w:cs="Times New Roman"/>
          <w:sz w:val="24"/>
          <w:szCs w:val="24"/>
        </w:rPr>
      </w:pPr>
    </w:p>
    <w:p w14:paraId="1F05DDF6"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z w:val="24"/>
          <w:szCs w:val="24"/>
        </w:rPr>
        <w:t xml:space="preserve">F. </w:t>
      </w:r>
      <w:r w:rsidRPr="00BA2DBB">
        <w:rPr>
          <w:rFonts w:ascii="Times New Roman" w:hAnsi="Times New Roman" w:cs="Times New Roman"/>
          <w:smallCaps/>
          <w:sz w:val="24"/>
          <w:szCs w:val="24"/>
        </w:rPr>
        <w:t>Toniolo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miniatura in Emilia Romagna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La miniatura in Italia</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A. Putaturo Donati Murano, A. Perriccioli Saggese</w:t>
      </w:r>
      <w:r w:rsidRPr="00BA2DBB">
        <w:rPr>
          <w:rFonts w:ascii="Times New Roman" w:hAnsi="Times New Roman" w:cs="Times New Roman"/>
          <w:sz w:val="24"/>
          <w:szCs w:val="24"/>
        </w:rPr>
        <w:t xml:space="preserve">, Napoli, Edizioni Scientifiche Italiane, 2009, vol. II, </w:t>
      </w:r>
      <w:r w:rsidRPr="00BA2DBB">
        <w:rPr>
          <w:rFonts w:ascii="Times New Roman" w:hAnsi="Times New Roman" w:cs="Times New Roman"/>
          <w:i/>
          <w:sz w:val="24"/>
          <w:szCs w:val="24"/>
        </w:rPr>
        <w:t>Dal tardogotico al manierismo</w:t>
      </w:r>
      <w:r w:rsidRPr="00BA2DBB">
        <w:rPr>
          <w:rFonts w:ascii="Times New Roman" w:hAnsi="Times New Roman" w:cs="Times New Roman"/>
          <w:sz w:val="24"/>
          <w:szCs w:val="24"/>
        </w:rPr>
        <w:t>, pp. 372-399.</w:t>
      </w:r>
    </w:p>
    <w:p w14:paraId="3F20DBDE" w14:textId="77777777" w:rsidR="00796A9D" w:rsidRPr="00BA2DBB" w:rsidRDefault="00796A9D" w:rsidP="00796A9D">
      <w:pPr>
        <w:spacing w:after="0"/>
        <w:jc w:val="both"/>
        <w:rPr>
          <w:rFonts w:ascii="Times New Roman" w:hAnsi="Times New Roman" w:cs="Times New Roman"/>
          <w:sz w:val="24"/>
          <w:szCs w:val="24"/>
        </w:rPr>
      </w:pPr>
    </w:p>
    <w:p w14:paraId="6A9FA1A6"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A. Torroncelli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Note per la Biblioteca di Marco Barbo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Scrittura, biblioteche e stampa a Roma nel Quattrocento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Aspetti e problemi</w:t>
      </w:r>
      <w:r w:rsidRPr="00BA2DBB">
        <w:rPr>
          <w:rFonts w:ascii="Times New Roman" w:hAnsi="Times New Roman" w:cs="Times New Roman"/>
          <w:sz w:val="24"/>
          <w:szCs w:val="24"/>
        </w:rPr>
        <w:t xml:space="preserve">. Atti del Seminario 1-2 giugno 1979, a cura di </w:t>
      </w:r>
      <w:r w:rsidRPr="00BA2DBB">
        <w:rPr>
          <w:rFonts w:ascii="Times New Roman" w:hAnsi="Times New Roman" w:cs="Times New Roman"/>
          <w:smallCaps/>
          <w:sz w:val="24"/>
          <w:szCs w:val="24"/>
        </w:rPr>
        <w:t>C. Bianca, P. Farenga, G. Lombardi</w:t>
      </w:r>
      <w:r w:rsidRPr="00BA2DBB">
        <w:rPr>
          <w:rFonts w:ascii="Times New Roman" w:hAnsi="Times New Roman" w:cs="Times New Roman"/>
          <w:sz w:val="24"/>
          <w:szCs w:val="24"/>
        </w:rPr>
        <w:t>, Città del Vaticano, Scuola vaticana di paleografia, diplomatica e archivistica, 1980, pp. 343-352.</w:t>
      </w:r>
    </w:p>
    <w:p w14:paraId="09093A85" w14:textId="77777777" w:rsidR="00796A9D" w:rsidRPr="00BA2DBB" w:rsidRDefault="00796A9D" w:rsidP="00796A9D">
      <w:pPr>
        <w:spacing w:after="0"/>
        <w:jc w:val="both"/>
        <w:rPr>
          <w:rFonts w:ascii="Times New Roman" w:hAnsi="Times New Roman" w:cs="Times New Roman"/>
          <w:sz w:val="24"/>
          <w:szCs w:val="24"/>
        </w:rPr>
      </w:pPr>
    </w:p>
    <w:p w14:paraId="4216B24B"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G. Toscano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formazione della biblioteca di Alfonso il Magnanimo: fonti, libri, inventari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La Biblioteca reale di Napoli al tempo della dinastia aragonese</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Idem</w:t>
      </w:r>
      <w:r w:rsidRPr="00BA2DBB">
        <w:rPr>
          <w:rFonts w:ascii="Times New Roman" w:hAnsi="Times New Roman" w:cs="Times New Roman"/>
          <w:sz w:val="24"/>
          <w:szCs w:val="24"/>
        </w:rPr>
        <w:t xml:space="preserve">, Valencia, Generalitat Valenciana, 1998, pp. 192-201. </w:t>
      </w:r>
    </w:p>
    <w:p w14:paraId="7BC2C700" w14:textId="77777777" w:rsidR="00796A9D" w:rsidRPr="00BA2DBB" w:rsidRDefault="00796A9D" w:rsidP="00796A9D">
      <w:pPr>
        <w:pStyle w:val="Testonotaapidipagina"/>
        <w:jc w:val="both"/>
        <w:rPr>
          <w:rFonts w:ascii="Times New Roman" w:hAnsi="Times New Roman" w:cs="Times New Roman"/>
          <w:sz w:val="24"/>
          <w:szCs w:val="24"/>
        </w:rPr>
      </w:pPr>
    </w:p>
    <w:p w14:paraId="7A595072"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G. Toscano</w:t>
      </w:r>
      <w:r w:rsidRPr="00BA2DBB">
        <w:rPr>
          <w:rFonts w:ascii="Times New Roman" w:hAnsi="Times New Roman" w:cs="Times New Roman"/>
          <w:i/>
          <w:sz w:val="24"/>
          <w:szCs w:val="24"/>
        </w:rPr>
        <w:t>,</w:t>
      </w:r>
      <w:r>
        <w:rPr>
          <w:rFonts w:ascii="Times New Roman" w:hAnsi="Times New Roman" w:cs="Times New Roman"/>
          <w:i/>
          <w:sz w:val="24"/>
          <w:szCs w:val="24"/>
        </w:rPr>
        <w:t xml:space="preserve"> </w:t>
      </w:r>
      <w:r w:rsidRPr="00BA2DBB">
        <w:rPr>
          <w:rFonts w:ascii="Times New Roman" w:hAnsi="Times New Roman" w:cs="Times New Roman"/>
          <w:i/>
          <w:sz w:val="24"/>
          <w:szCs w:val="24"/>
        </w:rPr>
        <w:t>«À la gloire de Ferdinand d’Aragon, roi de Naples»: le “De Maiestate” de Iuniano Maio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enluminé par Nardo Rapicano</w:t>
      </w:r>
      <w:r w:rsidRPr="00BA2DBB">
        <w:rPr>
          <w:rFonts w:ascii="Times New Roman" w:hAnsi="Times New Roman" w:cs="Times New Roman"/>
          <w:sz w:val="24"/>
          <w:szCs w:val="24"/>
        </w:rPr>
        <w:t xml:space="preserve">, dans </w:t>
      </w:r>
      <w:r w:rsidRPr="00BA2DBB">
        <w:rPr>
          <w:rFonts w:ascii="Times New Roman" w:hAnsi="Times New Roman" w:cs="Times New Roman"/>
          <w:i/>
          <w:sz w:val="24"/>
          <w:szCs w:val="24"/>
        </w:rPr>
        <w:t>L’Illustration. Essais d’iconographie</w:t>
      </w:r>
      <w:r w:rsidRPr="00BA2DBB">
        <w:rPr>
          <w:rFonts w:ascii="Times New Roman" w:hAnsi="Times New Roman" w:cs="Times New Roman"/>
          <w:sz w:val="24"/>
          <w:szCs w:val="24"/>
        </w:rPr>
        <w:t xml:space="preserve">, sous la direction de </w:t>
      </w:r>
      <w:r w:rsidRPr="00BA2DBB">
        <w:rPr>
          <w:rFonts w:ascii="Times New Roman" w:hAnsi="Times New Roman" w:cs="Times New Roman"/>
          <w:smallCaps/>
          <w:sz w:val="24"/>
          <w:szCs w:val="24"/>
        </w:rPr>
        <w:t>M.T. Caracciolo, S. Le Men</w:t>
      </w:r>
      <w:r w:rsidRPr="00BA2DBB">
        <w:rPr>
          <w:rFonts w:ascii="Times New Roman" w:hAnsi="Times New Roman" w:cs="Times New Roman"/>
          <w:sz w:val="24"/>
          <w:szCs w:val="24"/>
        </w:rPr>
        <w:t>, Paris, Klincksieck, 1999, pp. 125-145.</w:t>
      </w:r>
    </w:p>
    <w:p w14:paraId="4F701295" w14:textId="77777777" w:rsidR="00796A9D" w:rsidRPr="00BA2DBB" w:rsidRDefault="00796A9D" w:rsidP="00796A9D">
      <w:pPr>
        <w:spacing w:after="0"/>
        <w:jc w:val="both"/>
        <w:rPr>
          <w:rFonts w:ascii="Times New Roman" w:hAnsi="Times New Roman" w:cs="Times New Roman"/>
          <w:smallCaps/>
          <w:sz w:val="24"/>
          <w:szCs w:val="24"/>
        </w:rPr>
      </w:pPr>
    </w:p>
    <w:p w14:paraId="1985D0FF" w14:textId="77777777" w:rsidR="00796A9D" w:rsidRPr="00BA2DBB" w:rsidRDefault="00796A9D" w:rsidP="00796A9D">
      <w:pPr>
        <w:spacing w:after="0"/>
        <w:jc w:val="both"/>
        <w:rPr>
          <w:rFonts w:ascii="Times New Roman" w:hAnsi="Times New Roman" w:cs="Times New Roman"/>
          <w:smallCaps/>
          <w:sz w:val="24"/>
          <w:szCs w:val="24"/>
        </w:rPr>
      </w:pPr>
      <w:r w:rsidRPr="00BA2DBB">
        <w:rPr>
          <w:rFonts w:ascii="Times New Roman" w:hAnsi="Times New Roman" w:cs="Times New Roman"/>
          <w:smallCaps/>
          <w:sz w:val="24"/>
          <w:szCs w:val="24"/>
        </w:rPr>
        <w:t>G. Toscano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Pour Nardo Rapicano enlumineur: le Missel d’Alfonso Strozzi de la Bibliothèque universitaire de Leipzig</w:t>
      </w:r>
      <w:r w:rsidRPr="00BA2DBB">
        <w:rPr>
          <w:rFonts w:ascii="Times New Roman" w:hAnsi="Times New Roman" w:cs="Times New Roman"/>
          <w:sz w:val="24"/>
          <w:szCs w:val="24"/>
        </w:rPr>
        <w:t xml:space="preserve">, dans </w:t>
      </w:r>
      <w:r w:rsidRPr="00BA2DBB">
        <w:rPr>
          <w:rFonts w:ascii="Times New Roman" w:hAnsi="Times New Roman" w:cs="Times New Roman"/>
          <w:i/>
          <w:sz w:val="24"/>
          <w:szCs w:val="24"/>
        </w:rPr>
        <w:t>Quand la peinture était dans les livres</w:t>
      </w:r>
      <w:r w:rsidRPr="00BA2DBB">
        <w:rPr>
          <w:rFonts w:ascii="Times New Roman" w:hAnsi="Times New Roman" w:cs="Times New Roman"/>
          <w:sz w:val="24"/>
          <w:szCs w:val="24"/>
        </w:rPr>
        <w:t xml:space="preserve">, sous la direction de M. </w:t>
      </w:r>
      <w:r w:rsidRPr="00A32B12">
        <w:rPr>
          <w:rFonts w:ascii="Times New Roman" w:hAnsi="Times New Roman" w:cs="Times New Roman"/>
          <w:smallCaps/>
          <w:sz w:val="24"/>
          <w:szCs w:val="24"/>
        </w:rPr>
        <w:t>Hofmann, C. Zöhl</w:t>
      </w:r>
      <w:r w:rsidRPr="00BA2DBB">
        <w:rPr>
          <w:rFonts w:ascii="Times New Roman" w:hAnsi="Times New Roman" w:cs="Times New Roman"/>
          <w:sz w:val="24"/>
          <w:szCs w:val="24"/>
        </w:rPr>
        <w:t>, Paris, Brepols, 2007, pp. 353-366.</w:t>
      </w:r>
    </w:p>
    <w:p w14:paraId="3DAF8B92" w14:textId="77777777" w:rsidR="00796A9D" w:rsidRPr="00BA2DBB" w:rsidRDefault="00796A9D" w:rsidP="00796A9D">
      <w:pPr>
        <w:spacing w:after="0"/>
        <w:jc w:val="both"/>
        <w:rPr>
          <w:rFonts w:ascii="Times New Roman" w:hAnsi="Times New Roman" w:cs="Times New Roman"/>
          <w:smallCaps/>
          <w:sz w:val="24"/>
          <w:szCs w:val="24"/>
        </w:rPr>
      </w:pPr>
    </w:p>
    <w:p w14:paraId="128A3E14"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Toscano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biblioteche dei sovrani aragonesi di Napoli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Principi e Signori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Principi e Signori. Le Biblioteche nella seconda metà del Quattrocento</w:t>
      </w:r>
      <w:r w:rsidRPr="00BA2DBB">
        <w:rPr>
          <w:rFonts w:ascii="Times New Roman" w:hAnsi="Times New Roman" w:cs="Times New Roman"/>
          <w:sz w:val="24"/>
          <w:szCs w:val="24"/>
        </w:rPr>
        <w:t xml:space="preserve">. Atti del Convegno (Urbino, 5-6 giugno 2008), a cura di </w:t>
      </w:r>
      <w:r w:rsidRPr="00BA2DBB">
        <w:rPr>
          <w:rFonts w:ascii="Times New Roman" w:hAnsi="Times New Roman" w:cs="Times New Roman"/>
          <w:smallCaps/>
          <w:sz w:val="24"/>
          <w:szCs w:val="24"/>
        </w:rPr>
        <w:t>G. Arbizzoni, C. Bianca, M. Peruzzi</w:t>
      </w:r>
      <w:r w:rsidRPr="00BA2DBB">
        <w:rPr>
          <w:rFonts w:ascii="Times New Roman" w:hAnsi="Times New Roman" w:cs="Times New Roman"/>
          <w:sz w:val="24"/>
          <w:szCs w:val="24"/>
        </w:rPr>
        <w:t>, Urbino, Accademia Raffaello, 2008 pp. 163-216.</w:t>
      </w:r>
    </w:p>
    <w:p w14:paraId="5C7C372B" w14:textId="77777777" w:rsidR="00796A9D" w:rsidRPr="00BA2DBB" w:rsidRDefault="00796A9D" w:rsidP="00796A9D">
      <w:pPr>
        <w:spacing w:after="0"/>
        <w:jc w:val="both"/>
        <w:rPr>
          <w:rFonts w:ascii="Times New Roman" w:hAnsi="Times New Roman" w:cs="Times New Roman"/>
          <w:sz w:val="24"/>
          <w:szCs w:val="24"/>
        </w:rPr>
      </w:pPr>
    </w:p>
    <w:p w14:paraId="245D456A"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Toscano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napoletana dei re d’Aragona da Tammaro de Marinis ad oggi. Studi e prospettive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Biblioteche nel Regno fra Tre e Cinquecento</w:t>
      </w:r>
      <w:r w:rsidRPr="00BA2DBB">
        <w:rPr>
          <w:rFonts w:ascii="Times New Roman" w:hAnsi="Times New Roman" w:cs="Times New Roman"/>
          <w:sz w:val="24"/>
          <w:szCs w:val="24"/>
        </w:rPr>
        <w:t xml:space="preserve">, a cura di </w:t>
      </w:r>
      <w:r w:rsidRPr="00BA2DBB">
        <w:rPr>
          <w:rFonts w:ascii="Times New Roman" w:hAnsi="Times New Roman" w:cs="Times New Roman"/>
          <w:smallCaps/>
          <w:sz w:val="24"/>
          <w:szCs w:val="24"/>
        </w:rPr>
        <w:t>C. Corfiati, M. de Nichilo</w:t>
      </w:r>
      <w:r w:rsidRPr="00BA2DBB">
        <w:rPr>
          <w:rFonts w:ascii="Times New Roman" w:hAnsi="Times New Roman" w:cs="Times New Roman"/>
          <w:sz w:val="24"/>
          <w:szCs w:val="24"/>
        </w:rPr>
        <w:t>, Lecce, Pensa Multimedia, 2009, pp. 29-63.</w:t>
      </w:r>
    </w:p>
    <w:p w14:paraId="293CB05A" w14:textId="77777777" w:rsidR="00796A9D" w:rsidRPr="00BA2DBB" w:rsidRDefault="00796A9D" w:rsidP="00796A9D">
      <w:pPr>
        <w:spacing w:after="0"/>
        <w:jc w:val="both"/>
        <w:rPr>
          <w:rFonts w:ascii="Times New Roman" w:hAnsi="Times New Roman" w:cs="Times New Roman"/>
          <w:smallCaps/>
          <w:sz w:val="24"/>
          <w:szCs w:val="24"/>
        </w:rPr>
      </w:pPr>
    </w:p>
    <w:p w14:paraId="1846330E"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Toscano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Le cardinal Jean Jouffroy ou l’introduction du livre italien de la Renaissance en France</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goût de la Renaissance italienne. Le manuscripts enluminés de Jean Jouffroy, cardianl d’Albi (1412-1473),</w:t>
      </w:r>
      <w:r w:rsidRPr="00BA2DBB">
        <w:rPr>
          <w:rFonts w:ascii="Times New Roman" w:hAnsi="Times New Roman" w:cs="Times New Roman"/>
          <w:sz w:val="24"/>
          <w:szCs w:val="24"/>
        </w:rPr>
        <w:t xml:space="preserve"> sous la direction de </w:t>
      </w:r>
      <w:r w:rsidRPr="00BA2DBB">
        <w:rPr>
          <w:rFonts w:ascii="Times New Roman" w:hAnsi="Times New Roman" w:cs="Times New Roman"/>
          <w:smallCaps/>
          <w:sz w:val="24"/>
          <w:szCs w:val="24"/>
        </w:rPr>
        <w:t>M. Desachy, G. Toscano</w:t>
      </w:r>
      <w:r w:rsidRPr="00BA2DBB">
        <w:rPr>
          <w:rFonts w:ascii="Times New Roman" w:hAnsi="Times New Roman" w:cs="Times New Roman"/>
          <w:sz w:val="24"/>
          <w:szCs w:val="24"/>
        </w:rPr>
        <w:t>, Cinisello Balsamo, Silvana, 2010, pp. 105-136.</w:t>
      </w:r>
    </w:p>
    <w:p w14:paraId="58216911" w14:textId="77777777" w:rsidR="00796A9D" w:rsidRDefault="00796A9D" w:rsidP="00796A9D">
      <w:pPr>
        <w:spacing w:after="0"/>
        <w:jc w:val="both"/>
        <w:rPr>
          <w:rFonts w:ascii="Times New Roman" w:hAnsi="Times New Roman" w:cs="Times New Roman"/>
          <w:sz w:val="24"/>
          <w:szCs w:val="24"/>
        </w:rPr>
      </w:pPr>
    </w:p>
    <w:p w14:paraId="14C887DF" w14:textId="77777777" w:rsidR="00796A9D" w:rsidRPr="004F6437" w:rsidRDefault="00796A9D" w:rsidP="00796A9D">
      <w:pPr>
        <w:spacing w:after="0"/>
        <w:jc w:val="both"/>
        <w:rPr>
          <w:rFonts w:ascii="Times New Roman" w:hAnsi="Times New Roman" w:cs="Times New Roman"/>
          <w:sz w:val="24"/>
          <w:szCs w:val="24"/>
        </w:rPr>
      </w:pPr>
      <w:r w:rsidRPr="004F6437">
        <w:rPr>
          <w:rFonts w:ascii="Times New Roman" w:hAnsi="Times New Roman" w:cs="Times New Roman"/>
          <w:sz w:val="24"/>
          <w:szCs w:val="24"/>
        </w:rPr>
        <w:t xml:space="preserve">G. </w:t>
      </w:r>
      <w:r w:rsidRPr="004F6437">
        <w:rPr>
          <w:rFonts w:ascii="Times New Roman" w:hAnsi="Times New Roman" w:cs="Times New Roman"/>
          <w:smallCaps/>
          <w:sz w:val="24"/>
          <w:szCs w:val="24"/>
        </w:rPr>
        <w:t>Toscano</w:t>
      </w:r>
      <w:r w:rsidRPr="004F6437">
        <w:rPr>
          <w:rFonts w:ascii="Times New Roman" w:hAnsi="Times New Roman" w:cs="Times New Roman"/>
          <w:sz w:val="24"/>
          <w:szCs w:val="24"/>
        </w:rPr>
        <w:t xml:space="preserve">, </w:t>
      </w:r>
      <w:r w:rsidRPr="004F6437">
        <w:rPr>
          <w:rFonts w:ascii="Times New Roman" w:hAnsi="Times New Roman" w:cs="Times New Roman"/>
          <w:i/>
          <w:sz w:val="24"/>
          <w:szCs w:val="24"/>
        </w:rPr>
        <w:t xml:space="preserve">Naples et la cour de Bourgogne à l’époque des rois d’Aragon (1442-1494), </w:t>
      </w:r>
      <w:r w:rsidRPr="004F6437">
        <w:rPr>
          <w:rFonts w:ascii="Times New Roman" w:hAnsi="Times New Roman" w:cs="Times New Roman"/>
          <w:sz w:val="24"/>
          <w:szCs w:val="24"/>
        </w:rPr>
        <w:t xml:space="preserve">in </w:t>
      </w:r>
      <w:r w:rsidRPr="004F6437">
        <w:rPr>
          <w:rFonts w:ascii="Times New Roman" w:hAnsi="Times New Roman" w:cs="Times New Roman"/>
          <w:i/>
          <w:sz w:val="24"/>
          <w:szCs w:val="24"/>
        </w:rPr>
        <w:t>La Cour de Bougogne et l’Europe. Le rayonnement et les limites d’un modèle culturel.</w:t>
      </w:r>
      <w:r w:rsidRPr="004F6437">
        <w:rPr>
          <w:rFonts w:ascii="Times New Roman" w:hAnsi="Times New Roman" w:cs="Times New Roman"/>
          <w:sz w:val="24"/>
          <w:szCs w:val="24"/>
        </w:rPr>
        <w:t xml:space="preserve"> Actes du colloque international tenu à Paris les 9, 10 et 11 octobre 2007, Paris, Verlag, 2013.</w:t>
      </w:r>
    </w:p>
    <w:p w14:paraId="6C112F8E" w14:textId="77777777" w:rsidR="00796A9D" w:rsidRDefault="00796A9D" w:rsidP="00796A9D">
      <w:pPr>
        <w:spacing w:after="0"/>
        <w:jc w:val="both"/>
        <w:rPr>
          <w:rFonts w:ascii="Times New Roman" w:hAnsi="Times New Roman" w:cs="Times New Roman"/>
          <w:sz w:val="24"/>
          <w:szCs w:val="24"/>
        </w:rPr>
      </w:pPr>
    </w:p>
    <w:p w14:paraId="6A5A479B" w14:textId="77777777" w:rsidR="00796A9D" w:rsidRPr="004C5C1D" w:rsidRDefault="00796A9D" w:rsidP="00796A9D">
      <w:pPr>
        <w:spacing w:after="0"/>
        <w:jc w:val="both"/>
        <w:rPr>
          <w:rFonts w:ascii="Times New Roman" w:hAnsi="Times New Roman" w:cs="Times New Roman"/>
          <w:sz w:val="24"/>
          <w:szCs w:val="24"/>
        </w:rPr>
      </w:pPr>
      <w:r w:rsidRPr="004C5C1D">
        <w:rPr>
          <w:rFonts w:ascii="Times New Roman" w:hAnsi="Times New Roman" w:cs="Times New Roman"/>
          <w:smallCaps/>
          <w:sz w:val="24"/>
          <w:szCs w:val="24"/>
        </w:rPr>
        <w:t>G. Tosi</w:t>
      </w:r>
      <w:r w:rsidRPr="004C5C1D">
        <w:rPr>
          <w:rFonts w:ascii="Times New Roman" w:hAnsi="Times New Roman" w:cs="Times New Roman"/>
          <w:sz w:val="24"/>
          <w:szCs w:val="24"/>
        </w:rPr>
        <w:t xml:space="preserve">, </w:t>
      </w:r>
      <w:r w:rsidRPr="004C5C1D">
        <w:rPr>
          <w:rFonts w:ascii="Times New Roman" w:hAnsi="Times New Roman" w:cs="Times New Roman"/>
          <w:i/>
          <w:sz w:val="24"/>
          <w:szCs w:val="24"/>
        </w:rPr>
        <w:t>La carpenteria negli edifici per spettacoli</w:t>
      </w:r>
      <w:r w:rsidRPr="004C5C1D">
        <w:rPr>
          <w:rFonts w:ascii="Times New Roman" w:hAnsi="Times New Roman" w:cs="Times New Roman"/>
          <w:sz w:val="24"/>
          <w:szCs w:val="24"/>
        </w:rPr>
        <w:t xml:space="preserve">, in </w:t>
      </w:r>
      <w:r w:rsidRPr="004C5C1D">
        <w:rPr>
          <w:rFonts w:ascii="Times New Roman" w:hAnsi="Times New Roman" w:cs="Times New Roman"/>
          <w:i/>
          <w:sz w:val="24"/>
          <w:szCs w:val="24"/>
        </w:rPr>
        <w:t>Gli edifici per spettacoli nell’Italia romana</w:t>
      </w:r>
      <w:r w:rsidRPr="004C5C1D">
        <w:rPr>
          <w:rFonts w:ascii="Times New Roman" w:hAnsi="Times New Roman" w:cs="Times New Roman"/>
          <w:sz w:val="24"/>
          <w:szCs w:val="24"/>
        </w:rPr>
        <w:t xml:space="preserve">, a cura di </w:t>
      </w:r>
      <w:r w:rsidRPr="004C5C1D">
        <w:rPr>
          <w:rFonts w:ascii="Times New Roman" w:hAnsi="Times New Roman" w:cs="Times New Roman"/>
          <w:smallCaps/>
          <w:sz w:val="24"/>
          <w:szCs w:val="24"/>
        </w:rPr>
        <w:t>Eadem</w:t>
      </w:r>
      <w:r w:rsidRPr="004C5C1D">
        <w:rPr>
          <w:rFonts w:ascii="Times New Roman" w:hAnsi="Times New Roman" w:cs="Times New Roman"/>
          <w:sz w:val="24"/>
          <w:szCs w:val="24"/>
        </w:rPr>
        <w:t>, Roma, Quasar, 2003.</w:t>
      </w:r>
    </w:p>
    <w:p w14:paraId="2479EA3D" w14:textId="77777777" w:rsidR="00796A9D" w:rsidRDefault="00796A9D" w:rsidP="00796A9D">
      <w:pPr>
        <w:spacing w:after="0"/>
        <w:jc w:val="both"/>
        <w:rPr>
          <w:rFonts w:ascii="Times New Roman" w:hAnsi="Times New Roman" w:cs="Times New Roman"/>
          <w:sz w:val="24"/>
          <w:szCs w:val="24"/>
        </w:rPr>
      </w:pPr>
    </w:p>
    <w:p w14:paraId="741BF355" w14:textId="77777777" w:rsidR="00796A9D" w:rsidRDefault="00796A9D" w:rsidP="00796A9D">
      <w:pPr>
        <w:spacing w:after="0"/>
        <w:jc w:val="both"/>
        <w:rPr>
          <w:rFonts w:ascii="Times New Roman" w:hAnsi="Times New Roman" w:cs="Times New Roman"/>
          <w:sz w:val="24"/>
          <w:szCs w:val="24"/>
        </w:rPr>
      </w:pPr>
      <w:r w:rsidRPr="000A2F8D">
        <w:rPr>
          <w:rFonts w:ascii="Times New Roman" w:hAnsi="Times New Roman" w:cs="Times New Roman"/>
          <w:sz w:val="24"/>
          <w:szCs w:val="24"/>
        </w:rPr>
        <w:t xml:space="preserve">M. </w:t>
      </w:r>
      <w:r w:rsidRPr="000A2F8D">
        <w:rPr>
          <w:rFonts w:ascii="Times New Roman" w:hAnsi="Times New Roman" w:cs="Times New Roman"/>
          <w:smallCaps/>
          <w:sz w:val="24"/>
          <w:szCs w:val="24"/>
        </w:rPr>
        <w:t>Traina</w:t>
      </w:r>
      <w:r w:rsidRPr="000A2F8D">
        <w:rPr>
          <w:rFonts w:ascii="Times New Roman" w:hAnsi="Times New Roman" w:cs="Times New Roman"/>
          <w:i/>
          <w:sz w:val="24"/>
          <w:szCs w:val="24"/>
        </w:rPr>
        <w:t>, Il linguaggio delle monete: motti, imprese e leggende di monete italiane</w:t>
      </w:r>
      <w:r w:rsidRPr="000A2F8D">
        <w:rPr>
          <w:rFonts w:ascii="Times New Roman" w:hAnsi="Times New Roman" w:cs="Times New Roman"/>
          <w:sz w:val="24"/>
          <w:szCs w:val="24"/>
        </w:rPr>
        <w:t>, Sesto Fiorentino, Olimpia, 2006.</w:t>
      </w:r>
    </w:p>
    <w:p w14:paraId="6F530786" w14:textId="77777777" w:rsidR="00796A9D" w:rsidRDefault="00796A9D" w:rsidP="00796A9D">
      <w:pPr>
        <w:spacing w:after="0"/>
        <w:jc w:val="both"/>
        <w:rPr>
          <w:rFonts w:ascii="Times New Roman" w:hAnsi="Times New Roman" w:cs="Times New Roman"/>
          <w:sz w:val="24"/>
          <w:szCs w:val="24"/>
        </w:rPr>
      </w:pPr>
    </w:p>
    <w:p w14:paraId="5F54A56D" w14:textId="77777777" w:rsidR="00796A9D" w:rsidRDefault="00796A9D" w:rsidP="00796A9D">
      <w:pPr>
        <w:spacing w:after="0"/>
        <w:jc w:val="both"/>
        <w:rPr>
          <w:rFonts w:ascii="Times New Roman" w:hAnsi="Times New Roman" w:cs="Times New Roman"/>
          <w:sz w:val="24"/>
          <w:szCs w:val="24"/>
        </w:rPr>
      </w:pPr>
      <w:r w:rsidRPr="00B24602">
        <w:rPr>
          <w:rFonts w:ascii="Times New Roman" w:hAnsi="Times New Roman" w:cs="Times New Roman"/>
          <w:smallCaps/>
          <w:sz w:val="24"/>
          <w:szCs w:val="24"/>
        </w:rPr>
        <w:t>A.L. Trombetti Budriesi</w:t>
      </w:r>
      <w:r w:rsidRPr="00B24602">
        <w:rPr>
          <w:rFonts w:ascii="Times New Roman" w:hAnsi="Times New Roman" w:cs="Times New Roman"/>
          <w:sz w:val="24"/>
          <w:szCs w:val="24"/>
        </w:rPr>
        <w:t xml:space="preserve">, </w:t>
      </w:r>
      <w:r w:rsidRPr="00B24602">
        <w:rPr>
          <w:rFonts w:ascii="Times New Roman" w:hAnsi="Times New Roman" w:cs="Times New Roman"/>
          <w:i/>
          <w:sz w:val="24"/>
          <w:szCs w:val="24"/>
        </w:rPr>
        <w:t>Un gallo ad Asclepio: Morte, morti e società tra antichità e prima età moderna</w:t>
      </w:r>
      <w:r w:rsidRPr="00B24602">
        <w:rPr>
          <w:rFonts w:ascii="Times New Roman" w:hAnsi="Times New Roman" w:cs="Times New Roman"/>
          <w:sz w:val="24"/>
          <w:szCs w:val="24"/>
        </w:rPr>
        <w:t>, Bologna, CLUEB, 2014.</w:t>
      </w:r>
    </w:p>
    <w:p w14:paraId="4D5B2947" w14:textId="77777777" w:rsidR="00796A9D" w:rsidRDefault="00796A9D" w:rsidP="00796A9D">
      <w:pPr>
        <w:spacing w:after="0"/>
        <w:jc w:val="both"/>
        <w:rPr>
          <w:rFonts w:ascii="Times New Roman" w:hAnsi="Times New Roman" w:cs="Times New Roman"/>
          <w:sz w:val="24"/>
          <w:szCs w:val="24"/>
        </w:rPr>
      </w:pPr>
    </w:p>
    <w:p w14:paraId="3D4B6B19" w14:textId="77777777" w:rsidR="00796A9D" w:rsidRPr="00A8745E" w:rsidRDefault="00796A9D" w:rsidP="00796A9D">
      <w:pPr>
        <w:spacing w:after="0"/>
        <w:jc w:val="both"/>
        <w:rPr>
          <w:rFonts w:ascii="Times New Roman" w:hAnsi="Times New Roman" w:cs="Times New Roman"/>
          <w:sz w:val="24"/>
          <w:szCs w:val="24"/>
        </w:rPr>
      </w:pPr>
      <w:r w:rsidRPr="00A8745E">
        <w:rPr>
          <w:rFonts w:ascii="Times New Roman" w:hAnsi="Times New Roman" w:cs="Times New Roman"/>
          <w:smallCaps/>
          <w:sz w:val="24"/>
          <w:szCs w:val="24"/>
        </w:rPr>
        <w:t>T. Tuohy</w:t>
      </w:r>
      <w:r w:rsidRPr="00A8745E">
        <w:rPr>
          <w:rFonts w:ascii="Times New Roman" w:hAnsi="Times New Roman" w:cs="Times New Roman"/>
          <w:sz w:val="24"/>
          <w:szCs w:val="24"/>
        </w:rPr>
        <w:t xml:space="preserve">, </w:t>
      </w:r>
      <w:r w:rsidRPr="00A8745E">
        <w:rPr>
          <w:rFonts w:ascii="Times New Roman" w:hAnsi="Times New Roman" w:cs="Times New Roman"/>
          <w:i/>
          <w:sz w:val="24"/>
          <w:szCs w:val="24"/>
        </w:rPr>
        <w:t xml:space="preserve">Herculean Ferrara. </w:t>
      </w:r>
      <w:r w:rsidRPr="00A8745E">
        <w:rPr>
          <w:rFonts w:ascii="Times New Roman" w:hAnsi="Times New Roman" w:cs="Times New Roman"/>
          <w:i/>
          <w:sz w:val="24"/>
          <w:szCs w:val="24"/>
          <w:lang w:val="en-GB"/>
        </w:rPr>
        <w:t>Ercole d’Este, 1471-1505, and the Invention of a Ducal Capital</w:t>
      </w:r>
      <w:r w:rsidRPr="00A8745E">
        <w:rPr>
          <w:rFonts w:ascii="Times New Roman" w:hAnsi="Times New Roman" w:cs="Times New Roman"/>
          <w:sz w:val="24"/>
          <w:szCs w:val="24"/>
          <w:lang w:val="en-GB"/>
        </w:rPr>
        <w:t>, Cambridge, Cambridge University Press, 1996</w:t>
      </w:r>
      <w:r>
        <w:rPr>
          <w:rFonts w:ascii="Times New Roman" w:hAnsi="Times New Roman" w:cs="Times New Roman"/>
          <w:sz w:val="24"/>
          <w:szCs w:val="24"/>
          <w:lang w:val="en-GB"/>
        </w:rPr>
        <w:t>.</w:t>
      </w:r>
    </w:p>
    <w:p w14:paraId="115883EA" w14:textId="77777777" w:rsidR="00796A9D" w:rsidRDefault="00796A9D" w:rsidP="00796A9D">
      <w:pPr>
        <w:spacing w:after="0"/>
        <w:jc w:val="both"/>
        <w:rPr>
          <w:rFonts w:ascii="Times New Roman" w:hAnsi="Times New Roman" w:cs="Times New Roman"/>
          <w:sz w:val="24"/>
          <w:szCs w:val="24"/>
        </w:rPr>
      </w:pPr>
    </w:p>
    <w:p w14:paraId="0BC955B8" w14:textId="77777777" w:rsidR="00796A9D" w:rsidRPr="00584E22" w:rsidRDefault="00796A9D" w:rsidP="00796A9D">
      <w:pPr>
        <w:spacing w:after="0"/>
        <w:jc w:val="both"/>
        <w:rPr>
          <w:rFonts w:ascii="Times New Roman" w:hAnsi="Times New Roman" w:cs="Times New Roman"/>
          <w:sz w:val="24"/>
          <w:szCs w:val="24"/>
        </w:rPr>
      </w:pPr>
      <w:r w:rsidRPr="00584E22">
        <w:rPr>
          <w:rFonts w:ascii="Times New Roman" w:hAnsi="Times New Roman" w:cs="Times New Roman"/>
          <w:sz w:val="24"/>
          <w:szCs w:val="24"/>
        </w:rPr>
        <w:t xml:space="preserve">A. </w:t>
      </w:r>
      <w:r w:rsidRPr="00584E22">
        <w:rPr>
          <w:rFonts w:ascii="Times New Roman" w:hAnsi="Times New Roman" w:cs="Times New Roman"/>
          <w:smallCaps/>
          <w:sz w:val="24"/>
          <w:szCs w:val="24"/>
        </w:rPr>
        <w:t>Turchini</w:t>
      </w:r>
      <w:r w:rsidRPr="00584E22">
        <w:rPr>
          <w:rFonts w:ascii="Times New Roman" w:hAnsi="Times New Roman" w:cs="Times New Roman"/>
          <w:sz w:val="24"/>
          <w:szCs w:val="24"/>
        </w:rPr>
        <w:t xml:space="preserve">, </w:t>
      </w:r>
      <w:r w:rsidRPr="00584E22">
        <w:rPr>
          <w:rFonts w:ascii="Times New Roman" w:hAnsi="Times New Roman" w:cs="Times New Roman"/>
          <w:i/>
          <w:sz w:val="24"/>
          <w:szCs w:val="24"/>
        </w:rPr>
        <w:t>La signoria di Roberto Malatesta detto il Magnifico (1468-1482),</w:t>
      </w:r>
      <w:r w:rsidRPr="00584E22">
        <w:rPr>
          <w:rFonts w:ascii="Times New Roman" w:hAnsi="Times New Roman" w:cs="Times New Roman"/>
          <w:sz w:val="24"/>
          <w:szCs w:val="24"/>
        </w:rPr>
        <w:t xml:space="preserve"> Rimini, Ghigi, 2001.</w:t>
      </w:r>
    </w:p>
    <w:p w14:paraId="45EA1FAD" w14:textId="77777777" w:rsidR="00796A9D" w:rsidRPr="00BA2DBB" w:rsidRDefault="00796A9D" w:rsidP="00796A9D">
      <w:pPr>
        <w:spacing w:after="0"/>
        <w:jc w:val="both"/>
        <w:rPr>
          <w:rFonts w:ascii="Times New Roman" w:hAnsi="Times New Roman" w:cs="Times New Roman"/>
          <w:sz w:val="24"/>
          <w:szCs w:val="24"/>
        </w:rPr>
      </w:pPr>
    </w:p>
    <w:p w14:paraId="41CE13A7"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B.L. Ullman, P. Stadter</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The Public Library of Renaissance Florence: Niccolò Niccoli, Cosimo de’ Medici and the Library of San Marco</w:t>
      </w:r>
      <w:r w:rsidRPr="00BA2DBB">
        <w:rPr>
          <w:rFonts w:ascii="Times New Roman" w:hAnsi="Times New Roman" w:cs="Times New Roman"/>
          <w:sz w:val="24"/>
          <w:szCs w:val="24"/>
        </w:rPr>
        <w:t>, Padova, Antenore, 1972.</w:t>
      </w:r>
    </w:p>
    <w:p w14:paraId="19D4C569" w14:textId="77777777" w:rsidR="00796A9D" w:rsidRPr="00BA2DBB" w:rsidRDefault="00796A9D" w:rsidP="00796A9D">
      <w:pPr>
        <w:spacing w:after="0"/>
        <w:jc w:val="both"/>
        <w:rPr>
          <w:rFonts w:ascii="Times New Roman" w:hAnsi="Times New Roman" w:cs="Times New Roman"/>
          <w:sz w:val="24"/>
          <w:szCs w:val="24"/>
        </w:rPr>
      </w:pPr>
    </w:p>
    <w:p w14:paraId="12A61B86"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i/>
          <w:sz w:val="24"/>
          <w:szCs w:val="24"/>
        </w:rPr>
        <w:t>Une Renaissance en Normandie. Le cardinal Georges d’Amboise bibliophile et mécène</w:t>
      </w:r>
      <w:r w:rsidRPr="00BA2DBB">
        <w:rPr>
          <w:rFonts w:ascii="Times New Roman" w:hAnsi="Times New Roman" w:cs="Times New Roman"/>
          <w:sz w:val="24"/>
          <w:szCs w:val="24"/>
        </w:rPr>
        <w:t xml:space="preserve">, sous la direction de </w:t>
      </w:r>
      <w:r w:rsidRPr="00BA2DBB">
        <w:rPr>
          <w:rFonts w:ascii="Times New Roman" w:hAnsi="Times New Roman" w:cs="Times New Roman"/>
          <w:smallCaps/>
          <w:sz w:val="24"/>
          <w:szCs w:val="24"/>
        </w:rPr>
        <w:t>F. Calame-Lavert, M. Hermant, G. Toscano</w:t>
      </w:r>
      <w:r w:rsidRPr="00BA2DBB">
        <w:rPr>
          <w:rFonts w:ascii="Times New Roman" w:hAnsi="Times New Roman" w:cs="Times New Roman"/>
          <w:sz w:val="24"/>
          <w:szCs w:val="24"/>
        </w:rPr>
        <w:t>, Catalogue de l’exposition (Évreux, 8 juillet au 22 octobre 2017), Stipa, Gourcuff Gradenigo, 2017.</w:t>
      </w:r>
    </w:p>
    <w:p w14:paraId="097A9702" w14:textId="77777777" w:rsidR="00796A9D" w:rsidRDefault="00796A9D" w:rsidP="00796A9D">
      <w:pPr>
        <w:spacing w:after="0"/>
        <w:jc w:val="both"/>
        <w:rPr>
          <w:rFonts w:ascii="Times New Roman" w:hAnsi="Times New Roman" w:cs="Times New Roman"/>
          <w:sz w:val="24"/>
          <w:szCs w:val="24"/>
        </w:rPr>
      </w:pPr>
    </w:p>
    <w:p w14:paraId="3EFFEB76" w14:textId="77777777" w:rsidR="00796A9D" w:rsidRPr="00D215C2" w:rsidRDefault="00796A9D" w:rsidP="00796A9D">
      <w:pPr>
        <w:pStyle w:val="Testonotaapidipagina"/>
        <w:jc w:val="both"/>
        <w:rPr>
          <w:rFonts w:ascii="Times New Roman" w:hAnsi="Times New Roman"/>
          <w:sz w:val="24"/>
          <w:szCs w:val="24"/>
        </w:rPr>
      </w:pPr>
      <w:r w:rsidRPr="00D215C2">
        <w:rPr>
          <w:rFonts w:ascii="Times New Roman" w:hAnsi="Times New Roman"/>
          <w:smallCaps/>
          <w:sz w:val="24"/>
          <w:szCs w:val="24"/>
        </w:rPr>
        <w:t>F.M. Vaglienti</w:t>
      </w:r>
      <w:r w:rsidRPr="00D215C2">
        <w:rPr>
          <w:rFonts w:ascii="Times New Roman" w:hAnsi="Times New Roman"/>
          <w:sz w:val="24"/>
          <w:szCs w:val="24"/>
        </w:rPr>
        <w:t xml:space="preserve">, </w:t>
      </w:r>
      <w:r w:rsidRPr="00D215C2">
        <w:rPr>
          <w:rFonts w:ascii="Times New Roman" w:hAnsi="Times New Roman" w:cs="Times New Roman"/>
          <w:i/>
          <w:sz w:val="24"/>
          <w:szCs w:val="24"/>
        </w:rPr>
        <w:t>«</w:t>
      </w:r>
      <w:r w:rsidRPr="00D215C2">
        <w:rPr>
          <w:rFonts w:ascii="Times New Roman" w:hAnsi="Times New Roman"/>
          <w:i/>
          <w:sz w:val="24"/>
          <w:szCs w:val="24"/>
        </w:rPr>
        <w:t>Governare, io donna</w:t>
      </w:r>
      <w:r w:rsidRPr="00D215C2">
        <w:rPr>
          <w:rFonts w:ascii="Times New Roman" w:hAnsi="Times New Roman" w:cs="Times New Roman"/>
          <w:i/>
          <w:sz w:val="24"/>
          <w:szCs w:val="24"/>
        </w:rPr>
        <w:t>»</w:t>
      </w:r>
      <w:r w:rsidRPr="00D215C2">
        <w:rPr>
          <w:rFonts w:ascii="Times New Roman" w:hAnsi="Times New Roman"/>
          <w:i/>
          <w:sz w:val="24"/>
          <w:szCs w:val="24"/>
        </w:rPr>
        <w:t>. Isabella d’Aragona principessa delle due Italie</w:t>
      </w:r>
      <w:r w:rsidRPr="00D215C2">
        <w:rPr>
          <w:rFonts w:ascii="Times New Roman" w:hAnsi="Times New Roman"/>
          <w:sz w:val="24"/>
          <w:szCs w:val="24"/>
        </w:rPr>
        <w:t xml:space="preserve">, in </w:t>
      </w:r>
      <w:r w:rsidRPr="00D215C2">
        <w:rPr>
          <w:rFonts w:ascii="Times New Roman" w:hAnsi="Times New Roman" w:cs="Times New Roman"/>
          <w:i/>
          <w:sz w:val="24"/>
          <w:szCs w:val="24"/>
        </w:rPr>
        <w:t>«</w:t>
      </w:r>
      <w:r w:rsidRPr="00D215C2">
        <w:rPr>
          <w:rFonts w:ascii="Times New Roman" w:hAnsi="Times New Roman"/>
          <w:i/>
          <w:sz w:val="24"/>
          <w:szCs w:val="24"/>
        </w:rPr>
        <w:t>Con animo virile</w:t>
      </w:r>
      <w:r w:rsidRPr="00D215C2">
        <w:rPr>
          <w:rFonts w:ascii="Times New Roman" w:hAnsi="Times New Roman" w:cs="Times New Roman"/>
          <w:i/>
          <w:sz w:val="24"/>
          <w:szCs w:val="24"/>
        </w:rPr>
        <w:t>»</w:t>
      </w:r>
      <w:r w:rsidRPr="00D215C2">
        <w:rPr>
          <w:rFonts w:ascii="Times New Roman" w:hAnsi="Times New Roman"/>
          <w:i/>
          <w:sz w:val="24"/>
          <w:szCs w:val="24"/>
        </w:rPr>
        <w:t>, Donne e potere nel Mezzogiorno medievale (secoli XI-XV)</w:t>
      </w:r>
      <w:r w:rsidRPr="00D215C2">
        <w:rPr>
          <w:rFonts w:ascii="Times New Roman" w:hAnsi="Times New Roman"/>
          <w:sz w:val="24"/>
          <w:szCs w:val="24"/>
        </w:rPr>
        <w:t xml:space="preserve">, a cura di </w:t>
      </w:r>
      <w:r w:rsidRPr="00D215C2">
        <w:rPr>
          <w:rFonts w:ascii="Times New Roman" w:hAnsi="Times New Roman"/>
          <w:smallCaps/>
          <w:sz w:val="24"/>
          <w:szCs w:val="24"/>
        </w:rPr>
        <w:t>P. Mainoni</w:t>
      </w:r>
      <w:r w:rsidRPr="00D215C2">
        <w:rPr>
          <w:rFonts w:ascii="Times New Roman" w:hAnsi="Times New Roman"/>
          <w:sz w:val="24"/>
          <w:szCs w:val="24"/>
        </w:rPr>
        <w:t>, Roma, Viella, 2010, pp. 455-484.</w:t>
      </w:r>
    </w:p>
    <w:p w14:paraId="7AF8EF7F" w14:textId="77777777" w:rsidR="00796A9D" w:rsidRPr="00D215C2" w:rsidRDefault="00796A9D" w:rsidP="00796A9D">
      <w:pPr>
        <w:pStyle w:val="Testonotaapidipagina"/>
        <w:jc w:val="both"/>
        <w:rPr>
          <w:rFonts w:ascii="Times New Roman" w:hAnsi="Times New Roman" w:cs="Times New Roman"/>
          <w:sz w:val="24"/>
          <w:szCs w:val="24"/>
        </w:rPr>
      </w:pPr>
    </w:p>
    <w:p w14:paraId="3B08CEFA" w14:textId="77777777" w:rsidR="00796A9D" w:rsidRPr="00250F42" w:rsidRDefault="00796A9D" w:rsidP="00796A9D">
      <w:pPr>
        <w:pStyle w:val="Testonotaapidipagina"/>
        <w:jc w:val="both"/>
        <w:rPr>
          <w:rFonts w:ascii="Times New Roman" w:hAnsi="Times New Roman" w:cs="Times New Roman"/>
          <w:sz w:val="24"/>
          <w:szCs w:val="24"/>
        </w:rPr>
      </w:pPr>
      <w:r w:rsidRPr="00250F42">
        <w:rPr>
          <w:rFonts w:ascii="Times New Roman" w:hAnsi="Times New Roman" w:cs="Times New Roman"/>
          <w:smallCaps/>
          <w:sz w:val="24"/>
          <w:szCs w:val="24"/>
        </w:rPr>
        <w:t>M.R. Valazzi</w:t>
      </w:r>
      <w:r w:rsidRPr="00250F42">
        <w:rPr>
          <w:rFonts w:ascii="Times New Roman" w:hAnsi="Times New Roman" w:cs="Times New Roman"/>
          <w:sz w:val="24"/>
          <w:szCs w:val="24"/>
        </w:rPr>
        <w:t xml:space="preserve">, </w:t>
      </w:r>
      <w:r w:rsidRPr="00250F42">
        <w:rPr>
          <w:rFonts w:ascii="Times New Roman" w:hAnsi="Times New Roman" w:cs="Times New Roman"/>
          <w:i/>
          <w:sz w:val="24"/>
          <w:szCs w:val="24"/>
        </w:rPr>
        <w:t>Pittori e pitture a Pesaro nel Quattrocento</w:t>
      </w:r>
      <w:r w:rsidRPr="00250F42">
        <w:rPr>
          <w:rFonts w:ascii="Times New Roman" w:hAnsi="Times New Roman" w:cs="Times New Roman"/>
          <w:sz w:val="24"/>
          <w:szCs w:val="24"/>
        </w:rPr>
        <w:t xml:space="preserve">, in </w:t>
      </w:r>
      <w:r w:rsidRPr="00250F42">
        <w:rPr>
          <w:rFonts w:ascii="Times New Roman" w:hAnsi="Times New Roman" w:cs="Times New Roman"/>
          <w:i/>
          <w:sz w:val="24"/>
          <w:szCs w:val="24"/>
        </w:rPr>
        <w:t>Pesaro tra Medioevo e Rinascimento</w:t>
      </w:r>
      <w:r w:rsidRPr="00250F42">
        <w:rPr>
          <w:rFonts w:ascii="Times New Roman" w:hAnsi="Times New Roman" w:cs="Times New Roman"/>
          <w:sz w:val="24"/>
          <w:szCs w:val="24"/>
        </w:rPr>
        <w:t>, Venezia, Marsilio, 1989, p. 32</w:t>
      </w:r>
      <w:r>
        <w:rPr>
          <w:rFonts w:ascii="Times New Roman" w:hAnsi="Times New Roman" w:cs="Times New Roman"/>
          <w:sz w:val="24"/>
          <w:szCs w:val="24"/>
        </w:rPr>
        <w:t>5-328</w:t>
      </w:r>
      <w:r w:rsidRPr="00250F42">
        <w:rPr>
          <w:rFonts w:ascii="Times New Roman" w:hAnsi="Times New Roman" w:cs="Times New Roman"/>
          <w:sz w:val="24"/>
          <w:szCs w:val="24"/>
        </w:rPr>
        <w:t>.</w:t>
      </w:r>
    </w:p>
    <w:p w14:paraId="5BF91FC4" w14:textId="77777777" w:rsidR="00796A9D" w:rsidRPr="00BA2DBB" w:rsidRDefault="00796A9D" w:rsidP="00796A9D">
      <w:pPr>
        <w:pStyle w:val="Testonotaapidipagina"/>
        <w:jc w:val="both"/>
        <w:rPr>
          <w:rFonts w:ascii="Times New Roman" w:hAnsi="Times New Roman" w:cs="Times New Roman"/>
          <w:sz w:val="24"/>
          <w:szCs w:val="24"/>
        </w:rPr>
      </w:pPr>
    </w:p>
    <w:p w14:paraId="7F447EF6"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M. Valori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Venite, dico Athene hoggi Milano ove è il nostro Parnaso Ludovico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Ludovico il Moro. La città e la sua corte</w:t>
      </w:r>
      <w:r w:rsidRPr="00BA2DBB">
        <w:rPr>
          <w:rFonts w:ascii="Times New Roman" w:hAnsi="Times New Roman" w:cs="Times New Roman"/>
          <w:sz w:val="24"/>
          <w:szCs w:val="24"/>
        </w:rPr>
        <w:t>, Milano, Archivio di Stato di Milano, 1983, p. 105-128.</w:t>
      </w:r>
    </w:p>
    <w:p w14:paraId="01C79EA1" w14:textId="77777777" w:rsidR="00796A9D" w:rsidRDefault="00796A9D" w:rsidP="00796A9D">
      <w:pPr>
        <w:spacing w:after="0"/>
        <w:jc w:val="both"/>
        <w:rPr>
          <w:rFonts w:ascii="Times New Roman" w:hAnsi="Times New Roman" w:cs="Times New Roman"/>
          <w:smallCaps/>
          <w:sz w:val="24"/>
          <w:szCs w:val="24"/>
        </w:rPr>
      </w:pPr>
    </w:p>
    <w:p w14:paraId="621D3252"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G.J. Van der Sman</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Lorenzo e Giovanna. Vita e arte nella Firenze del Quattrocento</w:t>
      </w:r>
      <w:r w:rsidRPr="00BA2DBB">
        <w:rPr>
          <w:rFonts w:ascii="Times New Roman" w:hAnsi="Times New Roman" w:cs="Times New Roman"/>
          <w:sz w:val="24"/>
          <w:szCs w:val="24"/>
        </w:rPr>
        <w:t>, Firenze, Mandragola, 2010.</w:t>
      </w:r>
    </w:p>
    <w:p w14:paraId="15205799" w14:textId="77777777" w:rsidR="00796A9D" w:rsidRDefault="00796A9D" w:rsidP="00796A9D">
      <w:pPr>
        <w:pStyle w:val="Testonotaapidipagina"/>
        <w:jc w:val="both"/>
        <w:rPr>
          <w:rFonts w:ascii="Times New Roman" w:hAnsi="Times New Roman" w:cs="Times New Roman"/>
          <w:sz w:val="24"/>
          <w:szCs w:val="24"/>
        </w:rPr>
      </w:pPr>
    </w:p>
    <w:p w14:paraId="14CD50F7" w14:textId="77777777" w:rsidR="00796A9D" w:rsidRPr="00DA3A67" w:rsidRDefault="00796A9D" w:rsidP="00796A9D">
      <w:pPr>
        <w:pStyle w:val="Testonotaapidipagina"/>
        <w:jc w:val="both"/>
        <w:rPr>
          <w:rFonts w:ascii="Times New Roman" w:hAnsi="Times New Roman" w:cs="Times New Roman"/>
          <w:sz w:val="24"/>
          <w:szCs w:val="24"/>
        </w:rPr>
      </w:pPr>
      <w:r w:rsidRPr="00DA3A67">
        <w:rPr>
          <w:rFonts w:ascii="Times New Roman" w:hAnsi="Times New Roman" w:cs="Times New Roman"/>
          <w:smallCaps/>
          <w:sz w:val="24"/>
          <w:szCs w:val="24"/>
        </w:rPr>
        <w:t>R. Varese</w:t>
      </w:r>
      <w:r w:rsidRPr="00DA3A67">
        <w:rPr>
          <w:rFonts w:ascii="Times New Roman" w:hAnsi="Times New Roman" w:cs="Times New Roman"/>
          <w:sz w:val="24"/>
          <w:szCs w:val="24"/>
        </w:rPr>
        <w:t xml:space="preserve">, </w:t>
      </w:r>
      <w:r w:rsidRPr="00DA3A67">
        <w:rPr>
          <w:rFonts w:ascii="Times New Roman" w:hAnsi="Times New Roman" w:cs="Times New Roman"/>
          <w:i/>
          <w:sz w:val="24"/>
          <w:szCs w:val="24"/>
        </w:rPr>
        <w:t>Giovanni Santi</w:t>
      </w:r>
      <w:r w:rsidRPr="00DA3A67">
        <w:rPr>
          <w:rFonts w:ascii="Times New Roman" w:hAnsi="Times New Roman" w:cs="Times New Roman"/>
          <w:sz w:val="24"/>
          <w:szCs w:val="24"/>
        </w:rPr>
        <w:t>, Fiesole, Nardini, 1994.</w:t>
      </w:r>
    </w:p>
    <w:p w14:paraId="23A7D90B" w14:textId="77777777" w:rsidR="00796A9D" w:rsidRPr="00BA2DBB" w:rsidRDefault="00796A9D" w:rsidP="00796A9D">
      <w:pPr>
        <w:pStyle w:val="Testonotaapidipagina"/>
        <w:jc w:val="both"/>
        <w:rPr>
          <w:rFonts w:ascii="Times New Roman" w:hAnsi="Times New Roman" w:cs="Times New Roman"/>
          <w:sz w:val="24"/>
          <w:szCs w:val="24"/>
        </w:rPr>
      </w:pPr>
    </w:p>
    <w:p w14:paraId="793E2F25"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C. Vasoli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biblioteca progettata da un papa: Niccolò V e il 'suo canone'</w:t>
      </w:r>
      <w:r w:rsidRPr="00BA2DBB">
        <w:rPr>
          <w:rFonts w:ascii="Times New Roman" w:hAnsi="Times New Roman" w:cs="Times New Roman"/>
          <w:sz w:val="24"/>
          <w:szCs w:val="24"/>
        </w:rPr>
        <w:t>, «Babel», 6, 2002, pp. 219-239.</w:t>
      </w:r>
    </w:p>
    <w:p w14:paraId="61A38877" w14:textId="77777777" w:rsidR="00796A9D" w:rsidRDefault="00796A9D" w:rsidP="00796A9D">
      <w:pPr>
        <w:pStyle w:val="Testonotaapidipagina"/>
        <w:jc w:val="both"/>
        <w:rPr>
          <w:rFonts w:ascii="Times New Roman" w:hAnsi="Times New Roman" w:cs="Times New Roman"/>
          <w:sz w:val="24"/>
          <w:szCs w:val="24"/>
        </w:rPr>
      </w:pPr>
    </w:p>
    <w:p w14:paraId="59B717F8" w14:textId="77777777" w:rsidR="00796A9D" w:rsidRDefault="00796A9D" w:rsidP="00796A9D">
      <w:pPr>
        <w:pStyle w:val="Testonotaapidipagina"/>
        <w:jc w:val="both"/>
        <w:rPr>
          <w:rFonts w:ascii="Times New Roman" w:hAnsi="Times New Roman" w:cs="Times New Roman"/>
          <w:sz w:val="24"/>
          <w:szCs w:val="24"/>
        </w:rPr>
      </w:pPr>
      <w:r w:rsidRPr="00601D6B">
        <w:rPr>
          <w:rFonts w:ascii="Times New Roman" w:hAnsi="Times New Roman" w:cs="Times New Roman"/>
          <w:smallCaps/>
          <w:sz w:val="24"/>
          <w:szCs w:val="24"/>
        </w:rPr>
        <w:t>L. Vattuone</w:t>
      </w:r>
      <w:r w:rsidRPr="00601D6B">
        <w:rPr>
          <w:rFonts w:ascii="Times New Roman" w:hAnsi="Times New Roman" w:cs="Times New Roman"/>
          <w:sz w:val="24"/>
          <w:szCs w:val="24"/>
        </w:rPr>
        <w:t xml:space="preserve">, </w:t>
      </w:r>
      <w:r w:rsidRPr="00601D6B">
        <w:rPr>
          <w:rFonts w:ascii="Times New Roman" w:hAnsi="Times New Roman" w:cs="Times New Roman"/>
          <w:i/>
          <w:sz w:val="24"/>
          <w:szCs w:val="24"/>
        </w:rPr>
        <w:t>Esaltazione e distruzione di Roma antica nella città di Sisto IV</w:t>
      </w:r>
      <w:r w:rsidRPr="00601D6B">
        <w:rPr>
          <w:rFonts w:ascii="Times New Roman" w:hAnsi="Times New Roman" w:cs="Times New Roman"/>
          <w:sz w:val="24"/>
          <w:szCs w:val="24"/>
        </w:rPr>
        <w:t xml:space="preserve">, in </w:t>
      </w:r>
      <w:r w:rsidRPr="00601D6B">
        <w:rPr>
          <w:rFonts w:ascii="Times New Roman" w:hAnsi="Times New Roman" w:cs="Times New Roman"/>
          <w:i/>
          <w:sz w:val="24"/>
          <w:szCs w:val="24"/>
        </w:rPr>
        <w:t>Sisto IV. Le arti a Roma nel primo Rinascimento.</w:t>
      </w:r>
      <w:r w:rsidRPr="00601D6B">
        <w:rPr>
          <w:rFonts w:ascii="Times New Roman" w:hAnsi="Times New Roman" w:cs="Times New Roman"/>
          <w:sz w:val="24"/>
          <w:szCs w:val="24"/>
        </w:rPr>
        <w:t xml:space="preserve"> Atti del convegno internazionale di studi (Roma, 23-25 ottobre 1997), a cura di F. Benzi, Roma, Crescentini, 1997, 174-187.</w:t>
      </w:r>
    </w:p>
    <w:p w14:paraId="601F5DA8" w14:textId="77777777" w:rsidR="00796A9D" w:rsidRDefault="00796A9D" w:rsidP="00796A9D">
      <w:pPr>
        <w:pStyle w:val="Testonotaapidipagina"/>
        <w:jc w:val="both"/>
        <w:rPr>
          <w:rFonts w:ascii="Times New Roman" w:hAnsi="Times New Roman" w:cs="Times New Roman"/>
          <w:sz w:val="24"/>
          <w:szCs w:val="24"/>
        </w:rPr>
      </w:pPr>
    </w:p>
    <w:p w14:paraId="2E58EAB2" w14:textId="77777777" w:rsidR="00796A9D" w:rsidRPr="00C94CB5" w:rsidRDefault="00796A9D" w:rsidP="00796A9D">
      <w:pPr>
        <w:pStyle w:val="Testonotaapidipagina"/>
        <w:jc w:val="both"/>
        <w:rPr>
          <w:rFonts w:ascii="Times New Roman" w:hAnsi="Times New Roman" w:cs="Times New Roman"/>
          <w:sz w:val="24"/>
          <w:szCs w:val="24"/>
        </w:rPr>
      </w:pPr>
      <w:r w:rsidRPr="00C94CB5">
        <w:rPr>
          <w:rFonts w:ascii="Times New Roman" w:hAnsi="Times New Roman" w:cs="Times New Roman"/>
          <w:smallCaps/>
          <w:sz w:val="24"/>
          <w:szCs w:val="24"/>
        </w:rPr>
        <w:t>P. Ventrone, A. Zorzi</w:t>
      </w:r>
      <w:r w:rsidRPr="00C94CB5">
        <w:rPr>
          <w:rFonts w:ascii="Times New Roman" w:hAnsi="Times New Roman" w:cs="Times New Roman"/>
          <w:sz w:val="24"/>
          <w:szCs w:val="24"/>
        </w:rPr>
        <w:t xml:space="preserve">, </w:t>
      </w:r>
      <w:r w:rsidRPr="00C94CB5">
        <w:rPr>
          <w:rFonts w:ascii="Times New Roman" w:hAnsi="Times New Roman" w:cs="Times New Roman"/>
          <w:i/>
          <w:sz w:val="24"/>
          <w:szCs w:val="24"/>
        </w:rPr>
        <w:t>Guerre e duello come gioco e rituale</w:t>
      </w:r>
      <w:r w:rsidRPr="00C94CB5">
        <w:rPr>
          <w:rFonts w:ascii="Times New Roman" w:hAnsi="Times New Roman" w:cs="Times New Roman"/>
          <w:sz w:val="24"/>
          <w:szCs w:val="24"/>
        </w:rPr>
        <w:t xml:space="preserve">, in </w:t>
      </w:r>
      <w:r w:rsidRPr="00C94CB5">
        <w:rPr>
          <w:rFonts w:ascii="Times New Roman" w:hAnsi="Times New Roman" w:cs="Times New Roman"/>
          <w:i/>
          <w:sz w:val="24"/>
          <w:szCs w:val="24"/>
        </w:rPr>
        <w:t>La società in costume. Giostre e tornei nell’Italia di Antico Regime</w:t>
      </w:r>
      <w:r w:rsidRPr="00C94CB5">
        <w:rPr>
          <w:rFonts w:ascii="Times New Roman" w:hAnsi="Times New Roman" w:cs="Times New Roman"/>
          <w:sz w:val="24"/>
          <w:szCs w:val="24"/>
        </w:rPr>
        <w:t xml:space="preserve">, Foligno, dell’Arquata, 1986, pp. 61-95.  </w:t>
      </w:r>
    </w:p>
    <w:p w14:paraId="24308163" w14:textId="77777777" w:rsidR="00796A9D" w:rsidRDefault="00796A9D" w:rsidP="00796A9D">
      <w:pPr>
        <w:pStyle w:val="Testonotaapidipagina"/>
        <w:jc w:val="both"/>
        <w:rPr>
          <w:rFonts w:ascii="Times New Roman" w:hAnsi="Times New Roman" w:cs="Times New Roman"/>
          <w:sz w:val="24"/>
          <w:szCs w:val="24"/>
        </w:rPr>
      </w:pPr>
    </w:p>
    <w:p w14:paraId="73E07AD1"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P. Ventrone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Note sul Carnevale fiorentino di età laurenziana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Il Carnevale: dalla tradizione arcaica alla traduzione colta del Rinascimento</w:t>
      </w:r>
      <w:r w:rsidRPr="00BA2DBB">
        <w:rPr>
          <w:rFonts w:ascii="Times New Roman" w:hAnsi="Times New Roman" w:cs="Times New Roman"/>
          <w:sz w:val="24"/>
          <w:szCs w:val="24"/>
        </w:rPr>
        <w:t xml:space="preserve">. Atti del XIII Convegno di studi (Roma, 31 maggio-4 giugno 1990), a cura di </w:t>
      </w:r>
      <w:r w:rsidRPr="00BA2DBB">
        <w:rPr>
          <w:rFonts w:ascii="Times New Roman" w:hAnsi="Times New Roman" w:cs="Times New Roman"/>
          <w:smallCaps/>
          <w:sz w:val="24"/>
          <w:szCs w:val="24"/>
        </w:rPr>
        <w:t>M. Chiab</w:t>
      </w:r>
      <w:r w:rsidR="009279FA">
        <w:rPr>
          <w:rFonts w:ascii="Times New Roman" w:hAnsi="Times New Roman" w:cs="Times New Roman"/>
          <w:smallCaps/>
          <w:sz w:val="24"/>
          <w:szCs w:val="24"/>
        </w:rPr>
        <w:t>ò</w:t>
      </w:r>
      <w:r w:rsidRPr="00BA2DBB">
        <w:rPr>
          <w:rFonts w:ascii="Times New Roman" w:hAnsi="Times New Roman" w:cs="Times New Roman"/>
          <w:smallCaps/>
          <w:sz w:val="24"/>
          <w:szCs w:val="24"/>
        </w:rPr>
        <w:t>, F. Doglio</w:t>
      </w:r>
      <w:r w:rsidRPr="00BA2DBB">
        <w:rPr>
          <w:rFonts w:ascii="Times New Roman" w:hAnsi="Times New Roman" w:cs="Times New Roman"/>
          <w:sz w:val="24"/>
          <w:szCs w:val="24"/>
        </w:rPr>
        <w:t>, Viterbo, Centro studi sul teatro medievale e rinascimentale, 1990, pp. 321-366.</w:t>
      </w:r>
    </w:p>
    <w:p w14:paraId="05D4AB8D" w14:textId="77777777" w:rsidR="00796A9D" w:rsidRDefault="00796A9D" w:rsidP="00796A9D">
      <w:pPr>
        <w:pStyle w:val="Testonotaapidipagina"/>
        <w:jc w:val="both"/>
        <w:rPr>
          <w:rFonts w:ascii="Times New Roman" w:hAnsi="Times New Roman" w:cs="Times New Roman"/>
          <w:sz w:val="24"/>
          <w:szCs w:val="24"/>
        </w:rPr>
      </w:pPr>
    </w:p>
    <w:p w14:paraId="4AC5EB02" w14:textId="77777777" w:rsidR="00796A9D"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P. Ventrone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Feste e spettacoli nella Firenze di Lorenzo il Magnifico</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“Le tems revient. ’L tempo si rinuova”: feste e spettacoli nella Firenze di Lorenzo il Magnifico</w:t>
      </w:r>
      <w:r w:rsidRPr="00BA2DBB">
        <w:rPr>
          <w:rFonts w:ascii="Times New Roman" w:hAnsi="Times New Roman" w:cs="Times New Roman"/>
          <w:sz w:val="24"/>
          <w:szCs w:val="24"/>
        </w:rPr>
        <w:t xml:space="preserve">, a cura di </w:t>
      </w:r>
      <w:r w:rsidR="009279FA">
        <w:rPr>
          <w:rFonts w:ascii="Times New Roman" w:hAnsi="Times New Roman" w:cs="Times New Roman"/>
          <w:smallCaps/>
          <w:sz w:val="24"/>
          <w:szCs w:val="24"/>
        </w:rPr>
        <w:t>Ea</w:t>
      </w:r>
      <w:r w:rsidRPr="00BA2DBB">
        <w:rPr>
          <w:rFonts w:ascii="Times New Roman" w:hAnsi="Times New Roman" w:cs="Times New Roman"/>
          <w:smallCaps/>
          <w:sz w:val="24"/>
          <w:szCs w:val="24"/>
        </w:rPr>
        <w:t>dem</w:t>
      </w:r>
      <w:r w:rsidRPr="00BA2DBB">
        <w:rPr>
          <w:rFonts w:ascii="Times New Roman" w:hAnsi="Times New Roman" w:cs="Times New Roman"/>
          <w:sz w:val="24"/>
          <w:szCs w:val="24"/>
        </w:rPr>
        <w:t>, Milano, Silvana, 1992, pp. 21-53.</w:t>
      </w:r>
    </w:p>
    <w:p w14:paraId="25D57AB4" w14:textId="77777777" w:rsidR="00796A9D" w:rsidRDefault="00796A9D" w:rsidP="00796A9D">
      <w:pPr>
        <w:pStyle w:val="Testonotaapidipagina"/>
        <w:jc w:val="both"/>
        <w:rPr>
          <w:rFonts w:ascii="Times New Roman" w:hAnsi="Times New Roman" w:cs="Times New Roman"/>
          <w:sz w:val="24"/>
          <w:szCs w:val="24"/>
        </w:rPr>
      </w:pPr>
    </w:p>
    <w:p w14:paraId="09D1101A" w14:textId="77777777" w:rsidR="00796A9D" w:rsidRPr="002B7BF2" w:rsidRDefault="00796A9D" w:rsidP="00796A9D">
      <w:pPr>
        <w:pStyle w:val="Testonotaapidipagina"/>
        <w:jc w:val="both"/>
        <w:rPr>
          <w:rFonts w:ascii="Times New Roman" w:hAnsi="Times New Roman" w:cs="Times New Roman"/>
          <w:sz w:val="24"/>
          <w:szCs w:val="24"/>
        </w:rPr>
      </w:pPr>
      <w:r w:rsidRPr="002B7BF2">
        <w:rPr>
          <w:rFonts w:ascii="Times New Roman" w:hAnsi="Times New Roman" w:cs="Times New Roman"/>
          <w:smallCaps/>
          <w:sz w:val="24"/>
          <w:szCs w:val="24"/>
        </w:rPr>
        <w:t>P. Ventrone</w:t>
      </w:r>
      <w:r w:rsidRPr="002B7BF2">
        <w:rPr>
          <w:rFonts w:ascii="Times New Roman" w:hAnsi="Times New Roman" w:cs="Times New Roman"/>
          <w:sz w:val="24"/>
          <w:szCs w:val="24"/>
        </w:rPr>
        <w:t xml:space="preserve">, </w:t>
      </w:r>
      <w:r w:rsidRPr="002B7BF2">
        <w:rPr>
          <w:rFonts w:ascii="Times New Roman" w:hAnsi="Times New Roman" w:cs="Times New Roman"/>
          <w:i/>
          <w:sz w:val="24"/>
          <w:szCs w:val="24"/>
        </w:rPr>
        <w:t>Gli araldi della commedia. Teatro a Firenze nel Rinascimento</w:t>
      </w:r>
      <w:r w:rsidRPr="002B7BF2">
        <w:rPr>
          <w:rFonts w:ascii="Times New Roman" w:hAnsi="Times New Roman" w:cs="Times New Roman"/>
          <w:sz w:val="24"/>
          <w:szCs w:val="24"/>
        </w:rPr>
        <w:t>, Pisa, Pacini, 1993.</w:t>
      </w:r>
    </w:p>
    <w:p w14:paraId="34637E94" w14:textId="77777777" w:rsidR="00796A9D" w:rsidRDefault="00796A9D" w:rsidP="00796A9D">
      <w:pPr>
        <w:pStyle w:val="Testonotaapidipagina"/>
        <w:jc w:val="both"/>
        <w:rPr>
          <w:rFonts w:ascii="Times New Roman" w:hAnsi="Times New Roman" w:cs="Times New Roman"/>
          <w:sz w:val="24"/>
          <w:szCs w:val="24"/>
        </w:rPr>
      </w:pPr>
    </w:p>
    <w:p w14:paraId="67FBB207" w14:textId="77777777" w:rsidR="00796A9D" w:rsidRPr="004D47B9" w:rsidRDefault="00796A9D" w:rsidP="00796A9D">
      <w:pPr>
        <w:pStyle w:val="Nessunaspaziatura"/>
        <w:jc w:val="both"/>
        <w:rPr>
          <w:rFonts w:ascii="Times New Roman" w:hAnsi="Times New Roman"/>
          <w:sz w:val="24"/>
          <w:szCs w:val="24"/>
        </w:rPr>
      </w:pPr>
      <w:r w:rsidRPr="004D47B9">
        <w:rPr>
          <w:rFonts w:ascii="Times New Roman" w:hAnsi="Times New Roman"/>
          <w:smallCaps/>
          <w:sz w:val="24"/>
          <w:szCs w:val="24"/>
        </w:rPr>
        <w:t>P. Ventrone</w:t>
      </w:r>
      <w:r w:rsidRPr="004D47B9">
        <w:rPr>
          <w:rFonts w:ascii="Times New Roman" w:hAnsi="Times New Roman"/>
          <w:sz w:val="24"/>
          <w:szCs w:val="24"/>
        </w:rPr>
        <w:t xml:space="preserve">, </w:t>
      </w:r>
      <w:r w:rsidRPr="004D47B9">
        <w:rPr>
          <w:rFonts w:ascii="Times New Roman" w:hAnsi="Times New Roman"/>
          <w:i/>
          <w:sz w:val="24"/>
          <w:szCs w:val="24"/>
        </w:rPr>
        <w:t>Feste e rituali civici: città italiane a confronto</w:t>
      </w:r>
      <w:r w:rsidRPr="004D47B9">
        <w:rPr>
          <w:rFonts w:ascii="Times New Roman" w:hAnsi="Times New Roman"/>
          <w:sz w:val="24"/>
          <w:szCs w:val="24"/>
        </w:rPr>
        <w:t xml:space="preserve">, in </w:t>
      </w:r>
      <w:r w:rsidRPr="004D47B9">
        <w:rPr>
          <w:rFonts w:ascii="Times New Roman" w:hAnsi="Times New Roman"/>
          <w:i/>
          <w:sz w:val="24"/>
          <w:szCs w:val="24"/>
        </w:rPr>
        <w:t>Aspetti e componenti dell’identità urbana in Italia e Germania (secoli XIV-XVI),</w:t>
      </w:r>
      <w:r w:rsidRPr="004D47B9">
        <w:rPr>
          <w:rFonts w:ascii="Times New Roman" w:hAnsi="Times New Roman"/>
          <w:sz w:val="24"/>
          <w:szCs w:val="24"/>
        </w:rPr>
        <w:t xml:space="preserve"> a cura di </w:t>
      </w:r>
      <w:r w:rsidRPr="004D47B9">
        <w:rPr>
          <w:rFonts w:ascii="Times New Roman" w:hAnsi="Times New Roman"/>
          <w:smallCaps/>
          <w:sz w:val="24"/>
          <w:szCs w:val="24"/>
        </w:rPr>
        <w:t>G. Chittolini, P. Johanek</w:t>
      </w:r>
      <w:r w:rsidRPr="004D47B9">
        <w:rPr>
          <w:rFonts w:ascii="Times New Roman" w:hAnsi="Times New Roman"/>
          <w:sz w:val="24"/>
          <w:szCs w:val="24"/>
        </w:rPr>
        <w:t>, Annali dell’Istituto storico italo-germanico di Trento, 12, Bologna, il Mulino, 2002, pp. 1</w:t>
      </w:r>
      <w:r>
        <w:rPr>
          <w:rFonts w:ascii="Times New Roman" w:hAnsi="Times New Roman"/>
          <w:sz w:val="24"/>
          <w:szCs w:val="24"/>
        </w:rPr>
        <w:t>55</w:t>
      </w:r>
      <w:r w:rsidRPr="004D47B9">
        <w:rPr>
          <w:rFonts w:ascii="Times New Roman" w:hAnsi="Times New Roman"/>
          <w:sz w:val="24"/>
          <w:szCs w:val="24"/>
        </w:rPr>
        <w:t>-19</w:t>
      </w:r>
      <w:r>
        <w:rPr>
          <w:rFonts w:ascii="Times New Roman" w:hAnsi="Times New Roman"/>
          <w:sz w:val="24"/>
          <w:szCs w:val="24"/>
        </w:rPr>
        <w:t>2</w:t>
      </w:r>
      <w:r w:rsidRPr="004D47B9">
        <w:rPr>
          <w:rFonts w:ascii="Times New Roman" w:hAnsi="Times New Roman"/>
          <w:sz w:val="24"/>
          <w:szCs w:val="24"/>
        </w:rPr>
        <w:t xml:space="preserve">. </w:t>
      </w:r>
    </w:p>
    <w:p w14:paraId="3DE9B493" w14:textId="77777777" w:rsidR="00796A9D" w:rsidRPr="00BA2DBB" w:rsidRDefault="00796A9D" w:rsidP="00796A9D">
      <w:pPr>
        <w:pStyle w:val="Testonotaapidipagina"/>
        <w:jc w:val="both"/>
        <w:rPr>
          <w:rFonts w:ascii="Times New Roman" w:hAnsi="Times New Roman" w:cs="Times New Roman"/>
          <w:sz w:val="24"/>
          <w:szCs w:val="24"/>
        </w:rPr>
      </w:pPr>
    </w:p>
    <w:p w14:paraId="49C132CF" w14:textId="77777777" w:rsidR="00796A9D" w:rsidRPr="00265B2E" w:rsidRDefault="00796A9D" w:rsidP="00796A9D">
      <w:pPr>
        <w:pStyle w:val="Testonotaapidipagina"/>
        <w:jc w:val="both"/>
        <w:rPr>
          <w:rFonts w:ascii="Times New Roman" w:hAnsi="Times New Roman" w:cs="Times New Roman"/>
          <w:sz w:val="24"/>
          <w:szCs w:val="24"/>
        </w:rPr>
      </w:pPr>
      <w:r w:rsidRPr="00265B2E">
        <w:rPr>
          <w:rFonts w:ascii="Times New Roman" w:hAnsi="Times New Roman" w:cs="Times New Roman"/>
          <w:smallCaps/>
          <w:sz w:val="24"/>
          <w:szCs w:val="24"/>
        </w:rPr>
        <w:t>P. Ventrone</w:t>
      </w:r>
      <w:r w:rsidRPr="00265B2E">
        <w:rPr>
          <w:rFonts w:ascii="Times New Roman" w:hAnsi="Times New Roman" w:cs="Times New Roman"/>
          <w:sz w:val="24"/>
          <w:szCs w:val="24"/>
        </w:rPr>
        <w:t xml:space="preserve">, </w:t>
      </w:r>
      <w:r w:rsidRPr="00265B2E">
        <w:rPr>
          <w:rFonts w:ascii="Times New Roman" w:hAnsi="Times New Roman" w:cs="Times New Roman"/>
          <w:i/>
          <w:sz w:val="24"/>
          <w:szCs w:val="24"/>
        </w:rPr>
        <w:t>Modelli ideologici e culturali nel teatro milanese di età viscontea e sforzesca</w:t>
      </w:r>
      <w:r w:rsidRPr="00265B2E">
        <w:rPr>
          <w:rFonts w:ascii="Times New Roman" w:hAnsi="Times New Roman" w:cs="Times New Roman"/>
          <w:sz w:val="24"/>
          <w:szCs w:val="24"/>
        </w:rPr>
        <w:t xml:space="preserve">, in </w:t>
      </w:r>
      <w:r w:rsidRPr="00265B2E">
        <w:rPr>
          <w:rFonts w:ascii="Times New Roman" w:hAnsi="Times New Roman" w:cs="Times New Roman"/>
          <w:i/>
          <w:sz w:val="24"/>
          <w:szCs w:val="24"/>
        </w:rPr>
        <w:t>Prima di Carlo Borromeo. Lettere e arti a Milano nel primo Cinquecento</w:t>
      </w:r>
      <w:r w:rsidRPr="00265B2E">
        <w:rPr>
          <w:rFonts w:ascii="Times New Roman" w:hAnsi="Times New Roman" w:cs="Times New Roman"/>
          <w:sz w:val="24"/>
          <w:szCs w:val="24"/>
        </w:rPr>
        <w:t xml:space="preserve">, a cura di </w:t>
      </w:r>
      <w:r w:rsidRPr="00265B2E">
        <w:rPr>
          <w:rFonts w:ascii="Times New Roman" w:hAnsi="Times New Roman" w:cs="Times New Roman"/>
          <w:smallCaps/>
          <w:sz w:val="24"/>
          <w:szCs w:val="24"/>
        </w:rPr>
        <w:t>E. Bellini, A. Rovetta</w:t>
      </w:r>
      <w:r w:rsidRPr="00265B2E">
        <w:rPr>
          <w:rFonts w:ascii="Times New Roman" w:hAnsi="Times New Roman" w:cs="Times New Roman"/>
          <w:sz w:val="24"/>
          <w:szCs w:val="24"/>
        </w:rPr>
        <w:t>, Roma, Bulzoni, 2013, pp. 247-282.</w:t>
      </w:r>
      <w:r w:rsidRPr="00265B2E">
        <w:rPr>
          <w:sz w:val="24"/>
          <w:szCs w:val="24"/>
        </w:rPr>
        <w:t xml:space="preserve"> </w:t>
      </w:r>
    </w:p>
    <w:p w14:paraId="13C70D03" w14:textId="77777777" w:rsidR="00796A9D" w:rsidRDefault="00796A9D" w:rsidP="00796A9D">
      <w:pPr>
        <w:pStyle w:val="Testonotaapidipagina"/>
        <w:jc w:val="both"/>
        <w:rPr>
          <w:rFonts w:ascii="Times New Roman" w:hAnsi="Times New Roman" w:cs="Times New Roman"/>
          <w:smallCaps/>
          <w:sz w:val="24"/>
          <w:szCs w:val="24"/>
        </w:rPr>
      </w:pPr>
    </w:p>
    <w:p w14:paraId="564AEF73" w14:textId="77777777" w:rsidR="00796A9D" w:rsidRPr="00225805" w:rsidRDefault="00796A9D" w:rsidP="00796A9D">
      <w:pPr>
        <w:pStyle w:val="Testonotaapidipagina"/>
        <w:jc w:val="both"/>
        <w:rPr>
          <w:rFonts w:ascii="Times New Roman" w:hAnsi="Times New Roman" w:cs="Times New Roman"/>
          <w:sz w:val="24"/>
          <w:szCs w:val="24"/>
        </w:rPr>
      </w:pPr>
      <w:r w:rsidRPr="00225805">
        <w:rPr>
          <w:rFonts w:ascii="Times New Roman" w:hAnsi="Times New Roman" w:cs="Times New Roman"/>
          <w:sz w:val="24"/>
          <w:szCs w:val="24"/>
        </w:rPr>
        <w:t xml:space="preserve">P. </w:t>
      </w:r>
      <w:r w:rsidRPr="00225805">
        <w:rPr>
          <w:rFonts w:ascii="Times New Roman" w:hAnsi="Times New Roman" w:cs="Times New Roman"/>
          <w:smallCaps/>
          <w:sz w:val="24"/>
          <w:szCs w:val="24"/>
        </w:rPr>
        <w:t>Ventrone</w:t>
      </w:r>
      <w:r w:rsidRPr="00225805">
        <w:rPr>
          <w:rFonts w:ascii="Times New Roman" w:hAnsi="Times New Roman" w:cs="Times New Roman"/>
          <w:sz w:val="24"/>
          <w:szCs w:val="24"/>
        </w:rPr>
        <w:t xml:space="preserve">, </w:t>
      </w:r>
      <w:r w:rsidRPr="00225805">
        <w:rPr>
          <w:rFonts w:ascii="Times New Roman" w:hAnsi="Times New Roman" w:cs="Times New Roman"/>
          <w:i/>
          <w:sz w:val="24"/>
          <w:szCs w:val="24"/>
        </w:rPr>
        <w:t>Simbologia e funzione delle feste identitarie in alcune città italiane del XIII e XV secolo</w:t>
      </w:r>
      <w:r w:rsidRPr="00225805">
        <w:rPr>
          <w:rFonts w:ascii="Times New Roman" w:hAnsi="Times New Roman" w:cs="Times New Roman"/>
          <w:sz w:val="24"/>
          <w:szCs w:val="24"/>
        </w:rPr>
        <w:t xml:space="preserve">, «Teatro e Storia», </w:t>
      </w:r>
      <w:r>
        <w:rPr>
          <w:rFonts w:ascii="Times New Roman" w:hAnsi="Times New Roman" w:cs="Times New Roman"/>
          <w:sz w:val="24"/>
          <w:szCs w:val="24"/>
        </w:rPr>
        <w:t>XXXIV</w:t>
      </w:r>
      <w:r w:rsidRPr="00225805">
        <w:rPr>
          <w:rFonts w:ascii="Times New Roman" w:hAnsi="Times New Roman" w:cs="Times New Roman"/>
          <w:sz w:val="24"/>
          <w:szCs w:val="24"/>
        </w:rPr>
        <w:t>, 2013, pp. 285-310.</w:t>
      </w:r>
    </w:p>
    <w:p w14:paraId="13D0F3EF" w14:textId="77777777" w:rsidR="00796A9D" w:rsidRDefault="00796A9D" w:rsidP="00796A9D">
      <w:pPr>
        <w:pStyle w:val="Testonotaapidipagina"/>
        <w:jc w:val="both"/>
        <w:rPr>
          <w:rFonts w:ascii="Times New Roman" w:hAnsi="Times New Roman" w:cs="Times New Roman"/>
          <w:smallCaps/>
          <w:sz w:val="24"/>
          <w:szCs w:val="24"/>
        </w:rPr>
      </w:pPr>
    </w:p>
    <w:p w14:paraId="522AD38B" w14:textId="77777777" w:rsidR="00796A9D" w:rsidRDefault="00796A9D" w:rsidP="00796A9D">
      <w:pPr>
        <w:pStyle w:val="Testonotaapidipagina"/>
        <w:jc w:val="both"/>
        <w:rPr>
          <w:rFonts w:ascii="Times New Roman" w:hAnsi="Times New Roman" w:cs="Times New Roman"/>
          <w:sz w:val="24"/>
          <w:szCs w:val="24"/>
          <w:lang w:val="en-US"/>
        </w:rPr>
      </w:pPr>
      <w:r w:rsidRPr="00BA2DBB">
        <w:rPr>
          <w:rFonts w:ascii="Times New Roman" w:hAnsi="Times New Roman" w:cs="Times New Roman"/>
          <w:smallCaps/>
          <w:sz w:val="24"/>
          <w:szCs w:val="24"/>
        </w:rPr>
        <w:t>P. Ventrone</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 xml:space="preserve">Medicean Theater. </w:t>
      </w:r>
      <w:r w:rsidRPr="00BA2DBB">
        <w:rPr>
          <w:rFonts w:ascii="Times New Roman" w:hAnsi="Times New Roman" w:cs="Times New Roman"/>
          <w:i/>
          <w:sz w:val="24"/>
          <w:szCs w:val="24"/>
          <w:lang w:val="en-US"/>
        </w:rPr>
        <w:t>Image and Message</w:t>
      </w:r>
      <w:r w:rsidRPr="00BA2DBB">
        <w:rPr>
          <w:rFonts w:ascii="Times New Roman" w:hAnsi="Times New Roman" w:cs="Times New Roman"/>
          <w:sz w:val="24"/>
          <w:szCs w:val="24"/>
          <w:lang w:val="en-US"/>
        </w:rPr>
        <w:t xml:space="preserve">, in </w:t>
      </w:r>
      <w:r w:rsidRPr="00BA2DBB">
        <w:rPr>
          <w:rFonts w:ascii="Times New Roman" w:hAnsi="Times New Roman" w:cs="Times New Roman"/>
          <w:i/>
          <w:sz w:val="24"/>
          <w:szCs w:val="24"/>
          <w:lang w:val="en-US"/>
        </w:rPr>
        <w:t>The Medici. Citizens and Masters</w:t>
      </w:r>
      <w:r w:rsidRPr="00BA2DBB">
        <w:rPr>
          <w:rFonts w:ascii="Times New Roman" w:hAnsi="Times New Roman" w:cs="Times New Roman"/>
          <w:sz w:val="24"/>
          <w:szCs w:val="24"/>
          <w:lang w:val="en-US"/>
        </w:rPr>
        <w:t xml:space="preserve">, edited by </w:t>
      </w:r>
      <w:r w:rsidRPr="00BA2DBB">
        <w:rPr>
          <w:rFonts w:ascii="Times New Roman" w:hAnsi="Times New Roman" w:cs="Times New Roman"/>
          <w:smallCaps/>
          <w:sz w:val="24"/>
          <w:szCs w:val="24"/>
          <w:lang w:val="en-US"/>
        </w:rPr>
        <w:t>R. Black, J. E. Law</w:t>
      </w:r>
      <w:r w:rsidRPr="00BA2DBB">
        <w:rPr>
          <w:rFonts w:ascii="Times New Roman" w:hAnsi="Times New Roman" w:cs="Times New Roman"/>
          <w:sz w:val="24"/>
          <w:szCs w:val="24"/>
          <w:lang w:val="en-US"/>
        </w:rPr>
        <w:t xml:space="preserve">, Villa I Tatti series, </w:t>
      </w:r>
      <w:r>
        <w:rPr>
          <w:rFonts w:ascii="Times New Roman" w:hAnsi="Times New Roman" w:cs="Times New Roman"/>
          <w:sz w:val="24"/>
          <w:szCs w:val="24"/>
          <w:lang w:val="en-US"/>
        </w:rPr>
        <w:t>XXXII</w:t>
      </w:r>
      <w:r w:rsidRPr="00BA2DBB">
        <w:rPr>
          <w:rFonts w:ascii="Times New Roman" w:hAnsi="Times New Roman" w:cs="Times New Roman"/>
          <w:sz w:val="24"/>
          <w:szCs w:val="24"/>
          <w:lang w:val="en-US"/>
        </w:rPr>
        <w:t xml:space="preserve">, 2015, pp. 253-265. </w:t>
      </w:r>
    </w:p>
    <w:p w14:paraId="50024C6B" w14:textId="77777777" w:rsidR="00796A9D" w:rsidRDefault="00796A9D" w:rsidP="00796A9D">
      <w:pPr>
        <w:pStyle w:val="Testonotaapidipagina"/>
        <w:jc w:val="both"/>
        <w:rPr>
          <w:rFonts w:ascii="Times New Roman" w:hAnsi="Times New Roman" w:cs="Times New Roman"/>
          <w:sz w:val="24"/>
          <w:szCs w:val="24"/>
          <w:lang w:val="en-US"/>
        </w:rPr>
      </w:pPr>
    </w:p>
    <w:p w14:paraId="033A854F" w14:textId="77777777" w:rsidR="00796A9D" w:rsidRPr="00C62414" w:rsidRDefault="00796A9D" w:rsidP="00796A9D">
      <w:pPr>
        <w:pStyle w:val="Testonotaapidipagina"/>
        <w:jc w:val="both"/>
        <w:rPr>
          <w:rFonts w:ascii="Times New Roman" w:hAnsi="Times New Roman" w:cs="Times New Roman"/>
          <w:sz w:val="24"/>
          <w:szCs w:val="24"/>
        </w:rPr>
      </w:pPr>
      <w:r w:rsidRPr="00C62414">
        <w:rPr>
          <w:rFonts w:ascii="Times New Roman" w:eastAsia="Times New Roman" w:hAnsi="Times New Roman" w:cs="Times New Roman"/>
          <w:smallCaps/>
          <w:sz w:val="24"/>
          <w:szCs w:val="24"/>
        </w:rPr>
        <w:t>P. Ventrone</w:t>
      </w:r>
      <w:r w:rsidRPr="00C62414">
        <w:rPr>
          <w:rFonts w:ascii="Times New Roman" w:eastAsia="Times New Roman" w:hAnsi="Times New Roman" w:cs="Times New Roman"/>
          <w:sz w:val="24"/>
          <w:szCs w:val="24"/>
        </w:rPr>
        <w:t xml:space="preserve">, </w:t>
      </w:r>
      <w:r w:rsidRPr="00C62414">
        <w:rPr>
          <w:rFonts w:ascii="Times New Roman" w:eastAsia="Times New Roman" w:hAnsi="Times New Roman" w:cs="Times New Roman"/>
          <w:i/>
          <w:sz w:val="24"/>
          <w:szCs w:val="24"/>
        </w:rPr>
        <w:t>Teatro civile e sacra rappresentazione a Firenze nel Rinascimento</w:t>
      </w:r>
      <w:r w:rsidRPr="00C62414">
        <w:rPr>
          <w:rFonts w:ascii="Times New Roman" w:eastAsia="Times New Roman" w:hAnsi="Times New Roman" w:cs="Times New Roman"/>
          <w:sz w:val="24"/>
          <w:szCs w:val="24"/>
        </w:rPr>
        <w:t xml:space="preserve">, Firenze, Le </w:t>
      </w:r>
      <w:r w:rsidR="00322BA0">
        <w:rPr>
          <w:rFonts w:ascii="Times New Roman" w:eastAsia="Times New Roman" w:hAnsi="Times New Roman" w:cs="Times New Roman"/>
          <w:sz w:val="24"/>
          <w:szCs w:val="24"/>
        </w:rPr>
        <w:t>L</w:t>
      </w:r>
      <w:r w:rsidRPr="00C62414">
        <w:rPr>
          <w:rFonts w:ascii="Times New Roman" w:eastAsia="Times New Roman" w:hAnsi="Times New Roman" w:cs="Times New Roman"/>
          <w:sz w:val="24"/>
          <w:szCs w:val="24"/>
        </w:rPr>
        <w:t xml:space="preserve">ettere, 2016.  </w:t>
      </w:r>
    </w:p>
    <w:p w14:paraId="7718D268" w14:textId="77777777" w:rsidR="00796A9D" w:rsidRPr="00BA2DBB" w:rsidRDefault="00796A9D" w:rsidP="00796A9D">
      <w:pPr>
        <w:pStyle w:val="Testonotaapidipagina"/>
        <w:jc w:val="both"/>
        <w:rPr>
          <w:rFonts w:ascii="Times New Roman" w:hAnsi="Times New Roman" w:cs="Times New Roman"/>
          <w:sz w:val="24"/>
          <w:szCs w:val="24"/>
        </w:rPr>
      </w:pPr>
    </w:p>
    <w:p w14:paraId="0E4CCE28" w14:textId="77777777" w:rsidR="00796A9D" w:rsidRPr="00BA2DBB" w:rsidRDefault="00796A9D" w:rsidP="00796A9D">
      <w:pPr>
        <w:pStyle w:val="Testonotaapidipagina"/>
        <w:jc w:val="both"/>
        <w:rPr>
          <w:rFonts w:ascii="Times New Roman" w:hAnsi="Times New Roman" w:cs="Times New Roman"/>
          <w:sz w:val="24"/>
          <w:szCs w:val="24"/>
        </w:rPr>
      </w:pPr>
      <w:r w:rsidRPr="00BA2DBB">
        <w:rPr>
          <w:rFonts w:ascii="Times New Roman" w:hAnsi="Times New Roman" w:cs="Times New Roman"/>
          <w:smallCaps/>
          <w:sz w:val="24"/>
          <w:szCs w:val="24"/>
        </w:rPr>
        <w:t>P. Venturelli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Il tabernacolo Pallavicino. Considerazioni sulle botteghe orafe di fine Quattrocento tra Milano e Lodi</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L'Oro e la Porpora. Le arti a Lodi nel tempo del vescovo Pallavicino</w:t>
      </w:r>
      <w:r w:rsidRPr="00BA2DBB">
        <w:rPr>
          <w:rFonts w:ascii="Times New Roman" w:hAnsi="Times New Roman" w:cs="Times New Roman"/>
          <w:sz w:val="24"/>
          <w:szCs w:val="24"/>
        </w:rPr>
        <w:t xml:space="preserve">, Catalogo della mostra (Lodi, 9 aprile-5 luglio 1998), a cura di </w:t>
      </w:r>
      <w:r w:rsidRPr="00BA2DBB">
        <w:rPr>
          <w:rFonts w:ascii="Times New Roman" w:hAnsi="Times New Roman" w:cs="Times New Roman"/>
          <w:smallCaps/>
          <w:sz w:val="24"/>
          <w:szCs w:val="24"/>
        </w:rPr>
        <w:t>M. Marubbi</w:t>
      </w:r>
      <w:r w:rsidRPr="00BA2DBB">
        <w:rPr>
          <w:rFonts w:ascii="Times New Roman" w:hAnsi="Times New Roman" w:cs="Times New Roman"/>
          <w:sz w:val="24"/>
          <w:szCs w:val="24"/>
        </w:rPr>
        <w:t>, Cinisello Balsamo, Silvana, 1998, pp. 85-96.</w:t>
      </w:r>
    </w:p>
    <w:p w14:paraId="338D8E01" w14:textId="77777777" w:rsidR="00796A9D" w:rsidRDefault="00796A9D" w:rsidP="00796A9D">
      <w:pPr>
        <w:pStyle w:val="Testonotaapidipagina"/>
        <w:jc w:val="both"/>
        <w:rPr>
          <w:rFonts w:ascii="Times New Roman" w:hAnsi="Times New Roman" w:cs="Times New Roman"/>
          <w:sz w:val="24"/>
          <w:szCs w:val="24"/>
        </w:rPr>
      </w:pPr>
    </w:p>
    <w:p w14:paraId="588D7C0D" w14:textId="77777777" w:rsidR="00796A9D" w:rsidRPr="006E4113" w:rsidRDefault="00796A9D" w:rsidP="00796A9D">
      <w:pPr>
        <w:pStyle w:val="Testonotaapidipagina"/>
        <w:jc w:val="both"/>
        <w:rPr>
          <w:rFonts w:ascii="Times New Roman" w:hAnsi="Times New Roman" w:cs="Times New Roman"/>
          <w:sz w:val="24"/>
          <w:szCs w:val="24"/>
        </w:rPr>
      </w:pPr>
      <w:r w:rsidRPr="006E4113">
        <w:rPr>
          <w:rFonts w:ascii="Times New Roman" w:hAnsi="Times New Roman" w:cs="Times New Roman"/>
          <w:smallCaps/>
          <w:sz w:val="24"/>
          <w:szCs w:val="24"/>
        </w:rPr>
        <w:t>P. Venturelli</w:t>
      </w:r>
      <w:r w:rsidRPr="006E4113">
        <w:rPr>
          <w:rFonts w:ascii="Times New Roman" w:hAnsi="Times New Roman" w:cs="Times New Roman"/>
          <w:sz w:val="24"/>
          <w:szCs w:val="24"/>
        </w:rPr>
        <w:t xml:space="preserve">, </w:t>
      </w:r>
      <w:r w:rsidRPr="006E4113">
        <w:rPr>
          <w:rFonts w:ascii="Times New Roman" w:hAnsi="Times New Roman" w:cs="Times New Roman"/>
          <w:i/>
          <w:sz w:val="24"/>
          <w:szCs w:val="24"/>
        </w:rPr>
        <w:t>Leonardo da Vinci e le arti preziose. Milano tra XV e XVI secolo</w:t>
      </w:r>
      <w:r w:rsidRPr="006E4113">
        <w:rPr>
          <w:rFonts w:ascii="Times New Roman" w:hAnsi="Times New Roman" w:cs="Times New Roman"/>
          <w:sz w:val="24"/>
          <w:szCs w:val="24"/>
        </w:rPr>
        <w:t>, Venezia, Marsilio, 2002.</w:t>
      </w:r>
    </w:p>
    <w:p w14:paraId="46DCE7B2" w14:textId="77777777" w:rsidR="00796A9D" w:rsidRPr="00BA2DBB" w:rsidRDefault="00796A9D" w:rsidP="00796A9D">
      <w:pPr>
        <w:pStyle w:val="Testonotaapidipagina"/>
        <w:jc w:val="both"/>
        <w:rPr>
          <w:rFonts w:ascii="Times New Roman" w:hAnsi="Times New Roman" w:cs="Times New Roman"/>
          <w:sz w:val="24"/>
          <w:szCs w:val="24"/>
        </w:rPr>
      </w:pPr>
    </w:p>
    <w:p w14:paraId="23B183DD"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P. Venturelli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Oro dai Visconti agli Sforza. Smalti e oreficeria nel ducato di Milano</w:t>
      </w:r>
      <w:r w:rsidRPr="00BA2DBB">
        <w:rPr>
          <w:rFonts w:ascii="Times New Roman" w:hAnsi="Times New Roman" w:cs="Times New Roman"/>
          <w:sz w:val="24"/>
          <w:szCs w:val="24"/>
        </w:rPr>
        <w:t>, Cinisello Balsamo, Silvana editoriale, 2012.</w:t>
      </w:r>
    </w:p>
    <w:p w14:paraId="6C1C73D9" w14:textId="77777777" w:rsidR="00796A9D" w:rsidRDefault="00796A9D" w:rsidP="00796A9D">
      <w:pPr>
        <w:spacing w:after="0"/>
        <w:jc w:val="both"/>
        <w:rPr>
          <w:rFonts w:ascii="Times New Roman" w:hAnsi="Times New Roman" w:cs="Times New Roman"/>
          <w:sz w:val="24"/>
          <w:szCs w:val="24"/>
        </w:rPr>
      </w:pPr>
    </w:p>
    <w:p w14:paraId="1A953F60" w14:textId="77777777" w:rsidR="00796A9D" w:rsidRDefault="00796A9D" w:rsidP="00796A9D">
      <w:pPr>
        <w:spacing w:after="0"/>
        <w:jc w:val="both"/>
        <w:rPr>
          <w:rFonts w:ascii="Times New Roman" w:hAnsi="Times New Roman" w:cs="Times New Roman"/>
          <w:sz w:val="24"/>
          <w:szCs w:val="24"/>
        </w:rPr>
      </w:pPr>
      <w:r w:rsidRPr="008B1D67">
        <w:rPr>
          <w:rFonts w:ascii="Times New Roman" w:hAnsi="Times New Roman" w:cs="Times New Roman"/>
          <w:smallCaps/>
        </w:rPr>
        <w:t>H.S. Versnel</w:t>
      </w:r>
      <w:r w:rsidRPr="008B1D67">
        <w:rPr>
          <w:rFonts w:ascii="Times New Roman" w:hAnsi="Times New Roman" w:cs="Times New Roman"/>
        </w:rPr>
        <w:t xml:space="preserve">, </w:t>
      </w:r>
      <w:r w:rsidRPr="008B1D67">
        <w:rPr>
          <w:rFonts w:ascii="Times New Roman" w:hAnsi="Times New Roman" w:cs="Times New Roman"/>
          <w:i/>
        </w:rPr>
        <w:t>Triumphus: an inquiry into the origin, development and meaning of the Roman triumph</w:t>
      </w:r>
      <w:r w:rsidRPr="008B1D67">
        <w:rPr>
          <w:rFonts w:ascii="Times New Roman" w:hAnsi="Times New Roman" w:cs="Times New Roman"/>
        </w:rPr>
        <w:t>, Leiden, Brill, 1970</w:t>
      </w:r>
      <w:r>
        <w:rPr>
          <w:rFonts w:ascii="Times New Roman" w:hAnsi="Times New Roman" w:cs="Times New Roman"/>
        </w:rPr>
        <w:t>.</w:t>
      </w:r>
    </w:p>
    <w:p w14:paraId="6AACFCF2" w14:textId="77777777" w:rsidR="00796A9D" w:rsidRPr="00BA2DBB" w:rsidRDefault="00796A9D" w:rsidP="00796A9D">
      <w:pPr>
        <w:spacing w:after="0"/>
        <w:jc w:val="both"/>
        <w:rPr>
          <w:rFonts w:ascii="Times New Roman" w:hAnsi="Times New Roman" w:cs="Times New Roman"/>
          <w:sz w:val="24"/>
          <w:szCs w:val="24"/>
        </w:rPr>
      </w:pPr>
    </w:p>
    <w:p w14:paraId="0970BD2A" w14:textId="77777777" w:rsidR="00796A9D" w:rsidRPr="00BA2DBB"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N. Vianello</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libri del Petrarca e la prima idea di una pubblica biblioteca a Venezia</w:t>
      </w:r>
      <w:r w:rsidRPr="00BA2DBB">
        <w:rPr>
          <w:rFonts w:ascii="Times New Roman" w:hAnsi="Times New Roman" w:cs="Times New Roman"/>
          <w:sz w:val="24"/>
          <w:szCs w:val="24"/>
        </w:rPr>
        <w:t xml:space="preserve">, in </w:t>
      </w:r>
      <w:r w:rsidRPr="00BA2DBB">
        <w:rPr>
          <w:rFonts w:ascii="Times New Roman" w:hAnsi="Times New Roman" w:cs="Times New Roman"/>
          <w:i/>
          <w:sz w:val="24"/>
          <w:szCs w:val="24"/>
        </w:rPr>
        <w:t>Miscellanea marciana di studi bessarionei a coronamento del V Centenario della donazione nicena</w:t>
      </w:r>
      <w:r w:rsidRPr="00BA2DBB">
        <w:rPr>
          <w:rFonts w:ascii="Times New Roman" w:hAnsi="Times New Roman" w:cs="Times New Roman"/>
          <w:sz w:val="24"/>
          <w:szCs w:val="24"/>
        </w:rPr>
        <w:t>, «Medioevo e Umanesimo», 24, 1976, pp. 435-451.</w:t>
      </w:r>
    </w:p>
    <w:p w14:paraId="4515A14A" w14:textId="77777777" w:rsidR="00796A9D" w:rsidRDefault="00796A9D" w:rsidP="00796A9D">
      <w:pPr>
        <w:spacing w:after="0"/>
        <w:jc w:val="both"/>
        <w:rPr>
          <w:rFonts w:ascii="Times New Roman" w:hAnsi="Times New Roman" w:cs="Times New Roman"/>
          <w:smallCaps/>
          <w:sz w:val="24"/>
          <w:szCs w:val="24"/>
        </w:rPr>
      </w:pPr>
    </w:p>
    <w:p w14:paraId="69D97417"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M. Villoresi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La fabbrica dei cavalieri. Cantari, poemi, romanzi in prosa fra medioevo e rinascimento</w:t>
      </w:r>
      <w:r w:rsidRPr="00BA2DBB">
        <w:rPr>
          <w:rFonts w:ascii="Times New Roman" w:hAnsi="Times New Roman" w:cs="Times New Roman"/>
          <w:sz w:val="24"/>
          <w:szCs w:val="24"/>
        </w:rPr>
        <w:t>, Roma, Salerno, 2005.</w:t>
      </w:r>
    </w:p>
    <w:p w14:paraId="564778E3" w14:textId="77777777" w:rsidR="00796A9D" w:rsidRDefault="00796A9D" w:rsidP="00796A9D">
      <w:pPr>
        <w:spacing w:after="0"/>
        <w:jc w:val="both"/>
        <w:rPr>
          <w:rFonts w:ascii="Times New Roman" w:hAnsi="Times New Roman" w:cs="Times New Roman"/>
          <w:sz w:val="24"/>
          <w:szCs w:val="24"/>
        </w:rPr>
      </w:pPr>
    </w:p>
    <w:p w14:paraId="0EF570D6" w14:textId="77777777" w:rsidR="00796A9D" w:rsidRPr="003A42BB" w:rsidRDefault="00796A9D" w:rsidP="00796A9D">
      <w:pPr>
        <w:spacing w:after="0"/>
        <w:jc w:val="both"/>
        <w:rPr>
          <w:rFonts w:ascii="Times New Roman" w:hAnsi="Times New Roman" w:cs="Times New Roman"/>
          <w:sz w:val="24"/>
          <w:szCs w:val="24"/>
        </w:rPr>
      </w:pPr>
      <w:r w:rsidRPr="003A42BB">
        <w:rPr>
          <w:rFonts w:ascii="Times New Roman" w:hAnsi="Times New Roman" w:cs="Times New Roman"/>
          <w:i/>
          <w:sz w:val="24"/>
          <w:szCs w:val="24"/>
        </w:rPr>
        <w:t>Virtù d'amore: pittura nuziale nel Quattrocento fiorentino</w:t>
      </w:r>
      <w:r w:rsidRPr="003A42BB">
        <w:rPr>
          <w:rFonts w:ascii="Times New Roman" w:hAnsi="Times New Roman" w:cs="Times New Roman"/>
          <w:sz w:val="24"/>
          <w:szCs w:val="24"/>
        </w:rPr>
        <w:t xml:space="preserve">, a cura di C. </w:t>
      </w:r>
      <w:r w:rsidRPr="003A42BB">
        <w:rPr>
          <w:rFonts w:ascii="Times New Roman" w:hAnsi="Times New Roman" w:cs="Times New Roman"/>
          <w:smallCaps/>
          <w:sz w:val="24"/>
          <w:szCs w:val="24"/>
        </w:rPr>
        <w:t>Paolini, D. Parenti, L. Sebregondi</w:t>
      </w:r>
      <w:r w:rsidRPr="003A42BB">
        <w:rPr>
          <w:rFonts w:ascii="Times New Roman" w:hAnsi="Times New Roman" w:cs="Times New Roman"/>
          <w:sz w:val="24"/>
          <w:szCs w:val="24"/>
        </w:rPr>
        <w:t>, Firenze, Giunti, 2010.</w:t>
      </w:r>
    </w:p>
    <w:p w14:paraId="78F68972" w14:textId="77777777" w:rsidR="00796A9D" w:rsidRDefault="00796A9D" w:rsidP="00796A9D">
      <w:pPr>
        <w:spacing w:after="0"/>
        <w:jc w:val="both"/>
        <w:rPr>
          <w:rFonts w:ascii="Times New Roman" w:hAnsi="Times New Roman" w:cs="Times New Roman"/>
          <w:sz w:val="24"/>
          <w:szCs w:val="24"/>
        </w:rPr>
      </w:pPr>
    </w:p>
    <w:p w14:paraId="2503D419" w14:textId="77777777" w:rsidR="00796A9D" w:rsidRPr="00E60805" w:rsidRDefault="00796A9D" w:rsidP="00796A9D">
      <w:pPr>
        <w:spacing w:after="0"/>
        <w:jc w:val="both"/>
        <w:rPr>
          <w:rFonts w:ascii="Times New Roman" w:hAnsi="Times New Roman" w:cs="Times New Roman"/>
          <w:sz w:val="24"/>
          <w:szCs w:val="24"/>
        </w:rPr>
      </w:pPr>
      <w:r w:rsidRPr="00E60805">
        <w:rPr>
          <w:rFonts w:ascii="Times New Roman" w:hAnsi="Times New Roman" w:cs="Times New Roman"/>
          <w:smallCaps/>
          <w:sz w:val="24"/>
          <w:szCs w:val="24"/>
        </w:rPr>
        <w:t>L. von Pastor</w:t>
      </w:r>
      <w:r w:rsidRPr="00E60805">
        <w:rPr>
          <w:rFonts w:ascii="Times New Roman" w:hAnsi="Times New Roman" w:cs="Times New Roman"/>
          <w:sz w:val="24"/>
          <w:szCs w:val="24"/>
        </w:rPr>
        <w:t xml:space="preserve">, </w:t>
      </w:r>
      <w:r w:rsidRPr="00E60805">
        <w:rPr>
          <w:rFonts w:ascii="Times New Roman" w:hAnsi="Times New Roman" w:cs="Times New Roman"/>
          <w:i/>
          <w:sz w:val="24"/>
          <w:szCs w:val="24"/>
        </w:rPr>
        <w:t>Storia dei papi dalla fine del Medio Evo</w:t>
      </w:r>
      <w:r w:rsidRPr="00E60805">
        <w:rPr>
          <w:rFonts w:ascii="Times New Roman" w:hAnsi="Times New Roman" w:cs="Times New Roman"/>
          <w:sz w:val="24"/>
          <w:szCs w:val="24"/>
        </w:rPr>
        <w:t>, Roma, Desclée, 1958</w:t>
      </w:r>
      <w:r>
        <w:rPr>
          <w:rFonts w:ascii="Times New Roman" w:hAnsi="Times New Roman" w:cs="Times New Roman"/>
          <w:sz w:val="24"/>
          <w:szCs w:val="24"/>
        </w:rPr>
        <w:t>.</w:t>
      </w:r>
    </w:p>
    <w:p w14:paraId="1EEC9C53" w14:textId="77777777" w:rsidR="00796A9D" w:rsidRDefault="00796A9D" w:rsidP="00796A9D">
      <w:pPr>
        <w:spacing w:after="0"/>
        <w:jc w:val="both"/>
        <w:rPr>
          <w:rFonts w:ascii="Times New Roman" w:hAnsi="Times New Roman" w:cs="Times New Roman"/>
          <w:smallCaps/>
          <w:sz w:val="24"/>
          <w:szCs w:val="24"/>
        </w:rPr>
      </w:pPr>
    </w:p>
    <w:p w14:paraId="7635DC70"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J. K. Walsh, A. Deyermond</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Enrique de Villena como poeta y dramaturgo: bosquejo de una polemica frustrada</w:t>
      </w:r>
      <w:r w:rsidRPr="00BA2DBB">
        <w:rPr>
          <w:rFonts w:ascii="Times New Roman" w:hAnsi="Times New Roman" w:cs="Times New Roman"/>
          <w:sz w:val="24"/>
          <w:szCs w:val="24"/>
        </w:rPr>
        <w:t>, «Nueva Revista de Filologfa Hispdnica», 28, 1979, pp. 57-85.</w:t>
      </w:r>
    </w:p>
    <w:p w14:paraId="0B56AF0D" w14:textId="77777777" w:rsidR="00796A9D" w:rsidRDefault="00796A9D" w:rsidP="00796A9D">
      <w:pPr>
        <w:spacing w:after="0"/>
        <w:jc w:val="both"/>
        <w:rPr>
          <w:rFonts w:ascii="Times New Roman" w:hAnsi="Times New Roman" w:cs="Times New Roman"/>
          <w:sz w:val="24"/>
          <w:szCs w:val="24"/>
        </w:rPr>
      </w:pPr>
    </w:p>
    <w:p w14:paraId="17862AAA" w14:textId="77777777" w:rsidR="00796A9D" w:rsidRPr="009637D5" w:rsidRDefault="00796A9D" w:rsidP="00796A9D">
      <w:pPr>
        <w:pStyle w:val="Testonotaapidipagina"/>
        <w:jc w:val="both"/>
        <w:rPr>
          <w:rFonts w:ascii="Times New Roman" w:hAnsi="Times New Roman" w:cs="Times New Roman"/>
          <w:sz w:val="24"/>
          <w:szCs w:val="24"/>
        </w:rPr>
      </w:pPr>
      <w:r w:rsidRPr="009637D5">
        <w:rPr>
          <w:rFonts w:ascii="Times New Roman" w:hAnsi="Times New Roman" w:cs="Times New Roman"/>
          <w:smallCaps/>
          <w:sz w:val="24"/>
          <w:szCs w:val="24"/>
        </w:rPr>
        <w:t>A. Warburg</w:t>
      </w:r>
      <w:r w:rsidRPr="009637D5">
        <w:rPr>
          <w:rFonts w:ascii="Times New Roman" w:hAnsi="Times New Roman" w:cs="Times New Roman"/>
          <w:sz w:val="24"/>
          <w:szCs w:val="24"/>
        </w:rPr>
        <w:t xml:space="preserve">, </w:t>
      </w:r>
      <w:r w:rsidRPr="009637D5">
        <w:rPr>
          <w:rFonts w:ascii="Times New Roman" w:hAnsi="Times New Roman" w:cs="Times New Roman"/>
          <w:i/>
          <w:sz w:val="24"/>
          <w:szCs w:val="24"/>
        </w:rPr>
        <w:t>Arte e astrologia nel Palazzo Schifanoia di Ferrara</w:t>
      </w:r>
      <w:r w:rsidRPr="009637D5">
        <w:rPr>
          <w:rFonts w:ascii="Times New Roman" w:hAnsi="Times New Roman" w:cs="Times New Roman"/>
          <w:sz w:val="24"/>
          <w:szCs w:val="24"/>
        </w:rPr>
        <w:t xml:space="preserve">, traduzione di </w:t>
      </w:r>
      <w:r w:rsidRPr="009637D5">
        <w:rPr>
          <w:rFonts w:ascii="Times New Roman" w:hAnsi="Times New Roman" w:cs="Times New Roman"/>
          <w:smallCaps/>
          <w:sz w:val="24"/>
          <w:szCs w:val="24"/>
        </w:rPr>
        <w:t>E. Cantimori</w:t>
      </w:r>
      <w:r w:rsidRPr="009637D5">
        <w:rPr>
          <w:rFonts w:ascii="Times New Roman" w:hAnsi="Times New Roman" w:cs="Times New Roman"/>
          <w:sz w:val="24"/>
          <w:szCs w:val="24"/>
        </w:rPr>
        <w:t xml:space="preserve">, Milano, Abscondita, 2006. </w:t>
      </w:r>
    </w:p>
    <w:p w14:paraId="111F844B" w14:textId="77777777" w:rsidR="00796A9D" w:rsidRDefault="00796A9D" w:rsidP="00796A9D">
      <w:pPr>
        <w:spacing w:after="0"/>
        <w:jc w:val="both"/>
        <w:rPr>
          <w:rFonts w:ascii="Times New Roman" w:hAnsi="Times New Roman" w:cs="Times New Roman"/>
          <w:sz w:val="24"/>
          <w:szCs w:val="24"/>
        </w:rPr>
      </w:pPr>
    </w:p>
    <w:p w14:paraId="0122DE22" w14:textId="77777777" w:rsidR="00796A9D" w:rsidRDefault="00796A9D" w:rsidP="00796A9D">
      <w:pPr>
        <w:spacing w:after="0"/>
        <w:jc w:val="both"/>
        <w:rPr>
          <w:rFonts w:ascii="Times New Roman" w:hAnsi="Times New Roman" w:cs="Times New Roman"/>
          <w:sz w:val="24"/>
          <w:szCs w:val="24"/>
        </w:rPr>
      </w:pPr>
      <w:r w:rsidRPr="00E61192">
        <w:rPr>
          <w:rFonts w:ascii="Times New Roman" w:hAnsi="Times New Roman" w:cs="Times New Roman"/>
          <w:smallCaps/>
          <w:sz w:val="24"/>
          <w:szCs w:val="24"/>
        </w:rPr>
        <w:t xml:space="preserve">S. </w:t>
      </w:r>
      <w:r w:rsidR="00E61192" w:rsidRPr="00E61192">
        <w:rPr>
          <w:rFonts w:ascii="Times New Roman" w:hAnsi="Times New Roman" w:cs="Times New Roman"/>
          <w:smallCaps/>
          <w:sz w:val="24"/>
          <w:szCs w:val="24"/>
        </w:rPr>
        <w:t>Weiss</w:t>
      </w:r>
      <w:r w:rsidRPr="00A76BA9">
        <w:rPr>
          <w:rFonts w:ascii="Times New Roman" w:hAnsi="Times New Roman" w:cs="Times New Roman"/>
          <w:sz w:val="24"/>
          <w:szCs w:val="24"/>
        </w:rPr>
        <w:t xml:space="preserve">, </w:t>
      </w:r>
      <w:r w:rsidRPr="00A76BA9">
        <w:rPr>
          <w:rFonts w:ascii="Times New Roman" w:hAnsi="Times New Roman" w:cs="Times New Roman"/>
          <w:i/>
          <w:sz w:val="24"/>
          <w:szCs w:val="24"/>
        </w:rPr>
        <w:t>Die vergessene Kaiserin: Bianca Maria Sforza, Kaiser Maximilians zweite Gemahlin</w:t>
      </w:r>
      <w:r w:rsidRPr="00A76BA9">
        <w:rPr>
          <w:rFonts w:ascii="Times New Roman" w:hAnsi="Times New Roman" w:cs="Times New Roman"/>
          <w:sz w:val="24"/>
          <w:szCs w:val="24"/>
        </w:rPr>
        <w:t>, Innsbruck, Tyrolia, 2010.</w:t>
      </w:r>
    </w:p>
    <w:p w14:paraId="31B06A43" w14:textId="77777777" w:rsidR="00796A9D" w:rsidRDefault="00796A9D" w:rsidP="00796A9D">
      <w:pPr>
        <w:spacing w:after="0"/>
        <w:jc w:val="both"/>
        <w:rPr>
          <w:rFonts w:ascii="Times New Roman" w:hAnsi="Times New Roman" w:cs="Times New Roman"/>
          <w:sz w:val="24"/>
          <w:szCs w:val="24"/>
        </w:rPr>
      </w:pPr>
    </w:p>
    <w:p w14:paraId="57E950C0" w14:textId="77777777" w:rsidR="00796A9D" w:rsidRPr="007079EB" w:rsidRDefault="00796A9D" w:rsidP="00796A9D">
      <w:pPr>
        <w:spacing w:after="0"/>
        <w:jc w:val="both"/>
        <w:rPr>
          <w:rFonts w:ascii="Times New Roman" w:hAnsi="Times New Roman" w:cs="Times New Roman"/>
          <w:sz w:val="24"/>
          <w:szCs w:val="24"/>
        </w:rPr>
      </w:pPr>
      <w:r w:rsidRPr="007079EB">
        <w:rPr>
          <w:rFonts w:ascii="Times New Roman" w:hAnsi="Times New Roman" w:cs="Times New Roman"/>
          <w:smallCaps/>
          <w:sz w:val="24"/>
          <w:szCs w:val="24"/>
        </w:rPr>
        <w:t>S. Zaggia</w:t>
      </w:r>
      <w:r w:rsidRPr="007079EB">
        <w:rPr>
          <w:rFonts w:ascii="Times New Roman" w:hAnsi="Times New Roman" w:cs="Times New Roman"/>
          <w:sz w:val="24"/>
          <w:szCs w:val="24"/>
        </w:rPr>
        <w:t xml:space="preserve">, </w:t>
      </w:r>
      <w:r w:rsidRPr="007079EB">
        <w:rPr>
          <w:rFonts w:ascii="Times New Roman" w:hAnsi="Times New Roman" w:cs="Times New Roman"/>
          <w:i/>
          <w:sz w:val="24"/>
          <w:szCs w:val="24"/>
        </w:rPr>
        <w:t>Una piazza per la città del principe. Strategie Urbane e Architettura a Imola durante la Signoria di Girolamo Riario (1473-1488)</w:t>
      </w:r>
      <w:r w:rsidRPr="007079EB">
        <w:rPr>
          <w:rFonts w:ascii="Times New Roman" w:hAnsi="Times New Roman" w:cs="Times New Roman"/>
          <w:sz w:val="24"/>
          <w:szCs w:val="24"/>
        </w:rPr>
        <w:t>, Roma, Officina, 1999, pp. 32-44.</w:t>
      </w:r>
    </w:p>
    <w:p w14:paraId="2CCBB4DF" w14:textId="77777777" w:rsidR="00796A9D" w:rsidRDefault="00796A9D" w:rsidP="00796A9D">
      <w:pPr>
        <w:spacing w:after="0"/>
        <w:jc w:val="both"/>
        <w:rPr>
          <w:rFonts w:ascii="Times New Roman" w:hAnsi="Times New Roman" w:cs="Times New Roman"/>
          <w:smallCaps/>
          <w:sz w:val="24"/>
          <w:szCs w:val="24"/>
        </w:rPr>
      </w:pPr>
    </w:p>
    <w:p w14:paraId="1DE6AC60" w14:textId="77777777" w:rsidR="00796A9D" w:rsidRPr="00E3496C" w:rsidRDefault="00796A9D" w:rsidP="00796A9D">
      <w:pPr>
        <w:pStyle w:val="Testonotaapidipagina"/>
        <w:rPr>
          <w:rFonts w:ascii="Times New Roman" w:hAnsi="Times New Roman" w:cs="Times New Roman"/>
          <w:sz w:val="24"/>
          <w:szCs w:val="24"/>
        </w:rPr>
      </w:pPr>
      <w:r w:rsidRPr="00E3496C">
        <w:rPr>
          <w:rFonts w:ascii="Times New Roman" w:hAnsi="Times New Roman" w:cs="Times New Roman"/>
          <w:smallCaps/>
          <w:sz w:val="24"/>
          <w:szCs w:val="24"/>
        </w:rPr>
        <w:t>G. Zannoni</w:t>
      </w:r>
      <w:r w:rsidRPr="00E3496C">
        <w:rPr>
          <w:rFonts w:ascii="Times New Roman" w:hAnsi="Times New Roman" w:cs="Times New Roman"/>
          <w:sz w:val="24"/>
          <w:szCs w:val="24"/>
        </w:rPr>
        <w:t xml:space="preserve">, </w:t>
      </w:r>
      <w:r w:rsidRPr="00E3496C">
        <w:rPr>
          <w:rFonts w:ascii="Times New Roman" w:hAnsi="Times New Roman" w:cs="Times New Roman"/>
          <w:i/>
          <w:sz w:val="24"/>
          <w:szCs w:val="24"/>
        </w:rPr>
        <w:t>Una rappresentazione allegorica a Bologna nel 1487</w:t>
      </w:r>
      <w:r w:rsidRPr="00E3496C">
        <w:rPr>
          <w:rFonts w:ascii="Times New Roman" w:hAnsi="Times New Roman" w:cs="Times New Roman"/>
          <w:sz w:val="24"/>
          <w:szCs w:val="24"/>
        </w:rPr>
        <w:t xml:space="preserve">, «Rendiconti della R. Accademia dei Lincei», VII, 1891, pp. 414-427. </w:t>
      </w:r>
    </w:p>
    <w:p w14:paraId="356F9ECA" w14:textId="77777777" w:rsidR="00796A9D" w:rsidRDefault="00796A9D" w:rsidP="00796A9D">
      <w:pPr>
        <w:spacing w:after="0"/>
        <w:jc w:val="both"/>
        <w:rPr>
          <w:rFonts w:ascii="Times New Roman" w:hAnsi="Times New Roman" w:cs="Times New Roman"/>
          <w:smallCaps/>
          <w:sz w:val="24"/>
          <w:szCs w:val="24"/>
        </w:rPr>
      </w:pPr>
    </w:p>
    <w:p w14:paraId="162B82E7" w14:textId="77777777" w:rsidR="00796A9D" w:rsidRDefault="00796A9D" w:rsidP="00796A9D">
      <w:pPr>
        <w:spacing w:after="0"/>
        <w:jc w:val="both"/>
        <w:rPr>
          <w:rFonts w:ascii="Times New Roman" w:hAnsi="Times New Roman" w:cs="Times New Roman"/>
          <w:sz w:val="24"/>
          <w:szCs w:val="24"/>
        </w:rPr>
      </w:pPr>
      <w:r w:rsidRPr="00BA2DBB">
        <w:rPr>
          <w:rFonts w:ascii="Times New Roman" w:hAnsi="Times New Roman" w:cs="Times New Roman"/>
          <w:smallCaps/>
          <w:sz w:val="24"/>
          <w:szCs w:val="24"/>
        </w:rPr>
        <w:t>G. Zannoni</w:t>
      </w:r>
      <w:r w:rsidRPr="00BA2DBB">
        <w:rPr>
          <w:rFonts w:ascii="Times New Roman" w:hAnsi="Times New Roman" w:cs="Times New Roman"/>
          <w:sz w:val="24"/>
          <w:szCs w:val="24"/>
        </w:rPr>
        <w:t xml:space="preserve">, </w:t>
      </w:r>
      <w:r w:rsidRPr="00BA2DBB">
        <w:rPr>
          <w:rFonts w:ascii="Times New Roman" w:hAnsi="Times New Roman" w:cs="Times New Roman"/>
          <w:i/>
          <w:sz w:val="24"/>
          <w:szCs w:val="24"/>
        </w:rPr>
        <w:t>I due libri della “Martiados” di Giovanni Mario Filelfo</w:t>
      </w:r>
      <w:r w:rsidRPr="00BA2DBB">
        <w:rPr>
          <w:rFonts w:ascii="Times New Roman" w:hAnsi="Times New Roman" w:cs="Times New Roman"/>
          <w:sz w:val="24"/>
          <w:szCs w:val="24"/>
        </w:rPr>
        <w:t>, «Rendiconti dell’Accademia dei Lincei», V, 1894, pp. 666-671.</w:t>
      </w:r>
    </w:p>
    <w:p w14:paraId="1E499164" w14:textId="77777777" w:rsidR="00796A9D" w:rsidRDefault="00796A9D" w:rsidP="00796A9D">
      <w:pPr>
        <w:spacing w:after="0"/>
        <w:jc w:val="both"/>
        <w:rPr>
          <w:rFonts w:ascii="Times New Roman" w:hAnsi="Times New Roman" w:cs="Times New Roman"/>
          <w:sz w:val="24"/>
          <w:szCs w:val="24"/>
        </w:rPr>
      </w:pPr>
    </w:p>
    <w:p w14:paraId="075B6905" w14:textId="77777777" w:rsidR="00796A9D" w:rsidRDefault="00796A9D" w:rsidP="00796A9D">
      <w:pPr>
        <w:pStyle w:val="Testonotaapidipagina"/>
        <w:jc w:val="both"/>
        <w:rPr>
          <w:rFonts w:ascii="Times New Roman" w:hAnsi="Times New Roman" w:cs="Times New Roman"/>
          <w:sz w:val="24"/>
          <w:szCs w:val="24"/>
        </w:rPr>
      </w:pPr>
      <w:r w:rsidRPr="00D07924">
        <w:rPr>
          <w:rFonts w:ascii="Times New Roman" w:hAnsi="Times New Roman" w:cs="Times New Roman"/>
          <w:smallCaps/>
          <w:sz w:val="24"/>
          <w:szCs w:val="24"/>
        </w:rPr>
        <w:t>A. Zorzi</w:t>
      </w:r>
      <w:r w:rsidRPr="00D07924">
        <w:rPr>
          <w:rFonts w:ascii="Times New Roman" w:hAnsi="Times New Roman" w:cs="Times New Roman"/>
          <w:sz w:val="24"/>
          <w:szCs w:val="24"/>
        </w:rPr>
        <w:t xml:space="preserve">, </w:t>
      </w:r>
      <w:r w:rsidRPr="00D07924">
        <w:rPr>
          <w:rFonts w:ascii="Times New Roman" w:hAnsi="Times New Roman" w:cs="Times New Roman"/>
          <w:i/>
          <w:sz w:val="24"/>
          <w:szCs w:val="24"/>
        </w:rPr>
        <w:t>Ripensando i vicariati imperiali e apostolici</w:t>
      </w:r>
      <w:r w:rsidRPr="00D07924">
        <w:rPr>
          <w:rFonts w:ascii="Times New Roman" w:hAnsi="Times New Roman" w:cs="Times New Roman"/>
          <w:sz w:val="24"/>
          <w:szCs w:val="24"/>
        </w:rPr>
        <w:t xml:space="preserve">, in </w:t>
      </w:r>
      <w:r w:rsidRPr="00D07924">
        <w:rPr>
          <w:rFonts w:ascii="Times New Roman" w:hAnsi="Times New Roman" w:cs="Times New Roman"/>
          <w:i/>
          <w:sz w:val="24"/>
          <w:szCs w:val="24"/>
        </w:rPr>
        <w:t>Signorie italiane e modelli monarchici. Secoli XIII-XIV</w:t>
      </w:r>
      <w:r w:rsidRPr="00D07924">
        <w:rPr>
          <w:rFonts w:ascii="Times New Roman" w:hAnsi="Times New Roman" w:cs="Times New Roman"/>
          <w:sz w:val="24"/>
          <w:szCs w:val="24"/>
        </w:rPr>
        <w:t xml:space="preserve">, a cura di </w:t>
      </w:r>
      <w:r w:rsidRPr="00D07924">
        <w:rPr>
          <w:rFonts w:ascii="Times New Roman" w:hAnsi="Times New Roman" w:cs="Times New Roman"/>
          <w:smallCaps/>
          <w:sz w:val="24"/>
          <w:szCs w:val="24"/>
        </w:rPr>
        <w:t>P. Grillo</w:t>
      </w:r>
      <w:r w:rsidRPr="00D07924">
        <w:rPr>
          <w:rFonts w:ascii="Times New Roman" w:hAnsi="Times New Roman" w:cs="Times New Roman"/>
          <w:sz w:val="24"/>
          <w:szCs w:val="24"/>
        </w:rPr>
        <w:t>, Roma, Viella, 2013, pp. 30-</w:t>
      </w:r>
      <w:r>
        <w:rPr>
          <w:rFonts w:ascii="Times New Roman" w:hAnsi="Times New Roman" w:cs="Times New Roman"/>
          <w:sz w:val="24"/>
          <w:szCs w:val="24"/>
        </w:rPr>
        <w:t>5</w:t>
      </w:r>
      <w:r w:rsidRPr="00D07924">
        <w:rPr>
          <w:rFonts w:ascii="Times New Roman" w:hAnsi="Times New Roman" w:cs="Times New Roman"/>
          <w:sz w:val="24"/>
          <w:szCs w:val="24"/>
        </w:rPr>
        <w:t>1.</w:t>
      </w:r>
    </w:p>
    <w:p w14:paraId="58D8A76D" w14:textId="77777777" w:rsidR="00796A9D" w:rsidRDefault="00796A9D" w:rsidP="00796A9D">
      <w:pPr>
        <w:pStyle w:val="Testonotaapidipagina"/>
        <w:jc w:val="both"/>
        <w:rPr>
          <w:rFonts w:ascii="Times New Roman" w:hAnsi="Times New Roman" w:cs="Times New Roman"/>
          <w:sz w:val="24"/>
          <w:szCs w:val="24"/>
        </w:rPr>
      </w:pPr>
    </w:p>
    <w:p w14:paraId="0A9BECCC" w14:textId="77777777" w:rsidR="00796A9D" w:rsidRPr="00F80A9F" w:rsidRDefault="00796A9D" w:rsidP="00796A9D">
      <w:pPr>
        <w:pStyle w:val="Testonotaapidipagina"/>
        <w:jc w:val="both"/>
        <w:rPr>
          <w:rFonts w:ascii="Times New Roman" w:hAnsi="Times New Roman" w:cs="Times New Roman"/>
          <w:sz w:val="24"/>
          <w:szCs w:val="24"/>
        </w:rPr>
      </w:pPr>
      <w:r w:rsidRPr="00F80A9F">
        <w:rPr>
          <w:rFonts w:ascii="Times New Roman" w:hAnsi="Times New Roman" w:cs="Times New Roman"/>
          <w:sz w:val="24"/>
          <w:szCs w:val="24"/>
        </w:rPr>
        <w:t xml:space="preserve">L. </w:t>
      </w:r>
      <w:r w:rsidRPr="00F80A9F">
        <w:rPr>
          <w:rFonts w:ascii="Times New Roman" w:hAnsi="Times New Roman" w:cs="Times New Roman"/>
          <w:smallCaps/>
          <w:sz w:val="24"/>
          <w:szCs w:val="24"/>
        </w:rPr>
        <w:t>Zorzi</w:t>
      </w:r>
      <w:r w:rsidRPr="00F80A9F">
        <w:rPr>
          <w:rFonts w:ascii="Times New Roman" w:hAnsi="Times New Roman" w:cs="Times New Roman"/>
          <w:sz w:val="24"/>
          <w:szCs w:val="24"/>
        </w:rPr>
        <w:t>,</w:t>
      </w:r>
      <w:r w:rsidRPr="00F80A9F">
        <w:rPr>
          <w:rFonts w:ascii="Times New Roman" w:hAnsi="Times New Roman" w:cs="Times New Roman"/>
          <w:i/>
          <w:sz w:val="24"/>
          <w:szCs w:val="24"/>
        </w:rPr>
        <w:t xml:space="preserve"> Il teatro e la città. Saggi sulla scena italiana</w:t>
      </w:r>
      <w:r w:rsidRPr="00F80A9F">
        <w:rPr>
          <w:rFonts w:ascii="Times New Roman" w:hAnsi="Times New Roman" w:cs="Times New Roman"/>
          <w:sz w:val="24"/>
          <w:szCs w:val="24"/>
        </w:rPr>
        <w:t>, Torino, Einaudi, 1979.</w:t>
      </w:r>
    </w:p>
    <w:p w14:paraId="1AD80CAD" w14:textId="77777777" w:rsidR="00796A9D" w:rsidRDefault="00796A9D" w:rsidP="00796A9D">
      <w:pPr>
        <w:spacing w:after="0"/>
        <w:jc w:val="both"/>
        <w:rPr>
          <w:rFonts w:ascii="Times New Roman" w:hAnsi="Times New Roman" w:cs="Times New Roman"/>
          <w:sz w:val="24"/>
          <w:szCs w:val="24"/>
        </w:rPr>
      </w:pPr>
    </w:p>
    <w:p w14:paraId="6D6B1605" w14:textId="77777777" w:rsidR="00796A9D" w:rsidRDefault="00796A9D" w:rsidP="00796A9D">
      <w:pPr>
        <w:pStyle w:val="Testonotaapidipagina"/>
        <w:jc w:val="both"/>
        <w:rPr>
          <w:rFonts w:ascii="Times New Roman" w:hAnsi="Times New Roman" w:cs="Times New Roman"/>
          <w:sz w:val="24"/>
          <w:szCs w:val="24"/>
        </w:rPr>
      </w:pPr>
      <w:r w:rsidRPr="00E3675C">
        <w:rPr>
          <w:rFonts w:ascii="Times New Roman" w:hAnsi="Times New Roman" w:cs="Times New Roman"/>
          <w:smallCaps/>
          <w:sz w:val="24"/>
          <w:szCs w:val="24"/>
        </w:rPr>
        <w:t>L. Zorzi</w:t>
      </w:r>
      <w:r w:rsidRPr="00E3675C">
        <w:rPr>
          <w:rFonts w:ascii="Times New Roman" w:hAnsi="Times New Roman" w:cs="Times New Roman"/>
          <w:sz w:val="24"/>
          <w:szCs w:val="24"/>
        </w:rPr>
        <w:t xml:space="preserve">, </w:t>
      </w:r>
      <w:r w:rsidRPr="00E3675C">
        <w:rPr>
          <w:rFonts w:ascii="Times New Roman" w:hAnsi="Times New Roman" w:cs="Times New Roman"/>
          <w:i/>
          <w:sz w:val="24"/>
          <w:szCs w:val="24"/>
        </w:rPr>
        <w:t>La scenotecnica brunelleschiana: problemi filologici e interpretativi,</w:t>
      </w:r>
      <w:r w:rsidRPr="00E3675C">
        <w:rPr>
          <w:rFonts w:ascii="Times New Roman" w:hAnsi="Times New Roman" w:cs="Times New Roman"/>
          <w:sz w:val="24"/>
          <w:szCs w:val="24"/>
        </w:rPr>
        <w:t xml:space="preserve"> in </w:t>
      </w:r>
      <w:r w:rsidRPr="00E3675C">
        <w:rPr>
          <w:rFonts w:ascii="Times New Roman" w:hAnsi="Times New Roman" w:cs="Times New Roman"/>
          <w:i/>
          <w:sz w:val="24"/>
          <w:szCs w:val="24"/>
        </w:rPr>
        <w:t>Filippo Brunelleschi. La sua opera e il suo tempo</w:t>
      </w:r>
      <w:r w:rsidRPr="00E3675C">
        <w:rPr>
          <w:rFonts w:ascii="Times New Roman" w:hAnsi="Times New Roman" w:cs="Times New Roman"/>
          <w:sz w:val="24"/>
          <w:szCs w:val="24"/>
        </w:rPr>
        <w:t>. Atti del convegno internazionale di studi (Firenze, 1977), Firenze, Centro Di, 1980, vol. I, pp. 161-171.</w:t>
      </w:r>
    </w:p>
    <w:p w14:paraId="4038C177" w14:textId="77777777" w:rsidR="00367DE1" w:rsidRDefault="00367DE1" w:rsidP="00796A9D">
      <w:pPr>
        <w:pStyle w:val="Testonotaapidipagina"/>
        <w:jc w:val="both"/>
        <w:rPr>
          <w:rFonts w:ascii="Times New Roman" w:hAnsi="Times New Roman" w:cs="Times New Roman"/>
          <w:sz w:val="24"/>
          <w:szCs w:val="24"/>
        </w:rPr>
      </w:pPr>
    </w:p>
    <w:p w14:paraId="5C62D19D" w14:textId="77777777" w:rsidR="00367DE1" w:rsidRPr="00367DE1" w:rsidRDefault="00367DE1" w:rsidP="00367DE1">
      <w:pPr>
        <w:pStyle w:val="Testonotaapidipagina"/>
        <w:jc w:val="both"/>
        <w:rPr>
          <w:rFonts w:ascii="Times New Roman" w:hAnsi="Times New Roman" w:cs="Times New Roman"/>
          <w:sz w:val="24"/>
          <w:szCs w:val="24"/>
        </w:rPr>
      </w:pPr>
      <w:r w:rsidRPr="00367DE1">
        <w:rPr>
          <w:rFonts w:ascii="Times New Roman" w:hAnsi="Times New Roman" w:cs="Times New Roman"/>
          <w:smallCaps/>
          <w:sz w:val="24"/>
          <w:szCs w:val="24"/>
        </w:rPr>
        <w:t>L. Zorzi</w:t>
      </w:r>
      <w:r w:rsidRPr="00367DE1">
        <w:rPr>
          <w:rFonts w:ascii="Times New Roman" w:hAnsi="Times New Roman" w:cs="Times New Roman"/>
          <w:sz w:val="24"/>
          <w:szCs w:val="24"/>
        </w:rPr>
        <w:t xml:space="preserve">, </w:t>
      </w:r>
      <w:r w:rsidRPr="00367DE1">
        <w:rPr>
          <w:rFonts w:ascii="Times New Roman" w:hAnsi="Times New Roman" w:cs="Times New Roman"/>
          <w:i/>
          <w:sz w:val="24"/>
          <w:szCs w:val="24"/>
        </w:rPr>
        <w:t>Un esempio regionale: notizia sul teatro piemontese dal secolo XIV al secolo XVI</w:t>
      </w:r>
      <w:r w:rsidRPr="00367DE1">
        <w:rPr>
          <w:rFonts w:ascii="Times New Roman" w:hAnsi="Times New Roman" w:cs="Times New Roman"/>
          <w:sz w:val="24"/>
          <w:szCs w:val="24"/>
        </w:rPr>
        <w:t xml:space="preserve">, in </w:t>
      </w:r>
      <w:r w:rsidRPr="00367DE1">
        <w:rPr>
          <w:rFonts w:ascii="Times New Roman" w:hAnsi="Times New Roman" w:cs="Times New Roman"/>
          <w:i/>
          <w:sz w:val="24"/>
          <w:szCs w:val="24"/>
        </w:rPr>
        <w:t>Scene e figure del teatro italiano</w:t>
      </w:r>
      <w:r w:rsidRPr="00367DE1">
        <w:rPr>
          <w:rFonts w:ascii="Times New Roman" w:hAnsi="Times New Roman" w:cs="Times New Roman"/>
          <w:sz w:val="24"/>
          <w:szCs w:val="24"/>
        </w:rPr>
        <w:t xml:space="preserve">, a cura di </w:t>
      </w:r>
      <w:r w:rsidRPr="00367DE1">
        <w:rPr>
          <w:rFonts w:ascii="Times New Roman" w:hAnsi="Times New Roman" w:cs="Times New Roman"/>
          <w:smallCaps/>
          <w:sz w:val="24"/>
          <w:szCs w:val="24"/>
        </w:rPr>
        <w:t>S. Romagnoli</w:t>
      </w:r>
      <w:r w:rsidRPr="00367DE1">
        <w:rPr>
          <w:rFonts w:ascii="Times New Roman" w:hAnsi="Times New Roman" w:cs="Times New Roman"/>
          <w:sz w:val="24"/>
          <w:szCs w:val="24"/>
        </w:rPr>
        <w:t xml:space="preserve">, </w:t>
      </w:r>
      <w:r w:rsidRPr="00367DE1">
        <w:rPr>
          <w:rFonts w:ascii="Times New Roman" w:hAnsi="Times New Roman" w:cs="Times New Roman"/>
          <w:smallCaps/>
          <w:sz w:val="24"/>
          <w:szCs w:val="24"/>
        </w:rPr>
        <w:t>E. Garbero Zorzi</w:t>
      </w:r>
      <w:r w:rsidRPr="00367DE1">
        <w:rPr>
          <w:rFonts w:ascii="Times New Roman" w:hAnsi="Times New Roman" w:cs="Times New Roman"/>
          <w:sz w:val="24"/>
          <w:szCs w:val="24"/>
        </w:rPr>
        <w:t>, Bologna, Il Mulino, 1985, pp. 43-62.</w:t>
      </w:r>
    </w:p>
    <w:p w14:paraId="561056A4" w14:textId="77777777" w:rsidR="00367DE1" w:rsidRPr="00367DE1" w:rsidRDefault="00367DE1" w:rsidP="00796A9D">
      <w:pPr>
        <w:pStyle w:val="Testonotaapidipagina"/>
        <w:jc w:val="both"/>
        <w:rPr>
          <w:rFonts w:ascii="Times New Roman" w:hAnsi="Times New Roman" w:cs="Times New Roman"/>
          <w:sz w:val="24"/>
          <w:szCs w:val="24"/>
        </w:rPr>
      </w:pPr>
    </w:p>
    <w:bookmarkEnd w:id="554"/>
    <w:p w14:paraId="4BD8ACEA" w14:textId="77777777" w:rsidR="00796A9D" w:rsidRPr="00BA2DBB" w:rsidRDefault="00796A9D" w:rsidP="00796A9D">
      <w:pPr>
        <w:spacing w:after="0"/>
        <w:jc w:val="both"/>
        <w:rPr>
          <w:rFonts w:ascii="Times New Roman" w:hAnsi="Times New Roman" w:cs="Times New Roman"/>
          <w:sz w:val="24"/>
          <w:szCs w:val="24"/>
        </w:rPr>
      </w:pPr>
    </w:p>
    <w:p w14:paraId="526E76F5" w14:textId="77777777" w:rsidR="00796A9D" w:rsidRDefault="00796A9D" w:rsidP="00796A9D">
      <w:pPr>
        <w:ind w:firstLine="397"/>
        <w:jc w:val="right"/>
        <w:rPr>
          <w:rFonts w:ascii="Times New Roman" w:hAnsi="Times New Roman" w:cs="Times New Roman"/>
          <w:sz w:val="24"/>
          <w:szCs w:val="24"/>
        </w:rPr>
      </w:pPr>
    </w:p>
    <w:p w14:paraId="72D668B2" w14:textId="77777777" w:rsidR="00796A9D" w:rsidRPr="00F63A28" w:rsidRDefault="00796A9D" w:rsidP="00796A9D">
      <w:pPr>
        <w:spacing w:line="360" w:lineRule="auto"/>
        <w:jc w:val="both"/>
        <w:rPr>
          <w:rFonts w:ascii="Times New Roman" w:hAnsi="Times New Roman" w:cs="Times New Roman"/>
          <w:sz w:val="24"/>
          <w:szCs w:val="24"/>
        </w:rPr>
      </w:pPr>
    </w:p>
    <w:p w14:paraId="267B70BF" w14:textId="77777777" w:rsidR="00796A9D" w:rsidRPr="00672799" w:rsidRDefault="00796A9D" w:rsidP="00796A9D">
      <w:pPr>
        <w:rPr>
          <w:rFonts w:ascii="Times New Roman" w:hAnsi="Times New Roman" w:cs="Times New Roman"/>
          <w:sz w:val="24"/>
          <w:szCs w:val="24"/>
        </w:rPr>
      </w:pPr>
    </w:p>
    <w:p w14:paraId="68A1216E" w14:textId="77777777" w:rsidR="00A34A9F" w:rsidRDefault="00796A9D">
      <w:pPr>
        <w:spacing w:line="259" w:lineRule="auto"/>
        <w:rPr>
          <w:rFonts w:ascii="Times New Roman" w:hAnsi="Times New Roman" w:cs="Times New Roman"/>
          <w:sz w:val="28"/>
          <w:szCs w:val="28"/>
        </w:rPr>
      </w:pPr>
      <w:r>
        <w:rPr>
          <w:rFonts w:ascii="Times New Roman" w:hAnsi="Times New Roman" w:cs="Times New Roman"/>
          <w:sz w:val="28"/>
          <w:szCs w:val="28"/>
        </w:rPr>
        <w:br w:type="page"/>
      </w:r>
      <w:r w:rsidR="00A34A9F">
        <w:rPr>
          <w:rFonts w:ascii="Times New Roman" w:hAnsi="Times New Roman" w:cs="Times New Roman"/>
          <w:sz w:val="28"/>
          <w:szCs w:val="28"/>
        </w:rPr>
        <w:br w:type="page"/>
      </w:r>
    </w:p>
    <w:p w14:paraId="088C7532" w14:textId="77777777" w:rsidR="00D37800" w:rsidRDefault="00D37800" w:rsidP="008C459B">
      <w:pPr>
        <w:spacing w:line="259" w:lineRule="auto"/>
        <w:jc w:val="center"/>
        <w:rPr>
          <w:rFonts w:ascii="Times New Roman" w:hAnsi="Times New Roman" w:cs="Times New Roman"/>
          <w:sz w:val="72"/>
          <w:szCs w:val="72"/>
        </w:rPr>
      </w:pPr>
    </w:p>
    <w:p w14:paraId="0F78B8CA" w14:textId="77777777" w:rsidR="00796A9D" w:rsidRPr="00B6190A" w:rsidRDefault="00796A9D" w:rsidP="008C459B">
      <w:pPr>
        <w:spacing w:line="259" w:lineRule="auto"/>
        <w:jc w:val="center"/>
        <w:rPr>
          <w:rFonts w:ascii="Times New Roman" w:hAnsi="Times New Roman" w:cs="Times New Roman"/>
          <w:smallCaps/>
          <w:sz w:val="72"/>
          <w:szCs w:val="72"/>
        </w:rPr>
      </w:pPr>
      <w:r w:rsidRPr="00B6190A">
        <w:rPr>
          <w:rFonts w:ascii="Times New Roman" w:hAnsi="Times New Roman" w:cs="Times New Roman"/>
          <w:smallCaps/>
          <w:sz w:val="72"/>
          <w:szCs w:val="72"/>
        </w:rPr>
        <w:t>Allegato</w:t>
      </w:r>
    </w:p>
    <w:p w14:paraId="2555C4A6" w14:textId="77777777" w:rsidR="00796A9D" w:rsidRPr="008C459B" w:rsidRDefault="00796A9D" w:rsidP="008C459B">
      <w:pPr>
        <w:pStyle w:val="Titolocapitolo"/>
        <w:rPr>
          <w:sz w:val="72"/>
          <w:szCs w:val="72"/>
        </w:rPr>
      </w:pPr>
      <w:r w:rsidRPr="008C459B">
        <w:rPr>
          <w:sz w:val="72"/>
          <w:szCs w:val="72"/>
        </w:rPr>
        <w:t>Fonti iconografiche</w:t>
      </w:r>
    </w:p>
    <w:p w14:paraId="6665CEAC" w14:textId="77777777" w:rsidR="00796A9D" w:rsidRDefault="00796A9D" w:rsidP="00796A9D">
      <w:pPr>
        <w:jc w:val="center"/>
        <w:rPr>
          <w:smallCaps/>
          <w:sz w:val="28"/>
          <w:szCs w:val="28"/>
        </w:rPr>
      </w:pPr>
    </w:p>
    <w:p w14:paraId="6AB6896E" w14:textId="77777777" w:rsidR="00796A9D" w:rsidRDefault="00796A9D" w:rsidP="0094477F">
      <w:pPr>
        <w:tabs>
          <w:tab w:val="left" w:pos="8505"/>
        </w:tabs>
        <w:spacing w:line="360" w:lineRule="auto"/>
        <w:jc w:val="both"/>
        <w:rPr>
          <w:rFonts w:ascii="Times New Roman" w:hAnsi="Times New Roman" w:cs="Times New Roman"/>
          <w:sz w:val="24"/>
          <w:szCs w:val="24"/>
        </w:rPr>
      </w:pPr>
    </w:p>
    <w:p w14:paraId="77C31ED8" w14:textId="77777777" w:rsidR="006F670F" w:rsidRDefault="006F670F">
      <w:pPr>
        <w:spacing w:line="259" w:lineRule="auto"/>
        <w:rPr>
          <w:rFonts w:ascii="Times New Roman" w:eastAsiaTheme="minorEastAsia" w:hAnsi="Times New Roman" w:cs="Times New Roman"/>
          <w:sz w:val="24"/>
          <w:szCs w:val="24"/>
        </w:rPr>
      </w:pPr>
      <w:r>
        <w:rPr>
          <w:smallCaps/>
        </w:rPr>
        <w:br w:type="page"/>
      </w:r>
    </w:p>
    <w:p w14:paraId="1383352A" w14:textId="77777777" w:rsidR="00376098" w:rsidRDefault="00376098">
      <w:pPr>
        <w:spacing w:line="259" w:lineRule="auto"/>
        <w:rPr>
          <w:smallCaps/>
          <w:sz w:val="28"/>
          <w:szCs w:val="28"/>
        </w:rPr>
      </w:pPr>
      <w:r>
        <w:rPr>
          <w:smallCaps/>
          <w:sz w:val="28"/>
          <w:szCs w:val="28"/>
        </w:rPr>
        <w:br w:type="page"/>
      </w:r>
    </w:p>
    <w:p w14:paraId="2B9B46EE" w14:textId="77777777" w:rsidR="00232E18" w:rsidRDefault="00232E18" w:rsidP="00232E18">
      <w:pPr>
        <w:rPr>
          <w:smallCaps/>
          <w:sz w:val="28"/>
          <w:szCs w:val="28"/>
        </w:rPr>
      </w:pPr>
    </w:p>
    <w:p w14:paraId="7EFCD48D" w14:textId="77777777" w:rsidR="00232E18" w:rsidRDefault="00232E18" w:rsidP="00232E18">
      <w:pPr>
        <w:rPr>
          <w:smallCaps/>
          <w:sz w:val="28"/>
          <w:szCs w:val="28"/>
        </w:rPr>
      </w:pPr>
    </w:p>
    <w:p w14:paraId="447318FD" w14:textId="77777777" w:rsidR="00232E18" w:rsidRDefault="00232E18" w:rsidP="00232E18">
      <w:pPr>
        <w:keepNext/>
        <w:jc w:val="center"/>
      </w:pPr>
      <w:r>
        <w:rPr>
          <w:smallCaps/>
          <w:noProof/>
          <w:sz w:val="28"/>
          <w:szCs w:val="28"/>
        </w:rPr>
        <w:drawing>
          <wp:inline distT="0" distB="0" distL="0" distR="0" wp14:anchorId="358F6117" wp14:editId="588C74F6">
            <wp:extent cx="5526157" cy="4396740"/>
            <wp:effectExtent l="0" t="0" r="0" b="381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1.jpg"/>
                    <pic:cNvPicPr/>
                  </pic:nvPicPr>
                  <pic:blipFill>
                    <a:blip r:embed="rId8">
                      <a:extLst>
                        <a:ext uri="{28A0092B-C50C-407E-A947-70E740481C1C}">
                          <a14:useLocalDpi xmlns:a14="http://schemas.microsoft.com/office/drawing/2010/main" val="0"/>
                        </a:ext>
                      </a:extLst>
                    </a:blip>
                    <a:stretch>
                      <a:fillRect/>
                    </a:stretch>
                  </pic:blipFill>
                  <pic:spPr>
                    <a:xfrm>
                      <a:off x="0" y="0"/>
                      <a:ext cx="5533469" cy="4402557"/>
                    </a:xfrm>
                    <a:prstGeom prst="rect">
                      <a:avLst/>
                    </a:prstGeom>
                  </pic:spPr>
                </pic:pic>
              </a:graphicData>
            </a:graphic>
          </wp:inline>
        </w:drawing>
      </w:r>
    </w:p>
    <w:p w14:paraId="0E926DD1" w14:textId="0911DB6C" w:rsidR="00232E18" w:rsidRPr="00D612E5" w:rsidRDefault="00232E18" w:rsidP="00232E18">
      <w:pPr>
        <w:pStyle w:val="Didascalia"/>
        <w:jc w:val="both"/>
        <w:rPr>
          <w:rFonts w:ascii="Times New Roman" w:hAnsi="Times New Roman" w:cs="Times New Roman"/>
          <w:b w:val="0"/>
          <w:smallCaps/>
          <w:sz w:val="24"/>
          <w:szCs w:val="24"/>
        </w:rPr>
      </w:pPr>
      <w:r w:rsidRPr="00D612E5">
        <w:rPr>
          <w:rFonts w:ascii="Times New Roman" w:hAnsi="Times New Roman" w:cs="Times New Roman"/>
          <w:b w:val="0"/>
          <w:sz w:val="24"/>
          <w:szCs w:val="24"/>
        </w:rPr>
        <w:t xml:space="preserve">Figura </w:t>
      </w:r>
      <w:r w:rsidRPr="00D612E5">
        <w:rPr>
          <w:rFonts w:ascii="Times New Roman" w:hAnsi="Times New Roman" w:cs="Times New Roman"/>
          <w:b w:val="0"/>
          <w:sz w:val="24"/>
          <w:szCs w:val="24"/>
        </w:rPr>
        <w:fldChar w:fldCharType="begin"/>
      </w:r>
      <w:r w:rsidRPr="00D612E5">
        <w:rPr>
          <w:rFonts w:ascii="Times New Roman" w:hAnsi="Times New Roman" w:cs="Times New Roman"/>
          <w:b w:val="0"/>
          <w:sz w:val="24"/>
          <w:szCs w:val="24"/>
        </w:rPr>
        <w:instrText xml:space="preserve"> SEQ Figura \* ARABIC </w:instrText>
      </w:r>
      <w:r w:rsidRPr="00D612E5">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1</w:t>
      </w:r>
      <w:r w:rsidRPr="00D612E5">
        <w:rPr>
          <w:rFonts w:ascii="Times New Roman" w:hAnsi="Times New Roman" w:cs="Times New Roman"/>
          <w:b w:val="0"/>
          <w:sz w:val="24"/>
          <w:szCs w:val="24"/>
        </w:rPr>
        <w:fldChar w:fldCharType="end"/>
      </w:r>
      <w:r w:rsidRPr="00D612E5">
        <w:rPr>
          <w:rFonts w:ascii="Times New Roman" w:hAnsi="Times New Roman" w:cs="Times New Roman"/>
          <w:b w:val="0"/>
          <w:sz w:val="24"/>
          <w:szCs w:val="24"/>
        </w:rPr>
        <w:t xml:space="preserve">. Roma, Ospedale di Santo Spirito in Sassia. Anonimo, </w:t>
      </w:r>
      <w:r w:rsidRPr="00D612E5">
        <w:rPr>
          <w:rFonts w:ascii="Times New Roman" w:hAnsi="Times New Roman" w:cs="Times New Roman"/>
          <w:b w:val="0"/>
          <w:i/>
          <w:sz w:val="24"/>
          <w:szCs w:val="24"/>
        </w:rPr>
        <w:t>Sisto IV visita la Biblioteca Vaticana</w:t>
      </w:r>
      <w:r w:rsidRPr="00D612E5">
        <w:rPr>
          <w:rFonts w:ascii="Times New Roman" w:hAnsi="Times New Roman" w:cs="Times New Roman"/>
          <w:b w:val="0"/>
          <w:sz w:val="24"/>
          <w:szCs w:val="24"/>
        </w:rPr>
        <w:t>. 1476-1481.</w:t>
      </w:r>
    </w:p>
    <w:p w14:paraId="228B9E7B" w14:textId="77777777" w:rsidR="00232E18" w:rsidRDefault="00232E18" w:rsidP="00232E18">
      <w:pPr>
        <w:jc w:val="center"/>
        <w:rPr>
          <w:smallCaps/>
          <w:sz w:val="28"/>
          <w:szCs w:val="28"/>
        </w:rPr>
      </w:pPr>
    </w:p>
    <w:p w14:paraId="614B86F5" w14:textId="77777777" w:rsidR="00232E18" w:rsidRDefault="00232E18" w:rsidP="00232E18">
      <w:pPr>
        <w:rPr>
          <w:smallCaps/>
          <w:sz w:val="28"/>
          <w:szCs w:val="28"/>
        </w:rPr>
      </w:pPr>
      <w:r>
        <w:rPr>
          <w:smallCaps/>
          <w:sz w:val="28"/>
          <w:szCs w:val="28"/>
        </w:rPr>
        <w:br w:type="page"/>
      </w:r>
    </w:p>
    <w:p w14:paraId="298560A3" w14:textId="77777777" w:rsidR="00232E18" w:rsidRDefault="00232E18" w:rsidP="00232E18">
      <w:pPr>
        <w:jc w:val="center"/>
        <w:rPr>
          <w:smallCaps/>
          <w:sz w:val="28"/>
          <w:szCs w:val="28"/>
        </w:rPr>
      </w:pPr>
    </w:p>
    <w:p w14:paraId="7CD91BD0" w14:textId="77777777" w:rsidR="00232E18" w:rsidRDefault="00232E18" w:rsidP="00232E18">
      <w:pPr>
        <w:keepNext/>
        <w:jc w:val="center"/>
      </w:pPr>
      <w:r>
        <w:rPr>
          <w:smallCaps/>
          <w:noProof/>
          <w:sz w:val="28"/>
          <w:szCs w:val="28"/>
        </w:rPr>
        <w:drawing>
          <wp:inline distT="0" distB="0" distL="0" distR="0" wp14:anchorId="1F6FF7C2" wp14:editId="258080A8">
            <wp:extent cx="4895850" cy="62484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2.jpg"/>
                    <pic:cNvPicPr/>
                  </pic:nvPicPr>
                  <pic:blipFill>
                    <a:blip r:embed="rId9">
                      <a:extLst>
                        <a:ext uri="{28A0092B-C50C-407E-A947-70E740481C1C}">
                          <a14:useLocalDpi xmlns:a14="http://schemas.microsoft.com/office/drawing/2010/main" val="0"/>
                        </a:ext>
                      </a:extLst>
                    </a:blip>
                    <a:stretch>
                      <a:fillRect/>
                    </a:stretch>
                  </pic:blipFill>
                  <pic:spPr>
                    <a:xfrm>
                      <a:off x="0" y="0"/>
                      <a:ext cx="5106041" cy="6516659"/>
                    </a:xfrm>
                    <a:prstGeom prst="rect">
                      <a:avLst/>
                    </a:prstGeom>
                  </pic:spPr>
                </pic:pic>
              </a:graphicData>
            </a:graphic>
          </wp:inline>
        </w:drawing>
      </w:r>
    </w:p>
    <w:p w14:paraId="300CE928" w14:textId="0798602E" w:rsidR="00232E18" w:rsidRPr="00E50B7F" w:rsidRDefault="00232E18" w:rsidP="00232E18">
      <w:pPr>
        <w:pStyle w:val="Didascalia"/>
        <w:jc w:val="both"/>
        <w:rPr>
          <w:rFonts w:ascii="Times New Roman" w:hAnsi="Times New Roman" w:cs="Times New Roman"/>
          <w:b w:val="0"/>
          <w:sz w:val="24"/>
          <w:szCs w:val="24"/>
        </w:rPr>
      </w:pPr>
      <w:r w:rsidRPr="00E50B7F">
        <w:rPr>
          <w:rFonts w:ascii="Times New Roman" w:hAnsi="Times New Roman" w:cs="Times New Roman"/>
          <w:b w:val="0"/>
          <w:sz w:val="24"/>
          <w:szCs w:val="24"/>
        </w:rPr>
        <w:t xml:space="preserve">Figura </w:t>
      </w:r>
      <w:r w:rsidRPr="00E50B7F">
        <w:rPr>
          <w:rFonts w:ascii="Times New Roman" w:hAnsi="Times New Roman" w:cs="Times New Roman"/>
          <w:b w:val="0"/>
          <w:sz w:val="24"/>
          <w:szCs w:val="24"/>
        </w:rPr>
        <w:fldChar w:fldCharType="begin"/>
      </w:r>
      <w:r w:rsidRPr="00E50B7F">
        <w:rPr>
          <w:rFonts w:ascii="Times New Roman" w:hAnsi="Times New Roman" w:cs="Times New Roman"/>
          <w:b w:val="0"/>
          <w:sz w:val="24"/>
          <w:szCs w:val="24"/>
        </w:rPr>
        <w:instrText xml:space="preserve"> SEQ Figura \* ARABIC </w:instrText>
      </w:r>
      <w:r w:rsidRPr="00E50B7F">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w:t>
      </w:r>
      <w:r w:rsidRPr="00E50B7F">
        <w:rPr>
          <w:rFonts w:ascii="Times New Roman" w:hAnsi="Times New Roman" w:cs="Times New Roman"/>
          <w:b w:val="0"/>
          <w:sz w:val="24"/>
          <w:szCs w:val="24"/>
        </w:rPr>
        <w:fldChar w:fldCharType="end"/>
      </w:r>
      <w:r w:rsidRPr="00E50B7F">
        <w:rPr>
          <w:rFonts w:ascii="Times New Roman" w:hAnsi="Times New Roman" w:cs="Times New Roman"/>
          <w:b w:val="0"/>
          <w:sz w:val="24"/>
          <w:szCs w:val="24"/>
        </w:rPr>
        <w:t xml:space="preserve">. Parigi, Bibliothèque de l'Arsenal, ms. 940, f. Cv. </w:t>
      </w:r>
      <w:r w:rsidRPr="00E50B7F">
        <w:rPr>
          <w:rFonts w:ascii="Times New Roman" w:hAnsi="Times New Roman" w:cs="Times New Roman"/>
          <w:b w:val="0"/>
          <w:i/>
          <w:sz w:val="24"/>
          <w:szCs w:val="24"/>
        </w:rPr>
        <w:t>Passio Mauritii et sotiorum eius</w:t>
      </w:r>
      <w:r w:rsidRPr="00E50B7F">
        <w:rPr>
          <w:rFonts w:ascii="Times New Roman" w:hAnsi="Times New Roman" w:cs="Times New Roman"/>
          <w:b w:val="0"/>
          <w:sz w:val="24"/>
          <w:szCs w:val="24"/>
        </w:rPr>
        <w:t>. Attribuito a Giovanni Bellini, 1453.</w:t>
      </w:r>
    </w:p>
    <w:p w14:paraId="7A598143" w14:textId="77777777" w:rsidR="00232E18" w:rsidRDefault="00232E18" w:rsidP="00232E18"/>
    <w:p w14:paraId="56C0F075" w14:textId="77777777" w:rsidR="00232E18" w:rsidRDefault="00232E18" w:rsidP="00232E18">
      <w:r>
        <w:br w:type="page"/>
      </w:r>
    </w:p>
    <w:p w14:paraId="42D5A1EE" w14:textId="77777777" w:rsidR="00232E18" w:rsidRDefault="00232E18" w:rsidP="00232E18"/>
    <w:p w14:paraId="18B1F0BE" w14:textId="77777777" w:rsidR="00232E18" w:rsidRDefault="00232E18" w:rsidP="00232E18">
      <w:pPr>
        <w:keepNext/>
        <w:ind w:left="284"/>
      </w:pPr>
      <w:r>
        <w:rPr>
          <w:noProof/>
        </w:rPr>
        <w:drawing>
          <wp:inline distT="0" distB="0" distL="0" distR="0" wp14:anchorId="4DD462D4" wp14:editId="67E048E3">
            <wp:extent cx="5815330" cy="805815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3.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815330" cy="8058150"/>
                    </a:xfrm>
                    <a:prstGeom prst="rect">
                      <a:avLst/>
                    </a:prstGeom>
                  </pic:spPr>
                </pic:pic>
              </a:graphicData>
            </a:graphic>
          </wp:inline>
        </w:drawing>
      </w:r>
    </w:p>
    <w:p w14:paraId="7D6D7539" w14:textId="0FB1E031" w:rsidR="00232E18" w:rsidRPr="00E50B7F" w:rsidRDefault="00232E18" w:rsidP="00232E18">
      <w:pPr>
        <w:pStyle w:val="Didascalia"/>
        <w:jc w:val="both"/>
        <w:rPr>
          <w:rFonts w:ascii="Times New Roman" w:hAnsi="Times New Roman" w:cs="Times New Roman"/>
          <w:b w:val="0"/>
          <w:sz w:val="24"/>
          <w:szCs w:val="24"/>
        </w:rPr>
      </w:pPr>
      <w:r w:rsidRPr="00E50B7F">
        <w:rPr>
          <w:rFonts w:ascii="Times New Roman" w:hAnsi="Times New Roman" w:cs="Times New Roman"/>
          <w:b w:val="0"/>
          <w:sz w:val="24"/>
          <w:szCs w:val="24"/>
        </w:rPr>
        <w:t xml:space="preserve">Figura </w:t>
      </w:r>
      <w:r w:rsidRPr="00E50B7F">
        <w:rPr>
          <w:rFonts w:ascii="Times New Roman" w:hAnsi="Times New Roman" w:cs="Times New Roman"/>
          <w:b w:val="0"/>
          <w:sz w:val="24"/>
          <w:szCs w:val="24"/>
        </w:rPr>
        <w:fldChar w:fldCharType="begin"/>
      </w:r>
      <w:r w:rsidRPr="00E50B7F">
        <w:rPr>
          <w:rFonts w:ascii="Times New Roman" w:hAnsi="Times New Roman" w:cs="Times New Roman"/>
          <w:b w:val="0"/>
          <w:sz w:val="24"/>
          <w:szCs w:val="24"/>
        </w:rPr>
        <w:instrText xml:space="preserve"> SEQ Figura \* ARABIC </w:instrText>
      </w:r>
      <w:r w:rsidRPr="00E50B7F">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w:t>
      </w:r>
      <w:r w:rsidRPr="00E50B7F">
        <w:rPr>
          <w:rFonts w:ascii="Times New Roman" w:hAnsi="Times New Roman" w:cs="Times New Roman"/>
          <w:b w:val="0"/>
          <w:sz w:val="24"/>
          <w:szCs w:val="24"/>
        </w:rPr>
        <w:fldChar w:fldCharType="end"/>
      </w:r>
      <w:r w:rsidRPr="00E50B7F">
        <w:rPr>
          <w:rFonts w:ascii="Times New Roman" w:hAnsi="Times New Roman" w:cs="Times New Roman"/>
          <w:b w:val="0"/>
          <w:sz w:val="24"/>
          <w:szCs w:val="24"/>
        </w:rPr>
        <w:t xml:space="preserve">. Parigi, Bibliothèque de l'Arsenal, ms. 940, f. 38v. </w:t>
      </w:r>
      <w:r w:rsidRPr="00E50B7F">
        <w:rPr>
          <w:rFonts w:ascii="Times New Roman" w:hAnsi="Times New Roman" w:cs="Times New Roman"/>
          <w:b w:val="0"/>
          <w:i/>
          <w:sz w:val="24"/>
          <w:szCs w:val="24"/>
        </w:rPr>
        <w:t>Passio Mauritii et sotiorum eius. Ritratto di Jacopo Marcello</w:t>
      </w:r>
      <w:r w:rsidRPr="00E50B7F">
        <w:rPr>
          <w:rFonts w:ascii="Times New Roman" w:hAnsi="Times New Roman" w:cs="Times New Roman"/>
          <w:b w:val="0"/>
          <w:sz w:val="24"/>
          <w:szCs w:val="24"/>
        </w:rPr>
        <w:t>. Attribuito a Giovanni Bellini, 1453.</w:t>
      </w:r>
    </w:p>
    <w:p w14:paraId="6B37017E" w14:textId="77777777" w:rsidR="00232E18" w:rsidRDefault="00232E18" w:rsidP="00232E18">
      <w:pPr>
        <w:keepNext/>
        <w:ind w:left="567"/>
      </w:pPr>
      <w:r>
        <w:rPr>
          <w:rFonts w:ascii="Times New Roman" w:hAnsi="Times New Roman" w:cs="Times New Roman"/>
          <w:i/>
          <w:sz w:val="24"/>
          <w:szCs w:val="24"/>
        </w:rPr>
        <w:br w:type="page"/>
      </w:r>
      <w:r>
        <w:rPr>
          <w:rFonts w:ascii="Times New Roman" w:hAnsi="Times New Roman" w:cs="Times New Roman"/>
          <w:i/>
          <w:noProof/>
          <w:sz w:val="24"/>
          <w:szCs w:val="24"/>
        </w:rPr>
        <w:drawing>
          <wp:inline distT="0" distB="0" distL="0" distR="0" wp14:anchorId="22591F8F" wp14:editId="501C646D">
            <wp:extent cx="5048250" cy="7705725"/>
            <wp:effectExtent l="0" t="0" r="0"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4.jpg"/>
                    <pic:cNvPicPr/>
                  </pic:nvPicPr>
                  <pic:blipFill>
                    <a:blip r:embed="rId11">
                      <a:extLst>
                        <a:ext uri="{28A0092B-C50C-407E-A947-70E740481C1C}">
                          <a14:useLocalDpi xmlns:a14="http://schemas.microsoft.com/office/drawing/2010/main" val="0"/>
                        </a:ext>
                      </a:extLst>
                    </a:blip>
                    <a:stretch>
                      <a:fillRect/>
                    </a:stretch>
                  </pic:blipFill>
                  <pic:spPr>
                    <a:xfrm>
                      <a:off x="0" y="0"/>
                      <a:ext cx="5048250" cy="7705725"/>
                    </a:xfrm>
                    <a:prstGeom prst="rect">
                      <a:avLst/>
                    </a:prstGeom>
                  </pic:spPr>
                </pic:pic>
              </a:graphicData>
            </a:graphic>
          </wp:inline>
        </w:drawing>
      </w:r>
    </w:p>
    <w:p w14:paraId="38412D4B" w14:textId="71680A61" w:rsidR="00232E18" w:rsidRPr="00E50B7F" w:rsidRDefault="00232E18" w:rsidP="00232E18">
      <w:pPr>
        <w:pStyle w:val="Didascalia"/>
        <w:rPr>
          <w:rFonts w:ascii="Times New Roman" w:hAnsi="Times New Roman" w:cs="Times New Roman"/>
          <w:b w:val="0"/>
          <w:iCs/>
          <w:color w:val="auto"/>
          <w:sz w:val="24"/>
          <w:szCs w:val="24"/>
        </w:rPr>
      </w:pPr>
      <w:r w:rsidRPr="00E50B7F">
        <w:rPr>
          <w:rFonts w:ascii="Times New Roman" w:hAnsi="Times New Roman" w:cs="Times New Roman"/>
          <w:b w:val="0"/>
          <w:sz w:val="24"/>
          <w:szCs w:val="24"/>
        </w:rPr>
        <w:t xml:space="preserve">Figura </w:t>
      </w:r>
      <w:r w:rsidRPr="00E50B7F">
        <w:rPr>
          <w:rFonts w:ascii="Times New Roman" w:hAnsi="Times New Roman" w:cs="Times New Roman"/>
          <w:b w:val="0"/>
          <w:sz w:val="24"/>
          <w:szCs w:val="24"/>
        </w:rPr>
        <w:fldChar w:fldCharType="begin"/>
      </w:r>
      <w:r w:rsidRPr="00E50B7F">
        <w:rPr>
          <w:rFonts w:ascii="Times New Roman" w:hAnsi="Times New Roman" w:cs="Times New Roman"/>
          <w:b w:val="0"/>
          <w:sz w:val="24"/>
          <w:szCs w:val="24"/>
        </w:rPr>
        <w:instrText xml:space="preserve"> SEQ Figura \* ARABIC </w:instrText>
      </w:r>
      <w:r w:rsidRPr="00E50B7F">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4</w:t>
      </w:r>
      <w:r w:rsidRPr="00E50B7F">
        <w:rPr>
          <w:rFonts w:ascii="Times New Roman" w:hAnsi="Times New Roman" w:cs="Times New Roman"/>
          <w:b w:val="0"/>
          <w:sz w:val="24"/>
          <w:szCs w:val="24"/>
        </w:rPr>
        <w:fldChar w:fldCharType="end"/>
      </w:r>
      <w:r w:rsidRPr="00E50B7F">
        <w:rPr>
          <w:rFonts w:ascii="Times New Roman" w:hAnsi="Times New Roman" w:cs="Times New Roman"/>
          <w:b w:val="0"/>
          <w:sz w:val="24"/>
          <w:szCs w:val="24"/>
        </w:rPr>
        <w:t xml:space="preserve">. Mantova, Archivio Storico Diocesano, f. 209r. </w:t>
      </w:r>
      <w:r w:rsidRPr="00C23C70">
        <w:rPr>
          <w:rFonts w:ascii="Times New Roman" w:hAnsi="Times New Roman" w:cs="Times New Roman"/>
          <w:b w:val="0"/>
          <w:sz w:val="24"/>
          <w:szCs w:val="24"/>
        </w:rPr>
        <w:t>Messale di Barbara di Brandeburgo</w:t>
      </w:r>
      <w:r w:rsidRPr="00E50B7F">
        <w:rPr>
          <w:rFonts w:ascii="Times New Roman" w:hAnsi="Times New Roman" w:cs="Times New Roman"/>
          <w:b w:val="0"/>
          <w:i/>
          <w:sz w:val="24"/>
          <w:szCs w:val="24"/>
        </w:rPr>
        <w:t>. La Pentecoste</w:t>
      </w:r>
      <w:r w:rsidRPr="00E50B7F">
        <w:rPr>
          <w:rFonts w:ascii="Times New Roman" w:hAnsi="Times New Roman" w:cs="Times New Roman"/>
          <w:b w:val="0"/>
          <w:sz w:val="24"/>
          <w:szCs w:val="24"/>
        </w:rPr>
        <w:t xml:space="preserve">. Belbello da Pavia. 1460-1461. </w:t>
      </w:r>
    </w:p>
    <w:p w14:paraId="37736D17" w14:textId="77777777" w:rsidR="00232E18" w:rsidRDefault="00232E18" w:rsidP="00232E18">
      <w:pPr>
        <w:rPr>
          <w:rFonts w:ascii="Times New Roman" w:hAnsi="Times New Roman" w:cs="Times New Roman"/>
          <w:iCs/>
          <w:color w:val="44546A" w:themeColor="text2"/>
          <w:sz w:val="24"/>
          <w:szCs w:val="24"/>
        </w:rPr>
      </w:pPr>
      <w:r>
        <w:rPr>
          <w:rFonts w:ascii="Times New Roman" w:hAnsi="Times New Roman" w:cs="Times New Roman"/>
          <w:i/>
          <w:sz w:val="24"/>
          <w:szCs w:val="24"/>
        </w:rPr>
        <w:br w:type="page"/>
      </w:r>
    </w:p>
    <w:p w14:paraId="622CD2D6" w14:textId="77777777" w:rsidR="00232E18" w:rsidRDefault="00232E18" w:rsidP="00232E18">
      <w:pPr>
        <w:pStyle w:val="Didascalia"/>
        <w:keepNext/>
        <w:ind w:left="851"/>
      </w:pPr>
      <w:r>
        <w:rPr>
          <w:noProof/>
        </w:rPr>
        <w:drawing>
          <wp:inline distT="0" distB="0" distL="0" distR="0" wp14:anchorId="6C457B44" wp14:editId="4096DF75">
            <wp:extent cx="5105400" cy="7610475"/>
            <wp:effectExtent l="0" t="0" r="0" b="9525"/>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crocifissionejpg.jpg"/>
                    <pic:cNvPicPr/>
                  </pic:nvPicPr>
                  <pic:blipFill>
                    <a:blip r:embed="rId12">
                      <a:extLst>
                        <a:ext uri="{28A0092B-C50C-407E-A947-70E740481C1C}">
                          <a14:useLocalDpi xmlns:a14="http://schemas.microsoft.com/office/drawing/2010/main" val="0"/>
                        </a:ext>
                      </a:extLst>
                    </a:blip>
                    <a:stretch>
                      <a:fillRect/>
                    </a:stretch>
                  </pic:blipFill>
                  <pic:spPr>
                    <a:xfrm>
                      <a:off x="0" y="0"/>
                      <a:ext cx="5105400" cy="7610475"/>
                    </a:xfrm>
                    <a:prstGeom prst="rect">
                      <a:avLst/>
                    </a:prstGeom>
                  </pic:spPr>
                </pic:pic>
              </a:graphicData>
            </a:graphic>
          </wp:inline>
        </w:drawing>
      </w:r>
    </w:p>
    <w:p w14:paraId="6CA14085" w14:textId="4653AC8D" w:rsidR="00232E18" w:rsidRPr="00C23C70" w:rsidRDefault="00232E18" w:rsidP="00232E18">
      <w:pPr>
        <w:pStyle w:val="Didascalia"/>
        <w:rPr>
          <w:rFonts w:ascii="Times New Roman" w:hAnsi="Times New Roman" w:cs="Times New Roman"/>
          <w:b w:val="0"/>
          <w:sz w:val="24"/>
          <w:szCs w:val="24"/>
        </w:rPr>
      </w:pPr>
      <w:r w:rsidRPr="00C23C70">
        <w:rPr>
          <w:rFonts w:ascii="Times New Roman" w:hAnsi="Times New Roman" w:cs="Times New Roman"/>
          <w:b w:val="0"/>
          <w:sz w:val="24"/>
          <w:szCs w:val="24"/>
        </w:rPr>
        <w:t xml:space="preserve">Figura </w:t>
      </w:r>
      <w:r w:rsidRPr="00C23C70">
        <w:rPr>
          <w:rFonts w:ascii="Times New Roman" w:hAnsi="Times New Roman" w:cs="Times New Roman"/>
          <w:b w:val="0"/>
          <w:sz w:val="24"/>
          <w:szCs w:val="24"/>
        </w:rPr>
        <w:fldChar w:fldCharType="begin"/>
      </w:r>
      <w:r w:rsidRPr="00C23C70">
        <w:rPr>
          <w:rFonts w:ascii="Times New Roman" w:hAnsi="Times New Roman" w:cs="Times New Roman"/>
          <w:b w:val="0"/>
          <w:sz w:val="24"/>
          <w:szCs w:val="24"/>
        </w:rPr>
        <w:instrText xml:space="preserve"> SEQ Figura \* ARABIC </w:instrText>
      </w:r>
      <w:r w:rsidRPr="00C23C70">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5</w:t>
      </w:r>
      <w:r w:rsidRPr="00C23C70">
        <w:rPr>
          <w:rFonts w:ascii="Times New Roman" w:hAnsi="Times New Roman" w:cs="Times New Roman"/>
          <w:b w:val="0"/>
          <w:sz w:val="24"/>
          <w:szCs w:val="24"/>
        </w:rPr>
        <w:fldChar w:fldCharType="end"/>
      </w:r>
      <w:r w:rsidRPr="00C23C70">
        <w:rPr>
          <w:rFonts w:ascii="Times New Roman" w:hAnsi="Times New Roman" w:cs="Times New Roman"/>
          <w:b w:val="0"/>
          <w:sz w:val="24"/>
          <w:szCs w:val="24"/>
        </w:rPr>
        <w:t xml:space="preserve">. Mantova, Archivio Storico Diocesano, f. 182v. Messale di Barbara di Brandeburgo. </w:t>
      </w:r>
      <w:r w:rsidRPr="00C23C70">
        <w:rPr>
          <w:rFonts w:ascii="Times New Roman" w:hAnsi="Times New Roman" w:cs="Times New Roman"/>
          <w:b w:val="0"/>
          <w:i/>
          <w:sz w:val="24"/>
          <w:szCs w:val="24"/>
        </w:rPr>
        <w:t>Crocifissione</w:t>
      </w:r>
      <w:r w:rsidRPr="00C23C70">
        <w:rPr>
          <w:rFonts w:ascii="Times New Roman" w:hAnsi="Times New Roman" w:cs="Times New Roman"/>
          <w:b w:val="0"/>
          <w:sz w:val="24"/>
          <w:szCs w:val="24"/>
        </w:rPr>
        <w:t xml:space="preserve">. Girolamo da Cremona. 1461-1468. </w:t>
      </w:r>
    </w:p>
    <w:p w14:paraId="013513EC" w14:textId="77777777" w:rsidR="00232E18" w:rsidRDefault="00232E18" w:rsidP="00232E18">
      <w:r>
        <w:br w:type="page"/>
      </w:r>
    </w:p>
    <w:p w14:paraId="6C4A03E6" w14:textId="77777777" w:rsidR="00232E18" w:rsidRDefault="00232E18" w:rsidP="00232E18"/>
    <w:p w14:paraId="6E846D1D" w14:textId="77777777" w:rsidR="00232E18" w:rsidRDefault="00232E18" w:rsidP="00232E18">
      <w:pPr>
        <w:keepNext/>
        <w:ind w:left="993"/>
      </w:pPr>
      <w:r>
        <w:rPr>
          <w:noProof/>
        </w:rPr>
        <w:drawing>
          <wp:inline distT="0" distB="0" distL="0" distR="0" wp14:anchorId="770759CD" wp14:editId="700D068E">
            <wp:extent cx="4791075" cy="6589862"/>
            <wp:effectExtent l="0" t="0" r="0" b="190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6.jpg"/>
                    <pic:cNvPicPr/>
                  </pic:nvPicPr>
                  <pic:blipFill>
                    <a:blip r:embed="rId13">
                      <a:extLst>
                        <a:ext uri="{28A0092B-C50C-407E-A947-70E740481C1C}">
                          <a14:useLocalDpi xmlns:a14="http://schemas.microsoft.com/office/drawing/2010/main" val="0"/>
                        </a:ext>
                      </a:extLst>
                    </a:blip>
                    <a:stretch>
                      <a:fillRect/>
                    </a:stretch>
                  </pic:blipFill>
                  <pic:spPr>
                    <a:xfrm>
                      <a:off x="0" y="0"/>
                      <a:ext cx="4791075" cy="6589862"/>
                    </a:xfrm>
                    <a:prstGeom prst="rect">
                      <a:avLst/>
                    </a:prstGeom>
                  </pic:spPr>
                </pic:pic>
              </a:graphicData>
            </a:graphic>
          </wp:inline>
        </w:drawing>
      </w:r>
    </w:p>
    <w:p w14:paraId="695ADFC1" w14:textId="3BC0F773" w:rsidR="00232E18" w:rsidRPr="0056292D" w:rsidRDefault="00232E18" w:rsidP="00232E18">
      <w:pPr>
        <w:pStyle w:val="Didascalia"/>
        <w:jc w:val="both"/>
        <w:rPr>
          <w:rFonts w:ascii="Times New Roman" w:hAnsi="Times New Roman" w:cs="Times New Roman"/>
          <w:b w:val="0"/>
          <w:sz w:val="24"/>
          <w:szCs w:val="24"/>
        </w:rPr>
      </w:pPr>
      <w:r w:rsidRPr="0056292D">
        <w:rPr>
          <w:rFonts w:ascii="Times New Roman" w:hAnsi="Times New Roman" w:cs="Times New Roman"/>
          <w:b w:val="0"/>
          <w:sz w:val="24"/>
          <w:szCs w:val="24"/>
        </w:rPr>
        <w:t xml:space="preserve">Figura </w:t>
      </w:r>
      <w:r w:rsidRPr="0056292D">
        <w:rPr>
          <w:rFonts w:ascii="Times New Roman" w:hAnsi="Times New Roman" w:cs="Times New Roman"/>
          <w:b w:val="0"/>
          <w:sz w:val="24"/>
          <w:szCs w:val="24"/>
        </w:rPr>
        <w:fldChar w:fldCharType="begin"/>
      </w:r>
      <w:r w:rsidRPr="0056292D">
        <w:rPr>
          <w:rFonts w:ascii="Times New Roman" w:hAnsi="Times New Roman" w:cs="Times New Roman"/>
          <w:b w:val="0"/>
          <w:sz w:val="24"/>
          <w:szCs w:val="24"/>
        </w:rPr>
        <w:instrText xml:space="preserve"> SEQ Figura \* ARABIC </w:instrText>
      </w:r>
      <w:r w:rsidRPr="0056292D">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6</w:t>
      </w:r>
      <w:r w:rsidRPr="0056292D">
        <w:rPr>
          <w:rFonts w:ascii="Times New Roman" w:hAnsi="Times New Roman" w:cs="Times New Roman"/>
          <w:b w:val="0"/>
          <w:sz w:val="24"/>
          <w:szCs w:val="24"/>
        </w:rPr>
        <w:fldChar w:fldCharType="end"/>
      </w:r>
      <w:r w:rsidRPr="0056292D">
        <w:rPr>
          <w:rFonts w:ascii="Times New Roman" w:hAnsi="Times New Roman" w:cs="Times New Roman"/>
          <w:b w:val="0"/>
          <w:sz w:val="24"/>
          <w:szCs w:val="24"/>
        </w:rPr>
        <w:t xml:space="preserve">. Madrid, Biblioteca Nacional, Vitr. 22.5, f. 1r. Plauto, </w:t>
      </w:r>
      <w:r w:rsidRPr="0056292D">
        <w:rPr>
          <w:rFonts w:ascii="Times New Roman" w:hAnsi="Times New Roman" w:cs="Times New Roman"/>
          <w:b w:val="0"/>
          <w:i/>
          <w:sz w:val="24"/>
          <w:szCs w:val="24"/>
        </w:rPr>
        <w:t>Comoediae</w:t>
      </w:r>
      <w:r w:rsidRPr="0056292D">
        <w:rPr>
          <w:rFonts w:ascii="Times New Roman" w:hAnsi="Times New Roman" w:cs="Times New Roman"/>
          <w:b w:val="0"/>
          <w:sz w:val="24"/>
          <w:szCs w:val="24"/>
        </w:rPr>
        <w:t xml:space="preserve">. </w:t>
      </w:r>
      <w:r w:rsidRPr="0056292D">
        <w:rPr>
          <w:rFonts w:ascii="Times New Roman" w:hAnsi="Times New Roman" w:cs="Times New Roman"/>
          <w:b w:val="0"/>
          <w:i/>
          <w:sz w:val="24"/>
          <w:szCs w:val="24"/>
        </w:rPr>
        <w:t>Il parto di Alcmena</w:t>
      </w:r>
      <w:r w:rsidRPr="0056292D">
        <w:rPr>
          <w:rFonts w:ascii="Times New Roman" w:hAnsi="Times New Roman" w:cs="Times New Roman"/>
          <w:b w:val="0"/>
          <w:sz w:val="24"/>
          <w:szCs w:val="24"/>
        </w:rPr>
        <w:t>. Guglielmo Giraldi. 1469.</w:t>
      </w:r>
    </w:p>
    <w:p w14:paraId="5E46D072" w14:textId="77777777" w:rsidR="00232E18" w:rsidRDefault="00232E18" w:rsidP="00232E18">
      <w:r>
        <w:br w:type="page"/>
      </w:r>
    </w:p>
    <w:p w14:paraId="5DB77D61" w14:textId="77777777" w:rsidR="00232E18" w:rsidRDefault="00232E18" w:rsidP="00232E18"/>
    <w:p w14:paraId="6351D584" w14:textId="77777777" w:rsidR="00232E18" w:rsidRDefault="00232E18" w:rsidP="00232E18"/>
    <w:p w14:paraId="55791CA4" w14:textId="77777777" w:rsidR="00232E18" w:rsidRDefault="00232E18" w:rsidP="00232E18">
      <w:pPr>
        <w:keepNext/>
        <w:ind w:left="142"/>
      </w:pPr>
      <w:r>
        <w:rPr>
          <w:noProof/>
        </w:rPr>
        <w:drawing>
          <wp:inline distT="0" distB="0" distL="0" distR="0" wp14:anchorId="3EC163CE" wp14:editId="1C1EB72C">
            <wp:extent cx="5895975" cy="4895850"/>
            <wp:effectExtent l="0" t="0" r="9525"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7.jpg"/>
                    <pic:cNvPicPr/>
                  </pic:nvPicPr>
                  <pic:blipFill>
                    <a:blip r:embed="rId14">
                      <a:extLst>
                        <a:ext uri="{28A0092B-C50C-407E-A947-70E740481C1C}">
                          <a14:useLocalDpi xmlns:a14="http://schemas.microsoft.com/office/drawing/2010/main" val="0"/>
                        </a:ext>
                      </a:extLst>
                    </a:blip>
                    <a:stretch>
                      <a:fillRect/>
                    </a:stretch>
                  </pic:blipFill>
                  <pic:spPr>
                    <a:xfrm>
                      <a:off x="0" y="0"/>
                      <a:ext cx="5895975" cy="4895850"/>
                    </a:xfrm>
                    <a:prstGeom prst="rect">
                      <a:avLst/>
                    </a:prstGeom>
                  </pic:spPr>
                </pic:pic>
              </a:graphicData>
            </a:graphic>
          </wp:inline>
        </w:drawing>
      </w:r>
    </w:p>
    <w:p w14:paraId="224CAACD" w14:textId="45A7ED9E" w:rsidR="00232E18" w:rsidRPr="0075295B" w:rsidRDefault="00232E18" w:rsidP="00232E18">
      <w:pPr>
        <w:pStyle w:val="Didascalia"/>
        <w:jc w:val="both"/>
        <w:rPr>
          <w:rFonts w:ascii="Times New Roman" w:hAnsi="Times New Roman" w:cs="Times New Roman"/>
          <w:b w:val="0"/>
          <w:sz w:val="24"/>
          <w:szCs w:val="24"/>
        </w:rPr>
      </w:pPr>
      <w:r w:rsidRPr="0075295B">
        <w:rPr>
          <w:rFonts w:ascii="Times New Roman" w:hAnsi="Times New Roman" w:cs="Times New Roman"/>
          <w:b w:val="0"/>
          <w:sz w:val="24"/>
          <w:szCs w:val="24"/>
        </w:rPr>
        <w:t xml:space="preserve">Figura </w:t>
      </w:r>
      <w:r w:rsidRPr="0075295B">
        <w:rPr>
          <w:rFonts w:ascii="Times New Roman" w:hAnsi="Times New Roman" w:cs="Times New Roman"/>
          <w:b w:val="0"/>
          <w:sz w:val="24"/>
          <w:szCs w:val="24"/>
        </w:rPr>
        <w:fldChar w:fldCharType="begin"/>
      </w:r>
      <w:r w:rsidRPr="0075295B">
        <w:rPr>
          <w:rFonts w:ascii="Times New Roman" w:hAnsi="Times New Roman" w:cs="Times New Roman"/>
          <w:b w:val="0"/>
          <w:sz w:val="24"/>
          <w:szCs w:val="24"/>
        </w:rPr>
        <w:instrText xml:space="preserve"> SEQ Figura \* ARABIC </w:instrText>
      </w:r>
      <w:r w:rsidRPr="0075295B">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7</w:t>
      </w:r>
      <w:r w:rsidRPr="0075295B">
        <w:rPr>
          <w:rFonts w:ascii="Times New Roman" w:hAnsi="Times New Roman" w:cs="Times New Roman"/>
          <w:b w:val="0"/>
          <w:sz w:val="24"/>
          <w:szCs w:val="24"/>
        </w:rPr>
        <w:fldChar w:fldCharType="end"/>
      </w:r>
      <w:r w:rsidRPr="0075295B">
        <w:rPr>
          <w:rFonts w:ascii="Times New Roman" w:hAnsi="Times New Roman" w:cs="Times New Roman"/>
          <w:b w:val="0"/>
          <w:sz w:val="24"/>
          <w:szCs w:val="24"/>
        </w:rPr>
        <w:t xml:space="preserve">. Milano, Biblioteca Ambrosiana, ms. S.P. 10/28, ff. 90v-91r. Gellio, </w:t>
      </w:r>
      <w:r w:rsidRPr="0075295B">
        <w:rPr>
          <w:rFonts w:ascii="Times New Roman" w:hAnsi="Times New Roman" w:cs="Times New Roman"/>
          <w:b w:val="0"/>
          <w:i/>
          <w:sz w:val="24"/>
          <w:szCs w:val="24"/>
        </w:rPr>
        <w:t>Noctes Atticae</w:t>
      </w:r>
      <w:r w:rsidRPr="0075295B">
        <w:rPr>
          <w:rFonts w:ascii="Times New Roman" w:hAnsi="Times New Roman" w:cs="Times New Roman"/>
          <w:b w:val="0"/>
          <w:sz w:val="24"/>
          <w:szCs w:val="24"/>
        </w:rPr>
        <w:t xml:space="preserve">, Guglielmo Giraldi. 1448. </w:t>
      </w:r>
    </w:p>
    <w:p w14:paraId="72415189" w14:textId="77777777" w:rsidR="00232E18" w:rsidRDefault="00232E18" w:rsidP="00232E18">
      <w:r>
        <w:br w:type="page"/>
      </w:r>
    </w:p>
    <w:p w14:paraId="4EE1F785" w14:textId="77777777" w:rsidR="00232E18" w:rsidRDefault="00232E18" w:rsidP="00232E18">
      <w:pPr>
        <w:keepNext/>
        <w:ind w:left="426" w:firstLine="141"/>
      </w:pPr>
      <w:r>
        <w:rPr>
          <w:noProof/>
        </w:rPr>
        <w:drawing>
          <wp:inline distT="0" distB="0" distL="0" distR="0" wp14:anchorId="6165C496" wp14:editId="183391C6">
            <wp:extent cx="5438775" cy="7667625"/>
            <wp:effectExtent l="0" t="0" r="9525" b="952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8.jpg"/>
                    <pic:cNvPicPr/>
                  </pic:nvPicPr>
                  <pic:blipFill>
                    <a:blip r:embed="rId15">
                      <a:extLst>
                        <a:ext uri="{28A0092B-C50C-407E-A947-70E740481C1C}">
                          <a14:useLocalDpi xmlns:a14="http://schemas.microsoft.com/office/drawing/2010/main" val="0"/>
                        </a:ext>
                      </a:extLst>
                    </a:blip>
                    <a:stretch>
                      <a:fillRect/>
                    </a:stretch>
                  </pic:blipFill>
                  <pic:spPr>
                    <a:xfrm>
                      <a:off x="0" y="0"/>
                      <a:ext cx="5440420" cy="7669944"/>
                    </a:xfrm>
                    <a:prstGeom prst="rect">
                      <a:avLst/>
                    </a:prstGeom>
                  </pic:spPr>
                </pic:pic>
              </a:graphicData>
            </a:graphic>
          </wp:inline>
        </w:drawing>
      </w:r>
    </w:p>
    <w:p w14:paraId="4DE181CE" w14:textId="480594FA" w:rsidR="00232E18" w:rsidRPr="0075295B" w:rsidRDefault="00232E18" w:rsidP="00232E18">
      <w:pPr>
        <w:pStyle w:val="Didascalia"/>
        <w:jc w:val="both"/>
        <w:rPr>
          <w:rFonts w:ascii="Times New Roman" w:hAnsi="Times New Roman" w:cs="Times New Roman"/>
          <w:b w:val="0"/>
          <w:sz w:val="24"/>
          <w:szCs w:val="24"/>
        </w:rPr>
      </w:pPr>
      <w:r w:rsidRPr="0075295B">
        <w:rPr>
          <w:rFonts w:ascii="Times New Roman" w:hAnsi="Times New Roman" w:cs="Times New Roman"/>
          <w:b w:val="0"/>
          <w:sz w:val="24"/>
          <w:szCs w:val="24"/>
        </w:rPr>
        <w:t xml:space="preserve">Figura </w:t>
      </w:r>
      <w:r w:rsidRPr="0075295B">
        <w:rPr>
          <w:rFonts w:ascii="Times New Roman" w:hAnsi="Times New Roman" w:cs="Times New Roman"/>
          <w:b w:val="0"/>
          <w:sz w:val="24"/>
          <w:szCs w:val="24"/>
        </w:rPr>
        <w:fldChar w:fldCharType="begin"/>
      </w:r>
      <w:r w:rsidRPr="0075295B">
        <w:rPr>
          <w:rFonts w:ascii="Times New Roman" w:hAnsi="Times New Roman" w:cs="Times New Roman"/>
          <w:b w:val="0"/>
          <w:sz w:val="24"/>
          <w:szCs w:val="24"/>
        </w:rPr>
        <w:instrText xml:space="preserve"> SEQ Figura \* ARABIC </w:instrText>
      </w:r>
      <w:r w:rsidRPr="0075295B">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8</w:t>
      </w:r>
      <w:r w:rsidRPr="0075295B">
        <w:rPr>
          <w:rFonts w:ascii="Times New Roman" w:hAnsi="Times New Roman" w:cs="Times New Roman"/>
          <w:b w:val="0"/>
          <w:sz w:val="24"/>
          <w:szCs w:val="24"/>
        </w:rPr>
        <w:fldChar w:fldCharType="end"/>
      </w:r>
      <w:r w:rsidRPr="0075295B">
        <w:rPr>
          <w:rFonts w:ascii="Times New Roman" w:hAnsi="Times New Roman" w:cs="Times New Roman"/>
          <w:b w:val="0"/>
          <w:sz w:val="24"/>
          <w:szCs w:val="24"/>
        </w:rPr>
        <w:t xml:space="preserve">. Zagabria, Strossmayerova galerija, SC 331. Officio di Alfonso d’Este. </w:t>
      </w:r>
      <w:r w:rsidRPr="0075295B">
        <w:rPr>
          <w:rFonts w:ascii="Times New Roman" w:hAnsi="Times New Roman" w:cs="Times New Roman"/>
          <w:b w:val="0"/>
          <w:i/>
          <w:sz w:val="24"/>
          <w:szCs w:val="24"/>
        </w:rPr>
        <w:t>Davide come salmista</w:t>
      </w:r>
      <w:r w:rsidRPr="0075295B">
        <w:rPr>
          <w:rFonts w:ascii="Times New Roman" w:hAnsi="Times New Roman" w:cs="Times New Roman"/>
          <w:b w:val="0"/>
          <w:sz w:val="24"/>
          <w:szCs w:val="24"/>
        </w:rPr>
        <w:t xml:space="preserve">. Matteo da Milano. 1502-1506.  </w:t>
      </w:r>
    </w:p>
    <w:p w14:paraId="5F3DA988" w14:textId="77777777" w:rsidR="00232E18" w:rsidRDefault="00232E18" w:rsidP="00232E18">
      <w:r>
        <w:br w:type="page"/>
      </w:r>
    </w:p>
    <w:p w14:paraId="5B9D9D3F" w14:textId="77777777" w:rsidR="00232E18" w:rsidRDefault="00232E18" w:rsidP="00232E18">
      <w:pPr>
        <w:keepNext/>
        <w:ind w:left="567"/>
      </w:pPr>
      <w:r>
        <w:rPr>
          <w:noProof/>
        </w:rPr>
        <w:drawing>
          <wp:inline distT="0" distB="0" distL="0" distR="0" wp14:anchorId="0D6C2642" wp14:editId="090476D7">
            <wp:extent cx="5380609" cy="7341079"/>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9.jpg"/>
                    <pic:cNvPicPr/>
                  </pic:nvPicPr>
                  <pic:blipFill>
                    <a:blip r:embed="rId16">
                      <a:extLst>
                        <a:ext uri="{28A0092B-C50C-407E-A947-70E740481C1C}">
                          <a14:useLocalDpi xmlns:a14="http://schemas.microsoft.com/office/drawing/2010/main" val="0"/>
                        </a:ext>
                      </a:extLst>
                    </a:blip>
                    <a:stretch>
                      <a:fillRect/>
                    </a:stretch>
                  </pic:blipFill>
                  <pic:spPr>
                    <a:xfrm>
                      <a:off x="0" y="0"/>
                      <a:ext cx="5464062" cy="7454938"/>
                    </a:xfrm>
                    <a:prstGeom prst="rect">
                      <a:avLst/>
                    </a:prstGeom>
                  </pic:spPr>
                </pic:pic>
              </a:graphicData>
            </a:graphic>
          </wp:inline>
        </w:drawing>
      </w:r>
    </w:p>
    <w:p w14:paraId="48A667BB" w14:textId="489115D0" w:rsidR="00232E18" w:rsidRPr="007406C2" w:rsidRDefault="00232E18" w:rsidP="00C4421F">
      <w:pPr>
        <w:pStyle w:val="Didascalia"/>
        <w:jc w:val="both"/>
        <w:rPr>
          <w:rFonts w:ascii="Times New Roman" w:hAnsi="Times New Roman" w:cs="Times New Roman"/>
          <w:b w:val="0"/>
          <w:sz w:val="24"/>
          <w:szCs w:val="24"/>
        </w:rPr>
      </w:pPr>
      <w:r w:rsidRPr="007406C2">
        <w:rPr>
          <w:rFonts w:ascii="Times New Roman" w:hAnsi="Times New Roman" w:cs="Times New Roman"/>
          <w:b w:val="0"/>
          <w:sz w:val="24"/>
          <w:szCs w:val="24"/>
        </w:rPr>
        <w:t xml:space="preserve">Figura </w:t>
      </w:r>
      <w:r w:rsidRPr="007406C2">
        <w:rPr>
          <w:rFonts w:ascii="Times New Roman" w:hAnsi="Times New Roman" w:cs="Times New Roman"/>
          <w:b w:val="0"/>
          <w:sz w:val="24"/>
          <w:szCs w:val="24"/>
        </w:rPr>
        <w:fldChar w:fldCharType="begin"/>
      </w:r>
      <w:r w:rsidRPr="007406C2">
        <w:rPr>
          <w:rFonts w:ascii="Times New Roman" w:hAnsi="Times New Roman" w:cs="Times New Roman"/>
          <w:b w:val="0"/>
          <w:sz w:val="24"/>
          <w:szCs w:val="24"/>
        </w:rPr>
        <w:instrText xml:space="preserve"> SEQ Figura \* ARABIC </w:instrText>
      </w:r>
      <w:r w:rsidRPr="007406C2">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9</w:t>
      </w:r>
      <w:r w:rsidRPr="007406C2">
        <w:rPr>
          <w:rFonts w:ascii="Times New Roman" w:hAnsi="Times New Roman" w:cs="Times New Roman"/>
          <w:b w:val="0"/>
          <w:sz w:val="24"/>
          <w:szCs w:val="24"/>
        </w:rPr>
        <w:fldChar w:fldCharType="end"/>
      </w:r>
      <w:r w:rsidRPr="007406C2">
        <w:rPr>
          <w:rFonts w:ascii="Times New Roman" w:hAnsi="Times New Roman" w:cs="Times New Roman"/>
          <w:b w:val="0"/>
          <w:sz w:val="24"/>
          <w:szCs w:val="24"/>
        </w:rPr>
        <w:t xml:space="preserve">. Parigi, Bibliothèque National de France, Rés. Vélins 724, c. 1r. Simonetta, </w:t>
      </w:r>
      <w:r w:rsidRPr="007406C2">
        <w:rPr>
          <w:rFonts w:ascii="Times New Roman" w:hAnsi="Times New Roman" w:cs="Times New Roman"/>
          <w:b w:val="0"/>
          <w:i/>
          <w:sz w:val="24"/>
          <w:szCs w:val="24"/>
        </w:rPr>
        <w:t>Commentarii</w:t>
      </w:r>
      <w:r w:rsidRPr="007406C2">
        <w:rPr>
          <w:rFonts w:ascii="Times New Roman" w:hAnsi="Times New Roman" w:cs="Times New Roman"/>
          <w:b w:val="0"/>
          <w:sz w:val="24"/>
          <w:szCs w:val="24"/>
        </w:rPr>
        <w:t xml:space="preserve">. Giovan Pietro Birago. 1493-1494. </w:t>
      </w:r>
    </w:p>
    <w:p w14:paraId="32E655B7" w14:textId="77777777" w:rsidR="00232E18" w:rsidRDefault="00232E18" w:rsidP="00232E18">
      <w:r>
        <w:br w:type="page"/>
      </w:r>
    </w:p>
    <w:p w14:paraId="49730CB8" w14:textId="77777777" w:rsidR="00232E18" w:rsidRDefault="00232E18" w:rsidP="00232E18">
      <w:pPr>
        <w:keepNext/>
      </w:pPr>
      <w:r>
        <w:rPr>
          <w:noProof/>
        </w:rPr>
        <w:drawing>
          <wp:inline distT="0" distB="0" distL="0" distR="0" wp14:anchorId="0B4FC6D0" wp14:editId="0E8ACF97">
            <wp:extent cx="5867400" cy="8486775"/>
            <wp:effectExtent l="0" t="0" r="0" b="952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10.jpg"/>
                    <pic:cNvPicPr/>
                  </pic:nvPicPr>
                  <pic:blipFill>
                    <a:blip r:embed="rId17">
                      <a:extLst>
                        <a:ext uri="{28A0092B-C50C-407E-A947-70E740481C1C}">
                          <a14:useLocalDpi xmlns:a14="http://schemas.microsoft.com/office/drawing/2010/main" val="0"/>
                        </a:ext>
                      </a:extLst>
                    </a:blip>
                    <a:stretch>
                      <a:fillRect/>
                    </a:stretch>
                  </pic:blipFill>
                  <pic:spPr>
                    <a:xfrm>
                      <a:off x="0" y="0"/>
                      <a:ext cx="5867400" cy="8486775"/>
                    </a:xfrm>
                    <a:prstGeom prst="rect">
                      <a:avLst/>
                    </a:prstGeom>
                  </pic:spPr>
                </pic:pic>
              </a:graphicData>
            </a:graphic>
          </wp:inline>
        </w:drawing>
      </w:r>
    </w:p>
    <w:p w14:paraId="5DBBD45F" w14:textId="7778D1BA" w:rsidR="00232E18" w:rsidRPr="00DC4D54" w:rsidRDefault="00232E18" w:rsidP="00232E18">
      <w:pPr>
        <w:pStyle w:val="Didascalia"/>
        <w:jc w:val="both"/>
        <w:rPr>
          <w:rFonts w:ascii="Times New Roman" w:hAnsi="Times New Roman" w:cs="Times New Roman"/>
          <w:b w:val="0"/>
          <w:sz w:val="24"/>
          <w:szCs w:val="24"/>
        </w:rPr>
      </w:pPr>
      <w:r w:rsidRPr="00DC4D54">
        <w:rPr>
          <w:rFonts w:ascii="Times New Roman" w:hAnsi="Times New Roman" w:cs="Times New Roman"/>
          <w:b w:val="0"/>
          <w:sz w:val="24"/>
          <w:szCs w:val="24"/>
        </w:rPr>
        <w:t xml:space="preserve">Figura </w:t>
      </w:r>
      <w:r w:rsidRPr="00DC4D54">
        <w:rPr>
          <w:rFonts w:ascii="Times New Roman" w:hAnsi="Times New Roman" w:cs="Times New Roman"/>
          <w:b w:val="0"/>
          <w:sz w:val="24"/>
          <w:szCs w:val="24"/>
        </w:rPr>
        <w:fldChar w:fldCharType="begin"/>
      </w:r>
      <w:r w:rsidRPr="00DC4D54">
        <w:rPr>
          <w:rFonts w:ascii="Times New Roman" w:hAnsi="Times New Roman" w:cs="Times New Roman"/>
          <w:b w:val="0"/>
          <w:sz w:val="24"/>
          <w:szCs w:val="24"/>
        </w:rPr>
        <w:instrText xml:space="preserve"> SEQ Figura \* ARABIC </w:instrText>
      </w:r>
      <w:r w:rsidRPr="00DC4D54">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10</w:t>
      </w:r>
      <w:r w:rsidRPr="00DC4D54">
        <w:rPr>
          <w:rFonts w:ascii="Times New Roman" w:hAnsi="Times New Roman" w:cs="Times New Roman"/>
          <w:b w:val="0"/>
          <w:sz w:val="24"/>
          <w:szCs w:val="24"/>
        </w:rPr>
        <w:fldChar w:fldCharType="end"/>
      </w:r>
      <w:r w:rsidRPr="00DC4D54">
        <w:rPr>
          <w:rFonts w:ascii="Times New Roman" w:hAnsi="Times New Roman" w:cs="Times New Roman"/>
          <w:b w:val="0"/>
          <w:sz w:val="24"/>
          <w:szCs w:val="24"/>
        </w:rPr>
        <w:t xml:space="preserve">. Berlino, Kupferstichkabinett, Staatliche Museen, ms. 78 C 27, f. 97r. Visconti, </w:t>
      </w:r>
      <w:r w:rsidRPr="00DC4D54">
        <w:rPr>
          <w:rFonts w:ascii="Times New Roman" w:hAnsi="Times New Roman" w:cs="Times New Roman"/>
          <w:b w:val="0"/>
          <w:i/>
          <w:sz w:val="24"/>
          <w:szCs w:val="24"/>
        </w:rPr>
        <w:t>De Paulo e Daria amanti</w:t>
      </w:r>
      <w:r w:rsidRPr="00DC4D54">
        <w:rPr>
          <w:rFonts w:ascii="Times New Roman" w:hAnsi="Times New Roman" w:cs="Times New Roman"/>
          <w:b w:val="0"/>
          <w:sz w:val="24"/>
          <w:szCs w:val="24"/>
        </w:rPr>
        <w:t xml:space="preserve">. Anonimo e non datato.  </w:t>
      </w:r>
    </w:p>
    <w:p w14:paraId="09CF1F13" w14:textId="77777777" w:rsidR="00232E18" w:rsidRDefault="00232E18" w:rsidP="00232E18">
      <w:pPr>
        <w:keepNext/>
        <w:ind w:left="567"/>
      </w:pPr>
      <w:r>
        <w:rPr>
          <w:noProof/>
        </w:rPr>
        <w:drawing>
          <wp:inline distT="0" distB="0" distL="0" distR="0" wp14:anchorId="7E4A85E7" wp14:editId="0BFFFC03">
            <wp:extent cx="5495925" cy="7125335"/>
            <wp:effectExtent l="0" t="0" r="9525"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11.png"/>
                    <pic:cNvPicPr/>
                  </pic:nvPicPr>
                  <pic:blipFill>
                    <a:blip r:embed="rId18">
                      <a:extLst>
                        <a:ext uri="{28A0092B-C50C-407E-A947-70E740481C1C}">
                          <a14:useLocalDpi xmlns:a14="http://schemas.microsoft.com/office/drawing/2010/main" val="0"/>
                        </a:ext>
                      </a:extLst>
                    </a:blip>
                    <a:stretch>
                      <a:fillRect/>
                    </a:stretch>
                  </pic:blipFill>
                  <pic:spPr>
                    <a:xfrm>
                      <a:off x="0" y="0"/>
                      <a:ext cx="5496206" cy="7125699"/>
                    </a:xfrm>
                    <a:prstGeom prst="rect">
                      <a:avLst/>
                    </a:prstGeom>
                  </pic:spPr>
                </pic:pic>
              </a:graphicData>
            </a:graphic>
          </wp:inline>
        </w:drawing>
      </w:r>
    </w:p>
    <w:p w14:paraId="69E7D838" w14:textId="2673592F" w:rsidR="00232E18" w:rsidRPr="007758FC" w:rsidRDefault="00232E18" w:rsidP="00232E18">
      <w:pPr>
        <w:pStyle w:val="Didascalia"/>
        <w:jc w:val="both"/>
        <w:rPr>
          <w:rFonts w:ascii="Times New Roman" w:hAnsi="Times New Roman" w:cs="Times New Roman"/>
          <w:b w:val="0"/>
          <w:sz w:val="24"/>
          <w:szCs w:val="24"/>
        </w:rPr>
      </w:pPr>
      <w:r w:rsidRPr="007758FC">
        <w:rPr>
          <w:rFonts w:ascii="Times New Roman" w:hAnsi="Times New Roman" w:cs="Times New Roman"/>
          <w:b w:val="0"/>
          <w:sz w:val="24"/>
          <w:szCs w:val="24"/>
        </w:rPr>
        <w:t xml:space="preserve">Figura </w:t>
      </w:r>
      <w:r w:rsidRPr="007758FC">
        <w:rPr>
          <w:rFonts w:ascii="Times New Roman" w:hAnsi="Times New Roman" w:cs="Times New Roman"/>
          <w:b w:val="0"/>
          <w:sz w:val="24"/>
          <w:szCs w:val="24"/>
        </w:rPr>
        <w:fldChar w:fldCharType="begin"/>
      </w:r>
      <w:r w:rsidRPr="007758FC">
        <w:rPr>
          <w:rFonts w:ascii="Times New Roman" w:hAnsi="Times New Roman" w:cs="Times New Roman"/>
          <w:b w:val="0"/>
          <w:sz w:val="24"/>
          <w:szCs w:val="24"/>
        </w:rPr>
        <w:instrText xml:space="preserve"> SEQ Figura \* ARABIC </w:instrText>
      </w:r>
      <w:r w:rsidRPr="007758FC">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11</w:t>
      </w:r>
      <w:r w:rsidRPr="007758FC">
        <w:rPr>
          <w:rFonts w:ascii="Times New Roman" w:hAnsi="Times New Roman" w:cs="Times New Roman"/>
          <w:b w:val="0"/>
          <w:sz w:val="24"/>
          <w:szCs w:val="24"/>
        </w:rPr>
        <w:fldChar w:fldCharType="end"/>
      </w:r>
      <w:r w:rsidRPr="007758FC">
        <w:rPr>
          <w:rFonts w:ascii="Times New Roman" w:hAnsi="Times New Roman" w:cs="Times New Roman"/>
          <w:b w:val="0"/>
          <w:sz w:val="24"/>
          <w:szCs w:val="24"/>
        </w:rPr>
        <w:t xml:space="preserve">. </w:t>
      </w:r>
      <w:r w:rsidRPr="007758FC">
        <w:rPr>
          <w:rFonts w:ascii="Times New Roman" w:hAnsi="Times New Roman" w:cs="Times New Roman"/>
          <w:b w:val="0"/>
          <w:sz w:val="24"/>
          <w:szCs w:val="24"/>
          <w:lang w:val="en-US"/>
        </w:rPr>
        <w:t xml:space="preserve">Londra, British Library, ms. add. 28962, f. 338v. </w:t>
      </w:r>
      <w:r w:rsidRPr="007758FC">
        <w:rPr>
          <w:rFonts w:ascii="Times New Roman" w:hAnsi="Times New Roman" w:cs="Times New Roman"/>
          <w:b w:val="0"/>
          <w:sz w:val="24"/>
          <w:szCs w:val="24"/>
        </w:rPr>
        <w:t xml:space="preserve">Salterio e Libro d’ore di Alfonso il Magnanimo. </w:t>
      </w:r>
      <w:r w:rsidRPr="007758FC">
        <w:rPr>
          <w:rFonts w:ascii="Times New Roman" w:hAnsi="Times New Roman" w:cs="Times New Roman"/>
          <w:b w:val="0"/>
          <w:i/>
          <w:sz w:val="24"/>
          <w:szCs w:val="24"/>
        </w:rPr>
        <w:t>Adorazione dei magi</w:t>
      </w:r>
      <w:r>
        <w:rPr>
          <w:rFonts w:ascii="Times New Roman" w:hAnsi="Times New Roman" w:cs="Times New Roman"/>
          <w:b w:val="0"/>
          <w:sz w:val="24"/>
          <w:szCs w:val="24"/>
        </w:rPr>
        <w:t xml:space="preserve">. </w:t>
      </w:r>
      <w:r w:rsidRPr="007758FC">
        <w:rPr>
          <w:rFonts w:ascii="Times New Roman" w:hAnsi="Times New Roman" w:cs="Times New Roman"/>
          <w:b w:val="0"/>
          <w:sz w:val="24"/>
          <w:szCs w:val="24"/>
        </w:rPr>
        <w:t xml:space="preserve">Bottega di Leonardo Carpi. 1439-1443. </w:t>
      </w:r>
    </w:p>
    <w:p w14:paraId="7E5EBEA5" w14:textId="77777777" w:rsidR="00232E18" w:rsidRDefault="00232E18" w:rsidP="00232E18">
      <w:r>
        <w:br w:type="page"/>
      </w:r>
    </w:p>
    <w:p w14:paraId="13C4CC23" w14:textId="1C06BFC6" w:rsidR="00232E18" w:rsidRPr="004771D6" w:rsidRDefault="00232E18" w:rsidP="00C4421F">
      <w:pPr>
        <w:keepNext/>
        <w:jc w:val="both"/>
      </w:pPr>
      <w:r>
        <w:rPr>
          <w:noProof/>
        </w:rPr>
        <w:drawing>
          <wp:inline distT="0" distB="0" distL="0" distR="0" wp14:anchorId="7673B3C3" wp14:editId="4FC43447">
            <wp:extent cx="6019800" cy="8572500"/>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12.jpg"/>
                    <pic:cNvPicPr/>
                  </pic:nvPicPr>
                  <pic:blipFill>
                    <a:blip r:embed="rId19">
                      <a:extLst>
                        <a:ext uri="{28A0092B-C50C-407E-A947-70E740481C1C}">
                          <a14:useLocalDpi xmlns:a14="http://schemas.microsoft.com/office/drawing/2010/main" val="0"/>
                        </a:ext>
                      </a:extLst>
                    </a:blip>
                    <a:stretch>
                      <a:fillRect/>
                    </a:stretch>
                  </pic:blipFill>
                  <pic:spPr>
                    <a:xfrm>
                      <a:off x="0" y="0"/>
                      <a:ext cx="6019800" cy="8572500"/>
                    </a:xfrm>
                    <a:prstGeom prst="rect">
                      <a:avLst/>
                    </a:prstGeom>
                  </pic:spPr>
                </pic:pic>
              </a:graphicData>
            </a:graphic>
          </wp:inline>
        </w:drawing>
      </w:r>
      <w:r w:rsidRPr="00390B81">
        <w:rPr>
          <w:rFonts w:ascii="Times New Roman" w:hAnsi="Times New Roman" w:cs="Times New Roman"/>
          <w:sz w:val="24"/>
          <w:szCs w:val="24"/>
        </w:rPr>
        <w:t xml:space="preserve">Figura </w:t>
      </w:r>
      <w:r w:rsidRPr="00390B81">
        <w:rPr>
          <w:rFonts w:ascii="Times New Roman" w:hAnsi="Times New Roman" w:cs="Times New Roman"/>
          <w:i/>
          <w:sz w:val="24"/>
          <w:szCs w:val="24"/>
        </w:rPr>
        <w:fldChar w:fldCharType="begin"/>
      </w:r>
      <w:r w:rsidRPr="00390B81">
        <w:rPr>
          <w:rFonts w:ascii="Times New Roman" w:hAnsi="Times New Roman" w:cs="Times New Roman"/>
          <w:sz w:val="24"/>
          <w:szCs w:val="24"/>
        </w:rPr>
        <w:instrText xml:space="preserve"> SEQ Figura \* ARABIC </w:instrText>
      </w:r>
      <w:r w:rsidRPr="00390B81">
        <w:rPr>
          <w:rFonts w:ascii="Times New Roman" w:hAnsi="Times New Roman" w:cs="Times New Roman"/>
          <w:i/>
          <w:sz w:val="24"/>
          <w:szCs w:val="24"/>
        </w:rPr>
        <w:fldChar w:fldCharType="separate"/>
      </w:r>
      <w:r w:rsidR="00273A65">
        <w:rPr>
          <w:rFonts w:ascii="Times New Roman" w:hAnsi="Times New Roman" w:cs="Times New Roman"/>
          <w:noProof/>
          <w:sz w:val="24"/>
          <w:szCs w:val="24"/>
        </w:rPr>
        <w:t>12</w:t>
      </w:r>
      <w:r w:rsidRPr="00390B81">
        <w:rPr>
          <w:rFonts w:ascii="Times New Roman" w:hAnsi="Times New Roman" w:cs="Times New Roman"/>
          <w:i/>
          <w:sz w:val="24"/>
          <w:szCs w:val="24"/>
        </w:rPr>
        <w:fldChar w:fldCharType="end"/>
      </w:r>
      <w:r w:rsidRPr="00390B81">
        <w:rPr>
          <w:rFonts w:ascii="Times New Roman" w:hAnsi="Times New Roman" w:cs="Times New Roman"/>
          <w:sz w:val="24"/>
          <w:szCs w:val="24"/>
        </w:rPr>
        <w:t xml:space="preserve">. Parigi, Bibliothèque Nationale de France, ms. Lat. 12947, f. 11r. Contrario, </w:t>
      </w:r>
      <w:r w:rsidRPr="00E3026B">
        <w:rPr>
          <w:rFonts w:ascii="Times New Roman" w:hAnsi="Times New Roman" w:cs="Times New Roman"/>
          <w:i/>
          <w:sz w:val="24"/>
          <w:szCs w:val="24"/>
        </w:rPr>
        <w:t>Reprehensio sive objurgatio in calumniatorem divini Platonis</w:t>
      </w:r>
      <w:r w:rsidRPr="00390B81">
        <w:rPr>
          <w:rFonts w:ascii="Times New Roman" w:hAnsi="Times New Roman" w:cs="Times New Roman"/>
          <w:sz w:val="24"/>
          <w:szCs w:val="24"/>
        </w:rPr>
        <w:t xml:space="preserve">. Cola Rapicano. 1451. </w:t>
      </w:r>
    </w:p>
    <w:p w14:paraId="7FD8087E" w14:textId="77777777" w:rsidR="00232E18" w:rsidRDefault="00232E18" w:rsidP="00232E18">
      <w:pPr>
        <w:keepNext/>
        <w:ind w:left="284" w:firstLine="142"/>
      </w:pPr>
      <w:r>
        <w:rPr>
          <w:rFonts w:ascii="Times New Roman" w:hAnsi="Times New Roman" w:cs="Times New Roman"/>
          <w:i/>
          <w:noProof/>
          <w:sz w:val="24"/>
          <w:szCs w:val="24"/>
        </w:rPr>
        <w:drawing>
          <wp:inline distT="0" distB="0" distL="0" distR="0" wp14:anchorId="35166C1F" wp14:editId="383EC36B">
            <wp:extent cx="5474970" cy="8458200"/>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13.jpg"/>
                    <pic:cNvPicPr/>
                  </pic:nvPicPr>
                  <pic:blipFill>
                    <a:blip r:embed="rId20">
                      <a:extLst>
                        <a:ext uri="{28A0092B-C50C-407E-A947-70E740481C1C}">
                          <a14:useLocalDpi xmlns:a14="http://schemas.microsoft.com/office/drawing/2010/main" val="0"/>
                        </a:ext>
                      </a:extLst>
                    </a:blip>
                    <a:stretch>
                      <a:fillRect/>
                    </a:stretch>
                  </pic:blipFill>
                  <pic:spPr>
                    <a:xfrm>
                      <a:off x="0" y="0"/>
                      <a:ext cx="5474970" cy="8458200"/>
                    </a:xfrm>
                    <a:prstGeom prst="rect">
                      <a:avLst/>
                    </a:prstGeom>
                  </pic:spPr>
                </pic:pic>
              </a:graphicData>
            </a:graphic>
          </wp:inline>
        </w:drawing>
      </w:r>
    </w:p>
    <w:p w14:paraId="1DCAC94E" w14:textId="13F831C1" w:rsidR="00232E18" w:rsidRPr="00E3026B" w:rsidRDefault="00232E18" w:rsidP="00C4421F">
      <w:pPr>
        <w:pStyle w:val="Didascalia"/>
        <w:jc w:val="both"/>
        <w:rPr>
          <w:rFonts w:ascii="Times New Roman" w:hAnsi="Times New Roman" w:cs="Times New Roman"/>
          <w:b w:val="0"/>
          <w:sz w:val="24"/>
          <w:szCs w:val="24"/>
        </w:rPr>
      </w:pPr>
      <w:r w:rsidRPr="00E3026B">
        <w:rPr>
          <w:rFonts w:ascii="Times New Roman" w:hAnsi="Times New Roman" w:cs="Times New Roman"/>
          <w:b w:val="0"/>
          <w:sz w:val="24"/>
          <w:szCs w:val="24"/>
        </w:rPr>
        <w:t xml:space="preserve">Figura </w:t>
      </w:r>
      <w:r w:rsidRPr="00E3026B">
        <w:rPr>
          <w:rFonts w:ascii="Times New Roman" w:hAnsi="Times New Roman" w:cs="Times New Roman"/>
          <w:b w:val="0"/>
          <w:sz w:val="24"/>
          <w:szCs w:val="24"/>
        </w:rPr>
        <w:fldChar w:fldCharType="begin"/>
      </w:r>
      <w:r w:rsidRPr="00E3026B">
        <w:rPr>
          <w:rFonts w:ascii="Times New Roman" w:hAnsi="Times New Roman" w:cs="Times New Roman"/>
          <w:b w:val="0"/>
          <w:sz w:val="24"/>
          <w:szCs w:val="24"/>
        </w:rPr>
        <w:instrText xml:space="preserve"> SEQ Figura \* ARABIC </w:instrText>
      </w:r>
      <w:r w:rsidRPr="00E3026B">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13</w:t>
      </w:r>
      <w:r w:rsidRPr="00E3026B">
        <w:rPr>
          <w:rFonts w:ascii="Times New Roman" w:hAnsi="Times New Roman" w:cs="Times New Roman"/>
          <w:b w:val="0"/>
          <w:sz w:val="24"/>
          <w:szCs w:val="24"/>
        </w:rPr>
        <w:fldChar w:fldCharType="end"/>
      </w:r>
      <w:r w:rsidRPr="00E3026B">
        <w:rPr>
          <w:rFonts w:ascii="Times New Roman" w:hAnsi="Times New Roman" w:cs="Times New Roman"/>
          <w:b w:val="0"/>
          <w:sz w:val="24"/>
          <w:szCs w:val="24"/>
        </w:rPr>
        <w:t xml:space="preserve">. Città del Vaticano, Biblioteca Apostolica Vaticana, Urb. Lat. 365, f. 1r. Dante, </w:t>
      </w:r>
      <w:r w:rsidRPr="00E3026B">
        <w:rPr>
          <w:rFonts w:ascii="Times New Roman" w:hAnsi="Times New Roman" w:cs="Times New Roman"/>
          <w:b w:val="0"/>
          <w:i/>
          <w:sz w:val="24"/>
          <w:szCs w:val="24"/>
        </w:rPr>
        <w:t>Inferno</w:t>
      </w:r>
      <w:r w:rsidRPr="00E3026B">
        <w:rPr>
          <w:rFonts w:ascii="Times New Roman" w:hAnsi="Times New Roman" w:cs="Times New Roman"/>
          <w:b w:val="0"/>
          <w:sz w:val="24"/>
          <w:szCs w:val="24"/>
        </w:rPr>
        <w:t xml:space="preserve">. Guglielmo Giraldi. 1478. </w:t>
      </w:r>
    </w:p>
    <w:p w14:paraId="07996ECF" w14:textId="77777777" w:rsidR="00232E18" w:rsidRDefault="00232E18" w:rsidP="00232E18">
      <w:pPr>
        <w:keepNext/>
        <w:ind w:left="1134" w:firstLine="142"/>
      </w:pPr>
      <w:r>
        <w:rPr>
          <w:rFonts w:ascii="Times New Roman" w:hAnsi="Times New Roman" w:cs="Times New Roman"/>
          <w:i/>
          <w:noProof/>
          <w:sz w:val="24"/>
          <w:szCs w:val="24"/>
        </w:rPr>
        <w:drawing>
          <wp:inline distT="0" distB="0" distL="0" distR="0" wp14:anchorId="5ADBB7C3" wp14:editId="3A259027">
            <wp:extent cx="4347210" cy="6934200"/>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14.png"/>
                    <pic:cNvPicPr/>
                  </pic:nvPicPr>
                  <pic:blipFill>
                    <a:blip r:embed="rId21">
                      <a:extLst>
                        <a:ext uri="{28A0092B-C50C-407E-A947-70E740481C1C}">
                          <a14:useLocalDpi xmlns:a14="http://schemas.microsoft.com/office/drawing/2010/main" val="0"/>
                        </a:ext>
                      </a:extLst>
                    </a:blip>
                    <a:stretch>
                      <a:fillRect/>
                    </a:stretch>
                  </pic:blipFill>
                  <pic:spPr>
                    <a:xfrm>
                      <a:off x="0" y="0"/>
                      <a:ext cx="4347588" cy="6934803"/>
                    </a:xfrm>
                    <a:prstGeom prst="rect">
                      <a:avLst/>
                    </a:prstGeom>
                  </pic:spPr>
                </pic:pic>
              </a:graphicData>
            </a:graphic>
          </wp:inline>
        </w:drawing>
      </w:r>
    </w:p>
    <w:p w14:paraId="243CBAE4" w14:textId="3B7AA12B" w:rsidR="00232E18" w:rsidRPr="00F443F3" w:rsidRDefault="00232E18" w:rsidP="00232E18">
      <w:pPr>
        <w:pStyle w:val="Didascalia"/>
        <w:jc w:val="both"/>
        <w:rPr>
          <w:rFonts w:ascii="Times New Roman" w:hAnsi="Times New Roman" w:cs="Times New Roman"/>
          <w:b w:val="0"/>
          <w:sz w:val="24"/>
          <w:szCs w:val="24"/>
        </w:rPr>
      </w:pPr>
      <w:r w:rsidRPr="00F443F3">
        <w:rPr>
          <w:rFonts w:ascii="Times New Roman" w:hAnsi="Times New Roman" w:cs="Times New Roman"/>
          <w:b w:val="0"/>
          <w:sz w:val="24"/>
          <w:szCs w:val="24"/>
        </w:rPr>
        <w:t xml:space="preserve">Figura </w:t>
      </w:r>
      <w:r w:rsidRPr="00F443F3">
        <w:rPr>
          <w:rFonts w:ascii="Times New Roman" w:hAnsi="Times New Roman" w:cs="Times New Roman"/>
          <w:b w:val="0"/>
          <w:sz w:val="24"/>
          <w:szCs w:val="24"/>
        </w:rPr>
        <w:fldChar w:fldCharType="begin"/>
      </w:r>
      <w:r w:rsidRPr="00F443F3">
        <w:rPr>
          <w:rFonts w:ascii="Times New Roman" w:hAnsi="Times New Roman" w:cs="Times New Roman"/>
          <w:b w:val="0"/>
          <w:sz w:val="24"/>
          <w:szCs w:val="24"/>
        </w:rPr>
        <w:instrText xml:space="preserve"> SEQ Figura \* ARABIC </w:instrText>
      </w:r>
      <w:r w:rsidRPr="00F443F3">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14</w:t>
      </w:r>
      <w:r w:rsidRPr="00F443F3">
        <w:rPr>
          <w:rFonts w:ascii="Times New Roman" w:hAnsi="Times New Roman" w:cs="Times New Roman"/>
          <w:b w:val="0"/>
          <w:sz w:val="24"/>
          <w:szCs w:val="24"/>
        </w:rPr>
        <w:fldChar w:fldCharType="end"/>
      </w:r>
      <w:r w:rsidRPr="00F443F3">
        <w:rPr>
          <w:rFonts w:ascii="Times New Roman" w:hAnsi="Times New Roman" w:cs="Times New Roman"/>
          <w:b w:val="0"/>
          <w:sz w:val="24"/>
          <w:szCs w:val="24"/>
        </w:rPr>
        <w:t xml:space="preserve">. Madrid, Biblioteca Nacional, ms. Vit. 22-1, f. 11r. Petrarca, </w:t>
      </w:r>
      <w:r w:rsidRPr="00F443F3">
        <w:rPr>
          <w:rFonts w:ascii="Times New Roman" w:hAnsi="Times New Roman" w:cs="Times New Roman"/>
          <w:b w:val="0"/>
          <w:i/>
          <w:sz w:val="24"/>
          <w:szCs w:val="24"/>
        </w:rPr>
        <w:t>Canzoniere e Trionfi</w:t>
      </w:r>
      <w:r w:rsidRPr="00F443F3">
        <w:rPr>
          <w:rFonts w:ascii="Times New Roman" w:hAnsi="Times New Roman" w:cs="Times New Roman"/>
          <w:b w:val="0"/>
          <w:sz w:val="24"/>
          <w:szCs w:val="24"/>
        </w:rPr>
        <w:t>. Bartolomeo della Gatta. 1474-1482.</w:t>
      </w:r>
    </w:p>
    <w:p w14:paraId="48DA7F70" w14:textId="77777777" w:rsidR="00232E18" w:rsidRPr="00F443F3" w:rsidRDefault="00232E18" w:rsidP="00232E18">
      <w:r w:rsidRPr="00F443F3">
        <w:br w:type="page"/>
      </w:r>
    </w:p>
    <w:p w14:paraId="0157D7E3" w14:textId="77777777" w:rsidR="00232E18" w:rsidRDefault="00232E18" w:rsidP="00232E18">
      <w:pPr>
        <w:keepNext/>
        <w:ind w:left="426" w:firstLine="708"/>
      </w:pPr>
      <w:r>
        <w:rPr>
          <w:noProof/>
        </w:rPr>
        <w:drawing>
          <wp:inline distT="0" distB="0" distL="0" distR="0" wp14:anchorId="4E17F99D" wp14:editId="08CFE6E3">
            <wp:extent cx="4657725" cy="7077075"/>
            <wp:effectExtent l="0" t="0" r="9525" b="9525"/>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15.png"/>
                    <pic:cNvPicPr/>
                  </pic:nvPicPr>
                  <pic:blipFill>
                    <a:blip r:embed="rId22">
                      <a:extLst>
                        <a:ext uri="{28A0092B-C50C-407E-A947-70E740481C1C}">
                          <a14:useLocalDpi xmlns:a14="http://schemas.microsoft.com/office/drawing/2010/main" val="0"/>
                        </a:ext>
                      </a:extLst>
                    </a:blip>
                    <a:stretch>
                      <a:fillRect/>
                    </a:stretch>
                  </pic:blipFill>
                  <pic:spPr>
                    <a:xfrm>
                      <a:off x="0" y="0"/>
                      <a:ext cx="4658134" cy="7077697"/>
                    </a:xfrm>
                    <a:prstGeom prst="rect">
                      <a:avLst/>
                    </a:prstGeom>
                  </pic:spPr>
                </pic:pic>
              </a:graphicData>
            </a:graphic>
          </wp:inline>
        </w:drawing>
      </w:r>
    </w:p>
    <w:p w14:paraId="2201DE08" w14:textId="2EC7AE2F" w:rsidR="00232E18" w:rsidRPr="00B420D6" w:rsidRDefault="00232E18" w:rsidP="00232E18">
      <w:pPr>
        <w:pStyle w:val="Didascalia"/>
        <w:rPr>
          <w:rFonts w:ascii="Times New Roman" w:hAnsi="Times New Roman" w:cs="Times New Roman"/>
          <w:b w:val="0"/>
          <w:sz w:val="24"/>
          <w:szCs w:val="24"/>
        </w:rPr>
      </w:pPr>
      <w:r w:rsidRPr="00B420D6">
        <w:rPr>
          <w:rFonts w:ascii="Times New Roman" w:hAnsi="Times New Roman" w:cs="Times New Roman"/>
          <w:b w:val="0"/>
          <w:sz w:val="24"/>
          <w:szCs w:val="24"/>
        </w:rPr>
        <w:t xml:space="preserve">Figura </w:t>
      </w:r>
      <w:r w:rsidRPr="00B420D6">
        <w:rPr>
          <w:rFonts w:ascii="Times New Roman" w:hAnsi="Times New Roman" w:cs="Times New Roman"/>
          <w:b w:val="0"/>
          <w:sz w:val="24"/>
          <w:szCs w:val="24"/>
        </w:rPr>
        <w:fldChar w:fldCharType="begin"/>
      </w:r>
      <w:r w:rsidRPr="00B420D6">
        <w:rPr>
          <w:rFonts w:ascii="Times New Roman" w:hAnsi="Times New Roman" w:cs="Times New Roman"/>
          <w:b w:val="0"/>
          <w:sz w:val="24"/>
          <w:szCs w:val="24"/>
        </w:rPr>
        <w:instrText xml:space="preserve"> SEQ Figura \* ARABIC </w:instrText>
      </w:r>
      <w:r w:rsidRPr="00B420D6">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15</w:t>
      </w:r>
      <w:r w:rsidRPr="00B420D6">
        <w:rPr>
          <w:rFonts w:ascii="Times New Roman" w:hAnsi="Times New Roman" w:cs="Times New Roman"/>
          <w:b w:val="0"/>
          <w:sz w:val="24"/>
          <w:szCs w:val="24"/>
        </w:rPr>
        <w:fldChar w:fldCharType="end"/>
      </w:r>
      <w:r w:rsidRPr="00B420D6">
        <w:rPr>
          <w:rFonts w:ascii="Times New Roman" w:hAnsi="Times New Roman" w:cs="Times New Roman"/>
          <w:b w:val="0"/>
          <w:sz w:val="24"/>
          <w:szCs w:val="24"/>
        </w:rPr>
        <w:t>.</w:t>
      </w:r>
      <w:r w:rsidRPr="00B420D6">
        <w:rPr>
          <w:b w:val="0"/>
        </w:rPr>
        <w:t xml:space="preserve"> </w:t>
      </w:r>
      <w:r w:rsidRPr="00B420D6">
        <w:rPr>
          <w:rFonts w:ascii="Times New Roman" w:hAnsi="Times New Roman" w:cs="Times New Roman"/>
          <w:b w:val="0"/>
          <w:sz w:val="24"/>
          <w:szCs w:val="24"/>
        </w:rPr>
        <w:t xml:space="preserve">Madrid, Biblioteca Nacional, ms. Vit. 22-1, f. 162v. Petrarca, </w:t>
      </w:r>
      <w:r w:rsidRPr="00B420D6">
        <w:rPr>
          <w:rFonts w:ascii="Times New Roman" w:hAnsi="Times New Roman" w:cs="Times New Roman"/>
          <w:b w:val="0"/>
          <w:i/>
          <w:sz w:val="24"/>
          <w:szCs w:val="24"/>
        </w:rPr>
        <w:t>Canzoniere e Trionfi</w:t>
      </w:r>
      <w:r w:rsidRPr="00B420D6">
        <w:rPr>
          <w:rFonts w:ascii="Times New Roman" w:hAnsi="Times New Roman" w:cs="Times New Roman"/>
          <w:b w:val="0"/>
          <w:sz w:val="24"/>
          <w:szCs w:val="24"/>
        </w:rPr>
        <w:t>. Bartolomeo della Gatta. 1474-1482.</w:t>
      </w:r>
    </w:p>
    <w:p w14:paraId="3CAFA616" w14:textId="77777777" w:rsidR="00232E18" w:rsidRDefault="00232E18" w:rsidP="00232E18">
      <w:r>
        <w:br w:type="page"/>
      </w:r>
    </w:p>
    <w:p w14:paraId="39835C6B" w14:textId="77777777" w:rsidR="00232E18" w:rsidRDefault="00232E18" w:rsidP="00232E18">
      <w:pPr>
        <w:keepNext/>
        <w:ind w:left="993"/>
      </w:pPr>
      <w:r>
        <w:rPr>
          <w:noProof/>
        </w:rPr>
        <w:drawing>
          <wp:inline distT="0" distB="0" distL="0" distR="0" wp14:anchorId="2AD946B1" wp14:editId="6C79BEED">
            <wp:extent cx="4867275" cy="7038975"/>
            <wp:effectExtent l="0" t="0" r="9525" b="952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g.16.png"/>
                    <pic:cNvPicPr/>
                  </pic:nvPicPr>
                  <pic:blipFill>
                    <a:blip r:embed="rId23">
                      <a:extLst>
                        <a:ext uri="{28A0092B-C50C-407E-A947-70E740481C1C}">
                          <a14:useLocalDpi xmlns:a14="http://schemas.microsoft.com/office/drawing/2010/main" val="0"/>
                        </a:ext>
                      </a:extLst>
                    </a:blip>
                    <a:stretch>
                      <a:fillRect/>
                    </a:stretch>
                  </pic:blipFill>
                  <pic:spPr>
                    <a:xfrm>
                      <a:off x="0" y="0"/>
                      <a:ext cx="4867710" cy="7039604"/>
                    </a:xfrm>
                    <a:prstGeom prst="rect">
                      <a:avLst/>
                    </a:prstGeom>
                  </pic:spPr>
                </pic:pic>
              </a:graphicData>
            </a:graphic>
          </wp:inline>
        </w:drawing>
      </w:r>
    </w:p>
    <w:p w14:paraId="7F7D3C80" w14:textId="329C0115" w:rsidR="00232E18" w:rsidRPr="00B420D6" w:rsidRDefault="00232E18" w:rsidP="00232E18">
      <w:pPr>
        <w:pStyle w:val="Didascalia"/>
        <w:rPr>
          <w:rFonts w:ascii="Times New Roman" w:hAnsi="Times New Roman" w:cs="Times New Roman"/>
          <w:b w:val="0"/>
          <w:sz w:val="24"/>
          <w:szCs w:val="24"/>
        </w:rPr>
      </w:pPr>
      <w:r w:rsidRPr="00B420D6">
        <w:rPr>
          <w:rFonts w:ascii="Times New Roman" w:hAnsi="Times New Roman" w:cs="Times New Roman"/>
          <w:b w:val="0"/>
          <w:sz w:val="24"/>
          <w:szCs w:val="24"/>
        </w:rPr>
        <w:t xml:space="preserve">Figura </w:t>
      </w:r>
      <w:r w:rsidRPr="00B420D6">
        <w:rPr>
          <w:rFonts w:ascii="Times New Roman" w:hAnsi="Times New Roman" w:cs="Times New Roman"/>
          <w:b w:val="0"/>
          <w:sz w:val="24"/>
          <w:szCs w:val="24"/>
        </w:rPr>
        <w:fldChar w:fldCharType="begin"/>
      </w:r>
      <w:r w:rsidRPr="00B420D6">
        <w:rPr>
          <w:rFonts w:ascii="Times New Roman" w:hAnsi="Times New Roman" w:cs="Times New Roman"/>
          <w:b w:val="0"/>
          <w:sz w:val="24"/>
          <w:szCs w:val="24"/>
        </w:rPr>
        <w:instrText xml:space="preserve"> SEQ Figura \* ARABIC </w:instrText>
      </w:r>
      <w:r w:rsidRPr="00B420D6">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16</w:t>
      </w:r>
      <w:r w:rsidRPr="00B420D6">
        <w:rPr>
          <w:rFonts w:ascii="Times New Roman" w:hAnsi="Times New Roman" w:cs="Times New Roman"/>
          <w:b w:val="0"/>
          <w:sz w:val="24"/>
          <w:szCs w:val="24"/>
        </w:rPr>
        <w:fldChar w:fldCharType="end"/>
      </w:r>
      <w:r w:rsidRPr="00B420D6">
        <w:rPr>
          <w:rFonts w:ascii="Times New Roman" w:hAnsi="Times New Roman" w:cs="Times New Roman"/>
          <w:b w:val="0"/>
          <w:sz w:val="24"/>
          <w:szCs w:val="24"/>
        </w:rPr>
        <w:t xml:space="preserve">. Città del Vaticano, Biblioteca Apostolica Vaticana, ms. Urb. Lat. 427, f. 2r. Rufo, </w:t>
      </w:r>
      <w:r w:rsidRPr="00B420D6">
        <w:rPr>
          <w:rFonts w:ascii="Times New Roman" w:hAnsi="Times New Roman" w:cs="Times New Roman"/>
          <w:b w:val="0"/>
          <w:i/>
          <w:sz w:val="24"/>
          <w:szCs w:val="24"/>
        </w:rPr>
        <w:t>Vita di Alessandro Magno</w:t>
      </w:r>
      <w:r w:rsidRPr="00B420D6">
        <w:rPr>
          <w:rFonts w:ascii="Times New Roman" w:hAnsi="Times New Roman" w:cs="Times New Roman"/>
          <w:b w:val="0"/>
          <w:sz w:val="24"/>
          <w:szCs w:val="24"/>
        </w:rPr>
        <w:t>. Bartolomeo della Gatta e maestranze dello scriptorium federiciano. 1474-1482.</w:t>
      </w:r>
    </w:p>
    <w:p w14:paraId="0286ED38" w14:textId="77777777" w:rsidR="00232E18" w:rsidRDefault="00232E18" w:rsidP="00232E18">
      <w:pPr>
        <w:ind w:left="1134" w:firstLine="142"/>
        <w:rPr>
          <w:rFonts w:ascii="Times New Roman" w:hAnsi="Times New Roman" w:cs="Times New Roman"/>
          <w:i/>
          <w:sz w:val="24"/>
          <w:szCs w:val="24"/>
        </w:rPr>
      </w:pPr>
      <w:r>
        <w:rPr>
          <w:rFonts w:ascii="Times New Roman" w:hAnsi="Times New Roman" w:cs="Times New Roman"/>
          <w:i/>
          <w:sz w:val="24"/>
          <w:szCs w:val="24"/>
        </w:rPr>
        <w:br w:type="page"/>
      </w:r>
    </w:p>
    <w:p w14:paraId="0D47346B" w14:textId="77777777" w:rsidR="00232E18" w:rsidRDefault="00232E18" w:rsidP="00232E18">
      <w:pPr>
        <w:ind w:left="1134" w:firstLine="142"/>
        <w:rPr>
          <w:rFonts w:ascii="Times New Roman" w:hAnsi="Times New Roman" w:cs="Times New Roman"/>
          <w:iCs/>
          <w:color w:val="44546A" w:themeColor="text2"/>
          <w:sz w:val="24"/>
          <w:szCs w:val="24"/>
        </w:rPr>
      </w:pPr>
    </w:p>
    <w:p w14:paraId="7FB2B3C1" w14:textId="77777777" w:rsidR="00232E18" w:rsidRDefault="00232E18" w:rsidP="00232E18">
      <w:pPr>
        <w:pStyle w:val="Didascalia"/>
        <w:keepNext/>
        <w:ind w:left="1134"/>
      </w:pPr>
      <w:r>
        <w:rPr>
          <w:rFonts w:ascii="Times New Roman" w:hAnsi="Times New Roman" w:cs="Times New Roman"/>
          <w:i/>
          <w:noProof/>
          <w:sz w:val="24"/>
          <w:szCs w:val="24"/>
        </w:rPr>
        <w:drawing>
          <wp:inline distT="0" distB="0" distL="0" distR="0" wp14:anchorId="159E8702" wp14:editId="7DAE0368">
            <wp:extent cx="4676775" cy="6781800"/>
            <wp:effectExtent l="0" t="0" r="9525"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anvas.png"/>
                    <pic:cNvPicPr/>
                  </pic:nvPicPr>
                  <pic:blipFill>
                    <a:blip r:embed="rId24">
                      <a:extLst>
                        <a:ext uri="{28A0092B-C50C-407E-A947-70E740481C1C}">
                          <a14:useLocalDpi xmlns:a14="http://schemas.microsoft.com/office/drawing/2010/main" val="0"/>
                        </a:ext>
                      </a:extLst>
                    </a:blip>
                    <a:stretch>
                      <a:fillRect/>
                    </a:stretch>
                  </pic:blipFill>
                  <pic:spPr>
                    <a:xfrm>
                      <a:off x="0" y="0"/>
                      <a:ext cx="4677441" cy="6782766"/>
                    </a:xfrm>
                    <a:prstGeom prst="rect">
                      <a:avLst/>
                    </a:prstGeom>
                  </pic:spPr>
                </pic:pic>
              </a:graphicData>
            </a:graphic>
          </wp:inline>
        </w:drawing>
      </w:r>
    </w:p>
    <w:p w14:paraId="05A6DD82" w14:textId="6AF2C448" w:rsidR="00232E18" w:rsidRPr="00194D83" w:rsidRDefault="00232E18" w:rsidP="00232E18">
      <w:pPr>
        <w:pStyle w:val="Didascalia"/>
        <w:jc w:val="both"/>
        <w:rPr>
          <w:rFonts w:ascii="Times New Roman" w:hAnsi="Times New Roman" w:cs="Times New Roman"/>
          <w:b w:val="0"/>
          <w:sz w:val="24"/>
          <w:szCs w:val="24"/>
        </w:rPr>
      </w:pPr>
      <w:r w:rsidRPr="00194D83">
        <w:rPr>
          <w:rFonts w:ascii="Times New Roman" w:hAnsi="Times New Roman" w:cs="Times New Roman"/>
          <w:b w:val="0"/>
          <w:sz w:val="24"/>
          <w:szCs w:val="24"/>
        </w:rPr>
        <w:t xml:space="preserve">Figura </w:t>
      </w:r>
      <w:r w:rsidRPr="00194D83">
        <w:rPr>
          <w:rFonts w:ascii="Times New Roman" w:hAnsi="Times New Roman" w:cs="Times New Roman"/>
          <w:b w:val="0"/>
          <w:sz w:val="24"/>
          <w:szCs w:val="24"/>
        </w:rPr>
        <w:fldChar w:fldCharType="begin"/>
      </w:r>
      <w:r w:rsidRPr="00194D83">
        <w:rPr>
          <w:rFonts w:ascii="Times New Roman" w:hAnsi="Times New Roman" w:cs="Times New Roman"/>
          <w:b w:val="0"/>
          <w:sz w:val="24"/>
          <w:szCs w:val="24"/>
        </w:rPr>
        <w:instrText xml:space="preserve"> SEQ Figura \* ARABIC </w:instrText>
      </w:r>
      <w:r w:rsidRPr="00194D83">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17</w:t>
      </w:r>
      <w:r w:rsidRPr="00194D83">
        <w:rPr>
          <w:rFonts w:ascii="Times New Roman" w:hAnsi="Times New Roman" w:cs="Times New Roman"/>
          <w:b w:val="0"/>
          <w:sz w:val="24"/>
          <w:szCs w:val="24"/>
        </w:rPr>
        <w:fldChar w:fldCharType="end"/>
      </w:r>
      <w:r w:rsidRPr="00194D83">
        <w:rPr>
          <w:rFonts w:ascii="Times New Roman" w:hAnsi="Times New Roman" w:cs="Times New Roman"/>
          <w:b w:val="0"/>
          <w:sz w:val="24"/>
          <w:szCs w:val="24"/>
        </w:rPr>
        <w:t>.</w:t>
      </w:r>
      <w:r w:rsidRPr="00194D83">
        <w:rPr>
          <w:b w:val="0"/>
        </w:rPr>
        <w:t xml:space="preserve"> </w:t>
      </w:r>
      <w:r w:rsidRPr="00194D83">
        <w:rPr>
          <w:rFonts w:ascii="Times New Roman" w:hAnsi="Times New Roman" w:cs="Times New Roman"/>
          <w:b w:val="0"/>
          <w:sz w:val="24"/>
          <w:szCs w:val="24"/>
          <w:lang w:val="en-US"/>
        </w:rPr>
        <w:t xml:space="preserve">Londra, British Library, ms. add. 28962, f. 281v. </w:t>
      </w:r>
      <w:r w:rsidRPr="00194D83">
        <w:rPr>
          <w:rFonts w:ascii="Times New Roman" w:hAnsi="Times New Roman" w:cs="Times New Roman"/>
          <w:b w:val="0"/>
          <w:sz w:val="24"/>
          <w:szCs w:val="24"/>
        </w:rPr>
        <w:t>Salterio e Libro d’ore di Alfonso il Magnanimo. Bottega di Leonardo Carpi. 1439-1443.</w:t>
      </w:r>
    </w:p>
    <w:p w14:paraId="6D8C65DE" w14:textId="77777777" w:rsidR="00232E18" w:rsidRDefault="00232E18" w:rsidP="00232E18">
      <w:r>
        <w:br w:type="page"/>
      </w:r>
    </w:p>
    <w:p w14:paraId="3E2CE4D8" w14:textId="77777777" w:rsidR="00232E18" w:rsidRDefault="00232E18" w:rsidP="00232E18"/>
    <w:p w14:paraId="5B53FB39" w14:textId="77777777" w:rsidR="00232E18" w:rsidRDefault="00232E18" w:rsidP="00232E18">
      <w:pPr>
        <w:keepNext/>
        <w:ind w:left="1134"/>
      </w:pPr>
      <w:r>
        <w:rPr>
          <w:noProof/>
        </w:rPr>
        <w:drawing>
          <wp:inline distT="0" distB="0" distL="0" distR="0" wp14:anchorId="17C5A904" wp14:editId="14F1B83A">
            <wp:extent cx="4763165" cy="6830378"/>
            <wp:effectExtent l="0" t="0" r="0" b="889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g.18.png"/>
                    <pic:cNvPicPr/>
                  </pic:nvPicPr>
                  <pic:blipFill>
                    <a:blip r:embed="rId25">
                      <a:extLst>
                        <a:ext uri="{28A0092B-C50C-407E-A947-70E740481C1C}">
                          <a14:useLocalDpi xmlns:a14="http://schemas.microsoft.com/office/drawing/2010/main" val="0"/>
                        </a:ext>
                      </a:extLst>
                    </a:blip>
                    <a:stretch>
                      <a:fillRect/>
                    </a:stretch>
                  </pic:blipFill>
                  <pic:spPr>
                    <a:xfrm>
                      <a:off x="0" y="0"/>
                      <a:ext cx="4763165" cy="6830378"/>
                    </a:xfrm>
                    <a:prstGeom prst="rect">
                      <a:avLst/>
                    </a:prstGeom>
                  </pic:spPr>
                </pic:pic>
              </a:graphicData>
            </a:graphic>
          </wp:inline>
        </w:drawing>
      </w:r>
    </w:p>
    <w:p w14:paraId="3FD9A1DC" w14:textId="6CFC8934" w:rsidR="00232E18" w:rsidRPr="00194D83" w:rsidRDefault="00232E18" w:rsidP="00232E18">
      <w:pPr>
        <w:pStyle w:val="Didascalia"/>
        <w:jc w:val="both"/>
        <w:rPr>
          <w:rFonts w:ascii="Times New Roman" w:hAnsi="Times New Roman" w:cs="Times New Roman"/>
          <w:b w:val="0"/>
          <w:sz w:val="24"/>
          <w:szCs w:val="24"/>
        </w:rPr>
      </w:pPr>
      <w:r w:rsidRPr="00194D83">
        <w:rPr>
          <w:rFonts w:ascii="Times New Roman" w:hAnsi="Times New Roman" w:cs="Times New Roman"/>
          <w:b w:val="0"/>
          <w:sz w:val="24"/>
          <w:szCs w:val="24"/>
        </w:rPr>
        <w:t xml:space="preserve">Figura </w:t>
      </w:r>
      <w:r w:rsidRPr="00194D83">
        <w:rPr>
          <w:rFonts w:ascii="Times New Roman" w:hAnsi="Times New Roman" w:cs="Times New Roman"/>
          <w:b w:val="0"/>
          <w:sz w:val="24"/>
          <w:szCs w:val="24"/>
        </w:rPr>
        <w:fldChar w:fldCharType="begin"/>
      </w:r>
      <w:r w:rsidRPr="00194D83">
        <w:rPr>
          <w:rFonts w:ascii="Times New Roman" w:hAnsi="Times New Roman" w:cs="Times New Roman"/>
          <w:b w:val="0"/>
          <w:sz w:val="24"/>
          <w:szCs w:val="24"/>
        </w:rPr>
        <w:instrText xml:space="preserve"> SEQ Figura \* ARABIC </w:instrText>
      </w:r>
      <w:r w:rsidRPr="00194D83">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18</w:t>
      </w:r>
      <w:r w:rsidRPr="00194D83">
        <w:rPr>
          <w:rFonts w:ascii="Times New Roman" w:hAnsi="Times New Roman" w:cs="Times New Roman"/>
          <w:b w:val="0"/>
          <w:sz w:val="24"/>
          <w:szCs w:val="24"/>
        </w:rPr>
        <w:fldChar w:fldCharType="end"/>
      </w:r>
      <w:r w:rsidRPr="00194D83">
        <w:rPr>
          <w:rFonts w:ascii="Times New Roman" w:hAnsi="Times New Roman" w:cs="Times New Roman"/>
          <w:b w:val="0"/>
          <w:sz w:val="24"/>
          <w:szCs w:val="24"/>
        </w:rPr>
        <w:t>.</w:t>
      </w:r>
      <w:r w:rsidRPr="00194D83">
        <w:rPr>
          <w:rFonts w:ascii="Times New Roman" w:hAnsi="Times New Roman" w:cs="Times New Roman"/>
          <w:b w:val="0"/>
          <w:sz w:val="24"/>
          <w:szCs w:val="24"/>
          <w:lang w:val="en-US"/>
        </w:rPr>
        <w:t xml:space="preserve"> Londra, British Library, ms. add. 28962, f. 312r. </w:t>
      </w:r>
      <w:r w:rsidRPr="00194D83">
        <w:rPr>
          <w:rFonts w:ascii="Times New Roman" w:hAnsi="Times New Roman" w:cs="Times New Roman"/>
          <w:b w:val="0"/>
          <w:sz w:val="24"/>
          <w:szCs w:val="24"/>
        </w:rPr>
        <w:t>Salterio e Libro d’ore di Alfonso il Magnanimo. Bottega di Leonardo Carpi. 1439-1443.</w:t>
      </w:r>
    </w:p>
    <w:p w14:paraId="1B233AD5" w14:textId="77777777" w:rsidR="00232E18" w:rsidRDefault="00232E18" w:rsidP="00232E18">
      <w:r>
        <w:br w:type="page"/>
      </w:r>
    </w:p>
    <w:p w14:paraId="3194C2EA" w14:textId="77777777" w:rsidR="00232E18" w:rsidRDefault="00232E18" w:rsidP="00232E18">
      <w:pPr>
        <w:keepNext/>
        <w:ind w:left="284"/>
      </w:pPr>
      <w:r>
        <w:rPr>
          <w:noProof/>
        </w:rPr>
        <w:drawing>
          <wp:inline distT="0" distB="0" distL="0" distR="0" wp14:anchorId="18353E46" wp14:editId="4DA2B58E">
            <wp:extent cx="5570855" cy="8515350"/>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19.jpg"/>
                    <pic:cNvPicPr/>
                  </pic:nvPicPr>
                  <pic:blipFill>
                    <a:blip r:embed="rId26">
                      <a:extLst>
                        <a:ext uri="{28A0092B-C50C-407E-A947-70E740481C1C}">
                          <a14:useLocalDpi xmlns:a14="http://schemas.microsoft.com/office/drawing/2010/main" val="0"/>
                        </a:ext>
                      </a:extLst>
                    </a:blip>
                    <a:stretch>
                      <a:fillRect/>
                    </a:stretch>
                  </pic:blipFill>
                  <pic:spPr>
                    <a:xfrm>
                      <a:off x="0" y="0"/>
                      <a:ext cx="5570855" cy="8515350"/>
                    </a:xfrm>
                    <a:prstGeom prst="rect">
                      <a:avLst/>
                    </a:prstGeom>
                  </pic:spPr>
                </pic:pic>
              </a:graphicData>
            </a:graphic>
          </wp:inline>
        </w:drawing>
      </w:r>
    </w:p>
    <w:p w14:paraId="33065410" w14:textId="42185654" w:rsidR="00232E18" w:rsidRPr="00194D83" w:rsidRDefault="00232E18" w:rsidP="00232E18">
      <w:pPr>
        <w:pStyle w:val="Didascalia"/>
        <w:jc w:val="both"/>
        <w:rPr>
          <w:rFonts w:ascii="Times New Roman" w:hAnsi="Times New Roman" w:cs="Times New Roman"/>
          <w:b w:val="0"/>
          <w:sz w:val="24"/>
          <w:szCs w:val="24"/>
        </w:rPr>
      </w:pPr>
      <w:r w:rsidRPr="00194D83">
        <w:rPr>
          <w:rFonts w:ascii="Times New Roman" w:hAnsi="Times New Roman" w:cs="Times New Roman"/>
          <w:b w:val="0"/>
          <w:sz w:val="24"/>
          <w:szCs w:val="24"/>
        </w:rPr>
        <w:t xml:space="preserve">Figura </w:t>
      </w:r>
      <w:r w:rsidRPr="00194D83">
        <w:rPr>
          <w:rFonts w:ascii="Times New Roman" w:hAnsi="Times New Roman" w:cs="Times New Roman"/>
          <w:b w:val="0"/>
          <w:sz w:val="24"/>
          <w:szCs w:val="24"/>
        </w:rPr>
        <w:fldChar w:fldCharType="begin"/>
      </w:r>
      <w:r w:rsidRPr="00194D83">
        <w:rPr>
          <w:rFonts w:ascii="Times New Roman" w:hAnsi="Times New Roman" w:cs="Times New Roman"/>
          <w:b w:val="0"/>
          <w:sz w:val="24"/>
          <w:szCs w:val="24"/>
        </w:rPr>
        <w:instrText xml:space="preserve"> SEQ Figura \* ARABIC </w:instrText>
      </w:r>
      <w:r w:rsidRPr="00194D83">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19</w:t>
      </w:r>
      <w:r w:rsidRPr="00194D83">
        <w:rPr>
          <w:rFonts w:ascii="Times New Roman" w:hAnsi="Times New Roman" w:cs="Times New Roman"/>
          <w:b w:val="0"/>
          <w:sz w:val="24"/>
          <w:szCs w:val="24"/>
        </w:rPr>
        <w:fldChar w:fldCharType="end"/>
      </w:r>
      <w:r w:rsidRPr="00194D83">
        <w:rPr>
          <w:rFonts w:ascii="Times New Roman" w:hAnsi="Times New Roman" w:cs="Times New Roman"/>
          <w:b w:val="0"/>
          <w:sz w:val="24"/>
          <w:szCs w:val="24"/>
        </w:rPr>
        <w:t xml:space="preserve">. Città del Vaticano, Biblioteca Apostolica Vaticana, Vat. Lat. 1565, f. 123v. Panormita, </w:t>
      </w:r>
      <w:r w:rsidRPr="00194D83">
        <w:rPr>
          <w:rFonts w:ascii="Times New Roman" w:hAnsi="Times New Roman" w:cs="Times New Roman"/>
          <w:b w:val="0"/>
          <w:i/>
          <w:sz w:val="24"/>
          <w:szCs w:val="24"/>
        </w:rPr>
        <w:t>Alphonsi regis triumphus</w:t>
      </w:r>
      <w:r w:rsidRPr="00194D83">
        <w:rPr>
          <w:rFonts w:ascii="Times New Roman" w:hAnsi="Times New Roman" w:cs="Times New Roman"/>
          <w:b w:val="0"/>
          <w:sz w:val="24"/>
          <w:szCs w:val="24"/>
        </w:rPr>
        <w:t>. Anonimo e non datato.</w:t>
      </w:r>
    </w:p>
    <w:p w14:paraId="14D3C77A" w14:textId="77777777" w:rsidR="00232E18" w:rsidRDefault="00232E18" w:rsidP="00232E18">
      <w:pPr>
        <w:keepNext/>
        <w:ind w:left="142"/>
      </w:pPr>
      <w:r>
        <w:rPr>
          <w:noProof/>
        </w:rPr>
        <w:drawing>
          <wp:inline distT="0" distB="0" distL="0" distR="0" wp14:anchorId="761BF647" wp14:editId="29C3FF00">
            <wp:extent cx="6062980" cy="7151370"/>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ig.20.jpg"/>
                    <pic:cNvPicPr/>
                  </pic:nvPicPr>
                  <pic:blipFill>
                    <a:blip r:embed="rId27">
                      <a:extLst>
                        <a:ext uri="{28A0092B-C50C-407E-A947-70E740481C1C}">
                          <a14:useLocalDpi xmlns:a14="http://schemas.microsoft.com/office/drawing/2010/main" val="0"/>
                        </a:ext>
                      </a:extLst>
                    </a:blip>
                    <a:stretch>
                      <a:fillRect/>
                    </a:stretch>
                  </pic:blipFill>
                  <pic:spPr>
                    <a:xfrm>
                      <a:off x="0" y="0"/>
                      <a:ext cx="6062980" cy="7151370"/>
                    </a:xfrm>
                    <a:prstGeom prst="rect">
                      <a:avLst/>
                    </a:prstGeom>
                  </pic:spPr>
                </pic:pic>
              </a:graphicData>
            </a:graphic>
          </wp:inline>
        </w:drawing>
      </w:r>
    </w:p>
    <w:p w14:paraId="1B9848BF" w14:textId="5E42C786" w:rsidR="00232E18" w:rsidRPr="00BA1E80" w:rsidRDefault="00232E18" w:rsidP="00232E18">
      <w:pPr>
        <w:pStyle w:val="Didascalia"/>
        <w:jc w:val="both"/>
        <w:rPr>
          <w:rFonts w:ascii="Times New Roman" w:hAnsi="Times New Roman" w:cs="Times New Roman"/>
          <w:b w:val="0"/>
          <w:sz w:val="24"/>
          <w:szCs w:val="24"/>
        </w:rPr>
      </w:pPr>
      <w:r w:rsidRPr="00BA1E80">
        <w:rPr>
          <w:rFonts w:ascii="Times New Roman" w:hAnsi="Times New Roman" w:cs="Times New Roman"/>
          <w:b w:val="0"/>
          <w:sz w:val="24"/>
          <w:szCs w:val="24"/>
        </w:rPr>
        <w:t xml:space="preserve">Figura </w:t>
      </w:r>
      <w:r w:rsidRPr="00BA1E80">
        <w:rPr>
          <w:rFonts w:ascii="Times New Roman" w:hAnsi="Times New Roman" w:cs="Times New Roman"/>
          <w:b w:val="0"/>
          <w:sz w:val="24"/>
          <w:szCs w:val="24"/>
        </w:rPr>
        <w:fldChar w:fldCharType="begin"/>
      </w:r>
      <w:r w:rsidRPr="00BA1E80">
        <w:rPr>
          <w:rFonts w:ascii="Times New Roman" w:hAnsi="Times New Roman" w:cs="Times New Roman"/>
          <w:b w:val="0"/>
          <w:sz w:val="24"/>
          <w:szCs w:val="24"/>
        </w:rPr>
        <w:instrText xml:space="preserve"> SEQ Figura \* ARABIC </w:instrText>
      </w:r>
      <w:r w:rsidRPr="00BA1E80">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20</w:t>
      </w:r>
      <w:r w:rsidRPr="00BA1E80">
        <w:rPr>
          <w:rFonts w:ascii="Times New Roman" w:hAnsi="Times New Roman" w:cs="Times New Roman"/>
          <w:b w:val="0"/>
          <w:sz w:val="24"/>
          <w:szCs w:val="24"/>
        </w:rPr>
        <w:fldChar w:fldCharType="end"/>
      </w:r>
      <w:r w:rsidRPr="00BA1E80">
        <w:rPr>
          <w:rFonts w:ascii="Times New Roman" w:hAnsi="Times New Roman" w:cs="Times New Roman"/>
          <w:b w:val="0"/>
          <w:sz w:val="24"/>
          <w:szCs w:val="24"/>
        </w:rPr>
        <w:t xml:space="preserve">. Napoli, Collezione privata. Maestro del Trionfo di Alfonso, </w:t>
      </w:r>
      <w:r w:rsidRPr="00BA1E80">
        <w:rPr>
          <w:rFonts w:ascii="Times New Roman" w:hAnsi="Times New Roman" w:cs="Times New Roman"/>
          <w:b w:val="0"/>
          <w:i/>
          <w:sz w:val="24"/>
          <w:szCs w:val="24"/>
        </w:rPr>
        <w:t>Il Trionfo di Alfonso il Magnanimo</w:t>
      </w:r>
      <w:r w:rsidRPr="00BA1E80">
        <w:rPr>
          <w:rFonts w:ascii="Times New Roman" w:hAnsi="Times New Roman" w:cs="Times New Roman"/>
          <w:b w:val="0"/>
          <w:sz w:val="24"/>
          <w:szCs w:val="24"/>
        </w:rPr>
        <w:t xml:space="preserve">, particolare. 1462-1465. </w:t>
      </w:r>
    </w:p>
    <w:p w14:paraId="3C2B8E6B" w14:textId="77777777" w:rsidR="00232E18" w:rsidRDefault="00232E18" w:rsidP="00232E18">
      <w:r>
        <w:br w:type="page"/>
      </w:r>
    </w:p>
    <w:p w14:paraId="6E038033" w14:textId="77777777" w:rsidR="00232E18" w:rsidRDefault="00232E18" w:rsidP="00232E18">
      <w:pPr>
        <w:keepNext/>
      </w:pPr>
      <w:r>
        <w:rPr>
          <w:noProof/>
        </w:rPr>
        <w:drawing>
          <wp:inline distT="0" distB="0" distL="0" distR="0" wp14:anchorId="5F1A6A8E" wp14:editId="1376B556">
            <wp:extent cx="6120130" cy="6048375"/>
            <wp:effectExtent l="0" t="0" r="0" b="9525"/>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g.21.jpg"/>
                    <pic:cNvPicPr/>
                  </pic:nvPicPr>
                  <pic:blipFill>
                    <a:blip r:embed="rId28">
                      <a:extLst>
                        <a:ext uri="{28A0092B-C50C-407E-A947-70E740481C1C}">
                          <a14:useLocalDpi xmlns:a14="http://schemas.microsoft.com/office/drawing/2010/main" val="0"/>
                        </a:ext>
                      </a:extLst>
                    </a:blip>
                    <a:stretch>
                      <a:fillRect/>
                    </a:stretch>
                  </pic:blipFill>
                  <pic:spPr>
                    <a:xfrm>
                      <a:off x="0" y="0"/>
                      <a:ext cx="6120130" cy="6048375"/>
                    </a:xfrm>
                    <a:prstGeom prst="rect">
                      <a:avLst/>
                    </a:prstGeom>
                  </pic:spPr>
                </pic:pic>
              </a:graphicData>
            </a:graphic>
          </wp:inline>
        </w:drawing>
      </w:r>
    </w:p>
    <w:p w14:paraId="175A22DC" w14:textId="00F60270" w:rsidR="00232E18" w:rsidRPr="003F2FD5" w:rsidRDefault="00232E18" w:rsidP="00232E18">
      <w:pPr>
        <w:pStyle w:val="Didascalia"/>
        <w:jc w:val="both"/>
        <w:rPr>
          <w:rFonts w:ascii="Times New Roman" w:hAnsi="Times New Roman" w:cs="Times New Roman"/>
          <w:b w:val="0"/>
          <w:sz w:val="24"/>
          <w:szCs w:val="24"/>
        </w:rPr>
      </w:pPr>
      <w:r w:rsidRPr="003F2FD5">
        <w:rPr>
          <w:rFonts w:ascii="Times New Roman" w:hAnsi="Times New Roman" w:cs="Times New Roman"/>
          <w:b w:val="0"/>
          <w:sz w:val="24"/>
          <w:szCs w:val="24"/>
        </w:rPr>
        <w:t xml:space="preserve">Figura </w:t>
      </w:r>
      <w:r w:rsidRPr="003F2FD5">
        <w:rPr>
          <w:rFonts w:ascii="Times New Roman" w:hAnsi="Times New Roman" w:cs="Times New Roman"/>
          <w:b w:val="0"/>
          <w:sz w:val="24"/>
          <w:szCs w:val="24"/>
        </w:rPr>
        <w:fldChar w:fldCharType="begin"/>
      </w:r>
      <w:r w:rsidRPr="003F2FD5">
        <w:rPr>
          <w:rFonts w:ascii="Times New Roman" w:hAnsi="Times New Roman" w:cs="Times New Roman"/>
          <w:b w:val="0"/>
          <w:sz w:val="24"/>
          <w:szCs w:val="24"/>
        </w:rPr>
        <w:instrText xml:space="preserve"> SEQ Figura \* ARABIC </w:instrText>
      </w:r>
      <w:r w:rsidRPr="003F2FD5">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21</w:t>
      </w:r>
      <w:r w:rsidRPr="003F2FD5">
        <w:rPr>
          <w:rFonts w:ascii="Times New Roman" w:hAnsi="Times New Roman" w:cs="Times New Roman"/>
          <w:b w:val="0"/>
          <w:sz w:val="24"/>
          <w:szCs w:val="24"/>
        </w:rPr>
        <w:fldChar w:fldCharType="end"/>
      </w:r>
      <w:r w:rsidRPr="003F2FD5">
        <w:rPr>
          <w:rFonts w:ascii="Times New Roman" w:hAnsi="Times New Roman" w:cs="Times New Roman"/>
          <w:b w:val="0"/>
          <w:sz w:val="24"/>
          <w:szCs w:val="24"/>
        </w:rPr>
        <w:t xml:space="preserve">. Parigi, Bibliothèque Nationale de France, ms. It. 1711, f. 58v. Maio, </w:t>
      </w:r>
      <w:r w:rsidRPr="003F2FD5">
        <w:rPr>
          <w:rFonts w:ascii="Times New Roman" w:hAnsi="Times New Roman" w:cs="Times New Roman"/>
          <w:b w:val="0"/>
          <w:i/>
          <w:sz w:val="24"/>
          <w:szCs w:val="24"/>
        </w:rPr>
        <w:t>De Maiestate</w:t>
      </w:r>
      <w:r w:rsidRPr="003F2FD5">
        <w:rPr>
          <w:rFonts w:ascii="Times New Roman" w:hAnsi="Times New Roman" w:cs="Times New Roman"/>
          <w:b w:val="0"/>
          <w:sz w:val="24"/>
          <w:szCs w:val="24"/>
        </w:rPr>
        <w:t xml:space="preserve">. Nardo Rapicano. 1493. </w:t>
      </w:r>
    </w:p>
    <w:p w14:paraId="77F80EFC" w14:textId="77777777" w:rsidR="00232E18" w:rsidRDefault="00232E18" w:rsidP="00232E18"/>
    <w:p w14:paraId="0263DB2D" w14:textId="77777777" w:rsidR="00232E18" w:rsidRDefault="00232E18" w:rsidP="00232E18">
      <w:r>
        <w:br w:type="page"/>
      </w:r>
    </w:p>
    <w:p w14:paraId="4BDC0A1D" w14:textId="77777777" w:rsidR="00232E18" w:rsidRDefault="00232E18" w:rsidP="00232E18">
      <w:pPr>
        <w:keepNext/>
      </w:pPr>
      <w:r>
        <w:rPr>
          <w:noProof/>
        </w:rPr>
        <w:drawing>
          <wp:inline distT="0" distB="0" distL="0" distR="0" wp14:anchorId="4C175F5C" wp14:editId="37B23253">
            <wp:extent cx="6120130" cy="8382000"/>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rece.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120130" cy="8382000"/>
                    </a:xfrm>
                    <a:prstGeom prst="rect">
                      <a:avLst/>
                    </a:prstGeom>
                  </pic:spPr>
                </pic:pic>
              </a:graphicData>
            </a:graphic>
          </wp:inline>
        </w:drawing>
      </w:r>
    </w:p>
    <w:p w14:paraId="537CE04A" w14:textId="34F5768B" w:rsidR="00232E18" w:rsidRPr="00597CA4" w:rsidRDefault="00232E18" w:rsidP="00232E18">
      <w:pPr>
        <w:pStyle w:val="Didascalia"/>
        <w:jc w:val="both"/>
        <w:rPr>
          <w:rFonts w:ascii="Times New Roman" w:hAnsi="Times New Roman" w:cs="Times New Roman"/>
          <w:b w:val="0"/>
          <w:sz w:val="24"/>
          <w:szCs w:val="24"/>
        </w:rPr>
      </w:pPr>
      <w:r w:rsidRPr="00597CA4">
        <w:rPr>
          <w:rFonts w:ascii="Times New Roman" w:hAnsi="Times New Roman" w:cs="Times New Roman"/>
          <w:b w:val="0"/>
          <w:sz w:val="24"/>
          <w:szCs w:val="24"/>
        </w:rPr>
        <w:t xml:space="preserve">Figura </w:t>
      </w:r>
      <w:r w:rsidRPr="00597CA4">
        <w:rPr>
          <w:rFonts w:ascii="Times New Roman" w:hAnsi="Times New Roman" w:cs="Times New Roman"/>
          <w:b w:val="0"/>
          <w:sz w:val="24"/>
          <w:szCs w:val="24"/>
        </w:rPr>
        <w:fldChar w:fldCharType="begin"/>
      </w:r>
      <w:r w:rsidRPr="00597CA4">
        <w:rPr>
          <w:rFonts w:ascii="Times New Roman" w:hAnsi="Times New Roman" w:cs="Times New Roman"/>
          <w:b w:val="0"/>
          <w:sz w:val="24"/>
          <w:szCs w:val="24"/>
        </w:rPr>
        <w:instrText xml:space="preserve"> SEQ Figura \* ARABIC </w:instrText>
      </w:r>
      <w:r w:rsidRPr="00597CA4">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22</w:t>
      </w:r>
      <w:r w:rsidRPr="00597CA4">
        <w:rPr>
          <w:rFonts w:ascii="Times New Roman" w:hAnsi="Times New Roman" w:cs="Times New Roman"/>
          <w:b w:val="0"/>
          <w:sz w:val="24"/>
          <w:szCs w:val="24"/>
        </w:rPr>
        <w:fldChar w:fldCharType="end"/>
      </w:r>
      <w:r w:rsidRPr="00597CA4">
        <w:rPr>
          <w:rFonts w:ascii="Times New Roman" w:hAnsi="Times New Roman" w:cs="Times New Roman"/>
          <w:b w:val="0"/>
          <w:sz w:val="24"/>
          <w:szCs w:val="24"/>
        </w:rPr>
        <w:t xml:space="preserve">. Napoli, Biblioteca Nazionale, I.B.57, f. 11r. Breviario di Ferrante d’Aragona. Nardo Rapicano. Circa 1480. </w:t>
      </w:r>
    </w:p>
    <w:p w14:paraId="78B55AFC" w14:textId="77777777" w:rsidR="00232E18" w:rsidRDefault="00232E18" w:rsidP="00232E18">
      <w:pPr>
        <w:keepNext/>
        <w:ind w:left="1134"/>
      </w:pPr>
      <w:r>
        <w:rPr>
          <w:i/>
          <w:noProof/>
          <w:sz w:val="24"/>
          <w:szCs w:val="24"/>
        </w:rPr>
        <w:drawing>
          <wp:inline distT="0" distB="0" distL="0" distR="0" wp14:anchorId="4A417531" wp14:editId="4C39A6E0">
            <wp:extent cx="4733925" cy="6991350"/>
            <wp:effectExtent l="0" t="0" r="9525"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fig.23.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734244" cy="6991821"/>
                    </a:xfrm>
                    <a:prstGeom prst="rect">
                      <a:avLst/>
                    </a:prstGeom>
                  </pic:spPr>
                </pic:pic>
              </a:graphicData>
            </a:graphic>
          </wp:inline>
        </w:drawing>
      </w:r>
    </w:p>
    <w:p w14:paraId="60706929" w14:textId="27610A6D" w:rsidR="00232E18" w:rsidRPr="00597CA4" w:rsidRDefault="00232E18" w:rsidP="00232E18">
      <w:pPr>
        <w:pStyle w:val="Didascalia"/>
        <w:jc w:val="both"/>
        <w:rPr>
          <w:rFonts w:ascii="Times New Roman" w:hAnsi="Times New Roman" w:cs="Times New Roman"/>
          <w:b w:val="0"/>
          <w:sz w:val="24"/>
          <w:szCs w:val="24"/>
        </w:rPr>
      </w:pPr>
      <w:r w:rsidRPr="00597CA4">
        <w:rPr>
          <w:rFonts w:ascii="Times New Roman" w:hAnsi="Times New Roman" w:cs="Times New Roman"/>
          <w:b w:val="0"/>
          <w:sz w:val="24"/>
          <w:szCs w:val="24"/>
        </w:rPr>
        <w:t xml:space="preserve">Figura </w:t>
      </w:r>
      <w:r w:rsidRPr="00597CA4">
        <w:rPr>
          <w:rFonts w:ascii="Times New Roman" w:hAnsi="Times New Roman" w:cs="Times New Roman"/>
          <w:b w:val="0"/>
          <w:sz w:val="24"/>
          <w:szCs w:val="24"/>
        </w:rPr>
        <w:fldChar w:fldCharType="begin"/>
      </w:r>
      <w:r w:rsidRPr="00597CA4">
        <w:rPr>
          <w:rFonts w:ascii="Times New Roman" w:hAnsi="Times New Roman" w:cs="Times New Roman"/>
          <w:b w:val="0"/>
          <w:sz w:val="24"/>
          <w:szCs w:val="24"/>
        </w:rPr>
        <w:instrText xml:space="preserve"> SEQ Figura \* ARABIC </w:instrText>
      </w:r>
      <w:r w:rsidRPr="00597CA4">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23</w:t>
      </w:r>
      <w:r w:rsidRPr="00597CA4">
        <w:rPr>
          <w:rFonts w:ascii="Times New Roman" w:hAnsi="Times New Roman" w:cs="Times New Roman"/>
          <w:b w:val="0"/>
          <w:sz w:val="24"/>
          <w:szCs w:val="24"/>
        </w:rPr>
        <w:fldChar w:fldCharType="end"/>
      </w:r>
      <w:r w:rsidRPr="00597CA4">
        <w:rPr>
          <w:rFonts w:ascii="Times New Roman" w:hAnsi="Times New Roman" w:cs="Times New Roman"/>
          <w:b w:val="0"/>
          <w:sz w:val="24"/>
          <w:szCs w:val="24"/>
        </w:rPr>
        <w:t xml:space="preserve">. Venezia, Biblioteca Marciana, Cod. Marc. Lat. XI, 53, f. 2r. Verduno, </w:t>
      </w:r>
      <w:r w:rsidRPr="00913C88">
        <w:rPr>
          <w:rFonts w:ascii="Times New Roman" w:hAnsi="Times New Roman" w:cs="Times New Roman"/>
          <w:b w:val="0"/>
          <w:i/>
          <w:sz w:val="24"/>
          <w:szCs w:val="24"/>
        </w:rPr>
        <w:t>Oratio pro rege Ferdinando</w:t>
      </w:r>
      <w:r w:rsidRPr="00597CA4">
        <w:rPr>
          <w:rFonts w:ascii="Times New Roman" w:hAnsi="Times New Roman" w:cs="Times New Roman"/>
          <w:b w:val="0"/>
          <w:sz w:val="24"/>
          <w:szCs w:val="24"/>
        </w:rPr>
        <w:t xml:space="preserve">. Bottega di Nardo Rapicano. Post 1474. </w:t>
      </w:r>
    </w:p>
    <w:p w14:paraId="537F2E39" w14:textId="77777777" w:rsidR="00232E18" w:rsidRDefault="00232E18" w:rsidP="00232E18">
      <w:pPr>
        <w:ind w:left="1134"/>
        <w:rPr>
          <w:i/>
          <w:sz w:val="24"/>
          <w:szCs w:val="24"/>
        </w:rPr>
      </w:pPr>
    </w:p>
    <w:p w14:paraId="511D22DD" w14:textId="77777777" w:rsidR="00232E18" w:rsidRDefault="00232E18" w:rsidP="00232E18">
      <w:pPr>
        <w:ind w:left="1134"/>
        <w:rPr>
          <w:i/>
          <w:sz w:val="24"/>
          <w:szCs w:val="24"/>
        </w:rPr>
      </w:pPr>
    </w:p>
    <w:p w14:paraId="65CF502D" w14:textId="77777777" w:rsidR="00232E18" w:rsidRDefault="00232E18" w:rsidP="00232E18">
      <w:pPr>
        <w:ind w:left="1134"/>
        <w:rPr>
          <w:i/>
          <w:sz w:val="24"/>
          <w:szCs w:val="24"/>
        </w:rPr>
      </w:pPr>
    </w:p>
    <w:p w14:paraId="5D43AAA8" w14:textId="77777777" w:rsidR="00232E18" w:rsidRDefault="00232E18" w:rsidP="00232E18">
      <w:pPr>
        <w:ind w:left="1134"/>
        <w:rPr>
          <w:i/>
          <w:sz w:val="24"/>
          <w:szCs w:val="24"/>
        </w:rPr>
      </w:pPr>
    </w:p>
    <w:p w14:paraId="07F6E6D8" w14:textId="77777777" w:rsidR="00232E18" w:rsidRDefault="00232E18" w:rsidP="00232E18">
      <w:pPr>
        <w:keepNext/>
        <w:ind w:left="142"/>
      </w:pPr>
      <w:r>
        <w:rPr>
          <w:noProof/>
        </w:rPr>
        <w:drawing>
          <wp:inline distT="0" distB="0" distL="0" distR="0" wp14:anchorId="5AC3C38E" wp14:editId="2331F2CF">
            <wp:extent cx="5883910" cy="3654252"/>
            <wp:effectExtent l="0" t="0" r="2540" b="381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ig.24.jpg"/>
                    <pic:cNvPicPr/>
                  </pic:nvPicPr>
                  <pic:blipFill>
                    <a:blip r:embed="rId31">
                      <a:extLst>
                        <a:ext uri="{28A0092B-C50C-407E-A947-70E740481C1C}">
                          <a14:useLocalDpi xmlns:a14="http://schemas.microsoft.com/office/drawing/2010/main" val="0"/>
                        </a:ext>
                      </a:extLst>
                    </a:blip>
                    <a:stretch>
                      <a:fillRect/>
                    </a:stretch>
                  </pic:blipFill>
                  <pic:spPr>
                    <a:xfrm>
                      <a:off x="0" y="0"/>
                      <a:ext cx="5896722" cy="3662209"/>
                    </a:xfrm>
                    <a:prstGeom prst="rect">
                      <a:avLst/>
                    </a:prstGeom>
                  </pic:spPr>
                </pic:pic>
              </a:graphicData>
            </a:graphic>
          </wp:inline>
        </w:drawing>
      </w:r>
    </w:p>
    <w:p w14:paraId="2602B0F5" w14:textId="7473D44C" w:rsidR="00232E18" w:rsidRDefault="00232E18" w:rsidP="00232E18">
      <w:pPr>
        <w:pStyle w:val="Didascalia"/>
        <w:jc w:val="both"/>
        <w:rPr>
          <w:rFonts w:ascii="Times New Roman" w:hAnsi="Times New Roman" w:cs="Times New Roman"/>
          <w:b w:val="0"/>
          <w:sz w:val="24"/>
          <w:szCs w:val="24"/>
        </w:rPr>
      </w:pPr>
      <w:r w:rsidRPr="00E056C4">
        <w:rPr>
          <w:rFonts w:ascii="Times New Roman" w:hAnsi="Times New Roman" w:cs="Times New Roman"/>
          <w:b w:val="0"/>
          <w:sz w:val="24"/>
          <w:szCs w:val="24"/>
        </w:rPr>
        <w:t xml:space="preserve">Figura </w:t>
      </w:r>
      <w:r w:rsidRPr="00E056C4">
        <w:rPr>
          <w:rFonts w:ascii="Times New Roman" w:hAnsi="Times New Roman" w:cs="Times New Roman"/>
          <w:b w:val="0"/>
          <w:sz w:val="24"/>
          <w:szCs w:val="24"/>
        </w:rPr>
        <w:fldChar w:fldCharType="begin"/>
      </w:r>
      <w:r w:rsidRPr="00E056C4">
        <w:rPr>
          <w:rFonts w:ascii="Times New Roman" w:hAnsi="Times New Roman" w:cs="Times New Roman"/>
          <w:b w:val="0"/>
          <w:sz w:val="24"/>
          <w:szCs w:val="24"/>
        </w:rPr>
        <w:instrText xml:space="preserve"> SEQ Figura \* ARABIC </w:instrText>
      </w:r>
      <w:r w:rsidRPr="00E056C4">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24</w:t>
      </w:r>
      <w:r w:rsidRPr="00E056C4">
        <w:rPr>
          <w:rFonts w:ascii="Times New Roman" w:hAnsi="Times New Roman" w:cs="Times New Roman"/>
          <w:b w:val="0"/>
          <w:sz w:val="24"/>
          <w:szCs w:val="24"/>
        </w:rPr>
        <w:fldChar w:fldCharType="end"/>
      </w:r>
      <w:r w:rsidRPr="00E056C4">
        <w:rPr>
          <w:rFonts w:ascii="Times New Roman" w:hAnsi="Times New Roman" w:cs="Times New Roman"/>
          <w:b w:val="0"/>
          <w:sz w:val="24"/>
          <w:szCs w:val="24"/>
        </w:rPr>
        <w:t xml:space="preserve">. Parigi, Bibliothèque Nationale de France, ms. Lat. 4586, f. 1r. Mangiaria, </w:t>
      </w:r>
      <w:r w:rsidRPr="00E056C4">
        <w:rPr>
          <w:rFonts w:ascii="Times New Roman" w:hAnsi="Times New Roman" w:cs="Times New Roman"/>
          <w:b w:val="0"/>
          <w:i/>
          <w:sz w:val="24"/>
          <w:szCs w:val="24"/>
        </w:rPr>
        <w:t>De impedimentis matrimonii</w:t>
      </w:r>
      <w:r w:rsidRPr="00E056C4">
        <w:rPr>
          <w:rFonts w:ascii="Times New Roman" w:hAnsi="Times New Roman" w:cs="Times New Roman"/>
          <w:b w:val="0"/>
          <w:sz w:val="24"/>
          <w:szCs w:val="24"/>
        </w:rPr>
        <w:t xml:space="preserve">. Maestro delle Ore Birago. Non datato ma ante 1488. </w:t>
      </w:r>
    </w:p>
    <w:p w14:paraId="504B5B3A" w14:textId="77777777" w:rsidR="00232E18" w:rsidRDefault="00232E18" w:rsidP="00232E18"/>
    <w:p w14:paraId="75F7B10F" w14:textId="77777777" w:rsidR="00232E18" w:rsidRPr="00A145D2" w:rsidRDefault="00232E18" w:rsidP="00232E18"/>
    <w:p w14:paraId="3A50895B" w14:textId="77777777" w:rsidR="00232E18" w:rsidRDefault="00232E18" w:rsidP="00232E18">
      <w:pPr>
        <w:pStyle w:val="Didascalia"/>
        <w:jc w:val="both"/>
        <w:rPr>
          <w:rFonts w:ascii="Times New Roman" w:hAnsi="Times New Roman" w:cs="Times New Roman"/>
          <w:sz w:val="24"/>
          <w:szCs w:val="24"/>
        </w:rPr>
      </w:pPr>
      <w:r>
        <w:rPr>
          <w:iCs/>
          <w:noProof/>
          <w:color w:val="44546A" w:themeColor="text2"/>
          <w:sz w:val="24"/>
          <w:szCs w:val="24"/>
        </w:rPr>
        <w:drawing>
          <wp:inline distT="0" distB="0" distL="0" distR="0" wp14:anchorId="4E3CA8F8" wp14:editId="082B0DA9">
            <wp:extent cx="5888355" cy="3673503"/>
            <wp:effectExtent l="0" t="0" r="0" b="3175"/>
            <wp:docPr id="57" name="Immagin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fig.25.jpg"/>
                    <pic:cNvPicPr/>
                  </pic:nvPicPr>
                  <pic:blipFill>
                    <a:blip r:embed="rId32">
                      <a:extLst>
                        <a:ext uri="{28A0092B-C50C-407E-A947-70E740481C1C}">
                          <a14:useLocalDpi xmlns:a14="http://schemas.microsoft.com/office/drawing/2010/main" val="0"/>
                        </a:ext>
                      </a:extLst>
                    </a:blip>
                    <a:stretch>
                      <a:fillRect/>
                    </a:stretch>
                  </pic:blipFill>
                  <pic:spPr>
                    <a:xfrm>
                      <a:off x="0" y="0"/>
                      <a:ext cx="5916193" cy="3690870"/>
                    </a:xfrm>
                    <a:prstGeom prst="rect">
                      <a:avLst/>
                    </a:prstGeom>
                  </pic:spPr>
                </pic:pic>
              </a:graphicData>
            </a:graphic>
          </wp:inline>
        </w:drawing>
      </w:r>
    </w:p>
    <w:p w14:paraId="3EB23A1B" w14:textId="272D8F52" w:rsidR="00232E18" w:rsidRPr="00A145D2" w:rsidRDefault="00232E18" w:rsidP="00232E18">
      <w:pPr>
        <w:pStyle w:val="Didascalia"/>
        <w:jc w:val="both"/>
        <w:rPr>
          <w:rFonts w:ascii="Times New Roman" w:hAnsi="Times New Roman" w:cs="Times New Roman"/>
          <w:b w:val="0"/>
          <w:sz w:val="24"/>
          <w:szCs w:val="24"/>
        </w:rPr>
      </w:pPr>
      <w:r w:rsidRPr="00A145D2">
        <w:rPr>
          <w:rFonts w:ascii="Times New Roman" w:hAnsi="Times New Roman" w:cs="Times New Roman"/>
          <w:b w:val="0"/>
          <w:sz w:val="24"/>
          <w:szCs w:val="24"/>
        </w:rPr>
        <w:t xml:space="preserve">Figura </w:t>
      </w:r>
      <w:r w:rsidRPr="00A145D2">
        <w:rPr>
          <w:rFonts w:ascii="Times New Roman" w:hAnsi="Times New Roman" w:cs="Times New Roman"/>
          <w:b w:val="0"/>
          <w:sz w:val="24"/>
          <w:szCs w:val="24"/>
        </w:rPr>
        <w:fldChar w:fldCharType="begin"/>
      </w:r>
      <w:r w:rsidRPr="00A145D2">
        <w:rPr>
          <w:rFonts w:ascii="Times New Roman" w:hAnsi="Times New Roman" w:cs="Times New Roman"/>
          <w:b w:val="0"/>
          <w:sz w:val="24"/>
          <w:szCs w:val="24"/>
        </w:rPr>
        <w:instrText xml:space="preserve"> SEQ Figura \* ARABIC </w:instrText>
      </w:r>
      <w:r w:rsidRPr="00A145D2">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25</w:t>
      </w:r>
      <w:r w:rsidRPr="00A145D2">
        <w:rPr>
          <w:rFonts w:ascii="Times New Roman" w:hAnsi="Times New Roman" w:cs="Times New Roman"/>
          <w:b w:val="0"/>
          <w:sz w:val="24"/>
          <w:szCs w:val="24"/>
        </w:rPr>
        <w:fldChar w:fldCharType="end"/>
      </w:r>
      <w:r w:rsidRPr="00A145D2">
        <w:rPr>
          <w:rFonts w:ascii="Times New Roman" w:hAnsi="Times New Roman" w:cs="Times New Roman"/>
          <w:b w:val="0"/>
          <w:sz w:val="24"/>
          <w:szCs w:val="24"/>
        </w:rPr>
        <w:t xml:space="preserve">. Modena, Biblioteca Estense Universitaria, It. 353, f. 3r. Bontempi, </w:t>
      </w:r>
      <w:r w:rsidRPr="00A145D2">
        <w:rPr>
          <w:rFonts w:ascii="Times New Roman" w:hAnsi="Times New Roman" w:cs="Times New Roman"/>
          <w:b w:val="0"/>
          <w:i/>
          <w:sz w:val="24"/>
          <w:szCs w:val="24"/>
        </w:rPr>
        <w:t>Libro del Salvatore</w:t>
      </w:r>
      <w:r w:rsidRPr="00A145D2">
        <w:rPr>
          <w:rFonts w:ascii="Times New Roman" w:hAnsi="Times New Roman" w:cs="Times New Roman"/>
          <w:b w:val="0"/>
          <w:sz w:val="24"/>
          <w:szCs w:val="24"/>
        </w:rPr>
        <w:t>. Guglielmo Giraldi. Circa 1470.</w:t>
      </w:r>
    </w:p>
    <w:p w14:paraId="566BF3AD" w14:textId="77777777" w:rsidR="00232E18" w:rsidRPr="00A145D2" w:rsidRDefault="00232E18" w:rsidP="00232E18">
      <w:pPr>
        <w:rPr>
          <w:rFonts w:ascii="Times New Roman" w:hAnsi="Times New Roman" w:cs="Times New Roman"/>
          <w:i/>
          <w:sz w:val="24"/>
          <w:szCs w:val="24"/>
        </w:rPr>
      </w:pPr>
    </w:p>
    <w:p w14:paraId="067013D6" w14:textId="77777777" w:rsidR="00232E18" w:rsidRDefault="00232E18" w:rsidP="00232E18">
      <w:pPr>
        <w:rPr>
          <w:rFonts w:ascii="Times New Roman" w:hAnsi="Times New Roman" w:cs="Times New Roman"/>
          <w:iCs/>
          <w:color w:val="44546A" w:themeColor="text2"/>
          <w:sz w:val="24"/>
          <w:szCs w:val="24"/>
        </w:rPr>
      </w:pPr>
    </w:p>
    <w:p w14:paraId="14B5A002" w14:textId="77777777" w:rsidR="00232E18" w:rsidRDefault="00232E18" w:rsidP="00232E18">
      <w:pPr>
        <w:pStyle w:val="Didascalia"/>
        <w:keepNext/>
      </w:pPr>
      <w:r>
        <w:rPr>
          <w:rFonts w:ascii="Times New Roman" w:hAnsi="Times New Roman" w:cs="Times New Roman"/>
          <w:i/>
          <w:noProof/>
          <w:sz w:val="24"/>
          <w:szCs w:val="24"/>
        </w:rPr>
        <w:drawing>
          <wp:inline distT="0" distB="0" distL="0" distR="0" wp14:anchorId="76B7BE85" wp14:editId="0214E204">
            <wp:extent cx="6120130" cy="5172075"/>
            <wp:effectExtent l="0" t="0" r="0" b="9525"/>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g.26.jpg"/>
                    <pic:cNvPicPr/>
                  </pic:nvPicPr>
                  <pic:blipFill>
                    <a:blip r:embed="rId33">
                      <a:extLst>
                        <a:ext uri="{28A0092B-C50C-407E-A947-70E740481C1C}">
                          <a14:useLocalDpi xmlns:a14="http://schemas.microsoft.com/office/drawing/2010/main" val="0"/>
                        </a:ext>
                      </a:extLst>
                    </a:blip>
                    <a:stretch>
                      <a:fillRect/>
                    </a:stretch>
                  </pic:blipFill>
                  <pic:spPr>
                    <a:xfrm>
                      <a:off x="0" y="0"/>
                      <a:ext cx="6120130" cy="5172075"/>
                    </a:xfrm>
                    <a:prstGeom prst="rect">
                      <a:avLst/>
                    </a:prstGeom>
                  </pic:spPr>
                </pic:pic>
              </a:graphicData>
            </a:graphic>
          </wp:inline>
        </w:drawing>
      </w:r>
    </w:p>
    <w:p w14:paraId="16C82719" w14:textId="6C0CA2D8" w:rsidR="00232E18" w:rsidRPr="00A96D1B" w:rsidRDefault="00232E18" w:rsidP="00232E18">
      <w:pPr>
        <w:pStyle w:val="Didascalia"/>
        <w:jc w:val="both"/>
        <w:rPr>
          <w:rFonts w:ascii="Times New Roman" w:hAnsi="Times New Roman" w:cs="Times New Roman"/>
          <w:b w:val="0"/>
          <w:sz w:val="24"/>
          <w:szCs w:val="24"/>
        </w:rPr>
      </w:pPr>
      <w:r w:rsidRPr="00A96D1B">
        <w:rPr>
          <w:rFonts w:ascii="Times New Roman" w:hAnsi="Times New Roman" w:cs="Times New Roman"/>
          <w:b w:val="0"/>
          <w:sz w:val="24"/>
          <w:szCs w:val="24"/>
        </w:rPr>
        <w:t xml:space="preserve">Figura </w:t>
      </w:r>
      <w:r w:rsidRPr="00A96D1B">
        <w:rPr>
          <w:rFonts w:ascii="Times New Roman" w:hAnsi="Times New Roman" w:cs="Times New Roman"/>
          <w:b w:val="0"/>
          <w:sz w:val="24"/>
          <w:szCs w:val="24"/>
        </w:rPr>
        <w:fldChar w:fldCharType="begin"/>
      </w:r>
      <w:r w:rsidRPr="00A96D1B">
        <w:rPr>
          <w:rFonts w:ascii="Times New Roman" w:hAnsi="Times New Roman" w:cs="Times New Roman"/>
          <w:b w:val="0"/>
          <w:sz w:val="24"/>
          <w:szCs w:val="24"/>
        </w:rPr>
        <w:instrText xml:space="preserve"> SEQ Figura \* ARABIC </w:instrText>
      </w:r>
      <w:r w:rsidRPr="00A96D1B">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26</w:t>
      </w:r>
      <w:r w:rsidRPr="00A96D1B">
        <w:rPr>
          <w:rFonts w:ascii="Times New Roman" w:hAnsi="Times New Roman" w:cs="Times New Roman"/>
          <w:b w:val="0"/>
          <w:sz w:val="24"/>
          <w:szCs w:val="24"/>
        </w:rPr>
        <w:fldChar w:fldCharType="end"/>
      </w:r>
      <w:r w:rsidRPr="00A96D1B">
        <w:rPr>
          <w:rFonts w:ascii="Times New Roman" w:hAnsi="Times New Roman" w:cs="Times New Roman"/>
          <w:b w:val="0"/>
          <w:sz w:val="24"/>
          <w:szCs w:val="24"/>
        </w:rPr>
        <w:t xml:space="preserve">. Bruxelles, Bibliothèque Royale de Belgique, ms. 9242, f. 1r. Wauquelin, </w:t>
      </w:r>
      <w:r w:rsidRPr="00A96D1B">
        <w:rPr>
          <w:rFonts w:ascii="Times New Roman" w:hAnsi="Times New Roman" w:cs="Times New Roman"/>
          <w:b w:val="0"/>
          <w:i/>
          <w:sz w:val="24"/>
          <w:szCs w:val="24"/>
        </w:rPr>
        <w:t>Chroniques de Hainaut</w:t>
      </w:r>
      <w:r w:rsidRPr="00A96D1B">
        <w:rPr>
          <w:rFonts w:ascii="Times New Roman" w:hAnsi="Times New Roman" w:cs="Times New Roman"/>
          <w:b w:val="0"/>
          <w:sz w:val="24"/>
          <w:szCs w:val="24"/>
        </w:rPr>
        <w:t xml:space="preserve">. Dreux Jehan. 1447-1448. </w:t>
      </w:r>
    </w:p>
    <w:p w14:paraId="1790B0AB" w14:textId="77777777" w:rsidR="00232E18" w:rsidRDefault="00232E18" w:rsidP="00232E18">
      <w:r>
        <w:br w:type="page"/>
      </w:r>
    </w:p>
    <w:p w14:paraId="24D647A5" w14:textId="77777777" w:rsidR="00232E18" w:rsidRDefault="00232E18" w:rsidP="00232E18"/>
    <w:p w14:paraId="4B874F45" w14:textId="77777777" w:rsidR="00232E18" w:rsidRDefault="00232E18" w:rsidP="00232E18">
      <w:pPr>
        <w:keepNext/>
        <w:ind w:left="709" w:hanging="142"/>
      </w:pPr>
      <w:r>
        <w:rPr>
          <w:noProof/>
        </w:rPr>
        <w:drawing>
          <wp:inline distT="0" distB="0" distL="0" distR="0" wp14:anchorId="762F63EE" wp14:editId="13198F50">
            <wp:extent cx="5238750" cy="5990512"/>
            <wp:effectExtent l="0" t="0" r="0" b="0"/>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ig.27.jpg"/>
                    <pic:cNvPicPr/>
                  </pic:nvPicPr>
                  <pic:blipFill>
                    <a:blip r:embed="rId34">
                      <a:extLst>
                        <a:ext uri="{28A0092B-C50C-407E-A947-70E740481C1C}">
                          <a14:useLocalDpi xmlns:a14="http://schemas.microsoft.com/office/drawing/2010/main" val="0"/>
                        </a:ext>
                      </a:extLst>
                    </a:blip>
                    <a:stretch>
                      <a:fillRect/>
                    </a:stretch>
                  </pic:blipFill>
                  <pic:spPr>
                    <a:xfrm>
                      <a:off x="0" y="0"/>
                      <a:ext cx="5289337" cy="6048358"/>
                    </a:xfrm>
                    <a:prstGeom prst="rect">
                      <a:avLst/>
                    </a:prstGeom>
                  </pic:spPr>
                </pic:pic>
              </a:graphicData>
            </a:graphic>
          </wp:inline>
        </w:drawing>
      </w:r>
    </w:p>
    <w:p w14:paraId="20F8EB1A" w14:textId="4B740363" w:rsidR="00232E18" w:rsidRPr="00F83177" w:rsidRDefault="00232E18" w:rsidP="00232E18">
      <w:pPr>
        <w:pStyle w:val="Didascalia"/>
        <w:jc w:val="both"/>
        <w:rPr>
          <w:rFonts w:ascii="Times New Roman" w:hAnsi="Times New Roman" w:cs="Times New Roman"/>
          <w:b w:val="0"/>
          <w:sz w:val="24"/>
          <w:szCs w:val="24"/>
        </w:rPr>
      </w:pPr>
      <w:r w:rsidRPr="00F83177">
        <w:rPr>
          <w:rFonts w:ascii="Times New Roman" w:hAnsi="Times New Roman" w:cs="Times New Roman"/>
          <w:b w:val="0"/>
          <w:sz w:val="24"/>
          <w:szCs w:val="24"/>
        </w:rPr>
        <w:t xml:space="preserve">Figura </w:t>
      </w:r>
      <w:r w:rsidRPr="00F83177">
        <w:rPr>
          <w:rFonts w:ascii="Times New Roman" w:hAnsi="Times New Roman" w:cs="Times New Roman"/>
          <w:b w:val="0"/>
          <w:sz w:val="24"/>
          <w:szCs w:val="24"/>
        </w:rPr>
        <w:fldChar w:fldCharType="begin"/>
      </w:r>
      <w:r w:rsidRPr="00F83177">
        <w:rPr>
          <w:rFonts w:ascii="Times New Roman" w:hAnsi="Times New Roman" w:cs="Times New Roman"/>
          <w:b w:val="0"/>
          <w:sz w:val="24"/>
          <w:szCs w:val="24"/>
        </w:rPr>
        <w:instrText xml:space="preserve"> SEQ Figura \* ARABIC </w:instrText>
      </w:r>
      <w:r w:rsidRPr="00F83177">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27</w:t>
      </w:r>
      <w:r w:rsidRPr="00F83177">
        <w:rPr>
          <w:rFonts w:ascii="Times New Roman" w:hAnsi="Times New Roman" w:cs="Times New Roman"/>
          <w:b w:val="0"/>
          <w:sz w:val="24"/>
          <w:szCs w:val="24"/>
        </w:rPr>
        <w:fldChar w:fldCharType="end"/>
      </w:r>
      <w:r w:rsidRPr="00F83177">
        <w:rPr>
          <w:rFonts w:ascii="Times New Roman" w:hAnsi="Times New Roman" w:cs="Times New Roman"/>
          <w:b w:val="0"/>
          <w:sz w:val="24"/>
          <w:szCs w:val="24"/>
        </w:rPr>
        <w:t xml:space="preserve">. Vienna, Österreichisce National Bibliothek, ms. 2549, f. 6r. Wauquelin, </w:t>
      </w:r>
      <w:r w:rsidRPr="00F83177">
        <w:rPr>
          <w:rFonts w:ascii="Times New Roman" w:hAnsi="Times New Roman" w:cs="Times New Roman"/>
          <w:b w:val="0"/>
          <w:i/>
          <w:sz w:val="24"/>
          <w:szCs w:val="24"/>
        </w:rPr>
        <w:t>Girart de Rossillon</w:t>
      </w:r>
      <w:r w:rsidRPr="00F83177">
        <w:rPr>
          <w:rFonts w:ascii="Times New Roman" w:hAnsi="Times New Roman" w:cs="Times New Roman"/>
          <w:b w:val="0"/>
          <w:sz w:val="24"/>
          <w:szCs w:val="24"/>
        </w:rPr>
        <w:t>. Dreux Jehan. 1447-1448.</w:t>
      </w:r>
    </w:p>
    <w:p w14:paraId="0860008B" w14:textId="77777777" w:rsidR="00232E18" w:rsidRDefault="00232E18" w:rsidP="00232E18"/>
    <w:p w14:paraId="66017B88" w14:textId="77777777" w:rsidR="00232E18" w:rsidRDefault="00232E18" w:rsidP="00232E18">
      <w:r>
        <w:br w:type="page"/>
      </w:r>
    </w:p>
    <w:p w14:paraId="61ED0298" w14:textId="77777777" w:rsidR="00232E18" w:rsidRDefault="00232E18" w:rsidP="00232E18">
      <w:pPr>
        <w:keepNext/>
        <w:ind w:left="142"/>
      </w:pPr>
      <w:r>
        <w:rPr>
          <w:noProof/>
        </w:rPr>
        <w:drawing>
          <wp:inline distT="0" distB="0" distL="0" distR="0" wp14:anchorId="569B9F31" wp14:editId="2B36FE4F">
            <wp:extent cx="6120130" cy="8105775"/>
            <wp:effectExtent l="0" t="0" r="0" b="9525"/>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ig.28.jpg"/>
                    <pic:cNvPicPr/>
                  </pic:nvPicPr>
                  <pic:blipFill>
                    <a:blip r:embed="rId35">
                      <a:extLst>
                        <a:ext uri="{28A0092B-C50C-407E-A947-70E740481C1C}">
                          <a14:useLocalDpi xmlns:a14="http://schemas.microsoft.com/office/drawing/2010/main" val="0"/>
                        </a:ext>
                      </a:extLst>
                    </a:blip>
                    <a:stretch>
                      <a:fillRect/>
                    </a:stretch>
                  </pic:blipFill>
                  <pic:spPr>
                    <a:xfrm>
                      <a:off x="0" y="0"/>
                      <a:ext cx="6120130" cy="8105775"/>
                    </a:xfrm>
                    <a:prstGeom prst="rect">
                      <a:avLst/>
                    </a:prstGeom>
                  </pic:spPr>
                </pic:pic>
              </a:graphicData>
            </a:graphic>
          </wp:inline>
        </w:drawing>
      </w:r>
    </w:p>
    <w:p w14:paraId="5C897A87" w14:textId="4FF3FFD1" w:rsidR="00232E18" w:rsidRPr="00F83177" w:rsidRDefault="00232E18" w:rsidP="00232E18">
      <w:pPr>
        <w:pStyle w:val="Didascalia"/>
        <w:jc w:val="both"/>
        <w:rPr>
          <w:rFonts w:ascii="Times New Roman" w:hAnsi="Times New Roman" w:cs="Times New Roman"/>
          <w:b w:val="0"/>
          <w:sz w:val="24"/>
          <w:szCs w:val="24"/>
        </w:rPr>
      </w:pPr>
      <w:r w:rsidRPr="00F83177">
        <w:rPr>
          <w:rFonts w:ascii="Times New Roman" w:hAnsi="Times New Roman" w:cs="Times New Roman"/>
          <w:b w:val="0"/>
          <w:sz w:val="24"/>
          <w:szCs w:val="24"/>
        </w:rPr>
        <w:t xml:space="preserve">Figura </w:t>
      </w:r>
      <w:r w:rsidRPr="00F83177">
        <w:rPr>
          <w:rFonts w:ascii="Times New Roman" w:hAnsi="Times New Roman" w:cs="Times New Roman"/>
          <w:b w:val="0"/>
          <w:sz w:val="24"/>
          <w:szCs w:val="24"/>
        </w:rPr>
        <w:fldChar w:fldCharType="begin"/>
      </w:r>
      <w:r w:rsidRPr="00F83177">
        <w:rPr>
          <w:rFonts w:ascii="Times New Roman" w:hAnsi="Times New Roman" w:cs="Times New Roman"/>
          <w:b w:val="0"/>
          <w:sz w:val="24"/>
          <w:szCs w:val="24"/>
        </w:rPr>
        <w:instrText xml:space="preserve"> SEQ Figura \* ARABIC </w:instrText>
      </w:r>
      <w:r w:rsidRPr="00F83177">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28</w:t>
      </w:r>
      <w:r w:rsidRPr="00F83177">
        <w:rPr>
          <w:rFonts w:ascii="Times New Roman" w:hAnsi="Times New Roman" w:cs="Times New Roman"/>
          <w:b w:val="0"/>
          <w:sz w:val="24"/>
          <w:szCs w:val="24"/>
        </w:rPr>
        <w:fldChar w:fldCharType="end"/>
      </w:r>
      <w:r w:rsidRPr="00F83177">
        <w:rPr>
          <w:rFonts w:ascii="Times New Roman" w:hAnsi="Times New Roman" w:cs="Times New Roman"/>
          <w:b w:val="0"/>
          <w:sz w:val="24"/>
          <w:szCs w:val="24"/>
        </w:rPr>
        <w:t xml:space="preserve">. Paris, Bibliothèque Nationale de France, ms. Fr. 9342, f. 5r. Wauquelin, </w:t>
      </w:r>
      <w:r w:rsidRPr="00F83177">
        <w:rPr>
          <w:rFonts w:ascii="Times New Roman" w:hAnsi="Times New Roman" w:cs="Times New Roman"/>
          <w:b w:val="0"/>
          <w:i/>
          <w:sz w:val="24"/>
          <w:szCs w:val="24"/>
        </w:rPr>
        <w:t>Histoire d’Alexandre</w:t>
      </w:r>
      <w:r w:rsidRPr="00F83177">
        <w:rPr>
          <w:rFonts w:ascii="Times New Roman" w:hAnsi="Times New Roman" w:cs="Times New Roman"/>
          <w:b w:val="0"/>
          <w:sz w:val="24"/>
          <w:szCs w:val="24"/>
        </w:rPr>
        <w:t>. Dreux Jehan. 1447-1448.</w:t>
      </w:r>
    </w:p>
    <w:p w14:paraId="212E69CE" w14:textId="77777777" w:rsidR="00232E18" w:rsidRDefault="00232E18" w:rsidP="00232E18">
      <w:r>
        <w:br w:type="page"/>
      </w:r>
    </w:p>
    <w:p w14:paraId="0C9DD8BC" w14:textId="77777777" w:rsidR="00232E18" w:rsidRDefault="00232E18" w:rsidP="00232E18">
      <w:pPr>
        <w:keepNext/>
        <w:ind w:left="284"/>
      </w:pPr>
      <w:r>
        <w:rPr>
          <w:noProof/>
        </w:rPr>
        <w:drawing>
          <wp:inline distT="0" distB="0" distL="0" distR="0" wp14:anchorId="77C6D890" wp14:editId="226F118A">
            <wp:extent cx="5580888" cy="7659624"/>
            <wp:effectExtent l="0" t="0" r="127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forza_Black_hours_-_ÖNB_Cod1856_f32verso-33recto.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580888" cy="7659624"/>
                    </a:xfrm>
                    <a:prstGeom prst="rect">
                      <a:avLst/>
                    </a:prstGeom>
                  </pic:spPr>
                </pic:pic>
              </a:graphicData>
            </a:graphic>
          </wp:inline>
        </w:drawing>
      </w:r>
    </w:p>
    <w:p w14:paraId="1E90500F" w14:textId="0964BF0C" w:rsidR="00232E18" w:rsidRPr="00AA7A55" w:rsidRDefault="00232E18" w:rsidP="00232E18">
      <w:pPr>
        <w:pStyle w:val="Didascalia"/>
        <w:jc w:val="both"/>
        <w:rPr>
          <w:rFonts w:ascii="Times New Roman" w:hAnsi="Times New Roman" w:cs="Times New Roman"/>
          <w:b w:val="0"/>
          <w:sz w:val="24"/>
          <w:szCs w:val="24"/>
        </w:rPr>
      </w:pPr>
      <w:r w:rsidRPr="00AA7A55">
        <w:rPr>
          <w:rFonts w:ascii="Times New Roman" w:hAnsi="Times New Roman" w:cs="Times New Roman"/>
          <w:b w:val="0"/>
          <w:sz w:val="24"/>
          <w:szCs w:val="24"/>
        </w:rPr>
        <w:t xml:space="preserve">Figura </w:t>
      </w:r>
      <w:r w:rsidRPr="00AA7A55">
        <w:rPr>
          <w:rFonts w:ascii="Times New Roman" w:hAnsi="Times New Roman" w:cs="Times New Roman"/>
          <w:b w:val="0"/>
          <w:sz w:val="24"/>
          <w:szCs w:val="24"/>
        </w:rPr>
        <w:fldChar w:fldCharType="begin"/>
      </w:r>
      <w:r w:rsidRPr="00AA7A55">
        <w:rPr>
          <w:rFonts w:ascii="Times New Roman" w:hAnsi="Times New Roman" w:cs="Times New Roman"/>
          <w:b w:val="0"/>
          <w:sz w:val="24"/>
          <w:szCs w:val="24"/>
        </w:rPr>
        <w:instrText xml:space="preserve"> SEQ Figura \* ARABIC </w:instrText>
      </w:r>
      <w:r w:rsidRPr="00AA7A55">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29</w:t>
      </w:r>
      <w:r w:rsidRPr="00AA7A55">
        <w:rPr>
          <w:rFonts w:ascii="Times New Roman" w:hAnsi="Times New Roman" w:cs="Times New Roman"/>
          <w:b w:val="0"/>
          <w:sz w:val="24"/>
          <w:szCs w:val="24"/>
        </w:rPr>
        <w:fldChar w:fldCharType="end"/>
      </w:r>
      <w:r w:rsidRPr="00AA7A55">
        <w:rPr>
          <w:rFonts w:ascii="Times New Roman" w:hAnsi="Times New Roman" w:cs="Times New Roman"/>
          <w:b w:val="0"/>
          <w:sz w:val="24"/>
          <w:szCs w:val="24"/>
        </w:rPr>
        <w:t xml:space="preserve">. Österreichisce National Bibliothek, ms. 1856, f. 11r. Libro d’Ore. </w:t>
      </w:r>
      <w:r w:rsidRPr="00AA7A55">
        <w:rPr>
          <w:rFonts w:ascii="Times New Roman" w:hAnsi="Times New Roman" w:cs="Times New Roman"/>
          <w:b w:val="0"/>
          <w:i/>
          <w:sz w:val="24"/>
          <w:szCs w:val="24"/>
        </w:rPr>
        <w:t>Gli evangelisti</w:t>
      </w:r>
      <w:r w:rsidRPr="00AA7A55">
        <w:rPr>
          <w:rFonts w:ascii="Times New Roman" w:hAnsi="Times New Roman" w:cs="Times New Roman"/>
          <w:b w:val="0"/>
          <w:sz w:val="24"/>
          <w:szCs w:val="24"/>
        </w:rPr>
        <w:t>. Maestro di Antonio di Borgogna. Non datato.</w:t>
      </w:r>
    </w:p>
    <w:p w14:paraId="215C05ED" w14:textId="77777777" w:rsidR="00232E18" w:rsidRDefault="00232E18" w:rsidP="00232E18">
      <w:r>
        <w:br w:type="page"/>
      </w:r>
    </w:p>
    <w:p w14:paraId="625C0A98" w14:textId="77777777" w:rsidR="00232E18" w:rsidRDefault="00232E18" w:rsidP="00232E18">
      <w:pPr>
        <w:keepNext/>
      </w:pPr>
      <w:r>
        <w:rPr>
          <w:noProof/>
        </w:rPr>
        <w:drawing>
          <wp:inline distT="0" distB="0" distL="0" distR="0" wp14:anchorId="1A008D1D" wp14:editId="22324AEF">
            <wp:extent cx="6171469" cy="3514477"/>
            <wp:effectExtent l="0" t="0" r="1270" b="0"/>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ig.30.jpg"/>
                    <pic:cNvPicPr/>
                  </pic:nvPicPr>
                  <pic:blipFill>
                    <a:blip r:embed="rId37">
                      <a:extLst>
                        <a:ext uri="{28A0092B-C50C-407E-A947-70E740481C1C}">
                          <a14:useLocalDpi xmlns:a14="http://schemas.microsoft.com/office/drawing/2010/main" val="0"/>
                        </a:ext>
                      </a:extLst>
                    </a:blip>
                    <a:stretch>
                      <a:fillRect/>
                    </a:stretch>
                  </pic:blipFill>
                  <pic:spPr>
                    <a:xfrm>
                      <a:off x="0" y="0"/>
                      <a:ext cx="6196174" cy="3528546"/>
                    </a:xfrm>
                    <a:prstGeom prst="rect">
                      <a:avLst/>
                    </a:prstGeom>
                  </pic:spPr>
                </pic:pic>
              </a:graphicData>
            </a:graphic>
          </wp:inline>
        </w:drawing>
      </w:r>
    </w:p>
    <w:p w14:paraId="000F5D96" w14:textId="738FB6A4" w:rsidR="00232E18" w:rsidRPr="0080736A" w:rsidRDefault="00232E18" w:rsidP="00232E18">
      <w:pPr>
        <w:pStyle w:val="Didascalia"/>
        <w:rPr>
          <w:rFonts w:ascii="Times New Roman" w:hAnsi="Times New Roman" w:cs="Times New Roman"/>
          <w:b w:val="0"/>
          <w:sz w:val="24"/>
          <w:szCs w:val="24"/>
        </w:rPr>
      </w:pPr>
      <w:r w:rsidRPr="004223C1">
        <w:rPr>
          <w:rFonts w:ascii="Times New Roman" w:hAnsi="Times New Roman" w:cs="Times New Roman"/>
          <w:b w:val="0"/>
          <w:sz w:val="24"/>
          <w:szCs w:val="24"/>
        </w:rPr>
        <w:t xml:space="preserve">Figura </w:t>
      </w:r>
      <w:r w:rsidRPr="004223C1">
        <w:rPr>
          <w:rFonts w:ascii="Times New Roman" w:hAnsi="Times New Roman" w:cs="Times New Roman"/>
          <w:b w:val="0"/>
          <w:sz w:val="24"/>
          <w:szCs w:val="24"/>
        </w:rPr>
        <w:fldChar w:fldCharType="begin"/>
      </w:r>
      <w:r w:rsidRPr="004223C1">
        <w:rPr>
          <w:rFonts w:ascii="Times New Roman" w:hAnsi="Times New Roman" w:cs="Times New Roman"/>
          <w:b w:val="0"/>
          <w:sz w:val="24"/>
          <w:szCs w:val="24"/>
        </w:rPr>
        <w:instrText xml:space="preserve"> SEQ Figura \* ARABIC </w:instrText>
      </w:r>
      <w:r w:rsidRPr="004223C1">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30</w:t>
      </w:r>
      <w:r w:rsidRPr="004223C1">
        <w:rPr>
          <w:rFonts w:ascii="Times New Roman" w:hAnsi="Times New Roman" w:cs="Times New Roman"/>
          <w:b w:val="0"/>
          <w:sz w:val="24"/>
          <w:szCs w:val="24"/>
        </w:rPr>
        <w:fldChar w:fldCharType="end"/>
      </w:r>
      <w:r w:rsidRPr="004223C1">
        <w:rPr>
          <w:rFonts w:ascii="Times New Roman" w:hAnsi="Times New Roman" w:cs="Times New Roman"/>
          <w:b w:val="0"/>
          <w:sz w:val="24"/>
          <w:szCs w:val="24"/>
        </w:rPr>
        <w:t xml:space="preserve">. Torino, Biblioteca reale, Codice Varia 124, f. 47v. Leggendario Sforza-Savoia. </w:t>
      </w:r>
      <w:r w:rsidRPr="004223C1">
        <w:rPr>
          <w:rFonts w:ascii="Times New Roman" w:hAnsi="Times New Roman" w:cs="Times New Roman"/>
          <w:b w:val="0"/>
          <w:i/>
          <w:sz w:val="24"/>
          <w:szCs w:val="24"/>
        </w:rPr>
        <w:t>Strage degli innocenti</w:t>
      </w:r>
      <w:r w:rsidRPr="004223C1">
        <w:rPr>
          <w:rFonts w:ascii="Times New Roman" w:hAnsi="Times New Roman" w:cs="Times New Roman"/>
          <w:b w:val="0"/>
          <w:sz w:val="24"/>
          <w:szCs w:val="24"/>
        </w:rPr>
        <w:t>. Cristoforo de Predis. 1476.</w:t>
      </w:r>
    </w:p>
    <w:p w14:paraId="6885FA56" w14:textId="77777777" w:rsidR="00232E18" w:rsidRPr="0080736A" w:rsidRDefault="00232E18" w:rsidP="00232E18">
      <w:pPr>
        <w:pStyle w:val="Didascalia"/>
        <w:rPr>
          <w:rFonts w:ascii="Times New Roman" w:hAnsi="Times New Roman" w:cs="Times New Roman"/>
          <w:i/>
          <w:sz w:val="24"/>
          <w:szCs w:val="24"/>
        </w:rPr>
      </w:pPr>
      <w:r w:rsidRPr="007628B4">
        <w:rPr>
          <w:rFonts w:ascii="Times New Roman" w:hAnsi="Times New Roman" w:cs="Times New Roman"/>
          <w:i/>
          <w:sz w:val="24"/>
          <w:szCs w:val="24"/>
        </w:rPr>
        <w:t xml:space="preserve"> </w:t>
      </w:r>
      <w:r>
        <w:rPr>
          <w:noProof/>
        </w:rPr>
        <w:drawing>
          <wp:inline distT="0" distB="0" distL="0" distR="0" wp14:anchorId="7E716B8B" wp14:editId="6037A097">
            <wp:extent cx="6119357" cy="3681454"/>
            <wp:effectExtent l="0" t="0" r="0" b="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fig.31.jpg"/>
                    <pic:cNvPicPr/>
                  </pic:nvPicPr>
                  <pic:blipFill>
                    <a:blip r:embed="rId38">
                      <a:extLst>
                        <a:ext uri="{28A0092B-C50C-407E-A947-70E740481C1C}">
                          <a14:useLocalDpi xmlns:a14="http://schemas.microsoft.com/office/drawing/2010/main" val="0"/>
                        </a:ext>
                      </a:extLst>
                    </a:blip>
                    <a:stretch>
                      <a:fillRect/>
                    </a:stretch>
                  </pic:blipFill>
                  <pic:spPr>
                    <a:xfrm>
                      <a:off x="0" y="0"/>
                      <a:ext cx="6126927" cy="3686008"/>
                    </a:xfrm>
                    <a:prstGeom prst="rect">
                      <a:avLst/>
                    </a:prstGeom>
                  </pic:spPr>
                </pic:pic>
              </a:graphicData>
            </a:graphic>
          </wp:inline>
        </w:drawing>
      </w:r>
    </w:p>
    <w:p w14:paraId="76E1B3F2" w14:textId="1DA573C3" w:rsidR="00232E18" w:rsidRPr="004223C1" w:rsidRDefault="00232E18" w:rsidP="00232E18">
      <w:pPr>
        <w:pStyle w:val="Didascalia"/>
        <w:jc w:val="both"/>
        <w:rPr>
          <w:rFonts w:ascii="Times New Roman" w:hAnsi="Times New Roman" w:cs="Times New Roman"/>
          <w:b w:val="0"/>
          <w:sz w:val="24"/>
          <w:szCs w:val="24"/>
        </w:rPr>
      </w:pPr>
      <w:r w:rsidRPr="004223C1">
        <w:rPr>
          <w:rFonts w:ascii="Times New Roman" w:hAnsi="Times New Roman" w:cs="Times New Roman"/>
          <w:b w:val="0"/>
          <w:sz w:val="24"/>
          <w:szCs w:val="24"/>
        </w:rPr>
        <w:t xml:space="preserve">Figura </w:t>
      </w:r>
      <w:r w:rsidRPr="004223C1">
        <w:rPr>
          <w:rFonts w:ascii="Times New Roman" w:hAnsi="Times New Roman" w:cs="Times New Roman"/>
          <w:b w:val="0"/>
          <w:sz w:val="24"/>
          <w:szCs w:val="24"/>
        </w:rPr>
        <w:fldChar w:fldCharType="begin"/>
      </w:r>
      <w:r w:rsidRPr="004223C1">
        <w:rPr>
          <w:rFonts w:ascii="Times New Roman" w:hAnsi="Times New Roman" w:cs="Times New Roman"/>
          <w:b w:val="0"/>
          <w:sz w:val="24"/>
          <w:szCs w:val="24"/>
        </w:rPr>
        <w:instrText xml:space="preserve"> SEQ Figura \* ARABIC </w:instrText>
      </w:r>
      <w:r w:rsidRPr="004223C1">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31</w:t>
      </w:r>
      <w:r w:rsidRPr="004223C1">
        <w:rPr>
          <w:rFonts w:ascii="Times New Roman" w:hAnsi="Times New Roman" w:cs="Times New Roman"/>
          <w:b w:val="0"/>
          <w:sz w:val="24"/>
          <w:szCs w:val="24"/>
        </w:rPr>
        <w:fldChar w:fldCharType="end"/>
      </w:r>
      <w:r w:rsidRPr="004223C1">
        <w:rPr>
          <w:rFonts w:ascii="Times New Roman" w:hAnsi="Times New Roman" w:cs="Times New Roman"/>
          <w:b w:val="0"/>
          <w:sz w:val="24"/>
          <w:szCs w:val="24"/>
        </w:rPr>
        <w:t xml:space="preserve">. Torino, Biblioteca reale, Codice Varia 124, f. 144r. Leggendario Sforza-Savoia. </w:t>
      </w:r>
      <w:r w:rsidRPr="004223C1">
        <w:rPr>
          <w:rFonts w:ascii="Times New Roman" w:hAnsi="Times New Roman" w:cs="Times New Roman"/>
          <w:b w:val="0"/>
          <w:i/>
          <w:sz w:val="24"/>
          <w:szCs w:val="24"/>
        </w:rPr>
        <w:t>Banchetto di Erode</w:t>
      </w:r>
      <w:r w:rsidRPr="004223C1">
        <w:rPr>
          <w:rFonts w:ascii="Times New Roman" w:hAnsi="Times New Roman" w:cs="Times New Roman"/>
          <w:b w:val="0"/>
          <w:sz w:val="24"/>
          <w:szCs w:val="24"/>
        </w:rPr>
        <w:t>. Cristoforo de Predis. 1476.</w:t>
      </w:r>
    </w:p>
    <w:p w14:paraId="4BC1384F" w14:textId="77777777" w:rsidR="00232E18" w:rsidRDefault="00232E18" w:rsidP="00232E18"/>
    <w:p w14:paraId="4E9A1008" w14:textId="77777777" w:rsidR="00232E18" w:rsidRDefault="00232E18" w:rsidP="00232E18">
      <w:r>
        <w:br w:type="page"/>
      </w:r>
    </w:p>
    <w:p w14:paraId="0765DAE0" w14:textId="77777777" w:rsidR="00232E18" w:rsidRDefault="00232E18" w:rsidP="00232E18">
      <w:pPr>
        <w:keepNext/>
        <w:ind w:left="426"/>
      </w:pPr>
      <w:r>
        <w:rPr>
          <w:noProof/>
        </w:rPr>
        <w:drawing>
          <wp:inline distT="0" distB="0" distL="0" distR="0" wp14:anchorId="5118ACAD" wp14:editId="3AA5514C">
            <wp:extent cx="5855704" cy="3912042"/>
            <wp:effectExtent l="0" t="0" r="0" b="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fig.32.jpg"/>
                    <pic:cNvPicPr/>
                  </pic:nvPicPr>
                  <pic:blipFill>
                    <a:blip r:embed="rId39">
                      <a:extLst>
                        <a:ext uri="{28A0092B-C50C-407E-A947-70E740481C1C}">
                          <a14:useLocalDpi xmlns:a14="http://schemas.microsoft.com/office/drawing/2010/main" val="0"/>
                        </a:ext>
                      </a:extLst>
                    </a:blip>
                    <a:stretch>
                      <a:fillRect/>
                    </a:stretch>
                  </pic:blipFill>
                  <pic:spPr>
                    <a:xfrm>
                      <a:off x="0" y="0"/>
                      <a:ext cx="5888044" cy="3933647"/>
                    </a:xfrm>
                    <a:prstGeom prst="rect">
                      <a:avLst/>
                    </a:prstGeom>
                  </pic:spPr>
                </pic:pic>
              </a:graphicData>
            </a:graphic>
          </wp:inline>
        </w:drawing>
      </w:r>
    </w:p>
    <w:p w14:paraId="698A804A" w14:textId="258FD78A" w:rsidR="00232E18" w:rsidRDefault="00232E18" w:rsidP="00232E18">
      <w:pPr>
        <w:pStyle w:val="Didascalia"/>
        <w:jc w:val="both"/>
        <w:rPr>
          <w:rFonts w:ascii="Times New Roman" w:hAnsi="Times New Roman" w:cs="Times New Roman"/>
          <w:b w:val="0"/>
          <w:sz w:val="24"/>
          <w:szCs w:val="24"/>
        </w:rPr>
      </w:pPr>
      <w:r w:rsidRPr="004223C1">
        <w:rPr>
          <w:rFonts w:ascii="Times New Roman" w:hAnsi="Times New Roman" w:cs="Times New Roman"/>
          <w:b w:val="0"/>
          <w:sz w:val="24"/>
          <w:szCs w:val="24"/>
        </w:rPr>
        <w:t xml:space="preserve">Figura </w:t>
      </w:r>
      <w:r w:rsidRPr="004223C1">
        <w:rPr>
          <w:rFonts w:ascii="Times New Roman" w:hAnsi="Times New Roman" w:cs="Times New Roman"/>
          <w:b w:val="0"/>
          <w:sz w:val="24"/>
          <w:szCs w:val="24"/>
        </w:rPr>
        <w:fldChar w:fldCharType="begin"/>
      </w:r>
      <w:r w:rsidRPr="004223C1">
        <w:rPr>
          <w:rFonts w:ascii="Times New Roman" w:hAnsi="Times New Roman" w:cs="Times New Roman"/>
          <w:b w:val="0"/>
          <w:sz w:val="24"/>
          <w:szCs w:val="24"/>
        </w:rPr>
        <w:instrText xml:space="preserve"> SEQ Figura \* ARABIC </w:instrText>
      </w:r>
      <w:r w:rsidRPr="004223C1">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32</w:t>
      </w:r>
      <w:r w:rsidRPr="004223C1">
        <w:rPr>
          <w:rFonts w:ascii="Times New Roman" w:hAnsi="Times New Roman" w:cs="Times New Roman"/>
          <w:b w:val="0"/>
          <w:sz w:val="24"/>
          <w:szCs w:val="24"/>
        </w:rPr>
        <w:fldChar w:fldCharType="end"/>
      </w:r>
      <w:r w:rsidRPr="004223C1">
        <w:rPr>
          <w:rFonts w:ascii="Times New Roman" w:hAnsi="Times New Roman" w:cs="Times New Roman"/>
          <w:b w:val="0"/>
          <w:sz w:val="24"/>
          <w:szCs w:val="24"/>
        </w:rPr>
        <w:t>.</w:t>
      </w:r>
      <w:r w:rsidRPr="004223C1">
        <w:rPr>
          <w:b w:val="0"/>
        </w:rPr>
        <w:t xml:space="preserve"> </w:t>
      </w:r>
      <w:r w:rsidRPr="004223C1">
        <w:rPr>
          <w:rFonts w:ascii="Times New Roman" w:hAnsi="Times New Roman" w:cs="Times New Roman"/>
          <w:b w:val="0"/>
          <w:sz w:val="24"/>
          <w:szCs w:val="24"/>
        </w:rPr>
        <w:t xml:space="preserve">Torino, Biblioteca reale, Codice Varia 124, f. 152r. Leggendario Sforza-Savoia. </w:t>
      </w:r>
      <w:r w:rsidRPr="004223C1">
        <w:rPr>
          <w:rFonts w:ascii="Times New Roman" w:hAnsi="Times New Roman" w:cs="Times New Roman"/>
          <w:b w:val="0"/>
          <w:i/>
          <w:sz w:val="24"/>
          <w:szCs w:val="24"/>
        </w:rPr>
        <w:t>La cacciata dei dannati all’Inferno</w:t>
      </w:r>
      <w:r w:rsidRPr="004223C1">
        <w:rPr>
          <w:rFonts w:ascii="Times New Roman" w:hAnsi="Times New Roman" w:cs="Times New Roman"/>
          <w:b w:val="0"/>
          <w:sz w:val="24"/>
          <w:szCs w:val="24"/>
        </w:rPr>
        <w:t>. Cristoforo de Predis. 1476.</w:t>
      </w:r>
    </w:p>
    <w:p w14:paraId="01688A94" w14:textId="77777777" w:rsidR="00232E18" w:rsidRPr="0080736A" w:rsidRDefault="00232E18" w:rsidP="00232E18"/>
    <w:p w14:paraId="2298EE43" w14:textId="77777777" w:rsidR="00232E18" w:rsidRDefault="00232E18" w:rsidP="00232E18"/>
    <w:p w14:paraId="5FF95768" w14:textId="77777777" w:rsidR="00232E18" w:rsidRDefault="00232E18" w:rsidP="00232E18">
      <w:pPr>
        <w:keepNext/>
        <w:ind w:left="2977" w:hanging="709"/>
      </w:pPr>
      <w:r>
        <w:rPr>
          <w:noProof/>
        </w:rPr>
        <w:drawing>
          <wp:inline distT="0" distB="0" distL="0" distR="0" wp14:anchorId="732CB263" wp14:editId="14C481BE">
            <wp:extent cx="3390265" cy="3069204"/>
            <wp:effectExtent l="0" t="0" r="635" b="0"/>
            <wp:docPr id="51"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fig.33.gif"/>
                    <pic:cNvPicPr/>
                  </pic:nvPicPr>
                  <pic:blipFill>
                    <a:blip r:embed="rId40">
                      <a:extLst>
                        <a:ext uri="{28A0092B-C50C-407E-A947-70E740481C1C}">
                          <a14:useLocalDpi xmlns:a14="http://schemas.microsoft.com/office/drawing/2010/main" val="0"/>
                        </a:ext>
                      </a:extLst>
                    </a:blip>
                    <a:stretch>
                      <a:fillRect/>
                    </a:stretch>
                  </pic:blipFill>
                  <pic:spPr>
                    <a:xfrm>
                      <a:off x="0" y="0"/>
                      <a:ext cx="3427997" cy="3103363"/>
                    </a:xfrm>
                    <a:prstGeom prst="rect">
                      <a:avLst/>
                    </a:prstGeom>
                  </pic:spPr>
                </pic:pic>
              </a:graphicData>
            </a:graphic>
          </wp:inline>
        </w:drawing>
      </w:r>
    </w:p>
    <w:p w14:paraId="7B9B18AB" w14:textId="438A8B8D" w:rsidR="00232E18" w:rsidRDefault="00232E18" w:rsidP="00232E18">
      <w:pPr>
        <w:pStyle w:val="Didascalia"/>
      </w:pPr>
      <w:r w:rsidRPr="004223C1">
        <w:rPr>
          <w:rFonts w:ascii="Times New Roman" w:hAnsi="Times New Roman" w:cs="Times New Roman"/>
          <w:b w:val="0"/>
          <w:sz w:val="24"/>
          <w:szCs w:val="24"/>
        </w:rPr>
        <w:t xml:space="preserve">Figura </w:t>
      </w:r>
      <w:r w:rsidRPr="004223C1">
        <w:rPr>
          <w:rFonts w:ascii="Times New Roman" w:hAnsi="Times New Roman" w:cs="Times New Roman"/>
          <w:b w:val="0"/>
          <w:sz w:val="24"/>
          <w:szCs w:val="24"/>
        </w:rPr>
        <w:fldChar w:fldCharType="begin"/>
      </w:r>
      <w:r w:rsidRPr="004223C1">
        <w:rPr>
          <w:rFonts w:ascii="Times New Roman" w:hAnsi="Times New Roman" w:cs="Times New Roman"/>
          <w:b w:val="0"/>
          <w:sz w:val="24"/>
          <w:szCs w:val="24"/>
        </w:rPr>
        <w:instrText xml:space="preserve"> SEQ Figura \* ARABIC </w:instrText>
      </w:r>
      <w:r w:rsidRPr="004223C1">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33</w:t>
      </w:r>
      <w:r w:rsidRPr="004223C1">
        <w:rPr>
          <w:rFonts w:ascii="Times New Roman" w:hAnsi="Times New Roman" w:cs="Times New Roman"/>
          <w:b w:val="0"/>
          <w:sz w:val="24"/>
          <w:szCs w:val="24"/>
        </w:rPr>
        <w:fldChar w:fldCharType="end"/>
      </w:r>
      <w:r>
        <w:rPr>
          <w:rFonts w:ascii="Times New Roman" w:hAnsi="Times New Roman" w:cs="Times New Roman"/>
          <w:b w:val="0"/>
          <w:sz w:val="24"/>
          <w:szCs w:val="24"/>
        </w:rPr>
        <w:t>.</w:t>
      </w:r>
      <w:r w:rsidRPr="004223C1">
        <w:rPr>
          <w:rFonts w:ascii="Times New Roman" w:hAnsi="Times New Roman" w:cs="Times New Roman"/>
          <w:b w:val="0"/>
          <w:sz w:val="24"/>
          <w:szCs w:val="24"/>
        </w:rPr>
        <w:t xml:space="preserve"> Valencia, Biblioteca de la Universidad, ms. 780, f. 1r. Virgilio, </w:t>
      </w:r>
      <w:r w:rsidRPr="004223C1">
        <w:rPr>
          <w:rFonts w:ascii="Times New Roman" w:hAnsi="Times New Roman" w:cs="Times New Roman"/>
          <w:b w:val="0"/>
          <w:i/>
          <w:sz w:val="24"/>
          <w:szCs w:val="24"/>
        </w:rPr>
        <w:t>Opera</w:t>
      </w:r>
      <w:r>
        <w:rPr>
          <w:rFonts w:ascii="Times New Roman" w:hAnsi="Times New Roman" w:cs="Times New Roman"/>
          <w:b w:val="0"/>
          <w:sz w:val="24"/>
          <w:szCs w:val="24"/>
        </w:rPr>
        <w:t xml:space="preserve">. </w:t>
      </w:r>
      <w:r w:rsidRPr="004223C1">
        <w:rPr>
          <w:rFonts w:ascii="Times New Roman" w:hAnsi="Times New Roman" w:cs="Times New Roman"/>
          <w:b w:val="0"/>
          <w:i/>
          <w:sz w:val="24"/>
          <w:szCs w:val="24"/>
        </w:rPr>
        <w:t>Ritratto di Ippolita Sforza</w:t>
      </w:r>
      <w:r w:rsidRPr="004223C1">
        <w:rPr>
          <w:rFonts w:ascii="Times New Roman" w:hAnsi="Times New Roman" w:cs="Times New Roman"/>
          <w:b w:val="0"/>
          <w:sz w:val="24"/>
          <w:szCs w:val="24"/>
        </w:rPr>
        <w:t>. Maestro di Ippolita Sforza. 1465</w:t>
      </w:r>
    </w:p>
    <w:p w14:paraId="080E3F3A" w14:textId="77777777" w:rsidR="00232E18" w:rsidRDefault="00232E18" w:rsidP="00232E18">
      <w:pPr>
        <w:ind w:left="2977" w:hanging="142"/>
      </w:pPr>
      <w:r>
        <w:br w:type="page"/>
      </w:r>
    </w:p>
    <w:p w14:paraId="259C4526" w14:textId="77777777" w:rsidR="00232E18" w:rsidRDefault="00232E18" w:rsidP="00232E18"/>
    <w:p w14:paraId="77159BAB" w14:textId="77777777" w:rsidR="00232E18" w:rsidRPr="003E64E9" w:rsidRDefault="00232E18" w:rsidP="00232E18">
      <w:pPr>
        <w:keepNext/>
        <w:ind w:left="1134" w:firstLine="1134"/>
        <w:rPr>
          <w:rFonts w:ascii="Times New Roman" w:hAnsi="Times New Roman" w:cs="Times New Roman"/>
          <w:b/>
          <w:sz w:val="24"/>
          <w:szCs w:val="24"/>
        </w:rPr>
      </w:pPr>
      <w:r w:rsidRPr="004223C1">
        <w:rPr>
          <w:rFonts w:ascii="Times New Roman" w:hAnsi="Times New Roman" w:cs="Times New Roman"/>
          <w:b/>
          <w:sz w:val="24"/>
          <w:szCs w:val="24"/>
        </w:rPr>
        <w:t xml:space="preserve"> </w:t>
      </w:r>
      <w:r>
        <w:rPr>
          <w:noProof/>
        </w:rPr>
        <w:drawing>
          <wp:inline distT="0" distB="0" distL="0" distR="0" wp14:anchorId="51B22094" wp14:editId="39989D57">
            <wp:extent cx="4895220" cy="6788785"/>
            <wp:effectExtent l="0" t="0" r="635" b="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fig.34.jpg"/>
                    <pic:cNvPicPr/>
                  </pic:nvPicPr>
                  <pic:blipFill>
                    <a:blip r:embed="rId41">
                      <a:extLst>
                        <a:ext uri="{28A0092B-C50C-407E-A947-70E740481C1C}">
                          <a14:useLocalDpi xmlns:a14="http://schemas.microsoft.com/office/drawing/2010/main" val="0"/>
                        </a:ext>
                      </a:extLst>
                    </a:blip>
                    <a:stretch>
                      <a:fillRect/>
                    </a:stretch>
                  </pic:blipFill>
                  <pic:spPr>
                    <a:xfrm>
                      <a:off x="0" y="0"/>
                      <a:ext cx="4911347" cy="6811150"/>
                    </a:xfrm>
                    <a:prstGeom prst="rect">
                      <a:avLst/>
                    </a:prstGeom>
                  </pic:spPr>
                </pic:pic>
              </a:graphicData>
            </a:graphic>
          </wp:inline>
        </w:drawing>
      </w:r>
    </w:p>
    <w:p w14:paraId="1301D94C" w14:textId="64190E85" w:rsidR="00232E18" w:rsidRPr="004223C1" w:rsidRDefault="00232E18" w:rsidP="00232E18">
      <w:pPr>
        <w:pStyle w:val="Didascalia"/>
        <w:jc w:val="both"/>
        <w:rPr>
          <w:rFonts w:ascii="Times New Roman" w:hAnsi="Times New Roman" w:cs="Times New Roman"/>
          <w:b w:val="0"/>
          <w:sz w:val="24"/>
          <w:szCs w:val="24"/>
        </w:rPr>
      </w:pPr>
      <w:r w:rsidRPr="004223C1">
        <w:rPr>
          <w:rFonts w:ascii="Times New Roman" w:hAnsi="Times New Roman" w:cs="Times New Roman"/>
          <w:b w:val="0"/>
          <w:sz w:val="24"/>
          <w:szCs w:val="24"/>
        </w:rPr>
        <w:t xml:space="preserve">Figura </w:t>
      </w:r>
      <w:r w:rsidRPr="004223C1">
        <w:rPr>
          <w:rFonts w:ascii="Times New Roman" w:hAnsi="Times New Roman" w:cs="Times New Roman"/>
          <w:b w:val="0"/>
          <w:sz w:val="24"/>
          <w:szCs w:val="24"/>
        </w:rPr>
        <w:fldChar w:fldCharType="begin"/>
      </w:r>
      <w:r w:rsidRPr="004223C1">
        <w:rPr>
          <w:rFonts w:ascii="Times New Roman" w:hAnsi="Times New Roman" w:cs="Times New Roman"/>
          <w:b w:val="0"/>
          <w:sz w:val="24"/>
          <w:szCs w:val="24"/>
        </w:rPr>
        <w:instrText xml:space="preserve"> SEQ Figura \* ARABIC </w:instrText>
      </w:r>
      <w:r w:rsidRPr="004223C1">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34</w:t>
      </w:r>
      <w:r w:rsidRPr="004223C1">
        <w:rPr>
          <w:rFonts w:ascii="Times New Roman" w:hAnsi="Times New Roman" w:cs="Times New Roman"/>
          <w:b w:val="0"/>
          <w:sz w:val="24"/>
          <w:szCs w:val="24"/>
        </w:rPr>
        <w:fldChar w:fldCharType="end"/>
      </w:r>
      <w:r w:rsidRPr="004223C1">
        <w:rPr>
          <w:rFonts w:ascii="Times New Roman" w:hAnsi="Times New Roman" w:cs="Times New Roman"/>
          <w:b w:val="0"/>
          <w:sz w:val="24"/>
          <w:szCs w:val="24"/>
        </w:rPr>
        <w:t xml:space="preserve">. Firenze, Biblioteca Nazionale Centrale, ms. Palatino 211, f. 1r. Cingoli, </w:t>
      </w:r>
      <w:r w:rsidRPr="004223C1">
        <w:rPr>
          <w:rFonts w:ascii="Times New Roman" w:hAnsi="Times New Roman" w:cs="Times New Roman"/>
          <w:b w:val="0"/>
          <w:i/>
          <w:sz w:val="24"/>
          <w:szCs w:val="24"/>
        </w:rPr>
        <w:t>Capitolo ternario in lode di Bianca Saracini</w:t>
      </w:r>
      <w:r w:rsidRPr="004223C1">
        <w:rPr>
          <w:rFonts w:ascii="Times New Roman" w:hAnsi="Times New Roman" w:cs="Times New Roman"/>
          <w:b w:val="0"/>
          <w:sz w:val="24"/>
          <w:szCs w:val="24"/>
        </w:rPr>
        <w:t>. Francesco di Giorgio</w:t>
      </w:r>
      <w:r w:rsidR="00445FAE">
        <w:rPr>
          <w:rFonts w:ascii="Times New Roman" w:hAnsi="Times New Roman" w:cs="Times New Roman"/>
          <w:b w:val="0"/>
          <w:sz w:val="24"/>
          <w:szCs w:val="24"/>
        </w:rPr>
        <w:t xml:space="preserve"> Martini</w:t>
      </w:r>
      <w:r w:rsidRPr="004223C1">
        <w:rPr>
          <w:rFonts w:ascii="Times New Roman" w:hAnsi="Times New Roman" w:cs="Times New Roman"/>
          <w:b w:val="0"/>
          <w:sz w:val="24"/>
          <w:szCs w:val="24"/>
        </w:rPr>
        <w:t xml:space="preserve">. 1473-1474. </w:t>
      </w:r>
    </w:p>
    <w:p w14:paraId="48F9FAEC" w14:textId="77777777" w:rsidR="00232E18" w:rsidRDefault="00232E18" w:rsidP="00232E18"/>
    <w:p w14:paraId="391C000F" w14:textId="77777777" w:rsidR="00232E18" w:rsidRDefault="00232E18" w:rsidP="00232E18">
      <w:pPr>
        <w:keepNext/>
        <w:tabs>
          <w:tab w:val="left" w:pos="567"/>
        </w:tabs>
        <w:ind w:left="567"/>
      </w:pPr>
      <w:r>
        <w:rPr>
          <w:noProof/>
        </w:rPr>
        <w:drawing>
          <wp:inline distT="0" distB="0" distL="0" distR="0" wp14:anchorId="2ED8E8B3" wp14:editId="5263E98D">
            <wp:extent cx="5372100" cy="7915275"/>
            <wp:effectExtent l="0" t="0" r="0" b="9525"/>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ig.35.jpg"/>
                    <pic:cNvPicPr/>
                  </pic:nvPicPr>
                  <pic:blipFill>
                    <a:blip r:embed="rId42">
                      <a:extLst>
                        <a:ext uri="{28A0092B-C50C-407E-A947-70E740481C1C}">
                          <a14:useLocalDpi xmlns:a14="http://schemas.microsoft.com/office/drawing/2010/main" val="0"/>
                        </a:ext>
                      </a:extLst>
                    </a:blip>
                    <a:stretch>
                      <a:fillRect/>
                    </a:stretch>
                  </pic:blipFill>
                  <pic:spPr>
                    <a:xfrm>
                      <a:off x="0" y="0"/>
                      <a:ext cx="5372100" cy="7915275"/>
                    </a:xfrm>
                    <a:prstGeom prst="rect">
                      <a:avLst/>
                    </a:prstGeom>
                  </pic:spPr>
                </pic:pic>
              </a:graphicData>
            </a:graphic>
          </wp:inline>
        </w:drawing>
      </w:r>
    </w:p>
    <w:p w14:paraId="023B0E81" w14:textId="3BCC277D" w:rsidR="00232E18" w:rsidRPr="00786824" w:rsidRDefault="00232E18" w:rsidP="00232E18">
      <w:pPr>
        <w:pStyle w:val="Didascalia"/>
        <w:tabs>
          <w:tab w:val="left" w:pos="284"/>
        </w:tabs>
        <w:ind w:left="284"/>
        <w:rPr>
          <w:rFonts w:ascii="Times New Roman" w:hAnsi="Times New Roman" w:cs="Times New Roman"/>
          <w:b w:val="0"/>
          <w:sz w:val="24"/>
          <w:szCs w:val="24"/>
        </w:rPr>
      </w:pPr>
      <w:r w:rsidRPr="00786824">
        <w:rPr>
          <w:rFonts w:ascii="Times New Roman" w:hAnsi="Times New Roman" w:cs="Times New Roman"/>
          <w:b w:val="0"/>
          <w:sz w:val="24"/>
          <w:szCs w:val="24"/>
        </w:rPr>
        <w:t xml:space="preserve">Figura </w:t>
      </w:r>
      <w:r w:rsidRPr="00786824">
        <w:rPr>
          <w:rFonts w:ascii="Times New Roman" w:hAnsi="Times New Roman" w:cs="Times New Roman"/>
          <w:b w:val="0"/>
          <w:sz w:val="24"/>
          <w:szCs w:val="24"/>
        </w:rPr>
        <w:fldChar w:fldCharType="begin"/>
      </w:r>
      <w:r w:rsidRPr="00786824">
        <w:rPr>
          <w:rFonts w:ascii="Times New Roman" w:hAnsi="Times New Roman" w:cs="Times New Roman"/>
          <w:b w:val="0"/>
          <w:sz w:val="24"/>
          <w:szCs w:val="24"/>
        </w:rPr>
        <w:instrText xml:space="preserve"> SEQ Figura \* ARABIC </w:instrText>
      </w:r>
      <w:r w:rsidRPr="00786824">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35</w:t>
      </w:r>
      <w:r w:rsidRPr="00786824">
        <w:rPr>
          <w:rFonts w:ascii="Times New Roman" w:hAnsi="Times New Roman" w:cs="Times New Roman"/>
          <w:b w:val="0"/>
          <w:sz w:val="24"/>
          <w:szCs w:val="24"/>
        </w:rPr>
        <w:fldChar w:fldCharType="end"/>
      </w:r>
      <w:r w:rsidRPr="00786824">
        <w:rPr>
          <w:rFonts w:ascii="Times New Roman" w:hAnsi="Times New Roman" w:cs="Times New Roman"/>
          <w:b w:val="0"/>
          <w:sz w:val="24"/>
          <w:szCs w:val="24"/>
        </w:rPr>
        <w:t>. Firenze, Museo di San Marco, ms. 558, f. 86v. Graduale. Attribuito a Beato Angelico. 1424-1430.</w:t>
      </w:r>
    </w:p>
    <w:p w14:paraId="2EA8102E" w14:textId="77777777" w:rsidR="00232E18" w:rsidRDefault="00232E18" w:rsidP="00232E18">
      <w:r>
        <w:br w:type="page"/>
      </w:r>
    </w:p>
    <w:p w14:paraId="008179BA" w14:textId="77777777" w:rsidR="00232E18" w:rsidRDefault="00232E18" w:rsidP="00232E18"/>
    <w:p w14:paraId="022783DB" w14:textId="77777777" w:rsidR="00232E18" w:rsidRDefault="00232E18" w:rsidP="00232E18"/>
    <w:p w14:paraId="40FA0D46" w14:textId="77777777" w:rsidR="00232E18" w:rsidRDefault="00232E18" w:rsidP="00232E18">
      <w:pPr>
        <w:keepNext/>
      </w:pPr>
      <w:r>
        <w:rPr>
          <w:noProof/>
        </w:rPr>
        <w:drawing>
          <wp:inline distT="0" distB="0" distL="0" distR="0" wp14:anchorId="5E03ADD9" wp14:editId="4E313FB0">
            <wp:extent cx="6096000" cy="5391150"/>
            <wp:effectExtent l="0" t="0" r="0" b="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fig.36.jpg"/>
                    <pic:cNvPicPr/>
                  </pic:nvPicPr>
                  <pic:blipFill>
                    <a:blip r:embed="rId43">
                      <a:extLst>
                        <a:ext uri="{28A0092B-C50C-407E-A947-70E740481C1C}">
                          <a14:useLocalDpi xmlns:a14="http://schemas.microsoft.com/office/drawing/2010/main" val="0"/>
                        </a:ext>
                      </a:extLst>
                    </a:blip>
                    <a:stretch>
                      <a:fillRect/>
                    </a:stretch>
                  </pic:blipFill>
                  <pic:spPr>
                    <a:xfrm>
                      <a:off x="0" y="0"/>
                      <a:ext cx="6096000" cy="5391150"/>
                    </a:xfrm>
                    <a:prstGeom prst="rect">
                      <a:avLst/>
                    </a:prstGeom>
                  </pic:spPr>
                </pic:pic>
              </a:graphicData>
            </a:graphic>
          </wp:inline>
        </w:drawing>
      </w:r>
    </w:p>
    <w:p w14:paraId="53DC1BEB" w14:textId="4B2B5B9D" w:rsidR="00232E18" w:rsidRPr="00786824" w:rsidRDefault="00232E18" w:rsidP="00232E18">
      <w:pPr>
        <w:pStyle w:val="Didascalia"/>
        <w:jc w:val="both"/>
        <w:rPr>
          <w:rFonts w:ascii="Times New Roman" w:hAnsi="Times New Roman" w:cs="Times New Roman"/>
          <w:b w:val="0"/>
          <w:sz w:val="24"/>
          <w:szCs w:val="24"/>
        </w:rPr>
      </w:pPr>
      <w:r w:rsidRPr="00786824">
        <w:rPr>
          <w:rFonts w:ascii="Times New Roman" w:hAnsi="Times New Roman" w:cs="Times New Roman"/>
          <w:b w:val="0"/>
          <w:sz w:val="24"/>
          <w:szCs w:val="24"/>
        </w:rPr>
        <w:t xml:space="preserve">Figura </w:t>
      </w:r>
      <w:r w:rsidRPr="00786824">
        <w:rPr>
          <w:rFonts w:ascii="Times New Roman" w:hAnsi="Times New Roman" w:cs="Times New Roman"/>
          <w:b w:val="0"/>
          <w:sz w:val="24"/>
          <w:szCs w:val="24"/>
        </w:rPr>
        <w:fldChar w:fldCharType="begin"/>
      </w:r>
      <w:r w:rsidRPr="00786824">
        <w:rPr>
          <w:rFonts w:ascii="Times New Roman" w:hAnsi="Times New Roman" w:cs="Times New Roman"/>
          <w:b w:val="0"/>
          <w:sz w:val="24"/>
          <w:szCs w:val="24"/>
        </w:rPr>
        <w:instrText xml:space="preserve"> SEQ Figura \* ARABIC </w:instrText>
      </w:r>
      <w:r w:rsidRPr="00786824">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36</w:t>
      </w:r>
      <w:r w:rsidRPr="00786824">
        <w:rPr>
          <w:rFonts w:ascii="Times New Roman" w:hAnsi="Times New Roman" w:cs="Times New Roman"/>
          <w:b w:val="0"/>
          <w:sz w:val="24"/>
          <w:szCs w:val="24"/>
        </w:rPr>
        <w:fldChar w:fldCharType="end"/>
      </w:r>
      <w:r w:rsidRPr="00786824">
        <w:rPr>
          <w:rFonts w:ascii="Times New Roman" w:hAnsi="Times New Roman" w:cs="Times New Roman"/>
          <w:b w:val="0"/>
          <w:sz w:val="24"/>
          <w:szCs w:val="24"/>
        </w:rPr>
        <w:t xml:space="preserve">. Città del Vaticano, Biblioteca Apostolica Vaticana, Urb. Lat. 2, f. 174v. Bibbia di Federico, </w:t>
      </w:r>
      <w:r w:rsidRPr="00786824">
        <w:rPr>
          <w:rFonts w:ascii="Times New Roman" w:hAnsi="Times New Roman" w:cs="Times New Roman"/>
          <w:b w:val="0"/>
          <w:i/>
          <w:sz w:val="24"/>
          <w:szCs w:val="24"/>
        </w:rPr>
        <w:t>Martirio dei sette fratelli ebrei</w:t>
      </w:r>
      <w:r w:rsidRPr="00786824">
        <w:rPr>
          <w:rFonts w:ascii="Times New Roman" w:hAnsi="Times New Roman" w:cs="Times New Roman"/>
          <w:b w:val="0"/>
          <w:sz w:val="24"/>
          <w:szCs w:val="24"/>
        </w:rPr>
        <w:t xml:space="preserve">. Attavante degli Attavanti. 1476-1478. </w:t>
      </w:r>
    </w:p>
    <w:p w14:paraId="3E27DDAA" w14:textId="77777777" w:rsidR="00232E18" w:rsidRDefault="00232E18" w:rsidP="00232E18"/>
    <w:p w14:paraId="1A6F8DB0" w14:textId="77777777" w:rsidR="00232E18" w:rsidRDefault="00232E18" w:rsidP="00232E18">
      <w:r>
        <w:br w:type="page"/>
      </w:r>
    </w:p>
    <w:p w14:paraId="449B64FD" w14:textId="77777777" w:rsidR="00232E18" w:rsidRDefault="00232E18" w:rsidP="00232E18">
      <w:pPr>
        <w:keepNext/>
      </w:pPr>
      <w:r>
        <w:rPr>
          <w:noProof/>
        </w:rPr>
        <w:drawing>
          <wp:inline distT="0" distB="0" distL="0" distR="0" wp14:anchorId="52652551" wp14:editId="0D55813A">
            <wp:extent cx="6120130" cy="8020050"/>
            <wp:effectExtent l="0" t="0" r="0" b="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fig.37.JPEG"/>
                    <pic:cNvPicPr/>
                  </pic:nvPicPr>
                  <pic:blipFill>
                    <a:blip r:embed="rId44">
                      <a:extLst>
                        <a:ext uri="{28A0092B-C50C-407E-A947-70E740481C1C}">
                          <a14:useLocalDpi xmlns:a14="http://schemas.microsoft.com/office/drawing/2010/main" val="0"/>
                        </a:ext>
                      </a:extLst>
                    </a:blip>
                    <a:stretch>
                      <a:fillRect/>
                    </a:stretch>
                  </pic:blipFill>
                  <pic:spPr>
                    <a:xfrm>
                      <a:off x="0" y="0"/>
                      <a:ext cx="6120130" cy="8020050"/>
                    </a:xfrm>
                    <a:prstGeom prst="rect">
                      <a:avLst/>
                    </a:prstGeom>
                  </pic:spPr>
                </pic:pic>
              </a:graphicData>
            </a:graphic>
          </wp:inline>
        </w:drawing>
      </w:r>
    </w:p>
    <w:p w14:paraId="187E25C3" w14:textId="31AE4831" w:rsidR="00232E18" w:rsidRPr="000516AD" w:rsidRDefault="00232E18" w:rsidP="00376098">
      <w:pPr>
        <w:pStyle w:val="Didascalia"/>
        <w:jc w:val="both"/>
        <w:rPr>
          <w:rFonts w:ascii="Times New Roman" w:hAnsi="Times New Roman" w:cs="Times New Roman"/>
          <w:b w:val="0"/>
          <w:sz w:val="24"/>
          <w:szCs w:val="24"/>
        </w:rPr>
      </w:pPr>
      <w:r w:rsidRPr="000516AD">
        <w:rPr>
          <w:rFonts w:ascii="Times New Roman" w:hAnsi="Times New Roman" w:cs="Times New Roman"/>
          <w:b w:val="0"/>
          <w:sz w:val="24"/>
          <w:szCs w:val="24"/>
        </w:rPr>
        <w:t xml:space="preserve">Figura </w:t>
      </w:r>
      <w:r w:rsidRPr="000516AD">
        <w:rPr>
          <w:rFonts w:ascii="Times New Roman" w:hAnsi="Times New Roman" w:cs="Times New Roman"/>
          <w:b w:val="0"/>
          <w:sz w:val="24"/>
          <w:szCs w:val="24"/>
        </w:rPr>
        <w:fldChar w:fldCharType="begin"/>
      </w:r>
      <w:r w:rsidRPr="000516AD">
        <w:rPr>
          <w:rFonts w:ascii="Times New Roman" w:hAnsi="Times New Roman" w:cs="Times New Roman"/>
          <w:b w:val="0"/>
          <w:sz w:val="24"/>
          <w:szCs w:val="24"/>
        </w:rPr>
        <w:instrText xml:space="preserve"> SEQ Figura \* ARABIC </w:instrText>
      </w:r>
      <w:r w:rsidRPr="000516AD">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37</w:t>
      </w:r>
      <w:r w:rsidRPr="000516AD">
        <w:rPr>
          <w:rFonts w:ascii="Times New Roman" w:hAnsi="Times New Roman" w:cs="Times New Roman"/>
          <w:b w:val="0"/>
          <w:sz w:val="24"/>
          <w:szCs w:val="24"/>
        </w:rPr>
        <w:fldChar w:fldCharType="end"/>
      </w:r>
      <w:r w:rsidRPr="000516AD">
        <w:rPr>
          <w:rFonts w:ascii="Times New Roman" w:hAnsi="Times New Roman" w:cs="Times New Roman"/>
          <w:b w:val="0"/>
          <w:sz w:val="24"/>
          <w:szCs w:val="24"/>
        </w:rPr>
        <w:t xml:space="preserve">. Parigi, Bibliothèque Nationale de France, ms. Lat. 4802, f. 1r. Tolomeo, </w:t>
      </w:r>
      <w:r w:rsidRPr="000516AD">
        <w:rPr>
          <w:rFonts w:ascii="Times New Roman" w:hAnsi="Times New Roman" w:cs="Times New Roman"/>
          <w:b w:val="0"/>
          <w:i/>
          <w:sz w:val="24"/>
          <w:szCs w:val="24"/>
        </w:rPr>
        <w:t>Cosmographia</w:t>
      </w:r>
      <w:r w:rsidRPr="000516AD">
        <w:rPr>
          <w:rFonts w:ascii="Times New Roman" w:hAnsi="Times New Roman" w:cs="Times New Roman"/>
          <w:b w:val="0"/>
          <w:sz w:val="24"/>
          <w:szCs w:val="24"/>
        </w:rPr>
        <w:t xml:space="preserve">. Francesco Rosselli. Non datato ma ante 1478. </w:t>
      </w:r>
    </w:p>
    <w:p w14:paraId="3A7B7A3D" w14:textId="77777777" w:rsidR="00232E18" w:rsidRDefault="00232E18" w:rsidP="00232E18">
      <w:r>
        <w:br w:type="page"/>
      </w:r>
    </w:p>
    <w:p w14:paraId="2E0D4C2E" w14:textId="77777777" w:rsidR="00232E18" w:rsidRDefault="00232E18" w:rsidP="00232E18">
      <w:pPr>
        <w:keepNext/>
      </w:pPr>
      <w:r>
        <w:rPr>
          <w:noProof/>
        </w:rPr>
        <w:drawing>
          <wp:inline distT="0" distB="0" distL="0" distR="0" wp14:anchorId="244B37A8" wp14:editId="74A2FA99">
            <wp:extent cx="6096000" cy="8115300"/>
            <wp:effectExtent l="0" t="0" r="0" b="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fig.38.jpg"/>
                    <pic:cNvPicPr/>
                  </pic:nvPicPr>
                  <pic:blipFill>
                    <a:blip r:embed="rId45">
                      <a:extLst>
                        <a:ext uri="{28A0092B-C50C-407E-A947-70E740481C1C}">
                          <a14:useLocalDpi xmlns:a14="http://schemas.microsoft.com/office/drawing/2010/main" val="0"/>
                        </a:ext>
                      </a:extLst>
                    </a:blip>
                    <a:stretch>
                      <a:fillRect/>
                    </a:stretch>
                  </pic:blipFill>
                  <pic:spPr>
                    <a:xfrm>
                      <a:off x="0" y="0"/>
                      <a:ext cx="6096000" cy="8115300"/>
                    </a:xfrm>
                    <a:prstGeom prst="rect">
                      <a:avLst/>
                    </a:prstGeom>
                  </pic:spPr>
                </pic:pic>
              </a:graphicData>
            </a:graphic>
          </wp:inline>
        </w:drawing>
      </w:r>
    </w:p>
    <w:p w14:paraId="4F304844" w14:textId="7E851CA1" w:rsidR="00232E18" w:rsidRPr="000516AD" w:rsidRDefault="00232E18" w:rsidP="00232E18">
      <w:pPr>
        <w:pStyle w:val="Didascalia"/>
        <w:jc w:val="both"/>
        <w:rPr>
          <w:rFonts w:ascii="Times New Roman" w:hAnsi="Times New Roman" w:cs="Times New Roman"/>
          <w:b w:val="0"/>
          <w:sz w:val="24"/>
          <w:szCs w:val="24"/>
        </w:rPr>
      </w:pPr>
      <w:r w:rsidRPr="000516AD">
        <w:rPr>
          <w:rFonts w:ascii="Times New Roman" w:hAnsi="Times New Roman" w:cs="Times New Roman"/>
          <w:b w:val="0"/>
          <w:sz w:val="24"/>
          <w:szCs w:val="24"/>
        </w:rPr>
        <w:t xml:space="preserve">Figura </w:t>
      </w:r>
      <w:r w:rsidRPr="000516AD">
        <w:rPr>
          <w:rFonts w:ascii="Times New Roman" w:hAnsi="Times New Roman" w:cs="Times New Roman"/>
          <w:b w:val="0"/>
          <w:sz w:val="24"/>
          <w:szCs w:val="24"/>
        </w:rPr>
        <w:fldChar w:fldCharType="begin"/>
      </w:r>
      <w:r w:rsidRPr="000516AD">
        <w:rPr>
          <w:rFonts w:ascii="Times New Roman" w:hAnsi="Times New Roman" w:cs="Times New Roman"/>
          <w:b w:val="0"/>
          <w:sz w:val="24"/>
          <w:szCs w:val="24"/>
        </w:rPr>
        <w:instrText xml:space="preserve"> SEQ Figura \* ARABIC </w:instrText>
      </w:r>
      <w:r w:rsidRPr="000516AD">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38</w:t>
      </w:r>
      <w:r w:rsidRPr="000516AD">
        <w:rPr>
          <w:rFonts w:ascii="Times New Roman" w:hAnsi="Times New Roman" w:cs="Times New Roman"/>
          <w:b w:val="0"/>
          <w:sz w:val="24"/>
          <w:szCs w:val="24"/>
        </w:rPr>
        <w:fldChar w:fldCharType="end"/>
      </w:r>
      <w:r w:rsidRPr="000516AD">
        <w:rPr>
          <w:rFonts w:ascii="Times New Roman" w:hAnsi="Times New Roman" w:cs="Times New Roman"/>
          <w:b w:val="0"/>
          <w:sz w:val="24"/>
          <w:szCs w:val="24"/>
        </w:rPr>
        <w:t>.</w:t>
      </w:r>
      <w:r w:rsidRPr="000516AD">
        <w:rPr>
          <w:b w:val="0"/>
        </w:rPr>
        <w:t xml:space="preserve"> </w:t>
      </w:r>
      <w:r w:rsidRPr="000516AD">
        <w:rPr>
          <w:rFonts w:ascii="Times New Roman" w:hAnsi="Times New Roman" w:cs="Times New Roman"/>
          <w:b w:val="0"/>
          <w:sz w:val="24"/>
          <w:szCs w:val="24"/>
        </w:rPr>
        <w:t xml:space="preserve">Parigi, Bibliothèque Nationale de France, ms. Lat. 4802, f. 132 v. Tolomeo, </w:t>
      </w:r>
      <w:r w:rsidRPr="000516AD">
        <w:rPr>
          <w:rFonts w:ascii="Times New Roman" w:hAnsi="Times New Roman" w:cs="Times New Roman"/>
          <w:b w:val="0"/>
          <w:i/>
          <w:sz w:val="24"/>
          <w:szCs w:val="24"/>
        </w:rPr>
        <w:t>Cosmographia</w:t>
      </w:r>
      <w:r w:rsidRPr="000516AD">
        <w:rPr>
          <w:rFonts w:ascii="Times New Roman" w:hAnsi="Times New Roman" w:cs="Times New Roman"/>
          <w:b w:val="0"/>
          <w:sz w:val="24"/>
          <w:szCs w:val="24"/>
        </w:rPr>
        <w:t xml:space="preserve">. </w:t>
      </w:r>
      <w:r w:rsidRPr="000516AD">
        <w:rPr>
          <w:rFonts w:ascii="Times New Roman" w:hAnsi="Times New Roman" w:cs="Times New Roman"/>
          <w:b w:val="0"/>
          <w:i/>
          <w:sz w:val="24"/>
          <w:szCs w:val="24"/>
        </w:rPr>
        <w:t>Pianta di Firenze</w:t>
      </w:r>
      <w:r w:rsidRPr="000516AD">
        <w:rPr>
          <w:rFonts w:ascii="Times New Roman" w:hAnsi="Times New Roman" w:cs="Times New Roman"/>
          <w:b w:val="0"/>
          <w:sz w:val="24"/>
          <w:szCs w:val="24"/>
        </w:rPr>
        <w:t>. Francesco Rosselli. Non datato ma ante 1478.</w:t>
      </w:r>
    </w:p>
    <w:p w14:paraId="0A514474" w14:textId="77777777" w:rsidR="00232E18" w:rsidRDefault="00232E18" w:rsidP="00232E18">
      <w:r>
        <w:br w:type="page"/>
      </w:r>
    </w:p>
    <w:p w14:paraId="6ABBD142" w14:textId="77777777" w:rsidR="00232E18" w:rsidRDefault="00232E18" w:rsidP="00232E18">
      <w:pPr>
        <w:keepNext/>
        <w:ind w:left="709"/>
      </w:pPr>
      <w:r>
        <w:rPr>
          <w:noProof/>
        </w:rPr>
        <w:drawing>
          <wp:inline distT="0" distB="0" distL="0" distR="0" wp14:anchorId="2B74C63B" wp14:editId="39E588A5">
            <wp:extent cx="5219700" cy="7607300"/>
            <wp:effectExtent l="0" t="0" r="0" b="0"/>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fig.39.jpg"/>
                    <pic:cNvPicPr/>
                  </pic:nvPicPr>
                  <pic:blipFill>
                    <a:blip r:embed="rId46">
                      <a:extLst>
                        <a:ext uri="{28A0092B-C50C-407E-A947-70E740481C1C}">
                          <a14:useLocalDpi xmlns:a14="http://schemas.microsoft.com/office/drawing/2010/main" val="0"/>
                        </a:ext>
                      </a:extLst>
                    </a:blip>
                    <a:stretch>
                      <a:fillRect/>
                    </a:stretch>
                  </pic:blipFill>
                  <pic:spPr>
                    <a:xfrm>
                      <a:off x="0" y="0"/>
                      <a:ext cx="5219700" cy="7607300"/>
                    </a:xfrm>
                    <a:prstGeom prst="rect">
                      <a:avLst/>
                    </a:prstGeom>
                  </pic:spPr>
                </pic:pic>
              </a:graphicData>
            </a:graphic>
          </wp:inline>
        </w:drawing>
      </w:r>
    </w:p>
    <w:p w14:paraId="4257B6E1" w14:textId="7EECEEB7" w:rsidR="00232E18" w:rsidRPr="00792D54" w:rsidRDefault="00232E18" w:rsidP="00232E18">
      <w:pPr>
        <w:pStyle w:val="Didascalia"/>
        <w:jc w:val="both"/>
        <w:rPr>
          <w:rFonts w:ascii="Times New Roman" w:hAnsi="Times New Roman" w:cs="Times New Roman"/>
          <w:b w:val="0"/>
          <w:sz w:val="24"/>
          <w:szCs w:val="24"/>
        </w:rPr>
      </w:pPr>
      <w:r w:rsidRPr="00792D54">
        <w:rPr>
          <w:rFonts w:ascii="Times New Roman" w:hAnsi="Times New Roman" w:cs="Times New Roman"/>
          <w:b w:val="0"/>
          <w:sz w:val="24"/>
          <w:szCs w:val="24"/>
        </w:rPr>
        <w:t xml:space="preserve">Figura </w:t>
      </w:r>
      <w:r w:rsidRPr="00792D54">
        <w:rPr>
          <w:rFonts w:ascii="Times New Roman" w:hAnsi="Times New Roman" w:cs="Times New Roman"/>
          <w:b w:val="0"/>
          <w:sz w:val="24"/>
          <w:szCs w:val="24"/>
        </w:rPr>
        <w:fldChar w:fldCharType="begin"/>
      </w:r>
      <w:r w:rsidRPr="00792D54">
        <w:rPr>
          <w:rFonts w:ascii="Times New Roman" w:hAnsi="Times New Roman" w:cs="Times New Roman"/>
          <w:b w:val="0"/>
          <w:sz w:val="24"/>
          <w:szCs w:val="24"/>
        </w:rPr>
        <w:instrText xml:space="preserve"> SEQ Figura \* ARABIC </w:instrText>
      </w:r>
      <w:r w:rsidRPr="00792D54">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39</w:t>
      </w:r>
      <w:r w:rsidRPr="00792D54">
        <w:rPr>
          <w:rFonts w:ascii="Times New Roman" w:hAnsi="Times New Roman" w:cs="Times New Roman"/>
          <w:b w:val="0"/>
          <w:sz w:val="24"/>
          <w:szCs w:val="24"/>
        </w:rPr>
        <w:fldChar w:fldCharType="end"/>
      </w:r>
      <w:r w:rsidRPr="00792D54">
        <w:rPr>
          <w:rFonts w:ascii="Times New Roman" w:hAnsi="Times New Roman" w:cs="Times New Roman"/>
          <w:b w:val="0"/>
          <w:sz w:val="24"/>
          <w:szCs w:val="24"/>
        </w:rPr>
        <w:t xml:space="preserve">. Firenze, Museo Nazionale del Bargello, ms. 67, f. 5r. Messale di Sant’Egidio. </w:t>
      </w:r>
      <w:r w:rsidRPr="00792D54">
        <w:rPr>
          <w:rFonts w:ascii="Times New Roman" w:hAnsi="Times New Roman" w:cs="Times New Roman"/>
          <w:b w:val="0"/>
          <w:i/>
          <w:sz w:val="24"/>
          <w:szCs w:val="24"/>
        </w:rPr>
        <w:t>Annunciazione</w:t>
      </w:r>
      <w:r w:rsidRPr="00792D54">
        <w:rPr>
          <w:rFonts w:ascii="Times New Roman" w:hAnsi="Times New Roman" w:cs="Times New Roman"/>
          <w:b w:val="0"/>
          <w:sz w:val="24"/>
          <w:szCs w:val="24"/>
        </w:rPr>
        <w:t xml:space="preserve">. Gherardo e Monte di Giovanni. 1476. </w:t>
      </w:r>
    </w:p>
    <w:p w14:paraId="3A0FB0C7" w14:textId="77777777" w:rsidR="00232E18" w:rsidRDefault="00232E18" w:rsidP="00232E18">
      <w:r>
        <w:br w:type="page"/>
      </w:r>
    </w:p>
    <w:p w14:paraId="06FD905F" w14:textId="77777777" w:rsidR="00232E18" w:rsidRDefault="00232E18" w:rsidP="00232E18">
      <w:pPr>
        <w:keepNext/>
      </w:pPr>
      <w:r>
        <w:rPr>
          <w:noProof/>
        </w:rPr>
        <w:drawing>
          <wp:inline distT="0" distB="0" distL="0" distR="0" wp14:anchorId="35B7F929" wp14:editId="6DDE5DDA">
            <wp:extent cx="6120130" cy="8382000"/>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ig.40.jpg"/>
                    <pic:cNvPicPr/>
                  </pic:nvPicPr>
                  <pic:blipFill>
                    <a:blip r:embed="rId47">
                      <a:extLst>
                        <a:ext uri="{28A0092B-C50C-407E-A947-70E740481C1C}">
                          <a14:useLocalDpi xmlns:a14="http://schemas.microsoft.com/office/drawing/2010/main" val="0"/>
                        </a:ext>
                      </a:extLst>
                    </a:blip>
                    <a:stretch>
                      <a:fillRect/>
                    </a:stretch>
                  </pic:blipFill>
                  <pic:spPr>
                    <a:xfrm>
                      <a:off x="0" y="0"/>
                      <a:ext cx="6120130" cy="8382000"/>
                    </a:xfrm>
                    <a:prstGeom prst="rect">
                      <a:avLst/>
                    </a:prstGeom>
                  </pic:spPr>
                </pic:pic>
              </a:graphicData>
            </a:graphic>
          </wp:inline>
        </w:drawing>
      </w:r>
    </w:p>
    <w:p w14:paraId="48984A54" w14:textId="1549C0FD" w:rsidR="00232E18" w:rsidRPr="00DC558C" w:rsidRDefault="00232E18" w:rsidP="00232E18">
      <w:pPr>
        <w:pStyle w:val="Didascalia"/>
        <w:jc w:val="both"/>
        <w:rPr>
          <w:rFonts w:ascii="Times New Roman" w:hAnsi="Times New Roman" w:cs="Times New Roman"/>
          <w:b w:val="0"/>
          <w:sz w:val="24"/>
          <w:szCs w:val="24"/>
        </w:rPr>
      </w:pPr>
      <w:r w:rsidRPr="00DC558C">
        <w:rPr>
          <w:rFonts w:ascii="Times New Roman" w:hAnsi="Times New Roman" w:cs="Times New Roman"/>
          <w:b w:val="0"/>
          <w:sz w:val="24"/>
          <w:szCs w:val="24"/>
        </w:rPr>
        <w:t xml:space="preserve">Figura </w:t>
      </w:r>
      <w:r w:rsidRPr="00DC558C">
        <w:rPr>
          <w:rFonts w:ascii="Times New Roman" w:hAnsi="Times New Roman" w:cs="Times New Roman"/>
          <w:b w:val="0"/>
          <w:sz w:val="24"/>
          <w:szCs w:val="24"/>
        </w:rPr>
        <w:fldChar w:fldCharType="begin"/>
      </w:r>
      <w:r w:rsidRPr="00DC558C">
        <w:rPr>
          <w:rFonts w:ascii="Times New Roman" w:hAnsi="Times New Roman" w:cs="Times New Roman"/>
          <w:b w:val="0"/>
          <w:sz w:val="24"/>
          <w:szCs w:val="24"/>
        </w:rPr>
        <w:instrText xml:space="preserve"> SEQ Figura \* ARABIC </w:instrText>
      </w:r>
      <w:r w:rsidRPr="00DC558C">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40</w:t>
      </w:r>
      <w:r w:rsidRPr="00DC558C">
        <w:rPr>
          <w:rFonts w:ascii="Times New Roman" w:hAnsi="Times New Roman" w:cs="Times New Roman"/>
          <w:b w:val="0"/>
          <w:sz w:val="24"/>
          <w:szCs w:val="24"/>
        </w:rPr>
        <w:fldChar w:fldCharType="end"/>
      </w:r>
      <w:r w:rsidRPr="00DC558C">
        <w:rPr>
          <w:rFonts w:ascii="Times New Roman" w:hAnsi="Times New Roman" w:cs="Times New Roman"/>
          <w:b w:val="0"/>
          <w:sz w:val="24"/>
          <w:szCs w:val="24"/>
        </w:rPr>
        <w:t xml:space="preserve">. Firenze, Biblioteca Medicea Laurenziana, Pluteo 15, vol. 17, f. 2v. Bibbia di Mattia Corvino. </w:t>
      </w:r>
      <w:r w:rsidRPr="00DC558C">
        <w:rPr>
          <w:rFonts w:ascii="Times New Roman" w:hAnsi="Times New Roman" w:cs="Times New Roman"/>
          <w:b w:val="0"/>
          <w:i/>
          <w:sz w:val="24"/>
          <w:szCs w:val="24"/>
        </w:rPr>
        <w:t>Re Davide orante</w:t>
      </w:r>
      <w:r w:rsidRPr="00DC558C">
        <w:rPr>
          <w:rFonts w:ascii="Times New Roman" w:hAnsi="Times New Roman" w:cs="Times New Roman"/>
          <w:b w:val="0"/>
          <w:sz w:val="24"/>
          <w:szCs w:val="24"/>
        </w:rPr>
        <w:t xml:space="preserve">. Gherardo e Monte di Giovanni. </w:t>
      </w:r>
    </w:p>
    <w:p w14:paraId="15684CBD" w14:textId="77777777" w:rsidR="00232E18" w:rsidRDefault="00232E18" w:rsidP="00232E18">
      <w:pPr>
        <w:keepNext/>
        <w:ind w:left="709"/>
      </w:pPr>
      <w:r>
        <w:rPr>
          <w:noProof/>
        </w:rPr>
        <w:drawing>
          <wp:inline distT="0" distB="0" distL="0" distR="0" wp14:anchorId="06C36ABC" wp14:editId="11E26F90">
            <wp:extent cx="5076156" cy="7547507"/>
            <wp:effectExtent l="0" t="0" r="0" b="0"/>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fig.41.jpg"/>
                    <pic:cNvPicPr/>
                  </pic:nvPicPr>
                  <pic:blipFill>
                    <a:blip r:embed="rId48">
                      <a:extLst>
                        <a:ext uri="{28A0092B-C50C-407E-A947-70E740481C1C}">
                          <a14:useLocalDpi xmlns:a14="http://schemas.microsoft.com/office/drawing/2010/main" val="0"/>
                        </a:ext>
                      </a:extLst>
                    </a:blip>
                    <a:stretch>
                      <a:fillRect/>
                    </a:stretch>
                  </pic:blipFill>
                  <pic:spPr>
                    <a:xfrm>
                      <a:off x="0" y="0"/>
                      <a:ext cx="5076156" cy="7547507"/>
                    </a:xfrm>
                    <a:prstGeom prst="rect">
                      <a:avLst/>
                    </a:prstGeom>
                  </pic:spPr>
                </pic:pic>
              </a:graphicData>
            </a:graphic>
          </wp:inline>
        </w:drawing>
      </w:r>
    </w:p>
    <w:p w14:paraId="5D54A86E" w14:textId="1DC92B62" w:rsidR="00232E18" w:rsidRPr="00DC558C" w:rsidRDefault="00232E18" w:rsidP="00232E18">
      <w:pPr>
        <w:pStyle w:val="Didascalia"/>
        <w:jc w:val="both"/>
        <w:rPr>
          <w:rFonts w:ascii="Times New Roman" w:hAnsi="Times New Roman" w:cs="Times New Roman"/>
          <w:b w:val="0"/>
          <w:sz w:val="24"/>
          <w:szCs w:val="24"/>
        </w:rPr>
      </w:pPr>
      <w:r w:rsidRPr="00DC558C">
        <w:rPr>
          <w:rFonts w:ascii="Times New Roman" w:hAnsi="Times New Roman" w:cs="Times New Roman"/>
          <w:b w:val="0"/>
          <w:sz w:val="24"/>
          <w:szCs w:val="24"/>
        </w:rPr>
        <w:t xml:space="preserve">Figura </w:t>
      </w:r>
      <w:r w:rsidRPr="00DC558C">
        <w:rPr>
          <w:rFonts w:ascii="Times New Roman" w:hAnsi="Times New Roman" w:cs="Times New Roman"/>
          <w:b w:val="0"/>
          <w:sz w:val="24"/>
          <w:szCs w:val="24"/>
        </w:rPr>
        <w:fldChar w:fldCharType="begin"/>
      </w:r>
      <w:r w:rsidRPr="00DC558C">
        <w:rPr>
          <w:rFonts w:ascii="Times New Roman" w:hAnsi="Times New Roman" w:cs="Times New Roman"/>
          <w:b w:val="0"/>
          <w:sz w:val="24"/>
          <w:szCs w:val="24"/>
        </w:rPr>
        <w:instrText xml:space="preserve"> SEQ Figura \* ARABIC </w:instrText>
      </w:r>
      <w:r w:rsidRPr="00DC558C">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41</w:t>
      </w:r>
      <w:r w:rsidRPr="00DC558C">
        <w:rPr>
          <w:rFonts w:ascii="Times New Roman" w:hAnsi="Times New Roman" w:cs="Times New Roman"/>
          <w:b w:val="0"/>
          <w:sz w:val="24"/>
          <w:szCs w:val="24"/>
        </w:rPr>
        <w:fldChar w:fldCharType="end"/>
      </w:r>
      <w:r w:rsidRPr="00DC558C">
        <w:rPr>
          <w:rFonts w:ascii="Times New Roman" w:hAnsi="Times New Roman" w:cs="Times New Roman"/>
          <w:b w:val="0"/>
          <w:sz w:val="24"/>
          <w:szCs w:val="24"/>
        </w:rPr>
        <w:t xml:space="preserve">. Lisbona, Arquivo Nacional da Torre do Tombo, mss. CF 161, libri XXIII-XXXI, f. 1r. Bibbia di Emanuele del Portogallo. Attavante degli Attavanti. 1494. </w:t>
      </w:r>
    </w:p>
    <w:p w14:paraId="13CE5F87" w14:textId="77777777" w:rsidR="00232E18" w:rsidRDefault="00232E18" w:rsidP="00232E18">
      <w:r>
        <w:br w:type="page"/>
      </w:r>
    </w:p>
    <w:p w14:paraId="6F33702B" w14:textId="77777777" w:rsidR="00232E18" w:rsidRDefault="00232E18" w:rsidP="00232E18">
      <w:pPr>
        <w:keepNext/>
        <w:ind w:left="851"/>
      </w:pPr>
      <w:r>
        <w:rPr>
          <w:noProof/>
        </w:rPr>
        <w:drawing>
          <wp:inline distT="0" distB="0" distL="0" distR="0" wp14:anchorId="36DEA2CE" wp14:editId="16189B38">
            <wp:extent cx="4895850" cy="6991350"/>
            <wp:effectExtent l="0" t="0"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42.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4895850" cy="6991350"/>
                    </a:xfrm>
                    <a:prstGeom prst="rect">
                      <a:avLst/>
                    </a:prstGeom>
                  </pic:spPr>
                </pic:pic>
              </a:graphicData>
            </a:graphic>
          </wp:inline>
        </w:drawing>
      </w:r>
    </w:p>
    <w:p w14:paraId="23630F51" w14:textId="3B9D3931" w:rsidR="00232E18" w:rsidRPr="00DC558C" w:rsidRDefault="00232E18" w:rsidP="00232E18">
      <w:pPr>
        <w:pStyle w:val="Didascalia"/>
        <w:rPr>
          <w:rFonts w:ascii="Times New Roman" w:hAnsi="Times New Roman" w:cs="Times New Roman"/>
          <w:b w:val="0"/>
          <w:sz w:val="24"/>
          <w:szCs w:val="24"/>
        </w:rPr>
      </w:pPr>
      <w:r w:rsidRPr="00DC558C">
        <w:rPr>
          <w:rFonts w:ascii="Times New Roman" w:hAnsi="Times New Roman" w:cs="Times New Roman"/>
          <w:b w:val="0"/>
          <w:sz w:val="24"/>
          <w:szCs w:val="24"/>
        </w:rPr>
        <w:t xml:space="preserve">Figura </w:t>
      </w:r>
      <w:r w:rsidRPr="00DC558C">
        <w:rPr>
          <w:rFonts w:ascii="Times New Roman" w:hAnsi="Times New Roman" w:cs="Times New Roman"/>
          <w:b w:val="0"/>
          <w:sz w:val="24"/>
          <w:szCs w:val="24"/>
        </w:rPr>
        <w:fldChar w:fldCharType="begin"/>
      </w:r>
      <w:r w:rsidRPr="00DC558C">
        <w:rPr>
          <w:rFonts w:ascii="Times New Roman" w:hAnsi="Times New Roman" w:cs="Times New Roman"/>
          <w:b w:val="0"/>
          <w:sz w:val="24"/>
          <w:szCs w:val="24"/>
        </w:rPr>
        <w:instrText xml:space="preserve"> SEQ Figura \* ARABIC </w:instrText>
      </w:r>
      <w:r w:rsidRPr="00DC558C">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42</w:t>
      </w:r>
      <w:r w:rsidRPr="00DC558C">
        <w:rPr>
          <w:rFonts w:ascii="Times New Roman" w:hAnsi="Times New Roman" w:cs="Times New Roman"/>
          <w:b w:val="0"/>
          <w:sz w:val="24"/>
          <w:szCs w:val="24"/>
        </w:rPr>
        <w:fldChar w:fldCharType="end"/>
      </w:r>
      <w:r w:rsidRPr="00DC558C">
        <w:rPr>
          <w:rFonts w:ascii="Times New Roman" w:hAnsi="Times New Roman" w:cs="Times New Roman"/>
          <w:b w:val="0"/>
          <w:sz w:val="24"/>
          <w:szCs w:val="24"/>
        </w:rPr>
        <w:t xml:space="preserve">. Toruń, Wojewódzka Biblioteka Publiczna, ms 107, f. 3r. Naldi, </w:t>
      </w:r>
      <w:r w:rsidRPr="00DC558C">
        <w:rPr>
          <w:rFonts w:ascii="Times New Roman" w:hAnsi="Times New Roman" w:cs="Times New Roman"/>
          <w:b w:val="0"/>
          <w:i/>
          <w:sz w:val="24"/>
          <w:szCs w:val="24"/>
        </w:rPr>
        <w:t>De laudibus augustae bibliothecae</w:t>
      </w:r>
      <w:r w:rsidRPr="00DC558C">
        <w:rPr>
          <w:rFonts w:ascii="Times New Roman" w:hAnsi="Times New Roman" w:cs="Times New Roman"/>
          <w:b w:val="0"/>
          <w:sz w:val="24"/>
          <w:szCs w:val="24"/>
        </w:rPr>
        <w:t xml:space="preserve">. Bottega di Attavante degli Attavanti. 1488-1490.  </w:t>
      </w:r>
    </w:p>
    <w:p w14:paraId="2A4F6D45" w14:textId="77777777" w:rsidR="00232E18" w:rsidRDefault="00232E18" w:rsidP="00232E18">
      <w:r>
        <w:br w:type="page"/>
      </w:r>
    </w:p>
    <w:p w14:paraId="441FB78C" w14:textId="77777777" w:rsidR="00232E18" w:rsidRDefault="00232E18" w:rsidP="00232E18">
      <w:pPr>
        <w:keepNext/>
        <w:ind w:left="1134"/>
      </w:pPr>
      <w:r>
        <w:rPr>
          <w:noProof/>
        </w:rPr>
        <w:drawing>
          <wp:inline distT="0" distB="0" distL="0" distR="0" wp14:anchorId="490779C7" wp14:editId="3ED7973E">
            <wp:extent cx="4657725" cy="7781925"/>
            <wp:effectExtent l="0" t="0" r="9525" b="9525"/>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fig.43.jpg"/>
                    <pic:cNvPicPr/>
                  </pic:nvPicPr>
                  <pic:blipFill>
                    <a:blip r:embed="rId50">
                      <a:extLst>
                        <a:ext uri="{28A0092B-C50C-407E-A947-70E740481C1C}">
                          <a14:useLocalDpi xmlns:a14="http://schemas.microsoft.com/office/drawing/2010/main" val="0"/>
                        </a:ext>
                      </a:extLst>
                    </a:blip>
                    <a:stretch>
                      <a:fillRect/>
                    </a:stretch>
                  </pic:blipFill>
                  <pic:spPr>
                    <a:xfrm>
                      <a:off x="0" y="0"/>
                      <a:ext cx="4657725" cy="7781925"/>
                    </a:xfrm>
                    <a:prstGeom prst="rect">
                      <a:avLst/>
                    </a:prstGeom>
                  </pic:spPr>
                </pic:pic>
              </a:graphicData>
            </a:graphic>
          </wp:inline>
        </w:drawing>
      </w:r>
    </w:p>
    <w:p w14:paraId="0FD15AA4" w14:textId="1DCFB2A1" w:rsidR="00232E18" w:rsidRPr="00DC558C" w:rsidRDefault="00232E18" w:rsidP="00232E18">
      <w:pPr>
        <w:pStyle w:val="Didascalia"/>
        <w:jc w:val="both"/>
        <w:rPr>
          <w:rFonts w:ascii="Times New Roman" w:hAnsi="Times New Roman" w:cs="Times New Roman"/>
          <w:b w:val="0"/>
          <w:sz w:val="24"/>
          <w:szCs w:val="24"/>
        </w:rPr>
      </w:pPr>
      <w:r w:rsidRPr="00DC558C">
        <w:rPr>
          <w:rFonts w:ascii="Times New Roman" w:hAnsi="Times New Roman" w:cs="Times New Roman"/>
          <w:b w:val="0"/>
          <w:sz w:val="24"/>
          <w:szCs w:val="24"/>
        </w:rPr>
        <w:t xml:space="preserve">Figura </w:t>
      </w:r>
      <w:r w:rsidRPr="00DC558C">
        <w:rPr>
          <w:rFonts w:ascii="Times New Roman" w:hAnsi="Times New Roman" w:cs="Times New Roman"/>
          <w:b w:val="0"/>
          <w:sz w:val="24"/>
          <w:szCs w:val="24"/>
        </w:rPr>
        <w:fldChar w:fldCharType="begin"/>
      </w:r>
      <w:r w:rsidRPr="00DC558C">
        <w:rPr>
          <w:rFonts w:ascii="Times New Roman" w:hAnsi="Times New Roman" w:cs="Times New Roman"/>
          <w:b w:val="0"/>
          <w:sz w:val="24"/>
          <w:szCs w:val="24"/>
        </w:rPr>
        <w:instrText xml:space="preserve"> SEQ Figura \* ARABIC </w:instrText>
      </w:r>
      <w:r w:rsidRPr="00DC558C">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43</w:t>
      </w:r>
      <w:r w:rsidRPr="00DC558C">
        <w:rPr>
          <w:rFonts w:ascii="Times New Roman" w:hAnsi="Times New Roman" w:cs="Times New Roman"/>
          <w:b w:val="0"/>
          <w:sz w:val="24"/>
          <w:szCs w:val="24"/>
        </w:rPr>
        <w:fldChar w:fldCharType="end"/>
      </w:r>
      <w:r w:rsidRPr="00DC558C">
        <w:rPr>
          <w:rFonts w:ascii="Times New Roman" w:hAnsi="Times New Roman" w:cs="Times New Roman"/>
          <w:b w:val="0"/>
          <w:sz w:val="24"/>
          <w:szCs w:val="24"/>
        </w:rPr>
        <w:t xml:space="preserve">. Città del Vaticano, Biblioteca Apostolica Vaticana, Urb. Lat. 899, f. 11r. Anonimo, </w:t>
      </w:r>
      <w:r w:rsidRPr="00DC558C">
        <w:rPr>
          <w:rFonts w:ascii="Times New Roman" w:hAnsi="Times New Roman" w:cs="Times New Roman"/>
          <w:b w:val="0"/>
          <w:i/>
          <w:sz w:val="24"/>
          <w:szCs w:val="24"/>
        </w:rPr>
        <w:t>Ordine de le noze de lo Illustrissimo Signor misir Costantio Sfortia</w:t>
      </w:r>
      <w:r w:rsidRPr="00DC558C">
        <w:rPr>
          <w:rFonts w:ascii="Times New Roman" w:hAnsi="Times New Roman" w:cs="Times New Roman"/>
          <w:b w:val="0"/>
          <w:sz w:val="24"/>
          <w:szCs w:val="24"/>
        </w:rPr>
        <w:t xml:space="preserve">. Attribuito a Giovanni Santi. 1480. </w:t>
      </w:r>
    </w:p>
    <w:p w14:paraId="6D8F04D1" w14:textId="77777777" w:rsidR="00232E18" w:rsidRDefault="00232E18" w:rsidP="00232E18">
      <w:r>
        <w:br w:type="page"/>
      </w:r>
    </w:p>
    <w:p w14:paraId="22B8AB75" w14:textId="77777777" w:rsidR="00232E18" w:rsidRDefault="00232E18" w:rsidP="00232E18">
      <w:pPr>
        <w:keepNext/>
        <w:ind w:left="851"/>
      </w:pPr>
      <w:r>
        <w:rPr>
          <w:noProof/>
        </w:rPr>
        <w:drawing>
          <wp:inline distT="0" distB="0" distL="0" distR="0" wp14:anchorId="6FD1F818" wp14:editId="65279100">
            <wp:extent cx="5124450" cy="8591550"/>
            <wp:effectExtent l="0" t="0" r="0" b="0"/>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fig.44.jpg"/>
                    <pic:cNvPicPr/>
                  </pic:nvPicPr>
                  <pic:blipFill>
                    <a:blip r:embed="rId51">
                      <a:extLst>
                        <a:ext uri="{28A0092B-C50C-407E-A947-70E740481C1C}">
                          <a14:useLocalDpi xmlns:a14="http://schemas.microsoft.com/office/drawing/2010/main" val="0"/>
                        </a:ext>
                      </a:extLst>
                    </a:blip>
                    <a:stretch>
                      <a:fillRect/>
                    </a:stretch>
                  </pic:blipFill>
                  <pic:spPr>
                    <a:xfrm>
                      <a:off x="0" y="0"/>
                      <a:ext cx="5124450" cy="8591550"/>
                    </a:xfrm>
                    <a:prstGeom prst="rect">
                      <a:avLst/>
                    </a:prstGeom>
                  </pic:spPr>
                </pic:pic>
              </a:graphicData>
            </a:graphic>
          </wp:inline>
        </w:drawing>
      </w:r>
    </w:p>
    <w:p w14:paraId="21965FC7" w14:textId="5E2634ED" w:rsidR="00232E18" w:rsidRPr="00AB713D" w:rsidRDefault="00232E18" w:rsidP="00232E18">
      <w:pPr>
        <w:pStyle w:val="Didascalia"/>
        <w:jc w:val="both"/>
        <w:rPr>
          <w:rFonts w:ascii="Times New Roman" w:hAnsi="Times New Roman" w:cs="Times New Roman"/>
          <w:b w:val="0"/>
          <w:sz w:val="24"/>
          <w:szCs w:val="24"/>
        </w:rPr>
      </w:pPr>
      <w:r w:rsidRPr="00AB713D">
        <w:rPr>
          <w:rFonts w:ascii="Times New Roman" w:hAnsi="Times New Roman" w:cs="Times New Roman"/>
          <w:b w:val="0"/>
          <w:sz w:val="24"/>
          <w:szCs w:val="24"/>
        </w:rPr>
        <w:t xml:space="preserve">Figura </w:t>
      </w:r>
      <w:r w:rsidRPr="00AB713D">
        <w:rPr>
          <w:rFonts w:ascii="Times New Roman" w:hAnsi="Times New Roman" w:cs="Times New Roman"/>
          <w:b w:val="0"/>
          <w:sz w:val="24"/>
          <w:szCs w:val="24"/>
        </w:rPr>
        <w:fldChar w:fldCharType="begin"/>
      </w:r>
      <w:r w:rsidRPr="00AB713D">
        <w:rPr>
          <w:rFonts w:ascii="Times New Roman" w:hAnsi="Times New Roman" w:cs="Times New Roman"/>
          <w:b w:val="0"/>
          <w:sz w:val="24"/>
          <w:szCs w:val="24"/>
        </w:rPr>
        <w:instrText xml:space="preserve"> SEQ Figura \* ARABIC </w:instrText>
      </w:r>
      <w:r w:rsidRPr="00AB713D">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44</w:t>
      </w:r>
      <w:r w:rsidRPr="00AB713D">
        <w:rPr>
          <w:rFonts w:ascii="Times New Roman" w:hAnsi="Times New Roman" w:cs="Times New Roman"/>
          <w:b w:val="0"/>
          <w:sz w:val="24"/>
          <w:szCs w:val="24"/>
        </w:rPr>
        <w:fldChar w:fldCharType="end"/>
      </w:r>
      <w:r w:rsidRPr="00AB713D">
        <w:rPr>
          <w:rFonts w:ascii="Times New Roman" w:hAnsi="Times New Roman" w:cs="Times New Roman"/>
          <w:b w:val="0"/>
          <w:sz w:val="24"/>
          <w:szCs w:val="24"/>
        </w:rPr>
        <w:t xml:space="preserve">. Urbino, Galleria Nazionale delle Marche. Giovanni Santi, </w:t>
      </w:r>
      <w:r w:rsidRPr="00AB713D">
        <w:rPr>
          <w:rFonts w:ascii="Times New Roman" w:hAnsi="Times New Roman" w:cs="Times New Roman"/>
          <w:b w:val="0"/>
          <w:i/>
          <w:sz w:val="24"/>
          <w:szCs w:val="24"/>
        </w:rPr>
        <w:t>Sacra conversazione</w:t>
      </w:r>
      <w:r w:rsidRPr="00AB713D">
        <w:rPr>
          <w:rFonts w:ascii="Times New Roman" w:hAnsi="Times New Roman" w:cs="Times New Roman"/>
          <w:b w:val="0"/>
          <w:sz w:val="24"/>
          <w:szCs w:val="24"/>
        </w:rPr>
        <w:t>. 1489.</w:t>
      </w:r>
    </w:p>
    <w:p w14:paraId="20E51895" w14:textId="77777777" w:rsidR="00232E18" w:rsidRDefault="00232E18" w:rsidP="00232E18">
      <w:pPr>
        <w:pStyle w:val="Didascalia"/>
        <w:keepNext/>
        <w:ind w:left="1134"/>
        <w:jc w:val="both"/>
      </w:pPr>
      <w:r>
        <w:rPr>
          <w:i/>
          <w:noProof/>
          <w:sz w:val="24"/>
          <w:szCs w:val="24"/>
        </w:rPr>
        <w:drawing>
          <wp:inline distT="0" distB="0" distL="0" distR="0" wp14:anchorId="39F29693" wp14:editId="2A875C9F">
            <wp:extent cx="4810125" cy="7153275"/>
            <wp:effectExtent l="0" t="0" r="9525" b="9525"/>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fig.45.jpg"/>
                    <pic:cNvPicPr/>
                  </pic:nvPicPr>
                  <pic:blipFill>
                    <a:blip r:embed="rId52">
                      <a:extLst>
                        <a:ext uri="{28A0092B-C50C-407E-A947-70E740481C1C}">
                          <a14:useLocalDpi xmlns:a14="http://schemas.microsoft.com/office/drawing/2010/main" val="0"/>
                        </a:ext>
                      </a:extLst>
                    </a:blip>
                    <a:stretch>
                      <a:fillRect/>
                    </a:stretch>
                  </pic:blipFill>
                  <pic:spPr>
                    <a:xfrm>
                      <a:off x="0" y="0"/>
                      <a:ext cx="4904040" cy="7292939"/>
                    </a:xfrm>
                    <a:prstGeom prst="rect">
                      <a:avLst/>
                    </a:prstGeom>
                  </pic:spPr>
                </pic:pic>
              </a:graphicData>
            </a:graphic>
          </wp:inline>
        </w:drawing>
      </w:r>
    </w:p>
    <w:p w14:paraId="0FECC3F4" w14:textId="7518BA4C" w:rsidR="00232E18" w:rsidRPr="00D55B47" w:rsidRDefault="00232E18" w:rsidP="00232E18">
      <w:pPr>
        <w:pStyle w:val="Didascalia"/>
        <w:jc w:val="both"/>
        <w:rPr>
          <w:rFonts w:ascii="Times New Roman" w:hAnsi="Times New Roman" w:cs="Times New Roman"/>
          <w:b w:val="0"/>
          <w:sz w:val="24"/>
          <w:szCs w:val="24"/>
        </w:rPr>
      </w:pPr>
      <w:r w:rsidRPr="00D55B47">
        <w:rPr>
          <w:rFonts w:ascii="Times New Roman" w:hAnsi="Times New Roman" w:cs="Times New Roman"/>
          <w:b w:val="0"/>
          <w:sz w:val="24"/>
          <w:szCs w:val="24"/>
        </w:rPr>
        <w:t xml:space="preserve">Figura </w:t>
      </w:r>
      <w:r w:rsidRPr="00D55B47">
        <w:rPr>
          <w:rFonts w:ascii="Times New Roman" w:hAnsi="Times New Roman" w:cs="Times New Roman"/>
          <w:b w:val="0"/>
          <w:sz w:val="24"/>
          <w:szCs w:val="24"/>
        </w:rPr>
        <w:fldChar w:fldCharType="begin"/>
      </w:r>
      <w:r w:rsidRPr="00D55B47">
        <w:rPr>
          <w:rFonts w:ascii="Times New Roman" w:hAnsi="Times New Roman" w:cs="Times New Roman"/>
          <w:b w:val="0"/>
          <w:sz w:val="24"/>
          <w:szCs w:val="24"/>
        </w:rPr>
        <w:instrText xml:space="preserve"> SEQ Figura \* ARABIC </w:instrText>
      </w:r>
      <w:r w:rsidRPr="00D55B47">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45</w:t>
      </w:r>
      <w:r w:rsidRPr="00D55B47">
        <w:rPr>
          <w:rFonts w:ascii="Times New Roman" w:hAnsi="Times New Roman" w:cs="Times New Roman"/>
          <w:b w:val="0"/>
          <w:sz w:val="24"/>
          <w:szCs w:val="24"/>
        </w:rPr>
        <w:fldChar w:fldCharType="end"/>
      </w:r>
      <w:r w:rsidRPr="00D55B47">
        <w:rPr>
          <w:rFonts w:ascii="Times New Roman" w:hAnsi="Times New Roman" w:cs="Times New Roman"/>
          <w:b w:val="0"/>
          <w:sz w:val="24"/>
          <w:szCs w:val="24"/>
        </w:rPr>
        <w:t xml:space="preserve">. Bologna. Pinacoteca Nazionale. Francesco Francia, </w:t>
      </w:r>
      <w:r w:rsidRPr="00D55B47">
        <w:rPr>
          <w:rFonts w:ascii="Times New Roman" w:hAnsi="Times New Roman" w:cs="Times New Roman"/>
          <w:b w:val="0"/>
          <w:i/>
          <w:sz w:val="24"/>
          <w:szCs w:val="24"/>
        </w:rPr>
        <w:t xml:space="preserve">Pace </w:t>
      </w:r>
      <w:r w:rsidRPr="003152E1">
        <w:rPr>
          <w:rFonts w:ascii="Times New Roman" w:hAnsi="Times New Roman" w:cs="Times New Roman"/>
          <w:b w:val="0"/>
          <w:sz w:val="24"/>
          <w:szCs w:val="24"/>
        </w:rPr>
        <w:t>per le nozze di Ginevra Sforza e Giovanni II Bentivoglio</w:t>
      </w:r>
      <w:r w:rsidRPr="00D55B47">
        <w:rPr>
          <w:rFonts w:ascii="Times New Roman" w:hAnsi="Times New Roman" w:cs="Times New Roman"/>
          <w:b w:val="0"/>
          <w:sz w:val="24"/>
          <w:szCs w:val="24"/>
        </w:rPr>
        <w:t>. 1464.</w:t>
      </w:r>
    </w:p>
    <w:p w14:paraId="0926277C" w14:textId="77777777" w:rsidR="00232E18" w:rsidRDefault="00232E18" w:rsidP="00232E18">
      <w:pPr>
        <w:pStyle w:val="Didascalia"/>
        <w:jc w:val="both"/>
        <w:rPr>
          <w:i/>
          <w:sz w:val="24"/>
          <w:szCs w:val="24"/>
        </w:rPr>
      </w:pPr>
      <w:r w:rsidRPr="00E65F28">
        <w:rPr>
          <w:i/>
          <w:sz w:val="24"/>
          <w:szCs w:val="24"/>
        </w:rPr>
        <w:t xml:space="preserve"> </w:t>
      </w:r>
    </w:p>
    <w:p w14:paraId="17C56A3C" w14:textId="77777777" w:rsidR="00232E18" w:rsidRDefault="00232E18" w:rsidP="00232E18">
      <w:pPr>
        <w:rPr>
          <w:iCs/>
          <w:color w:val="44546A" w:themeColor="text2"/>
          <w:sz w:val="24"/>
          <w:szCs w:val="24"/>
        </w:rPr>
      </w:pPr>
      <w:r>
        <w:rPr>
          <w:i/>
          <w:sz w:val="24"/>
          <w:szCs w:val="24"/>
        </w:rPr>
        <w:br w:type="page"/>
      </w:r>
    </w:p>
    <w:p w14:paraId="0B893D64" w14:textId="77777777" w:rsidR="00232E18" w:rsidRDefault="00232E18" w:rsidP="00232E18">
      <w:pPr>
        <w:pStyle w:val="Didascalia"/>
        <w:jc w:val="both"/>
        <w:rPr>
          <w:i/>
          <w:sz w:val="24"/>
          <w:szCs w:val="24"/>
        </w:rPr>
      </w:pPr>
    </w:p>
    <w:p w14:paraId="2B04E4A5" w14:textId="77777777" w:rsidR="00232E18" w:rsidRDefault="00232E18" w:rsidP="00232E18"/>
    <w:p w14:paraId="75C45412" w14:textId="77777777" w:rsidR="00232E18" w:rsidRDefault="00232E18" w:rsidP="00232E18">
      <w:pPr>
        <w:keepNext/>
        <w:ind w:left="2268"/>
      </w:pPr>
      <w:r>
        <w:rPr>
          <w:noProof/>
        </w:rPr>
        <w:drawing>
          <wp:inline distT="0" distB="0" distL="0" distR="0" wp14:anchorId="25F903B9" wp14:editId="5D10A061">
            <wp:extent cx="3324084" cy="6553200"/>
            <wp:effectExtent l="0" t="0" r="0" b="0"/>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fig.46.jpg"/>
                    <pic:cNvPicPr/>
                  </pic:nvPicPr>
                  <pic:blipFill>
                    <a:blip r:embed="rId53">
                      <a:extLst>
                        <a:ext uri="{28A0092B-C50C-407E-A947-70E740481C1C}">
                          <a14:useLocalDpi xmlns:a14="http://schemas.microsoft.com/office/drawing/2010/main" val="0"/>
                        </a:ext>
                      </a:extLst>
                    </a:blip>
                    <a:stretch>
                      <a:fillRect/>
                    </a:stretch>
                  </pic:blipFill>
                  <pic:spPr>
                    <a:xfrm>
                      <a:off x="0" y="0"/>
                      <a:ext cx="3326600" cy="6558161"/>
                    </a:xfrm>
                    <a:prstGeom prst="rect">
                      <a:avLst/>
                    </a:prstGeom>
                  </pic:spPr>
                </pic:pic>
              </a:graphicData>
            </a:graphic>
          </wp:inline>
        </w:drawing>
      </w:r>
    </w:p>
    <w:p w14:paraId="07DA3758" w14:textId="2259A9AC" w:rsidR="00232E18" w:rsidRPr="00B433A3" w:rsidRDefault="00232E18" w:rsidP="00232E18">
      <w:pPr>
        <w:pStyle w:val="Didascalia"/>
        <w:rPr>
          <w:rFonts w:ascii="Times New Roman" w:hAnsi="Times New Roman" w:cs="Times New Roman"/>
          <w:b w:val="0"/>
          <w:sz w:val="24"/>
          <w:szCs w:val="24"/>
        </w:rPr>
      </w:pPr>
      <w:r>
        <w:rPr>
          <w:rFonts w:ascii="Times New Roman" w:hAnsi="Times New Roman" w:cs="Times New Roman"/>
          <w:i/>
          <w:sz w:val="24"/>
          <w:szCs w:val="24"/>
        </w:rPr>
        <w:t xml:space="preserve">   </w:t>
      </w:r>
      <w:r w:rsidRPr="00B433A3">
        <w:rPr>
          <w:rFonts w:ascii="Times New Roman" w:hAnsi="Times New Roman" w:cs="Times New Roman"/>
          <w:b w:val="0"/>
          <w:sz w:val="24"/>
          <w:szCs w:val="24"/>
        </w:rPr>
        <w:t xml:space="preserve">Figura </w:t>
      </w:r>
      <w:r w:rsidRPr="00B433A3">
        <w:rPr>
          <w:rFonts w:ascii="Times New Roman" w:hAnsi="Times New Roman" w:cs="Times New Roman"/>
          <w:b w:val="0"/>
          <w:sz w:val="24"/>
          <w:szCs w:val="24"/>
        </w:rPr>
        <w:fldChar w:fldCharType="begin"/>
      </w:r>
      <w:r w:rsidRPr="00B433A3">
        <w:rPr>
          <w:rFonts w:ascii="Times New Roman" w:hAnsi="Times New Roman" w:cs="Times New Roman"/>
          <w:b w:val="0"/>
          <w:sz w:val="24"/>
          <w:szCs w:val="24"/>
        </w:rPr>
        <w:instrText xml:space="preserve"> SEQ Figura \* ARABIC </w:instrText>
      </w:r>
      <w:r w:rsidRPr="00B433A3">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46</w:t>
      </w:r>
      <w:r w:rsidRPr="00B433A3">
        <w:rPr>
          <w:rFonts w:ascii="Times New Roman" w:hAnsi="Times New Roman" w:cs="Times New Roman"/>
          <w:b w:val="0"/>
          <w:sz w:val="24"/>
          <w:szCs w:val="24"/>
        </w:rPr>
        <w:fldChar w:fldCharType="end"/>
      </w:r>
      <w:r w:rsidRPr="00B433A3">
        <w:rPr>
          <w:rFonts w:ascii="Times New Roman" w:hAnsi="Times New Roman" w:cs="Times New Roman"/>
          <w:b w:val="0"/>
          <w:sz w:val="24"/>
          <w:szCs w:val="24"/>
        </w:rPr>
        <w:t xml:space="preserve">. Bologna, Museo medievale. Francesco Francia, </w:t>
      </w:r>
      <w:r w:rsidRPr="00B433A3">
        <w:rPr>
          <w:rFonts w:ascii="Times New Roman" w:hAnsi="Times New Roman" w:cs="Times New Roman"/>
          <w:b w:val="0"/>
          <w:i/>
          <w:sz w:val="24"/>
          <w:szCs w:val="24"/>
        </w:rPr>
        <w:t>Targone da parata.</w:t>
      </w:r>
      <w:r w:rsidRPr="00B433A3">
        <w:rPr>
          <w:rFonts w:ascii="Times New Roman" w:hAnsi="Times New Roman" w:cs="Times New Roman"/>
          <w:b w:val="0"/>
          <w:sz w:val="24"/>
          <w:szCs w:val="24"/>
        </w:rPr>
        <w:t xml:space="preserve"> Post 1488.</w:t>
      </w:r>
    </w:p>
    <w:p w14:paraId="5989E7BC" w14:textId="77777777" w:rsidR="00232E18" w:rsidRDefault="00232E18" w:rsidP="00232E18"/>
    <w:p w14:paraId="1A8BFD0D" w14:textId="77777777" w:rsidR="00232E18" w:rsidRDefault="00232E18" w:rsidP="00232E18">
      <w:r>
        <w:br w:type="page"/>
      </w:r>
    </w:p>
    <w:p w14:paraId="0777A8D4" w14:textId="77777777" w:rsidR="00232E18" w:rsidRDefault="00232E18" w:rsidP="00232E18"/>
    <w:p w14:paraId="14947CF9" w14:textId="77777777" w:rsidR="00232E18" w:rsidRDefault="00232E18" w:rsidP="00232E18"/>
    <w:p w14:paraId="1F8B1987" w14:textId="77777777" w:rsidR="00232E18" w:rsidRDefault="00232E18" w:rsidP="00232E18">
      <w:pPr>
        <w:keepNext/>
        <w:ind w:left="851"/>
      </w:pPr>
      <w:r>
        <w:rPr>
          <w:noProof/>
        </w:rPr>
        <w:drawing>
          <wp:inline distT="0" distB="0" distL="0" distR="0" wp14:anchorId="61E590B6" wp14:editId="3EED9067">
            <wp:extent cx="5029200" cy="5553075"/>
            <wp:effectExtent l="0" t="0" r="0" b="9525"/>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fig.47.jpg"/>
                    <pic:cNvPicPr/>
                  </pic:nvPicPr>
                  <pic:blipFill>
                    <a:blip r:embed="rId54">
                      <a:extLst>
                        <a:ext uri="{28A0092B-C50C-407E-A947-70E740481C1C}">
                          <a14:useLocalDpi xmlns:a14="http://schemas.microsoft.com/office/drawing/2010/main" val="0"/>
                        </a:ext>
                      </a:extLst>
                    </a:blip>
                    <a:stretch>
                      <a:fillRect/>
                    </a:stretch>
                  </pic:blipFill>
                  <pic:spPr>
                    <a:xfrm>
                      <a:off x="0" y="0"/>
                      <a:ext cx="5029200" cy="5553075"/>
                    </a:xfrm>
                    <a:prstGeom prst="rect">
                      <a:avLst/>
                    </a:prstGeom>
                  </pic:spPr>
                </pic:pic>
              </a:graphicData>
            </a:graphic>
          </wp:inline>
        </w:drawing>
      </w:r>
    </w:p>
    <w:p w14:paraId="365F04F1" w14:textId="654A48DB" w:rsidR="00232E18" w:rsidRPr="00B433A3" w:rsidRDefault="00232E18" w:rsidP="00232E18">
      <w:pPr>
        <w:pStyle w:val="Didascalia"/>
        <w:jc w:val="both"/>
        <w:rPr>
          <w:rFonts w:ascii="Times New Roman" w:hAnsi="Times New Roman" w:cs="Times New Roman"/>
          <w:b w:val="0"/>
          <w:sz w:val="24"/>
          <w:szCs w:val="24"/>
        </w:rPr>
      </w:pPr>
      <w:r w:rsidRPr="00B433A3">
        <w:rPr>
          <w:rFonts w:ascii="Times New Roman" w:hAnsi="Times New Roman" w:cs="Times New Roman"/>
          <w:b w:val="0"/>
          <w:sz w:val="24"/>
          <w:szCs w:val="24"/>
        </w:rPr>
        <w:t xml:space="preserve">Figura </w:t>
      </w:r>
      <w:r w:rsidRPr="00B433A3">
        <w:rPr>
          <w:rFonts w:ascii="Times New Roman" w:hAnsi="Times New Roman" w:cs="Times New Roman"/>
          <w:b w:val="0"/>
          <w:sz w:val="24"/>
          <w:szCs w:val="24"/>
        </w:rPr>
        <w:fldChar w:fldCharType="begin"/>
      </w:r>
      <w:r w:rsidRPr="00B433A3">
        <w:rPr>
          <w:rFonts w:ascii="Times New Roman" w:hAnsi="Times New Roman" w:cs="Times New Roman"/>
          <w:b w:val="0"/>
          <w:sz w:val="24"/>
          <w:szCs w:val="24"/>
        </w:rPr>
        <w:instrText xml:space="preserve"> SEQ Figura \* ARABIC </w:instrText>
      </w:r>
      <w:r w:rsidRPr="00B433A3">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47</w:t>
      </w:r>
      <w:r w:rsidRPr="00B433A3">
        <w:rPr>
          <w:rFonts w:ascii="Times New Roman" w:hAnsi="Times New Roman" w:cs="Times New Roman"/>
          <w:b w:val="0"/>
          <w:sz w:val="24"/>
          <w:szCs w:val="24"/>
        </w:rPr>
        <w:fldChar w:fldCharType="end"/>
      </w:r>
      <w:r w:rsidRPr="00B433A3">
        <w:rPr>
          <w:rFonts w:ascii="Times New Roman" w:hAnsi="Times New Roman" w:cs="Times New Roman"/>
          <w:b w:val="0"/>
          <w:sz w:val="24"/>
          <w:szCs w:val="24"/>
        </w:rPr>
        <w:t xml:space="preserve">. Milano, Archivio capitolare della Fabbrica del Duomo. </w:t>
      </w:r>
      <w:r w:rsidRPr="00B433A3">
        <w:rPr>
          <w:rFonts w:ascii="Times New Roman" w:hAnsi="Times New Roman" w:cs="Times New Roman"/>
          <w:b w:val="0"/>
          <w:i/>
          <w:sz w:val="24"/>
          <w:szCs w:val="24"/>
        </w:rPr>
        <w:t>Schema illustrativo dell’alzato della facciata di Gabriele Stornaloco</w:t>
      </w:r>
      <w:r w:rsidRPr="00B433A3">
        <w:rPr>
          <w:b w:val="0"/>
        </w:rPr>
        <w:t xml:space="preserve">. </w:t>
      </w:r>
      <w:r w:rsidRPr="00B433A3">
        <w:rPr>
          <w:rFonts w:ascii="Times New Roman" w:hAnsi="Times New Roman" w:cs="Times New Roman"/>
          <w:b w:val="0"/>
          <w:sz w:val="24"/>
          <w:szCs w:val="24"/>
        </w:rPr>
        <w:t xml:space="preserve">Circa 1400. </w:t>
      </w:r>
    </w:p>
    <w:p w14:paraId="764D7487" w14:textId="77777777" w:rsidR="00232E18" w:rsidRDefault="00232E18" w:rsidP="00232E18">
      <w:r>
        <w:br w:type="page"/>
      </w:r>
    </w:p>
    <w:p w14:paraId="147C5D3A" w14:textId="77777777" w:rsidR="00232E18" w:rsidRDefault="00232E18" w:rsidP="00232E18">
      <w:pPr>
        <w:keepNext/>
        <w:ind w:left="851"/>
      </w:pPr>
      <w:r>
        <w:rPr>
          <w:noProof/>
        </w:rPr>
        <w:drawing>
          <wp:inline distT="0" distB="0" distL="0" distR="0" wp14:anchorId="3AC983AE" wp14:editId="5FCD6FE5">
            <wp:extent cx="5000625" cy="7124700"/>
            <wp:effectExtent l="0" t="0" r="9525" b="0"/>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fig.48.jpg"/>
                    <pic:cNvPicPr/>
                  </pic:nvPicPr>
                  <pic:blipFill>
                    <a:blip r:embed="rId55">
                      <a:extLst>
                        <a:ext uri="{28A0092B-C50C-407E-A947-70E740481C1C}">
                          <a14:useLocalDpi xmlns:a14="http://schemas.microsoft.com/office/drawing/2010/main" val="0"/>
                        </a:ext>
                      </a:extLst>
                    </a:blip>
                    <a:stretch>
                      <a:fillRect/>
                    </a:stretch>
                  </pic:blipFill>
                  <pic:spPr>
                    <a:xfrm>
                      <a:off x="0" y="0"/>
                      <a:ext cx="5000625" cy="7124700"/>
                    </a:xfrm>
                    <a:prstGeom prst="rect">
                      <a:avLst/>
                    </a:prstGeom>
                  </pic:spPr>
                </pic:pic>
              </a:graphicData>
            </a:graphic>
          </wp:inline>
        </w:drawing>
      </w:r>
    </w:p>
    <w:p w14:paraId="0211290E" w14:textId="054BB976" w:rsidR="00232E18" w:rsidRPr="008E7DA8" w:rsidRDefault="00232E18" w:rsidP="00232E18">
      <w:pPr>
        <w:pStyle w:val="Didascalia"/>
        <w:jc w:val="both"/>
        <w:rPr>
          <w:rFonts w:ascii="Times New Roman" w:hAnsi="Times New Roman" w:cs="Times New Roman"/>
          <w:b w:val="0"/>
          <w:sz w:val="24"/>
          <w:szCs w:val="24"/>
        </w:rPr>
      </w:pPr>
      <w:r w:rsidRPr="008E7DA8">
        <w:rPr>
          <w:rFonts w:ascii="Times New Roman" w:hAnsi="Times New Roman" w:cs="Times New Roman"/>
          <w:b w:val="0"/>
          <w:sz w:val="24"/>
          <w:szCs w:val="24"/>
        </w:rPr>
        <w:t xml:space="preserve">Figura </w:t>
      </w:r>
      <w:r w:rsidRPr="008E7DA8">
        <w:rPr>
          <w:rFonts w:ascii="Times New Roman" w:hAnsi="Times New Roman" w:cs="Times New Roman"/>
          <w:b w:val="0"/>
          <w:noProof/>
          <w:sz w:val="24"/>
          <w:szCs w:val="24"/>
        </w:rPr>
        <w:fldChar w:fldCharType="begin"/>
      </w:r>
      <w:r w:rsidRPr="008E7DA8">
        <w:rPr>
          <w:rFonts w:ascii="Times New Roman" w:hAnsi="Times New Roman" w:cs="Times New Roman"/>
          <w:b w:val="0"/>
          <w:noProof/>
          <w:sz w:val="24"/>
          <w:szCs w:val="24"/>
        </w:rPr>
        <w:instrText xml:space="preserve"> SEQ Figura \* ARABIC </w:instrText>
      </w:r>
      <w:r w:rsidRPr="008E7DA8">
        <w:rPr>
          <w:rFonts w:ascii="Times New Roman" w:hAnsi="Times New Roman" w:cs="Times New Roman"/>
          <w:b w:val="0"/>
          <w:noProof/>
          <w:sz w:val="24"/>
          <w:szCs w:val="24"/>
        </w:rPr>
        <w:fldChar w:fldCharType="separate"/>
      </w:r>
      <w:r w:rsidR="00273A65">
        <w:rPr>
          <w:rFonts w:ascii="Times New Roman" w:hAnsi="Times New Roman" w:cs="Times New Roman"/>
          <w:b w:val="0"/>
          <w:noProof/>
          <w:sz w:val="24"/>
          <w:szCs w:val="24"/>
        </w:rPr>
        <w:t>48</w:t>
      </w:r>
      <w:r w:rsidRPr="008E7DA8">
        <w:rPr>
          <w:rFonts w:ascii="Times New Roman" w:hAnsi="Times New Roman" w:cs="Times New Roman"/>
          <w:b w:val="0"/>
          <w:noProof/>
          <w:sz w:val="24"/>
          <w:szCs w:val="24"/>
        </w:rPr>
        <w:fldChar w:fldCharType="end"/>
      </w:r>
      <w:r w:rsidRPr="008E7DA8">
        <w:rPr>
          <w:rFonts w:ascii="Times New Roman" w:hAnsi="Times New Roman" w:cs="Times New Roman"/>
          <w:b w:val="0"/>
          <w:sz w:val="24"/>
          <w:szCs w:val="24"/>
        </w:rPr>
        <w:t>.</w:t>
      </w:r>
      <w:r w:rsidRPr="008E7DA8">
        <w:rPr>
          <w:b w:val="0"/>
        </w:rPr>
        <w:t xml:space="preserve"> </w:t>
      </w:r>
      <w:r w:rsidRPr="008E7DA8">
        <w:rPr>
          <w:rFonts w:ascii="Times New Roman" w:hAnsi="Times New Roman" w:cs="Times New Roman"/>
          <w:b w:val="0"/>
          <w:sz w:val="24"/>
          <w:szCs w:val="24"/>
        </w:rPr>
        <w:t xml:space="preserve">Torino, Biblioteca reale, Codice Varia 124, f. 2v. Leggendario Sforza-Savoia. </w:t>
      </w:r>
      <w:r w:rsidRPr="008E7DA8">
        <w:rPr>
          <w:rFonts w:ascii="Times New Roman" w:hAnsi="Times New Roman" w:cs="Times New Roman"/>
          <w:b w:val="0"/>
          <w:i/>
          <w:sz w:val="24"/>
          <w:szCs w:val="24"/>
        </w:rPr>
        <w:t>Impresa di Galeazzo Maria Sforza</w:t>
      </w:r>
      <w:r w:rsidRPr="008E7DA8">
        <w:rPr>
          <w:rFonts w:ascii="Times New Roman" w:hAnsi="Times New Roman" w:cs="Times New Roman"/>
          <w:b w:val="0"/>
          <w:sz w:val="24"/>
          <w:szCs w:val="24"/>
        </w:rPr>
        <w:t>. Cristoforo de Predis. 1476.</w:t>
      </w:r>
    </w:p>
    <w:p w14:paraId="6760AD4A" w14:textId="77777777" w:rsidR="00232E18" w:rsidRDefault="00232E18" w:rsidP="00232E18">
      <w:pPr>
        <w:pStyle w:val="Didascalia"/>
      </w:pPr>
    </w:p>
    <w:p w14:paraId="02E4DA5D" w14:textId="77777777" w:rsidR="00232E18" w:rsidRDefault="00232E18" w:rsidP="00232E18"/>
    <w:p w14:paraId="2099CA2C" w14:textId="77777777" w:rsidR="00232E18" w:rsidRDefault="00232E18" w:rsidP="00232E18">
      <w:r>
        <w:br w:type="page"/>
      </w:r>
    </w:p>
    <w:p w14:paraId="46EDD027" w14:textId="77777777" w:rsidR="00232E18" w:rsidRDefault="00232E18" w:rsidP="00232E18">
      <w:pPr>
        <w:keepNext/>
      </w:pPr>
      <w:r>
        <w:rPr>
          <w:noProof/>
        </w:rPr>
        <w:drawing>
          <wp:inline distT="0" distB="0" distL="0" distR="0" wp14:anchorId="674A7B2E" wp14:editId="2F648F7E">
            <wp:extent cx="6422363" cy="2202290"/>
            <wp:effectExtent l="0" t="0" r="0" b="762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49.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552448" cy="2246898"/>
                    </a:xfrm>
                    <a:prstGeom prst="rect">
                      <a:avLst/>
                    </a:prstGeom>
                  </pic:spPr>
                </pic:pic>
              </a:graphicData>
            </a:graphic>
          </wp:inline>
        </w:drawing>
      </w:r>
    </w:p>
    <w:p w14:paraId="2C5754AA" w14:textId="5432D9AF" w:rsidR="00232E18" w:rsidRDefault="00232E18" w:rsidP="00FB2166">
      <w:pPr>
        <w:pStyle w:val="Didascalia"/>
        <w:ind w:left="709"/>
        <w:jc w:val="both"/>
        <w:rPr>
          <w:rFonts w:ascii="Times New Roman" w:hAnsi="Times New Roman" w:cs="Times New Roman"/>
          <w:b w:val="0"/>
          <w:sz w:val="24"/>
          <w:szCs w:val="24"/>
        </w:rPr>
      </w:pPr>
      <w:r w:rsidRPr="008E7DA8">
        <w:rPr>
          <w:rFonts w:ascii="Times New Roman" w:hAnsi="Times New Roman" w:cs="Times New Roman"/>
          <w:b w:val="0"/>
          <w:sz w:val="24"/>
          <w:szCs w:val="24"/>
        </w:rPr>
        <w:t xml:space="preserve">Figura </w:t>
      </w:r>
      <w:r w:rsidRPr="008E7DA8">
        <w:rPr>
          <w:rFonts w:ascii="Times New Roman" w:hAnsi="Times New Roman" w:cs="Times New Roman"/>
          <w:b w:val="0"/>
          <w:sz w:val="24"/>
          <w:szCs w:val="24"/>
        </w:rPr>
        <w:fldChar w:fldCharType="begin"/>
      </w:r>
      <w:r w:rsidRPr="008E7DA8">
        <w:rPr>
          <w:rFonts w:ascii="Times New Roman" w:hAnsi="Times New Roman" w:cs="Times New Roman"/>
          <w:b w:val="0"/>
          <w:sz w:val="24"/>
          <w:szCs w:val="24"/>
        </w:rPr>
        <w:instrText xml:space="preserve"> SEQ Figura \* ARABIC </w:instrText>
      </w:r>
      <w:r w:rsidRPr="008E7DA8">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49</w:t>
      </w:r>
      <w:r w:rsidRPr="008E7DA8">
        <w:rPr>
          <w:rFonts w:ascii="Times New Roman" w:hAnsi="Times New Roman" w:cs="Times New Roman"/>
          <w:b w:val="0"/>
          <w:sz w:val="24"/>
          <w:szCs w:val="24"/>
        </w:rPr>
        <w:fldChar w:fldCharType="end"/>
      </w:r>
      <w:r w:rsidRPr="008E7DA8">
        <w:rPr>
          <w:rFonts w:ascii="Times New Roman" w:hAnsi="Times New Roman" w:cs="Times New Roman"/>
          <w:b w:val="0"/>
          <w:sz w:val="24"/>
          <w:szCs w:val="24"/>
        </w:rPr>
        <w:t>.</w:t>
      </w:r>
      <w:r>
        <w:rPr>
          <w:rFonts w:ascii="Times New Roman" w:hAnsi="Times New Roman" w:cs="Times New Roman"/>
          <w:b w:val="0"/>
          <w:sz w:val="24"/>
          <w:szCs w:val="24"/>
        </w:rPr>
        <w:t xml:space="preserve"> </w:t>
      </w:r>
      <w:r w:rsidRPr="008E7DA8">
        <w:rPr>
          <w:rFonts w:ascii="Times New Roman" w:hAnsi="Times New Roman" w:cs="Times New Roman"/>
          <w:b w:val="0"/>
          <w:sz w:val="24"/>
          <w:szCs w:val="24"/>
        </w:rPr>
        <w:t>Firenze, Galleria dell’Accademia. Giovanni di ser Giovanni, Cassone detto Adimari.1450.</w:t>
      </w:r>
    </w:p>
    <w:p w14:paraId="2D57D833" w14:textId="77777777" w:rsidR="00232E18" w:rsidRPr="00512CF0" w:rsidRDefault="00232E18" w:rsidP="00232E18"/>
    <w:p w14:paraId="1E0DD939" w14:textId="77777777" w:rsidR="00232E18" w:rsidRDefault="00232E18" w:rsidP="00232E18">
      <w:pPr>
        <w:pStyle w:val="Didascalia"/>
        <w:ind w:left="709"/>
        <w:jc w:val="both"/>
        <w:rPr>
          <w:rFonts w:ascii="Times New Roman" w:hAnsi="Times New Roman" w:cs="Times New Roman"/>
          <w:b w:val="0"/>
          <w:sz w:val="24"/>
          <w:szCs w:val="24"/>
        </w:rPr>
      </w:pPr>
      <w:r w:rsidRPr="008E7DA8">
        <w:rPr>
          <w:rFonts w:ascii="Times New Roman" w:hAnsi="Times New Roman" w:cs="Times New Roman"/>
          <w:b w:val="0"/>
          <w:sz w:val="24"/>
          <w:szCs w:val="24"/>
        </w:rPr>
        <w:t xml:space="preserve"> </w:t>
      </w:r>
      <w:r>
        <w:rPr>
          <w:rFonts w:ascii="Times New Roman" w:hAnsi="Times New Roman" w:cs="Times New Roman"/>
          <w:b w:val="0"/>
          <w:noProof/>
          <w:sz w:val="24"/>
          <w:szCs w:val="24"/>
        </w:rPr>
        <w:drawing>
          <wp:inline distT="0" distB="0" distL="0" distR="0" wp14:anchorId="3FE1B14F" wp14:editId="505C0A0D">
            <wp:extent cx="5120079" cy="5152445"/>
            <wp:effectExtent l="0" t="0" r="4445" b="0"/>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fig.50.jpg"/>
                    <pic:cNvPicPr/>
                  </pic:nvPicPr>
                  <pic:blipFill>
                    <a:blip r:embed="rId57">
                      <a:extLst>
                        <a:ext uri="{28A0092B-C50C-407E-A947-70E740481C1C}">
                          <a14:useLocalDpi xmlns:a14="http://schemas.microsoft.com/office/drawing/2010/main" val="0"/>
                        </a:ext>
                      </a:extLst>
                    </a:blip>
                    <a:stretch>
                      <a:fillRect/>
                    </a:stretch>
                  </pic:blipFill>
                  <pic:spPr>
                    <a:xfrm>
                      <a:off x="0" y="0"/>
                      <a:ext cx="5185826" cy="5218608"/>
                    </a:xfrm>
                    <a:prstGeom prst="rect">
                      <a:avLst/>
                    </a:prstGeom>
                  </pic:spPr>
                </pic:pic>
              </a:graphicData>
            </a:graphic>
          </wp:inline>
        </w:drawing>
      </w:r>
    </w:p>
    <w:p w14:paraId="14531822" w14:textId="11FC8BF1" w:rsidR="00232E18" w:rsidRPr="002E0B4B" w:rsidRDefault="00232E18" w:rsidP="00232E18">
      <w:pPr>
        <w:pStyle w:val="Didascalia"/>
        <w:jc w:val="both"/>
        <w:rPr>
          <w:rFonts w:ascii="Times New Roman" w:hAnsi="Times New Roman" w:cs="Times New Roman"/>
          <w:b w:val="0"/>
          <w:sz w:val="24"/>
          <w:szCs w:val="24"/>
        </w:rPr>
      </w:pPr>
      <w:r w:rsidRPr="002E0B4B">
        <w:rPr>
          <w:rFonts w:ascii="Times New Roman" w:hAnsi="Times New Roman" w:cs="Times New Roman"/>
          <w:b w:val="0"/>
          <w:sz w:val="24"/>
          <w:szCs w:val="24"/>
        </w:rPr>
        <w:t xml:space="preserve">Figura </w:t>
      </w:r>
      <w:r w:rsidRPr="002E0B4B">
        <w:rPr>
          <w:rFonts w:ascii="Times New Roman" w:hAnsi="Times New Roman" w:cs="Times New Roman"/>
          <w:b w:val="0"/>
          <w:sz w:val="24"/>
          <w:szCs w:val="24"/>
        </w:rPr>
        <w:fldChar w:fldCharType="begin"/>
      </w:r>
      <w:r w:rsidRPr="002E0B4B">
        <w:rPr>
          <w:rFonts w:ascii="Times New Roman" w:hAnsi="Times New Roman" w:cs="Times New Roman"/>
          <w:b w:val="0"/>
          <w:sz w:val="24"/>
          <w:szCs w:val="24"/>
        </w:rPr>
        <w:instrText xml:space="preserve"> SEQ Figura \* ARABIC </w:instrText>
      </w:r>
      <w:r w:rsidRPr="002E0B4B">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50</w:t>
      </w:r>
      <w:r w:rsidRPr="002E0B4B">
        <w:rPr>
          <w:rFonts w:ascii="Times New Roman" w:hAnsi="Times New Roman" w:cs="Times New Roman"/>
          <w:b w:val="0"/>
          <w:sz w:val="24"/>
          <w:szCs w:val="24"/>
        </w:rPr>
        <w:fldChar w:fldCharType="end"/>
      </w:r>
      <w:r w:rsidRPr="002E0B4B">
        <w:rPr>
          <w:rFonts w:ascii="Times New Roman" w:hAnsi="Times New Roman" w:cs="Times New Roman"/>
          <w:b w:val="0"/>
          <w:sz w:val="24"/>
          <w:szCs w:val="24"/>
        </w:rPr>
        <w:t>.</w:t>
      </w:r>
      <w:r w:rsidRPr="002E0B4B">
        <w:rPr>
          <w:b w:val="0"/>
        </w:rPr>
        <w:t xml:space="preserve"> </w:t>
      </w:r>
      <w:r w:rsidRPr="002E0B4B">
        <w:rPr>
          <w:rFonts w:ascii="Times New Roman" w:hAnsi="Times New Roman" w:cs="Times New Roman"/>
          <w:b w:val="0"/>
          <w:sz w:val="24"/>
          <w:szCs w:val="24"/>
        </w:rPr>
        <w:t xml:space="preserve">Milano, Biblioteca Capitolare del Duomo, ms. II. D. I. 13, f. 1r. Messale Arcimboldi. Maestro B.F. 1495. </w:t>
      </w:r>
    </w:p>
    <w:p w14:paraId="52D17B36" w14:textId="77777777" w:rsidR="00232E18" w:rsidRDefault="00232E18" w:rsidP="00232E18">
      <w:pPr>
        <w:rPr>
          <w:rFonts w:ascii="Times New Roman" w:hAnsi="Times New Roman" w:cs="Times New Roman"/>
          <w:iCs/>
          <w:color w:val="44546A" w:themeColor="text2"/>
          <w:sz w:val="24"/>
          <w:szCs w:val="24"/>
        </w:rPr>
      </w:pPr>
      <w:r>
        <w:rPr>
          <w:rFonts w:ascii="Times New Roman" w:hAnsi="Times New Roman" w:cs="Times New Roman"/>
          <w:i/>
          <w:sz w:val="24"/>
          <w:szCs w:val="24"/>
        </w:rPr>
        <w:br w:type="page"/>
      </w:r>
    </w:p>
    <w:p w14:paraId="49709C8F" w14:textId="77777777" w:rsidR="00232E18" w:rsidRDefault="00232E18" w:rsidP="00232E18">
      <w:pPr>
        <w:pStyle w:val="Didascalia"/>
        <w:keepNext/>
        <w:ind w:left="426"/>
        <w:jc w:val="both"/>
      </w:pPr>
      <w:r>
        <w:rPr>
          <w:noProof/>
        </w:rPr>
        <w:drawing>
          <wp:inline distT="0" distB="0" distL="0" distR="0" wp14:anchorId="75FA7334" wp14:editId="242293F8">
            <wp:extent cx="5886450" cy="8010525"/>
            <wp:effectExtent l="0" t="0" r="0" b="9525"/>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El.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886450" cy="8010525"/>
                    </a:xfrm>
                    <a:prstGeom prst="rect">
                      <a:avLst/>
                    </a:prstGeom>
                  </pic:spPr>
                </pic:pic>
              </a:graphicData>
            </a:graphic>
          </wp:inline>
        </w:drawing>
      </w:r>
    </w:p>
    <w:p w14:paraId="003300E8" w14:textId="0B4487CC" w:rsidR="00232E18" w:rsidRPr="002E0B4B" w:rsidRDefault="00232E18" w:rsidP="00232E18">
      <w:pPr>
        <w:pStyle w:val="Didascalia"/>
        <w:jc w:val="both"/>
        <w:rPr>
          <w:rFonts w:ascii="Times New Roman" w:hAnsi="Times New Roman" w:cs="Times New Roman"/>
          <w:b w:val="0"/>
          <w:sz w:val="24"/>
          <w:szCs w:val="24"/>
        </w:rPr>
      </w:pPr>
      <w:r w:rsidRPr="002E0B4B">
        <w:rPr>
          <w:rFonts w:ascii="Times New Roman" w:hAnsi="Times New Roman" w:cs="Times New Roman"/>
          <w:b w:val="0"/>
          <w:sz w:val="24"/>
          <w:szCs w:val="24"/>
        </w:rPr>
        <w:t xml:space="preserve">Figura </w:t>
      </w:r>
      <w:r w:rsidRPr="002E0B4B">
        <w:rPr>
          <w:rFonts w:ascii="Times New Roman" w:hAnsi="Times New Roman" w:cs="Times New Roman"/>
          <w:b w:val="0"/>
          <w:noProof/>
          <w:sz w:val="24"/>
          <w:szCs w:val="24"/>
        </w:rPr>
        <w:fldChar w:fldCharType="begin"/>
      </w:r>
      <w:r w:rsidRPr="002E0B4B">
        <w:rPr>
          <w:rFonts w:ascii="Times New Roman" w:hAnsi="Times New Roman" w:cs="Times New Roman"/>
          <w:b w:val="0"/>
          <w:noProof/>
          <w:sz w:val="24"/>
          <w:szCs w:val="24"/>
        </w:rPr>
        <w:instrText xml:space="preserve"> SEQ Figura \* ARABIC </w:instrText>
      </w:r>
      <w:r w:rsidRPr="002E0B4B">
        <w:rPr>
          <w:rFonts w:ascii="Times New Roman" w:hAnsi="Times New Roman" w:cs="Times New Roman"/>
          <w:b w:val="0"/>
          <w:noProof/>
          <w:sz w:val="24"/>
          <w:szCs w:val="24"/>
        </w:rPr>
        <w:fldChar w:fldCharType="separate"/>
      </w:r>
      <w:r w:rsidR="00273A65">
        <w:rPr>
          <w:rFonts w:ascii="Times New Roman" w:hAnsi="Times New Roman" w:cs="Times New Roman"/>
          <w:b w:val="0"/>
          <w:noProof/>
          <w:sz w:val="24"/>
          <w:szCs w:val="24"/>
        </w:rPr>
        <w:t>51</w:t>
      </w:r>
      <w:r w:rsidRPr="002E0B4B">
        <w:rPr>
          <w:rFonts w:ascii="Times New Roman" w:hAnsi="Times New Roman" w:cs="Times New Roman"/>
          <w:b w:val="0"/>
          <w:noProof/>
          <w:sz w:val="24"/>
          <w:szCs w:val="24"/>
        </w:rPr>
        <w:fldChar w:fldCharType="end"/>
      </w:r>
      <w:r w:rsidRPr="002E0B4B">
        <w:rPr>
          <w:rFonts w:ascii="Times New Roman" w:hAnsi="Times New Roman" w:cs="Times New Roman"/>
          <w:b w:val="0"/>
          <w:noProof/>
          <w:sz w:val="24"/>
          <w:szCs w:val="24"/>
        </w:rPr>
        <w:t xml:space="preserve">. Roma, Ospedale di Santo Spirito in Sassia. Anonimo, </w:t>
      </w:r>
      <w:r w:rsidRPr="002E0B4B">
        <w:rPr>
          <w:rFonts w:ascii="Times New Roman" w:hAnsi="Times New Roman" w:cs="Times New Roman"/>
          <w:b w:val="0"/>
          <w:i/>
          <w:noProof/>
          <w:sz w:val="24"/>
          <w:szCs w:val="24"/>
        </w:rPr>
        <w:t>Sisto IV riceve Eleonora d’Aragona in Vaticano</w:t>
      </w:r>
      <w:r w:rsidRPr="002E0B4B">
        <w:rPr>
          <w:rFonts w:ascii="Times New Roman" w:hAnsi="Times New Roman" w:cs="Times New Roman"/>
          <w:b w:val="0"/>
          <w:noProof/>
          <w:sz w:val="24"/>
          <w:szCs w:val="24"/>
        </w:rPr>
        <w:t xml:space="preserve">, 1476-1481. </w:t>
      </w:r>
    </w:p>
    <w:p w14:paraId="3FB6676C" w14:textId="77777777" w:rsidR="00232E18" w:rsidRDefault="00232E18" w:rsidP="00232E18">
      <w:r>
        <w:br w:type="page"/>
      </w:r>
    </w:p>
    <w:p w14:paraId="53AA7B58" w14:textId="77777777" w:rsidR="00232E18" w:rsidRDefault="00232E18" w:rsidP="00232E18">
      <w:pPr>
        <w:keepNext/>
        <w:ind w:left="426" w:right="-1"/>
      </w:pPr>
      <w:r>
        <w:rPr>
          <w:noProof/>
        </w:rPr>
        <w:drawing>
          <wp:inline distT="0" distB="0" distL="0" distR="0" wp14:anchorId="5D935128" wp14:editId="779D50FB">
            <wp:extent cx="5705475" cy="8077200"/>
            <wp:effectExtent l="0" t="0" r="9525" b="0"/>
            <wp:docPr id="53" name="Immagin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fig.52.jpg"/>
                    <pic:cNvPicPr/>
                  </pic:nvPicPr>
                  <pic:blipFill>
                    <a:blip r:embed="rId59">
                      <a:extLst>
                        <a:ext uri="{28A0092B-C50C-407E-A947-70E740481C1C}">
                          <a14:useLocalDpi xmlns:a14="http://schemas.microsoft.com/office/drawing/2010/main" val="0"/>
                        </a:ext>
                      </a:extLst>
                    </a:blip>
                    <a:stretch>
                      <a:fillRect/>
                    </a:stretch>
                  </pic:blipFill>
                  <pic:spPr>
                    <a:xfrm>
                      <a:off x="0" y="0"/>
                      <a:ext cx="5705475" cy="8077200"/>
                    </a:xfrm>
                    <a:prstGeom prst="rect">
                      <a:avLst/>
                    </a:prstGeom>
                  </pic:spPr>
                </pic:pic>
              </a:graphicData>
            </a:graphic>
          </wp:inline>
        </w:drawing>
      </w:r>
    </w:p>
    <w:p w14:paraId="4E4AB06A" w14:textId="51CB97B1" w:rsidR="00232E18" w:rsidRPr="002E0B4B" w:rsidRDefault="00232E18" w:rsidP="00232E18">
      <w:pPr>
        <w:pStyle w:val="Didascalia"/>
        <w:jc w:val="both"/>
        <w:rPr>
          <w:rFonts w:ascii="Times New Roman" w:hAnsi="Times New Roman" w:cs="Times New Roman"/>
          <w:b w:val="0"/>
          <w:sz w:val="24"/>
          <w:szCs w:val="24"/>
        </w:rPr>
      </w:pPr>
      <w:r w:rsidRPr="002E0B4B">
        <w:rPr>
          <w:rFonts w:ascii="Times New Roman" w:hAnsi="Times New Roman" w:cs="Times New Roman"/>
          <w:b w:val="0"/>
          <w:sz w:val="24"/>
          <w:szCs w:val="24"/>
        </w:rPr>
        <w:t xml:space="preserve">Figura </w:t>
      </w:r>
      <w:r w:rsidRPr="002E0B4B">
        <w:rPr>
          <w:rFonts w:ascii="Times New Roman" w:hAnsi="Times New Roman" w:cs="Times New Roman"/>
          <w:b w:val="0"/>
          <w:sz w:val="24"/>
          <w:szCs w:val="24"/>
        </w:rPr>
        <w:fldChar w:fldCharType="begin"/>
      </w:r>
      <w:r w:rsidRPr="002E0B4B">
        <w:rPr>
          <w:rFonts w:ascii="Times New Roman" w:hAnsi="Times New Roman" w:cs="Times New Roman"/>
          <w:b w:val="0"/>
          <w:sz w:val="24"/>
          <w:szCs w:val="24"/>
        </w:rPr>
        <w:instrText xml:space="preserve"> SEQ Figura \* ARABIC </w:instrText>
      </w:r>
      <w:r w:rsidRPr="002E0B4B">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52</w:t>
      </w:r>
      <w:r w:rsidRPr="002E0B4B">
        <w:rPr>
          <w:rFonts w:ascii="Times New Roman" w:hAnsi="Times New Roman" w:cs="Times New Roman"/>
          <w:b w:val="0"/>
          <w:sz w:val="24"/>
          <w:szCs w:val="24"/>
        </w:rPr>
        <w:fldChar w:fldCharType="end"/>
      </w:r>
      <w:r w:rsidRPr="002E0B4B">
        <w:rPr>
          <w:rFonts w:ascii="Times New Roman" w:hAnsi="Times New Roman" w:cs="Times New Roman"/>
          <w:b w:val="0"/>
          <w:sz w:val="24"/>
          <w:szCs w:val="24"/>
        </w:rPr>
        <w:t xml:space="preserve">. Veneranda Biblioteca Ambrosiana di Milano, inv. S. P. 42, f. 15v. Libro d’ore Borromeo. </w:t>
      </w:r>
      <w:r w:rsidRPr="002E0B4B">
        <w:rPr>
          <w:rFonts w:ascii="Times New Roman" w:hAnsi="Times New Roman" w:cs="Times New Roman"/>
          <w:b w:val="0"/>
          <w:i/>
          <w:sz w:val="24"/>
          <w:szCs w:val="24"/>
        </w:rPr>
        <w:t>Lo sposalizio della Vergine</w:t>
      </w:r>
      <w:r w:rsidRPr="002E0B4B">
        <w:rPr>
          <w:rFonts w:ascii="Times New Roman" w:hAnsi="Times New Roman" w:cs="Times New Roman"/>
          <w:b w:val="0"/>
          <w:sz w:val="24"/>
          <w:szCs w:val="24"/>
        </w:rPr>
        <w:t xml:space="preserve">. Cristoforo de Predis. 1466-1474. </w:t>
      </w:r>
    </w:p>
    <w:p w14:paraId="225EBD5C" w14:textId="77777777" w:rsidR="00232E18" w:rsidRDefault="00232E18" w:rsidP="00232E18">
      <w:r>
        <w:br w:type="page"/>
      </w:r>
    </w:p>
    <w:p w14:paraId="279326A6" w14:textId="77777777" w:rsidR="00232E18" w:rsidRDefault="00232E18" w:rsidP="00232E18">
      <w:pPr>
        <w:keepNext/>
      </w:pPr>
      <w:r>
        <w:rPr>
          <w:noProof/>
        </w:rPr>
        <w:drawing>
          <wp:inline distT="0" distB="0" distL="0" distR="0" wp14:anchorId="6938AB23" wp14:editId="3E0A4498">
            <wp:extent cx="6120130" cy="1596390"/>
            <wp:effectExtent l="0" t="0" r="0" b="3810"/>
            <wp:docPr id="52"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etrarch-triumphs-zanobi-1465-1.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6120130" cy="1596390"/>
                    </a:xfrm>
                    <a:prstGeom prst="rect">
                      <a:avLst/>
                    </a:prstGeom>
                  </pic:spPr>
                </pic:pic>
              </a:graphicData>
            </a:graphic>
          </wp:inline>
        </w:drawing>
      </w:r>
    </w:p>
    <w:p w14:paraId="533E78EF" w14:textId="1FB1834F" w:rsidR="00232E18" w:rsidRPr="00CD002A" w:rsidRDefault="00232E18" w:rsidP="001D7139">
      <w:pPr>
        <w:pStyle w:val="Didascalia"/>
        <w:jc w:val="both"/>
        <w:rPr>
          <w:rFonts w:ascii="Times New Roman" w:hAnsi="Times New Roman" w:cs="Times New Roman"/>
          <w:b w:val="0"/>
          <w:sz w:val="24"/>
          <w:szCs w:val="24"/>
        </w:rPr>
      </w:pPr>
      <w:r w:rsidRPr="00CD002A">
        <w:rPr>
          <w:rFonts w:ascii="Times New Roman" w:hAnsi="Times New Roman" w:cs="Times New Roman"/>
          <w:b w:val="0"/>
          <w:sz w:val="24"/>
          <w:szCs w:val="24"/>
        </w:rPr>
        <w:t xml:space="preserve">Figura </w:t>
      </w:r>
      <w:r w:rsidRPr="00CD002A">
        <w:rPr>
          <w:rFonts w:ascii="Times New Roman" w:hAnsi="Times New Roman" w:cs="Times New Roman"/>
          <w:b w:val="0"/>
          <w:sz w:val="24"/>
          <w:szCs w:val="24"/>
        </w:rPr>
        <w:fldChar w:fldCharType="begin"/>
      </w:r>
      <w:r w:rsidRPr="00CD002A">
        <w:rPr>
          <w:rFonts w:ascii="Times New Roman" w:hAnsi="Times New Roman" w:cs="Times New Roman"/>
          <w:b w:val="0"/>
          <w:sz w:val="24"/>
          <w:szCs w:val="24"/>
        </w:rPr>
        <w:instrText xml:space="preserve"> SEQ Figura \* ARABIC </w:instrText>
      </w:r>
      <w:r w:rsidRPr="00CD002A">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53</w:t>
      </w:r>
      <w:r w:rsidRPr="00CD002A">
        <w:rPr>
          <w:rFonts w:ascii="Times New Roman" w:hAnsi="Times New Roman" w:cs="Times New Roman"/>
          <w:b w:val="0"/>
          <w:sz w:val="24"/>
          <w:szCs w:val="24"/>
        </w:rPr>
        <w:fldChar w:fldCharType="end"/>
      </w:r>
      <w:r w:rsidRPr="00CD002A">
        <w:rPr>
          <w:rFonts w:ascii="Times New Roman" w:hAnsi="Times New Roman" w:cs="Times New Roman"/>
          <w:b w:val="0"/>
          <w:sz w:val="24"/>
          <w:szCs w:val="24"/>
        </w:rPr>
        <w:t xml:space="preserve">. Trieste, Museo Petrarchesco Piccolomineo. Domenico di Zenobi, </w:t>
      </w:r>
      <w:r w:rsidRPr="00CD002A">
        <w:rPr>
          <w:rFonts w:ascii="Times New Roman" w:hAnsi="Times New Roman" w:cs="Times New Roman"/>
          <w:b w:val="0"/>
          <w:i/>
          <w:sz w:val="24"/>
          <w:szCs w:val="24"/>
        </w:rPr>
        <w:t>Trionfi</w:t>
      </w:r>
      <w:r w:rsidRPr="00CD002A">
        <w:rPr>
          <w:rFonts w:ascii="Times New Roman" w:hAnsi="Times New Roman" w:cs="Times New Roman"/>
          <w:b w:val="0"/>
          <w:sz w:val="24"/>
          <w:szCs w:val="24"/>
        </w:rPr>
        <w:t>. 1465-1470</w:t>
      </w:r>
      <w:r w:rsidRPr="00CD002A">
        <w:rPr>
          <w:rFonts w:ascii="Times New Roman" w:hAnsi="Times New Roman" w:cs="Times New Roman"/>
          <w:b w:val="0"/>
          <w:i/>
          <w:sz w:val="24"/>
          <w:szCs w:val="24"/>
        </w:rPr>
        <w:t>.</w:t>
      </w:r>
      <w:r w:rsidRPr="00CD002A">
        <w:rPr>
          <w:rFonts w:ascii="Times New Roman" w:hAnsi="Times New Roman" w:cs="Times New Roman"/>
          <w:b w:val="0"/>
          <w:sz w:val="24"/>
          <w:szCs w:val="24"/>
        </w:rPr>
        <w:t xml:space="preserve"> </w:t>
      </w:r>
    </w:p>
    <w:p w14:paraId="1EB23F5E" w14:textId="77777777" w:rsidR="00232E18" w:rsidRDefault="00232E18" w:rsidP="00232E18"/>
    <w:p w14:paraId="3735CB1F" w14:textId="77777777" w:rsidR="00232E18" w:rsidRPr="00F75F74" w:rsidRDefault="00232E18" w:rsidP="00232E18"/>
    <w:p w14:paraId="25BE332A" w14:textId="77777777" w:rsidR="00232E18" w:rsidRPr="00F90D3D" w:rsidRDefault="00232E18" w:rsidP="00232E18">
      <w:pPr>
        <w:rPr>
          <w:i/>
          <w:iCs/>
          <w:color w:val="44546A" w:themeColor="text2"/>
          <w:sz w:val="18"/>
          <w:szCs w:val="18"/>
        </w:rPr>
      </w:pPr>
    </w:p>
    <w:p w14:paraId="0CBD9001" w14:textId="77777777" w:rsidR="00232E18" w:rsidRDefault="00232E18" w:rsidP="00232E18">
      <w:pPr>
        <w:keepNext/>
        <w:ind w:left="1134" w:firstLine="284"/>
      </w:pPr>
      <w:r>
        <w:rPr>
          <w:noProof/>
        </w:rPr>
        <w:drawing>
          <wp:inline distT="0" distB="0" distL="0" distR="0" wp14:anchorId="2AF63DC2" wp14:editId="43ABFA57">
            <wp:extent cx="4057650" cy="5600700"/>
            <wp:effectExtent l="0" t="0" r="0" b="0"/>
            <wp:docPr id="58"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fig.54.jpg"/>
                    <pic:cNvPicPr/>
                  </pic:nvPicPr>
                  <pic:blipFill>
                    <a:blip r:embed="rId61">
                      <a:extLst>
                        <a:ext uri="{28A0092B-C50C-407E-A947-70E740481C1C}">
                          <a14:useLocalDpi xmlns:a14="http://schemas.microsoft.com/office/drawing/2010/main" val="0"/>
                        </a:ext>
                      </a:extLst>
                    </a:blip>
                    <a:stretch>
                      <a:fillRect/>
                    </a:stretch>
                  </pic:blipFill>
                  <pic:spPr>
                    <a:xfrm>
                      <a:off x="0" y="0"/>
                      <a:ext cx="4057650" cy="5600700"/>
                    </a:xfrm>
                    <a:prstGeom prst="rect">
                      <a:avLst/>
                    </a:prstGeom>
                  </pic:spPr>
                </pic:pic>
              </a:graphicData>
            </a:graphic>
          </wp:inline>
        </w:drawing>
      </w:r>
    </w:p>
    <w:p w14:paraId="5F4A1D40" w14:textId="40E6F241" w:rsidR="00232E18" w:rsidRPr="000B48AB" w:rsidRDefault="00232E18" w:rsidP="001D7139">
      <w:pPr>
        <w:pStyle w:val="Didascalia"/>
        <w:jc w:val="both"/>
        <w:rPr>
          <w:rFonts w:ascii="Times New Roman" w:hAnsi="Times New Roman" w:cs="Times New Roman"/>
          <w:b w:val="0"/>
          <w:sz w:val="24"/>
          <w:szCs w:val="24"/>
        </w:rPr>
      </w:pPr>
      <w:r w:rsidRPr="000B48AB">
        <w:rPr>
          <w:rFonts w:ascii="Times New Roman" w:hAnsi="Times New Roman" w:cs="Times New Roman"/>
          <w:b w:val="0"/>
          <w:sz w:val="24"/>
          <w:szCs w:val="24"/>
        </w:rPr>
        <w:t xml:space="preserve">Figura </w:t>
      </w:r>
      <w:r w:rsidRPr="000B48AB">
        <w:rPr>
          <w:rFonts w:ascii="Times New Roman" w:hAnsi="Times New Roman" w:cs="Times New Roman"/>
          <w:b w:val="0"/>
          <w:sz w:val="24"/>
          <w:szCs w:val="24"/>
        </w:rPr>
        <w:fldChar w:fldCharType="begin"/>
      </w:r>
      <w:r w:rsidRPr="000B48AB">
        <w:rPr>
          <w:rFonts w:ascii="Times New Roman" w:hAnsi="Times New Roman" w:cs="Times New Roman"/>
          <w:b w:val="0"/>
          <w:sz w:val="24"/>
          <w:szCs w:val="24"/>
        </w:rPr>
        <w:instrText xml:space="preserve"> SEQ Figura \* ARABIC </w:instrText>
      </w:r>
      <w:r w:rsidRPr="000B48AB">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54</w:t>
      </w:r>
      <w:r w:rsidRPr="000B48AB">
        <w:rPr>
          <w:rFonts w:ascii="Times New Roman" w:hAnsi="Times New Roman" w:cs="Times New Roman"/>
          <w:b w:val="0"/>
          <w:sz w:val="24"/>
          <w:szCs w:val="24"/>
        </w:rPr>
        <w:fldChar w:fldCharType="end"/>
      </w:r>
      <w:r w:rsidRPr="000B48AB">
        <w:rPr>
          <w:rFonts w:ascii="Times New Roman" w:hAnsi="Times New Roman" w:cs="Times New Roman"/>
          <w:b w:val="0"/>
          <w:sz w:val="24"/>
          <w:szCs w:val="24"/>
        </w:rPr>
        <w:t xml:space="preserve">. Valencia, Biblioteca Nicolau Primitiu, ms. 130, f. 1r. Cantalicio, </w:t>
      </w:r>
      <w:r w:rsidRPr="000B48AB">
        <w:rPr>
          <w:rFonts w:ascii="Times New Roman" w:hAnsi="Times New Roman" w:cs="Times New Roman"/>
          <w:b w:val="0"/>
          <w:i/>
          <w:sz w:val="24"/>
          <w:szCs w:val="24"/>
        </w:rPr>
        <w:t>Spectacula Lucretiana</w:t>
      </w:r>
      <w:r w:rsidRPr="000B48AB">
        <w:rPr>
          <w:rFonts w:ascii="Times New Roman" w:hAnsi="Times New Roman" w:cs="Times New Roman"/>
          <w:b w:val="0"/>
          <w:sz w:val="24"/>
          <w:szCs w:val="24"/>
        </w:rPr>
        <w:t xml:space="preserve">. Post 1502. </w:t>
      </w:r>
    </w:p>
    <w:p w14:paraId="39510481" w14:textId="77777777" w:rsidR="00232E18" w:rsidRDefault="00232E18" w:rsidP="00232E18"/>
    <w:p w14:paraId="7426A40C" w14:textId="77777777" w:rsidR="00232E18" w:rsidRDefault="00232E18" w:rsidP="00232E18">
      <w:pPr>
        <w:keepNext/>
      </w:pPr>
      <w:r>
        <w:rPr>
          <w:noProof/>
        </w:rPr>
        <w:drawing>
          <wp:inline distT="0" distB="0" distL="0" distR="0" wp14:anchorId="37AFC4A8" wp14:editId="6D182DD5">
            <wp:extent cx="6120130" cy="4541520"/>
            <wp:effectExtent l="0" t="0" r="0" b="0"/>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fig.55.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120130" cy="4541520"/>
                    </a:xfrm>
                    <a:prstGeom prst="rect">
                      <a:avLst/>
                    </a:prstGeom>
                  </pic:spPr>
                </pic:pic>
              </a:graphicData>
            </a:graphic>
          </wp:inline>
        </w:drawing>
      </w:r>
    </w:p>
    <w:p w14:paraId="097062BD" w14:textId="368467B2" w:rsidR="00232E18" w:rsidRPr="002E0B4B" w:rsidRDefault="00232E18" w:rsidP="00232E18">
      <w:pPr>
        <w:pStyle w:val="Didascalia"/>
        <w:jc w:val="both"/>
        <w:rPr>
          <w:rFonts w:ascii="Times New Roman" w:hAnsi="Times New Roman" w:cs="Times New Roman"/>
          <w:b w:val="0"/>
          <w:sz w:val="24"/>
          <w:szCs w:val="24"/>
        </w:rPr>
      </w:pPr>
      <w:r w:rsidRPr="002E0B4B">
        <w:rPr>
          <w:rFonts w:ascii="Times New Roman" w:hAnsi="Times New Roman" w:cs="Times New Roman"/>
          <w:b w:val="0"/>
          <w:sz w:val="24"/>
          <w:szCs w:val="24"/>
        </w:rPr>
        <w:t xml:space="preserve">Figura </w:t>
      </w:r>
      <w:r w:rsidRPr="002E0B4B">
        <w:rPr>
          <w:rFonts w:ascii="Times New Roman" w:hAnsi="Times New Roman" w:cs="Times New Roman"/>
          <w:b w:val="0"/>
          <w:sz w:val="24"/>
          <w:szCs w:val="24"/>
        </w:rPr>
        <w:fldChar w:fldCharType="begin"/>
      </w:r>
      <w:r w:rsidRPr="002E0B4B">
        <w:rPr>
          <w:rFonts w:ascii="Times New Roman" w:hAnsi="Times New Roman" w:cs="Times New Roman"/>
          <w:b w:val="0"/>
          <w:sz w:val="24"/>
          <w:szCs w:val="24"/>
        </w:rPr>
        <w:instrText xml:space="preserve"> SEQ Figura \* ARABIC </w:instrText>
      </w:r>
      <w:r w:rsidRPr="002E0B4B">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55</w:t>
      </w:r>
      <w:r w:rsidRPr="002E0B4B">
        <w:rPr>
          <w:rFonts w:ascii="Times New Roman" w:hAnsi="Times New Roman" w:cs="Times New Roman"/>
          <w:b w:val="0"/>
          <w:sz w:val="24"/>
          <w:szCs w:val="24"/>
        </w:rPr>
        <w:fldChar w:fldCharType="end"/>
      </w:r>
      <w:r w:rsidRPr="002E0B4B">
        <w:rPr>
          <w:rFonts w:ascii="Times New Roman" w:hAnsi="Times New Roman" w:cs="Times New Roman"/>
          <w:b w:val="0"/>
          <w:sz w:val="24"/>
          <w:szCs w:val="24"/>
        </w:rPr>
        <w:t xml:space="preserve">. Londra, Courtauld Gallery. Bottega di Giovanni di ser Giovanni, </w:t>
      </w:r>
      <w:r w:rsidRPr="002E0B4B">
        <w:rPr>
          <w:rFonts w:ascii="Times New Roman" w:hAnsi="Times New Roman" w:cs="Times New Roman"/>
          <w:b w:val="0"/>
          <w:i/>
          <w:sz w:val="24"/>
          <w:szCs w:val="24"/>
        </w:rPr>
        <w:t>La Continenza di Scipione</w:t>
      </w:r>
      <w:r w:rsidRPr="002E0B4B">
        <w:rPr>
          <w:rFonts w:ascii="Times New Roman" w:hAnsi="Times New Roman" w:cs="Times New Roman"/>
          <w:b w:val="0"/>
          <w:sz w:val="24"/>
          <w:szCs w:val="24"/>
        </w:rPr>
        <w:t xml:space="preserve">, particolare, 1470-1480. </w:t>
      </w:r>
    </w:p>
    <w:p w14:paraId="3788A23C" w14:textId="77777777" w:rsidR="00232E18" w:rsidRDefault="00232E18" w:rsidP="00232E18"/>
    <w:p w14:paraId="0FC4ACC5" w14:textId="77777777" w:rsidR="00232E18" w:rsidRDefault="00232E18" w:rsidP="00232E18">
      <w:r>
        <w:br w:type="page"/>
      </w:r>
    </w:p>
    <w:p w14:paraId="0724B44C" w14:textId="77777777" w:rsidR="00232E18" w:rsidRDefault="00232E18" w:rsidP="00232E18"/>
    <w:p w14:paraId="262579F7" w14:textId="77777777" w:rsidR="00232E18" w:rsidRDefault="00232E18" w:rsidP="00232E18">
      <w:pPr>
        <w:keepNext/>
      </w:pPr>
      <w:r>
        <w:rPr>
          <w:noProof/>
        </w:rPr>
        <w:drawing>
          <wp:inline distT="0" distB="0" distL="0" distR="0" wp14:anchorId="53A3252F" wp14:editId="34D66FFD">
            <wp:extent cx="6163945" cy="2584174"/>
            <wp:effectExtent l="0" t="0" r="8255" b="6985"/>
            <wp:docPr id="56" name="Immagin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fig.56.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6191489" cy="2595722"/>
                    </a:xfrm>
                    <a:prstGeom prst="rect">
                      <a:avLst/>
                    </a:prstGeom>
                  </pic:spPr>
                </pic:pic>
              </a:graphicData>
            </a:graphic>
          </wp:inline>
        </w:drawing>
      </w:r>
    </w:p>
    <w:p w14:paraId="06C4AE9C" w14:textId="6559B4A1" w:rsidR="00232E18" w:rsidRPr="00F90D3D" w:rsidRDefault="00232E18" w:rsidP="00232E18">
      <w:pPr>
        <w:pStyle w:val="Didascalia"/>
        <w:jc w:val="both"/>
        <w:rPr>
          <w:rFonts w:ascii="Times New Roman" w:hAnsi="Times New Roman" w:cs="Times New Roman"/>
          <w:b w:val="0"/>
          <w:sz w:val="24"/>
          <w:szCs w:val="24"/>
        </w:rPr>
      </w:pPr>
      <w:r w:rsidRPr="00F90D3D">
        <w:rPr>
          <w:rFonts w:ascii="Times New Roman" w:hAnsi="Times New Roman" w:cs="Times New Roman"/>
          <w:b w:val="0"/>
          <w:sz w:val="24"/>
          <w:szCs w:val="24"/>
        </w:rPr>
        <w:t xml:space="preserve">Figura </w:t>
      </w:r>
      <w:r w:rsidRPr="00F90D3D">
        <w:rPr>
          <w:rFonts w:ascii="Times New Roman" w:hAnsi="Times New Roman" w:cs="Times New Roman"/>
          <w:b w:val="0"/>
          <w:sz w:val="24"/>
          <w:szCs w:val="24"/>
        </w:rPr>
        <w:fldChar w:fldCharType="begin"/>
      </w:r>
      <w:r w:rsidRPr="00F90D3D">
        <w:rPr>
          <w:rFonts w:ascii="Times New Roman" w:hAnsi="Times New Roman" w:cs="Times New Roman"/>
          <w:b w:val="0"/>
          <w:sz w:val="24"/>
          <w:szCs w:val="24"/>
        </w:rPr>
        <w:instrText xml:space="preserve"> SEQ Figura \* ARABIC </w:instrText>
      </w:r>
      <w:r w:rsidRPr="00F90D3D">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56</w:t>
      </w:r>
      <w:r w:rsidRPr="00F90D3D">
        <w:rPr>
          <w:rFonts w:ascii="Times New Roman" w:hAnsi="Times New Roman" w:cs="Times New Roman"/>
          <w:b w:val="0"/>
          <w:sz w:val="24"/>
          <w:szCs w:val="24"/>
        </w:rPr>
        <w:fldChar w:fldCharType="end"/>
      </w:r>
      <w:r w:rsidRPr="00F90D3D">
        <w:rPr>
          <w:rFonts w:ascii="Times New Roman" w:hAnsi="Times New Roman" w:cs="Times New Roman"/>
          <w:b w:val="0"/>
          <w:sz w:val="24"/>
          <w:szCs w:val="24"/>
        </w:rPr>
        <w:t xml:space="preserve">. New York, The Metropolitan Museum of Art, Marco del Buono Giamberti e Apollonio di Giovanni, </w:t>
      </w:r>
      <w:r w:rsidRPr="00F90D3D">
        <w:rPr>
          <w:rFonts w:ascii="Times New Roman" w:hAnsi="Times New Roman" w:cs="Times New Roman"/>
          <w:b w:val="0"/>
          <w:i/>
          <w:sz w:val="24"/>
          <w:szCs w:val="24"/>
        </w:rPr>
        <w:t>Il banchetto di Ester</w:t>
      </w:r>
      <w:r w:rsidRPr="00F90D3D">
        <w:rPr>
          <w:rFonts w:ascii="Times New Roman" w:hAnsi="Times New Roman" w:cs="Times New Roman"/>
          <w:b w:val="0"/>
          <w:sz w:val="24"/>
          <w:szCs w:val="24"/>
        </w:rPr>
        <w:t xml:space="preserve">. 1460-1470. </w:t>
      </w:r>
    </w:p>
    <w:p w14:paraId="426B3ACA" w14:textId="77777777" w:rsidR="00232E18" w:rsidRDefault="00232E18" w:rsidP="00232E18"/>
    <w:p w14:paraId="26BB1FFD" w14:textId="77777777" w:rsidR="00232E18" w:rsidRDefault="00232E18" w:rsidP="00232E18"/>
    <w:p w14:paraId="73C7071F" w14:textId="77777777" w:rsidR="00232E18" w:rsidRDefault="00232E18" w:rsidP="00232E18">
      <w:pPr>
        <w:keepNext/>
      </w:pPr>
      <w:r>
        <w:rPr>
          <w:noProof/>
        </w:rPr>
        <w:drawing>
          <wp:inline distT="0" distB="0" distL="0" distR="0" wp14:anchorId="219316AD" wp14:editId="22D9B58E">
            <wp:extent cx="6122504" cy="4093532"/>
            <wp:effectExtent l="0" t="0" r="0" b="2540"/>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Alatiel.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6150479" cy="4112236"/>
                    </a:xfrm>
                    <a:prstGeom prst="rect">
                      <a:avLst/>
                    </a:prstGeom>
                  </pic:spPr>
                </pic:pic>
              </a:graphicData>
            </a:graphic>
          </wp:inline>
        </w:drawing>
      </w:r>
    </w:p>
    <w:p w14:paraId="356924C7" w14:textId="1D672E73" w:rsidR="00232E18" w:rsidRPr="00F90D3D" w:rsidRDefault="00232E18" w:rsidP="00232E18">
      <w:pPr>
        <w:pStyle w:val="Didascalia"/>
        <w:jc w:val="both"/>
        <w:rPr>
          <w:rFonts w:ascii="Times New Roman" w:hAnsi="Times New Roman" w:cs="Times New Roman"/>
          <w:b w:val="0"/>
          <w:sz w:val="24"/>
          <w:szCs w:val="24"/>
        </w:rPr>
      </w:pPr>
      <w:r w:rsidRPr="00F90D3D">
        <w:rPr>
          <w:rFonts w:ascii="Times New Roman" w:hAnsi="Times New Roman" w:cs="Times New Roman"/>
          <w:b w:val="0"/>
          <w:sz w:val="24"/>
          <w:szCs w:val="24"/>
        </w:rPr>
        <w:t xml:space="preserve">Figura </w:t>
      </w:r>
      <w:r w:rsidRPr="00F90D3D">
        <w:rPr>
          <w:rFonts w:ascii="Times New Roman" w:hAnsi="Times New Roman" w:cs="Times New Roman"/>
          <w:b w:val="0"/>
          <w:sz w:val="24"/>
          <w:szCs w:val="24"/>
        </w:rPr>
        <w:fldChar w:fldCharType="begin"/>
      </w:r>
      <w:r w:rsidRPr="00F90D3D">
        <w:rPr>
          <w:rFonts w:ascii="Times New Roman" w:hAnsi="Times New Roman" w:cs="Times New Roman"/>
          <w:b w:val="0"/>
          <w:sz w:val="24"/>
          <w:szCs w:val="24"/>
        </w:rPr>
        <w:instrText xml:space="preserve"> SEQ Figura \* ARABIC </w:instrText>
      </w:r>
      <w:r w:rsidRPr="00F90D3D">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57</w:t>
      </w:r>
      <w:r w:rsidRPr="00F90D3D">
        <w:rPr>
          <w:rFonts w:ascii="Times New Roman" w:hAnsi="Times New Roman" w:cs="Times New Roman"/>
          <w:b w:val="0"/>
          <w:sz w:val="24"/>
          <w:szCs w:val="24"/>
        </w:rPr>
        <w:fldChar w:fldCharType="end"/>
      </w:r>
      <w:r w:rsidRPr="00F90D3D">
        <w:rPr>
          <w:rFonts w:ascii="Times New Roman" w:hAnsi="Times New Roman" w:cs="Times New Roman"/>
          <w:b w:val="0"/>
          <w:sz w:val="24"/>
          <w:szCs w:val="24"/>
        </w:rPr>
        <w:t xml:space="preserve">. Venezia, Museo Correr. Marco del Buono Giamberti e Apollonio di Giovanni, </w:t>
      </w:r>
      <w:r w:rsidRPr="00F90D3D">
        <w:rPr>
          <w:rFonts w:ascii="Times New Roman" w:hAnsi="Times New Roman" w:cs="Times New Roman"/>
          <w:b w:val="0"/>
          <w:i/>
          <w:sz w:val="24"/>
          <w:szCs w:val="24"/>
        </w:rPr>
        <w:t>Banchetto di Alatiel</w:t>
      </w:r>
      <w:r w:rsidRPr="00F90D3D">
        <w:rPr>
          <w:rFonts w:ascii="Times New Roman" w:hAnsi="Times New Roman" w:cs="Times New Roman"/>
          <w:b w:val="0"/>
          <w:sz w:val="24"/>
          <w:szCs w:val="24"/>
        </w:rPr>
        <w:t xml:space="preserve">, particolare. 1460-1465. </w:t>
      </w:r>
    </w:p>
    <w:p w14:paraId="1DB4AB28" w14:textId="77777777" w:rsidR="00232E18" w:rsidRDefault="00232E18" w:rsidP="00232E18"/>
    <w:p w14:paraId="3716CE3C" w14:textId="77777777" w:rsidR="00232E18" w:rsidRDefault="00232E18" w:rsidP="00232E18"/>
    <w:p w14:paraId="00F2B030" w14:textId="77777777" w:rsidR="00232E18" w:rsidRDefault="00232E18" w:rsidP="00232E18">
      <w:pPr>
        <w:keepNext/>
        <w:ind w:left="1134"/>
      </w:pPr>
      <w:r>
        <w:rPr>
          <w:noProof/>
        </w:rPr>
        <w:drawing>
          <wp:inline distT="0" distB="0" distL="0" distR="0" wp14:anchorId="1516BFBC" wp14:editId="24C65D26">
            <wp:extent cx="4718649" cy="6988379"/>
            <wp:effectExtent l="0" t="0" r="6350" b="3175"/>
            <wp:docPr id="60" name="Immagin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fig.58.jpg"/>
                    <pic:cNvPicPr/>
                  </pic:nvPicPr>
                  <pic:blipFill>
                    <a:blip r:embed="rId65">
                      <a:extLst>
                        <a:ext uri="{28A0092B-C50C-407E-A947-70E740481C1C}">
                          <a14:useLocalDpi xmlns:a14="http://schemas.microsoft.com/office/drawing/2010/main" val="0"/>
                        </a:ext>
                      </a:extLst>
                    </a:blip>
                    <a:stretch>
                      <a:fillRect/>
                    </a:stretch>
                  </pic:blipFill>
                  <pic:spPr>
                    <a:xfrm>
                      <a:off x="0" y="0"/>
                      <a:ext cx="4730677" cy="7006192"/>
                    </a:xfrm>
                    <a:prstGeom prst="rect">
                      <a:avLst/>
                    </a:prstGeom>
                  </pic:spPr>
                </pic:pic>
              </a:graphicData>
            </a:graphic>
          </wp:inline>
        </w:drawing>
      </w:r>
    </w:p>
    <w:p w14:paraId="795DD37D" w14:textId="3A6413D8" w:rsidR="00232E18" w:rsidRPr="00F90D3D" w:rsidRDefault="00232E18" w:rsidP="00232E18">
      <w:pPr>
        <w:pStyle w:val="Didascalia"/>
        <w:jc w:val="both"/>
        <w:rPr>
          <w:rFonts w:ascii="Times New Roman" w:hAnsi="Times New Roman" w:cs="Times New Roman"/>
          <w:b w:val="0"/>
          <w:sz w:val="24"/>
          <w:szCs w:val="24"/>
        </w:rPr>
      </w:pPr>
      <w:r w:rsidRPr="00F90D3D">
        <w:rPr>
          <w:rFonts w:ascii="Times New Roman" w:hAnsi="Times New Roman" w:cs="Times New Roman"/>
          <w:b w:val="0"/>
          <w:sz w:val="24"/>
          <w:szCs w:val="24"/>
        </w:rPr>
        <w:t xml:space="preserve">Figura </w:t>
      </w:r>
      <w:r w:rsidRPr="00F90D3D">
        <w:rPr>
          <w:rFonts w:ascii="Times New Roman" w:hAnsi="Times New Roman" w:cs="Times New Roman"/>
          <w:b w:val="0"/>
          <w:sz w:val="24"/>
          <w:szCs w:val="24"/>
        </w:rPr>
        <w:fldChar w:fldCharType="begin"/>
      </w:r>
      <w:r w:rsidRPr="00F90D3D">
        <w:rPr>
          <w:rFonts w:ascii="Times New Roman" w:hAnsi="Times New Roman" w:cs="Times New Roman"/>
          <w:b w:val="0"/>
          <w:sz w:val="24"/>
          <w:szCs w:val="24"/>
        </w:rPr>
        <w:instrText xml:space="preserve"> SEQ Figura \* ARABIC </w:instrText>
      </w:r>
      <w:r w:rsidRPr="00F90D3D">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58</w:t>
      </w:r>
      <w:r w:rsidRPr="00F90D3D">
        <w:rPr>
          <w:rFonts w:ascii="Times New Roman" w:hAnsi="Times New Roman" w:cs="Times New Roman"/>
          <w:b w:val="0"/>
          <w:sz w:val="24"/>
          <w:szCs w:val="24"/>
        </w:rPr>
        <w:fldChar w:fldCharType="end"/>
      </w:r>
      <w:r w:rsidRPr="00F90D3D">
        <w:rPr>
          <w:rFonts w:ascii="Times New Roman" w:hAnsi="Times New Roman" w:cs="Times New Roman"/>
          <w:b w:val="0"/>
          <w:sz w:val="24"/>
          <w:szCs w:val="24"/>
        </w:rPr>
        <w:t xml:space="preserve">. Londra, British Museum. Leonardo da Vinci, (forse) </w:t>
      </w:r>
      <w:r w:rsidRPr="00F90D3D">
        <w:rPr>
          <w:rFonts w:ascii="Times New Roman" w:hAnsi="Times New Roman" w:cs="Times New Roman"/>
          <w:b w:val="0"/>
          <w:i/>
          <w:sz w:val="24"/>
          <w:szCs w:val="24"/>
        </w:rPr>
        <w:t>Galeazzo Sanseverino in armatura da parata</w:t>
      </w:r>
      <w:r w:rsidRPr="00F90D3D">
        <w:rPr>
          <w:rFonts w:ascii="Times New Roman" w:hAnsi="Times New Roman" w:cs="Times New Roman"/>
          <w:b w:val="0"/>
          <w:sz w:val="24"/>
          <w:szCs w:val="24"/>
        </w:rPr>
        <w:t xml:space="preserve">. Non datato. </w:t>
      </w:r>
    </w:p>
    <w:p w14:paraId="1F874924" w14:textId="77777777" w:rsidR="00232E18" w:rsidRPr="00F90D3D" w:rsidRDefault="00232E18" w:rsidP="00232E18">
      <w:r w:rsidRPr="00F90D3D">
        <w:br w:type="page"/>
      </w:r>
    </w:p>
    <w:p w14:paraId="240DAA4B" w14:textId="77777777" w:rsidR="00232E18" w:rsidRDefault="00232E18" w:rsidP="00232E18"/>
    <w:p w14:paraId="3B4ACC46" w14:textId="77777777" w:rsidR="00232E18" w:rsidRDefault="00232E18" w:rsidP="00232E18"/>
    <w:p w14:paraId="3F8B68C7" w14:textId="77777777" w:rsidR="00232E18" w:rsidRDefault="00232E18" w:rsidP="00232E18">
      <w:pPr>
        <w:keepNext/>
        <w:ind w:left="1134"/>
      </w:pPr>
      <w:r>
        <w:rPr>
          <w:noProof/>
        </w:rPr>
        <w:drawing>
          <wp:inline distT="0" distB="0" distL="0" distR="0" wp14:anchorId="68F04A14" wp14:editId="6556C1D9">
            <wp:extent cx="5062987" cy="5332083"/>
            <wp:effectExtent l="0" t="0" r="4445" b="2540"/>
            <wp:docPr id="62" name="Immagin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fig.59.jpg"/>
                    <pic:cNvPicPr/>
                  </pic:nvPicPr>
                  <pic:blipFill>
                    <a:blip r:embed="rId66">
                      <a:extLst>
                        <a:ext uri="{28A0092B-C50C-407E-A947-70E740481C1C}">
                          <a14:useLocalDpi xmlns:a14="http://schemas.microsoft.com/office/drawing/2010/main" val="0"/>
                        </a:ext>
                      </a:extLst>
                    </a:blip>
                    <a:stretch>
                      <a:fillRect/>
                    </a:stretch>
                  </pic:blipFill>
                  <pic:spPr>
                    <a:xfrm>
                      <a:off x="0" y="0"/>
                      <a:ext cx="5077637" cy="5347512"/>
                    </a:xfrm>
                    <a:prstGeom prst="rect">
                      <a:avLst/>
                    </a:prstGeom>
                  </pic:spPr>
                </pic:pic>
              </a:graphicData>
            </a:graphic>
          </wp:inline>
        </w:drawing>
      </w:r>
    </w:p>
    <w:p w14:paraId="623F81D8" w14:textId="2FA05911" w:rsidR="00232E18" w:rsidRPr="00437B51" w:rsidRDefault="00232E18" w:rsidP="001D7139">
      <w:pPr>
        <w:pStyle w:val="Didascalia"/>
        <w:jc w:val="both"/>
        <w:rPr>
          <w:rFonts w:ascii="Times New Roman" w:hAnsi="Times New Roman" w:cs="Times New Roman"/>
          <w:b w:val="0"/>
          <w:sz w:val="24"/>
          <w:szCs w:val="24"/>
        </w:rPr>
      </w:pPr>
      <w:r w:rsidRPr="00437B51">
        <w:rPr>
          <w:rFonts w:ascii="Times New Roman" w:hAnsi="Times New Roman" w:cs="Times New Roman"/>
          <w:b w:val="0"/>
          <w:sz w:val="24"/>
          <w:szCs w:val="24"/>
        </w:rPr>
        <w:t xml:space="preserve">Figura </w:t>
      </w:r>
      <w:r w:rsidRPr="00437B51">
        <w:rPr>
          <w:rFonts w:ascii="Times New Roman" w:hAnsi="Times New Roman" w:cs="Times New Roman"/>
          <w:b w:val="0"/>
          <w:sz w:val="24"/>
          <w:szCs w:val="24"/>
        </w:rPr>
        <w:fldChar w:fldCharType="begin"/>
      </w:r>
      <w:r w:rsidRPr="00437B51">
        <w:rPr>
          <w:rFonts w:ascii="Times New Roman" w:hAnsi="Times New Roman" w:cs="Times New Roman"/>
          <w:b w:val="0"/>
          <w:sz w:val="24"/>
          <w:szCs w:val="24"/>
        </w:rPr>
        <w:instrText xml:space="preserve"> SEQ Figura \* ARABIC </w:instrText>
      </w:r>
      <w:r w:rsidRPr="00437B51">
        <w:rPr>
          <w:rFonts w:ascii="Times New Roman" w:hAnsi="Times New Roman" w:cs="Times New Roman"/>
          <w:b w:val="0"/>
          <w:sz w:val="24"/>
          <w:szCs w:val="24"/>
        </w:rPr>
        <w:fldChar w:fldCharType="separate"/>
      </w:r>
      <w:r w:rsidR="00273A65">
        <w:rPr>
          <w:rFonts w:ascii="Times New Roman" w:hAnsi="Times New Roman" w:cs="Times New Roman"/>
          <w:b w:val="0"/>
          <w:noProof/>
          <w:sz w:val="24"/>
          <w:szCs w:val="24"/>
        </w:rPr>
        <w:t>59</w:t>
      </w:r>
      <w:r w:rsidRPr="00437B51">
        <w:rPr>
          <w:rFonts w:ascii="Times New Roman" w:hAnsi="Times New Roman" w:cs="Times New Roman"/>
          <w:b w:val="0"/>
          <w:sz w:val="24"/>
          <w:szCs w:val="24"/>
        </w:rPr>
        <w:fldChar w:fldCharType="end"/>
      </w:r>
      <w:r w:rsidRPr="00437B51">
        <w:rPr>
          <w:rFonts w:ascii="Times New Roman" w:hAnsi="Times New Roman" w:cs="Times New Roman"/>
          <w:b w:val="0"/>
          <w:sz w:val="24"/>
          <w:szCs w:val="24"/>
        </w:rPr>
        <w:t xml:space="preserve">. Windsor, Royal Library, f. 12370v. Leonardo da Vinci, (forse) </w:t>
      </w:r>
      <w:r w:rsidRPr="00437B51">
        <w:rPr>
          <w:rFonts w:ascii="Times New Roman" w:hAnsi="Times New Roman" w:cs="Times New Roman"/>
          <w:b w:val="0"/>
          <w:i/>
          <w:sz w:val="24"/>
          <w:szCs w:val="24"/>
        </w:rPr>
        <w:t>Progetto per il costume di un uomo selvaggio</w:t>
      </w:r>
      <w:r w:rsidRPr="00437B51">
        <w:rPr>
          <w:rFonts w:ascii="Times New Roman" w:hAnsi="Times New Roman" w:cs="Times New Roman"/>
          <w:b w:val="0"/>
          <w:sz w:val="24"/>
          <w:szCs w:val="24"/>
        </w:rPr>
        <w:t>. Non datato.</w:t>
      </w:r>
    </w:p>
    <w:p w14:paraId="3965165C" w14:textId="77777777" w:rsidR="00232E18" w:rsidRPr="009A65BD" w:rsidRDefault="00232E18" w:rsidP="00232E18">
      <w:pPr>
        <w:spacing w:line="360" w:lineRule="auto"/>
        <w:jc w:val="both"/>
        <w:rPr>
          <w:rFonts w:ascii="Times New Roman" w:hAnsi="Times New Roman" w:cs="Times New Roman"/>
          <w:sz w:val="24"/>
          <w:szCs w:val="24"/>
        </w:rPr>
      </w:pPr>
    </w:p>
    <w:p w14:paraId="7617878F" w14:textId="77777777" w:rsidR="00EE65B7" w:rsidRDefault="00FB2166">
      <w:pPr>
        <w:spacing w:line="259" w:lineRule="auto"/>
        <w:rPr>
          <w:smallCaps/>
        </w:rPr>
      </w:pPr>
      <w:r>
        <w:rPr>
          <w:smallCaps/>
        </w:rPr>
        <w:br w:type="page"/>
      </w:r>
      <w:r w:rsidR="00EE65B7">
        <w:rPr>
          <w:smallCaps/>
        </w:rPr>
        <w:br w:type="page"/>
      </w:r>
    </w:p>
    <w:p w14:paraId="7FB8655E" w14:textId="77777777" w:rsidR="00337C20" w:rsidRDefault="00EE65B7" w:rsidP="00337C20">
      <w:pPr>
        <w:pStyle w:val="Titolocapitolo"/>
      </w:pPr>
      <w:r>
        <w:t>Indice dei nomi</w:t>
      </w:r>
    </w:p>
    <w:p w14:paraId="6015C10E" w14:textId="77777777" w:rsidR="00337C20" w:rsidRDefault="00337C20" w:rsidP="00337C20">
      <w:pPr>
        <w:pStyle w:val="Titolocapitolo"/>
      </w:pPr>
    </w:p>
    <w:p w14:paraId="3D9C244E" w14:textId="77777777" w:rsidR="00FF51E2" w:rsidRDefault="00EE65B7" w:rsidP="00337C20">
      <w:pPr>
        <w:pStyle w:val="Titolocapitolo"/>
        <w:sectPr w:rsidR="00FF51E2" w:rsidSect="007F02B4">
          <w:footerReference w:type="default" r:id="rId67"/>
          <w:pgSz w:w="11906" w:h="16838" w:code="9"/>
          <w:pgMar w:top="1418" w:right="1134" w:bottom="1134" w:left="1134" w:header="709" w:footer="709" w:gutter="284"/>
          <w:cols w:space="708"/>
          <w:docGrid w:linePitch="360"/>
        </w:sectPr>
      </w:pPr>
      <w:r>
        <w:t xml:space="preserve"> </w:t>
      </w:r>
    </w:p>
    <w:p w14:paraId="2A29A598"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Acciaiuoli, Donato, 3</w:t>
      </w:r>
      <w:r>
        <w:rPr>
          <w:rFonts w:ascii="Times New Roman" w:hAnsi="Times New Roman" w:cs="Times New Roman"/>
        </w:rPr>
        <w:t>5</w:t>
      </w:r>
      <w:r w:rsidRPr="00AB1C99">
        <w:rPr>
          <w:rFonts w:ascii="Times New Roman" w:hAnsi="Times New Roman" w:cs="Times New Roman"/>
        </w:rPr>
        <w:t xml:space="preserve">, </w:t>
      </w:r>
      <w:r>
        <w:rPr>
          <w:rFonts w:ascii="Times New Roman" w:hAnsi="Times New Roman" w:cs="Times New Roman"/>
        </w:rPr>
        <w:t>99.</w:t>
      </w:r>
    </w:p>
    <w:p w14:paraId="1AC28938"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Acciaiuoli, Jacopo, 32 e n</w:t>
      </w:r>
      <w:r>
        <w:rPr>
          <w:rFonts w:ascii="Times New Roman" w:hAnsi="Times New Roman" w:cs="Times New Roman"/>
        </w:rPr>
        <w:t>.</w:t>
      </w:r>
    </w:p>
    <w:p w14:paraId="3416EA62"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Achates, Leonardo, 13</w:t>
      </w:r>
      <w:r>
        <w:rPr>
          <w:rFonts w:ascii="Times New Roman" w:hAnsi="Times New Roman" w:cs="Times New Roman"/>
        </w:rPr>
        <w:t>2.</w:t>
      </w:r>
    </w:p>
    <w:p w14:paraId="6E2A7E8D"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Acquaviva, Giulio</w:t>
      </w:r>
      <w:r>
        <w:rPr>
          <w:rFonts w:ascii="Times New Roman" w:hAnsi="Times New Roman" w:cs="Times New Roman"/>
        </w:rPr>
        <w:t>, 293.</w:t>
      </w:r>
    </w:p>
    <w:p w14:paraId="6F45D5F7"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Agostino sant’, 7</w:t>
      </w:r>
      <w:r>
        <w:rPr>
          <w:rFonts w:ascii="Times New Roman" w:hAnsi="Times New Roman" w:cs="Times New Roman"/>
        </w:rPr>
        <w:t>1.</w:t>
      </w:r>
    </w:p>
    <w:p w14:paraId="652E508D"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shd w:val="clear" w:color="auto" w:fill="FFFFFF"/>
        </w:rPr>
        <w:t>Alamanni, Piero di Boccaccino, 19</w:t>
      </w:r>
      <w:r>
        <w:rPr>
          <w:rFonts w:ascii="Times New Roman" w:hAnsi="Times New Roman" w:cs="Times New Roman"/>
          <w:shd w:val="clear" w:color="auto" w:fill="FFFFFF"/>
        </w:rPr>
        <w:t>7, 261.</w:t>
      </w:r>
      <w:r w:rsidRPr="00AB1C99">
        <w:rPr>
          <w:rFonts w:ascii="Times New Roman" w:hAnsi="Times New Roman" w:cs="Times New Roman"/>
          <w:shd w:val="clear" w:color="auto" w:fill="FFFFFF"/>
        </w:rPr>
        <w:t xml:space="preserve"> </w:t>
      </w:r>
    </w:p>
    <w:p w14:paraId="3CD519C0"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 xml:space="preserve">Albergati, Ercole detto Zafarano, 165 e n, </w:t>
      </w:r>
      <w:r>
        <w:rPr>
          <w:rFonts w:ascii="Times New Roman" w:hAnsi="Times New Roman" w:cs="Times New Roman"/>
        </w:rPr>
        <w:t>244.</w:t>
      </w:r>
    </w:p>
    <w:p w14:paraId="56499D23"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Albergati, Niccolò, 70</w:t>
      </w:r>
      <w:r>
        <w:rPr>
          <w:rFonts w:ascii="Times New Roman" w:hAnsi="Times New Roman" w:cs="Times New Roman"/>
        </w:rPr>
        <w:t>.</w:t>
      </w:r>
      <w:r w:rsidRPr="00AB1C99">
        <w:rPr>
          <w:rFonts w:ascii="Times New Roman" w:hAnsi="Times New Roman" w:cs="Times New Roman"/>
        </w:rPr>
        <w:t xml:space="preserve"> </w:t>
      </w:r>
    </w:p>
    <w:p w14:paraId="611E1F01"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Alberti, Leandro, 125, 127</w:t>
      </w:r>
      <w:r>
        <w:rPr>
          <w:rFonts w:ascii="Times New Roman" w:hAnsi="Times New Roman" w:cs="Times New Roman"/>
        </w:rPr>
        <w:t>.</w:t>
      </w:r>
    </w:p>
    <w:p w14:paraId="5B985AA7"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Alberti, Leon Battista, 20, 149n, 182</w:t>
      </w:r>
      <w:r>
        <w:rPr>
          <w:rFonts w:ascii="Times New Roman" w:hAnsi="Times New Roman" w:cs="Times New Roman"/>
        </w:rPr>
        <w:t>, 239.</w:t>
      </w:r>
    </w:p>
    <w:p w14:paraId="7EDAAB14"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Albertini, Carlo, conte di Prato, 12</w:t>
      </w:r>
      <w:r>
        <w:rPr>
          <w:rFonts w:ascii="Times New Roman" w:hAnsi="Times New Roman" w:cs="Times New Roman"/>
        </w:rPr>
        <w:t xml:space="preserve">. </w:t>
      </w:r>
    </w:p>
    <w:p w14:paraId="25E22C7B"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Alberto Magno sant’, 72</w:t>
      </w:r>
      <w:r>
        <w:rPr>
          <w:rFonts w:ascii="Times New Roman" w:hAnsi="Times New Roman" w:cs="Times New Roman"/>
        </w:rPr>
        <w:t>.</w:t>
      </w:r>
    </w:p>
    <w:p w14:paraId="70D13B3B"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Albertucci, Girolamo de’ Borselli</w:t>
      </w:r>
      <w:r>
        <w:rPr>
          <w:rFonts w:ascii="Times New Roman" w:hAnsi="Times New Roman" w:cs="Times New Roman"/>
        </w:rPr>
        <w:t>, 222.</w:t>
      </w:r>
    </w:p>
    <w:p w14:paraId="25DA2A64"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Alceo, 108</w:t>
      </w:r>
      <w:r>
        <w:rPr>
          <w:rFonts w:ascii="Times New Roman" w:hAnsi="Times New Roman" w:cs="Times New Roman"/>
        </w:rPr>
        <w:t>.</w:t>
      </w:r>
    </w:p>
    <w:p w14:paraId="3D98FDCB"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Alessandro VI (papa Rodrigo Borgia), 58, 61</w:t>
      </w:r>
      <w:r>
        <w:rPr>
          <w:rFonts w:ascii="Times New Roman" w:hAnsi="Times New Roman" w:cs="Times New Roman"/>
        </w:rPr>
        <w:t>, 203, 246n, 254, 257, 264, 309, 311, 312, 313.</w:t>
      </w:r>
    </w:p>
    <w:p w14:paraId="314D28D1"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Alessandro VII (papa Fabio Chigi) 34n</w:t>
      </w:r>
      <w:r>
        <w:rPr>
          <w:rFonts w:ascii="Times New Roman" w:hAnsi="Times New Roman" w:cs="Times New Roman"/>
        </w:rPr>
        <w:t>.</w:t>
      </w:r>
    </w:p>
    <w:p w14:paraId="7823AC1E"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Alfonso, Alvaro, 104</w:t>
      </w:r>
      <w:r>
        <w:rPr>
          <w:rFonts w:ascii="Times New Roman" w:hAnsi="Times New Roman" w:cs="Times New Roman"/>
        </w:rPr>
        <w:t>.</w:t>
      </w:r>
    </w:p>
    <w:p w14:paraId="0B8F0512"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Alighieri, Dante, 65n, 68, 154</w:t>
      </w:r>
      <w:r>
        <w:rPr>
          <w:rFonts w:ascii="Times New Roman" w:hAnsi="Times New Roman" w:cs="Times New Roman"/>
        </w:rPr>
        <w:t>, 237n.</w:t>
      </w:r>
    </w:p>
    <w:p w14:paraId="08C234EC"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Aliprando, Bonifacio</w:t>
      </w:r>
      <w:r>
        <w:rPr>
          <w:rFonts w:ascii="Times New Roman" w:hAnsi="Times New Roman" w:cs="Times New Roman"/>
        </w:rPr>
        <w:t>, 281.</w:t>
      </w:r>
      <w:r w:rsidRPr="00AB1C99">
        <w:rPr>
          <w:rFonts w:ascii="Times New Roman" w:hAnsi="Times New Roman" w:cs="Times New Roman"/>
        </w:rPr>
        <w:t xml:space="preserve"> </w:t>
      </w:r>
    </w:p>
    <w:p w14:paraId="1D74E9C0"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Allegretti, Allegretto</w:t>
      </w:r>
      <w:r>
        <w:rPr>
          <w:rFonts w:ascii="Times New Roman" w:hAnsi="Times New Roman" w:cs="Times New Roman"/>
        </w:rPr>
        <w:t>, 224</w:t>
      </w:r>
      <w:r w:rsidRPr="00AB1C99">
        <w:rPr>
          <w:rFonts w:ascii="Times New Roman" w:hAnsi="Times New Roman" w:cs="Times New Roman"/>
        </w:rPr>
        <w:t xml:space="preserve"> </w:t>
      </w:r>
    </w:p>
    <w:p w14:paraId="29381E14"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Almerici, Raniero II, 135 e n, 141</w:t>
      </w:r>
      <w:r>
        <w:rPr>
          <w:rFonts w:ascii="Times New Roman" w:hAnsi="Times New Roman" w:cs="Times New Roman"/>
        </w:rPr>
        <w:t>.</w:t>
      </w:r>
    </w:p>
    <w:p w14:paraId="68E6A900"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Altieri, Marco Antonio</w:t>
      </w:r>
      <w:r>
        <w:rPr>
          <w:rFonts w:ascii="Times New Roman" w:hAnsi="Times New Roman" w:cs="Times New Roman"/>
        </w:rPr>
        <w:t>, 244.</w:t>
      </w:r>
      <w:r w:rsidRPr="00AB1C99">
        <w:rPr>
          <w:rFonts w:ascii="Times New Roman" w:hAnsi="Times New Roman" w:cs="Times New Roman"/>
        </w:rPr>
        <w:t xml:space="preserve"> </w:t>
      </w:r>
    </w:p>
    <w:p w14:paraId="73EE46A1"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Amadei, Giuliano, 54 e n, 56</w:t>
      </w:r>
      <w:r>
        <w:rPr>
          <w:rFonts w:ascii="Times New Roman" w:hAnsi="Times New Roman" w:cs="Times New Roman"/>
        </w:rPr>
        <w:t>.</w:t>
      </w:r>
    </w:p>
    <w:p w14:paraId="17188255"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 xml:space="preserve">Ambrogini, Angelo detto Poliziano, 24, 25n, 105, 106n, 107-110, 157n, 165, 194 e n, </w:t>
      </w:r>
      <w:r>
        <w:rPr>
          <w:rFonts w:ascii="Times New Roman" w:hAnsi="Times New Roman" w:cs="Times New Roman"/>
        </w:rPr>
        <w:t xml:space="preserve">310n. </w:t>
      </w:r>
    </w:p>
    <w:p w14:paraId="224CA377"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Ambrogio sant’, 71, 170n, 181n</w:t>
      </w:r>
      <w:r>
        <w:rPr>
          <w:rFonts w:ascii="Times New Roman" w:hAnsi="Times New Roman" w:cs="Times New Roman"/>
        </w:rPr>
        <w:t>.</w:t>
      </w:r>
    </w:p>
    <w:p w14:paraId="7127C2A0"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Ammanati Piccolomini, Giacomo</w:t>
      </w:r>
      <w:r>
        <w:rPr>
          <w:rFonts w:ascii="Times New Roman" w:hAnsi="Times New Roman" w:cs="Times New Roman"/>
        </w:rPr>
        <w:t>, 300.</w:t>
      </w:r>
    </w:p>
    <w:p w14:paraId="1D626F62"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Amodeo, Giovanni Antonio, 180</w:t>
      </w:r>
      <w:r>
        <w:rPr>
          <w:rFonts w:ascii="Times New Roman" w:hAnsi="Times New Roman" w:cs="Times New Roman"/>
        </w:rPr>
        <w:t>.</w:t>
      </w:r>
      <w:r w:rsidRPr="00AB1C99">
        <w:rPr>
          <w:rFonts w:ascii="Times New Roman" w:hAnsi="Times New Roman" w:cs="Times New Roman"/>
        </w:rPr>
        <w:t xml:space="preserve"> </w:t>
      </w:r>
    </w:p>
    <w:p w14:paraId="6457D4CC"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Apuleio, 72, 153</w:t>
      </w:r>
      <w:r>
        <w:rPr>
          <w:rFonts w:ascii="Times New Roman" w:hAnsi="Times New Roman" w:cs="Times New Roman"/>
        </w:rPr>
        <w:t>.</w:t>
      </w:r>
    </w:p>
    <w:p w14:paraId="188B79EB"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Arcamone, Anello</w:t>
      </w:r>
      <w:r>
        <w:rPr>
          <w:rFonts w:ascii="Times New Roman" w:hAnsi="Times New Roman" w:cs="Times New Roman"/>
        </w:rPr>
        <w:t>, 264.</w:t>
      </w:r>
      <w:r w:rsidRPr="00AB1C99">
        <w:rPr>
          <w:rFonts w:ascii="Times New Roman" w:hAnsi="Times New Roman" w:cs="Times New Roman"/>
        </w:rPr>
        <w:t xml:space="preserve"> </w:t>
      </w:r>
    </w:p>
    <w:p w14:paraId="39D0DDC0"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Arcimboldi, Guido Antonio, 16n, 196</w:t>
      </w:r>
      <w:r>
        <w:rPr>
          <w:rFonts w:ascii="Times New Roman" w:hAnsi="Times New Roman" w:cs="Times New Roman"/>
        </w:rPr>
        <w:t xml:space="preserve"> e n, 209.</w:t>
      </w:r>
    </w:p>
    <w:p w14:paraId="1CD7DD21"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Arconati, Bartolomeo, 155</w:t>
      </w:r>
      <w:r>
        <w:rPr>
          <w:rFonts w:ascii="Times New Roman" w:hAnsi="Times New Roman" w:cs="Times New Roman"/>
        </w:rPr>
        <w:t>.</w:t>
      </w:r>
    </w:p>
    <w:p w14:paraId="204AEE51"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Ariosti, Francesco</w:t>
      </w:r>
      <w:r>
        <w:rPr>
          <w:rFonts w:ascii="Times New Roman" w:hAnsi="Times New Roman" w:cs="Times New Roman"/>
        </w:rPr>
        <w:t>, 63n.</w:t>
      </w:r>
    </w:p>
    <w:p w14:paraId="75A55D28"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Aristotele, 25, 72</w:t>
      </w:r>
      <w:r>
        <w:rPr>
          <w:rFonts w:ascii="Times New Roman" w:hAnsi="Times New Roman" w:cs="Times New Roman"/>
        </w:rPr>
        <w:t>.</w:t>
      </w:r>
    </w:p>
    <w:p w14:paraId="63F3CF86"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Arzocchi, Francesco, 1</w:t>
      </w:r>
      <w:r>
        <w:rPr>
          <w:rFonts w:ascii="Times New Roman" w:hAnsi="Times New Roman" w:cs="Times New Roman"/>
        </w:rPr>
        <w:t>49.</w:t>
      </w:r>
      <w:r w:rsidRPr="00AB1C99">
        <w:rPr>
          <w:rFonts w:ascii="Times New Roman" w:hAnsi="Times New Roman" w:cs="Times New Roman"/>
        </w:rPr>
        <w:t xml:space="preserve"> </w:t>
      </w:r>
    </w:p>
    <w:p w14:paraId="1B6D3B99"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Attavanti, Attavante, 25, 55, 100, 102, 103, 104, 108</w:t>
      </w:r>
      <w:r>
        <w:rPr>
          <w:rFonts w:ascii="Times New Roman" w:hAnsi="Times New Roman" w:cs="Times New Roman"/>
        </w:rPr>
        <w:t>.</w:t>
      </w:r>
      <w:r w:rsidRPr="00AB1C99">
        <w:rPr>
          <w:rFonts w:ascii="Times New Roman" w:hAnsi="Times New Roman" w:cs="Times New Roman"/>
        </w:rPr>
        <w:t xml:space="preserve"> </w:t>
      </w:r>
    </w:p>
    <w:p w14:paraId="48940FFC"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Augusto, imperatore</w:t>
      </w:r>
      <w:r>
        <w:rPr>
          <w:rFonts w:ascii="Times New Roman" w:hAnsi="Times New Roman" w:cs="Times New Roman"/>
        </w:rPr>
        <w:t>, 239, 269, 282.</w:t>
      </w:r>
    </w:p>
    <w:p w14:paraId="7336013F"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Aulesa, Tommaso, 31, 50</w:t>
      </w:r>
      <w:r>
        <w:rPr>
          <w:rFonts w:ascii="Times New Roman" w:hAnsi="Times New Roman" w:cs="Times New Roman"/>
        </w:rPr>
        <w:t>.</w:t>
      </w:r>
    </w:p>
    <w:p w14:paraId="79DAD1C2"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Aulo Gellio, 43, 72</w:t>
      </w:r>
      <w:r>
        <w:rPr>
          <w:rFonts w:ascii="Times New Roman" w:hAnsi="Times New Roman" w:cs="Times New Roman"/>
        </w:rPr>
        <w:t>.</w:t>
      </w:r>
    </w:p>
    <w:p w14:paraId="5AADF3B0"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Aureliano, imperatore, 83</w:t>
      </w:r>
      <w:r>
        <w:rPr>
          <w:rFonts w:ascii="Times New Roman" w:hAnsi="Times New Roman" w:cs="Times New Roman"/>
        </w:rPr>
        <w:t>.</w:t>
      </w:r>
    </w:p>
    <w:p w14:paraId="5E6A9CA6"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Aurispa, Giovanni, 12, 13 e n, 28, 73</w:t>
      </w:r>
      <w:r>
        <w:rPr>
          <w:rFonts w:ascii="Times New Roman" w:hAnsi="Times New Roman" w:cs="Times New Roman"/>
        </w:rPr>
        <w:t>, 309n.</w:t>
      </w:r>
    </w:p>
    <w:p w14:paraId="3B0873DB"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Averroè, 72</w:t>
      </w:r>
      <w:r>
        <w:rPr>
          <w:rFonts w:ascii="Times New Roman" w:hAnsi="Times New Roman" w:cs="Times New Roman"/>
        </w:rPr>
        <w:t>.</w:t>
      </w:r>
      <w:r w:rsidRPr="00AB1C99">
        <w:rPr>
          <w:rFonts w:ascii="Times New Roman" w:hAnsi="Times New Roman" w:cs="Times New Roman"/>
        </w:rPr>
        <w:t xml:space="preserve"> </w:t>
      </w:r>
    </w:p>
    <w:p w14:paraId="4E517372"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Avicenna, 72</w:t>
      </w:r>
      <w:r>
        <w:rPr>
          <w:rFonts w:ascii="Times New Roman" w:hAnsi="Times New Roman" w:cs="Times New Roman"/>
        </w:rPr>
        <w:t>.</w:t>
      </w:r>
    </w:p>
    <w:p w14:paraId="25C6C2EB"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Bade, Josse, 153</w:t>
      </w:r>
      <w:r>
        <w:rPr>
          <w:rFonts w:ascii="Times New Roman" w:hAnsi="Times New Roman" w:cs="Times New Roman"/>
        </w:rPr>
        <w:t>.</w:t>
      </w:r>
      <w:r w:rsidRPr="00AB1C99">
        <w:rPr>
          <w:rFonts w:ascii="Times New Roman" w:hAnsi="Times New Roman" w:cs="Times New Roman"/>
        </w:rPr>
        <w:t xml:space="preserve"> </w:t>
      </w:r>
    </w:p>
    <w:p w14:paraId="5530776E"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Bagarotto, Jacopo, 129</w:t>
      </w:r>
      <w:r>
        <w:rPr>
          <w:rFonts w:ascii="Times New Roman" w:hAnsi="Times New Roman" w:cs="Times New Roman"/>
        </w:rPr>
        <w:t>.</w:t>
      </w:r>
      <w:r w:rsidRPr="00AB1C99">
        <w:rPr>
          <w:rFonts w:ascii="Times New Roman" w:hAnsi="Times New Roman" w:cs="Times New Roman"/>
        </w:rPr>
        <w:t xml:space="preserve"> </w:t>
      </w:r>
    </w:p>
    <w:p w14:paraId="3F628A6E"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Baldi, Bernardino, 85</w:t>
      </w:r>
      <w:r>
        <w:rPr>
          <w:rFonts w:ascii="Times New Roman" w:hAnsi="Times New Roman" w:cs="Times New Roman"/>
        </w:rPr>
        <w:t>.</w:t>
      </w:r>
    </w:p>
    <w:p w14:paraId="42658523"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Baldini, Baccio, 143 e n, 144</w:t>
      </w:r>
      <w:r>
        <w:rPr>
          <w:rFonts w:ascii="Times New Roman" w:hAnsi="Times New Roman" w:cs="Times New Roman"/>
        </w:rPr>
        <w:t>, 249.</w:t>
      </w:r>
      <w:r w:rsidRPr="00AB1C99">
        <w:rPr>
          <w:rFonts w:ascii="Times New Roman" w:hAnsi="Times New Roman" w:cs="Times New Roman"/>
        </w:rPr>
        <w:t xml:space="preserve"> </w:t>
      </w:r>
    </w:p>
    <w:p w14:paraId="4BB16E20"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Barattieri, Bartolomeo, 17</w:t>
      </w:r>
      <w:r>
        <w:rPr>
          <w:rFonts w:ascii="Times New Roman" w:hAnsi="Times New Roman" w:cs="Times New Roman"/>
        </w:rPr>
        <w:t>.</w:t>
      </w:r>
    </w:p>
    <w:p w14:paraId="70DA965E"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Barbo, Pietro</w:t>
      </w:r>
      <w:r>
        <w:rPr>
          <w:rFonts w:ascii="Times New Roman" w:hAnsi="Times New Roman" w:cs="Times New Roman"/>
        </w:rPr>
        <w:t>,</w:t>
      </w:r>
      <w:r w:rsidRPr="00AB1C99">
        <w:rPr>
          <w:rFonts w:ascii="Times New Roman" w:hAnsi="Times New Roman" w:cs="Times New Roman"/>
        </w:rPr>
        <w:t xml:space="preserve"> vedi Paolo II</w:t>
      </w:r>
      <w:r>
        <w:rPr>
          <w:rFonts w:ascii="Times New Roman" w:hAnsi="Times New Roman" w:cs="Times New Roman"/>
        </w:rPr>
        <w:t>.</w:t>
      </w:r>
      <w:r w:rsidRPr="00AB1C99">
        <w:rPr>
          <w:rFonts w:ascii="Times New Roman" w:hAnsi="Times New Roman" w:cs="Times New Roman"/>
        </w:rPr>
        <w:t xml:space="preserve"> </w:t>
      </w:r>
    </w:p>
    <w:p w14:paraId="0CC77EB3" w14:textId="77777777" w:rsidR="00FF51E2" w:rsidRDefault="00FF51E2" w:rsidP="00FF51E2">
      <w:pPr>
        <w:jc w:val="both"/>
        <w:rPr>
          <w:rFonts w:ascii="Times New Roman" w:hAnsi="Times New Roman" w:cs="Times New Roman"/>
        </w:rPr>
      </w:pPr>
      <w:r w:rsidRPr="00AB1C99">
        <w:rPr>
          <w:rFonts w:ascii="Times New Roman" w:hAnsi="Times New Roman" w:cs="Times New Roman"/>
        </w:rPr>
        <w:t>Baroncelli, Niccolò</w:t>
      </w:r>
      <w:r>
        <w:rPr>
          <w:rFonts w:ascii="Times New Roman" w:hAnsi="Times New Roman" w:cs="Times New Roman"/>
        </w:rPr>
        <w:t>, 241n, 307.</w:t>
      </w:r>
    </w:p>
    <w:p w14:paraId="5C5457E4" w14:textId="77777777" w:rsidR="00FF51E2" w:rsidRPr="00AB1C99" w:rsidRDefault="00FF51E2" w:rsidP="00FF51E2">
      <w:pPr>
        <w:jc w:val="both"/>
        <w:rPr>
          <w:rFonts w:ascii="Times New Roman" w:hAnsi="Times New Roman" w:cs="Times New Roman"/>
        </w:rPr>
      </w:pPr>
      <w:r>
        <w:rPr>
          <w:rFonts w:ascii="Times New Roman" w:hAnsi="Times New Roman" w:cs="Times New Roman"/>
        </w:rPr>
        <w:t>Baroni, Francesco, 311n.</w:t>
      </w:r>
    </w:p>
    <w:p w14:paraId="2ABCAEE1"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Bartolomeo Tromboncino</w:t>
      </w:r>
      <w:r>
        <w:rPr>
          <w:rFonts w:ascii="Times New Roman" w:hAnsi="Times New Roman" w:cs="Times New Roman"/>
        </w:rPr>
        <w:t>, 321-322.</w:t>
      </w:r>
    </w:p>
    <w:p w14:paraId="238DBA8B"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Barzizza, Gasparino</w:t>
      </w:r>
      <w:r>
        <w:rPr>
          <w:rFonts w:ascii="Times New Roman" w:hAnsi="Times New Roman" w:cs="Times New Roman"/>
        </w:rPr>
        <w:t>, 309n.</w:t>
      </w:r>
      <w:r w:rsidRPr="00AB1C99">
        <w:rPr>
          <w:rFonts w:ascii="Times New Roman" w:hAnsi="Times New Roman" w:cs="Times New Roman"/>
        </w:rPr>
        <w:t xml:space="preserve"> </w:t>
      </w:r>
    </w:p>
    <w:p w14:paraId="0F3A20F2"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Basilio san, 71</w:t>
      </w:r>
      <w:r>
        <w:rPr>
          <w:rFonts w:ascii="Times New Roman" w:hAnsi="Times New Roman" w:cs="Times New Roman"/>
        </w:rPr>
        <w:t>.</w:t>
      </w:r>
    </w:p>
    <w:p w14:paraId="440E8B1A"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Basini, Basinio, 20</w:t>
      </w:r>
      <w:r>
        <w:rPr>
          <w:rFonts w:ascii="Times New Roman" w:hAnsi="Times New Roman" w:cs="Times New Roman"/>
        </w:rPr>
        <w:t>.</w:t>
      </w:r>
    </w:p>
    <w:p w14:paraId="7CFB3E35"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Bayezid II, sultano ottomanno</w:t>
      </w:r>
      <w:r>
        <w:rPr>
          <w:rFonts w:ascii="Times New Roman" w:hAnsi="Times New Roman" w:cs="Times New Roman"/>
        </w:rPr>
        <w:t>, 160n.</w:t>
      </w:r>
    </w:p>
    <w:p w14:paraId="4D8E6852"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Bazano, Nicola, 163</w:t>
      </w:r>
      <w:r>
        <w:rPr>
          <w:rFonts w:ascii="Times New Roman" w:hAnsi="Times New Roman" w:cs="Times New Roman"/>
        </w:rPr>
        <w:t>.</w:t>
      </w:r>
      <w:r w:rsidRPr="00AB1C99">
        <w:rPr>
          <w:rFonts w:ascii="Times New Roman" w:hAnsi="Times New Roman" w:cs="Times New Roman"/>
        </w:rPr>
        <w:t xml:space="preserve"> </w:t>
      </w:r>
    </w:p>
    <w:p w14:paraId="6B44EF5F"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Beato Angelico, 98 e n</w:t>
      </w:r>
      <w:r>
        <w:rPr>
          <w:rFonts w:ascii="Times New Roman" w:hAnsi="Times New Roman" w:cs="Times New Roman"/>
        </w:rPr>
        <w:t>.</w:t>
      </w:r>
    </w:p>
    <w:p w14:paraId="4EA00AB1"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Beccadelli, Antonio detto Panormita, 32, 50, 74, 75, 79, 82</w:t>
      </w:r>
      <w:r>
        <w:rPr>
          <w:rFonts w:ascii="Times New Roman" w:hAnsi="Times New Roman" w:cs="Times New Roman"/>
        </w:rPr>
        <w:t>.</w:t>
      </w:r>
    </w:p>
    <w:p w14:paraId="6CC719D1"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Becchi, Gentile, 24</w:t>
      </w:r>
      <w:r>
        <w:rPr>
          <w:rFonts w:ascii="Times New Roman" w:hAnsi="Times New Roman" w:cs="Times New Roman"/>
        </w:rPr>
        <w:t>.</w:t>
      </w:r>
    </w:p>
    <w:p w14:paraId="2D3647E2"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Belbello, Giovanni da Pavia, 39-41, 46</w:t>
      </w:r>
      <w:r>
        <w:rPr>
          <w:rFonts w:ascii="Times New Roman" w:hAnsi="Times New Roman" w:cs="Times New Roman"/>
        </w:rPr>
        <w:t>.</w:t>
      </w:r>
    </w:p>
    <w:p w14:paraId="167084BE"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Belcari, Feo</w:t>
      </w:r>
      <w:r>
        <w:rPr>
          <w:rFonts w:ascii="Times New Roman" w:hAnsi="Times New Roman" w:cs="Times New Roman"/>
        </w:rPr>
        <w:t>, 300, 301</w:t>
      </w:r>
      <w:r w:rsidRPr="00AB1C99">
        <w:rPr>
          <w:rFonts w:ascii="Times New Roman" w:hAnsi="Times New Roman" w:cs="Times New Roman"/>
        </w:rPr>
        <w:t xml:space="preserve"> </w:t>
      </w:r>
      <w:r>
        <w:rPr>
          <w:rFonts w:ascii="Times New Roman" w:hAnsi="Times New Roman" w:cs="Times New Roman"/>
        </w:rPr>
        <w:t>e n.</w:t>
      </w:r>
    </w:p>
    <w:p w14:paraId="75A1261E"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Bellincioni, Bernardo, 49 e n</w:t>
      </w:r>
      <w:r>
        <w:rPr>
          <w:rFonts w:ascii="Times New Roman" w:hAnsi="Times New Roman" w:cs="Times New Roman"/>
        </w:rPr>
        <w:t>, 214.</w:t>
      </w:r>
    </w:p>
    <w:p w14:paraId="42403679"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Bellini, Giovanni, 38 e n</w:t>
      </w:r>
      <w:r>
        <w:rPr>
          <w:rFonts w:ascii="Times New Roman" w:hAnsi="Times New Roman" w:cs="Times New Roman"/>
        </w:rPr>
        <w:t>.</w:t>
      </w:r>
    </w:p>
    <w:p w14:paraId="34769740"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Bellini, Jacopo, 38</w:t>
      </w:r>
      <w:r>
        <w:rPr>
          <w:rFonts w:ascii="Times New Roman" w:hAnsi="Times New Roman" w:cs="Times New Roman"/>
        </w:rPr>
        <w:t>.</w:t>
      </w:r>
      <w:r w:rsidRPr="00AB1C99">
        <w:rPr>
          <w:rFonts w:ascii="Times New Roman" w:hAnsi="Times New Roman" w:cs="Times New Roman"/>
        </w:rPr>
        <w:t xml:space="preserve"> </w:t>
      </w:r>
    </w:p>
    <w:p w14:paraId="44953D2E"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Belot, Jean, 121</w:t>
      </w:r>
      <w:r>
        <w:rPr>
          <w:rFonts w:ascii="Times New Roman" w:hAnsi="Times New Roman" w:cs="Times New Roman"/>
        </w:rPr>
        <w:t>.</w:t>
      </w:r>
    </w:p>
    <w:p w14:paraId="2C58D9C4"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Bembo, Benedetto, 46</w:t>
      </w:r>
      <w:r>
        <w:rPr>
          <w:rFonts w:ascii="Times New Roman" w:hAnsi="Times New Roman" w:cs="Times New Roman"/>
        </w:rPr>
        <w:t>.</w:t>
      </w:r>
    </w:p>
    <w:p w14:paraId="67A6F5B0"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Bembo, Bonifacio, 47</w:t>
      </w:r>
      <w:r>
        <w:rPr>
          <w:rFonts w:ascii="Times New Roman" w:hAnsi="Times New Roman" w:cs="Times New Roman"/>
        </w:rPr>
        <w:t>.</w:t>
      </w:r>
    </w:p>
    <w:p w14:paraId="0B2C57B4"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Benalio, Bernardino, 90n</w:t>
      </w:r>
      <w:r>
        <w:rPr>
          <w:rFonts w:ascii="Times New Roman" w:hAnsi="Times New Roman" w:cs="Times New Roman"/>
        </w:rPr>
        <w:t>.</w:t>
      </w:r>
      <w:r w:rsidRPr="00AB1C99">
        <w:rPr>
          <w:rFonts w:ascii="Times New Roman" w:hAnsi="Times New Roman" w:cs="Times New Roman"/>
        </w:rPr>
        <w:t xml:space="preserve"> </w:t>
      </w:r>
    </w:p>
    <w:p w14:paraId="3F2D440C"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ben Garton ben Yishaq, Abraham, 134</w:t>
      </w:r>
      <w:r>
        <w:rPr>
          <w:rFonts w:ascii="Times New Roman" w:hAnsi="Times New Roman" w:cs="Times New Roman"/>
        </w:rPr>
        <w:t>.</w:t>
      </w:r>
      <w:r w:rsidRPr="00AB1C99">
        <w:rPr>
          <w:rFonts w:ascii="Times New Roman" w:hAnsi="Times New Roman" w:cs="Times New Roman"/>
        </w:rPr>
        <w:t xml:space="preserve"> </w:t>
      </w:r>
    </w:p>
    <w:p w14:paraId="469847EA"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Bentivoglio, Andrea, 155, 156</w:t>
      </w:r>
      <w:r>
        <w:rPr>
          <w:rFonts w:ascii="Times New Roman" w:hAnsi="Times New Roman" w:cs="Times New Roman"/>
        </w:rPr>
        <w:t>.</w:t>
      </w:r>
      <w:r w:rsidRPr="00AB1C99">
        <w:rPr>
          <w:rFonts w:ascii="Times New Roman" w:hAnsi="Times New Roman" w:cs="Times New Roman"/>
        </w:rPr>
        <w:t xml:space="preserve"> </w:t>
      </w:r>
    </w:p>
    <w:p w14:paraId="5B0BC7C1"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Bentivoglio, Annibale II, 4, 6, 7, 114, 121, 149-169, 186</w:t>
      </w:r>
      <w:r>
        <w:rPr>
          <w:rFonts w:ascii="Times New Roman" w:hAnsi="Times New Roman" w:cs="Times New Roman"/>
        </w:rPr>
        <w:t>, 225, 262, 273, 280, 290, 292, 294, 296, 297, 314.</w:t>
      </w:r>
    </w:p>
    <w:p w14:paraId="6DFB1898"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Bentivoglio, Ercole, 137, 155</w:t>
      </w:r>
      <w:r>
        <w:rPr>
          <w:rFonts w:ascii="Times New Roman" w:hAnsi="Times New Roman" w:cs="Times New Roman"/>
        </w:rPr>
        <w:t>.</w:t>
      </w:r>
    </w:p>
    <w:p w14:paraId="54EB651F"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Bentivoglio, Giovanni I, 135n</w:t>
      </w:r>
      <w:r>
        <w:rPr>
          <w:rFonts w:ascii="Times New Roman" w:hAnsi="Times New Roman" w:cs="Times New Roman"/>
        </w:rPr>
        <w:t>.</w:t>
      </w:r>
    </w:p>
    <w:p w14:paraId="6593314C"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Bentivoglio, Giovanni II, 149, 150 e n, 152, 156, 157, 158, 159, 165, 166, 177 e n, 192</w:t>
      </w:r>
      <w:r>
        <w:rPr>
          <w:rFonts w:ascii="Times New Roman" w:hAnsi="Times New Roman" w:cs="Times New Roman"/>
        </w:rPr>
        <w:t>, 222, 246, 317.</w:t>
      </w:r>
    </w:p>
    <w:p w14:paraId="5AD7250C"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Bentivoglio, Ludovico, 156</w:t>
      </w:r>
      <w:r>
        <w:rPr>
          <w:rFonts w:ascii="Times New Roman" w:hAnsi="Times New Roman" w:cs="Times New Roman"/>
        </w:rPr>
        <w:t>.</w:t>
      </w:r>
    </w:p>
    <w:p w14:paraId="0AB5218B"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Bentivoglio, Sante, 135n, 150</w:t>
      </w:r>
      <w:r>
        <w:rPr>
          <w:rFonts w:ascii="Times New Roman" w:hAnsi="Times New Roman" w:cs="Times New Roman"/>
        </w:rPr>
        <w:t>.</w:t>
      </w:r>
    </w:p>
    <w:p w14:paraId="61D47F5A"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Bentivoglio, Violante, 161</w:t>
      </w:r>
      <w:r>
        <w:rPr>
          <w:rFonts w:ascii="Times New Roman" w:hAnsi="Times New Roman" w:cs="Times New Roman"/>
        </w:rPr>
        <w:t>.</w:t>
      </w:r>
    </w:p>
    <w:p w14:paraId="30267FD4"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Bernardo di Chiaravalle san, 71</w:t>
      </w:r>
      <w:r>
        <w:rPr>
          <w:rFonts w:ascii="Times New Roman" w:hAnsi="Times New Roman" w:cs="Times New Roman"/>
        </w:rPr>
        <w:t>.</w:t>
      </w:r>
    </w:p>
    <w:p w14:paraId="5002C394"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Beroaldo, Filippo, 7, 123, 127, 152-153, 157n, 159, 161, 164, 167, 175, 176 e n, 177, 191, 192</w:t>
      </w:r>
      <w:r>
        <w:rPr>
          <w:rFonts w:ascii="Times New Roman" w:hAnsi="Times New Roman" w:cs="Times New Roman"/>
        </w:rPr>
        <w:t>, 270, 272n, 279.</w:t>
      </w:r>
    </w:p>
    <w:p w14:paraId="1515DD42"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Bertini, Francesco</w:t>
      </w:r>
      <w:r>
        <w:rPr>
          <w:rFonts w:ascii="Times New Roman" w:hAnsi="Times New Roman" w:cs="Times New Roman"/>
        </w:rPr>
        <w:t>, 93.</w:t>
      </w:r>
    </w:p>
    <w:p w14:paraId="02D5F450"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Bessarione, 28, 35, 85n</w:t>
      </w:r>
      <w:r>
        <w:rPr>
          <w:rFonts w:ascii="Times New Roman" w:hAnsi="Times New Roman" w:cs="Times New Roman"/>
        </w:rPr>
        <w:t>, 299n.</w:t>
      </w:r>
    </w:p>
    <w:p w14:paraId="650A518A"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Bettucci, Pietro, 22</w:t>
      </w:r>
      <w:r>
        <w:rPr>
          <w:rFonts w:ascii="Times New Roman" w:hAnsi="Times New Roman" w:cs="Times New Roman"/>
        </w:rPr>
        <w:t>.</w:t>
      </w:r>
      <w:r w:rsidRPr="00AB1C99">
        <w:rPr>
          <w:rFonts w:ascii="Times New Roman" w:hAnsi="Times New Roman" w:cs="Times New Roman"/>
        </w:rPr>
        <w:t xml:space="preserve"> </w:t>
      </w:r>
    </w:p>
    <w:p w14:paraId="57E708FB"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Bianchini, Giovanni</w:t>
      </w:r>
      <w:r>
        <w:rPr>
          <w:rFonts w:ascii="Times New Roman" w:hAnsi="Times New Roman" w:cs="Times New Roman"/>
        </w:rPr>
        <w:t>, 306, 307, 313, 315</w:t>
      </w:r>
      <w:r w:rsidRPr="00AB1C99">
        <w:rPr>
          <w:rFonts w:ascii="Times New Roman" w:hAnsi="Times New Roman" w:cs="Times New Roman"/>
        </w:rPr>
        <w:t xml:space="preserve"> </w:t>
      </w:r>
      <w:r>
        <w:rPr>
          <w:rFonts w:ascii="Times New Roman" w:hAnsi="Times New Roman" w:cs="Times New Roman"/>
        </w:rPr>
        <w:t xml:space="preserve">e n. </w:t>
      </w:r>
    </w:p>
    <w:p w14:paraId="55505A9A"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Billie, Giovanni, 14</w:t>
      </w:r>
      <w:r>
        <w:rPr>
          <w:rFonts w:ascii="Times New Roman" w:hAnsi="Times New Roman" w:cs="Times New Roman"/>
        </w:rPr>
        <w:t>.</w:t>
      </w:r>
    </w:p>
    <w:p w14:paraId="06B0A27C" w14:textId="77777777" w:rsidR="00FF51E2" w:rsidRPr="00AB1C99" w:rsidRDefault="00FF51E2" w:rsidP="00FF51E2">
      <w:pPr>
        <w:jc w:val="both"/>
        <w:rPr>
          <w:rFonts w:ascii="Times New Roman" w:hAnsi="Times New Roman" w:cs="Times New Roman"/>
        </w:rPr>
      </w:pPr>
      <w:r w:rsidRPr="00AB1C99">
        <w:rPr>
          <w:rFonts w:ascii="Times New Roman" w:hAnsi="Times New Roman" w:cs="Times New Roman"/>
        </w:rPr>
        <w:t>Binasco, Francesco, 49</w:t>
      </w:r>
      <w:r>
        <w:rPr>
          <w:rFonts w:ascii="Times New Roman" w:hAnsi="Times New Roman" w:cs="Times New Roman"/>
        </w:rPr>
        <w:t>.</w:t>
      </w:r>
      <w:r w:rsidRPr="00AB1C99">
        <w:rPr>
          <w:rFonts w:ascii="Times New Roman" w:hAnsi="Times New Roman" w:cs="Times New Roman"/>
        </w:rPr>
        <w:t xml:space="preserve"> </w:t>
      </w:r>
    </w:p>
    <w:p w14:paraId="41562F0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Biondo, Flavio, 7, 20, 63, 125n, 176, 193</w:t>
      </w:r>
      <w:r>
        <w:rPr>
          <w:rFonts w:ascii="Times New Roman" w:hAnsi="Times New Roman" w:cs="Times New Roman"/>
        </w:rPr>
        <w:t>, 236, 247.</w:t>
      </w:r>
    </w:p>
    <w:p w14:paraId="22574AC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Birago, Giovan Pietro, 48-49, 50, 104</w:t>
      </w:r>
      <w:r>
        <w:rPr>
          <w:rFonts w:ascii="Times New Roman" w:hAnsi="Times New Roman" w:cs="Times New Roman"/>
        </w:rPr>
        <w:t>.</w:t>
      </w:r>
    </w:p>
    <w:p w14:paraId="09DBA9D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Boccabella, Emilio, 4, 128 e n</w:t>
      </w:r>
      <w:r>
        <w:rPr>
          <w:rFonts w:ascii="Times New Roman" w:hAnsi="Times New Roman" w:cs="Times New Roman"/>
        </w:rPr>
        <w:t>, 275.</w:t>
      </w:r>
    </w:p>
    <w:p w14:paraId="4B0EEA1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Boccaccini, Boccacciono, 50</w:t>
      </w:r>
      <w:r>
        <w:rPr>
          <w:rFonts w:ascii="Times New Roman" w:hAnsi="Times New Roman" w:cs="Times New Roman"/>
        </w:rPr>
        <w:t>.</w:t>
      </w:r>
    </w:p>
    <w:p w14:paraId="1636E6B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Boccaccio, Giovanni, 20n, 63, 65n, 68</w:t>
      </w:r>
      <w:r>
        <w:rPr>
          <w:rFonts w:ascii="Times New Roman" w:hAnsi="Times New Roman" w:cs="Times New Roman"/>
        </w:rPr>
        <w:t>, 267n.</w:t>
      </w:r>
    </w:p>
    <w:p w14:paraId="533DF86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Boezio, 71</w:t>
      </w:r>
      <w:r>
        <w:rPr>
          <w:rFonts w:ascii="Times New Roman" w:hAnsi="Times New Roman" w:cs="Times New Roman"/>
        </w:rPr>
        <w:t>, 344n.</w:t>
      </w:r>
      <w:r w:rsidRPr="00AB1C99">
        <w:rPr>
          <w:rFonts w:ascii="Times New Roman" w:hAnsi="Times New Roman" w:cs="Times New Roman"/>
        </w:rPr>
        <w:t xml:space="preserve"> </w:t>
      </w:r>
    </w:p>
    <w:p w14:paraId="0B70A12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Boiardo, Matteo Maria, 75-76, 123n</w:t>
      </w:r>
      <w:r>
        <w:rPr>
          <w:rFonts w:ascii="Times New Roman" w:hAnsi="Times New Roman" w:cs="Times New Roman"/>
        </w:rPr>
        <w:t>, 227n.</w:t>
      </w:r>
    </w:p>
    <w:p w14:paraId="7AE22A8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Bolognini, Attendolo, 46</w:t>
      </w:r>
      <w:r>
        <w:rPr>
          <w:rFonts w:ascii="Times New Roman" w:hAnsi="Times New Roman" w:cs="Times New Roman"/>
        </w:rPr>
        <w:t>.</w:t>
      </w:r>
      <w:r w:rsidRPr="00AB1C99">
        <w:rPr>
          <w:rFonts w:ascii="Times New Roman" w:hAnsi="Times New Roman" w:cs="Times New Roman"/>
        </w:rPr>
        <w:t xml:space="preserve"> </w:t>
      </w:r>
    </w:p>
    <w:p w14:paraId="518772E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Bolognini, Giovanni Antonio, 16n</w:t>
      </w:r>
      <w:r>
        <w:rPr>
          <w:rFonts w:ascii="Times New Roman" w:hAnsi="Times New Roman" w:cs="Times New Roman"/>
        </w:rPr>
        <w:t>.</w:t>
      </w:r>
      <w:r w:rsidRPr="00AB1C99">
        <w:rPr>
          <w:rFonts w:ascii="Times New Roman" w:hAnsi="Times New Roman" w:cs="Times New Roman"/>
        </w:rPr>
        <w:t xml:space="preserve"> </w:t>
      </w:r>
    </w:p>
    <w:p w14:paraId="545123A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Bonacolsi, Botirone, 11</w:t>
      </w:r>
      <w:r>
        <w:rPr>
          <w:rFonts w:ascii="Times New Roman" w:hAnsi="Times New Roman" w:cs="Times New Roman"/>
        </w:rPr>
        <w:t>.</w:t>
      </w:r>
    </w:p>
    <w:p w14:paraId="47D1759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Bonacolsi, Filippone, 11 e n</w:t>
      </w:r>
      <w:r>
        <w:rPr>
          <w:rFonts w:ascii="Times New Roman" w:hAnsi="Times New Roman" w:cs="Times New Roman"/>
        </w:rPr>
        <w:t>.</w:t>
      </w:r>
      <w:r w:rsidRPr="00AB1C99">
        <w:rPr>
          <w:rFonts w:ascii="Times New Roman" w:hAnsi="Times New Roman" w:cs="Times New Roman"/>
        </w:rPr>
        <w:t xml:space="preserve"> </w:t>
      </w:r>
    </w:p>
    <w:p w14:paraId="4998027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Bonacolsi, Rinaldo, 11</w:t>
      </w:r>
      <w:r>
        <w:rPr>
          <w:rFonts w:ascii="Times New Roman" w:hAnsi="Times New Roman" w:cs="Times New Roman"/>
        </w:rPr>
        <w:t>.</w:t>
      </w:r>
      <w:r w:rsidRPr="00AB1C99">
        <w:rPr>
          <w:rFonts w:ascii="Times New Roman" w:hAnsi="Times New Roman" w:cs="Times New Roman"/>
        </w:rPr>
        <w:t xml:space="preserve"> </w:t>
      </w:r>
    </w:p>
    <w:p w14:paraId="67A41B7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Bonatti, Bartolomeo, 40</w:t>
      </w:r>
      <w:r>
        <w:rPr>
          <w:rFonts w:ascii="Times New Roman" w:hAnsi="Times New Roman" w:cs="Times New Roman"/>
        </w:rPr>
        <w:t>, 220.</w:t>
      </w:r>
    </w:p>
    <w:p w14:paraId="1DBED54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Bontempi, Candido, 87</w:t>
      </w:r>
      <w:r>
        <w:rPr>
          <w:rFonts w:ascii="Times New Roman" w:hAnsi="Times New Roman" w:cs="Times New Roman"/>
        </w:rPr>
        <w:t>.</w:t>
      </w:r>
      <w:r w:rsidRPr="00AB1C99">
        <w:rPr>
          <w:rFonts w:ascii="Times New Roman" w:hAnsi="Times New Roman" w:cs="Times New Roman"/>
        </w:rPr>
        <w:t xml:space="preserve">  </w:t>
      </w:r>
    </w:p>
    <w:p w14:paraId="3D0933A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Borgia, Alonso</w:t>
      </w:r>
      <w:r>
        <w:rPr>
          <w:rFonts w:ascii="Times New Roman" w:hAnsi="Times New Roman" w:cs="Times New Roman"/>
        </w:rPr>
        <w:t>,</w:t>
      </w:r>
      <w:r w:rsidRPr="00AB1C99">
        <w:rPr>
          <w:rFonts w:ascii="Times New Roman" w:hAnsi="Times New Roman" w:cs="Times New Roman"/>
        </w:rPr>
        <w:t xml:space="preserve"> vedi Callisto III</w:t>
      </w:r>
      <w:r>
        <w:rPr>
          <w:rFonts w:ascii="Times New Roman" w:hAnsi="Times New Roman" w:cs="Times New Roman"/>
        </w:rPr>
        <w:t>.</w:t>
      </w:r>
    </w:p>
    <w:p w14:paraId="25104BBE" w14:textId="77777777" w:rsidR="00337C20" w:rsidRDefault="00337C20" w:rsidP="00337C20">
      <w:pPr>
        <w:jc w:val="both"/>
        <w:rPr>
          <w:rFonts w:ascii="Times New Roman" w:hAnsi="Times New Roman" w:cs="Times New Roman"/>
        </w:rPr>
      </w:pPr>
      <w:r w:rsidRPr="00AB1C99">
        <w:rPr>
          <w:rFonts w:ascii="Times New Roman" w:hAnsi="Times New Roman" w:cs="Times New Roman"/>
        </w:rPr>
        <w:t>Borgia, Cesare detto Valentino, 119n</w:t>
      </w:r>
      <w:r>
        <w:rPr>
          <w:rFonts w:ascii="Times New Roman" w:hAnsi="Times New Roman" w:cs="Times New Roman"/>
        </w:rPr>
        <w:t>, 246n, 254, 255, 256, 257.</w:t>
      </w:r>
    </w:p>
    <w:p w14:paraId="7D366DF8" w14:textId="77777777" w:rsidR="00337C20" w:rsidRPr="00AB1C99" w:rsidRDefault="00337C20" w:rsidP="00337C20">
      <w:pPr>
        <w:jc w:val="both"/>
        <w:rPr>
          <w:rFonts w:ascii="Times New Roman" w:hAnsi="Times New Roman" w:cs="Times New Roman"/>
        </w:rPr>
      </w:pPr>
      <w:r>
        <w:rPr>
          <w:rFonts w:ascii="Times New Roman" w:hAnsi="Times New Roman" w:cs="Times New Roman"/>
        </w:rPr>
        <w:t>Borgia, Giovanni, 255n.</w:t>
      </w:r>
    </w:p>
    <w:p w14:paraId="2C25BAE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Borgia, Lucrezia, 4n, </w:t>
      </w:r>
      <w:r>
        <w:rPr>
          <w:rFonts w:ascii="Times New Roman" w:hAnsi="Times New Roman" w:cs="Times New Roman"/>
        </w:rPr>
        <w:t>246-247, 254, 256n, 257, 263-264, 283, 284, 288, 309, 311, 312, 317, 325.</w:t>
      </w:r>
    </w:p>
    <w:p w14:paraId="3E801AD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Borgia, Pier Luigi</w:t>
      </w:r>
      <w:r>
        <w:rPr>
          <w:rFonts w:ascii="Times New Roman" w:hAnsi="Times New Roman" w:cs="Times New Roman"/>
        </w:rPr>
        <w:t>, 257.</w:t>
      </w:r>
    </w:p>
    <w:p w14:paraId="53928BA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Borgia, Rodrigo, vedi Alessandro VI</w:t>
      </w:r>
      <w:r>
        <w:rPr>
          <w:rFonts w:ascii="Times New Roman" w:hAnsi="Times New Roman" w:cs="Times New Roman"/>
        </w:rPr>
        <w:t>.</w:t>
      </w:r>
    </w:p>
    <w:p w14:paraId="3804BF4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Borromeo, Giovanni, 155, 195, 196n</w:t>
      </w:r>
      <w:r>
        <w:rPr>
          <w:rFonts w:ascii="Times New Roman" w:hAnsi="Times New Roman" w:cs="Times New Roman"/>
        </w:rPr>
        <w:t>.</w:t>
      </w:r>
    </w:p>
    <w:p w14:paraId="292A6A9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Borromeo, Isabella, 47n</w:t>
      </w:r>
      <w:r>
        <w:rPr>
          <w:rFonts w:ascii="Times New Roman" w:hAnsi="Times New Roman" w:cs="Times New Roman"/>
        </w:rPr>
        <w:t>.</w:t>
      </w:r>
    </w:p>
    <w:p w14:paraId="5B49243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Borromeo, Vitaliano, 173n</w:t>
      </w:r>
      <w:r>
        <w:rPr>
          <w:rFonts w:ascii="Times New Roman" w:hAnsi="Times New Roman" w:cs="Times New Roman"/>
        </w:rPr>
        <w:t>.</w:t>
      </w:r>
      <w:r w:rsidRPr="00AB1C99">
        <w:rPr>
          <w:rFonts w:ascii="Times New Roman" w:hAnsi="Times New Roman" w:cs="Times New Roman"/>
        </w:rPr>
        <w:t xml:space="preserve"> </w:t>
      </w:r>
    </w:p>
    <w:p w14:paraId="1FFF0C4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Bosoni, Biagio da Cremona, 19 e n</w:t>
      </w:r>
      <w:r>
        <w:rPr>
          <w:rFonts w:ascii="Times New Roman" w:hAnsi="Times New Roman" w:cs="Times New Roman"/>
        </w:rPr>
        <w:t>.</w:t>
      </w:r>
      <w:r w:rsidRPr="00AB1C99">
        <w:rPr>
          <w:rFonts w:ascii="Times New Roman" w:hAnsi="Times New Roman" w:cs="Times New Roman"/>
        </w:rPr>
        <w:t xml:space="preserve"> </w:t>
      </w:r>
    </w:p>
    <w:p w14:paraId="1686BF6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Bossi, Donato, 77</w:t>
      </w:r>
      <w:r>
        <w:rPr>
          <w:rFonts w:ascii="Times New Roman" w:hAnsi="Times New Roman" w:cs="Times New Roman"/>
        </w:rPr>
        <w:t>.</w:t>
      </w:r>
    </w:p>
    <w:p w14:paraId="4A69DAC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Bossi, Francesco</w:t>
      </w:r>
      <w:r>
        <w:rPr>
          <w:rFonts w:ascii="Times New Roman" w:hAnsi="Times New Roman" w:cs="Times New Roman"/>
        </w:rPr>
        <w:t>, 261.</w:t>
      </w:r>
      <w:r w:rsidRPr="00AB1C99">
        <w:rPr>
          <w:rFonts w:ascii="Times New Roman" w:hAnsi="Times New Roman" w:cs="Times New Roman"/>
        </w:rPr>
        <w:t xml:space="preserve"> </w:t>
      </w:r>
    </w:p>
    <w:p w14:paraId="59FB415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Bossi, Gian Alberto, 174, 185-186</w:t>
      </w:r>
      <w:r>
        <w:rPr>
          <w:rFonts w:ascii="Times New Roman" w:hAnsi="Times New Roman" w:cs="Times New Roman"/>
        </w:rPr>
        <w:t>.</w:t>
      </w:r>
      <w:r w:rsidRPr="00AB1C99">
        <w:rPr>
          <w:rFonts w:ascii="Times New Roman" w:hAnsi="Times New Roman" w:cs="Times New Roman"/>
        </w:rPr>
        <w:t xml:space="preserve"> </w:t>
      </w:r>
    </w:p>
    <w:p w14:paraId="170664C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Bossi</w:t>
      </w:r>
      <w:r>
        <w:rPr>
          <w:rFonts w:ascii="Times New Roman" w:hAnsi="Times New Roman" w:cs="Times New Roman"/>
        </w:rPr>
        <w:t>,</w:t>
      </w:r>
      <w:r w:rsidRPr="00AB1C99">
        <w:rPr>
          <w:rFonts w:ascii="Times New Roman" w:hAnsi="Times New Roman" w:cs="Times New Roman"/>
        </w:rPr>
        <w:t xml:space="preserve"> Gianluigi</w:t>
      </w:r>
      <w:r>
        <w:rPr>
          <w:rFonts w:ascii="Times New Roman" w:hAnsi="Times New Roman" w:cs="Times New Roman"/>
        </w:rPr>
        <w:t xml:space="preserve">, 253, 261, 262, 279, 288. </w:t>
      </w:r>
    </w:p>
    <w:p w14:paraId="6B55B6C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Botta, Bergonzio, 172, 174 e n</w:t>
      </w:r>
      <w:r>
        <w:rPr>
          <w:rFonts w:ascii="Times New Roman" w:hAnsi="Times New Roman" w:cs="Times New Roman"/>
        </w:rPr>
        <w:t>, 277, 280n.</w:t>
      </w:r>
    </w:p>
    <w:p w14:paraId="5252EEB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Botta, Giacomo, 174n</w:t>
      </w:r>
      <w:r>
        <w:rPr>
          <w:rFonts w:ascii="Times New Roman" w:hAnsi="Times New Roman" w:cs="Times New Roman"/>
        </w:rPr>
        <w:t>.</w:t>
      </w:r>
      <w:r w:rsidRPr="00AB1C99">
        <w:rPr>
          <w:rFonts w:ascii="Times New Roman" w:hAnsi="Times New Roman" w:cs="Times New Roman"/>
        </w:rPr>
        <w:t xml:space="preserve"> </w:t>
      </w:r>
    </w:p>
    <w:p w14:paraId="529D330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Botta, Leonardo</w:t>
      </w:r>
      <w:r>
        <w:rPr>
          <w:rFonts w:ascii="Times New Roman" w:hAnsi="Times New Roman" w:cs="Times New Roman"/>
        </w:rPr>
        <w:t>, 231.</w:t>
      </w:r>
    </w:p>
    <w:p w14:paraId="73BA9A9B" w14:textId="77777777" w:rsidR="00337C20" w:rsidRDefault="00337C20" w:rsidP="00337C20">
      <w:pPr>
        <w:jc w:val="both"/>
        <w:rPr>
          <w:rFonts w:ascii="Times New Roman" w:hAnsi="Times New Roman" w:cs="Times New Roman"/>
        </w:rPr>
      </w:pPr>
      <w:r w:rsidRPr="00AB1C99">
        <w:rPr>
          <w:rFonts w:ascii="Times New Roman" w:hAnsi="Times New Roman" w:cs="Times New Roman"/>
        </w:rPr>
        <w:t>Botticelli, Sandro, 110 e n</w:t>
      </w:r>
      <w:r>
        <w:rPr>
          <w:rFonts w:ascii="Times New Roman" w:hAnsi="Times New Roman" w:cs="Times New Roman"/>
        </w:rPr>
        <w:t>.</w:t>
      </w:r>
    </w:p>
    <w:p w14:paraId="58CA261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Bracciolini, Jacopo 35, 105</w:t>
      </w:r>
      <w:r>
        <w:rPr>
          <w:rFonts w:ascii="Times New Roman" w:hAnsi="Times New Roman" w:cs="Times New Roman"/>
        </w:rPr>
        <w:t>.</w:t>
      </w:r>
    </w:p>
    <w:p w14:paraId="5E233A7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Bracciolini, Poggio, 20n, 26, 27, 35, 70 e n, 73, 75, 76, 96</w:t>
      </w:r>
      <w:r>
        <w:rPr>
          <w:rFonts w:ascii="Times New Roman" w:hAnsi="Times New Roman" w:cs="Times New Roman"/>
        </w:rPr>
        <w:t>.</w:t>
      </w:r>
    </w:p>
    <w:p w14:paraId="0886840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Bramante, Donato, 8, 46, 49, 180, 183 e n, 185 e n</w:t>
      </w:r>
      <w:r>
        <w:rPr>
          <w:rFonts w:ascii="Times New Roman" w:hAnsi="Times New Roman" w:cs="Times New Roman"/>
        </w:rPr>
        <w:t>.</w:t>
      </w:r>
      <w:r w:rsidRPr="00AB1C99">
        <w:rPr>
          <w:rFonts w:ascii="Times New Roman" w:hAnsi="Times New Roman" w:cs="Times New Roman"/>
        </w:rPr>
        <w:t xml:space="preserve">  </w:t>
      </w:r>
    </w:p>
    <w:p w14:paraId="2B82EA9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Brancaccio, Marino</w:t>
      </w:r>
      <w:r>
        <w:rPr>
          <w:rFonts w:ascii="Times New Roman" w:hAnsi="Times New Roman" w:cs="Times New Roman"/>
        </w:rPr>
        <w:t>, 226.</w:t>
      </w:r>
      <w:r w:rsidRPr="00AB1C99">
        <w:rPr>
          <w:rFonts w:ascii="Times New Roman" w:hAnsi="Times New Roman" w:cs="Times New Roman"/>
        </w:rPr>
        <w:t xml:space="preserve"> </w:t>
      </w:r>
    </w:p>
    <w:p w14:paraId="586F511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Brancati, Giovanni, 52 e n. </w:t>
      </w:r>
    </w:p>
    <w:p w14:paraId="4187BBB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Brasca, Erasmo, 16</w:t>
      </w:r>
      <w:r>
        <w:rPr>
          <w:rFonts w:ascii="Times New Roman" w:hAnsi="Times New Roman" w:cs="Times New Roman"/>
        </w:rPr>
        <w:t>, 199, 204, 205.</w:t>
      </w:r>
    </w:p>
    <w:p w14:paraId="0F3886AA" w14:textId="77777777" w:rsidR="00337C20" w:rsidRPr="00AB1C99" w:rsidRDefault="00337C20" w:rsidP="00337C20">
      <w:pPr>
        <w:jc w:val="both"/>
        <w:rPr>
          <w:rStyle w:val="Enfasigrassetto"/>
          <w:rFonts w:ascii="Times New Roman" w:hAnsi="Times New Roman" w:cs="Times New Roman"/>
          <w:b w:val="0"/>
        </w:rPr>
      </w:pPr>
      <w:r w:rsidRPr="00AB1C99">
        <w:rPr>
          <w:rStyle w:val="Enfasigrassetto"/>
          <w:rFonts w:ascii="Times New Roman" w:hAnsi="Times New Roman" w:cs="Times New Roman"/>
        </w:rPr>
        <w:t>Briconnet, Guillaume</w:t>
      </w:r>
      <w:r>
        <w:rPr>
          <w:rStyle w:val="Enfasigrassetto"/>
          <w:rFonts w:ascii="Times New Roman" w:hAnsi="Times New Roman" w:cs="Times New Roman"/>
        </w:rPr>
        <w:t>, 206.</w:t>
      </w:r>
    </w:p>
    <w:p w14:paraId="0692E9E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Broglio,</w:t>
      </w:r>
      <w:r w:rsidRPr="00AB1C99">
        <w:rPr>
          <w:rStyle w:val="Enfasigrassetto"/>
          <w:rFonts w:ascii="Times New Roman" w:hAnsi="Times New Roman" w:cs="Times New Roman"/>
        </w:rPr>
        <w:t xml:space="preserve"> </w:t>
      </w:r>
      <w:r w:rsidRPr="00AB1C99">
        <w:rPr>
          <w:rFonts w:ascii="Times New Roman" w:hAnsi="Times New Roman" w:cs="Times New Roman"/>
        </w:rPr>
        <w:t>Gaspare</w:t>
      </w:r>
      <w:r>
        <w:rPr>
          <w:rFonts w:ascii="Times New Roman" w:hAnsi="Times New Roman" w:cs="Times New Roman"/>
        </w:rPr>
        <w:t>, 239 e n, 240, 241, 266n, 281, 294, 295.</w:t>
      </w:r>
    </w:p>
    <w:p w14:paraId="4D24C51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Brunelleschi, Filippo, 167 e n</w:t>
      </w:r>
      <w:r>
        <w:rPr>
          <w:rFonts w:ascii="Times New Roman" w:hAnsi="Times New Roman" w:cs="Times New Roman"/>
        </w:rPr>
        <w:t>, 241.</w:t>
      </w:r>
      <w:r w:rsidRPr="00AB1C99">
        <w:rPr>
          <w:rFonts w:ascii="Times New Roman" w:hAnsi="Times New Roman" w:cs="Times New Roman"/>
        </w:rPr>
        <w:t xml:space="preserve"> </w:t>
      </w:r>
    </w:p>
    <w:p w14:paraId="16AB0D8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Bugatto, Zanetto, 88</w:t>
      </w:r>
      <w:r>
        <w:rPr>
          <w:rFonts w:ascii="Times New Roman" w:hAnsi="Times New Roman" w:cs="Times New Roman"/>
        </w:rPr>
        <w:t>.</w:t>
      </w:r>
    </w:p>
    <w:p w14:paraId="3B33CB8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Burcardo, Giovanni, 184n</w:t>
      </w:r>
      <w:r>
        <w:rPr>
          <w:rFonts w:ascii="Times New Roman" w:hAnsi="Times New Roman" w:cs="Times New Roman"/>
        </w:rPr>
        <w:t>, 212, 237, 257, 311, 312.</w:t>
      </w:r>
      <w:r w:rsidRPr="00AB1C99">
        <w:rPr>
          <w:rFonts w:ascii="Times New Roman" w:hAnsi="Times New Roman" w:cs="Times New Roman"/>
        </w:rPr>
        <w:t xml:space="preserve">  </w:t>
      </w:r>
    </w:p>
    <w:p w14:paraId="4D13530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Bureau, Laurent, 153</w:t>
      </w:r>
      <w:r>
        <w:rPr>
          <w:rFonts w:ascii="Times New Roman" w:hAnsi="Times New Roman" w:cs="Times New Roman"/>
        </w:rPr>
        <w:t>.</w:t>
      </w:r>
    </w:p>
    <w:p w14:paraId="7964353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Bussi, Giovanni Andrea, 28, 57, 58, 59</w:t>
      </w:r>
      <w:r>
        <w:rPr>
          <w:rFonts w:ascii="Times New Roman" w:hAnsi="Times New Roman" w:cs="Times New Roman"/>
        </w:rPr>
        <w:t>.</w:t>
      </w:r>
    </w:p>
    <w:p w14:paraId="145A4F6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Butzbach, Paul, 63, 64 e n</w:t>
      </w:r>
      <w:r>
        <w:rPr>
          <w:rFonts w:ascii="Times New Roman" w:hAnsi="Times New Roman" w:cs="Times New Roman"/>
        </w:rPr>
        <w:t>.</w:t>
      </w:r>
    </w:p>
    <w:p w14:paraId="67A4125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Caccia, Antonio, 59 e n. </w:t>
      </w:r>
    </w:p>
    <w:p w14:paraId="1C60156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Caccialupi, Giovanni Battista, 66</w:t>
      </w:r>
      <w:r>
        <w:rPr>
          <w:rFonts w:ascii="Times New Roman" w:hAnsi="Times New Roman" w:cs="Times New Roman"/>
        </w:rPr>
        <w:t>.</w:t>
      </w:r>
      <w:r w:rsidRPr="00AB1C99">
        <w:rPr>
          <w:rFonts w:ascii="Times New Roman" w:hAnsi="Times New Roman" w:cs="Times New Roman"/>
        </w:rPr>
        <w:t xml:space="preserve"> </w:t>
      </w:r>
    </w:p>
    <w:p w14:paraId="2D21F80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Cagnolo, Niccolò</w:t>
      </w:r>
      <w:r>
        <w:rPr>
          <w:rFonts w:ascii="Times New Roman" w:hAnsi="Times New Roman" w:cs="Times New Roman"/>
        </w:rPr>
        <w:t>, 246, 318, 319, 320.</w:t>
      </w:r>
      <w:r w:rsidRPr="00AB1C99">
        <w:rPr>
          <w:rFonts w:ascii="Times New Roman" w:hAnsi="Times New Roman" w:cs="Times New Roman"/>
        </w:rPr>
        <w:t xml:space="preserve"> </w:t>
      </w:r>
    </w:p>
    <w:p w14:paraId="0B359FD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Caillaut, Antoine, 121n</w:t>
      </w:r>
      <w:r>
        <w:rPr>
          <w:rFonts w:ascii="Times New Roman" w:hAnsi="Times New Roman" w:cs="Times New Roman"/>
        </w:rPr>
        <w:t>.</w:t>
      </w:r>
      <w:r w:rsidRPr="00AB1C99">
        <w:rPr>
          <w:rFonts w:ascii="Times New Roman" w:hAnsi="Times New Roman" w:cs="Times New Roman"/>
        </w:rPr>
        <w:t xml:space="preserve"> </w:t>
      </w:r>
    </w:p>
    <w:p w14:paraId="2342509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Calcagnini, Celio, 34</w:t>
      </w:r>
      <w:r>
        <w:rPr>
          <w:rFonts w:ascii="Times New Roman" w:hAnsi="Times New Roman" w:cs="Times New Roman"/>
        </w:rPr>
        <w:t>.</w:t>
      </w:r>
      <w:r w:rsidRPr="00AB1C99">
        <w:rPr>
          <w:rFonts w:ascii="Times New Roman" w:hAnsi="Times New Roman" w:cs="Times New Roman"/>
        </w:rPr>
        <w:t xml:space="preserve"> </w:t>
      </w:r>
    </w:p>
    <w:p w14:paraId="421A043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Calcagnini, Francesco, 12</w:t>
      </w:r>
      <w:r>
        <w:rPr>
          <w:rFonts w:ascii="Times New Roman" w:hAnsi="Times New Roman" w:cs="Times New Roman"/>
        </w:rPr>
        <w:t>.</w:t>
      </w:r>
    </w:p>
    <w:p w14:paraId="7B1FE87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Calcagnini, Teofilo</w:t>
      </w:r>
      <w:r>
        <w:rPr>
          <w:rFonts w:ascii="Times New Roman" w:hAnsi="Times New Roman" w:cs="Times New Roman"/>
        </w:rPr>
        <w:t>, 227n.</w:t>
      </w:r>
    </w:p>
    <w:p w14:paraId="122662E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Calcaterra, Giovanni, 14</w:t>
      </w:r>
      <w:r>
        <w:rPr>
          <w:rFonts w:ascii="Times New Roman" w:hAnsi="Times New Roman" w:cs="Times New Roman"/>
        </w:rPr>
        <w:t>.</w:t>
      </w:r>
    </w:p>
    <w:p w14:paraId="65ACA54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Calco, Agostino, 173, 175</w:t>
      </w:r>
      <w:r>
        <w:rPr>
          <w:rFonts w:ascii="Times New Roman" w:hAnsi="Times New Roman" w:cs="Times New Roman"/>
        </w:rPr>
        <w:t>.</w:t>
      </w:r>
    </w:p>
    <w:p w14:paraId="2B4CCC6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Calco, Bartolomeo, 7, 16 e n, 61n, 175, 183n, 198</w:t>
      </w:r>
      <w:r>
        <w:rPr>
          <w:rFonts w:ascii="Times New Roman" w:hAnsi="Times New Roman" w:cs="Times New Roman"/>
        </w:rPr>
        <w:t>, 203n, 236, 261.</w:t>
      </w:r>
    </w:p>
    <w:p w14:paraId="3C4AC68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Calco, Tristano, 7, 16 e n, 78 e n, 153, 168 e n, 174-198, </w:t>
      </w:r>
      <w:r>
        <w:rPr>
          <w:rFonts w:ascii="Times New Roman" w:hAnsi="Times New Roman" w:cs="Times New Roman"/>
        </w:rPr>
        <w:t>204, 205, 206, 207, 233, 260, 279, 295, 297.</w:t>
      </w:r>
    </w:p>
    <w:p w14:paraId="1BAE7EC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Calderini, Domizio</w:t>
      </w:r>
      <w:r>
        <w:rPr>
          <w:rFonts w:ascii="Times New Roman" w:hAnsi="Times New Roman" w:cs="Times New Roman"/>
        </w:rPr>
        <w:t>, 275n.</w:t>
      </w:r>
    </w:p>
    <w:p w14:paraId="1042ADC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Caleffini, Ugo</w:t>
      </w:r>
      <w:r>
        <w:rPr>
          <w:rFonts w:ascii="Times New Roman" w:hAnsi="Times New Roman" w:cs="Times New Roman"/>
        </w:rPr>
        <w:t>, 230n, 242, 249, 258, 260, 313, 314, 315, 317.</w:t>
      </w:r>
    </w:p>
    <w:p w14:paraId="69116D1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Callisto III (papa Alonso Borgia) 27-28, 55, 120</w:t>
      </w:r>
      <w:r>
        <w:rPr>
          <w:rFonts w:ascii="Times New Roman" w:hAnsi="Times New Roman" w:cs="Times New Roman"/>
        </w:rPr>
        <w:t>.</w:t>
      </w:r>
    </w:p>
    <w:p w14:paraId="5C92848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Cammelli, Antonio detto il Pistoia, 115</w:t>
      </w:r>
      <w:r>
        <w:rPr>
          <w:rFonts w:ascii="Times New Roman" w:hAnsi="Times New Roman" w:cs="Times New Roman"/>
        </w:rPr>
        <w:t>.</w:t>
      </w:r>
    </w:p>
    <w:p w14:paraId="7BF367A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Capella, Marziano, 144</w:t>
      </w:r>
      <w:r>
        <w:rPr>
          <w:rFonts w:ascii="Times New Roman" w:hAnsi="Times New Roman" w:cs="Times New Roman"/>
        </w:rPr>
        <w:t>.</w:t>
      </w:r>
      <w:r w:rsidRPr="00AB1C99">
        <w:rPr>
          <w:rFonts w:ascii="Times New Roman" w:hAnsi="Times New Roman" w:cs="Times New Roman"/>
        </w:rPr>
        <w:t xml:space="preserve"> </w:t>
      </w:r>
    </w:p>
    <w:p w14:paraId="43DCD42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Capelli, Pasquino, 15</w:t>
      </w:r>
      <w:r>
        <w:rPr>
          <w:rFonts w:ascii="Times New Roman" w:hAnsi="Times New Roman" w:cs="Times New Roman"/>
        </w:rPr>
        <w:t>.</w:t>
      </w:r>
    </w:p>
    <w:p w14:paraId="09C4A016" w14:textId="77777777" w:rsidR="00337C20" w:rsidRDefault="00337C20" w:rsidP="00337C20">
      <w:pPr>
        <w:jc w:val="both"/>
        <w:rPr>
          <w:rFonts w:ascii="Times New Roman" w:hAnsi="Times New Roman" w:cs="Times New Roman"/>
        </w:rPr>
      </w:pPr>
      <w:r w:rsidRPr="00AB1C99">
        <w:rPr>
          <w:rFonts w:ascii="Times New Roman" w:hAnsi="Times New Roman" w:cs="Times New Roman"/>
        </w:rPr>
        <w:t>Capersari, Blancocio, 11</w:t>
      </w:r>
      <w:r>
        <w:rPr>
          <w:rFonts w:ascii="Times New Roman" w:hAnsi="Times New Roman" w:cs="Times New Roman"/>
        </w:rPr>
        <w:t>.</w:t>
      </w:r>
      <w:r w:rsidRPr="00AB1C99">
        <w:rPr>
          <w:rFonts w:ascii="Times New Roman" w:hAnsi="Times New Roman" w:cs="Times New Roman"/>
        </w:rPr>
        <w:t xml:space="preserve"> </w:t>
      </w:r>
    </w:p>
    <w:p w14:paraId="573E2862" w14:textId="77777777" w:rsidR="00337C20" w:rsidRPr="00AB1C99" w:rsidRDefault="00337C20" w:rsidP="00337C20">
      <w:pPr>
        <w:jc w:val="both"/>
        <w:rPr>
          <w:rFonts w:ascii="Times New Roman" w:hAnsi="Times New Roman" w:cs="Times New Roman"/>
        </w:rPr>
      </w:pPr>
      <w:r>
        <w:rPr>
          <w:rFonts w:ascii="Times New Roman" w:hAnsi="Times New Roman" w:cs="Times New Roman"/>
        </w:rPr>
        <w:t>Capilupi, Benedetto, 145, 214, 245, 277, 290, 303, 304, 305.</w:t>
      </w:r>
    </w:p>
    <w:p w14:paraId="06A020E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Capilupi, Giovan Francesco, 39, 145</w:t>
      </w:r>
      <w:r>
        <w:rPr>
          <w:rFonts w:ascii="Times New Roman" w:hAnsi="Times New Roman" w:cs="Times New Roman"/>
        </w:rPr>
        <w:t>.</w:t>
      </w:r>
      <w:r w:rsidRPr="00AB1C99">
        <w:rPr>
          <w:rFonts w:ascii="Times New Roman" w:hAnsi="Times New Roman" w:cs="Times New Roman"/>
        </w:rPr>
        <w:t xml:space="preserve"> </w:t>
      </w:r>
    </w:p>
    <w:p w14:paraId="481A131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Capodiferro, Fausto</w:t>
      </w:r>
      <w:r>
        <w:rPr>
          <w:rFonts w:ascii="Times New Roman" w:hAnsi="Times New Roman" w:cs="Times New Roman"/>
        </w:rPr>
        <w:t>, 312 e n.</w:t>
      </w:r>
    </w:p>
    <w:p w14:paraId="2B5AE11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Cappello, Guglielmo, 13</w:t>
      </w:r>
      <w:r>
        <w:rPr>
          <w:rFonts w:ascii="Times New Roman" w:hAnsi="Times New Roman" w:cs="Times New Roman"/>
        </w:rPr>
        <w:t>.</w:t>
      </w:r>
      <w:r w:rsidRPr="00AB1C99">
        <w:rPr>
          <w:rFonts w:ascii="Times New Roman" w:hAnsi="Times New Roman" w:cs="Times New Roman"/>
        </w:rPr>
        <w:t xml:space="preserve"> </w:t>
      </w:r>
    </w:p>
    <w:p w14:paraId="5879649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Capra, Aloisio, 155</w:t>
      </w:r>
      <w:r>
        <w:rPr>
          <w:rFonts w:ascii="Times New Roman" w:hAnsi="Times New Roman" w:cs="Times New Roman"/>
        </w:rPr>
        <w:t>.</w:t>
      </w:r>
    </w:p>
    <w:p w14:paraId="441450F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Caracciolo, Giovanni II, 33, </w:t>
      </w:r>
      <w:r>
        <w:rPr>
          <w:rFonts w:ascii="Times New Roman" w:hAnsi="Times New Roman" w:cs="Times New Roman"/>
        </w:rPr>
        <w:t>221n.</w:t>
      </w:r>
    </w:p>
    <w:p w14:paraId="5A72ED5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Caracciolo, Roberto fra, </w:t>
      </w:r>
      <w:r>
        <w:rPr>
          <w:rFonts w:ascii="Times New Roman" w:hAnsi="Times New Roman" w:cs="Times New Roman"/>
        </w:rPr>
        <w:t xml:space="preserve">52n, </w:t>
      </w:r>
      <w:r w:rsidRPr="00AB1C99">
        <w:rPr>
          <w:rFonts w:ascii="Times New Roman" w:hAnsi="Times New Roman" w:cs="Times New Roman"/>
        </w:rPr>
        <w:t>89n</w:t>
      </w:r>
      <w:r>
        <w:rPr>
          <w:rFonts w:ascii="Times New Roman" w:hAnsi="Times New Roman" w:cs="Times New Roman"/>
        </w:rPr>
        <w:t>.</w:t>
      </w:r>
    </w:p>
    <w:p w14:paraId="06082C1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Caracciolo, Oliviero, 137</w:t>
      </w:r>
      <w:r>
        <w:rPr>
          <w:rFonts w:ascii="Times New Roman" w:hAnsi="Times New Roman" w:cs="Times New Roman"/>
        </w:rPr>
        <w:t>.</w:t>
      </w:r>
    </w:p>
    <w:p w14:paraId="0290A0D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Carafa, Oliviero</w:t>
      </w:r>
      <w:r>
        <w:rPr>
          <w:rFonts w:ascii="Times New Roman" w:hAnsi="Times New Roman" w:cs="Times New Roman"/>
        </w:rPr>
        <w:t>, 231.</w:t>
      </w:r>
      <w:r w:rsidRPr="00AB1C99">
        <w:rPr>
          <w:rFonts w:ascii="Times New Roman" w:hAnsi="Times New Roman" w:cs="Times New Roman"/>
        </w:rPr>
        <w:t xml:space="preserve"> </w:t>
      </w:r>
    </w:p>
    <w:p w14:paraId="0176FED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Carbone, Ludovico</w:t>
      </w:r>
      <w:r>
        <w:rPr>
          <w:rFonts w:ascii="Times New Roman" w:hAnsi="Times New Roman" w:cs="Times New Roman"/>
        </w:rPr>
        <w:t>, 227n.</w:t>
      </w:r>
    </w:p>
    <w:p w14:paraId="4D1B7AC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Carlo IV di Lussemburgo, imperatore, 17</w:t>
      </w:r>
      <w:r>
        <w:rPr>
          <w:rFonts w:ascii="Times New Roman" w:hAnsi="Times New Roman" w:cs="Times New Roman"/>
        </w:rPr>
        <w:t>.</w:t>
      </w:r>
    </w:p>
    <w:p w14:paraId="32426B7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Carlo V, </w:t>
      </w:r>
      <w:bookmarkStart w:id="555" w:name="_Hlk535673929"/>
      <w:r w:rsidRPr="00AB1C99">
        <w:rPr>
          <w:rFonts w:ascii="Times New Roman" w:hAnsi="Times New Roman" w:cs="Times New Roman"/>
        </w:rPr>
        <w:t>re di Francia</w:t>
      </w:r>
      <w:bookmarkEnd w:id="555"/>
      <w:r w:rsidRPr="00AB1C99">
        <w:rPr>
          <w:rFonts w:ascii="Times New Roman" w:hAnsi="Times New Roman" w:cs="Times New Roman"/>
        </w:rPr>
        <w:t>, 15</w:t>
      </w:r>
      <w:r>
        <w:rPr>
          <w:rFonts w:ascii="Times New Roman" w:hAnsi="Times New Roman" w:cs="Times New Roman"/>
        </w:rPr>
        <w:t>, 280n.</w:t>
      </w:r>
    </w:p>
    <w:p w14:paraId="3920D9D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Carlo VI, re di Francia, 100n</w:t>
      </w:r>
      <w:r>
        <w:rPr>
          <w:rFonts w:ascii="Times New Roman" w:hAnsi="Times New Roman" w:cs="Times New Roman"/>
        </w:rPr>
        <w:t>, 280n.</w:t>
      </w:r>
    </w:p>
    <w:p w14:paraId="3C52F13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Carlo VII, re di Francia, 45n</w:t>
      </w:r>
      <w:r>
        <w:rPr>
          <w:rFonts w:ascii="Times New Roman" w:hAnsi="Times New Roman" w:cs="Times New Roman"/>
        </w:rPr>
        <w:t>.</w:t>
      </w:r>
    </w:p>
    <w:p w14:paraId="54FD97F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Carlo VIII, re di Francia, 17, 33 e n, 121 e n, 122n</w:t>
      </w:r>
      <w:r>
        <w:rPr>
          <w:rFonts w:ascii="Times New Roman" w:hAnsi="Times New Roman" w:cs="Times New Roman"/>
        </w:rPr>
        <w:t>, 199, 203n, 206, 385.</w:t>
      </w:r>
    </w:p>
    <w:p w14:paraId="1FBB9A4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Carlo il Temerario, duca di Borgogna, 87 e n, 89, 145, 165</w:t>
      </w:r>
      <w:r>
        <w:rPr>
          <w:rFonts w:ascii="Times New Roman" w:hAnsi="Times New Roman" w:cs="Times New Roman"/>
        </w:rPr>
        <w:t>, 199n, 269, 326.</w:t>
      </w:r>
    </w:p>
    <w:p w14:paraId="7B1B3EF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Carlo Magno, imperatore, 100</w:t>
      </w:r>
      <w:r>
        <w:rPr>
          <w:rFonts w:ascii="Times New Roman" w:hAnsi="Times New Roman" w:cs="Times New Roman"/>
        </w:rPr>
        <w:t>.</w:t>
      </w:r>
    </w:p>
    <w:p w14:paraId="5F4B25A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Cassiodoro, 71</w:t>
      </w:r>
      <w:r>
        <w:rPr>
          <w:rFonts w:ascii="Times New Roman" w:hAnsi="Times New Roman" w:cs="Times New Roman"/>
        </w:rPr>
        <w:t>.</w:t>
      </w:r>
    </w:p>
    <w:p w14:paraId="60F1549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Castaldi, Panfilo, 60 e n</w:t>
      </w:r>
      <w:r>
        <w:rPr>
          <w:rFonts w:ascii="Times New Roman" w:hAnsi="Times New Roman" w:cs="Times New Roman"/>
        </w:rPr>
        <w:t>.</w:t>
      </w:r>
      <w:r w:rsidRPr="00AB1C99">
        <w:rPr>
          <w:rFonts w:ascii="Times New Roman" w:hAnsi="Times New Roman" w:cs="Times New Roman"/>
        </w:rPr>
        <w:t xml:space="preserve"> </w:t>
      </w:r>
    </w:p>
    <w:p w14:paraId="2547BAB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Castellani, Castellano</w:t>
      </w:r>
      <w:r>
        <w:rPr>
          <w:rFonts w:ascii="Times New Roman" w:hAnsi="Times New Roman" w:cs="Times New Roman"/>
        </w:rPr>
        <w:t>, 300.</w:t>
      </w:r>
    </w:p>
    <w:p w14:paraId="4BD1DFD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Castelli, Girolamo</w:t>
      </w:r>
      <w:r>
        <w:rPr>
          <w:rFonts w:ascii="Times New Roman" w:hAnsi="Times New Roman" w:cs="Times New Roman"/>
        </w:rPr>
        <w:t>, 258.</w:t>
      </w:r>
      <w:r w:rsidRPr="00AB1C99">
        <w:rPr>
          <w:rFonts w:ascii="Times New Roman" w:hAnsi="Times New Roman" w:cs="Times New Roman"/>
        </w:rPr>
        <w:t xml:space="preserve"> </w:t>
      </w:r>
    </w:p>
    <w:p w14:paraId="4D85C04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Castellini, Gianluca da Pontremoli</w:t>
      </w:r>
      <w:r>
        <w:rPr>
          <w:rFonts w:ascii="Times New Roman" w:hAnsi="Times New Roman" w:cs="Times New Roman"/>
        </w:rPr>
        <w:t>, 312.</w:t>
      </w:r>
      <w:r w:rsidRPr="00AB1C99">
        <w:rPr>
          <w:rFonts w:ascii="Times New Roman" w:hAnsi="Times New Roman" w:cs="Times New Roman"/>
        </w:rPr>
        <w:t xml:space="preserve"> </w:t>
      </w:r>
    </w:p>
    <w:p w14:paraId="1F2F51D2" w14:textId="77777777" w:rsidR="00337C20" w:rsidRPr="00AB1C99" w:rsidRDefault="00337C20" w:rsidP="00337C20">
      <w:pPr>
        <w:pStyle w:val="Nessunaspaziatura"/>
        <w:spacing w:line="360" w:lineRule="auto"/>
        <w:jc w:val="both"/>
        <w:rPr>
          <w:rFonts w:ascii="Times New Roman" w:hAnsi="Times New Roman" w:cs="Times New Roman"/>
        </w:rPr>
      </w:pPr>
      <w:r w:rsidRPr="00AB1C99">
        <w:rPr>
          <w:rFonts w:ascii="Times New Roman" w:hAnsi="Times New Roman" w:cs="Times New Roman"/>
        </w:rPr>
        <w:t>Castiglioni, Niccolò, 171</w:t>
      </w:r>
      <w:r>
        <w:rPr>
          <w:rFonts w:ascii="Times New Roman" w:hAnsi="Times New Roman" w:cs="Times New Roman"/>
        </w:rPr>
        <w:t>.</w:t>
      </w:r>
      <w:r w:rsidRPr="00AB1C99">
        <w:rPr>
          <w:rFonts w:ascii="Times New Roman" w:hAnsi="Times New Roman" w:cs="Times New Roman"/>
        </w:rPr>
        <w:t xml:space="preserve"> </w:t>
      </w:r>
    </w:p>
    <w:p w14:paraId="7562A4D3" w14:textId="77777777" w:rsidR="00337C20" w:rsidRPr="00AB1C99" w:rsidRDefault="00337C20" w:rsidP="00337C20">
      <w:pPr>
        <w:pStyle w:val="Nessunaspaziatura"/>
        <w:spacing w:line="360" w:lineRule="auto"/>
        <w:jc w:val="both"/>
        <w:rPr>
          <w:rFonts w:ascii="Times New Roman" w:hAnsi="Times New Roman" w:cs="Times New Roman"/>
        </w:rPr>
      </w:pPr>
      <w:r w:rsidRPr="00AB1C99">
        <w:rPr>
          <w:rFonts w:ascii="Times New Roman" w:hAnsi="Times New Roman" w:cs="Times New Roman"/>
        </w:rPr>
        <w:t>Castiglioni, Pietro Antonio, 31, 171</w:t>
      </w:r>
      <w:r>
        <w:rPr>
          <w:rFonts w:ascii="Times New Roman" w:hAnsi="Times New Roman" w:cs="Times New Roman"/>
        </w:rPr>
        <w:t>.</w:t>
      </w:r>
      <w:r w:rsidRPr="00AB1C99">
        <w:rPr>
          <w:rFonts w:ascii="Times New Roman" w:hAnsi="Times New Roman" w:cs="Times New Roman"/>
        </w:rPr>
        <w:t xml:space="preserve">      </w:t>
      </w:r>
    </w:p>
    <w:p w14:paraId="645A340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Caterina di Sassonia, 147</w:t>
      </w:r>
      <w:r>
        <w:rPr>
          <w:rFonts w:ascii="Times New Roman" w:hAnsi="Times New Roman" w:cs="Times New Roman"/>
        </w:rPr>
        <w:t>, 149.</w:t>
      </w:r>
    </w:p>
    <w:p w14:paraId="738BCB3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Catone, 72, 193n</w:t>
      </w:r>
      <w:r>
        <w:rPr>
          <w:rFonts w:ascii="Times New Roman" w:hAnsi="Times New Roman" w:cs="Times New Roman"/>
        </w:rPr>
        <w:t>.</w:t>
      </w:r>
    </w:p>
    <w:p w14:paraId="5500A7F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Cennini, Pietro</w:t>
      </w:r>
      <w:r>
        <w:rPr>
          <w:rFonts w:ascii="Times New Roman" w:hAnsi="Times New Roman" w:cs="Times New Roman"/>
        </w:rPr>
        <w:t>, 252n, 309n.</w:t>
      </w:r>
      <w:r w:rsidRPr="00AB1C99">
        <w:rPr>
          <w:rFonts w:ascii="Times New Roman" w:hAnsi="Times New Roman" w:cs="Times New Roman"/>
        </w:rPr>
        <w:t xml:space="preserve"> </w:t>
      </w:r>
    </w:p>
    <w:p w14:paraId="1537BF2A" w14:textId="77777777" w:rsidR="00337C20" w:rsidRDefault="00337C20" w:rsidP="00337C20">
      <w:pPr>
        <w:jc w:val="both"/>
        <w:rPr>
          <w:rFonts w:ascii="Times New Roman" w:hAnsi="Times New Roman" w:cs="Times New Roman"/>
        </w:rPr>
      </w:pPr>
      <w:r w:rsidRPr="00AB1C99">
        <w:rPr>
          <w:rFonts w:ascii="Times New Roman" w:hAnsi="Times New Roman" w:cs="Times New Roman"/>
        </w:rPr>
        <w:t>Cerdonis, Matteo, 148 e n</w:t>
      </w:r>
      <w:r>
        <w:rPr>
          <w:rFonts w:ascii="Times New Roman" w:hAnsi="Times New Roman" w:cs="Times New Roman"/>
        </w:rPr>
        <w:t>.</w:t>
      </w:r>
    </w:p>
    <w:p w14:paraId="16AD7657" w14:textId="77777777" w:rsidR="00337C20" w:rsidRPr="00AB1C99" w:rsidRDefault="00337C20" w:rsidP="00337C20">
      <w:pPr>
        <w:jc w:val="both"/>
        <w:rPr>
          <w:rFonts w:ascii="Times New Roman" w:hAnsi="Times New Roman" w:cs="Times New Roman"/>
        </w:rPr>
      </w:pPr>
      <w:r>
        <w:rPr>
          <w:rFonts w:ascii="Times New Roman" w:hAnsi="Times New Roman" w:cs="Times New Roman"/>
        </w:rPr>
        <w:t>Ceresa, Antonio, 234.</w:t>
      </w:r>
    </w:p>
    <w:p w14:paraId="17A1B76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Cescases, Luis, 31, 50</w:t>
      </w:r>
      <w:r>
        <w:rPr>
          <w:rFonts w:ascii="Times New Roman" w:hAnsi="Times New Roman" w:cs="Times New Roman"/>
        </w:rPr>
        <w:t>.</w:t>
      </w:r>
    </w:p>
    <w:p w14:paraId="3205D56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Chadel, Jean, 30</w:t>
      </w:r>
      <w:r>
        <w:rPr>
          <w:rFonts w:ascii="Times New Roman" w:hAnsi="Times New Roman" w:cs="Times New Roman"/>
        </w:rPr>
        <w:t>.</w:t>
      </w:r>
      <w:r w:rsidRPr="00AB1C99">
        <w:rPr>
          <w:rFonts w:ascii="Times New Roman" w:hAnsi="Times New Roman" w:cs="Times New Roman"/>
        </w:rPr>
        <w:t xml:space="preserve"> </w:t>
      </w:r>
    </w:p>
    <w:p w14:paraId="24D92C0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Chevrot, Jean, 88</w:t>
      </w:r>
      <w:r>
        <w:rPr>
          <w:rFonts w:ascii="Times New Roman" w:hAnsi="Times New Roman" w:cs="Times New Roman"/>
        </w:rPr>
        <w:t>.</w:t>
      </w:r>
      <w:r w:rsidRPr="00AB1C99">
        <w:rPr>
          <w:rFonts w:ascii="Times New Roman" w:hAnsi="Times New Roman" w:cs="Times New Roman"/>
        </w:rPr>
        <w:t xml:space="preserve"> </w:t>
      </w:r>
    </w:p>
    <w:p w14:paraId="3A7B17A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Ciani, Bartolomeo, 26</w:t>
      </w:r>
      <w:r>
        <w:rPr>
          <w:rFonts w:ascii="Times New Roman" w:hAnsi="Times New Roman" w:cs="Times New Roman"/>
        </w:rPr>
        <w:t>.</w:t>
      </w:r>
      <w:r w:rsidRPr="00AB1C99">
        <w:rPr>
          <w:rFonts w:ascii="Times New Roman" w:hAnsi="Times New Roman" w:cs="Times New Roman"/>
        </w:rPr>
        <w:t xml:space="preserve"> </w:t>
      </w:r>
    </w:p>
    <w:p w14:paraId="1F475F5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Cibo, Giovanni Battista, vedi Innocenzo VIII</w:t>
      </w:r>
      <w:r>
        <w:rPr>
          <w:rFonts w:ascii="Times New Roman" w:hAnsi="Times New Roman" w:cs="Times New Roman"/>
        </w:rPr>
        <w:t>.</w:t>
      </w:r>
      <w:r w:rsidRPr="00AB1C99">
        <w:rPr>
          <w:rFonts w:ascii="Times New Roman" w:hAnsi="Times New Roman" w:cs="Times New Roman"/>
        </w:rPr>
        <w:t xml:space="preserve"> </w:t>
      </w:r>
    </w:p>
    <w:p w14:paraId="1020BE1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Cicerone, 12, 70n, 72, 124</w:t>
      </w:r>
      <w:r>
        <w:rPr>
          <w:rFonts w:ascii="Times New Roman" w:hAnsi="Times New Roman" w:cs="Times New Roman"/>
        </w:rPr>
        <w:t>.</w:t>
      </w:r>
    </w:p>
    <w:p w14:paraId="5328F7A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Cincinello, Antonio</w:t>
      </w:r>
      <w:r>
        <w:rPr>
          <w:rFonts w:ascii="Times New Roman" w:hAnsi="Times New Roman" w:cs="Times New Roman"/>
        </w:rPr>
        <w:t xml:space="preserve">, 221e n. </w:t>
      </w:r>
      <w:r w:rsidRPr="00AB1C99">
        <w:rPr>
          <w:rFonts w:ascii="Times New Roman" w:hAnsi="Times New Roman" w:cs="Times New Roman"/>
        </w:rPr>
        <w:t xml:space="preserve"> </w:t>
      </w:r>
    </w:p>
    <w:p w14:paraId="65B2B60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Cinico, Giovan Marco, 52 e n, 84</w:t>
      </w:r>
      <w:r>
        <w:rPr>
          <w:rFonts w:ascii="Times New Roman" w:hAnsi="Times New Roman" w:cs="Times New Roman"/>
        </w:rPr>
        <w:t>.</w:t>
      </w:r>
    </w:p>
    <w:p w14:paraId="13FF543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Claudiano, 106n, 198n</w:t>
      </w:r>
      <w:r>
        <w:rPr>
          <w:rFonts w:ascii="Times New Roman" w:hAnsi="Times New Roman" w:cs="Times New Roman"/>
        </w:rPr>
        <w:t>.</w:t>
      </w:r>
    </w:p>
    <w:p w14:paraId="454E71A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Clementini, Cesare</w:t>
      </w:r>
      <w:r>
        <w:rPr>
          <w:rFonts w:ascii="Times New Roman" w:hAnsi="Times New Roman" w:cs="Times New Roman"/>
        </w:rPr>
        <w:t>, 241.</w:t>
      </w:r>
      <w:r w:rsidRPr="00AB1C99">
        <w:rPr>
          <w:rFonts w:ascii="Times New Roman" w:hAnsi="Times New Roman" w:cs="Times New Roman"/>
        </w:rPr>
        <w:t xml:space="preserve"> </w:t>
      </w:r>
    </w:p>
    <w:p w14:paraId="6D6A41C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Collenuccio, Pandolfo, 130, 137</w:t>
      </w:r>
      <w:r>
        <w:rPr>
          <w:rFonts w:ascii="Times New Roman" w:hAnsi="Times New Roman" w:cs="Times New Roman"/>
        </w:rPr>
        <w:t>, 314.</w:t>
      </w:r>
    </w:p>
    <w:p w14:paraId="206A0E5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Colli, Gerardo, 59, 60</w:t>
      </w:r>
      <w:r>
        <w:rPr>
          <w:rFonts w:ascii="Times New Roman" w:hAnsi="Times New Roman" w:cs="Times New Roman"/>
        </w:rPr>
        <w:t>.</w:t>
      </w:r>
    </w:p>
    <w:p w14:paraId="1FB3F4B2" w14:textId="77777777" w:rsidR="00337C20" w:rsidRDefault="00337C20" w:rsidP="00337C20">
      <w:pPr>
        <w:jc w:val="both"/>
        <w:rPr>
          <w:rFonts w:ascii="Times New Roman" w:hAnsi="Times New Roman" w:cs="Times New Roman"/>
        </w:rPr>
      </w:pPr>
      <w:r w:rsidRPr="00AB1C99">
        <w:rPr>
          <w:rFonts w:ascii="Times New Roman" w:hAnsi="Times New Roman" w:cs="Times New Roman"/>
        </w:rPr>
        <w:t>Colonna, Giovanni</w:t>
      </w:r>
      <w:r>
        <w:rPr>
          <w:rFonts w:ascii="Times New Roman" w:hAnsi="Times New Roman" w:cs="Times New Roman"/>
        </w:rPr>
        <w:t>, 311.</w:t>
      </w:r>
    </w:p>
    <w:p w14:paraId="55BF1E24" w14:textId="77777777" w:rsidR="00337C20" w:rsidRPr="00AB1C99" w:rsidRDefault="00337C20" w:rsidP="00337C20">
      <w:pPr>
        <w:jc w:val="both"/>
        <w:rPr>
          <w:rFonts w:ascii="Times New Roman" w:hAnsi="Times New Roman" w:cs="Times New Roman"/>
        </w:rPr>
      </w:pPr>
      <w:r>
        <w:rPr>
          <w:rFonts w:ascii="Times New Roman" w:hAnsi="Times New Roman" w:cs="Times New Roman"/>
        </w:rPr>
        <w:t>Comparini, Paolo, 310n.</w:t>
      </w:r>
    </w:p>
    <w:p w14:paraId="1FF41DE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Contrari, Niccolò</w:t>
      </w:r>
      <w:r>
        <w:rPr>
          <w:rFonts w:ascii="Times New Roman" w:hAnsi="Times New Roman" w:cs="Times New Roman"/>
        </w:rPr>
        <w:t>, 227, 315.</w:t>
      </w:r>
      <w:r w:rsidRPr="00AB1C99">
        <w:rPr>
          <w:rFonts w:ascii="Times New Roman" w:hAnsi="Times New Roman" w:cs="Times New Roman"/>
        </w:rPr>
        <w:t xml:space="preserve"> </w:t>
      </w:r>
    </w:p>
    <w:p w14:paraId="732AE93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Contrario, Andrea, 52</w:t>
      </w:r>
      <w:r>
        <w:rPr>
          <w:rFonts w:ascii="Times New Roman" w:hAnsi="Times New Roman" w:cs="Times New Roman"/>
        </w:rPr>
        <w:t>.</w:t>
      </w:r>
    </w:p>
    <w:p w14:paraId="504126A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Contugi, Matteo da Volterra, 42, 53 e n, 54, 76n</w:t>
      </w:r>
      <w:r>
        <w:rPr>
          <w:rFonts w:ascii="Times New Roman" w:hAnsi="Times New Roman" w:cs="Times New Roman"/>
        </w:rPr>
        <w:t>.</w:t>
      </w:r>
    </w:p>
    <w:p w14:paraId="6E75193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Coppola, Francesco, 65</w:t>
      </w:r>
      <w:r>
        <w:rPr>
          <w:rFonts w:ascii="Times New Roman" w:hAnsi="Times New Roman" w:cs="Times New Roman"/>
        </w:rPr>
        <w:t>.</w:t>
      </w:r>
      <w:r w:rsidRPr="00AB1C99">
        <w:rPr>
          <w:rFonts w:ascii="Times New Roman" w:hAnsi="Times New Roman" w:cs="Times New Roman"/>
        </w:rPr>
        <w:t xml:space="preserve"> </w:t>
      </w:r>
    </w:p>
    <w:p w14:paraId="1D54CAB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Corio, Bernardino</w:t>
      </w:r>
      <w:r>
        <w:rPr>
          <w:rFonts w:ascii="Times New Roman" w:hAnsi="Times New Roman" w:cs="Times New Roman"/>
        </w:rPr>
        <w:t>, 273.</w:t>
      </w:r>
      <w:r w:rsidRPr="00AB1C99">
        <w:rPr>
          <w:rFonts w:ascii="Times New Roman" w:hAnsi="Times New Roman" w:cs="Times New Roman"/>
        </w:rPr>
        <w:t xml:space="preserve"> </w:t>
      </w:r>
    </w:p>
    <w:p w14:paraId="58F28F6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Cornaro, Caterina</w:t>
      </w:r>
      <w:r>
        <w:rPr>
          <w:rFonts w:ascii="Times New Roman" w:hAnsi="Times New Roman" w:cs="Times New Roman"/>
        </w:rPr>
        <w:t>, 204.</w:t>
      </w:r>
      <w:r w:rsidRPr="00AB1C99">
        <w:rPr>
          <w:rFonts w:ascii="Times New Roman" w:hAnsi="Times New Roman" w:cs="Times New Roman"/>
        </w:rPr>
        <w:t xml:space="preserve"> </w:t>
      </w:r>
    </w:p>
    <w:p w14:paraId="6C74149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Cornazzaro, Antonio</w:t>
      </w:r>
      <w:r>
        <w:rPr>
          <w:rFonts w:ascii="Times New Roman" w:hAnsi="Times New Roman" w:cs="Times New Roman"/>
        </w:rPr>
        <w:t>, 289</w:t>
      </w:r>
      <w:r w:rsidRPr="00AB1C99">
        <w:rPr>
          <w:rFonts w:ascii="Times New Roman" w:hAnsi="Times New Roman" w:cs="Times New Roman"/>
        </w:rPr>
        <w:t xml:space="preserve"> </w:t>
      </w:r>
      <w:r>
        <w:rPr>
          <w:rFonts w:ascii="Times New Roman" w:hAnsi="Times New Roman" w:cs="Times New Roman"/>
        </w:rPr>
        <w:t>e n.</w:t>
      </w:r>
    </w:p>
    <w:p w14:paraId="3C47E61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Cornelio Nepote, 76</w:t>
      </w:r>
      <w:r>
        <w:rPr>
          <w:rFonts w:ascii="Times New Roman" w:hAnsi="Times New Roman" w:cs="Times New Roman"/>
        </w:rPr>
        <w:t xml:space="preserve">. </w:t>
      </w:r>
    </w:p>
    <w:p w14:paraId="2D51C69C" w14:textId="77777777" w:rsidR="00337C20" w:rsidRDefault="00337C20" w:rsidP="00337C20">
      <w:pPr>
        <w:jc w:val="both"/>
        <w:rPr>
          <w:rFonts w:ascii="Times New Roman" w:hAnsi="Times New Roman" w:cs="Times New Roman"/>
        </w:rPr>
      </w:pPr>
      <w:r w:rsidRPr="00AB1C99">
        <w:rPr>
          <w:rFonts w:ascii="Times New Roman" w:hAnsi="Times New Roman" w:cs="Times New Roman"/>
        </w:rPr>
        <w:t>Correr, Angelo, vedi Gregorio XII</w:t>
      </w:r>
      <w:r>
        <w:rPr>
          <w:rFonts w:ascii="Times New Roman" w:hAnsi="Times New Roman" w:cs="Times New Roman"/>
        </w:rPr>
        <w:t>.</w:t>
      </w:r>
    </w:p>
    <w:p w14:paraId="353D1D7F" w14:textId="77777777" w:rsidR="00337C20" w:rsidRPr="00AB1C99" w:rsidRDefault="00337C20" w:rsidP="00337C20">
      <w:pPr>
        <w:jc w:val="both"/>
        <w:rPr>
          <w:rFonts w:ascii="Times New Roman" w:hAnsi="Times New Roman" w:cs="Times New Roman"/>
        </w:rPr>
      </w:pPr>
      <w:r>
        <w:rPr>
          <w:rFonts w:ascii="Times New Roman" w:hAnsi="Times New Roman" w:cs="Times New Roman"/>
        </w:rPr>
        <w:t>Cortese, Alessandro, 311n.</w:t>
      </w:r>
    </w:p>
    <w:p w14:paraId="04A16E4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Corvini, Angelo, 171 e n</w:t>
      </w:r>
      <w:r>
        <w:rPr>
          <w:rFonts w:ascii="Times New Roman" w:hAnsi="Times New Roman" w:cs="Times New Roman"/>
        </w:rPr>
        <w:t>.</w:t>
      </w:r>
    </w:p>
    <w:p w14:paraId="401044C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Corvini, Antonio Giovanni da Arezzo, 169, 171-172, 198</w:t>
      </w:r>
      <w:r>
        <w:rPr>
          <w:rFonts w:ascii="Times New Roman" w:hAnsi="Times New Roman" w:cs="Times New Roman"/>
        </w:rPr>
        <w:t>.</w:t>
      </w:r>
    </w:p>
    <w:p w14:paraId="4B2C505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Corvino, Mattia re d’Ungheria, 25, 37, 101, 102-103, 105, 106, 108</w:t>
      </w:r>
      <w:r>
        <w:rPr>
          <w:rFonts w:ascii="Times New Roman" w:hAnsi="Times New Roman" w:cs="Times New Roman"/>
        </w:rPr>
        <w:t>, 200, 230, 232, 285n.</w:t>
      </w:r>
    </w:p>
    <w:p w14:paraId="7E136B6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Cossa, Jean, 38</w:t>
      </w:r>
      <w:r>
        <w:rPr>
          <w:rFonts w:ascii="Times New Roman" w:hAnsi="Times New Roman" w:cs="Times New Roman"/>
        </w:rPr>
        <w:t>.</w:t>
      </w:r>
    </w:p>
    <w:p w14:paraId="4A0C3F0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Costantino, imperatore, 83</w:t>
      </w:r>
      <w:r>
        <w:rPr>
          <w:rFonts w:ascii="Times New Roman" w:hAnsi="Times New Roman" w:cs="Times New Roman"/>
        </w:rPr>
        <w:t>, 262.</w:t>
      </w:r>
    </w:p>
    <w:p w14:paraId="52DB166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Costanzi, Antonio, 134, 140, 142n</w:t>
      </w:r>
      <w:r>
        <w:rPr>
          <w:rFonts w:ascii="Times New Roman" w:hAnsi="Times New Roman" w:cs="Times New Roman"/>
        </w:rPr>
        <w:t>.</w:t>
      </w:r>
      <w:r w:rsidRPr="00AB1C99">
        <w:rPr>
          <w:rFonts w:ascii="Times New Roman" w:hAnsi="Times New Roman" w:cs="Times New Roman"/>
        </w:rPr>
        <w:t xml:space="preserve"> </w:t>
      </w:r>
    </w:p>
    <w:p w14:paraId="39F7815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Crespi, Leonardo, 51, 81</w:t>
      </w:r>
      <w:r>
        <w:rPr>
          <w:rFonts w:ascii="Times New Roman" w:hAnsi="Times New Roman" w:cs="Times New Roman"/>
        </w:rPr>
        <w:t>.</w:t>
      </w:r>
    </w:p>
    <w:p w14:paraId="67293C6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Crispo, Venceslao, 33</w:t>
      </w:r>
      <w:r>
        <w:rPr>
          <w:rFonts w:ascii="Times New Roman" w:hAnsi="Times New Roman" w:cs="Times New Roman"/>
        </w:rPr>
        <w:t>.</w:t>
      </w:r>
    </w:p>
    <w:p w14:paraId="33FFCAF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Crivelli, Galeazzo, 59 e n, 60</w:t>
      </w:r>
      <w:r>
        <w:rPr>
          <w:rFonts w:ascii="Times New Roman" w:hAnsi="Times New Roman" w:cs="Times New Roman"/>
        </w:rPr>
        <w:t>.</w:t>
      </w:r>
    </w:p>
    <w:p w14:paraId="7719FD0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Crivelli, Leodislao, 77 e n, 78</w:t>
      </w:r>
      <w:r>
        <w:rPr>
          <w:rFonts w:ascii="Times New Roman" w:hAnsi="Times New Roman" w:cs="Times New Roman"/>
        </w:rPr>
        <w:t>.</w:t>
      </w:r>
    </w:p>
    <w:p w14:paraId="3B0D088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Crivelli, Taddeo, 43, 44 e n, 45</w:t>
      </w:r>
      <w:r>
        <w:rPr>
          <w:rFonts w:ascii="Times New Roman" w:hAnsi="Times New Roman" w:cs="Times New Roman"/>
        </w:rPr>
        <w:t>.</w:t>
      </w:r>
    </w:p>
    <w:p w14:paraId="7E0DF1B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Curione, Gaio Scribonio, 186 e n</w:t>
      </w:r>
      <w:r>
        <w:rPr>
          <w:rFonts w:ascii="Times New Roman" w:hAnsi="Times New Roman" w:cs="Times New Roman"/>
        </w:rPr>
        <w:t>.</w:t>
      </w:r>
      <w:r w:rsidRPr="00AB1C99">
        <w:rPr>
          <w:rFonts w:ascii="Times New Roman" w:hAnsi="Times New Roman" w:cs="Times New Roman"/>
        </w:rPr>
        <w:t xml:space="preserve"> </w:t>
      </w:r>
    </w:p>
    <w:p w14:paraId="7800152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Curzio, Lancino</w:t>
      </w:r>
      <w:r>
        <w:rPr>
          <w:rFonts w:ascii="Times New Roman" w:hAnsi="Times New Roman" w:cs="Times New Roman"/>
        </w:rPr>
        <w:t>, 201</w:t>
      </w:r>
      <w:r w:rsidRPr="00AB1C99">
        <w:rPr>
          <w:rFonts w:ascii="Times New Roman" w:hAnsi="Times New Roman" w:cs="Times New Roman"/>
        </w:rPr>
        <w:t xml:space="preserve"> </w:t>
      </w:r>
      <w:r>
        <w:rPr>
          <w:rFonts w:ascii="Times New Roman" w:hAnsi="Times New Roman" w:cs="Times New Roman"/>
        </w:rPr>
        <w:t>e n.</w:t>
      </w:r>
    </w:p>
    <w:p w14:paraId="3637B72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Curzio Rufo, 54</w:t>
      </w:r>
      <w:r>
        <w:rPr>
          <w:rFonts w:ascii="Times New Roman" w:hAnsi="Times New Roman" w:cs="Times New Roman"/>
        </w:rPr>
        <w:t>.</w:t>
      </w:r>
    </w:p>
    <w:p w14:paraId="127A527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Cusano, Niccolò, 57</w:t>
      </w:r>
      <w:r>
        <w:rPr>
          <w:rFonts w:ascii="Times New Roman" w:hAnsi="Times New Roman" w:cs="Times New Roman"/>
        </w:rPr>
        <w:t>, 309n.</w:t>
      </w:r>
      <w:r w:rsidRPr="00AB1C99">
        <w:rPr>
          <w:rFonts w:ascii="Times New Roman" w:hAnsi="Times New Roman" w:cs="Times New Roman"/>
        </w:rPr>
        <w:t xml:space="preserve"> </w:t>
      </w:r>
    </w:p>
    <w:p w14:paraId="79BAB6B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Cuzi, Meshullam, 134</w:t>
      </w:r>
      <w:r>
        <w:rPr>
          <w:rFonts w:ascii="Times New Roman" w:hAnsi="Times New Roman" w:cs="Times New Roman"/>
        </w:rPr>
        <w:t>.</w:t>
      </w:r>
    </w:p>
    <w:p w14:paraId="0B012EC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Ascoli, Enoch, 26 e n</w:t>
      </w:r>
      <w:r>
        <w:rPr>
          <w:rFonts w:ascii="Times New Roman" w:hAnsi="Times New Roman" w:cs="Times New Roman"/>
        </w:rPr>
        <w:t>.</w:t>
      </w:r>
      <w:r w:rsidRPr="00AB1C99">
        <w:rPr>
          <w:rFonts w:ascii="Times New Roman" w:hAnsi="Times New Roman" w:cs="Times New Roman"/>
        </w:rPr>
        <w:t xml:space="preserve"> </w:t>
      </w:r>
    </w:p>
    <w:p w14:paraId="476C521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Barignano, Niccolò, 129, 135 e n, 141</w:t>
      </w:r>
      <w:r>
        <w:rPr>
          <w:rFonts w:ascii="Times New Roman" w:hAnsi="Times New Roman" w:cs="Times New Roman"/>
        </w:rPr>
        <w:t>.</w:t>
      </w:r>
    </w:p>
    <w:p w14:paraId="21965FB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Barteo, Ludovico, 140, 142n, 147</w:t>
      </w:r>
      <w:r>
        <w:rPr>
          <w:rFonts w:ascii="Times New Roman" w:hAnsi="Times New Roman" w:cs="Times New Roman"/>
        </w:rPr>
        <w:t>.</w:t>
      </w:r>
      <w:r w:rsidRPr="00AB1C99">
        <w:rPr>
          <w:rFonts w:ascii="Times New Roman" w:hAnsi="Times New Roman" w:cs="Times New Roman"/>
        </w:rPr>
        <w:t xml:space="preserve"> </w:t>
      </w:r>
    </w:p>
    <w:p w14:paraId="20E22EF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Besozzo, Michelino, 41</w:t>
      </w:r>
      <w:r>
        <w:rPr>
          <w:rFonts w:ascii="Times New Roman" w:hAnsi="Times New Roman" w:cs="Times New Roman"/>
        </w:rPr>
        <w:t>.</w:t>
      </w:r>
      <w:r w:rsidRPr="00AB1C99">
        <w:rPr>
          <w:rFonts w:ascii="Times New Roman" w:hAnsi="Times New Roman" w:cs="Times New Roman"/>
        </w:rPr>
        <w:t xml:space="preserve"> </w:t>
      </w:r>
    </w:p>
    <w:p w14:paraId="2030AAE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Bibbiena, Piero, 112n, 114n</w:t>
      </w:r>
      <w:r>
        <w:rPr>
          <w:rFonts w:ascii="Times New Roman" w:hAnsi="Times New Roman" w:cs="Times New Roman"/>
        </w:rPr>
        <w:t>.</w:t>
      </w:r>
    </w:p>
    <w:p w14:paraId="0618117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Bisticci, Vespasiano, 21, 22, 23, 27, 28, 32, 34, 35, 36, 51, 53, 54, 70, 74, 99, 101, 104, 105 e n, 119</w:t>
      </w:r>
      <w:r>
        <w:rPr>
          <w:rFonts w:ascii="Times New Roman" w:hAnsi="Times New Roman" w:cs="Times New Roman"/>
        </w:rPr>
        <w:t>.</w:t>
      </w:r>
    </w:p>
    <w:p w14:paraId="6463D88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Bruxelles, Arnaldo</w:t>
      </w:r>
      <w:r>
        <w:rPr>
          <w:rFonts w:ascii="Times New Roman" w:hAnsi="Times New Roman" w:cs="Times New Roman"/>
        </w:rPr>
        <w:t>, 251.</w:t>
      </w:r>
      <w:r w:rsidRPr="00AB1C99">
        <w:rPr>
          <w:rFonts w:ascii="Times New Roman" w:hAnsi="Times New Roman" w:cs="Times New Roman"/>
        </w:rPr>
        <w:t xml:space="preserve"> </w:t>
      </w:r>
    </w:p>
    <w:p w14:paraId="65759C8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Cagli, Salvato, 30</w:t>
      </w:r>
      <w:r>
        <w:rPr>
          <w:rFonts w:ascii="Times New Roman" w:hAnsi="Times New Roman" w:cs="Times New Roman"/>
        </w:rPr>
        <w:t>.</w:t>
      </w:r>
      <w:r w:rsidRPr="00AB1C99">
        <w:rPr>
          <w:rFonts w:ascii="Times New Roman" w:hAnsi="Times New Roman" w:cs="Times New Roman"/>
        </w:rPr>
        <w:t xml:space="preserve"> </w:t>
      </w:r>
    </w:p>
    <w:p w14:paraId="6C022AA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Capua, Matteo</w:t>
      </w:r>
      <w:r>
        <w:rPr>
          <w:rFonts w:ascii="Times New Roman" w:hAnsi="Times New Roman" w:cs="Times New Roman"/>
        </w:rPr>
        <w:t>, 228.</w:t>
      </w:r>
      <w:r w:rsidRPr="00AB1C99">
        <w:rPr>
          <w:rFonts w:ascii="Times New Roman" w:hAnsi="Times New Roman" w:cs="Times New Roman"/>
        </w:rPr>
        <w:t xml:space="preserve"> </w:t>
      </w:r>
    </w:p>
    <w:p w14:paraId="2A2B131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Carrara, Francesco il Vecchio, signore di Padova, 15</w:t>
      </w:r>
      <w:r>
        <w:rPr>
          <w:rFonts w:ascii="Times New Roman" w:hAnsi="Times New Roman" w:cs="Times New Roman"/>
        </w:rPr>
        <w:t>.</w:t>
      </w:r>
    </w:p>
    <w:p w14:paraId="5187819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Casolotte, Zunino, 16</w:t>
      </w:r>
      <w:r>
        <w:rPr>
          <w:rFonts w:ascii="Times New Roman" w:hAnsi="Times New Roman" w:cs="Times New Roman"/>
        </w:rPr>
        <w:t>.</w:t>
      </w:r>
    </w:p>
    <w:p w14:paraId="5684495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Casteldurante, Susech, 53</w:t>
      </w:r>
      <w:r>
        <w:rPr>
          <w:rFonts w:ascii="Times New Roman" w:hAnsi="Times New Roman" w:cs="Times New Roman"/>
        </w:rPr>
        <w:t>.</w:t>
      </w:r>
    </w:p>
    <w:p w14:paraId="2BFE584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Castello, Francesco, 61, 62</w:t>
      </w:r>
      <w:r>
        <w:rPr>
          <w:rFonts w:ascii="Times New Roman" w:hAnsi="Times New Roman" w:cs="Times New Roman"/>
        </w:rPr>
        <w:t>, 263 e n.</w:t>
      </w:r>
    </w:p>
    <w:p w14:paraId="578CCB0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Cingoli, Benedetto, 94 e n</w:t>
      </w:r>
      <w:r>
        <w:rPr>
          <w:rFonts w:ascii="Times New Roman" w:hAnsi="Times New Roman" w:cs="Times New Roman"/>
        </w:rPr>
        <w:t>.</w:t>
      </w:r>
      <w:r w:rsidRPr="00AB1C99">
        <w:rPr>
          <w:rFonts w:ascii="Times New Roman" w:hAnsi="Times New Roman" w:cs="Times New Roman"/>
        </w:rPr>
        <w:t xml:space="preserve"> </w:t>
      </w:r>
    </w:p>
    <w:p w14:paraId="4F555FF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Colle, Lionardo</w:t>
      </w:r>
      <w:r>
        <w:rPr>
          <w:rFonts w:ascii="Times New Roman" w:hAnsi="Times New Roman" w:cs="Times New Roman"/>
        </w:rPr>
        <w:t xml:space="preserve">, 130. </w:t>
      </w:r>
      <w:r w:rsidRPr="00AB1C99">
        <w:rPr>
          <w:rFonts w:ascii="Times New Roman" w:hAnsi="Times New Roman" w:cs="Times New Roman"/>
        </w:rPr>
        <w:t xml:space="preserve"> </w:t>
      </w:r>
    </w:p>
    <w:p w14:paraId="1950AA0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Colonia, Enrico, 66 e n</w:t>
      </w:r>
      <w:r>
        <w:rPr>
          <w:rFonts w:ascii="Times New Roman" w:hAnsi="Times New Roman" w:cs="Times New Roman"/>
        </w:rPr>
        <w:t>.</w:t>
      </w:r>
    </w:p>
    <w:p w14:paraId="4697BA1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Conte, Ambrogio</w:t>
      </w:r>
      <w:r>
        <w:rPr>
          <w:rFonts w:ascii="Times New Roman" w:hAnsi="Times New Roman" w:cs="Times New Roman"/>
        </w:rPr>
        <w:t>, 261.</w:t>
      </w:r>
      <w:r w:rsidRPr="00AB1C99">
        <w:rPr>
          <w:rFonts w:ascii="Times New Roman" w:hAnsi="Times New Roman" w:cs="Times New Roman"/>
        </w:rPr>
        <w:t xml:space="preserve"> </w:t>
      </w:r>
    </w:p>
    <w:p w14:paraId="45C9EAC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Cordova, Alfonso, 50</w:t>
      </w:r>
      <w:r>
        <w:rPr>
          <w:rFonts w:ascii="Times New Roman" w:hAnsi="Times New Roman" w:cs="Times New Roman"/>
        </w:rPr>
        <w:t>.</w:t>
      </w:r>
    </w:p>
    <w:p w14:paraId="6E3FBA0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Corneto, Tancredi, 66</w:t>
      </w:r>
      <w:r>
        <w:rPr>
          <w:rFonts w:ascii="Times New Roman" w:hAnsi="Times New Roman" w:cs="Times New Roman"/>
        </w:rPr>
        <w:t>.</w:t>
      </w:r>
    </w:p>
    <w:p w14:paraId="1DD0055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Correggio, Niccolò, 155</w:t>
      </w:r>
      <w:r>
        <w:rPr>
          <w:rFonts w:ascii="Times New Roman" w:hAnsi="Times New Roman" w:cs="Times New Roman"/>
        </w:rPr>
        <w:t>, 243, 315.</w:t>
      </w:r>
    </w:p>
    <w:p w14:paraId="506ABFC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Cremona, Girolamo, 40-41, 45, 46</w:t>
      </w:r>
      <w:r>
        <w:rPr>
          <w:rFonts w:ascii="Times New Roman" w:hAnsi="Times New Roman" w:cs="Times New Roman"/>
        </w:rPr>
        <w:t>.</w:t>
      </w:r>
    </w:p>
    <w:p w14:paraId="2A4C7DA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Fabriano, Facino, 15, 116</w:t>
      </w:r>
      <w:r>
        <w:rPr>
          <w:rFonts w:ascii="Times New Roman" w:hAnsi="Times New Roman" w:cs="Times New Roman"/>
        </w:rPr>
        <w:t>.</w:t>
      </w:r>
    </w:p>
    <w:p w14:paraId="537D3E4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Fabriano, Jacopo, 56</w:t>
      </w:r>
      <w:r>
        <w:rPr>
          <w:rFonts w:ascii="Times New Roman" w:hAnsi="Times New Roman" w:cs="Times New Roman"/>
        </w:rPr>
        <w:t>.</w:t>
      </w:r>
    </w:p>
    <w:p w14:paraId="06CAA54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Firenze, Antonio</w:t>
      </w:r>
      <w:r>
        <w:rPr>
          <w:rFonts w:ascii="Times New Roman" w:hAnsi="Times New Roman" w:cs="Times New Roman"/>
        </w:rPr>
        <w:t>, 306.</w:t>
      </w:r>
      <w:r w:rsidRPr="00AB1C99">
        <w:rPr>
          <w:rFonts w:ascii="Times New Roman" w:hAnsi="Times New Roman" w:cs="Times New Roman"/>
        </w:rPr>
        <w:t xml:space="preserve"> </w:t>
      </w:r>
    </w:p>
    <w:p w14:paraId="2734325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Forlì, Melozzo, 30n</w:t>
      </w:r>
      <w:r>
        <w:rPr>
          <w:rFonts w:ascii="Times New Roman" w:hAnsi="Times New Roman" w:cs="Times New Roman"/>
        </w:rPr>
        <w:t>.</w:t>
      </w:r>
    </w:p>
    <w:p w14:paraId="187C3CB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Gorgonzola, Niccolò, 123n</w:t>
      </w:r>
      <w:r>
        <w:rPr>
          <w:rFonts w:ascii="Times New Roman" w:hAnsi="Times New Roman" w:cs="Times New Roman"/>
        </w:rPr>
        <w:t>.</w:t>
      </w:r>
      <w:r w:rsidRPr="00AB1C99">
        <w:rPr>
          <w:rFonts w:ascii="Times New Roman" w:hAnsi="Times New Roman" w:cs="Times New Roman"/>
        </w:rPr>
        <w:t xml:space="preserve"> </w:t>
      </w:r>
    </w:p>
    <w:p w14:paraId="71326E7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dai Carri, Bartolomeo</w:t>
      </w:r>
      <w:r>
        <w:rPr>
          <w:rFonts w:ascii="Times New Roman" w:hAnsi="Times New Roman" w:cs="Times New Roman"/>
        </w:rPr>
        <w:t xml:space="preserve">, 43n. </w:t>
      </w:r>
      <w:r w:rsidRPr="00AB1C99">
        <w:rPr>
          <w:rFonts w:ascii="Times New Roman" w:hAnsi="Times New Roman" w:cs="Times New Roman"/>
        </w:rPr>
        <w:t xml:space="preserve"> </w:t>
      </w:r>
    </w:p>
    <w:p w14:paraId="36C5466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Imola, Benvenuto, 39</w:t>
      </w:r>
      <w:r>
        <w:rPr>
          <w:rFonts w:ascii="Times New Roman" w:hAnsi="Times New Roman" w:cs="Times New Roman"/>
        </w:rPr>
        <w:t>.</w:t>
      </w:r>
    </w:p>
    <w:p w14:paraId="492A3EC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d’Alemagna, Giorgio, 43</w:t>
      </w:r>
      <w:r>
        <w:rPr>
          <w:rFonts w:ascii="Times New Roman" w:hAnsi="Times New Roman" w:cs="Times New Roman"/>
        </w:rPr>
        <w:t>.</w:t>
      </w:r>
      <w:r w:rsidRPr="00AB1C99">
        <w:rPr>
          <w:rFonts w:ascii="Times New Roman" w:hAnsi="Times New Roman" w:cs="Times New Roman"/>
        </w:rPr>
        <w:t xml:space="preserve"> </w:t>
      </w:r>
    </w:p>
    <w:p w14:paraId="74B7009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d’Alessandro, Antonio, 65</w:t>
      </w:r>
      <w:r>
        <w:rPr>
          <w:rFonts w:ascii="Times New Roman" w:hAnsi="Times New Roman" w:cs="Times New Roman"/>
        </w:rPr>
        <w:t>.</w:t>
      </w:r>
      <w:r w:rsidRPr="00AB1C99">
        <w:rPr>
          <w:rFonts w:ascii="Times New Roman" w:hAnsi="Times New Roman" w:cs="Times New Roman"/>
        </w:rPr>
        <w:t xml:space="preserve"> </w:t>
      </w:r>
    </w:p>
    <w:p w14:paraId="2B9F0982"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dalle Vieze, Andrea, 19n, 45 e n, 62, 7</w:t>
      </w:r>
      <w:r>
        <w:rPr>
          <w:rFonts w:ascii="Times New Roman" w:hAnsi="Times New Roman" w:cs="Times New Roman"/>
        </w:rPr>
        <w:t>5</w:t>
      </w:r>
      <w:r w:rsidRPr="00AB1C99">
        <w:rPr>
          <w:rFonts w:ascii="Times New Roman" w:hAnsi="Times New Roman" w:cs="Times New Roman"/>
        </w:rPr>
        <w:t>n</w:t>
      </w:r>
      <w:r>
        <w:rPr>
          <w:rFonts w:ascii="Times New Roman" w:hAnsi="Times New Roman" w:cs="Times New Roman"/>
        </w:rPr>
        <w:t>.</w:t>
      </w:r>
    </w:p>
    <w:p w14:paraId="0F3C99E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d’Amboise, Georges, 18n, 34, 101n</w:t>
      </w:r>
      <w:r>
        <w:rPr>
          <w:rFonts w:ascii="Times New Roman" w:hAnsi="Times New Roman" w:cs="Times New Roman"/>
        </w:rPr>
        <w:t>.</w:t>
      </w:r>
    </w:p>
    <w:p w14:paraId="22E9901C"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da Milano, Matteo, 45-46 e n</w:t>
      </w:r>
      <w:r>
        <w:rPr>
          <w:rFonts w:ascii="Times New Roman" w:hAnsi="Times New Roman" w:cs="Times New Roman"/>
        </w:rPr>
        <w:t>.</w:t>
      </w:r>
    </w:p>
    <w:p w14:paraId="754A3D70"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da Montecatini, Antonio, 117, 119</w:t>
      </w:r>
      <w:r>
        <w:rPr>
          <w:rFonts w:ascii="Times New Roman" w:hAnsi="Times New Roman" w:cs="Times New Roman"/>
        </w:rPr>
        <w:t>.</w:t>
      </w:r>
    </w:p>
    <w:p w14:paraId="3C23E587" w14:textId="77777777" w:rsidR="00337C20" w:rsidRDefault="00337C20" w:rsidP="00337C20">
      <w:pPr>
        <w:jc w:val="both"/>
        <w:rPr>
          <w:rFonts w:ascii="Times New Roman" w:hAnsi="Times New Roman" w:cs="Times New Roman"/>
        </w:rPr>
      </w:pPr>
      <w:r w:rsidRPr="00AB1C99">
        <w:rPr>
          <w:rFonts w:ascii="Times New Roman" w:hAnsi="Times New Roman" w:cs="Times New Roman"/>
        </w:rPr>
        <w:t>da Montefeltro, Antonio, 34</w:t>
      </w:r>
      <w:r>
        <w:rPr>
          <w:rFonts w:ascii="Times New Roman" w:hAnsi="Times New Roman" w:cs="Times New Roman"/>
        </w:rPr>
        <w:t>.</w:t>
      </w:r>
    </w:p>
    <w:p w14:paraId="48293EFD" w14:textId="77777777" w:rsidR="00337C20" w:rsidRPr="00AB1C99" w:rsidRDefault="00337C20" w:rsidP="00337C20">
      <w:pPr>
        <w:jc w:val="both"/>
        <w:rPr>
          <w:rFonts w:ascii="Times New Roman" w:hAnsi="Times New Roman" w:cs="Times New Roman"/>
        </w:rPr>
      </w:pPr>
      <w:r>
        <w:rPr>
          <w:rFonts w:ascii="Times New Roman" w:hAnsi="Times New Roman" w:cs="Times New Roman"/>
        </w:rPr>
        <w:t>da Montefeltro, Elisabetta, 239-242, 266n, 267, 289.</w:t>
      </w:r>
    </w:p>
    <w:p w14:paraId="71624CA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Montefeltro, Federico, 12n, 34-37, 53-55, 67, 74, 84, 85, 100, 116, 129, 130n, 131, 135, 137, 139, 142, 146, 185n</w:t>
      </w:r>
      <w:r>
        <w:rPr>
          <w:rFonts w:ascii="Times New Roman" w:hAnsi="Times New Roman" w:cs="Times New Roman"/>
        </w:rPr>
        <w:t>, 227n, 239, 240, 289, 294, 303, 307.</w:t>
      </w:r>
    </w:p>
    <w:p w14:paraId="6324376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Montefeltro, Guidantonio, 34</w:t>
      </w:r>
      <w:r>
        <w:rPr>
          <w:rFonts w:ascii="Times New Roman" w:hAnsi="Times New Roman" w:cs="Times New Roman"/>
        </w:rPr>
        <w:t>.</w:t>
      </w:r>
    </w:p>
    <w:p w14:paraId="7F6D566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Montefeltro, Guiduba</w:t>
      </w:r>
      <w:r>
        <w:rPr>
          <w:rFonts w:ascii="Times New Roman" w:hAnsi="Times New Roman" w:cs="Times New Roman"/>
        </w:rPr>
        <w:t>l</w:t>
      </w:r>
      <w:r w:rsidRPr="00AB1C99">
        <w:rPr>
          <w:rFonts w:ascii="Times New Roman" w:hAnsi="Times New Roman" w:cs="Times New Roman"/>
        </w:rPr>
        <w:t>do, 22n, 36, 66, 146</w:t>
      </w:r>
      <w:r>
        <w:rPr>
          <w:rFonts w:ascii="Times New Roman" w:hAnsi="Times New Roman" w:cs="Times New Roman"/>
        </w:rPr>
        <w:t xml:space="preserve">, 244, 272, 290, 302, 303. </w:t>
      </w:r>
    </w:p>
    <w:p w14:paraId="2099C42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Montefeltro, Oddantonio, 35</w:t>
      </w:r>
      <w:r>
        <w:rPr>
          <w:rFonts w:ascii="Times New Roman" w:hAnsi="Times New Roman" w:cs="Times New Roman"/>
        </w:rPr>
        <w:t>.</w:t>
      </w:r>
    </w:p>
    <w:p w14:paraId="4605FDBB" w14:textId="77777777" w:rsidR="00337C20" w:rsidRDefault="00337C20" w:rsidP="00337C20">
      <w:pPr>
        <w:jc w:val="both"/>
        <w:rPr>
          <w:rFonts w:ascii="Times New Roman" w:hAnsi="Times New Roman" w:cs="Times New Roman"/>
        </w:rPr>
      </w:pPr>
      <w:r w:rsidRPr="00AB1C99">
        <w:rPr>
          <w:rFonts w:ascii="Times New Roman" w:hAnsi="Times New Roman" w:cs="Times New Roman"/>
        </w:rPr>
        <w:t>d’Angelo, Francesco detto Cecca, 164, 166-167, 191</w:t>
      </w:r>
      <w:r>
        <w:rPr>
          <w:rFonts w:ascii="Times New Roman" w:hAnsi="Times New Roman" w:cs="Times New Roman"/>
        </w:rPr>
        <w:t>.</w:t>
      </w:r>
    </w:p>
    <w:p w14:paraId="6EE3BD4E" w14:textId="77777777" w:rsidR="00337C20" w:rsidRPr="00AB1C99" w:rsidRDefault="00337C20" w:rsidP="00337C20">
      <w:pPr>
        <w:jc w:val="both"/>
        <w:rPr>
          <w:rFonts w:ascii="Times New Roman" w:hAnsi="Times New Roman" w:cs="Times New Roman"/>
        </w:rPr>
      </w:pPr>
      <w:r>
        <w:rPr>
          <w:rFonts w:ascii="Times New Roman" w:hAnsi="Times New Roman" w:cs="Times New Roman"/>
        </w:rPr>
        <w:t>d’Anghiari, Giusto, 223n, 302n.</w:t>
      </w:r>
    </w:p>
    <w:p w14:paraId="31E2596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d’Angiò, Giovanna II regina di Napoli, 74n, 182</w:t>
      </w:r>
      <w:r>
        <w:rPr>
          <w:rFonts w:ascii="Times New Roman" w:hAnsi="Times New Roman" w:cs="Times New Roman"/>
        </w:rPr>
        <w:t>.</w:t>
      </w:r>
    </w:p>
    <w:p w14:paraId="538C152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d’Angiò, Renato, 17 e n, 38</w:t>
      </w:r>
      <w:r>
        <w:rPr>
          <w:rFonts w:ascii="Times New Roman" w:hAnsi="Times New Roman" w:cs="Times New Roman"/>
        </w:rPr>
        <w:t>.</w:t>
      </w:r>
    </w:p>
    <w:p w14:paraId="4013C85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Orsenigo, Simone, 176n</w:t>
      </w:r>
      <w:r>
        <w:rPr>
          <w:rFonts w:ascii="Times New Roman" w:hAnsi="Times New Roman" w:cs="Times New Roman"/>
        </w:rPr>
        <w:t>.</w:t>
      </w:r>
    </w:p>
    <w:p w14:paraId="51F894C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Osimo, Niccolò, 89</w:t>
      </w:r>
      <w:r>
        <w:rPr>
          <w:rFonts w:ascii="Times New Roman" w:hAnsi="Times New Roman" w:cs="Times New Roman"/>
        </w:rPr>
        <w:t>.</w:t>
      </w:r>
    </w:p>
    <w:p w14:paraId="48708FD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Padova, Gaspare, 54, 56 e n, 84</w:t>
      </w:r>
      <w:r>
        <w:rPr>
          <w:rFonts w:ascii="Times New Roman" w:hAnsi="Times New Roman" w:cs="Times New Roman"/>
        </w:rPr>
        <w:t>.</w:t>
      </w:r>
    </w:p>
    <w:p w14:paraId="214A835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Parma, Cesare, 169</w:t>
      </w:r>
      <w:r>
        <w:rPr>
          <w:rFonts w:ascii="Times New Roman" w:hAnsi="Times New Roman" w:cs="Times New Roman"/>
        </w:rPr>
        <w:t>.</w:t>
      </w:r>
      <w:r w:rsidRPr="00AB1C99">
        <w:rPr>
          <w:rFonts w:ascii="Times New Roman" w:hAnsi="Times New Roman" w:cs="Times New Roman"/>
        </w:rPr>
        <w:t xml:space="preserve"> </w:t>
      </w:r>
    </w:p>
    <w:p w14:paraId="429CA95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Parma, Giacomo</w:t>
      </w:r>
      <w:r>
        <w:rPr>
          <w:rFonts w:ascii="Times New Roman" w:hAnsi="Times New Roman" w:cs="Times New Roman"/>
        </w:rPr>
        <w:t>, 220.</w:t>
      </w:r>
    </w:p>
    <w:p w14:paraId="0F18820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Patrasso, Gerardo, 12</w:t>
      </w:r>
      <w:r>
        <w:rPr>
          <w:rFonts w:ascii="Times New Roman" w:hAnsi="Times New Roman" w:cs="Times New Roman"/>
        </w:rPr>
        <w:t>.</w:t>
      </w:r>
      <w:r w:rsidRPr="00AB1C99">
        <w:rPr>
          <w:rFonts w:ascii="Times New Roman" w:hAnsi="Times New Roman" w:cs="Times New Roman"/>
        </w:rPr>
        <w:t xml:space="preserve"> </w:t>
      </w:r>
    </w:p>
    <w:p w14:paraId="3A41658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Pavia, Giovanni di Piero, 18</w:t>
      </w:r>
      <w:r>
        <w:rPr>
          <w:rFonts w:ascii="Times New Roman" w:hAnsi="Times New Roman" w:cs="Times New Roman"/>
        </w:rPr>
        <w:t>.</w:t>
      </w:r>
    </w:p>
    <w:p w14:paraId="79E149E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Pesaro, Guglielmo Ebreo, 142n</w:t>
      </w:r>
      <w:r>
        <w:rPr>
          <w:rFonts w:ascii="Times New Roman" w:hAnsi="Times New Roman" w:cs="Times New Roman"/>
        </w:rPr>
        <w:t>, 284, 289-290, 291.</w:t>
      </w:r>
      <w:r w:rsidRPr="00AB1C99">
        <w:rPr>
          <w:rFonts w:ascii="Times New Roman" w:hAnsi="Times New Roman" w:cs="Times New Roman"/>
        </w:rPr>
        <w:t xml:space="preserve"> </w:t>
      </w:r>
    </w:p>
    <w:p w14:paraId="52DD1CE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Piacenza, Domenico, 171n</w:t>
      </w:r>
      <w:r>
        <w:rPr>
          <w:rFonts w:ascii="Times New Roman" w:hAnsi="Times New Roman" w:cs="Times New Roman"/>
        </w:rPr>
        <w:t>, 289</w:t>
      </w:r>
      <w:r w:rsidRPr="00AB1C99">
        <w:rPr>
          <w:rFonts w:ascii="Times New Roman" w:hAnsi="Times New Roman" w:cs="Times New Roman"/>
        </w:rPr>
        <w:t xml:space="preserve"> </w:t>
      </w:r>
      <w:r>
        <w:rPr>
          <w:rFonts w:ascii="Times New Roman" w:hAnsi="Times New Roman" w:cs="Times New Roman"/>
        </w:rPr>
        <w:t>e n.</w:t>
      </w:r>
    </w:p>
    <w:p w14:paraId="07AA98A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d’Aragona, Alfonso V, detto il Magnanimo, 31, 50 e n, 51, 52, 67-68, 74-75, 79-83, 100, 120, 192</w:t>
      </w:r>
      <w:r>
        <w:rPr>
          <w:rFonts w:ascii="Times New Roman" w:hAnsi="Times New Roman" w:cs="Times New Roman"/>
        </w:rPr>
        <w:t>, 220, 237, 250, 264, 268, 274, 281, 293, 327.</w:t>
      </w:r>
    </w:p>
    <w:p w14:paraId="36AFAE4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d’Aragona, Beatrice, 107, 117</w:t>
      </w:r>
      <w:r>
        <w:rPr>
          <w:rFonts w:ascii="Times New Roman" w:hAnsi="Times New Roman" w:cs="Times New Roman"/>
        </w:rPr>
        <w:t xml:space="preserve">, 230-232, 250-251, 283, 285n. </w:t>
      </w:r>
    </w:p>
    <w:p w14:paraId="0CBE226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d’Aragona, Camilla alias Cubella Marzano, 6, 85, 121, 129, 130, 135-147, </w:t>
      </w:r>
      <w:r>
        <w:rPr>
          <w:rFonts w:ascii="Times New Roman" w:hAnsi="Times New Roman" w:cs="Times New Roman"/>
        </w:rPr>
        <w:t>225, 238, 272, 274n, 308.</w:t>
      </w:r>
    </w:p>
    <w:p w14:paraId="7539A06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d’Aragona, Eleonora, duchessa di Ferrara, 3, 8, 20 e n, 95, 113, 128, 129, 186n</w:t>
      </w:r>
      <w:r>
        <w:rPr>
          <w:rFonts w:ascii="Times New Roman" w:hAnsi="Times New Roman" w:cs="Times New Roman"/>
        </w:rPr>
        <w:t>, 205, 221, 226-230, 232, 233, 242, 243, 248, 249, 258, 259, 264, 273, 274-276, 279, 282, 283, 298, 315n, 325.</w:t>
      </w:r>
    </w:p>
    <w:p w14:paraId="3ECA8B7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d’Aragona, Federico I, 34, 101n, 145 e n, </w:t>
      </w:r>
      <w:r>
        <w:rPr>
          <w:rFonts w:ascii="Times New Roman" w:hAnsi="Times New Roman" w:cs="Times New Roman"/>
        </w:rPr>
        <w:t>221 e n, 223, 251, 293.</w:t>
      </w:r>
    </w:p>
    <w:p w14:paraId="7B55598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d’Aragona, Ferrante I re di Napoli, 32-33, 51, 52, 64, 65, 66, 83-84, 85, 128, 129</w:t>
      </w:r>
      <w:r>
        <w:rPr>
          <w:rFonts w:ascii="Times New Roman" w:hAnsi="Times New Roman" w:cs="Times New Roman"/>
        </w:rPr>
        <w:t>, 220, 221, 225, 226, 230, 250, 251 e n, 264, 268, 284, 292, 293.</w:t>
      </w:r>
    </w:p>
    <w:p w14:paraId="14586F34" w14:textId="77777777" w:rsidR="00337C20" w:rsidRDefault="00337C20" w:rsidP="00337C20">
      <w:pPr>
        <w:jc w:val="both"/>
        <w:rPr>
          <w:rFonts w:ascii="Times New Roman" w:hAnsi="Times New Roman" w:cs="Times New Roman"/>
        </w:rPr>
      </w:pPr>
      <w:r w:rsidRPr="00AB1C99">
        <w:rPr>
          <w:rFonts w:ascii="Times New Roman" w:hAnsi="Times New Roman" w:cs="Times New Roman"/>
        </w:rPr>
        <w:t>d’Aragona, Ferrante II re di Napoli, 33</w:t>
      </w:r>
      <w:r>
        <w:rPr>
          <w:rFonts w:ascii="Times New Roman" w:hAnsi="Times New Roman" w:cs="Times New Roman"/>
        </w:rPr>
        <w:t>.</w:t>
      </w:r>
    </w:p>
    <w:p w14:paraId="1FAEEBBE" w14:textId="77777777" w:rsidR="00337C20" w:rsidRPr="00AB1C99" w:rsidRDefault="00337C20" w:rsidP="00337C20">
      <w:pPr>
        <w:jc w:val="both"/>
        <w:rPr>
          <w:rFonts w:ascii="Times New Roman" w:hAnsi="Times New Roman" w:cs="Times New Roman"/>
        </w:rPr>
      </w:pPr>
      <w:r>
        <w:rPr>
          <w:rFonts w:ascii="Times New Roman" w:hAnsi="Times New Roman" w:cs="Times New Roman"/>
        </w:rPr>
        <w:t>d’Aragona, Francesco, 226, 231.</w:t>
      </w:r>
    </w:p>
    <w:p w14:paraId="1496A74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d’Aragona, Giovanna regina di Napoli</w:t>
      </w:r>
      <w:r>
        <w:rPr>
          <w:rFonts w:ascii="Times New Roman" w:hAnsi="Times New Roman" w:cs="Times New Roman"/>
        </w:rPr>
        <w:t>, 251 e n, 261n, 264, 265, 292, 327.</w:t>
      </w:r>
    </w:p>
    <w:p w14:paraId="729CEF3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d’Aragona, Giovanni cardinale, 33, 84, 102n, 117 e n, 118</w:t>
      </w:r>
      <w:r>
        <w:rPr>
          <w:rFonts w:ascii="Times New Roman" w:hAnsi="Times New Roman" w:cs="Times New Roman"/>
        </w:rPr>
        <w:t>.</w:t>
      </w:r>
    </w:p>
    <w:p w14:paraId="099109D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d’Aragona, Isabella, 6, 7, 8, 78, 121, 127, 172-198</w:t>
      </w:r>
      <w:r>
        <w:rPr>
          <w:rFonts w:ascii="Times New Roman" w:hAnsi="Times New Roman" w:cs="Times New Roman"/>
        </w:rPr>
        <w:t>, 207, 208, 210, 213, 227, 237, 245, 250, 252, 258, 260, 285, 288.</w:t>
      </w:r>
    </w:p>
    <w:p w14:paraId="1C32305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d’Aragona, Martino, detto l’Umano 51, 68, 80</w:t>
      </w:r>
      <w:r>
        <w:rPr>
          <w:rFonts w:ascii="Times New Roman" w:hAnsi="Times New Roman" w:cs="Times New Roman"/>
        </w:rPr>
        <w:t>.</w:t>
      </w:r>
    </w:p>
    <w:p w14:paraId="4C74D01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Reggio, Lorenzo, 14</w:t>
      </w:r>
      <w:r>
        <w:rPr>
          <w:rFonts w:ascii="Times New Roman" w:hAnsi="Times New Roman" w:cs="Times New Roman"/>
        </w:rPr>
        <w:t>.</w:t>
      </w:r>
    </w:p>
    <w:p w14:paraId="386010C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d’Arezzo, Jacopino, 43 e n</w:t>
      </w:r>
      <w:r>
        <w:rPr>
          <w:rFonts w:ascii="Times New Roman" w:hAnsi="Times New Roman" w:cs="Times New Roman"/>
        </w:rPr>
        <w:t>.</w:t>
      </w:r>
    </w:p>
    <w:p w14:paraId="5871210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San Cassiano, Jacopo</w:t>
      </w:r>
      <w:r>
        <w:rPr>
          <w:rFonts w:ascii="Times New Roman" w:hAnsi="Times New Roman" w:cs="Times New Roman"/>
        </w:rPr>
        <w:t>.</w:t>
      </w:r>
      <w:r w:rsidRPr="00AB1C99">
        <w:rPr>
          <w:rFonts w:ascii="Times New Roman" w:hAnsi="Times New Roman" w:cs="Times New Roman"/>
        </w:rPr>
        <w:t xml:space="preserve"> </w:t>
      </w:r>
    </w:p>
    <w:p w14:paraId="070DB96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d’Asburgo, Massimiliano I, imperatore, 6, 37, 121, 125</w:t>
      </w:r>
      <w:r>
        <w:rPr>
          <w:rFonts w:ascii="Times New Roman" w:hAnsi="Times New Roman" w:cs="Times New Roman"/>
        </w:rPr>
        <w:t>, 199, 205, 210, 246n, 285.</w:t>
      </w:r>
    </w:p>
    <w:p w14:paraId="348D86E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d’Asburgo, Sigismondo, duca del Tirolo, 147, 148</w:t>
      </w:r>
      <w:r>
        <w:rPr>
          <w:rFonts w:ascii="Times New Roman" w:hAnsi="Times New Roman" w:cs="Times New Roman"/>
        </w:rPr>
        <w:t>, 218, 219.</w:t>
      </w:r>
    </w:p>
    <w:p w14:paraId="347DC68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Scarperia, Jacopo di Angelo, 101, 131</w:t>
      </w:r>
      <w:r>
        <w:rPr>
          <w:rFonts w:ascii="Times New Roman" w:hAnsi="Times New Roman" w:cs="Times New Roman"/>
        </w:rPr>
        <w:t>.</w:t>
      </w:r>
      <w:r w:rsidRPr="00AB1C99">
        <w:rPr>
          <w:rFonts w:ascii="Times New Roman" w:hAnsi="Times New Roman" w:cs="Times New Roman"/>
        </w:rPr>
        <w:t xml:space="preserve"> </w:t>
      </w:r>
    </w:p>
    <w:p w14:paraId="5836FF9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d’Ascoli, Cecco, 68</w:t>
      </w:r>
      <w:r>
        <w:rPr>
          <w:rFonts w:ascii="Times New Roman" w:hAnsi="Times New Roman" w:cs="Times New Roman"/>
        </w:rPr>
        <w:t>.</w:t>
      </w:r>
    </w:p>
    <w:p w14:paraId="50F9158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Schivenoglia, Andrea</w:t>
      </w:r>
      <w:r>
        <w:rPr>
          <w:rFonts w:ascii="Times New Roman" w:hAnsi="Times New Roman" w:cs="Times New Roman"/>
        </w:rPr>
        <w:t>, 218, 220.</w:t>
      </w:r>
    </w:p>
    <w:p w14:paraId="7EBCDB8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Sclafernati, Agostino, 14</w:t>
      </w:r>
      <w:r>
        <w:rPr>
          <w:rFonts w:ascii="Times New Roman" w:hAnsi="Times New Roman" w:cs="Times New Roman"/>
        </w:rPr>
        <w:t>.</w:t>
      </w:r>
    </w:p>
    <w:p w14:paraId="2E3E95F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Sorano, Piero</w:t>
      </w:r>
      <w:r>
        <w:rPr>
          <w:rFonts w:ascii="Times New Roman" w:hAnsi="Times New Roman" w:cs="Times New Roman"/>
        </w:rPr>
        <w:t>, 288.</w:t>
      </w:r>
    </w:p>
    <w:p w14:paraId="320B3EE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Spira, Giovanni, 60n</w:t>
      </w:r>
      <w:r>
        <w:rPr>
          <w:rFonts w:ascii="Times New Roman" w:hAnsi="Times New Roman" w:cs="Times New Roman"/>
        </w:rPr>
        <w:t>.</w:t>
      </w:r>
    </w:p>
    <w:p w14:paraId="7479038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Spira, Vindelino, 123</w:t>
      </w:r>
      <w:r>
        <w:rPr>
          <w:rFonts w:ascii="Times New Roman" w:hAnsi="Times New Roman" w:cs="Times New Roman"/>
        </w:rPr>
        <w:t>.</w:t>
      </w:r>
    </w:p>
    <w:p w14:paraId="61892330"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Dati, Leonardo, 28</w:t>
      </w:r>
      <w:r>
        <w:rPr>
          <w:rFonts w:ascii="Times New Roman" w:hAnsi="Times New Roman" w:cs="Times New Roman"/>
        </w:rPr>
        <w:t>.</w:t>
      </w:r>
    </w:p>
    <w:p w14:paraId="6517DDD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Tolentino, Giovanni II, 178n</w:t>
      </w:r>
      <w:r>
        <w:rPr>
          <w:rFonts w:ascii="Times New Roman" w:hAnsi="Times New Roman" w:cs="Times New Roman"/>
        </w:rPr>
        <w:t>, 200n.</w:t>
      </w:r>
      <w:r w:rsidRPr="00AB1C99">
        <w:rPr>
          <w:rFonts w:ascii="Times New Roman" w:hAnsi="Times New Roman" w:cs="Times New Roman"/>
        </w:rPr>
        <w:t xml:space="preserve">  </w:t>
      </w:r>
    </w:p>
    <w:p w14:paraId="5FA6BFD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Trezzo, Antonio</w:t>
      </w:r>
      <w:r>
        <w:rPr>
          <w:rFonts w:ascii="Times New Roman" w:hAnsi="Times New Roman" w:cs="Times New Roman"/>
        </w:rPr>
        <w:t>, 226n.</w:t>
      </w:r>
    </w:p>
    <w:p w14:paraId="1B1BB963"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d’Augusta, Georg, 63</w:t>
      </w:r>
      <w:r>
        <w:rPr>
          <w:rFonts w:ascii="Times New Roman" w:hAnsi="Times New Roman" w:cs="Times New Roman"/>
        </w:rPr>
        <w:t>.</w:t>
      </w:r>
    </w:p>
    <w:p w14:paraId="11A3C99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Urbino, Agapito, 34</w:t>
      </w:r>
      <w:r>
        <w:rPr>
          <w:rFonts w:ascii="Times New Roman" w:hAnsi="Times New Roman" w:cs="Times New Roman"/>
        </w:rPr>
        <w:t>.</w:t>
      </w:r>
    </w:p>
    <w:p w14:paraId="537A137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Varagine, Jacopo, 89n</w:t>
      </w:r>
      <w:r>
        <w:rPr>
          <w:rFonts w:ascii="Times New Roman" w:hAnsi="Times New Roman" w:cs="Times New Roman"/>
        </w:rPr>
        <w:t>.</w:t>
      </w:r>
      <w:r w:rsidRPr="00AB1C99">
        <w:rPr>
          <w:rFonts w:ascii="Times New Roman" w:hAnsi="Times New Roman" w:cs="Times New Roman"/>
        </w:rPr>
        <w:t xml:space="preserve">  </w:t>
      </w:r>
    </w:p>
    <w:p w14:paraId="0D49224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Vercelli, Bartolomeo, 193n</w:t>
      </w:r>
      <w:r>
        <w:rPr>
          <w:rFonts w:ascii="Times New Roman" w:hAnsi="Times New Roman" w:cs="Times New Roman"/>
        </w:rPr>
        <w:t>.</w:t>
      </w:r>
      <w:r w:rsidRPr="00AB1C99">
        <w:rPr>
          <w:rFonts w:ascii="Times New Roman" w:hAnsi="Times New Roman" w:cs="Times New Roman"/>
        </w:rPr>
        <w:t xml:space="preserve"> </w:t>
      </w:r>
    </w:p>
    <w:p w14:paraId="49B5EA0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da Vicenza, Gherardo</w:t>
      </w:r>
      <w:r>
        <w:rPr>
          <w:rFonts w:ascii="Times New Roman" w:hAnsi="Times New Roman" w:cs="Times New Roman"/>
        </w:rPr>
        <w:t>, 260 e n.</w:t>
      </w:r>
    </w:p>
    <w:p w14:paraId="62DF99EE" w14:textId="77777777" w:rsidR="00337C20" w:rsidRPr="00AB1C99"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da Vinci, Leonardo, 8, 46, 49n, 103, 180, 184n,</w:t>
      </w:r>
      <w:r>
        <w:rPr>
          <w:rFonts w:ascii="Times New Roman" w:hAnsi="Times New Roman" w:cs="Times New Roman"/>
        </w:rPr>
        <w:t xml:space="preserve"> </w:t>
      </w:r>
      <w:r w:rsidRPr="00AB1C99">
        <w:rPr>
          <w:rFonts w:ascii="Times New Roman" w:hAnsi="Times New Roman" w:cs="Times New Roman"/>
        </w:rPr>
        <w:t xml:space="preserve">187, </w:t>
      </w:r>
      <w:r>
        <w:rPr>
          <w:rFonts w:ascii="Times New Roman" w:hAnsi="Times New Roman" w:cs="Times New Roman"/>
        </w:rPr>
        <w:t>201, 211n, 214, 245, 295, 297.</w:t>
      </w:r>
    </w:p>
    <w:p w14:paraId="372130AE" w14:textId="77777777" w:rsidR="00337C20" w:rsidRDefault="00337C20" w:rsidP="00337C20">
      <w:pPr>
        <w:spacing w:after="0" w:line="240" w:lineRule="auto"/>
        <w:jc w:val="both"/>
        <w:rPr>
          <w:rFonts w:ascii="Times New Roman" w:hAnsi="Times New Roman" w:cs="Times New Roman"/>
        </w:rPr>
      </w:pPr>
    </w:p>
    <w:p w14:paraId="0F55484C" w14:textId="77777777" w:rsidR="00337C20" w:rsidRPr="00AB1C99"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d’Aviz, Isabella, 88</w:t>
      </w:r>
      <w:r>
        <w:rPr>
          <w:rFonts w:ascii="Times New Roman" w:hAnsi="Times New Roman" w:cs="Times New Roman"/>
        </w:rPr>
        <w:t>.</w:t>
      </w:r>
      <w:r w:rsidRPr="00AB1C99">
        <w:rPr>
          <w:rFonts w:ascii="Times New Roman" w:hAnsi="Times New Roman" w:cs="Times New Roman"/>
        </w:rPr>
        <w:t xml:space="preserve"> </w:t>
      </w:r>
    </w:p>
    <w:p w14:paraId="55C35137" w14:textId="77777777" w:rsidR="00337C20" w:rsidRDefault="00337C20" w:rsidP="00337C20">
      <w:pPr>
        <w:spacing w:after="0" w:line="240" w:lineRule="auto"/>
        <w:jc w:val="both"/>
        <w:rPr>
          <w:rFonts w:ascii="Times New Roman" w:hAnsi="Times New Roman" w:cs="Times New Roman"/>
        </w:rPr>
      </w:pPr>
    </w:p>
    <w:p w14:paraId="410FA15E" w14:textId="77777777" w:rsidR="00337C20"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de Alopa, Lorenzo, 25n, 109n</w:t>
      </w:r>
      <w:r>
        <w:rPr>
          <w:rFonts w:ascii="Times New Roman" w:hAnsi="Times New Roman" w:cs="Times New Roman"/>
        </w:rPr>
        <w:t>.</w:t>
      </w:r>
    </w:p>
    <w:p w14:paraId="0FAE6CB1" w14:textId="77777777" w:rsidR="00337C20" w:rsidRPr="00AB1C99" w:rsidRDefault="00337C20" w:rsidP="00337C20">
      <w:pPr>
        <w:spacing w:after="0" w:line="240" w:lineRule="auto"/>
        <w:jc w:val="both"/>
        <w:rPr>
          <w:rFonts w:ascii="Times New Roman" w:hAnsi="Times New Roman" w:cs="Times New Roman"/>
        </w:rPr>
      </w:pPr>
    </w:p>
    <w:p w14:paraId="318C781A"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 Benedictis, Francesco, 153, 154, 157n</w:t>
      </w:r>
      <w:r>
        <w:rPr>
          <w:rFonts w:ascii="Times New Roman" w:hAnsi="Times New Roman" w:cs="Times New Roman"/>
        </w:rPr>
        <w:t>.</w:t>
      </w:r>
      <w:r w:rsidRPr="00AB1C99">
        <w:rPr>
          <w:rFonts w:ascii="Times New Roman" w:hAnsi="Times New Roman" w:cs="Times New Roman"/>
        </w:rPr>
        <w:t xml:space="preserve"> </w:t>
      </w:r>
    </w:p>
    <w:p w14:paraId="74E840F4"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 Casanova, Joan, 51</w:t>
      </w:r>
      <w:r>
        <w:rPr>
          <w:rFonts w:ascii="Times New Roman" w:hAnsi="Times New Roman" w:cs="Times New Roman"/>
        </w:rPr>
        <w:t>.</w:t>
      </w:r>
      <w:r w:rsidRPr="00AB1C99">
        <w:rPr>
          <w:rFonts w:ascii="Times New Roman" w:hAnsi="Times New Roman" w:cs="Times New Roman"/>
        </w:rPr>
        <w:t xml:space="preserve"> </w:t>
      </w:r>
    </w:p>
    <w:p w14:paraId="0D10C3BC"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 Caspe, Juan, 50</w:t>
      </w:r>
      <w:r>
        <w:rPr>
          <w:rFonts w:ascii="Times New Roman" w:hAnsi="Times New Roman" w:cs="Times New Roman"/>
        </w:rPr>
        <w:t>.</w:t>
      </w:r>
    </w:p>
    <w:p w14:paraId="5731B6C6"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Decembrio, Angelo Camillo, 27, 73 e n, 96, 107</w:t>
      </w:r>
      <w:r>
        <w:rPr>
          <w:rFonts w:ascii="Times New Roman" w:hAnsi="Times New Roman" w:cs="Times New Roman"/>
        </w:rPr>
        <w:t>.</w:t>
      </w:r>
    </w:p>
    <w:p w14:paraId="293D9B9A" w14:textId="77777777" w:rsidR="00337C20"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Decembrio, Pier Candido, 75, 176</w:t>
      </w:r>
      <w:r>
        <w:rPr>
          <w:rFonts w:ascii="Times New Roman" w:hAnsi="Times New Roman" w:cs="Times New Roman"/>
        </w:rPr>
        <w:t>.</w:t>
      </w:r>
    </w:p>
    <w:p w14:paraId="3B873C56" w14:textId="77777777" w:rsidR="00337C20" w:rsidRPr="00AB1C99" w:rsidRDefault="00337C20" w:rsidP="00337C20">
      <w:pPr>
        <w:jc w:val="both"/>
        <w:rPr>
          <w:rFonts w:ascii="Times New Roman" w:hAnsi="Times New Roman" w:cs="Times New Roman"/>
        </w:rPr>
      </w:pPr>
      <w:r>
        <w:rPr>
          <w:rFonts w:ascii="Times New Roman" w:hAnsi="Times New Roman" w:cs="Times New Roman"/>
        </w:rPr>
        <w:t>de’ Cimminelli,</w:t>
      </w:r>
      <w:r w:rsidRPr="00AB1C99">
        <w:rPr>
          <w:rFonts w:ascii="Times New Roman" w:hAnsi="Times New Roman" w:cs="Times New Roman"/>
        </w:rPr>
        <w:t xml:space="preserve"> Serafino</w:t>
      </w:r>
      <w:r>
        <w:rPr>
          <w:rFonts w:ascii="Times New Roman" w:hAnsi="Times New Roman" w:cs="Times New Roman"/>
        </w:rPr>
        <w:t xml:space="preserve"> detto</w:t>
      </w:r>
      <w:r w:rsidRPr="00771F69">
        <w:rPr>
          <w:rFonts w:ascii="Times New Roman" w:hAnsi="Times New Roman" w:cs="Times New Roman"/>
        </w:rPr>
        <w:t xml:space="preserve"> </w:t>
      </w:r>
      <w:r w:rsidRPr="00AB1C99">
        <w:rPr>
          <w:rFonts w:ascii="Times New Roman" w:hAnsi="Times New Roman" w:cs="Times New Roman"/>
        </w:rPr>
        <w:t>Aquilano, 1</w:t>
      </w:r>
      <w:r>
        <w:rPr>
          <w:rFonts w:ascii="Times New Roman" w:hAnsi="Times New Roman" w:cs="Times New Roman"/>
        </w:rPr>
        <w:t>50</w:t>
      </w:r>
      <w:r w:rsidRPr="00AB1C99">
        <w:rPr>
          <w:rFonts w:ascii="Times New Roman" w:hAnsi="Times New Roman" w:cs="Times New Roman"/>
        </w:rPr>
        <w:t>, 157n</w:t>
      </w:r>
      <w:r>
        <w:rPr>
          <w:rFonts w:ascii="Times New Roman" w:hAnsi="Times New Roman" w:cs="Times New Roman"/>
        </w:rPr>
        <w:t>, 311 e n.</w:t>
      </w:r>
    </w:p>
    <w:p w14:paraId="4E227D77"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 Curlo, Giacomo, 19</w:t>
      </w:r>
      <w:r>
        <w:rPr>
          <w:rFonts w:ascii="Times New Roman" w:hAnsi="Times New Roman" w:cs="Times New Roman"/>
        </w:rPr>
        <w:t>.</w:t>
      </w:r>
      <w:r w:rsidRPr="00AB1C99">
        <w:rPr>
          <w:rFonts w:ascii="Times New Roman" w:hAnsi="Times New Roman" w:cs="Times New Roman"/>
        </w:rPr>
        <w:t xml:space="preserve"> </w:t>
      </w:r>
    </w:p>
    <w:p w14:paraId="1C343059"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 Gigantibus, Gioacchino, 52, 56</w:t>
      </w:r>
      <w:r>
        <w:rPr>
          <w:rFonts w:ascii="Times New Roman" w:hAnsi="Times New Roman" w:cs="Times New Roman"/>
        </w:rPr>
        <w:t>.</w:t>
      </w:r>
    </w:p>
    <w:p w14:paraId="192F9250"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degli Alberti, Niccolò di Antonio, 130 e n</w:t>
      </w:r>
      <w:r>
        <w:rPr>
          <w:rFonts w:ascii="Times New Roman" w:hAnsi="Times New Roman" w:cs="Times New Roman"/>
        </w:rPr>
        <w:t>.</w:t>
      </w:r>
      <w:r w:rsidRPr="00AB1C99">
        <w:rPr>
          <w:rFonts w:ascii="Times New Roman" w:hAnsi="Times New Roman" w:cs="Times New Roman"/>
        </w:rPr>
        <w:t xml:space="preserve"> </w:t>
      </w:r>
    </w:p>
    <w:p w14:paraId="510CC195" w14:textId="77777777" w:rsidR="00337C20" w:rsidRPr="00AB1C99" w:rsidRDefault="00337C20" w:rsidP="00337C20">
      <w:pPr>
        <w:spacing w:after="0" w:line="240" w:lineRule="auto"/>
        <w:jc w:val="both"/>
        <w:rPr>
          <w:rFonts w:ascii="Times New Roman" w:hAnsi="Times New Roman" w:cs="Times New Roman"/>
        </w:rPr>
      </w:pPr>
      <w:r>
        <w:rPr>
          <w:rFonts w:ascii="Times New Roman" w:hAnsi="Times New Roman" w:cs="Times New Roman"/>
        </w:rPr>
        <w:t xml:space="preserve">degli </w:t>
      </w:r>
      <w:r w:rsidRPr="00AB1C99">
        <w:rPr>
          <w:rFonts w:ascii="Times New Roman" w:hAnsi="Times New Roman" w:cs="Times New Roman"/>
        </w:rPr>
        <w:t>Attendoli, Muzio, 76, 77n</w:t>
      </w:r>
      <w:r>
        <w:rPr>
          <w:rFonts w:ascii="Times New Roman" w:hAnsi="Times New Roman" w:cs="Times New Roman"/>
        </w:rPr>
        <w:t>.</w:t>
      </w:r>
    </w:p>
    <w:p w14:paraId="716B45A5" w14:textId="77777777" w:rsidR="00337C20" w:rsidRDefault="00337C20" w:rsidP="00337C20">
      <w:pPr>
        <w:spacing w:after="0" w:line="240" w:lineRule="auto"/>
        <w:jc w:val="both"/>
        <w:rPr>
          <w:rFonts w:ascii="Times New Roman" w:hAnsi="Times New Roman" w:cs="Times New Roman"/>
        </w:rPr>
      </w:pPr>
    </w:p>
    <w:p w14:paraId="3B5BC6F3" w14:textId="77777777" w:rsidR="00337C20" w:rsidRPr="00AB1C99"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degli Arienti, Giovanni Sabadino, 155-</w:t>
      </w:r>
      <w:r>
        <w:rPr>
          <w:rFonts w:ascii="Times New Roman" w:hAnsi="Times New Roman" w:cs="Times New Roman"/>
        </w:rPr>
        <w:t>167, 224, 230, 266.</w:t>
      </w:r>
    </w:p>
    <w:p w14:paraId="4AEC236E" w14:textId="77777777" w:rsidR="00337C20" w:rsidRDefault="00337C20" w:rsidP="00337C20">
      <w:pPr>
        <w:spacing w:after="0" w:line="240" w:lineRule="auto"/>
        <w:jc w:val="both"/>
        <w:rPr>
          <w:rFonts w:ascii="Times New Roman" w:hAnsi="Times New Roman" w:cs="Times New Roman"/>
        </w:rPr>
      </w:pPr>
    </w:p>
    <w:p w14:paraId="601813EB" w14:textId="77777777" w:rsidR="00337C20"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degli Uberti, Fazio degli Albizi, Giovanna, 109, 150, 151n</w:t>
      </w:r>
      <w:r>
        <w:rPr>
          <w:rFonts w:ascii="Times New Roman" w:hAnsi="Times New Roman" w:cs="Times New Roman"/>
        </w:rPr>
        <w:t>.</w:t>
      </w:r>
    </w:p>
    <w:p w14:paraId="16C0F9DD" w14:textId="77777777" w:rsidR="00337C20" w:rsidRPr="00AB1C99" w:rsidRDefault="00337C20" w:rsidP="00337C20">
      <w:pPr>
        <w:spacing w:after="0" w:line="240" w:lineRule="auto"/>
        <w:jc w:val="both"/>
        <w:rPr>
          <w:rFonts w:ascii="Times New Roman" w:hAnsi="Times New Roman" w:cs="Times New Roman"/>
        </w:rPr>
      </w:pPr>
    </w:p>
    <w:p w14:paraId="043E3E73" w14:textId="77777777" w:rsidR="00337C20"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de Guevara, Pietro, 33</w:t>
      </w:r>
      <w:r>
        <w:rPr>
          <w:rFonts w:ascii="Times New Roman" w:hAnsi="Times New Roman" w:cs="Times New Roman"/>
        </w:rPr>
        <w:t>.</w:t>
      </w:r>
    </w:p>
    <w:p w14:paraId="62EE66DD" w14:textId="77777777" w:rsidR="00337C20" w:rsidRDefault="00337C20" w:rsidP="00337C20">
      <w:pPr>
        <w:spacing w:after="0" w:line="240" w:lineRule="auto"/>
        <w:jc w:val="both"/>
        <w:rPr>
          <w:rFonts w:ascii="Times New Roman" w:hAnsi="Times New Roman" w:cs="Times New Roman"/>
        </w:rPr>
      </w:pPr>
    </w:p>
    <w:p w14:paraId="6EED291D" w14:textId="77777777" w:rsidR="00337C20" w:rsidRPr="00AB1C99"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de Guzmán, Nuño, 99</w:t>
      </w:r>
      <w:r>
        <w:rPr>
          <w:rFonts w:ascii="Times New Roman" w:hAnsi="Times New Roman" w:cs="Times New Roman"/>
        </w:rPr>
        <w:t>.</w:t>
      </w:r>
    </w:p>
    <w:p w14:paraId="1B4F2EE7" w14:textId="77777777" w:rsidR="00337C20" w:rsidRDefault="00337C20" w:rsidP="00337C20">
      <w:pPr>
        <w:spacing w:line="240" w:lineRule="auto"/>
        <w:jc w:val="both"/>
        <w:rPr>
          <w:rFonts w:ascii="Times New Roman" w:hAnsi="Times New Roman" w:cs="Times New Roman"/>
        </w:rPr>
      </w:pPr>
    </w:p>
    <w:p w14:paraId="47C72703" w14:textId="77777777" w:rsidR="00337C20" w:rsidRPr="00AB1C99" w:rsidRDefault="00337C20" w:rsidP="00337C20">
      <w:pPr>
        <w:spacing w:line="240" w:lineRule="auto"/>
        <w:jc w:val="both"/>
        <w:rPr>
          <w:rFonts w:ascii="Times New Roman" w:hAnsi="Times New Roman" w:cs="Times New Roman"/>
        </w:rPr>
      </w:pPr>
      <w:r w:rsidRPr="00AB1C99">
        <w:rPr>
          <w:rFonts w:ascii="Times New Roman" w:hAnsi="Times New Roman" w:cs="Times New Roman"/>
        </w:rPr>
        <w:t>de Haynin Jean</w:t>
      </w:r>
      <w:r>
        <w:rPr>
          <w:rFonts w:ascii="Times New Roman" w:hAnsi="Times New Roman" w:cs="Times New Roman"/>
        </w:rPr>
        <w:t>, 326.</w:t>
      </w:r>
      <w:r w:rsidRPr="00AB1C99">
        <w:rPr>
          <w:rFonts w:ascii="Times New Roman" w:hAnsi="Times New Roman" w:cs="Times New Roman"/>
        </w:rPr>
        <w:t xml:space="preserve"> </w:t>
      </w:r>
    </w:p>
    <w:p w14:paraId="3E3088CA" w14:textId="77777777" w:rsidR="00337C20" w:rsidRPr="00AB1C99" w:rsidRDefault="00337C20" w:rsidP="00337C20">
      <w:pPr>
        <w:spacing w:line="240" w:lineRule="auto"/>
        <w:jc w:val="both"/>
        <w:rPr>
          <w:rFonts w:ascii="Times New Roman" w:hAnsi="Times New Roman" w:cs="Times New Roman"/>
        </w:rPr>
      </w:pPr>
      <w:r w:rsidRPr="00AB1C99">
        <w:rPr>
          <w:rFonts w:ascii="Times New Roman" w:hAnsi="Times New Roman" w:cs="Times New Roman"/>
        </w:rPr>
        <w:t>dei Corradi, Zanino, 40</w:t>
      </w:r>
      <w:r>
        <w:rPr>
          <w:rFonts w:ascii="Times New Roman" w:hAnsi="Times New Roman" w:cs="Times New Roman"/>
        </w:rPr>
        <w:t>.</w:t>
      </w:r>
    </w:p>
    <w:p w14:paraId="66FC7A0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dei Pegorini, Martino, 12</w:t>
      </w:r>
      <w:r>
        <w:rPr>
          <w:rFonts w:ascii="Times New Roman" w:hAnsi="Times New Roman" w:cs="Times New Roman"/>
        </w:rPr>
        <w:t>.</w:t>
      </w:r>
    </w:p>
    <w:p w14:paraId="7EE27E2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dei Russi, Franco, 43</w:t>
      </w:r>
      <w:r>
        <w:rPr>
          <w:rFonts w:ascii="Times New Roman" w:hAnsi="Times New Roman" w:cs="Times New Roman"/>
        </w:rPr>
        <w:t xml:space="preserve"> e n</w:t>
      </w:r>
      <w:r w:rsidRPr="00AB1C99">
        <w:rPr>
          <w:rFonts w:ascii="Times New Roman" w:hAnsi="Times New Roman" w:cs="Times New Roman"/>
        </w:rPr>
        <w:t xml:space="preserve">, 44 e n, 45, 53, 146 </w:t>
      </w:r>
      <w:r>
        <w:rPr>
          <w:rFonts w:ascii="Times New Roman" w:hAnsi="Times New Roman" w:cs="Times New Roman"/>
        </w:rPr>
        <w:t>e n.</w:t>
      </w:r>
    </w:p>
    <w:p w14:paraId="520E00D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la Marche, Olivier</w:t>
      </w:r>
      <w:r>
        <w:rPr>
          <w:rFonts w:ascii="Times New Roman" w:hAnsi="Times New Roman" w:cs="Times New Roman"/>
        </w:rPr>
        <w:t>, 274, 326.</w:t>
      </w:r>
      <w:r w:rsidRPr="00AB1C99">
        <w:rPr>
          <w:rFonts w:ascii="Times New Roman" w:hAnsi="Times New Roman" w:cs="Times New Roman"/>
        </w:rPr>
        <w:t xml:space="preserve">  </w:t>
      </w:r>
    </w:p>
    <w:p w14:paraId="7E44441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 Balzo, Angilberto, 33</w:t>
      </w:r>
      <w:r>
        <w:rPr>
          <w:rFonts w:ascii="Times New Roman" w:hAnsi="Times New Roman" w:cs="Times New Roman"/>
        </w:rPr>
        <w:t>.</w:t>
      </w:r>
      <w:r w:rsidRPr="00AB1C99">
        <w:rPr>
          <w:rFonts w:ascii="Times New Roman" w:hAnsi="Times New Roman" w:cs="Times New Roman"/>
        </w:rPr>
        <w:t xml:space="preserve"> </w:t>
      </w:r>
    </w:p>
    <w:p w14:paraId="1BF5722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 Balzo, Isabella, 34</w:t>
      </w:r>
      <w:r>
        <w:rPr>
          <w:rFonts w:ascii="Times New Roman" w:hAnsi="Times New Roman" w:cs="Times New Roman"/>
        </w:rPr>
        <w:t>.</w:t>
      </w:r>
    </w:p>
    <w:p w14:paraId="32296B2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 Bergamino, Giampietro</w:t>
      </w:r>
      <w:r>
        <w:rPr>
          <w:rFonts w:ascii="Times New Roman" w:hAnsi="Times New Roman" w:cs="Times New Roman"/>
        </w:rPr>
        <w:t>, 220.</w:t>
      </w:r>
    </w:p>
    <w:p w14:paraId="79FFC1D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 Chierico, Francesco di Antonio, 98, 99 e n, 100, 101</w:t>
      </w:r>
      <w:r>
        <w:rPr>
          <w:rFonts w:ascii="Times New Roman" w:hAnsi="Times New Roman" w:cs="Times New Roman"/>
        </w:rPr>
        <w:t>.</w:t>
      </w:r>
    </w:p>
    <w:p w14:paraId="63BBD0FC" w14:textId="77777777" w:rsidR="00337C20" w:rsidRDefault="00337C20" w:rsidP="00337C20">
      <w:pPr>
        <w:jc w:val="both"/>
        <w:rPr>
          <w:rFonts w:ascii="Times New Roman" w:hAnsi="Times New Roman" w:cs="Times New Roman"/>
        </w:rPr>
      </w:pPr>
      <w:r w:rsidRPr="00AB1C99">
        <w:rPr>
          <w:rFonts w:ascii="Times New Roman" w:hAnsi="Times New Roman" w:cs="Times New Roman"/>
        </w:rPr>
        <w:t>de Lellis, Gaspare, 57</w:t>
      </w:r>
      <w:r>
        <w:rPr>
          <w:rFonts w:ascii="Times New Roman" w:hAnsi="Times New Roman" w:cs="Times New Roman"/>
        </w:rPr>
        <w:t>.</w:t>
      </w:r>
      <w:r w:rsidRPr="00AB1C99">
        <w:rPr>
          <w:rFonts w:ascii="Times New Roman" w:hAnsi="Times New Roman" w:cs="Times New Roman"/>
        </w:rPr>
        <w:t xml:space="preserve"> </w:t>
      </w:r>
    </w:p>
    <w:p w14:paraId="374D2DD6" w14:textId="77777777" w:rsidR="00337C20" w:rsidRPr="00AB1C99" w:rsidRDefault="00337C20" w:rsidP="00337C20">
      <w:pPr>
        <w:jc w:val="both"/>
        <w:rPr>
          <w:rFonts w:ascii="Times New Roman" w:hAnsi="Times New Roman" w:cs="Times New Roman"/>
        </w:rPr>
      </w:pPr>
      <w:r>
        <w:rPr>
          <w:rFonts w:ascii="Times New Roman" w:hAnsi="Times New Roman" w:cs="Times New Roman"/>
        </w:rPr>
        <w:t>de’ Libri, Bartolomeo, 301.</w:t>
      </w:r>
    </w:p>
    <w:p w14:paraId="26E43FDD"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 Lignamine, Giovanni Filippo, 58</w:t>
      </w:r>
      <w:r>
        <w:rPr>
          <w:rFonts w:ascii="Times New Roman" w:hAnsi="Times New Roman" w:cs="Times New Roman"/>
        </w:rPr>
        <w:t>.</w:t>
      </w:r>
    </w:p>
    <w:p w14:paraId="1D72C1F3"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 Lira, Niccolò, 64, 71, 104</w:t>
      </w:r>
      <w:r>
        <w:rPr>
          <w:rFonts w:ascii="Times New Roman" w:hAnsi="Times New Roman" w:cs="Times New Roman"/>
        </w:rPr>
        <w:t>.</w:t>
      </w:r>
    </w:p>
    <w:p w14:paraId="568757C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della Francesca, Piero, 42</w:t>
      </w:r>
      <w:r>
        <w:rPr>
          <w:rFonts w:ascii="Times New Roman" w:hAnsi="Times New Roman" w:cs="Times New Roman"/>
        </w:rPr>
        <w:t>.</w:t>
      </w:r>
    </w:p>
    <w:p w14:paraId="213E3DB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della Gatta, Bartolomeo, 54 e n</w:t>
      </w:r>
      <w:r>
        <w:rPr>
          <w:rFonts w:ascii="Times New Roman" w:hAnsi="Times New Roman" w:cs="Times New Roman"/>
        </w:rPr>
        <w:t>.</w:t>
      </w:r>
      <w:r w:rsidRPr="00AB1C99">
        <w:rPr>
          <w:rFonts w:ascii="Times New Roman" w:hAnsi="Times New Roman" w:cs="Times New Roman"/>
        </w:rPr>
        <w:t xml:space="preserve"> </w:t>
      </w:r>
    </w:p>
    <w:p w14:paraId="6BD33F1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della Robbia, Luca, 24</w:t>
      </w:r>
      <w:r>
        <w:rPr>
          <w:rFonts w:ascii="Times New Roman" w:hAnsi="Times New Roman" w:cs="Times New Roman"/>
        </w:rPr>
        <w:t>.</w:t>
      </w:r>
    </w:p>
    <w:p w14:paraId="222867D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della Rocca Bertì, Filippo</w:t>
      </w:r>
      <w:r>
        <w:rPr>
          <w:rFonts w:ascii="Times New Roman" w:hAnsi="Times New Roman" w:cs="Times New Roman"/>
        </w:rPr>
        <w:t>, 246, 263.</w:t>
      </w:r>
    </w:p>
    <w:p w14:paraId="0324812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della Rovere, Francesco, vedi Sisto IV</w:t>
      </w:r>
      <w:r>
        <w:rPr>
          <w:rFonts w:ascii="Times New Roman" w:hAnsi="Times New Roman" w:cs="Times New Roman"/>
        </w:rPr>
        <w:t>.</w:t>
      </w:r>
    </w:p>
    <w:p w14:paraId="2A7B1A5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della Rovere, Giovanni, signore di Senigallia, 30, 137</w:t>
      </w:r>
      <w:r>
        <w:rPr>
          <w:rFonts w:ascii="Times New Roman" w:hAnsi="Times New Roman" w:cs="Times New Roman"/>
        </w:rPr>
        <w:t>, 294, 295n.</w:t>
      </w:r>
    </w:p>
    <w:p w14:paraId="4FAE7AC3" w14:textId="77777777" w:rsidR="00337C20" w:rsidRDefault="00337C20" w:rsidP="00337C20">
      <w:pPr>
        <w:jc w:val="both"/>
        <w:rPr>
          <w:rFonts w:ascii="Times New Roman" w:hAnsi="Times New Roman" w:cs="Times New Roman"/>
        </w:rPr>
      </w:pPr>
      <w:r w:rsidRPr="00AB1C99">
        <w:rPr>
          <w:rFonts w:ascii="Times New Roman" w:hAnsi="Times New Roman" w:cs="Times New Roman"/>
        </w:rPr>
        <w:t>della Rovere, Giuliano</w:t>
      </w:r>
      <w:r>
        <w:rPr>
          <w:rFonts w:ascii="Times New Roman" w:hAnsi="Times New Roman" w:cs="Times New Roman"/>
        </w:rPr>
        <w:t>,</w:t>
      </w:r>
      <w:r w:rsidRPr="00AB1C99">
        <w:rPr>
          <w:rFonts w:ascii="Times New Roman" w:hAnsi="Times New Roman" w:cs="Times New Roman"/>
        </w:rPr>
        <w:t xml:space="preserve"> vedi Giulio II</w:t>
      </w:r>
      <w:r>
        <w:rPr>
          <w:rFonts w:ascii="Times New Roman" w:hAnsi="Times New Roman" w:cs="Times New Roman"/>
        </w:rPr>
        <w:t>.</w:t>
      </w:r>
    </w:p>
    <w:p w14:paraId="73A85EAF" w14:textId="77777777" w:rsidR="00337C20" w:rsidRPr="00AB1C99" w:rsidRDefault="00337C20" w:rsidP="00337C20">
      <w:pPr>
        <w:jc w:val="both"/>
        <w:rPr>
          <w:rFonts w:ascii="Times New Roman" w:hAnsi="Times New Roman" w:cs="Times New Roman"/>
        </w:rPr>
      </w:pPr>
      <w:r>
        <w:rPr>
          <w:rFonts w:ascii="Times New Roman" w:hAnsi="Times New Roman" w:cs="Times New Roman"/>
        </w:rPr>
        <w:t>della Rovere, Leonardo, 241.</w:t>
      </w:r>
    </w:p>
    <w:p w14:paraId="1D45433B"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della Scala, Regina, 170n</w:t>
      </w:r>
      <w:r>
        <w:rPr>
          <w:rFonts w:ascii="Times New Roman" w:hAnsi="Times New Roman" w:cs="Times New Roman"/>
        </w:rPr>
        <w:t>.</w:t>
      </w:r>
      <w:r w:rsidRPr="00AB1C99">
        <w:rPr>
          <w:rFonts w:ascii="Times New Roman" w:hAnsi="Times New Roman" w:cs="Times New Roman"/>
        </w:rPr>
        <w:t xml:space="preserve"> </w:t>
      </w:r>
    </w:p>
    <w:p w14:paraId="0530F86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dell’Avogaro, Marco, 43</w:t>
      </w:r>
      <w:r>
        <w:rPr>
          <w:rFonts w:ascii="Times New Roman" w:hAnsi="Times New Roman" w:cs="Times New Roman"/>
        </w:rPr>
        <w:t>.</w:t>
      </w:r>
    </w:p>
    <w:p w14:paraId="42B5D28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 Maino, Giovan Angelo, 183</w:t>
      </w:r>
      <w:r>
        <w:rPr>
          <w:rFonts w:ascii="Times New Roman" w:hAnsi="Times New Roman" w:cs="Times New Roman"/>
        </w:rPr>
        <w:t>.</w:t>
      </w:r>
      <w:r w:rsidRPr="00AB1C99">
        <w:rPr>
          <w:rFonts w:ascii="Times New Roman" w:hAnsi="Times New Roman" w:cs="Times New Roman"/>
        </w:rPr>
        <w:t xml:space="preserve"> </w:t>
      </w:r>
    </w:p>
    <w:p w14:paraId="545A090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del Sellaio, Jacopo</w:t>
      </w:r>
      <w:r>
        <w:rPr>
          <w:rFonts w:ascii="Times New Roman" w:hAnsi="Times New Roman" w:cs="Times New Roman"/>
        </w:rPr>
        <w:t>, 250.</w:t>
      </w:r>
    </w:p>
    <w:p w14:paraId="1D18A9FC"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del Tuppo, Francesco, 52n, 65 e n, 66</w:t>
      </w:r>
      <w:r>
        <w:rPr>
          <w:rFonts w:ascii="Times New Roman" w:hAnsi="Times New Roman" w:cs="Times New Roman"/>
        </w:rPr>
        <w:t>.</w:t>
      </w:r>
    </w:p>
    <w:p w14:paraId="563DDF9E"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 Madi, Francesco</w:t>
      </w:r>
      <w:r>
        <w:rPr>
          <w:rFonts w:ascii="Times New Roman" w:hAnsi="Times New Roman" w:cs="Times New Roman"/>
        </w:rPr>
        <w:t>, 123n.</w:t>
      </w:r>
      <w:r w:rsidRPr="00AB1C99">
        <w:rPr>
          <w:rFonts w:ascii="Times New Roman" w:hAnsi="Times New Roman" w:cs="Times New Roman"/>
        </w:rPr>
        <w:t xml:space="preserve"> </w:t>
      </w:r>
    </w:p>
    <w:p w14:paraId="1EB89DA5" w14:textId="77777777" w:rsidR="00337C20" w:rsidRPr="00AB1C99" w:rsidRDefault="00337C20" w:rsidP="00337C20">
      <w:pPr>
        <w:spacing w:after="0" w:line="360" w:lineRule="auto"/>
        <w:jc w:val="both"/>
        <w:rPr>
          <w:rFonts w:ascii="Times New Roman" w:hAnsi="Times New Roman" w:cs="Times New Roman"/>
        </w:rPr>
      </w:pPr>
      <w:r w:rsidRPr="00AB1C99">
        <w:rPr>
          <w:rFonts w:ascii="Times New Roman" w:hAnsi="Times New Roman" w:cs="Times New Roman"/>
        </w:rPr>
        <w:t>de Maino, Giason</w:t>
      </w:r>
      <w:r>
        <w:rPr>
          <w:rFonts w:ascii="Times New Roman" w:hAnsi="Times New Roman" w:cs="Times New Roman"/>
        </w:rPr>
        <w:t>, 199, 210n</w:t>
      </w:r>
    </w:p>
    <w:p w14:paraId="2B849657" w14:textId="77777777" w:rsidR="00337C20" w:rsidRPr="00AB1C99"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de’ Medici, Cosimo il Vecchio, 20-23, 26, 51, 70, 72, 98, 99, 109, 117, 169n</w:t>
      </w:r>
      <w:r>
        <w:rPr>
          <w:rFonts w:ascii="Times New Roman" w:hAnsi="Times New Roman" w:cs="Times New Roman"/>
        </w:rPr>
        <w:t>.</w:t>
      </w:r>
    </w:p>
    <w:p w14:paraId="18884174" w14:textId="77777777" w:rsidR="00337C20" w:rsidRDefault="00337C20" w:rsidP="00337C20">
      <w:pPr>
        <w:spacing w:after="0" w:line="240" w:lineRule="auto"/>
        <w:jc w:val="both"/>
        <w:rPr>
          <w:rFonts w:ascii="Times New Roman" w:hAnsi="Times New Roman" w:cs="Times New Roman"/>
        </w:rPr>
      </w:pPr>
    </w:p>
    <w:p w14:paraId="3E43BB4F" w14:textId="77777777" w:rsidR="00337C20" w:rsidRPr="00AB1C99"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de’ Medici, Giovanni, 23, 99</w:t>
      </w:r>
      <w:r>
        <w:rPr>
          <w:rFonts w:ascii="Times New Roman" w:hAnsi="Times New Roman" w:cs="Times New Roman"/>
        </w:rPr>
        <w:t>.</w:t>
      </w:r>
    </w:p>
    <w:p w14:paraId="47759A11" w14:textId="77777777" w:rsidR="00337C20" w:rsidRDefault="00337C20" w:rsidP="00337C20">
      <w:pPr>
        <w:spacing w:after="0" w:line="240" w:lineRule="auto"/>
        <w:jc w:val="both"/>
        <w:rPr>
          <w:rFonts w:ascii="Times New Roman" w:hAnsi="Times New Roman" w:cs="Times New Roman"/>
        </w:rPr>
      </w:pPr>
    </w:p>
    <w:p w14:paraId="05A46C40" w14:textId="77777777" w:rsidR="00337C20" w:rsidRPr="00AB1C99"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de’ Medici, Giovanni, cardinale, 112</w:t>
      </w:r>
      <w:r>
        <w:rPr>
          <w:rFonts w:ascii="Times New Roman" w:hAnsi="Times New Roman" w:cs="Times New Roman"/>
        </w:rPr>
        <w:t>.</w:t>
      </w:r>
    </w:p>
    <w:p w14:paraId="0FD98036" w14:textId="77777777" w:rsidR="00337C20" w:rsidRDefault="00337C20" w:rsidP="00337C20">
      <w:pPr>
        <w:spacing w:after="0" w:line="240" w:lineRule="auto"/>
        <w:jc w:val="both"/>
        <w:rPr>
          <w:rFonts w:ascii="Times New Roman" w:hAnsi="Times New Roman" w:cs="Times New Roman"/>
        </w:rPr>
      </w:pPr>
    </w:p>
    <w:p w14:paraId="26184A7F" w14:textId="77777777" w:rsidR="00337C20" w:rsidRPr="00AB1C99" w:rsidRDefault="00337C20" w:rsidP="00337C20">
      <w:pPr>
        <w:spacing w:after="0" w:line="240" w:lineRule="auto"/>
        <w:jc w:val="both"/>
        <w:rPr>
          <w:rFonts w:ascii="Times New Roman" w:hAnsi="Times New Roman" w:cs="Times New Roman"/>
        </w:rPr>
      </w:pPr>
      <w:r w:rsidRPr="00AB1C99">
        <w:rPr>
          <w:rFonts w:ascii="Times New Roman" w:hAnsi="Times New Roman" w:cs="Times New Roman"/>
        </w:rPr>
        <w:t>de’Medici, Giuliano, 24 e n, 109-111</w:t>
      </w:r>
      <w:r>
        <w:rPr>
          <w:rFonts w:ascii="Times New Roman" w:hAnsi="Times New Roman" w:cs="Times New Roman"/>
        </w:rPr>
        <w:t>, 229.</w:t>
      </w:r>
      <w:r w:rsidRPr="00AB1C99">
        <w:rPr>
          <w:rFonts w:ascii="Times New Roman" w:hAnsi="Times New Roman" w:cs="Times New Roman"/>
        </w:rPr>
        <w:t xml:space="preserve"> </w:t>
      </w:r>
    </w:p>
    <w:p w14:paraId="0CEEAA6E" w14:textId="77777777" w:rsidR="00337C20" w:rsidRDefault="00337C20" w:rsidP="00337C20">
      <w:pPr>
        <w:spacing w:line="240" w:lineRule="auto"/>
        <w:jc w:val="both"/>
        <w:rPr>
          <w:rFonts w:ascii="Times New Roman" w:hAnsi="Times New Roman" w:cs="Times New Roman"/>
        </w:rPr>
      </w:pPr>
    </w:p>
    <w:p w14:paraId="3B0CEB98" w14:textId="77777777" w:rsidR="00337C20" w:rsidRPr="00AB1C99" w:rsidRDefault="00337C20" w:rsidP="00337C20">
      <w:pPr>
        <w:spacing w:line="240" w:lineRule="auto"/>
        <w:jc w:val="both"/>
        <w:rPr>
          <w:rFonts w:ascii="Times New Roman" w:hAnsi="Times New Roman" w:cs="Times New Roman"/>
        </w:rPr>
      </w:pPr>
      <w:r w:rsidRPr="00AB1C99">
        <w:rPr>
          <w:rFonts w:ascii="Times New Roman" w:hAnsi="Times New Roman" w:cs="Times New Roman"/>
        </w:rPr>
        <w:t>de’ Medici, Lorenzo il Vecchio, 20, 23</w:t>
      </w:r>
      <w:r>
        <w:rPr>
          <w:rFonts w:ascii="Times New Roman" w:hAnsi="Times New Roman" w:cs="Times New Roman"/>
        </w:rPr>
        <w:t>.</w:t>
      </w:r>
    </w:p>
    <w:p w14:paraId="79B6F172" w14:textId="77777777" w:rsidR="00337C20" w:rsidRPr="00AB1C99" w:rsidRDefault="00337C20" w:rsidP="00337C20">
      <w:pPr>
        <w:spacing w:line="240" w:lineRule="auto"/>
        <w:jc w:val="both"/>
        <w:rPr>
          <w:rFonts w:ascii="Times New Roman" w:hAnsi="Times New Roman" w:cs="Times New Roman"/>
        </w:rPr>
      </w:pPr>
      <w:r w:rsidRPr="00AB1C99">
        <w:rPr>
          <w:rFonts w:ascii="Times New Roman" w:hAnsi="Times New Roman" w:cs="Times New Roman"/>
        </w:rPr>
        <w:t>de’ Medici, Lorenzo detto Magnifico, 4, 24 e n, 25, 102 e n, 105, 109-114, 117, 118 e n, 119, 124, 142, 150-151, 154, 195</w:t>
      </w:r>
      <w:r>
        <w:rPr>
          <w:rFonts w:ascii="Times New Roman" w:hAnsi="Times New Roman" w:cs="Times New Roman"/>
        </w:rPr>
        <w:t>, 229, 248, 251, 309.</w:t>
      </w:r>
    </w:p>
    <w:p w14:paraId="7A598A5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Medici, Lorenzo di Pier Francesco, 155, 161</w:t>
      </w:r>
      <w:r>
        <w:rPr>
          <w:rFonts w:ascii="Times New Roman" w:hAnsi="Times New Roman" w:cs="Times New Roman"/>
        </w:rPr>
        <w:t>.</w:t>
      </w:r>
      <w:r w:rsidRPr="00AB1C99">
        <w:rPr>
          <w:rFonts w:ascii="Times New Roman" w:hAnsi="Times New Roman" w:cs="Times New Roman"/>
        </w:rPr>
        <w:t xml:space="preserve"> </w:t>
      </w:r>
    </w:p>
    <w:p w14:paraId="581D030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Medici, Piero</w:t>
      </w:r>
      <w:r>
        <w:rPr>
          <w:rFonts w:ascii="Times New Roman" w:hAnsi="Times New Roman" w:cs="Times New Roman"/>
        </w:rPr>
        <w:t xml:space="preserve"> detto il Gottoso,</w:t>
      </w:r>
      <w:r w:rsidRPr="00AB1C99">
        <w:rPr>
          <w:rFonts w:ascii="Times New Roman" w:hAnsi="Times New Roman" w:cs="Times New Roman"/>
        </w:rPr>
        <w:t xml:space="preserve"> 22, 23 e n, 24, 36, 99, 109, 110, 118, 119</w:t>
      </w:r>
      <w:r>
        <w:rPr>
          <w:rFonts w:ascii="Times New Roman" w:hAnsi="Times New Roman" w:cs="Times New Roman"/>
        </w:rPr>
        <w:t>, 223.</w:t>
      </w:r>
    </w:p>
    <w:p w14:paraId="6C0ABC4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Medici, Piero di Lorenzo, 22, 25 e n, 103 e n, 197</w:t>
      </w:r>
      <w:r>
        <w:rPr>
          <w:rFonts w:ascii="Times New Roman" w:hAnsi="Times New Roman" w:cs="Times New Roman"/>
        </w:rPr>
        <w:t>.</w:t>
      </w:r>
    </w:p>
    <w:p w14:paraId="72E6A0C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Micheli, Pietro Adamo, 63-64, 193n</w:t>
      </w:r>
      <w:r>
        <w:rPr>
          <w:rFonts w:ascii="Times New Roman" w:hAnsi="Times New Roman" w:cs="Times New Roman"/>
        </w:rPr>
        <w:t>.</w:t>
      </w:r>
    </w:p>
    <w:p w14:paraId="14B1CA6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Minuti, Antonio, 76, 77 e n</w:t>
      </w:r>
      <w:r>
        <w:rPr>
          <w:rFonts w:ascii="Times New Roman" w:hAnsi="Times New Roman" w:cs="Times New Roman"/>
        </w:rPr>
        <w:t>.</w:t>
      </w:r>
    </w:p>
    <w:p w14:paraId="03ADC2F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Pandoni, Porcelio, 128, 186n</w:t>
      </w:r>
      <w:r>
        <w:rPr>
          <w:rFonts w:ascii="Times New Roman" w:hAnsi="Times New Roman" w:cs="Times New Roman"/>
        </w:rPr>
        <w:t>, 275.</w:t>
      </w:r>
      <w:r w:rsidRPr="00AB1C99">
        <w:rPr>
          <w:rFonts w:ascii="Times New Roman" w:hAnsi="Times New Roman" w:cs="Times New Roman"/>
        </w:rPr>
        <w:t xml:space="preserve"> </w:t>
      </w:r>
    </w:p>
    <w:p w14:paraId="3C1DE58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Pazzi, Andrea, 17n</w:t>
      </w:r>
      <w:r>
        <w:rPr>
          <w:rFonts w:ascii="Times New Roman" w:hAnsi="Times New Roman" w:cs="Times New Roman"/>
        </w:rPr>
        <w:t>.</w:t>
      </w:r>
      <w:r w:rsidRPr="00AB1C99">
        <w:rPr>
          <w:rFonts w:ascii="Times New Roman" w:hAnsi="Times New Roman" w:cs="Times New Roman"/>
        </w:rPr>
        <w:t xml:space="preserve"> </w:t>
      </w:r>
    </w:p>
    <w:p w14:paraId="61FC78A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Pazzi, Antonio</w:t>
      </w:r>
      <w:r>
        <w:rPr>
          <w:rFonts w:ascii="Times New Roman" w:hAnsi="Times New Roman" w:cs="Times New Roman"/>
        </w:rPr>
        <w:t>, 223.</w:t>
      </w:r>
    </w:p>
    <w:p w14:paraId="2DACEF5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Pazzi, Jacopo, 17n</w:t>
      </w:r>
      <w:r>
        <w:rPr>
          <w:rFonts w:ascii="Times New Roman" w:hAnsi="Times New Roman" w:cs="Times New Roman"/>
        </w:rPr>
        <w:t>.</w:t>
      </w:r>
    </w:p>
    <w:p w14:paraId="5E65B1B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Pazzi, Piero, 100n</w:t>
      </w:r>
      <w:r>
        <w:rPr>
          <w:rFonts w:ascii="Times New Roman" w:hAnsi="Times New Roman" w:cs="Times New Roman"/>
        </w:rPr>
        <w:t>.</w:t>
      </w:r>
    </w:p>
    <w:p w14:paraId="7E5EC72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Predis, Cristoforo, 9, 47 e n, 89-91</w:t>
      </w:r>
      <w:r>
        <w:rPr>
          <w:rFonts w:ascii="Times New Roman" w:hAnsi="Times New Roman" w:cs="Times New Roman"/>
        </w:rPr>
        <w:t>, 245.</w:t>
      </w:r>
    </w:p>
    <w:p w14:paraId="150A82E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Predis, Giovanni Ambrogio, 47n, 50</w:t>
      </w:r>
      <w:r>
        <w:rPr>
          <w:rFonts w:ascii="Times New Roman" w:hAnsi="Times New Roman" w:cs="Times New Roman"/>
        </w:rPr>
        <w:t>.</w:t>
      </w:r>
    </w:p>
    <w:p w14:paraId="4F4B9A4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Rambaldoni, Vittorino da Feltre, 12-13</w:t>
      </w:r>
      <w:r>
        <w:rPr>
          <w:rFonts w:ascii="Times New Roman" w:hAnsi="Times New Roman" w:cs="Times New Roman"/>
        </w:rPr>
        <w:t>.</w:t>
      </w:r>
    </w:p>
    <w:p w14:paraId="226A538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Ramedellis, Ramo, 39 e n</w:t>
      </w:r>
      <w:r>
        <w:rPr>
          <w:rFonts w:ascii="Times New Roman" w:hAnsi="Times New Roman" w:cs="Times New Roman"/>
        </w:rPr>
        <w:t>.</w:t>
      </w:r>
    </w:p>
    <w:p w14:paraId="64137C0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Santa María, Alvar García, 80</w:t>
      </w:r>
      <w:r>
        <w:rPr>
          <w:rFonts w:ascii="Times New Roman" w:hAnsi="Times New Roman" w:cs="Times New Roman"/>
        </w:rPr>
        <w:t>.</w:t>
      </w:r>
    </w:p>
    <w:p w14:paraId="5A89B012" w14:textId="77777777" w:rsidR="00337C20" w:rsidRDefault="00337C20" w:rsidP="00337C20">
      <w:pPr>
        <w:jc w:val="both"/>
        <w:rPr>
          <w:rFonts w:ascii="Times New Roman" w:hAnsi="Times New Roman" w:cs="Times New Roman"/>
        </w:rPr>
      </w:pPr>
      <w:r w:rsidRPr="00AB1C99">
        <w:rPr>
          <w:rFonts w:ascii="Times New Roman" w:hAnsi="Times New Roman" w:cs="Times New Roman"/>
        </w:rPr>
        <w:t>d’Escouchy, Mathieu</w:t>
      </w:r>
      <w:r>
        <w:rPr>
          <w:rFonts w:ascii="Times New Roman" w:hAnsi="Times New Roman" w:cs="Times New Roman"/>
        </w:rPr>
        <w:t>, 274.</w:t>
      </w:r>
    </w:p>
    <w:p w14:paraId="6F347DB9" w14:textId="77777777" w:rsidR="00337C20" w:rsidRPr="00AB1C99" w:rsidRDefault="00337C20" w:rsidP="00337C20">
      <w:pPr>
        <w:jc w:val="both"/>
        <w:rPr>
          <w:rFonts w:ascii="Times New Roman" w:hAnsi="Times New Roman" w:cs="Times New Roman"/>
        </w:rPr>
      </w:pPr>
      <w:r>
        <w:rPr>
          <w:rFonts w:ascii="Times New Roman" w:hAnsi="Times New Roman" w:cs="Times New Roman"/>
        </w:rPr>
        <w:t>d’Este, Alberto, 227, 230, 246.</w:t>
      </w:r>
    </w:p>
    <w:p w14:paraId="4BC8249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d’Este, Alfonso I, 34, 46</w:t>
      </w:r>
      <w:r>
        <w:rPr>
          <w:rFonts w:ascii="Times New Roman" w:hAnsi="Times New Roman" w:cs="Times New Roman"/>
        </w:rPr>
        <w:t>, 200n, 232, 234, 246, 256n, 263, 295, 312, 315, 322.</w:t>
      </w:r>
    </w:p>
    <w:p w14:paraId="58304411" w14:textId="77777777" w:rsidR="00337C20" w:rsidRDefault="00337C20" w:rsidP="00337C20">
      <w:pPr>
        <w:jc w:val="both"/>
        <w:rPr>
          <w:rFonts w:ascii="Times New Roman" w:hAnsi="Times New Roman" w:cs="Times New Roman"/>
        </w:rPr>
      </w:pPr>
      <w:r w:rsidRPr="00AB1C99">
        <w:rPr>
          <w:rFonts w:ascii="Times New Roman" w:hAnsi="Times New Roman" w:cs="Times New Roman"/>
        </w:rPr>
        <w:t>d’Este, Baldassarre, 46</w:t>
      </w:r>
      <w:r>
        <w:rPr>
          <w:rFonts w:ascii="Times New Roman" w:hAnsi="Times New Roman" w:cs="Times New Roman"/>
        </w:rPr>
        <w:t>.</w:t>
      </w:r>
    </w:p>
    <w:p w14:paraId="4EB01525" w14:textId="77777777" w:rsidR="00337C20" w:rsidRPr="00AB1C99" w:rsidRDefault="00337C20" w:rsidP="00337C20">
      <w:pPr>
        <w:jc w:val="both"/>
        <w:rPr>
          <w:rFonts w:ascii="Times New Roman" w:hAnsi="Times New Roman" w:cs="Times New Roman"/>
        </w:rPr>
      </w:pPr>
      <w:r>
        <w:rPr>
          <w:rFonts w:ascii="Times New Roman" w:hAnsi="Times New Roman" w:cs="Times New Roman"/>
        </w:rPr>
        <w:t>d’Este, Beatrice, 171n, 209.</w:t>
      </w:r>
      <w:r w:rsidRPr="00AB1C99">
        <w:rPr>
          <w:rFonts w:ascii="Times New Roman" w:hAnsi="Times New Roman" w:cs="Times New Roman"/>
        </w:rPr>
        <w:t xml:space="preserve"> </w:t>
      </w:r>
    </w:p>
    <w:p w14:paraId="5428058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d’Este, Beatrice,</w:t>
      </w:r>
      <w:r>
        <w:rPr>
          <w:rFonts w:ascii="Times New Roman" w:hAnsi="Times New Roman" w:cs="Times New Roman"/>
        </w:rPr>
        <w:t xml:space="preserve"> duchessa di Milano,</w:t>
      </w:r>
      <w:r w:rsidRPr="00AB1C99">
        <w:rPr>
          <w:rFonts w:ascii="Times New Roman" w:hAnsi="Times New Roman" w:cs="Times New Roman"/>
        </w:rPr>
        <w:t xml:space="preserve"> 167, 168, 197</w:t>
      </w:r>
      <w:r>
        <w:rPr>
          <w:rFonts w:ascii="Times New Roman" w:hAnsi="Times New Roman" w:cs="Times New Roman"/>
        </w:rPr>
        <w:t>, 204, 206, 208, 209, 210, 211, 212, 232-234, 295, 315n, 325.</w:t>
      </w:r>
    </w:p>
    <w:p w14:paraId="1E690B2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d’Este, Borso, 13, 20, </w:t>
      </w:r>
      <w:r>
        <w:rPr>
          <w:rFonts w:ascii="Times New Roman" w:hAnsi="Times New Roman" w:cs="Times New Roman"/>
        </w:rPr>
        <w:t xml:space="preserve">41, </w:t>
      </w:r>
      <w:r w:rsidRPr="00AB1C99">
        <w:rPr>
          <w:rFonts w:ascii="Times New Roman" w:hAnsi="Times New Roman" w:cs="Times New Roman"/>
        </w:rPr>
        <w:t>42, 43-45, 50, 53, 61, 70, 73n, 76, 87 e n, 128n</w:t>
      </w:r>
      <w:r>
        <w:rPr>
          <w:rFonts w:ascii="Times New Roman" w:hAnsi="Times New Roman" w:cs="Times New Roman"/>
        </w:rPr>
        <w:t>, 241n.</w:t>
      </w:r>
    </w:p>
    <w:p w14:paraId="3EDC8080" w14:textId="77777777" w:rsidR="00337C20" w:rsidRDefault="00337C20" w:rsidP="00337C20">
      <w:pPr>
        <w:jc w:val="both"/>
        <w:rPr>
          <w:rFonts w:ascii="Times New Roman" w:hAnsi="Times New Roman" w:cs="Times New Roman"/>
        </w:rPr>
      </w:pPr>
      <w:r w:rsidRPr="00AB1C99">
        <w:rPr>
          <w:rFonts w:ascii="Times New Roman" w:hAnsi="Times New Roman" w:cs="Times New Roman"/>
        </w:rPr>
        <w:t>d’Este, Ercole I, 3, 19, 20, 45, 61, 62, 63, 65, 75 e n, 95, 117, 119, 128, 155, 158 e n, 160, 161, 163, 164n, 165, 166, 196</w:t>
      </w:r>
      <w:r>
        <w:rPr>
          <w:rFonts w:ascii="Times New Roman" w:hAnsi="Times New Roman" w:cs="Times New Roman"/>
        </w:rPr>
        <w:t>, 213, 227, 229-230, 232, 242, 246n, 256n, 258, 261, 262, 281n, 306, 312, 313, 314, 317, 327.</w:t>
      </w:r>
    </w:p>
    <w:p w14:paraId="2C3A78FB" w14:textId="77777777" w:rsidR="00337C20" w:rsidRPr="00AB1C99" w:rsidRDefault="00337C20" w:rsidP="00337C20">
      <w:pPr>
        <w:jc w:val="both"/>
        <w:rPr>
          <w:rFonts w:ascii="Times New Roman" w:hAnsi="Times New Roman" w:cs="Times New Roman"/>
        </w:rPr>
      </w:pPr>
      <w:r>
        <w:rPr>
          <w:rFonts w:ascii="Times New Roman" w:hAnsi="Times New Roman" w:cs="Times New Roman"/>
        </w:rPr>
        <w:t>d’Este, Ferdinando, 254n.</w:t>
      </w:r>
    </w:p>
    <w:p w14:paraId="5A3FFDC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d’Este, Ippolito, 46</w:t>
      </w:r>
      <w:r>
        <w:rPr>
          <w:rFonts w:ascii="Times New Roman" w:hAnsi="Times New Roman" w:cs="Times New Roman"/>
        </w:rPr>
        <w:t>, 242, 254n.</w:t>
      </w:r>
    </w:p>
    <w:p w14:paraId="63F8089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d’Este, Isabella Gonzaga, 62, 115, 165n</w:t>
      </w:r>
      <w:r>
        <w:rPr>
          <w:rFonts w:ascii="Times New Roman" w:hAnsi="Times New Roman" w:cs="Times New Roman"/>
        </w:rPr>
        <w:t>, 204, 213, 233, 234, 246, 247, 255, 313, 318, 320, 325.</w:t>
      </w:r>
    </w:p>
    <w:p w14:paraId="3D6EA3B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d’Este, Leonello, 18-19 e n, 20, 42, 43, 73, 96, 137n, 144</w:t>
      </w:r>
      <w:r>
        <w:rPr>
          <w:rFonts w:ascii="Times New Roman" w:hAnsi="Times New Roman" w:cs="Times New Roman"/>
        </w:rPr>
        <w:t>.</w:t>
      </w:r>
      <w:r w:rsidRPr="00AB1C99">
        <w:rPr>
          <w:rFonts w:ascii="Times New Roman" w:hAnsi="Times New Roman" w:cs="Times New Roman"/>
        </w:rPr>
        <w:t xml:space="preserve"> </w:t>
      </w:r>
    </w:p>
    <w:p w14:paraId="588C281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d’Este, Lucrezia, 4, 6, 121, 149, 152-168, 186</w:t>
      </w:r>
      <w:r>
        <w:rPr>
          <w:rFonts w:ascii="Times New Roman" w:hAnsi="Times New Roman" w:cs="Times New Roman"/>
        </w:rPr>
        <w:t>, 225, 244, 270, 290.</w:t>
      </w:r>
    </w:p>
    <w:p w14:paraId="13EA7DBB" w14:textId="77777777" w:rsidR="00337C20" w:rsidRDefault="00337C20" w:rsidP="00337C20">
      <w:pPr>
        <w:jc w:val="both"/>
        <w:rPr>
          <w:rFonts w:ascii="Times New Roman" w:hAnsi="Times New Roman" w:cs="Times New Roman"/>
        </w:rPr>
      </w:pPr>
      <w:r w:rsidRPr="00AB1C99">
        <w:rPr>
          <w:rFonts w:ascii="Times New Roman" w:hAnsi="Times New Roman" w:cs="Times New Roman"/>
        </w:rPr>
        <w:t>d’Este</w:t>
      </w:r>
      <w:r>
        <w:rPr>
          <w:rFonts w:ascii="Times New Roman" w:hAnsi="Times New Roman" w:cs="Times New Roman"/>
        </w:rPr>
        <w:t>,</w:t>
      </w:r>
      <w:r w:rsidRPr="00AB1C99">
        <w:rPr>
          <w:rFonts w:ascii="Times New Roman" w:hAnsi="Times New Roman" w:cs="Times New Roman"/>
        </w:rPr>
        <w:t xml:space="preserve"> Meliaduse</w:t>
      </w:r>
      <w:r>
        <w:rPr>
          <w:rFonts w:ascii="Times New Roman" w:hAnsi="Times New Roman" w:cs="Times New Roman"/>
        </w:rPr>
        <w:t>, 43n.</w:t>
      </w:r>
    </w:p>
    <w:p w14:paraId="25E62914" w14:textId="77777777" w:rsidR="00337C20" w:rsidRPr="00AB1C99" w:rsidRDefault="00337C20" w:rsidP="00337C20">
      <w:pPr>
        <w:jc w:val="both"/>
        <w:rPr>
          <w:rFonts w:ascii="Times New Roman" w:hAnsi="Times New Roman" w:cs="Times New Roman"/>
        </w:rPr>
      </w:pPr>
      <w:r>
        <w:rPr>
          <w:rFonts w:ascii="Times New Roman" w:hAnsi="Times New Roman" w:cs="Times New Roman"/>
        </w:rPr>
        <w:t>d’Este, Niccolò II, 264.</w:t>
      </w:r>
    </w:p>
    <w:p w14:paraId="09C2BC4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d’Este, Niccolò III, 18, 45n, 68</w:t>
      </w:r>
      <w:r>
        <w:rPr>
          <w:rFonts w:ascii="Times New Roman" w:hAnsi="Times New Roman" w:cs="Times New Roman"/>
        </w:rPr>
        <w:t>, 219.</w:t>
      </w:r>
    </w:p>
    <w:p w14:paraId="0EBEE69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d’Este, Rinaldo II, 128n</w:t>
      </w:r>
      <w:r>
        <w:rPr>
          <w:rFonts w:ascii="Times New Roman" w:hAnsi="Times New Roman" w:cs="Times New Roman"/>
        </w:rPr>
        <w:t>.</w:t>
      </w:r>
      <w:r w:rsidRPr="00AB1C99">
        <w:rPr>
          <w:rFonts w:ascii="Times New Roman" w:hAnsi="Times New Roman" w:cs="Times New Roman"/>
        </w:rPr>
        <w:t xml:space="preserve">  </w:t>
      </w:r>
    </w:p>
    <w:p w14:paraId="4CA0D1B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d’Este, Sigismondo, 75</w:t>
      </w:r>
      <w:r>
        <w:rPr>
          <w:rFonts w:ascii="Times New Roman" w:hAnsi="Times New Roman" w:cs="Times New Roman"/>
        </w:rPr>
        <w:t>, 227, 232, 254n.</w:t>
      </w:r>
    </w:p>
    <w:p w14:paraId="50998543" w14:textId="77777777" w:rsidR="00337C20" w:rsidRDefault="00337C20" w:rsidP="00337C20">
      <w:pPr>
        <w:jc w:val="both"/>
        <w:rPr>
          <w:rFonts w:ascii="Times New Roman" w:hAnsi="Times New Roman" w:cs="Times New Roman"/>
        </w:rPr>
      </w:pPr>
      <w:r w:rsidRPr="00AB1C99">
        <w:rPr>
          <w:rFonts w:ascii="Times New Roman" w:hAnsi="Times New Roman" w:cs="Times New Roman"/>
        </w:rPr>
        <w:t>de Thomeis, Antonio, 30n</w:t>
      </w:r>
      <w:r>
        <w:rPr>
          <w:rFonts w:ascii="Times New Roman" w:hAnsi="Times New Roman" w:cs="Times New Roman"/>
        </w:rPr>
        <w:t>.</w:t>
      </w:r>
    </w:p>
    <w:p w14:paraId="2C9A2EE3" w14:textId="77777777" w:rsidR="00337C20" w:rsidRPr="00AB1C99" w:rsidRDefault="00337C20" w:rsidP="00337C20">
      <w:pPr>
        <w:jc w:val="both"/>
        <w:rPr>
          <w:rFonts w:ascii="Times New Roman" w:hAnsi="Times New Roman" w:cs="Times New Roman"/>
        </w:rPr>
      </w:pPr>
      <w:r>
        <w:rPr>
          <w:rFonts w:ascii="Times New Roman" w:hAnsi="Times New Roman" w:cs="Times New Roman"/>
        </w:rPr>
        <w:t>de Tummulillis, Angelo, 226, 230.</w:t>
      </w:r>
    </w:p>
    <w:p w14:paraId="3205823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de Villena, Enrique, 31, 81n</w:t>
      </w:r>
      <w:r>
        <w:rPr>
          <w:rFonts w:ascii="Times New Roman" w:hAnsi="Times New Roman" w:cs="Times New Roman"/>
        </w:rPr>
        <w:t>.</w:t>
      </w:r>
      <w:r w:rsidRPr="00AB1C99">
        <w:rPr>
          <w:rFonts w:ascii="Times New Roman" w:hAnsi="Times New Roman" w:cs="Times New Roman"/>
        </w:rPr>
        <w:t xml:space="preserve"> </w:t>
      </w:r>
    </w:p>
    <w:p w14:paraId="1862852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Baviera, Gaspare</w:t>
      </w:r>
      <w:r>
        <w:rPr>
          <w:rFonts w:ascii="Times New Roman" w:hAnsi="Times New Roman" w:cs="Times New Roman"/>
        </w:rPr>
        <w:t>, 275.</w:t>
      </w:r>
    </w:p>
    <w:p w14:paraId="169BE47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Betto, Valerio, 18</w:t>
      </w:r>
      <w:r>
        <w:rPr>
          <w:rFonts w:ascii="Times New Roman" w:hAnsi="Times New Roman" w:cs="Times New Roman"/>
        </w:rPr>
        <w:t>.</w:t>
      </w:r>
    </w:p>
    <w:p w14:paraId="7598904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Bretagna, Anna, 18n, 121</w:t>
      </w:r>
      <w:r>
        <w:rPr>
          <w:rFonts w:ascii="Times New Roman" w:hAnsi="Times New Roman" w:cs="Times New Roman"/>
        </w:rPr>
        <w:t>, 199n.</w:t>
      </w:r>
    </w:p>
    <w:p w14:paraId="78E3047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Calabria, Alfonso poi Alfonso II, re di Napoli, 33, 84, 85, 92, 101, 173, 189</w:t>
      </w:r>
      <w:r>
        <w:rPr>
          <w:rFonts w:ascii="Times New Roman" w:hAnsi="Times New Roman" w:cs="Times New Roman"/>
        </w:rPr>
        <w:t>, 204, 220, 231, 269, 283, 289, 293.</w:t>
      </w:r>
    </w:p>
    <w:p w14:paraId="382E8CE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Chiaromonte, Isabella, 33</w:t>
      </w:r>
      <w:r>
        <w:rPr>
          <w:rFonts w:ascii="Times New Roman" w:hAnsi="Times New Roman" w:cs="Times New Roman"/>
        </w:rPr>
        <w:t>, 221n, 226.</w:t>
      </w:r>
    </w:p>
    <w:p w14:paraId="6CE0BE7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Dino, Francesco, 112, 152</w:t>
      </w:r>
      <w:r>
        <w:rPr>
          <w:rFonts w:ascii="Times New Roman" w:hAnsi="Times New Roman" w:cs="Times New Roman"/>
        </w:rPr>
        <w:t>.</w:t>
      </w:r>
    </w:p>
    <w:p w14:paraId="04F752F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Giovanni, Apollonio</w:t>
      </w:r>
      <w:r>
        <w:rPr>
          <w:rFonts w:ascii="Times New Roman" w:hAnsi="Times New Roman" w:cs="Times New Roman"/>
        </w:rPr>
        <w:t>, 250, 266.</w:t>
      </w:r>
      <w:r w:rsidRPr="00AB1C99">
        <w:rPr>
          <w:rFonts w:ascii="Times New Roman" w:hAnsi="Times New Roman" w:cs="Times New Roman"/>
        </w:rPr>
        <w:t xml:space="preserve"> </w:t>
      </w:r>
    </w:p>
    <w:p w14:paraId="1F378EA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Giovanni, Gherardo, 102-103</w:t>
      </w:r>
      <w:r>
        <w:rPr>
          <w:rFonts w:ascii="Times New Roman" w:hAnsi="Times New Roman" w:cs="Times New Roman"/>
        </w:rPr>
        <w:t>.</w:t>
      </w:r>
    </w:p>
    <w:p w14:paraId="31684ED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Giovanni, Monte, 102-103</w:t>
      </w:r>
      <w:r>
        <w:rPr>
          <w:rFonts w:ascii="Times New Roman" w:hAnsi="Times New Roman" w:cs="Times New Roman"/>
        </w:rPr>
        <w:t>.</w:t>
      </w:r>
    </w:p>
    <w:p w14:paraId="09A68F5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Guido, Antonio</w:t>
      </w:r>
      <w:r>
        <w:rPr>
          <w:rFonts w:ascii="Times New Roman" w:hAnsi="Times New Roman" w:cs="Times New Roman"/>
        </w:rPr>
        <w:t>, 242 e n.</w:t>
      </w:r>
    </w:p>
    <w:p w14:paraId="55D4C2C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Jacopo, Emanuele</w:t>
      </w:r>
      <w:r>
        <w:rPr>
          <w:rFonts w:ascii="Times New Roman" w:hAnsi="Times New Roman" w:cs="Times New Roman"/>
        </w:rPr>
        <w:t>, 236.</w:t>
      </w:r>
      <w:r w:rsidRPr="00AB1C99">
        <w:rPr>
          <w:rFonts w:ascii="Times New Roman" w:hAnsi="Times New Roman" w:cs="Times New Roman"/>
        </w:rPr>
        <w:t xml:space="preserve"> </w:t>
      </w:r>
    </w:p>
    <w:p w14:paraId="5E4160E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Kiev, Isidoro, 28</w:t>
      </w:r>
      <w:r>
        <w:rPr>
          <w:rFonts w:ascii="Times New Roman" w:hAnsi="Times New Roman" w:cs="Times New Roman"/>
        </w:rPr>
        <w:t>.</w:t>
      </w:r>
    </w:p>
    <w:p w14:paraId="0D2E52A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Lardi, Piero, 18, 68</w:t>
      </w:r>
      <w:r>
        <w:rPr>
          <w:rFonts w:ascii="Times New Roman" w:hAnsi="Times New Roman" w:cs="Times New Roman"/>
        </w:rPr>
        <w:t>.</w:t>
      </w:r>
    </w:p>
    <w:p w14:paraId="4524E1D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Lusignano, Carlotta, 30</w:t>
      </w:r>
      <w:r>
        <w:rPr>
          <w:rFonts w:ascii="Times New Roman" w:hAnsi="Times New Roman" w:cs="Times New Roman"/>
        </w:rPr>
        <w:t>.</w:t>
      </w:r>
    </w:p>
    <w:p w14:paraId="32F9293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Lusignano, Giacomo II</w:t>
      </w:r>
      <w:r>
        <w:rPr>
          <w:rFonts w:ascii="Times New Roman" w:hAnsi="Times New Roman" w:cs="Times New Roman"/>
        </w:rPr>
        <w:t>, 204.</w:t>
      </w:r>
    </w:p>
    <w:p w14:paraId="1BAFAFC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Meglio, Antonio di Matteo</w:t>
      </w:r>
      <w:r>
        <w:rPr>
          <w:rFonts w:ascii="Times New Roman" w:hAnsi="Times New Roman" w:cs="Times New Roman"/>
        </w:rPr>
        <w:t xml:space="preserve">, 300. </w:t>
      </w:r>
      <w:r w:rsidRPr="00AB1C99">
        <w:rPr>
          <w:rFonts w:ascii="Times New Roman" w:hAnsi="Times New Roman" w:cs="Times New Roman"/>
        </w:rPr>
        <w:t xml:space="preserve"> </w:t>
      </w:r>
    </w:p>
    <w:p w14:paraId="3DF6212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Monserrat, Cosimo, 27, 28</w:t>
      </w:r>
      <w:r>
        <w:rPr>
          <w:rFonts w:ascii="Times New Roman" w:hAnsi="Times New Roman" w:cs="Times New Roman"/>
        </w:rPr>
        <w:t>.</w:t>
      </w:r>
      <w:r w:rsidRPr="00AB1C99">
        <w:rPr>
          <w:rFonts w:ascii="Times New Roman" w:hAnsi="Times New Roman" w:cs="Times New Roman"/>
        </w:rPr>
        <w:t xml:space="preserve"> </w:t>
      </w:r>
    </w:p>
    <w:p w14:paraId="2661DAA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Montaldo, Adamo, 12</w:t>
      </w:r>
      <w:r>
        <w:rPr>
          <w:rFonts w:ascii="Times New Roman" w:hAnsi="Times New Roman" w:cs="Times New Roman"/>
        </w:rPr>
        <w:t>1</w:t>
      </w:r>
      <w:r w:rsidRPr="00AB1C99">
        <w:rPr>
          <w:rFonts w:ascii="Times New Roman" w:hAnsi="Times New Roman" w:cs="Times New Roman"/>
        </w:rPr>
        <w:t xml:space="preserve"> e n.</w:t>
      </w:r>
    </w:p>
    <w:p w14:paraId="130E5FE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Nanni, Ricciardo, 99 e n</w:t>
      </w:r>
      <w:r>
        <w:rPr>
          <w:rFonts w:ascii="Times New Roman" w:hAnsi="Times New Roman" w:cs="Times New Roman"/>
        </w:rPr>
        <w:t>.</w:t>
      </w:r>
    </w:p>
    <w:p w14:paraId="2982314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Diodoro Siculo, 75</w:t>
      </w:r>
      <w:r>
        <w:rPr>
          <w:rFonts w:ascii="Times New Roman" w:hAnsi="Times New Roman" w:cs="Times New Roman"/>
        </w:rPr>
        <w:t>.</w:t>
      </w:r>
    </w:p>
    <w:p w14:paraId="02AA580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Dionigi Areopagita, 71</w:t>
      </w:r>
      <w:r>
        <w:rPr>
          <w:rFonts w:ascii="Times New Roman" w:hAnsi="Times New Roman" w:cs="Times New Roman"/>
        </w:rPr>
        <w:t>.</w:t>
      </w:r>
    </w:p>
    <w:p w14:paraId="5BFEC99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Paris, Domenico</w:t>
      </w:r>
      <w:r>
        <w:rPr>
          <w:rFonts w:ascii="Times New Roman" w:hAnsi="Times New Roman" w:cs="Times New Roman"/>
        </w:rPr>
        <w:t>, 306, 307.</w:t>
      </w:r>
    </w:p>
    <w:p w14:paraId="5888C50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Rudesheim, Rodolfo</w:t>
      </w:r>
      <w:r>
        <w:rPr>
          <w:rFonts w:ascii="Times New Roman" w:hAnsi="Times New Roman" w:cs="Times New Roman"/>
        </w:rPr>
        <w:t>, 231.</w:t>
      </w:r>
      <w:r w:rsidRPr="00AB1C99">
        <w:rPr>
          <w:rFonts w:ascii="Times New Roman" w:hAnsi="Times New Roman" w:cs="Times New Roman"/>
        </w:rPr>
        <w:t xml:space="preserve"> </w:t>
      </w:r>
    </w:p>
    <w:p w14:paraId="11FAA0B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Savoia, Agnese</w:t>
      </w:r>
      <w:r>
        <w:rPr>
          <w:rFonts w:ascii="Times New Roman" w:hAnsi="Times New Roman" w:cs="Times New Roman"/>
        </w:rPr>
        <w:t>, 236.</w:t>
      </w:r>
      <w:r w:rsidRPr="00AB1C99">
        <w:rPr>
          <w:rFonts w:ascii="Times New Roman" w:hAnsi="Times New Roman" w:cs="Times New Roman"/>
        </w:rPr>
        <w:t xml:space="preserve"> </w:t>
      </w:r>
    </w:p>
    <w:p w14:paraId="56F44EC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Savoia, Bianca, 14, 176n</w:t>
      </w:r>
      <w:r>
        <w:rPr>
          <w:rFonts w:ascii="Times New Roman" w:hAnsi="Times New Roman" w:cs="Times New Roman"/>
        </w:rPr>
        <w:t>.</w:t>
      </w:r>
      <w:r w:rsidRPr="00AB1C99">
        <w:rPr>
          <w:rFonts w:ascii="Times New Roman" w:hAnsi="Times New Roman" w:cs="Times New Roman"/>
        </w:rPr>
        <w:t xml:space="preserve"> </w:t>
      </w:r>
    </w:p>
    <w:p w14:paraId="757F9211" w14:textId="77777777" w:rsidR="00337C20" w:rsidRDefault="00337C20" w:rsidP="00337C20">
      <w:pPr>
        <w:jc w:val="both"/>
        <w:rPr>
          <w:rFonts w:ascii="Times New Roman" w:hAnsi="Times New Roman" w:cs="Times New Roman"/>
        </w:rPr>
      </w:pPr>
      <w:r w:rsidRPr="00AB1C99">
        <w:rPr>
          <w:rFonts w:ascii="Times New Roman" w:hAnsi="Times New Roman" w:cs="Times New Roman"/>
        </w:rPr>
        <w:t>di Savoia, Bona, 16, 18, 92 e n, 167, 169n, 173, 180, 191n</w:t>
      </w:r>
      <w:r>
        <w:rPr>
          <w:rFonts w:ascii="Times New Roman" w:hAnsi="Times New Roman" w:cs="Times New Roman"/>
        </w:rPr>
        <w:t>, 210n, 227, 253, 254, 262, 277, 289.</w:t>
      </w:r>
    </w:p>
    <w:p w14:paraId="3A138B97" w14:textId="77777777" w:rsidR="00337C20" w:rsidRPr="00AB1C99" w:rsidRDefault="00337C20" w:rsidP="00337C20">
      <w:pPr>
        <w:jc w:val="both"/>
        <w:rPr>
          <w:rFonts w:ascii="Times New Roman" w:hAnsi="Times New Roman" w:cs="Times New Roman"/>
        </w:rPr>
      </w:pPr>
      <w:r>
        <w:rPr>
          <w:rFonts w:ascii="Times New Roman" w:hAnsi="Times New Roman" w:cs="Times New Roman"/>
        </w:rPr>
        <w:t>di Savoia, Carlotta, 92, 236.</w:t>
      </w:r>
    </w:p>
    <w:p w14:paraId="1ADEEB9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Trebisonda, Giorgio detto Trapezunzio, 27</w:t>
      </w:r>
      <w:r>
        <w:rPr>
          <w:rFonts w:ascii="Times New Roman" w:hAnsi="Times New Roman" w:cs="Times New Roman"/>
        </w:rPr>
        <w:t>.</w:t>
      </w:r>
    </w:p>
    <w:p w14:paraId="75018BA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Valois, Isabella, 15, 177n</w:t>
      </w:r>
      <w:r>
        <w:rPr>
          <w:rFonts w:ascii="Times New Roman" w:hAnsi="Times New Roman" w:cs="Times New Roman"/>
        </w:rPr>
        <w:t>.</w:t>
      </w:r>
      <w:r w:rsidRPr="00AB1C99">
        <w:rPr>
          <w:rFonts w:ascii="Times New Roman" w:hAnsi="Times New Roman" w:cs="Times New Roman"/>
        </w:rPr>
        <w:t xml:space="preserve"> </w:t>
      </w:r>
    </w:p>
    <w:p w14:paraId="5757403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di Zanobi, Domenico</w:t>
      </w:r>
      <w:r>
        <w:rPr>
          <w:rFonts w:ascii="Times New Roman" w:hAnsi="Times New Roman" w:cs="Times New Roman"/>
        </w:rPr>
        <w:t>, 250.</w:t>
      </w:r>
    </w:p>
    <w:p w14:paraId="4946460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Dolcino, Stefano, 6, 123, 127, 153, 169-171, 174-198</w:t>
      </w:r>
      <w:r>
        <w:rPr>
          <w:rFonts w:ascii="Times New Roman" w:hAnsi="Times New Roman" w:cs="Times New Roman"/>
        </w:rPr>
        <w:t>, 211, 246, 252, 260, 328.</w:t>
      </w:r>
    </w:p>
    <w:p w14:paraId="27F97D8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Donatello, 83n.</w:t>
      </w:r>
    </w:p>
    <w:p w14:paraId="29511E4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Donati, Clemente, 61</w:t>
      </w:r>
      <w:r>
        <w:rPr>
          <w:rFonts w:ascii="Times New Roman" w:hAnsi="Times New Roman" w:cs="Times New Roman"/>
        </w:rPr>
        <w:t>.</w:t>
      </w:r>
      <w:r w:rsidRPr="00AB1C99">
        <w:rPr>
          <w:rFonts w:ascii="Times New Roman" w:hAnsi="Times New Roman" w:cs="Times New Roman"/>
        </w:rPr>
        <w:t xml:space="preserve"> </w:t>
      </w:r>
    </w:p>
    <w:p w14:paraId="28033DC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Dondi, Giovanni, 119</w:t>
      </w:r>
      <w:r>
        <w:rPr>
          <w:rFonts w:ascii="Times New Roman" w:hAnsi="Times New Roman" w:cs="Times New Roman"/>
        </w:rPr>
        <w:t>.</w:t>
      </w:r>
      <w:r w:rsidRPr="00AB1C99">
        <w:rPr>
          <w:rFonts w:ascii="Times New Roman" w:hAnsi="Times New Roman" w:cs="Times New Roman"/>
        </w:rPr>
        <w:t xml:space="preserve"> </w:t>
      </w:r>
    </w:p>
    <w:p w14:paraId="1F6670D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Doxa, Manuel</w:t>
      </w:r>
      <w:r>
        <w:rPr>
          <w:rFonts w:ascii="Times New Roman" w:hAnsi="Times New Roman" w:cs="Times New Roman"/>
        </w:rPr>
        <w:t>, 206.</w:t>
      </w:r>
      <w:r w:rsidRPr="00AB1C99">
        <w:rPr>
          <w:rFonts w:ascii="Times New Roman" w:hAnsi="Times New Roman" w:cs="Times New Roman"/>
        </w:rPr>
        <w:t xml:space="preserve"> </w:t>
      </w:r>
    </w:p>
    <w:p w14:paraId="38037E4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Duns Scoto, Giovanni, 71</w:t>
      </w:r>
      <w:r>
        <w:rPr>
          <w:rFonts w:ascii="Times New Roman" w:hAnsi="Times New Roman" w:cs="Times New Roman"/>
        </w:rPr>
        <w:t>.</w:t>
      </w:r>
    </w:p>
    <w:p w14:paraId="7910875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Edoardo IV, re d’Inghilterra</w:t>
      </w:r>
      <w:r>
        <w:rPr>
          <w:rFonts w:ascii="Times New Roman" w:hAnsi="Times New Roman" w:cs="Times New Roman"/>
        </w:rPr>
        <w:t>, 221.</w:t>
      </w:r>
    </w:p>
    <w:p w14:paraId="0A25FA9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Egesippo, 71</w:t>
      </w:r>
      <w:r>
        <w:rPr>
          <w:rFonts w:ascii="Times New Roman" w:hAnsi="Times New Roman" w:cs="Times New Roman"/>
        </w:rPr>
        <w:t>.</w:t>
      </w:r>
    </w:p>
    <w:p w14:paraId="6E0C2E6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Eleonora del Portogallo</w:t>
      </w:r>
      <w:r>
        <w:rPr>
          <w:rFonts w:ascii="Times New Roman" w:hAnsi="Times New Roman" w:cs="Times New Roman"/>
        </w:rPr>
        <w:t>, 68n.</w:t>
      </w:r>
    </w:p>
    <w:p w14:paraId="645C14C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Elio Donato, 72</w:t>
      </w:r>
      <w:r>
        <w:rPr>
          <w:rFonts w:ascii="Times New Roman" w:hAnsi="Times New Roman" w:cs="Times New Roman"/>
        </w:rPr>
        <w:t>, 309 e n.</w:t>
      </w:r>
    </w:p>
    <w:p w14:paraId="3B970D7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Emanuele I, re di Portogallo, 104-105</w:t>
      </w:r>
      <w:r>
        <w:rPr>
          <w:rFonts w:ascii="Times New Roman" w:hAnsi="Times New Roman" w:cs="Times New Roman"/>
        </w:rPr>
        <w:t>.</w:t>
      </w:r>
    </w:p>
    <w:p w14:paraId="2CEC2D8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Ennio, 12</w:t>
      </w:r>
      <w:r>
        <w:rPr>
          <w:rFonts w:ascii="Times New Roman" w:hAnsi="Times New Roman" w:cs="Times New Roman"/>
        </w:rPr>
        <w:t>.</w:t>
      </w:r>
    </w:p>
    <w:p w14:paraId="7B9C513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Enrico VIII, re d’Inghilterra, 37</w:t>
      </w:r>
      <w:r>
        <w:rPr>
          <w:rFonts w:ascii="Times New Roman" w:hAnsi="Times New Roman" w:cs="Times New Roman"/>
        </w:rPr>
        <w:t>.</w:t>
      </w:r>
    </w:p>
    <w:p w14:paraId="36E4806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Ercoli, Benedetto, 153</w:t>
      </w:r>
      <w:r>
        <w:rPr>
          <w:rFonts w:ascii="Times New Roman" w:hAnsi="Times New Roman" w:cs="Times New Roman"/>
        </w:rPr>
        <w:t>.</w:t>
      </w:r>
    </w:p>
    <w:p w14:paraId="771EA59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Erodiano, 108</w:t>
      </w:r>
      <w:r>
        <w:rPr>
          <w:rFonts w:ascii="Times New Roman" w:hAnsi="Times New Roman" w:cs="Times New Roman"/>
        </w:rPr>
        <w:t>.</w:t>
      </w:r>
    </w:p>
    <w:p w14:paraId="6DC3783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Erodoto, 76</w:t>
      </w:r>
      <w:r>
        <w:rPr>
          <w:rFonts w:ascii="Times New Roman" w:hAnsi="Times New Roman" w:cs="Times New Roman"/>
        </w:rPr>
        <w:t>.</w:t>
      </w:r>
    </w:p>
    <w:p w14:paraId="7EE767E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Esopo, 53</w:t>
      </w:r>
      <w:r>
        <w:rPr>
          <w:rFonts w:ascii="Times New Roman" w:hAnsi="Times New Roman" w:cs="Times New Roman"/>
        </w:rPr>
        <w:t>.</w:t>
      </w:r>
    </w:p>
    <w:p w14:paraId="0E89593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Eugenio IV (papa, Gabriele Condulmer), 22, 27 e n, 55, 70, 99</w:t>
      </w:r>
      <w:r>
        <w:rPr>
          <w:rFonts w:ascii="Times New Roman" w:hAnsi="Times New Roman" w:cs="Times New Roman"/>
        </w:rPr>
        <w:t>, 300.</w:t>
      </w:r>
    </w:p>
    <w:p w14:paraId="462F6BA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Eusebio di Cesarea, 64, 71</w:t>
      </w:r>
      <w:r>
        <w:rPr>
          <w:rFonts w:ascii="Times New Roman" w:hAnsi="Times New Roman" w:cs="Times New Roman"/>
        </w:rPr>
        <w:t>.</w:t>
      </w:r>
    </w:p>
    <w:p w14:paraId="244241C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Eustazio, 72</w:t>
      </w:r>
      <w:r>
        <w:rPr>
          <w:rFonts w:ascii="Times New Roman" w:hAnsi="Times New Roman" w:cs="Times New Roman"/>
        </w:rPr>
        <w:t>.</w:t>
      </w:r>
    </w:p>
    <w:p w14:paraId="1CE36F0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Facio, Bartolomeo, 32, 50, 68n, 75, 77</w:t>
      </w:r>
      <w:r>
        <w:rPr>
          <w:rFonts w:ascii="Times New Roman" w:hAnsi="Times New Roman" w:cs="Times New Roman"/>
        </w:rPr>
        <w:t>.</w:t>
      </w:r>
    </w:p>
    <w:p w14:paraId="5C2633C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Falconi, Giovanni, 43 e n</w:t>
      </w:r>
      <w:r>
        <w:rPr>
          <w:rFonts w:ascii="Times New Roman" w:hAnsi="Times New Roman" w:cs="Times New Roman"/>
        </w:rPr>
        <w:t>.</w:t>
      </w:r>
    </w:p>
    <w:p w14:paraId="409E59C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Fancelli, Luca, 184</w:t>
      </w:r>
      <w:r>
        <w:rPr>
          <w:rFonts w:ascii="Times New Roman" w:hAnsi="Times New Roman" w:cs="Times New Roman"/>
        </w:rPr>
        <w:t>, 305.</w:t>
      </w:r>
    </w:p>
    <w:p w14:paraId="15E5F48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Faraone, Gabriele, 12</w:t>
      </w:r>
      <w:r>
        <w:rPr>
          <w:rFonts w:ascii="Times New Roman" w:hAnsi="Times New Roman" w:cs="Times New Roman"/>
        </w:rPr>
        <w:t>.</w:t>
      </w:r>
    </w:p>
    <w:p w14:paraId="31E236A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Fecini, Tommaso, 95</w:t>
      </w:r>
      <w:r>
        <w:rPr>
          <w:rFonts w:ascii="Times New Roman" w:hAnsi="Times New Roman" w:cs="Times New Roman"/>
        </w:rPr>
        <w:t>, 224.</w:t>
      </w:r>
      <w:r w:rsidRPr="00AB1C99">
        <w:rPr>
          <w:rFonts w:ascii="Times New Roman" w:hAnsi="Times New Roman" w:cs="Times New Roman"/>
        </w:rPr>
        <w:t xml:space="preserve"> </w:t>
      </w:r>
    </w:p>
    <w:p w14:paraId="4E57A88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Federico III, imperatore, 45n, 68 e n, </w:t>
      </w:r>
      <w:r>
        <w:rPr>
          <w:rFonts w:ascii="Times New Roman" w:hAnsi="Times New Roman" w:cs="Times New Roman"/>
        </w:rPr>
        <w:t>205, 258n, 290.</w:t>
      </w:r>
    </w:p>
    <w:p w14:paraId="13E9AA5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Felice, Matteo, 52</w:t>
      </w:r>
      <w:r>
        <w:rPr>
          <w:rFonts w:ascii="Times New Roman" w:hAnsi="Times New Roman" w:cs="Times New Roman"/>
        </w:rPr>
        <w:t>.</w:t>
      </w:r>
    </w:p>
    <w:p w14:paraId="0638E79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Feliciano, Felice, 102n, 182n</w:t>
      </w:r>
      <w:r>
        <w:rPr>
          <w:rFonts w:ascii="Times New Roman" w:hAnsi="Times New Roman" w:cs="Times New Roman"/>
        </w:rPr>
        <w:t>.</w:t>
      </w:r>
    </w:p>
    <w:p w14:paraId="501A05E4" w14:textId="77777777" w:rsidR="00337C20" w:rsidRDefault="00337C20" w:rsidP="00337C20">
      <w:pPr>
        <w:jc w:val="both"/>
        <w:rPr>
          <w:rFonts w:ascii="Times New Roman" w:hAnsi="Times New Roman" w:cs="Times New Roman"/>
        </w:rPr>
      </w:pPr>
      <w:r w:rsidRPr="00AB1C99">
        <w:rPr>
          <w:rFonts w:ascii="Times New Roman" w:hAnsi="Times New Roman" w:cs="Times New Roman"/>
        </w:rPr>
        <w:t>Fernando de Antequera, 80 e n</w:t>
      </w:r>
      <w:r>
        <w:rPr>
          <w:rFonts w:ascii="Times New Roman" w:hAnsi="Times New Roman" w:cs="Times New Roman"/>
        </w:rPr>
        <w:t>.</w:t>
      </w:r>
    </w:p>
    <w:p w14:paraId="1160DAD7" w14:textId="77777777" w:rsidR="00337C20" w:rsidRPr="00AB1C99" w:rsidRDefault="00337C20" w:rsidP="00337C20">
      <w:pPr>
        <w:jc w:val="both"/>
        <w:rPr>
          <w:rFonts w:ascii="Times New Roman" w:hAnsi="Times New Roman" w:cs="Times New Roman"/>
        </w:rPr>
      </w:pPr>
      <w:r>
        <w:rPr>
          <w:rFonts w:ascii="Times New Roman" w:hAnsi="Times New Roman" w:cs="Times New Roman"/>
        </w:rPr>
        <w:t>Ferrarini, Giovanni Maria, 315n.</w:t>
      </w:r>
    </w:p>
    <w:p w14:paraId="4BB829D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Ferrario, Giulio Emilio, 170</w:t>
      </w:r>
      <w:r>
        <w:rPr>
          <w:rFonts w:ascii="Times New Roman" w:hAnsi="Times New Roman" w:cs="Times New Roman"/>
        </w:rPr>
        <w:t>.</w:t>
      </w:r>
      <w:r w:rsidRPr="00AB1C99">
        <w:rPr>
          <w:rFonts w:ascii="Times New Roman" w:hAnsi="Times New Roman" w:cs="Times New Roman"/>
        </w:rPr>
        <w:t xml:space="preserve"> </w:t>
      </w:r>
    </w:p>
    <w:p w14:paraId="732B199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Ferrer, Vincenzo san, 80 e n</w:t>
      </w:r>
      <w:r>
        <w:rPr>
          <w:rFonts w:ascii="Times New Roman" w:hAnsi="Times New Roman" w:cs="Times New Roman"/>
        </w:rPr>
        <w:t>.</w:t>
      </w:r>
      <w:r w:rsidRPr="00AB1C99">
        <w:rPr>
          <w:rFonts w:ascii="Times New Roman" w:hAnsi="Times New Roman" w:cs="Times New Roman"/>
        </w:rPr>
        <w:t xml:space="preserve"> </w:t>
      </w:r>
    </w:p>
    <w:p w14:paraId="57819DE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Ferrini, Benedetto, 188n</w:t>
      </w:r>
      <w:r>
        <w:rPr>
          <w:rFonts w:ascii="Times New Roman" w:hAnsi="Times New Roman" w:cs="Times New Roman"/>
        </w:rPr>
        <w:t>.</w:t>
      </w:r>
      <w:r w:rsidRPr="00AB1C99">
        <w:rPr>
          <w:rFonts w:ascii="Times New Roman" w:hAnsi="Times New Roman" w:cs="Times New Roman"/>
        </w:rPr>
        <w:t xml:space="preserve"> </w:t>
      </w:r>
    </w:p>
    <w:p w14:paraId="229498D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Festo Pompeo, 193n</w:t>
      </w:r>
      <w:r>
        <w:rPr>
          <w:rFonts w:ascii="Times New Roman" w:hAnsi="Times New Roman" w:cs="Times New Roman"/>
        </w:rPr>
        <w:t>.</w:t>
      </w:r>
    </w:p>
    <w:p w14:paraId="39B840B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Ficino, Marsilio, 25, 106n, 109, 145</w:t>
      </w:r>
      <w:r>
        <w:rPr>
          <w:rFonts w:ascii="Times New Roman" w:hAnsi="Times New Roman" w:cs="Times New Roman"/>
        </w:rPr>
        <w:t>.</w:t>
      </w:r>
    </w:p>
    <w:p w14:paraId="6C980A7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Fiera, Giovan Battista</w:t>
      </w:r>
      <w:r>
        <w:rPr>
          <w:rFonts w:ascii="Times New Roman" w:hAnsi="Times New Roman" w:cs="Times New Roman"/>
        </w:rPr>
        <w:t>, 270</w:t>
      </w:r>
      <w:r w:rsidRPr="00AB1C99">
        <w:rPr>
          <w:rFonts w:ascii="Times New Roman" w:hAnsi="Times New Roman" w:cs="Times New Roman"/>
        </w:rPr>
        <w:t xml:space="preserve"> </w:t>
      </w:r>
      <w:r>
        <w:rPr>
          <w:rFonts w:ascii="Times New Roman" w:hAnsi="Times New Roman" w:cs="Times New Roman"/>
        </w:rPr>
        <w:t>e n.</w:t>
      </w:r>
    </w:p>
    <w:p w14:paraId="1FD7655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Filarete, Francesco, 180</w:t>
      </w:r>
      <w:r>
        <w:rPr>
          <w:rFonts w:ascii="Times New Roman" w:hAnsi="Times New Roman" w:cs="Times New Roman"/>
        </w:rPr>
        <w:t>, 222.</w:t>
      </w:r>
      <w:r w:rsidRPr="00AB1C99">
        <w:rPr>
          <w:rFonts w:ascii="Times New Roman" w:hAnsi="Times New Roman" w:cs="Times New Roman"/>
        </w:rPr>
        <w:t xml:space="preserve"> </w:t>
      </w:r>
    </w:p>
    <w:p w14:paraId="2557348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Filelfo, Francesco, 25, 28, 51, 76 e n, 169</w:t>
      </w:r>
      <w:r>
        <w:rPr>
          <w:rFonts w:ascii="Times New Roman" w:hAnsi="Times New Roman" w:cs="Times New Roman"/>
        </w:rPr>
        <w:t>.</w:t>
      </w:r>
    </w:p>
    <w:p w14:paraId="1D8750A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Filelfo, Giovan Mario, 14</w:t>
      </w:r>
      <w:r>
        <w:rPr>
          <w:rFonts w:ascii="Times New Roman" w:hAnsi="Times New Roman" w:cs="Times New Roman"/>
        </w:rPr>
        <w:t>, 242n.</w:t>
      </w:r>
    </w:p>
    <w:p w14:paraId="6B2CD05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Filelfo, Marietta, 14</w:t>
      </w:r>
      <w:r>
        <w:rPr>
          <w:rFonts w:ascii="Times New Roman" w:hAnsi="Times New Roman" w:cs="Times New Roman"/>
        </w:rPr>
        <w:t>.</w:t>
      </w:r>
      <w:r w:rsidRPr="00AB1C99">
        <w:rPr>
          <w:rFonts w:ascii="Times New Roman" w:hAnsi="Times New Roman" w:cs="Times New Roman"/>
        </w:rPr>
        <w:t xml:space="preserve"> </w:t>
      </w:r>
    </w:p>
    <w:p w14:paraId="31412E4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Filelfo, Pietro Giustino</w:t>
      </w:r>
      <w:r>
        <w:rPr>
          <w:rFonts w:ascii="Times New Roman" w:hAnsi="Times New Roman" w:cs="Times New Roman"/>
        </w:rPr>
        <w:t>, 202.</w:t>
      </w:r>
      <w:r w:rsidRPr="00AB1C99">
        <w:rPr>
          <w:rFonts w:ascii="Times New Roman" w:hAnsi="Times New Roman" w:cs="Times New Roman"/>
        </w:rPr>
        <w:t xml:space="preserve"> </w:t>
      </w:r>
    </w:p>
    <w:p w14:paraId="2C99857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Filipecz, Giovanni</w:t>
      </w:r>
      <w:r>
        <w:rPr>
          <w:rFonts w:ascii="Times New Roman" w:hAnsi="Times New Roman" w:cs="Times New Roman"/>
        </w:rPr>
        <w:t>, 231.</w:t>
      </w:r>
      <w:r w:rsidRPr="00AB1C99">
        <w:rPr>
          <w:rFonts w:ascii="Times New Roman" w:hAnsi="Times New Roman" w:cs="Times New Roman"/>
        </w:rPr>
        <w:t xml:space="preserve"> </w:t>
      </w:r>
    </w:p>
    <w:p w14:paraId="18A1924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Filippo il Buono, duca di Borgogna, 15, 87-88, 165</w:t>
      </w:r>
      <w:r>
        <w:rPr>
          <w:rFonts w:ascii="Times New Roman" w:hAnsi="Times New Roman" w:cs="Times New Roman"/>
        </w:rPr>
        <w:t>, 221, 264, 268.</w:t>
      </w:r>
    </w:p>
    <w:p w14:paraId="097661AD" w14:textId="77777777" w:rsidR="00337C20" w:rsidRDefault="00337C20" w:rsidP="00337C20">
      <w:pPr>
        <w:jc w:val="both"/>
        <w:rPr>
          <w:rFonts w:ascii="Times New Roman" w:hAnsi="Times New Roman" w:cs="Times New Roman"/>
        </w:rPr>
      </w:pPr>
      <w:r w:rsidRPr="00AB1C99">
        <w:rPr>
          <w:rFonts w:ascii="Times New Roman" w:hAnsi="Times New Roman" w:cs="Times New Roman"/>
        </w:rPr>
        <w:t>Flamma, Galvano, 184n</w:t>
      </w:r>
      <w:r>
        <w:rPr>
          <w:rFonts w:ascii="Times New Roman" w:hAnsi="Times New Roman" w:cs="Times New Roman"/>
        </w:rPr>
        <w:t>, 205n.</w:t>
      </w:r>
    </w:p>
    <w:p w14:paraId="1D8DEB30" w14:textId="77777777" w:rsidR="00337C20" w:rsidRPr="00AB1C99" w:rsidRDefault="00337C20" w:rsidP="00337C20">
      <w:pPr>
        <w:jc w:val="both"/>
        <w:rPr>
          <w:rFonts w:ascii="Times New Roman" w:hAnsi="Times New Roman" w:cs="Times New Roman"/>
        </w:rPr>
      </w:pPr>
      <w:r>
        <w:rPr>
          <w:rFonts w:ascii="Times New Roman" w:hAnsi="Times New Roman" w:cs="Times New Roman"/>
        </w:rPr>
        <w:t>Fontana, Francesco, 201.</w:t>
      </w:r>
    </w:p>
    <w:p w14:paraId="688452E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Fontana, Scipione</w:t>
      </w:r>
      <w:r>
        <w:rPr>
          <w:rFonts w:ascii="Times New Roman" w:hAnsi="Times New Roman" w:cs="Times New Roman"/>
        </w:rPr>
        <w:t>, 19,</w:t>
      </w:r>
    </w:p>
    <w:p w14:paraId="376D1FD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Fontanesi, Pasquino, 19, 152</w:t>
      </w:r>
      <w:r>
        <w:rPr>
          <w:rFonts w:ascii="Times New Roman" w:hAnsi="Times New Roman" w:cs="Times New Roman"/>
        </w:rPr>
        <w:t>.</w:t>
      </w:r>
      <w:r w:rsidRPr="00AB1C99">
        <w:rPr>
          <w:rFonts w:ascii="Times New Roman" w:hAnsi="Times New Roman" w:cs="Times New Roman"/>
        </w:rPr>
        <w:t xml:space="preserve">  </w:t>
      </w:r>
    </w:p>
    <w:p w14:paraId="706A5BB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Fonzio, Bartolomeo, 105, 106-107</w:t>
      </w:r>
      <w:r>
        <w:rPr>
          <w:rFonts w:ascii="Times New Roman" w:hAnsi="Times New Roman" w:cs="Times New Roman"/>
        </w:rPr>
        <w:t>.</w:t>
      </w:r>
    </w:p>
    <w:p w14:paraId="3B4E07B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Foppa, Vincenzo, 46 e n, 47</w:t>
      </w:r>
      <w:r>
        <w:rPr>
          <w:rFonts w:ascii="Times New Roman" w:hAnsi="Times New Roman" w:cs="Times New Roman"/>
        </w:rPr>
        <w:t>.</w:t>
      </w:r>
    </w:p>
    <w:p w14:paraId="3B8B288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Foresti, Giacomo Filippo, 131</w:t>
      </w:r>
      <w:r>
        <w:rPr>
          <w:rFonts w:ascii="Times New Roman" w:hAnsi="Times New Roman" w:cs="Times New Roman"/>
        </w:rPr>
        <w:t>.</w:t>
      </w:r>
    </w:p>
    <w:p w14:paraId="649EF1E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Foschi, Domenico, 156, 157 e n</w:t>
      </w:r>
      <w:r>
        <w:rPr>
          <w:rFonts w:ascii="Times New Roman" w:hAnsi="Times New Roman" w:cs="Times New Roman"/>
        </w:rPr>
        <w:t>.</w:t>
      </w:r>
    </w:p>
    <w:p w14:paraId="40B3E8F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Frangipane, Giovanni, 148</w:t>
      </w:r>
      <w:r>
        <w:rPr>
          <w:rFonts w:ascii="Times New Roman" w:hAnsi="Times New Roman" w:cs="Times New Roman"/>
        </w:rPr>
        <w:t>.</w:t>
      </w:r>
    </w:p>
    <w:p w14:paraId="50FE0E3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Fregoso, Tommaso, 17n</w:t>
      </w:r>
      <w:r>
        <w:rPr>
          <w:rFonts w:ascii="Times New Roman" w:hAnsi="Times New Roman" w:cs="Times New Roman"/>
        </w:rPr>
        <w:t>.</w:t>
      </w:r>
    </w:p>
    <w:p w14:paraId="3D74722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Fulgenzio, 71</w:t>
      </w:r>
      <w:r>
        <w:rPr>
          <w:rFonts w:ascii="Times New Roman" w:hAnsi="Times New Roman" w:cs="Times New Roman"/>
        </w:rPr>
        <w:t>.</w:t>
      </w:r>
    </w:p>
    <w:p w14:paraId="374C2D0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Fulvio, Andrea detto Sabino</w:t>
      </w:r>
      <w:r>
        <w:rPr>
          <w:rFonts w:ascii="Times New Roman" w:hAnsi="Times New Roman" w:cs="Times New Roman"/>
        </w:rPr>
        <w:t>, 311, 312n.</w:t>
      </w:r>
    </w:p>
    <w:p w14:paraId="0067CD0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Galbiato, Giorgio, 61</w:t>
      </w:r>
      <w:r>
        <w:rPr>
          <w:rFonts w:ascii="Times New Roman" w:hAnsi="Times New Roman" w:cs="Times New Roman"/>
        </w:rPr>
        <w:t>.</w:t>
      </w:r>
      <w:r w:rsidRPr="00AB1C99">
        <w:rPr>
          <w:rFonts w:ascii="Times New Roman" w:hAnsi="Times New Roman" w:cs="Times New Roman"/>
        </w:rPr>
        <w:t xml:space="preserve"> </w:t>
      </w:r>
    </w:p>
    <w:p w14:paraId="2931E9A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Galli, Federico, 67</w:t>
      </w:r>
      <w:r>
        <w:rPr>
          <w:rFonts w:ascii="Times New Roman" w:hAnsi="Times New Roman" w:cs="Times New Roman"/>
        </w:rPr>
        <w:t>.</w:t>
      </w:r>
    </w:p>
    <w:p w14:paraId="7ADC75A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Gambiglioni, Ambrogio, 63</w:t>
      </w:r>
      <w:r>
        <w:rPr>
          <w:rFonts w:ascii="Times New Roman" w:hAnsi="Times New Roman" w:cs="Times New Roman"/>
        </w:rPr>
        <w:t>.</w:t>
      </w:r>
    </w:p>
    <w:p w14:paraId="769B017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Gamboa, Pietro</w:t>
      </w:r>
      <w:r>
        <w:rPr>
          <w:rFonts w:ascii="Times New Roman" w:hAnsi="Times New Roman" w:cs="Times New Roman"/>
        </w:rPr>
        <w:t>, 263.</w:t>
      </w:r>
      <w:r w:rsidRPr="00AB1C99">
        <w:rPr>
          <w:rFonts w:ascii="Times New Roman" w:hAnsi="Times New Roman" w:cs="Times New Roman"/>
        </w:rPr>
        <w:t xml:space="preserve"> </w:t>
      </w:r>
    </w:p>
    <w:p w14:paraId="339495F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Garatone, Cristoforo, 27</w:t>
      </w:r>
      <w:r>
        <w:rPr>
          <w:rFonts w:ascii="Times New Roman" w:hAnsi="Times New Roman" w:cs="Times New Roman"/>
        </w:rPr>
        <w:t>.</w:t>
      </w:r>
      <w:r w:rsidRPr="00AB1C99">
        <w:rPr>
          <w:rFonts w:ascii="Times New Roman" w:hAnsi="Times New Roman" w:cs="Times New Roman"/>
        </w:rPr>
        <w:t xml:space="preserve"> </w:t>
      </w:r>
    </w:p>
    <w:p w14:paraId="6648F25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Gaza, Teodoro, 27</w:t>
      </w:r>
      <w:r>
        <w:rPr>
          <w:rFonts w:ascii="Times New Roman" w:hAnsi="Times New Roman" w:cs="Times New Roman"/>
        </w:rPr>
        <w:t>.</w:t>
      </w:r>
    </w:p>
    <w:p w14:paraId="178547B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Gheraldi, Giacomo, 180n</w:t>
      </w:r>
      <w:r>
        <w:rPr>
          <w:rFonts w:ascii="Times New Roman" w:hAnsi="Times New Roman" w:cs="Times New Roman"/>
        </w:rPr>
        <w:t>.</w:t>
      </w:r>
    </w:p>
    <w:p w14:paraId="6F1C66E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Gheraldini, Bernardino, 65</w:t>
      </w:r>
      <w:r>
        <w:rPr>
          <w:rFonts w:ascii="Times New Roman" w:hAnsi="Times New Roman" w:cs="Times New Roman"/>
        </w:rPr>
        <w:t>.</w:t>
      </w:r>
      <w:r w:rsidRPr="00AB1C99">
        <w:rPr>
          <w:rFonts w:ascii="Times New Roman" w:hAnsi="Times New Roman" w:cs="Times New Roman"/>
        </w:rPr>
        <w:t xml:space="preserve"> </w:t>
      </w:r>
    </w:p>
    <w:p w14:paraId="2FA5AE8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Gherardi, Maffeo, 148</w:t>
      </w:r>
      <w:r>
        <w:rPr>
          <w:rFonts w:ascii="Times New Roman" w:hAnsi="Times New Roman" w:cs="Times New Roman"/>
        </w:rPr>
        <w:t>.</w:t>
      </w:r>
      <w:r w:rsidRPr="00AB1C99">
        <w:rPr>
          <w:rFonts w:ascii="Times New Roman" w:hAnsi="Times New Roman" w:cs="Times New Roman"/>
        </w:rPr>
        <w:t xml:space="preserve"> </w:t>
      </w:r>
    </w:p>
    <w:p w14:paraId="022614E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Ghezzi, Ludovico, 63n</w:t>
      </w:r>
      <w:r>
        <w:rPr>
          <w:rFonts w:ascii="Times New Roman" w:hAnsi="Times New Roman" w:cs="Times New Roman"/>
        </w:rPr>
        <w:t>.</w:t>
      </w:r>
    </w:p>
    <w:p w14:paraId="09FC351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Ghirlandaio, Domenico, 100, 101</w:t>
      </w:r>
      <w:r>
        <w:rPr>
          <w:rFonts w:ascii="Times New Roman" w:hAnsi="Times New Roman" w:cs="Times New Roman"/>
        </w:rPr>
        <w:t>.</w:t>
      </w:r>
      <w:r w:rsidRPr="00AB1C99">
        <w:rPr>
          <w:rFonts w:ascii="Times New Roman" w:hAnsi="Times New Roman" w:cs="Times New Roman"/>
        </w:rPr>
        <w:t xml:space="preserve"> </w:t>
      </w:r>
    </w:p>
    <w:p w14:paraId="2B8E5B8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Giacomo di Lusitania, cardinale, 104</w:t>
      </w:r>
      <w:r>
        <w:rPr>
          <w:rFonts w:ascii="Times New Roman" w:hAnsi="Times New Roman" w:cs="Times New Roman"/>
        </w:rPr>
        <w:t>.</w:t>
      </w:r>
    </w:p>
    <w:p w14:paraId="0F5AFBA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Giamberti, Marco del Buono</w:t>
      </w:r>
      <w:r>
        <w:rPr>
          <w:rFonts w:ascii="Times New Roman" w:hAnsi="Times New Roman" w:cs="Times New Roman"/>
        </w:rPr>
        <w:t>, 266.</w:t>
      </w:r>
    </w:p>
    <w:p w14:paraId="3075965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Giglioli, Giacomo, 18 e n</w:t>
      </w:r>
      <w:r>
        <w:rPr>
          <w:rFonts w:ascii="Times New Roman" w:hAnsi="Times New Roman" w:cs="Times New Roman"/>
        </w:rPr>
        <w:t>.</w:t>
      </w:r>
    </w:p>
    <w:p w14:paraId="2A15672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Giglioli, Girolamo, 19 e n</w:t>
      </w:r>
      <w:r>
        <w:rPr>
          <w:rFonts w:ascii="Times New Roman" w:hAnsi="Times New Roman" w:cs="Times New Roman"/>
        </w:rPr>
        <w:t>.</w:t>
      </w:r>
      <w:r w:rsidRPr="00AB1C99">
        <w:rPr>
          <w:rFonts w:ascii="Times New Roman" w:hAnsi="Times New Roman" w:cs="Times New Roman"/>
        </w:rPr>
        <w:t xml:space="preserve">  </w:t>
      </w:r>
    </w:p>
    <w:p w14:paraId="12240A3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Gillemer, Jean, 47n.</w:t>
      </w:r>
    </w:p>
    <w:p w14:paraId="0BA7DE0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Giovanni I, re di Portogallo, 88, 105</w:t>
      </w:r>
      <w:r>
        <w:rPr>
          <w:rFonts w:ascii="Times New Roman" w:hAnsi="Times New Roman" w:cs="Times New Roman"/>
        </w:rPr>
        <w:t>.</w:t>
      </w:r>
    </w:p>
    <w:p w14:paraId="41FD2A5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Giovanni Crisostomo, 71</w:t>
      </w:r>
      <w:r>
        <w:rPr>
          <w:rFonts w:ascii="Times New Roman" w:hAnsi="Times New Roman" w:cs="Times New Roman"/>
        </w:rPr>
        <w:t>.</w:t>
      </w:r>
    </w:p>
    <w:p w14:paraId="284E168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Giovanni di ser Giovanni detto lo Scheggia, 190</w:t>
      </w:r>
      <w:r>
        <w:rPr>
          <w:rFonts w:ascii="Times New Roman" w:hAnsi="Times New Roman" w:cs="Times New Roman"/>
        </w:rPr>
        <w:t>, 250, 301n.</w:t>
      </w:r>
    </w:p>
    <w:p w14:paraId="56C1E1D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Giraldi, Guglielmo, 42, 43, 45, 53, 54, 86</w:t>
      </w:r>
      <w:r>
        <w:rPr>
          <w:rFonts w:ascii="Times New Roman" w:hAnsi="Times New Roman" w:cs="Times New Roman"/>
        </w:rPr>
        <w:t>.</w:t>
      </w:r>
    </w:p>
    <w:p w14:paraId="6702284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Girolamo san, 57, 7</w:t>
      </w:r>
      <w:r>
        <w:rPr>
          <w:rFonts w:ascii="Times New Roman" w:hAnsi="Times New Roman" w:cs="Times New Roman"/>
        </w:rPr>
        <w:t>2, 202n.</w:t>
      </w:r>
      <w:r w:rsidRPr="00AB1C99">
        <w:rPr>
          <w:rFonts w:ascii="Times New Roman" w:hAnsi="Times New Roman" w:cs="Times New Roman"/>
        </w:rPr>
        <w:t xml:space="preserve"> </w:t>
      </w:r>
    </w:p>
    <w:p w14:paraId="58CF516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Giugni, Domenico</w:t>
      </w:r>
      <w:r>
        <w:rPr>
          <w:rFonts w:ascii="Times New Roman" w:hAnsi="Times New Roman" w:cs="Times New Roman"/>
        </w:rPr>
        <w:t>. 102n.</w:t>
      </w:r>
      <w:r w:rsidRPr="00AB1C99">
        <w:rPr>
          <w:rFonts w:ascii="Times New Roman" w:hAnsi="Times New Roman" w:cs="Times New Roman"/>
        </w:rPr>
        <w:t xml:space="preserve"> </w:t>
      </w:r>
    </w:p>
    <w:p w14:paraId="2473C08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Giulio II (papa Giuliano della Rovere), 116, 117n, 169</w:t>
      </w:r>
      <w:r>
        <w:rPr>
          <w:rFonts w:ascii="Times New Roman" w:hAnsi="Times New Roman" w:cs="Times New Roman"/>
        </w:rPr>
        <w:t>, 228.</w:t>
      </w:r>
    </w:p>
    <w:p w14:paraId="07AEC80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Giulio Cesare, 75, 82, 192</w:t>
      </w:r>
      <w:r>
        <w:rPr>
          <w:rFonts w:ascii="Times New Roman" w:hAnsi="Times New Roman" w:cs="Times New Roman"/>
        </w:rPr>
        <w:t>, 239, 240, 250, 256.</w:t>
      </w:r>
    </w:p>
    <w:p w14:paraId="573C701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Giuseppe Flavio, 15n, 71, 175, 193</w:t>
      </w:r>
      <w:r>
        <w:rPr>
          <w:rFonts w:ascii="Times New Roman" w:hAnsi="Times New Roman" w:cs="Times New Roman"/>
        </w:rPr>
        <w:t>, 247.</w:t>
      </w:r>
    </w:p>
    <w:p w14:paraId="44A5CB8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Alessandro, 12</w:t>
      </w:r>
      <w:r>
        <w:rPr>
          <w:rFonts w:ascii="Times New Roman" w:hAnsi="Times New Roman" w:cs="Times New Roman"/>
        </w:rPr>
        <w:t>.</w:t>
      </w:r>
    </w:p>
    <w:p w14:paraId="277D95F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Barbara Hohenzollern di Brandeburgo, 13, 39-41, 42, 64, 70n</w:t>
      </w:r>
      <w:r>
        <w:rPr>
          <w:rFonts w:ascii="Times New Roman" w:hAnsi="Times New Roman" w:cs="Times New Roman"/>
        </w:rPr>
        <w:t>, 218, 219.</w:t>
      </w:r>
    </w:p>
    <w:p w14:paraId="17F0019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Carlo, 12</w:t>
      </w:r>
      <w:r>
        <w:rPr>
          <w:rFonts w:ascii="Times New Roman" w:hAnsi="Times New Roman" w:cs="Times New Roman"/>
        </w:rPr>
        <w:t>.</w:t>
      </w:r>
    </w:p>
    <w:p w14:paraId="6D7A19A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Cecilia, 12, 42</w:t>
      </w:r>
      <w:r>
        <w:rPr>
          <w:rFonts w:ascii="Times New Roman" w:hAnsi="Times New Roman" w:cs="Times New Roman"/>
        </w:rPr>
        <w:t>.</w:t>
      </w:r>
    </w:p>
    <w:p w14:paraId="0036278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Chiara, 165n</w:t>
      </w:r>
      <w:r>
        <w:rPr>
          <w:rFonts w:ascii="Times New Roman" w:hAnsi="Times New Roman" w:cs="Times New Roman"/>
        </w:rPr>
        <w:t>.</w:t>
      </w:r>
    </w:p>
    <w:p w14:paraId="3897519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Elisabetta, 146, 167</w:t>
      </w:r>
      <w:r>
        <w:rPr>
          <w:rFonts w:ascii="Times New Roman" w:hAnsi="Times New Roman" w:cs="Times New Roman"/>
        </w:rPr>
        <w:t>, 244, 246, 277, 290, 302, 307, 327.</w:t>
      </w:r>
    </w:p>
    <w:p w14:paraId="2020F44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Federico I, 14, 41, 63, 165n</w:t>
      </w:r>
      <w:r>
        <w:rPr>
          <w:rFonts w:ascii="Times New Roman" w:hAnsi="Times New Roman" w:cs="Times New Roman"/>
        </w:rPr>
        <w:t>, 218, 289.</w:t>
      </w:r>
    </w:p>
    <w:p w14:paraId="2B473BE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Ferdinando Carlo, 13</w:t>
      </w:r>
      <w:r>
        <w:rPr>
          <w:rFonts w:ascii="Times New Roman" w:hAnsi="Times New Roman" w:cs="Times New Roman"/>
        </w:rPr>
        <w:t>.</w:t>
      </w:r>
    </w:p>
    <w:p w14:paraId="66D1E20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Francesco cardinale, 13, 40</w:t>
      </w:r>
      <w:r>
        <w:rPr>
          <w:rFonts w:ascii="Times New Roman" w:hAnsi="Times New Roman" w:cs="Times New Roman"/>
        </w:rPr>
        <w:t>, 219, 220.</w:t>
      </w:r>
    </w:p>
    <w:p w14:paraId="1CD95A4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Francesco I, 11 e n</w:t>
      </w:r>
      <w:r>
        <w:rPr>
          <w:rFonts w:ascii="Times New Roman" w:hAnsi="Times New Roman" w:cs="Times New Roman"/>
        </w:rPr>
        <w:t>.</w:t>
      </w:r>
    </w:p>
    <w:p w14:paraId="5969E61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Francesco II, 157 e n, 160, 161, 164</w:t>
      </w:r>
      <w:r>
        <w:rPr>
          <w:rFonts w:ascii="Times New Roman" w:hAnsi="Times New Roman" w:cs="Times New Roman"/>
        </w:rPr>
        <w:t>, 233, 247, 271n, 291, 292, 296, 297, 303, 305n, 311, 313, 318.</w:t>
      </w:r>
    </w:p>
    <w:p w14:paraId="4EAC909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Gian Francesco I, 12, 13</w:t>
      </w:r>
      <w:r>
        <w:rPr>
          <w:rFonts w:ascii="Times New Roman" w:hAnsi="Times New Roman" w:cs="Times New Roman"/>
        </w:rPr>
        <w:t>, 218.</w:t>
      </w:r>
    </w:p>
    <w:p w14:paraId="4D34C0D5" w14:textId="77777777" w:rsidR="00337C20" w:rsidRDefault="00337C20" w:rsidP="00337C20">
      <w:pPr>
        <w:jc w:val="both"/>
        <w:rPr>
          <w:rFonts w:ascii="Times New Roman" w:hAnsi="Times New Roman" w:cs="Times New Roman"/>
        </w:rPr>
      </w:pPr>
      <w:r w:rsidRPr="00AB1C99">
        <w:rPr>
          <w:rFonts w:ascii="Times New Roman" w:hAnsi="Times New Roman" w:cs="Times New Roman"/>
        </w:rPr>
        <w:t>Gonzaga, Gian Lucido, 12, 39-40</w:t>
      </w:r>
      <w:r>
        <w:rPr>
          <w:rFonts w:ascii="Times New Roman" w:hAnsi="Times New Roman" w:cs="Times New Roman"/>
        </w:rPr>
        <w:t>.</w:t>
      </w:r>
    </w:p>
    <w:p w14:paraId="7BD6977F" w14:textId="77777777" w:rsidR="00337C20" w:rsidRPr="00AB1C99" w:rsidRDefault="00337C20" w:rsidP="00337C20">
      <w:pPr>
        <w:jc w:val="both"/>
        <w:rPr>
          <w:rFonts w:ascii="Times New Roman" w:hAnsi="Times New Roman" w:cs="Times New Roman"/>
        </w:rPr>
      </w:pPr>
      <w:r>
        <w:rPr>
          <w:rFonts w:ascii="Times New Roman" w:hAnsi="Times New Roman" w:cs="Times New Roman"/>
        </w:rPr>
        <w:t>Gonzaga, Giovanni, 307 e n, 308.</w:t>
      </w:r>
    </w:p>
    <w:p w14:paraId="727EE77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Guido, 12</w:t>
      </w:r>
      <w:r>
        <w:rPr>
          <w:rFonts w:ascii="Times New Roman" w:hAnsi="Times New Roman" w:cs="Times New Roman"/>
        </w:rPr>
        <w:t xml:space="preserve"> e </w:t>
      </w:r>
      <w:r w:rsidRPr="00AB1C99">
        <w:rPr>
          <w:rFonts w:ascii="Times New Roman" w:hAnsi="Times New Roman" w:cs="Times New Roman"/>
        </w:rPr>
        <w:t>n</w:t>
      </w:r>
      <w:r>
        <w:rPr>
          <w:rFonts w:ascii="Times New Roman" w:hAnsi="Times New Roman" w:cs="Times New Roman"/>
        </w:rPr>
        <w:t>.</w:t>
      </w:r>
    </w:p>
    <w:p w14:paraId="09826B5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Ludovico I, 11, 41, 42, 63, 70 e n, 193n</w:t>
      </w:r>
      <w:r>
        <w:rPr>
          <w:rFonts w:ascii="Times New Roman" w:hAnsi="Times New Roman" w:cs="Times New Roman"/>
        </w:rPr>
        <w:t>.</w:t>
      </w:r>
    </w:p>
    <w:p w14:paraId="6B5BC6F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Ludovico II, 12, 13</w:t>
      </w:r>
      <w:r>
        <w:rPr>
          <w:rFonts w:ascii="Times New Roman" w:hAnsi="Times New Roman" w:cs="Times New Roman"/>
        </w:rPr>
        <w:t>, 218, 219, 305n.</w:t>
      </w:r>
    </w:p>
    <w:p w14:paraId="3AED931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Maddalena, 145</w:t>
      </w:r>
      <w:r>
        <w:rPr>
          <w:rFonts w:ascii="Times New Roman" w:hAnsi="Times New Roman" w:cs="Times New Roman"/>
        </w:rPr>
        <w:t>, 214, 271n, 277, 307-309.</w:t>
      </w:r>
    </w:p>
    <w:p w14:paraId="4731397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Gonzaga, </w:t>
      </w:r>
      <w:r w:rsidR="00D06EAF" w:rsidRPr="00AB1C99">
        <w:rPr>
          <w:rFonts w:ascii="Times New Roman" w:hAnsi="Times New Roman" w:cs="Times New Roman"/>
        </w:rPr>
        <w:t xml:space="preserve">Margherita </w:t>
      </w:r>
      <w:r w:rsidRPr="00AB1C99">
        <w:rPr>
          <w:rFonts w:ascii="Times New Roman" w:hAnsi="Times New Roman" w:cs="Times New Roman"/>
        </w:rPr>
        <w:t xml:space="preserve">di Wittelsbach, </w:t>
      </w:r>
      <w:r>
        <w:rPr>
          <w:rFonts w:ascii="Times New Roman" w:hAnsi="Times New Roman" w:cs="Times New Roman"/>
        </w:rPr>
        <w:t>218-220, 282, 289, 301.</w:t>
      </w:r>
    </w:p>
    <w:p w14:paraId="46766F1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Paola</w:t>
      </w:r>
      <w:r>
        <w:rPr>
          <w:rFonts w:ascii="Times New Roman" w:hAnsi="Times New Roman" w:cs="Times New Roman"/>
        </w:rPr>
        <w:t>, 220n.</w:t>
      </w:r>
    </w:p>
    <w:p w14:paraId="4890653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Gonzaga, Rodolfo, 13, 112</w:t>
      </w:r>
      <w:r>
        <w:rPr>
          <w:rFonts w:ascii="Times New Roman" w:hAnsi="Times New Roman" w:cs="Times New Roman"/>
        </w:rPr>
        <w:t>, 218.</w:t>
      </w:r>
    </w:p>
    <w:p w14:paraId="668736E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Gozzadini, Bernardino</w:t>
      </w:r>
      <w:r>
        <w:rPr>
          <w:rFonts w:ascii="Times New Roman" w:hAnsi="Times New Roman" w:cs="Times New Roman"/>
        </w:rPr>
        <w:t>, 262 e n.</w:t>
      </w:r>
    </w:p>
    <w:p w14:paraId="6C534DC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Gozzoli, Benozzo, 118</w:t>
      </w:r>
      <w:r>
        <w:rPr>
          <w:rFonts w:ascii="Times New Roman" w:hAnsi="Times New Roman" w:cs="Times New Roman"/>
        </w:rPr>
        <w:t>.</w:t>
      </w:r>
      <w:r w:rsidRPr="00AB1C99">
        <w:rPr>
          <w:rFonts w:ascii="Times New Roman" w:hAnsi="Times New Roman" w:cs="Times New Roman"/>
        </w:rPr>
        <w:t xml:space="preserve"> </w:t>
      </w:r>
    </w:p>
    <w:p w14:paraId="52DAEAA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Granacci, Francesco</w:t>
      </w:r>
      <w:r>
        <w:rPr>
          <w:rFonts w:ascii="Times New Roman" w:hAnsi="Times New Roman" w:cs="Times New Roman"/>
        </w:rPr>
        <w:t>, 248.</w:t>
      </w:r>
      <w:r w:rsidRPr="00AB1C99">
        <w:rPr>
          <w:rFonts w:ascii="Times New Roman" w:hAnsi="Times New Roman" w:cs="Times New Roman"/>
        </w:rPr>
        <w:t xml:space="preserve"> </w:t>
      </w:r>
    </w:p>
    <w:p w14:paraId="33683D1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Gregorio XII (papa Angelo Correr), 27</w:t>
      </w:r>
      <w:r>
        <w:rPr>
          <w:rFonts w:ascii="Times New Roman" w:hAnsi="Times New Roman" w:cs="Times New Roman"/>
        </w:rPr>
        <w:t>.</w:t>
      </w:r>
      <w:r w:rsidRPr="00AB1C99">
        <w:rPr>
          <w:rFonts w:ascii="Times New Roman" w:hAnsi="Times New Roman" w:cs="Times New Roman"/>
        </w:rPr>
        <w:t xml:space="preserve"> </w:t>
      </w:r>
    </w:p>
    <w:p w14:paraId="40FB847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Gregorio Magno san, 58</w:t>
      </w:r>
      <w:r>
        <w:rPr>
          <w:rFonts w:ascii="Times New Roman" w:hAnsi="Times New Roman" w:cs="Times New Roman"/>
        </w:rPr>
        <w:t>.</w:t>
      </w:r>
    </w:p>
    <w:p w14:paraId="0C15105D" w14:textId="77777777" w:rsidR="00337C20" w:rsidRDefault="00337C20" w:rsidP="00337C20">
      <w:pPr>
        <w:jc w:val="both"/>
        <w:rPr>
          <w:rFonts w:ascii="Times New Roman" w:hAnsi="Times New Roman" w:cs="Times New Roman"/>
        </w:rPr>
      </w:pPr>
      <w:r w:rsidRPr="00AB1C99">
        <w:rPr>
          <w:rFonts w:ascii="Times New Roman" w:hAnsi="Times New Roman" w:cs="Times New Roman"/>
        </w:rPr>
        <w:t>Guarimberto, Tommaso, 51</w:t>
      </w:r>
      <w:r>
        <w:rPr>
          <w:rFonts w:ascii="Times New Roman" w:hAnsi="Times New Roman" w:cs="Times New Roman"/>
        </w:rPr>
        <w:t>.</w:t>
      </w:r>
      <w:r w:rsidRPr="00AB1C99">
        <w:rPr>
          <w:rFonts w:ascii="Times New Roman" w:hAnsi="Times New Roman" w:cs="Times New Roman"/>
        </w:rPr>
        <w:t xml:space="preserve"> </w:t>
      </w:r>
    </w:p>
    <w:p w14:paraId="1F21786F" w14:textId="77777777" w:rsidR="00337C20" w:rsidRPr="00AB1C99" w:rsidRDefault="00337C20" w:rsidP="00337C20">
      <w:pPr>
        <w:jc w:val="both"/>
        <w:rPr>
          <w:rFonts w:ascii="Times New Roman" w:hAnsi="Times New Roman" w:cs="Times New Roman"/>
        </w:rPr>
      </w:pPr>
      <w:r>
        <w:rPr>
          <w:rFonts w:ascii="Times New Roman" w:hAnsi="Times New Roman" w:cs="Times New Roman"/>
        </w:rPr>
        <w:t>Guarini, Battista, 314n.</w:t>
      </w:r>
    </w:p>
    <w:p w14:paraId="6215FA1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Guayner, Théodore, 17</w:t>
      </w:r>
      <w:r>
        <w:rPr>
          <w:rFonts w:ascii="Times New Roman" w:hAnsi="Times New Roman" w:cs="Times New Roman"/>
        </w:rPr>
        <w:t>.</w:t>
      </w:r>
      <w:r w:rsidRPr="00AB1C99">
        <w:rPr>
          <w:rFonts w:ascii="Times New Roman" w:hAnsi="Times New Roman" w:cs="Times New Roman"/>
        </w:rPr>
        <w:t xml:space="preserve"> </w:t>
      </w:r>
    </w:p>
    <w:p w14:paraId="00280DF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Guazzelli, Pietro Domenico, 30</w:t>
      </w:r>
      <w:r>
        <w:rPr>
          <w:rFonts w:ascii="Times New Roman" w:hAnsi="Times New Roman" w:cs="Times New Roman"/>
        </w:rPr>
        <w:t>.</w:t>
      </w:r>
    </w:p>
    <w:p w14:paraId="1BAB71E7" w14:textId="77777777" w:rsidR="00337C20" w:rsidRDefault="00337C20" w:rsidP="00337C20">
      <w:pPr>
        <w:jc w:val="both"/>
        <w:rPr>
          <w:rFonts w:ascii="Times New Roman" w:hAnsi="Times New Roman" w:cs="Times New Roman"/>
        </w:rPr>
      </w:pPr>
      <w:r w:rsidRPr="00AB1C99">
        <w:rPr>
          <w:rFonts w:ascii="Times New Roman" w:hAnsi="Times New Roman" w:cs="Times New Roman"/>
        </w:rPr>
        <w:t>Guidoboni, Antonio, 171</w:t>
      </w:r>
      <w:r>
        <w:rPr>
          <w:rFonts w:ascii="Times New Roman" w:hAnsi="Times New Roman" w:cs="Times New Roman"/>
        </w:rPr>
        <w:t>.</w:t>
      </w:r>
    </w:p>
    <w:p w14:paraId="1B3D69DD" w14:textId="77777777" w:rsidR="00337C20" w:rsidRPr="00AB1C99" w:rsidRDefault="00337C20" w:rsidP="00337C20">
      <w:pPr>
        <w:jc w:val="both"/>
        <w:rPr>
          <w:rFonts w:ascii="Times New Roman" w:hAnsi="Times New Roman" w:cs="Times New Roman"/>
        </w:rPr>
      </w:pPr>
      <w:r>
        <w:rPr>
          <w:rFonts w:ascii="Times New Roman" w:hAnsi="Times New Roman" w:cs="Times New Roman"/>
        </w:rPr>
        <w:t>Guidotti, Stefano, 220n.</w:t>
      </w:r>
    </w:p>
    <w:p w14:paraId="1E12F4F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Guilbaut, Gui, 88</w:t>
      </w:r>
      <w:r>
        <w:rPr>
          <w:rFonts w:ascii="Times New Roman" w:hAnsi="Times New Roman" w:cs="Times New Roman"/>
        </w:rPr>
        <w:t>.</w:t>
      </w:r>
      <w:r w:rsidRPr="00AB1C99">
        <w:rPr>
          <w:rFonts w:ascii="Times New Roman" w:hAnsi="Times New Roman" w:cs="Times New Roman"/>
        </w:rPr>
        <w:t xml:space="preserve"> </w:t>
      </w:r>
    </w:p>
    <w:p w14:paraId="584C6B9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Guldinbeck, Bartolomeo</w:t>
      </w:r>
      <w:r>
        <w:rPr>
          <w:rFonts w:ascii="Times New Roman" w:hAnsi="Times New Roman" w:cs="Times New Roman"/>
        </w:rPr>
        <w:t>, 58n.</w:t>
      </w:r>
    </w:p>
    <w:p w14:paraId="06C9559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Han, Ulrich, 58 e n, 125n</w:t>
      </w:r>
      <w:r>
        <w:rPr>
          <w:rFonts w:ascii="Times New Roman" w:hAnsi="Times New Roman" w:cs="Times New Roman"/>
        </w:rPr>
        <w:t>, 270n.</w:t>
      </w:r>
      <w:r w:rsidRPr="00AB1C99">
        <w:rPr>
          <w:rFonts w:ascii="Times New Roman" w:hAnsi="Times New Roman" w:cs="Times New Roman"/>
        </w:rPr>
        <w:t xml:space="preserve"> </w:t>
      </w:r>
    </w:p>
    <w:p w14:paraId="74E5E08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Holes, Andrew</w:t>
      </w:r>
      <w:r>
        <w:rPr>
          <w:rFonts w:ascii="Times New Roman" w:hAnsi="Times New Roman" w:cs="Times New Roman"/>
        </w:rPr>
        <w:t>, 99.</w:t>
      </w:r>
    </w:p>
    <w:p w14:paraId="31E4080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Hunyadi, Giovanni, 106, 107</w:t>
      </w:r>
      <w:r>
        <w:rPr>
          <w:rFonts w:ascii="Times New Roman" w:hAnsi="Times New Roman" w:cs="Times New Roman"/>
        </w:rPr>
        <w:t>, 200.</w:t>
      </w:r>
    </w:p>
    <w:p w14:paraId="141555D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Ignazio d’Antiochia, 71</w:t>
      </w:r>
      <w:r>
        <w:rPr>
          <w:rFonts w:ascii="Times New Roman" w:hAnsi="Times New Roman" w:cs="Times New Roman"/>
        </w:rPr>
        <w:t>.</w:t>
      </w:r>
    </w:p>
    <w:p w14:paraId="118B6D7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Infessura, Stefano, 4</w:t>
      </w:r>
      <w:r>
        <w:rPr>
          <w:rFonts w:ascii="Times New Roman" w:hAnsi="Times New Roman" w:cs="Times New Roman"/>
        </w:rPr>
        <w:t>, 298, 299.</w:t>
      </w:r>
    </w:p>
    <w:p w14:paraId="2CF2CC2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Innocenzo VIII (papa Giovan Battista Cibo), 30 e n, 58, 61, 159, 184</w:t>
      </w:r>
      <w:r>
        <w:rPr>
          <w:rFonts w:ascii="Times New Roman" w:hAnsi="Times New Roman" w:cs="Times New Roman"/>
        </w:rPr>
        <w:t>, 310, 311.</w:t>
      </w:r>
    </w:p>
    <w:p w14:paraId="798E421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Ireneo, 71</w:t>
      </w:r>
      <w:r>
        <w:rPr>
          <w:rFonts w:ascii="Times New Roman" w:hAnsi="Times New Roman" w:cs="Times New Roman"/>
        </w:rPr>
        <w:t>.</w:t>
      </w:r>
    </w:p>
    <w:p w14:paraId="618B45D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Isidoro di Siviglia, 71</w:t>
      </w:r>
      <w:r>
        <w:rPr>
          <w:rFonts w:ascii="Times New Roman" w:hAnsi="Times New Roman" w:cs="Times New Roman"/>
        </w:rPr>
        <w:t>.</w:t>
      </w:r>
    </w:p>
    <w:p w14:paraId="370384A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Ivan III il Grande, granduca di Russia</w:t>
      </w:r>
      <w:r>
        <w:rPr>
          <w:rFonts w:ascii="Times New Roman" w:hAnsi="Times New Roman" w:cs="Times New Roman"/>
        </w:rPr>
        <w:t>, 206 e n.</w:t>
      </w:r>
    </w:p>
    <w:p w14:paraId="1D04C6F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James, Thomas, 103</w:t>
      </w:r>
      <w:r>
        <w:rPr>
          <w:rFonts w:ascii="Times New Roman" w:hAnsi="Times New Roman" w:cs="Times New Roman"/>
        </w:rPr>
        <w:t>.</w:t>
      </w:r>
    </w:p>
    <w:p w14:paraId="5B51084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Jehan, Dreux, 87</w:t>
      </w:r>
      <w:r>
        <w:rPr>
          <w:rFonts w:ascii="Times New Roman" w:hAnsi="Times New Roman" w:cs="Times New Roman"/>
        </w:rPr>
        <w:t>.</w:t>
      </w:r>
    </w:p>
    <w:p w14:paraId="4EB882B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Jouffroy, Jean, 29 e n</w:t>
      </w:r>
      <w:r>
        <w:rPr>
          <w:rFonts w:ascii="Times New Roman" w:hAnsi="Times New Roman" w:cs="Times New Roman"/>
        </w:rPr>
        <w:t>.</w:t>
      </w:r>
    </w:p>
    <w:p w14:paraId="177C3D7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Lancilago, Domenico, 53</w:t>
      </w:r>
      <w:r>
        <w:rPr>
          <w:rFonts w:ascii="Times New Roman" w:hAnsi="Times New Roman" w:cs="Times New Roman"/>
        </w:rPr>
        <w:t>.</w:t>
      </w:r>
    </w:p>
    <w:p w14:paraId="144DD50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Landi, Manfredo</w:t>
      </w:r>
      <w:r>
        <w:rPr>
          <w:rFonts w:ascii="Times New Roman" w:hAnsi="Times New Roman" w:cs="Times New Roman"/>
        </w:rPr>
        <w:t>, 234.</w:t>
      </w:r>
      <w:r w:rsidRPr="00AB1C99">
        <w:rPr>
          <w:rFonts w:ascii="Times New Roman" w:hAnsi="Times New Roman" w:cs="Times New Roman"/>
        </w:rPr>
        <w:t xml:space="preserve"> </w:t>
      </w:r>
    </w:p>
    <w:p w14:paraId="08F2DB4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Landino, Cristoforo, 35, 154</w:t>
      </w:r>
      <w:r>
        <w:rPr>
          <w:rFonts w:ascii="Times New Roman" w:hAnsi="Times New Roman" w:cs="Times New Roman"/>
        </w:rPr>
        <w:t>.</w:t>
      </w:r>
    </w:p>
    <w:p w14:paraId="67D38CF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Lando, Jacopo</w:t>
      </w:r>
      <w:r>
        <w:rPr>
          <w:rFonts w:ascii="Times New Roman" w:hAnsi="Times New Roman" w:cs="Times New Roman"/>
        </w:rPr>
        <w:t>, 42n.</w:t>
      </w:r>
    </w:p>
    <w:p w14:paraId="39D476F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Landucci, Luca, 117n</w:t>
      </w:r>
      <w:r>
        <w:rPr>
          <w:rFonts w:ascii="Times New Roman" w:hAnsi="Times New Roman" w:cs="Times New Roman"/>
        </w:rPr>
        <w:t>.</w:t>
      </w:r>
    </w:p>
    <w:p w14:paraId="26E5A0C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Lapaccini, fra Giuliano, 22</w:t>
      </w:r>
      <w:r>
        <w:rPr>
          <w:rFonts w:ascii="Times New Roman" w:hAnsi="Times New Roman" w:cs="Times New Roman"/>
        </w:rPr>
        <w:t>.</w:t>
      </w:r>
      <w:r w:rsidRPr="00AB1C99">
        <w:rPr>
          <w:rFonts w:ascii="Times New Roman" w:hAnsi="Times New Roman" w:cs="Times New Roman"/>
        </w:rPr>
        <w:t xml:space="preserve"> </w:t>
      </w:r>
    </w:p>
    <w:p w14:paraId="5255B61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Lascaris, Costantino, 93n</w:t>
      </w:r>
      <w:r>
        <w:rPr>
          <w:rFonts w:ascii="Times New Roman" w:hAnsi="Times New Roman" w:cs="Times New Roman"/>
        </w:rPr>
        <w:t>.</w:t>
      </w:r>
    </w:p>
    <w:p w14:paraId="3D37EC0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Lascaris, Giano, 25, 26</w:t>
      </w:r>
      <w:r>
        <w:rPr>
          <w:rFonts w:ascii="Times New Roman" w:hAnsi="Times New Roman" w:cs="Times New Roman"/>
        </w:rPr>
        <w:t>.</w:t>
      </w:r>
      <w:r w:rsidRPr="00AB1C99">
        <w:rPr>
          <w:rFonts w:ascii="Times New Roman" w:hAnsi="Times New Roman" w:cs="Times New Roman"/>
        </w:rPr>
        <w:t xml:space="preserve"> </w:t>
      </w:r>
    </w:p>
    <w:p w14:paraId="256751B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Latini, Brunetto, 12, 68</w:t>
      </w:r>
      <w:r>
        <w:rPr>
          <w:rFonts w:ascii="Times New Roman" w:hAnsi="Times New Roman" w:cs="Times New Roman"/>
        </w:rPr>
        <w:t>.</w:t>
      </w:r>
    </w:p>
    <w:p w14:paraId="07B6ACA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Lattanzio, 71</w:t>
      </w:r>
      <w:r>
        <w:rPr>
          <w:rFonts w:ascii="Times New Roman" w:hAnsi="Times New Roman" w:cs="Times New Roman"/>
        </w:rPr>
        <w:t>.</w:t>
      </w:r>
    </w:p>
    <w:p w14:paraId="060A4DF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Laurana, Luciano, 55, 82, 147 e n</w:t>
      </w:r>
      <w:r>
        <w:rPr>
          <w:rFonts w:ascii="Times New Roman" w:hAnsi="Times New Roman" w:cs="Times New Roman"/>
        </w:rPr>
        <w:t>.</w:t>
      </w:r>
      <w:r w:rsidRPr="00AB1C99">
        <w:rPr>
          <w:rFonts w:ascii="Times New Roman" w:hAnsi="Times New Roman" w:cs="Times New Roman"/>
        </w:rPr>
        <w:t xml:space="preserve"> </w:t>
      </w:r>
    </w:p>
    <w:p w14:paraId="545E11F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Lavagna, Filippo, 125n</w:t>
      </w:r>
      <w:r>
        <w:rPr>
          <w:rFonts w:ascii="Times New Roman" w:hAnsi="Times New Roman" w:cs="Times New Roman"/>
        </w:rPr>
        <w:t>.</w:t>
      </w:r>
    </w:p>
    <w:p w14:paraId="37E4EA2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Lavagnolo, Lorenzo, 157 e n, 167-168</w:t>
      </w:r>
      <w:r>
        <w:rPr>
          <w:rFonts w:ascii="Times New Roman" w:hAnsi="Times New Roman" w:cs="Times New Roman"/>
        </w:rPr>
        <w:t>, 279, 290-291, 325.</w:t>
      </w:r>
      <w:r w:rsidRPr="00AB1C99">
        <w:rPr>
          <w:rFonts w:ascii="Times New Roman" w:hAnsi="Times New Roman" w:cs="Times New Roman"/>
        </w:rPr>
        <w:t xml:space="preserve"> </w:t>
      </w:r>
    </w:p>
    <w:p w14:paraId="63F7D2C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Lazzarelli, Ludovico, 142</w:t>
      </w:r>
      <w:r>
        <w:rPr>
          <w:rFonts w:ascii="Times New Roman" w:hAnsi="Times New Roman" w:cs="Times New Roman"/>
        </w:rPr>
        <w:t>-</w:t>
      </w:r>
      <w:r w:rsidRPr="00AB1C99">
        <w:rPr>
          <w:rFonts w:ascii="Times New Roman" w:hAnsi="Times New Roman" w:cs="Times New Roman"/>
        </w:rPr>
        <w:t>144</w:t>
      </w:r>
      <w:r>
        <w:rPr>
          <w:rFonts w:ascii="Times New Roman" w:hAnsi="Times New Roman" w:cs="Times New Roman"/>
        </w:rPr>
        <w:t>.</w:t>
      </w:r>
    </w:p>
    <w:p w14:paraId="355EED3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Lazzaroni, Pietro, 123</w:t>
      </w:r>
      <w:r>
        <w:rPr>
          <w:rFonts w:ascii="Times New Roman" w:hAnsi="Times New Roman" w:cs="Times New Roman"/>
        </w:rPr>
        <w:t>, 199 e n, 203-207, 209, 210, 211, 213, 236.</w:t>
      </w:r>
    </w:p>
    <w:p w14:paraId="15C05D8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Le Caron, Pierre, 121n</w:t>
      </w:r>
      <w:r>
        <w:rPr>
          <w:rFonts w:ascii="Times New Roman" w:hAnsi="Times New Roman" w:cs="Times New Roman"/>
        </w:rPr>
        <w:t>.</w:t>
      </w:r>
    </w:p>
    <w:p w14:paraId="0FD012F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Le Forestier, Jacques, 121n</w:t>
      </w:r>
      <w:r>
        <w:rPr>
          <w:rFonts w:ascii="Times New Roman" w:hAnsi="Times New Roman" w:cs="Times New Roman"/>
        </w:rPr>
        <w:t>.</w:t>
      </w:r>
      <w:r w:rsidRPr="00AB1C99">
        <w:rPr>
          <w:rFonts w:ascii="Times New Roman" w:hAnsi="Times New Roman" w:cs="Times New Roman"/>
        </w:rPr>
        <w:t xml:space="preserve"> </w:t>
      </w:r>
    </w:p>
    <w:p w14:paraId="3C74D6F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Le Noir, Michel, 121n</w:t>
      </w:r>
      <w:r>
        <w:rPr>
          <w:rFonts w:ascii="Times New Roman" w:hAnsi="Times New Roman" w:cs="Times New Roman"/>
        </w:rPr>
        <w:t>.</w:t>
      </w:r>
    </w:p>
    <w:p w14:paraId="69687D6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Leone, Giovanni, 50</w:t>
      </w:r>
      <w:r>
        <w:rPr>
          <w:rFonts w:ascii="Times New Roman" w:hAnsi="Times New Roman" w:cs="Times New Roman"/>
        </w:rPr>
        <w:t>.</w:t>
      </w:r>
    </w:p>
    <w:p w14:paraId="689FBBE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Leone, Pietro</w:t>
      </w:r>
      <w:r>
        <w:rPr>
          <w:rFonts w:ascii="Times New Roman" w:hAnsi="Times New Roman" w:cs="Times New Roman"/>
        </w:rPr>
        <w:t>, 50.</w:t>
      </w:r>
    </w:p>
    <w:p w14:paraId="52F92EF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Leto, Pomponio</w:t>
      </w:r>
      <w:r>
        <w:rPr>
          <w:rFonts w:ascii="Times New Roman" w:hAnsi="Times New Roman" w:cs="Times New Roman"/>
        </w:rPr>
        <w:t>, 310, 311.</w:t>
      </w:r>
      <w:r w:rsidRPr="00AB1C99">
        <w:rPr>
          <w:rFonts w:ascii="Times New Roman" w:hAnsi="Times New Roman" w:cs="Times New Roman"/>
        </w:rPr>
        <w:t xml:space="preserve"> </w:t>
      </w:r>
    </w:p>
    <w:p w14:paraId="3C8B989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Liechtenstein, Hermann alias Emanno Levilapide, 129, 131-133, 141</w:t>
      </w:r>
      <w:r>
        <w:rPr>
          <w:rFonts w:ascii="Times New Roman" w:hAnsi="Times New Roman" w:cs="Times New Roman"/>
        </w:rPr>
        <w:t>.</w:t>
      </w:r>
    </w:p>
    <w:p w14:paraId="5269B10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Lippi, Filippo, 24, 101</w:t>
      </w:r>
      <w:r>
        <w:rPr>
          <w:rFonts w:ascii="Times New Roman" w:hAnsi="Times New Roman" w:cs="Times New Roman"/>
        </w:rPr>
        <w:t>.</w:t>
      </w:r>
    </w:p>
    <w:p w14:paraId="3BB9EB2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Livio, Tito, 31, 32, 51, 72, 100, 120</w:t>
      </w:r>
      <w:r>
        <w:rPr>
          <w:rFonts w:ascii="Times New Roman" w:hAnsi="Times New Roman" w:cs="Times New Roman"/>
        </w:rPr>
        <w:t>, 266n.</w:t>
      </w:r>
    </w:p>
    <w:p w14:paraId="66802B0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Lombardo, Pietro, 71</w:t>
      </w:r>
      <w:r>
        <w:rPr>
          <w:rFonts w:ascii="Times New Roman" w:hAnsi="Times New Roman" w:cs="Times New Roman"/>
        </w:rPr>
        <w:t>.</w:t>
      </w:r>
    </w:p>
    <w:p w14:paraId="5DFFE49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Lomferdorm, Simone, 133 e n.</w:t>
      </w:r>
    </w:p>
    <w:p w14:paraId="3CF24DE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Lorenzi, Giovan Battista, 49 e n</w:t>
      </w:r>
      <w:r>
        <w:rPr>
          <w:rFonts w:ascii="Times New Roman" w:hAnsi="Times New Roman" w:cs="Times New Roman"/>
        </w:rPr>
        <w:t>.</w:t>
      </w:r>
      <w:r w:rsidRPr="00AB1C99">
        <w:rPr>
          <w:rFonts w:ascii="Times New Roman" w:hAnsi="Times New Roman" w:cs="Times New Roman"/>
        </w:rPr>
        <w:t xml:space="preserve">  </w:t>
      </w:r>
    </w:p>
    <w:p w14:paraId="36A35BD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Lorenzi, Giovanni, 30</w:t>
      </w:r>
      <w:r>
        <w:rPr>
          <w:rFonts w:ascii="Times New Roman" w:hAnsi="Times New Roman" w:cs="Times New Roman"/>
        </w:rPr>
        <w:t>.</w:t>
      </w:r>
    </w:p>
    <w:p w14:paraId="3407983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Lucrezio, 70n</w:t>
      </w:r>
      <w:r>
        <w:rPr>
          <w:rFonts w:ascii="Times New Roman" w:hAnsi="Times New Roman" w:cs="Times New Roman"/>
        </w:rPr>
        <w:t>.</w:t>
      </w:r>
    </w:p>
    <w:p w14:paraId="2267E7B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Ludovico il Bavaro, imperatore</w:t>
      </w:r>
      <w:r>
        <w:rPr>
          <w:rFonts w:ascii="Times New Roman" w:hAnsi="Times New Roman" w:cs="Times New Roman"/>
        </w:rPr>
        <w:t>, 128n.</w:t>
      </w:r>
    </w:p>
    <w:p w14:paraId="073096D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Niccolò, Lugari, 169 e n, 170, 175</w:t>
      </w:r>
      <w:r>
        <w:rPr>
          <w:rFonts w:ascii="Times New Roman" w:hAnsi="Times New Roman" w:cs="Times New Roman"/>
        </w:rPr>
        <w:t>.</w:t>
      </w:r>
    </w:p>
    <w:p w14:paraId="6E16B32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Luigi XI, re di Francia, 16n, 29n, 92, 100</w:t>
      </w:r>
      <w:r>
        <w:rPr>
          <w:rFonts w:ascii="Times New Roman" w:hAnsi="Times New Roman" w:cs="Times New Roman"/>
        </w:rPr>
        <w:t>, 221, 227.</w:t>
      </w:r>
      <w:r w:rsidRPr="00AB1C99">
        <w:rPr>
          <w:rFonts w:ascii="Times New Roman" w:hAnsi="Times New Roman" w:cs="Times New Roman"/>
        </w:rPr>
        <w:t xml:space="preserve"> </w:t>
      </w:r>
    </w:p>
    <w:p w14:paraId="77E2E5B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Luigi XII, re di Francia, 17, 18, 121 e n, </w:t>
      </w:r>
      <w:r>
        <w:rPr>
          <w:rFonts w:ascii="Times New Roman" w:hAnsi="Times New Roman" w:cs="Times New Roman"/>
        </w:rPr>
        <w:t>211n, 246n, 313, 385.</w:t>
      </w:r>
    </w:p>
    <w:p w14:paraId="5693402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Luti, Francesco di Giovanni, 94</w:t>
      </w:r>
      <w:r>
        <w:rPr>
          <w:rFonts w:ascii="Times New Roman" w:hAnsi="Times New Roman" w:cs="Times New Roman"/>
        </w:rPr>
        <w:t>.</w:t>
      </w:r>
      <w:r w:rsidRPr="00AB1C99">
        <w:rPr>
          <w:rFonts w:ascii="Times New Roman" w:hAnsi="Times New Roman" w:cs="Times New Roman"/>
        </w:rPr>
        <w:t xml:space="preserve"> </w:t>
      </w:r>
    </w:p>
    <w:p w14:paraId="6A11B5B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Macrobio, 72</w:t>
      </w:r>
      <w:r>
        <w:rPr>
          <w:rFonts w:ascii="Times New Roman" w:hAnsi="Times New Roman" w:cs="Times New Roman"/>
        </w:rPr>
        <w:t>.</w:t>
      </w:r>
    </w:p>
    <w:p w14:paraId="4475369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Maestro delle Ore Birago, 46 e n, 86, 88</w:t>
      </w:r>
      <w:r>
        <w:rPr>
          <w:rFonts w:ascii="Times New Roman" w:hAnsi="Times New Roman" w:cs="Times New Roman"/>
        </w:rPr>
        <w:t>.</w:t>
      </w:r>
    </w:p>
    <w:p w14:paraId="5FBC74D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Maestro di Anna Sforza, 50</w:t>
      </w:r>
      <w:r>
        <w:rPr>
          <w:rFonts w:ascii="Times New Roman" w:hAnsi="Times New Roman" w:cs="Times New Roman"/>
        </w:rPr>
        <w:t>.</w:t>
      </w:r>
      <w:r w:rsidRPr="00AB1C99">
        <w:rPr>
          <w:rFonts w:ascii="Times New Roman" w:hAnsi="Times New Roman" w:cs="Times New Roman"/>
        </w:rPr>
        <w:t xml:space="preserve"> </w:t>
      </w:r>
    </w:p>
    <w:p w14:paraId="5BDBD74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Maestro di Antonio di Borgogna, 89 e n</w:t>
      </w:r>
      <w:r>
        <w:rPr>
          <w:rFonts w:ascii="Times New Roman" w:hAnsi="Times New Roman" w:cs="Times New Roman"/>
        </w:rPr>
        <w:t>.</w:t>
      </w:r>
    </w:p>
    <w:p w14:paraId="1BDE202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Maestro di Ippolita Sforza, 93-94</w:t>
      </w:r>
      <w:r>
        <w:rPr>
          <w:rFonts w:ascii="Times New Roman" w:hAnsi="Times New Roman" w:cs="Times New Roman"/>
        </w:rPr>
        <w:t>.</w:t>
      </w:r>
    </w:p>
    <w:p w14:paraId="3384207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Maffei, Raffaele, 125n</w:t>
      </w:r>
      <w:r>
        <w:rPr>
          <w:rFonts w:ascii="Times New Roman" w:hAnsi="Times New Roman" w:cs="Times New Roman"/>
        </w:rPr>
        <w:t>.</w:t>
      </w:r>
    </w:p>
    <w:p w14:paraId="6EDEDDE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Maffei, Taddeo da Verona, 22</w:t>
      </w:r>
      <w:r>
        <w:rPr>
          <w:rFonts w:ascii="Times New Roman" w:hAnsi="Times New Roman" w:cs="Times New Roman"/>
        </w:rPr>
        <w:t>.</w:t>
      </w:r>
    </w:p>
    <w:p w14:paraId="76F300B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Maggio, Giuliano, 17n</w:t>
      </w:r>
      <w:r>
        <w:rPr>
          <w:rFonts w:ascii="Times New Roman" w:hAnsi="Times New Roman" w:cs="Times New Roman"/>
        </w:rPr>
        <w:t>.</w:t>
      </w:r>
    </w:p>
    <w:p w14:paraId="636F4F9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Magnani, Andrea, 156, 157n</w:t>
      </w:r>
      <w:r>
        <w:rPr>
          <w:rFonts w:ascii="Times New Roman" w:hAnsi="Times New Roman" w:cs="Times New Roman"/>
        </w:rPr>
        <w:t>.</w:t>
      </w:r>
    </w:p>
    <w:p w14:paraId="404DF98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Maio, Giuniano, 83 e n</w:t>
      </w:r>
      <w:r>
        <w:rPr>
          <w:rFonts w:ascii="Times New Roman" w:hAnsi="Times New Roman" w:cs="Times New Roman"/>
        </w:rPr>
        <w:t>.</w:t>
      </w:r>
    </w:p>
    <w:p w14:paraId="0A69779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Majorana, Cristoforo, 52, 53</w:t>
      </w:r>
      <w:r>
        <w:rPr>
          <w:rFonts w:ascii="Times New Roman" w:hAnsi="Times New Roman" w:cs="Times New Roman"/>
        </w:rPr>
        <w:t>.</w:t>
      </w:r>
    </w:p>
    <w:p w14:paraId="0B1CEE3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Malatesta, Margherita, 39</w:t>
      </w:r>
      <w:r>
        <w:rPr>
          <w:rFonts w:ascii="Times New Roman" w:hAnsi="Times New Roman" w:cs="Times New Roman"/>
        </w:rPr>
        <w:t>.</w:t>
      </w:r>
    </w:p>
    <w:p w14:paraId="6FEC579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Malatesta, Paola, 39</w:t>
      </w:r>
      <w:r>
        <w:rPr>
          <w:rFonts w:ascii="Times New Roman" w:hAnsi="Times New Roman" w:cs="Times New Roman"/>
        </w:rPr>
        <w:t>.</w:t>
      </w:r>
      <w:r w:rsidRPr="00AB1C99">
        <w:rPr>
          <w:rFonts w:ascii="Times New Roman" w:hAnsi="Times New Roman" w:cs="Times New Roman"/>
        </w:rPr>
        <w:t xml:space="preserve"> </w:t>
      </w:r>
    </w:p>
    <w:p w14:paraId="58E986A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Malatesta, Roberto</w:t>
      </w:r>
      <w:r>
        <w:rPr>
          <w:rFonts w:ascii="Times New Roman" w:hAnsi="Times New Roman" w:cs="Times New Roman"/>
        </w:rPr>
        <w:t xml:space="preserve">, 239-241, 266n, 267, 281, </w:t>
      </w:r>
      <w:r w:rsidR="00225F01">
        <w:rPr>
          <w:rFonts w:ascii="Times New Roman" w:hAnsi="Times New Roman" w:cs="Times New Roman"/>
        </w:rPr>
        <w:t xml:space="preserve">282, </w:t>
      </w:r>
      <w:r>
        <w:rPr>
          <w:rFonts w:ascii="Times New Roman" w:hAnsi="Times New Roman" w:cs="Times New Roman"/>
        </w:rPr>
        <w:t>289, 294, 295n, 297.</w:t>
      </w:r>
    </w:p>
    <w:p w14:paraId="11E0DC6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Malatesta, Sigismondo Pandolfo, 35</w:t>
      </w:r>
      <w:r>
        <w:rPr>
          <w:rFonts w:ascii="Times New Roman" w:hAnsi="Times New Roman" w:cs="Times New Roman"/>
        </w:rPr>
        <w:t>, 239n.</w:t>
      </w:r>
    </w:p>
    <w:p w14:paraId="7A73A29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Maletta, Alberico</w:t>
      </w:r>
      <w:r>
        <w:rPr>
          <w:rFonts w:ascii="Times New Roman" w:hAnsi="Times New Roman" w:cs="Times New Roman"/>
        </w:rPr>
        <w:t>, 221e n.</w:t>
      </w:r>
    </w:p>
    <w:p w14:paraId="413293B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Malvezzi, Pirro, 155</w:t>
      </w:r>
      <w:r>
        <w:rPr>
          <w:rFonts w:ascii="Times New Roman" w:hAnsi="Times New Roman" w:cs="Times New Roman"/>
        </w:rPr>
        <w:t>.</w:t>
      </w:r>
    </w:p>
    <w:p w14:paraId="4C5A9BB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Malvezzi, Virgilio</w:t>
      </w:r>
      <w:r>
        <w:rPr>
          <w:rFonts w:ascii="Times New Roman" w:hAnsi="Times New Roman" w:cs="Times New Roman"/>
        </w:rPr>
        <w:t>, 222.</w:t>
      </w:r>
      <w:r w:rsidRPr="00AB1C99">
        <w:rPr>
          <w:rFonts w:ascii="Times New Roman" w:hAnsi="Times New Roman" w:cs="Times New Roman"/>
        </w:rPr>
        <w:t xml:space="preserve"> </w:t>
      </w:r>
    </w:p>
    <w:p w14:paraId="4B1598F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Manetti, Giannozzo, 27, 36, 99</w:t>
      </w:r>
      <w:r>
        <w:rPr>
          <w:rFonts w:ascii="Times New Roman" w:hAnsi="Times New Roman" w:cs="Times New Roman"/>
        </w:rPr>
        <w:t>.</w:t>
      </w:r>
    </w:p>
    <w:p w14:paraId="16995C5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Manfredi, Barbara</w:t>
      </w:r>
      <w:r>
        <w:rPr>
          <w:rFonts w:ascii="Times New Roman" w:hAnsi="Times New Roman" w:cs="Times New Roman"/>
        </w:rPr>
        <w:t>, 289.</w:t>
      </w:r>
    </w:p>
    <w:p w14:paraId="1478936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Manfredi, Bartolomeo, 29n</w:t>
      </w:r>
      <w:r>
        <w:rPr>
          <w:rFonts w:ascii="Times New Roman" w:hAnsi="Times New Roman" w:cs="Times New Roman"/>
        </w:rPr>
        <w:t>.</w:t>
      </w:r>
      <w:r w:rsidRPr="00AB1C99">
        <w:rPr>
          <w:rFonts w:ascii="Times New Roman" w:hAnsi="Times New Roman" w:cs="Times New Roman"/>
        </w:rPr>
        <w:t xml:space="preserve"> </w:t>
      </w:r>
    </w:p>
    <w:p w14:paraId="70BBC4C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Manfredi, Carlo</w:t>
      </w:r>
      <w:r>
        <w:rPr>
          <w:rFonts w:ascii="Times New Roman" w:hAnsi="Times New Roman" w:cs="Times New Roman"/>
        </w:rPr>
        <w:t>, 289.</w:t>
      </w:r>
      <w:r w:rsidRPr="00AB1C99">
        <w:rPr>
          <w:rFonts w:ascii="Times New Roman" w:hAnsi="Times New Roman" w:cs="Times New Roman"/>
        </w:rPr>
        <w:t xml:space="preserve"> </w:t>
      </w:r>
    </w:p>
    <w:p w14:paraId="6E79423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Mangiaria, Girolamo, 17, 46, 86, 87</w:t>
      </w:r>
      <w:r>
        <w:rPr>
          <w:rFonts w:ascii="Times New Roman" w:hAnsi="Times New Roman" w:cs="Times New Roman"/>
        </w:rPr>
        <w:t>.</w:t>
      </w:r>
      <w:r w:rsidRPr="00AB1C99">
        <w:rPr>
          <w:rFonts w:ascii="Times New Roman" w:hAnsi="Times New Roman" w:cs="Times New Roman"/>
        </w:rPr>
        <w:t xml:space="preserve"> </w:t>
      </w:r>
    </w:p>
    <w:p w14:paraId="3CEE00B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Manilio, 70n, 74n, 170</w:t>
      </w:r>
      <w:r>
        <w:rPr>
          <w:rFonts w:ascii="Times New Roman" w:hAnsi="Times New Roman" w:cs="Times New Roman"/>
        </w:rPr>
        <w:t>.</w:t>
      </w:r>
    </w:p>
    <w:p w14:paraId="119F148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Mantegazza, Filippo, 49, 61n</w:t>
      </w:r>
      <w:r>
        <w:rPr>
          <w:rFonts w:ascii="Times New Roman" w:hAnsi="Times New Roman" w:cs="Times New Roman"/>
        </w:rPr>
        <w:t>, 199.</w:t>
      </w:r>
    </w:p>
    <w:p w14:paraId="1EE3258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Mantegna, Andrea, 38, 41, 143</w:t>
      </w:r>
      <w:r>
        <w:rPr>
          <w:rFonts w:ascii="Times New Roman" w:hAnsi="Times New Roman" w:cs="Times New Roman"/>
        </w:rPr>
        <w:t>.</w:t>
      </w:r>
    </w:p>
    <w:p w14:paraId="0B24A05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Maometto II, 32</w:t>
      </w:r>
      <w:r>
        <w:rPr>
          <w:rFonts w:ascii="Times New Roman" w:hAnsi="Times New Roman" w:cs="Times New Roman"/>
        </w:rPr>
        <w:t>, 229, 231n, 299n.</w:t>
      </w:r>
    </w:p>
    <w:p w14:paraId="1728D93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Marcello, Jacopo Antonio, 38</w:t>
      </w:r>
      <w:r>
        <w:rPr>
          <w:rFonts w:ascii="Times New Roman" w:hAnsi="Times New Roman" w:cs="Times New Roman"/>
        </w:rPr>
        <w:t>.</w:t>
      </w:r>
    </w:p>
    <w:p w14:paraId="1521ED1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Marescotti, Galeazzo</w:t>
      </w:r>
      <w:r>
        <w:rPr>
          <w:rFonts w:ascii="Times New Roman" w:hAnsi="Times New Roman" w:cs="Times New Roman"/>
        </w:rPr>
        <w:t>, 222.</w:t>
      </w:r>
    </w:p>
    <w:p w14:paraId="51928571" w14:textId="77777777" w:rsidR="00337C20" w:rsidRDefault="00337C20" w:rsidP="00337C20">
      <w:pPr>
        <w:jc w:val="both"/>
        <w:rPr>
          <w:rFonts w:ascii="Times New Roman" w:hAnsi="Times New Roman" w:cs="Times New Roman"/>
        </w:rPr>
      </w:pPr>
      <w:r w:rsidRPr="00AB1C99">
        <w:rPr>
          <w:rFonts w:ascii="Times New Roman" w:hAnsi="Times New Roman" w:cs="Times New Roman"/>
        </w:rPr>
        <w:t>Margherita di York</w:t>
      </w:r>
      <w:r>
        <w:rPr>
          <w:rFonts w:ascii="Times New Roman" w:hAnsi="Times New Roman" w:cs="Times New Roman"/>
        </w:rPr>
        <w:t>, 326.</w:t>
      </w:r>
    </w:p>
    <w:p w14:paraId="7D162F51" w14:textId="77777777" w:rsidR="00337C20" w:rsidRPr="00AB1C99" w:rsidRDefault="00337C20" w:rsidP="00337C20">
      <w:pPr>
        <w:jc w:val="both"/>
        <w:rPr>
          <w:rFonts w:ascii="Times New Roman" w:hAnsi="Times New Roman" w:cs="Times New Roman"/>
        </w:rPr>
      </w:pPr>
      <w:r>
        <w:rPr>
          <w:rFonts w:ascii="Times New Roman" w:hAnsi="Times New Roman" w:cs="Times New Roman"/>
        </w:rPr>
        <w:t>Maria di Borgogna, 199n.</w:t>
      </w:r>
    </w:p>
    <w:p w14:paraId="57222C8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Maria di Trastamara, 79</w:t>
      </w:r>
      <w:r>
        <w:rPr>
          <w:rFonts w:ascii="Times New Roman" w:hAnsi="Times New Roman" w:cs="Times New Roman"/>
        </w:rPr>
        <w:t>.</w:t>
      </w:r>
    </w:p>
    <w:p w14:paraId="5512819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Mariolo, Giovanni Antonio</w:t>
      </w:r>
      <w:r>
        <w:rPr>
          <w:rFonts w:ascii="Times New Roman" w:hAnsi="Times New Roman" w:cs="Times New Roman"/>
        </w:rPr>
        <w:t>, 296.</w:t>
      </w:r>
      <w:r w:rsidRPr="00AB1C99">
        <w:rPr>
          <w:rFonts w:ascii="Times New Roman" w:hAnsi="Times New Roman" w:cs="Times New Roman"/>
        </w:rPr>
        <w:t xml:space="preserve"> </w:t>
      </w:r>
    </w:p>
    <w:p w14:paraId="4203770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Marliani, Fabrizio, 47, 197 e n</w:t>
      </w:r>
      <w:r>
        <w:rPr>
          <w:rFonts w:ascii="Times New Roman" w:hAnsi="Times New Roman" w:cs="Times New Roman"/>
        </w:rPr>
        <w:t>, 209, 260.</w:t>
      </w:r>
    </w:p>
    <w:p w14:paraId="19FAC960" w14:textId="77777777" w:rsidR="00337C20" w:rsidRDefault="00337C20" w:rsidP="00337C20">
      <w:pPr>
        <w:jc w:val="both"/>
        <w:rPr>
          <w:rFonts w:ascii="Times New Roman" w:hAnsi="Times New Roman" w:cs="Times New Roman"/>
        </w:rPr>
      </w:pPr>
      <w:r w:rsidRPr="00AB1C99">
        <w:rPr>
          <w:rFonts w:ascii="Times New Roman" w:hAnsi="Times New Roman" w:cs="Times New Roman"/>
        </w:rPr>
        <w:t>Marono, Pietro Paolo, 40, 41, 43</w:t>
      </w:r>
      <w:r>
        <w:rPr>
          <w:rFonts w:ascii="Times New Roman" w:hAnsi="Times New Roman" w:cs="Times New Roman"/>
        </w:rPr>
        <w:t>.</w:t>
      </w:r>
      <w:r w:rsidRPr="00AB1C99">
        <w:rPr>
          <w:rFonts w:ascii="Times New Roman" w:hAnsi="Times New Roman" w:cs="Times New Roman"/>
        </w:rPr>
        <w:t xml:space="preserve"> </w:t>
      </w:r>
    </w:p>
    <w:p w14:paraId="450C1C53" w14:textId="77777777" w:rsidR="00337C20" w:rsidRDefault="00337C20" w:rsidP="00337C20">
      <w:pPr>
        <w:jc w:val="both"/>
        <w:rPr>
          <w:rFonts w:ascii="Times New Roman" w:hAnsi="Times New Roman" w:cs="Times New Roman"/>
        </w:rPr>
      </w:pPr>
      <w:r>
        <w:rPr>
          <w:rFonts w:ascii="Times New Roman" w:hAnsi="Times New Roman" w:cs="Times New Roman"/>
        </w:rPr>
        <w:t>Marsigli, Bernardino, 315n.</w:t>
      </w:r>
    </w:p>
    <w:p w14:paraId="7CA77BAF" w14:textId="77777777" w:rsidR="00337C20" w:rsidRPr="00AB1C99" w:rsidRDefault="00337C20" w:rsidP="00337C20">
      <w:pPr>
        <w:jc w:val="both"/>
        <w:rPr>
          <w:rFonts w:ascii="Times New Roman" w:hAnsi="Times New Roman" w:cs="Times New Roman"/>
        </w:rPr>
      </w:pPr>
      <w:r>
        <w:rPr>
          <w:rFonts w:ascii="Times New Roman" w:hAnsi="Times New Roman" w:cs="Times New Roman"/>
        </w:rPr>
        <w:t>Marsigli, Fino, 315</w:t>
      </w:r>
      <w:r w:rsidR="00417274">
        <w:rPr>
          <w:rFonts w:ascii="Times New Roman" w:hAnsi="Times New Roman" w:cs="Times New Roman"/>
        </w:rPr>
        <w:t>n</w:t>
      </w:r>
      <w:r>
        <w:rPr>
          <w:rFonts w:ascii="Times New Roman" w:hAnsi="Times New Roman" w:cs="Times New Roman"/>
        </w:rPr>
        <w:t>.</w:t>
      </w:r>
    </w:p>
    <w:p w14:paraId="4040D91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Martini, Francesco di Giorgio, 54n, 55, 94, 184n</w:t>
      </w:r>
      <w:r>
        <w:rPr>
          <w:rFonts w:ascii="Times New Roman" w:hAnsi="Times New Roman" w:cs="Times New Roman"/>
        </w:rPr>
        <w:t>, 303 e n.</w:t>
      </w:r>
    </w:p>
    <w:p w14:paraId="12D6272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Martini, Simone, 15n</w:t>
      </w:r>
      <w:r>
        <w:rPr>
          <w:rFonts w:ascii="Times New Roman" w:hAnsi="Times New Roman" w:cs="Times New Roman"/>
        </w:rPr>
        <w:t>.</w:t>
      </w:r>
      <w:r w:rsidRPr="00AB1C99">
        <w:rPr>
          <w:rFonts w:ascii="Times New Roman" w:hAnsi="Times New Roman" w:cs="Times New Roman"/>
        </w:rPr>
        <w:t xml:space="preserve"> </w:t>
      </w:r>
    </w:p>
    <w:p w14:paraId="3CA888B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Martino, Giovanni</w:t>
      </w:r>
      <w:r>
        <w:rPr>
          <w:rFonts w:ascii="Times New Roman" w:hAnsi="Times New Roman" w:cs="Times New Roman"/>
        </w:rPr>
        <w:t>, 228, 289n.</w:t>
      </w:r>
    </w:p>
    <w:p w14:paraId="289198E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Marzano, Marino, 129 e n</w:t>
      </w:r>
      <w:r>
        <w:rPr>
          <w:rFonts w:ascii="Times New Roman" w:hAnsi="Times New Roman" w:cs="Times New Roman"/>
        </w:rPr>
        <w:t>.</w:t>
      </w:r>
    </w:p>
    <w:p w14:paraId="74A3367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Marziale, 191</w:t>
      </w:r>
      <w:r>
        <w:rPr>
          <w:rFonts w:ascii="Times New Roman" w:hAnsi="Times New Roman" w:cs="Times New Roman"/>
        </w:rPr>
        <w:t>.</w:t>
      </w:r>
      <w:r w:rsidRPr="00AB1C99">
        <w:rPr>
          <w:rFonts w:ascii="Times New Roman" w:hAnsi="Times New Roman" w:cs="Times New Roman"/>
        </w:rPr>
        <w:t xml:space="preserve"> </w:t>
      </w:r>
    </w:p>
    <w:p w14:paraId="346CA88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Masaccio, 98</w:t>
      </w:r>
      <w:r>
        <w:rPr>
          <w:rFonts w:ascii="Times New Roman" w:hAnsi="Times New Roman" w:cs="Times New Roman"/>
        </w:rPr>
        <w:t>.</w:t>
      </w:r>
      <w:r w:rsidRPr="00AB1C99">
        <w:rPr>
          <w:rFonts w:ascii="Times New Roman" w:hAnsi="Times New Roman" w:cs="Times New Roman"/>
        </w:rPr>
        <w:t xml:space="preserve"> </w:t>
      </w:r>
    </w:p>
    <w:p w14:paraId="478A194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Massi d’Argentea, Battista</w:t>
      </w:r>
      <w:r>
        <w:rPr>
          <w:rFonts w:ascii="Times New Roman" w:hAnsi="Times New Roman" w:cs="Times New Roman"/>
        </w:rPr>
        <w:t>, 270 e n.</w:t>
      </w:r>
    </w:p>
    <w:p w14:paraId="17F8E1F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Massimiano, imperatore 184</w:t>
      </w:r>
      <w:r>
        <w:rPr>
          <w:rFonts w:ascii="Times New Roman" w:hAnsi="Times New Roman" w:cs="Times New Roman"/>
        </w:rPr>
        <w:t>.</w:t>
      </w:r>
      <w:r w:rsidRPr="00AB1C99">
        <w:rPr>
          <w:rFonts w:ascii="Times New Roman" w:hAnsi="Times New Roman" w:cs="Times New Roman"/>
        </w:rPr>
        <w:t xml:space="preserve"> </w:t>
      </w:r>
    </w:p>
    <w:p w14:paraId="4202399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Maymorero, Daniel</w:t>
      </w:r>
      <w:r>
        <w:rPr>
          <w:rFonts w:ascii="Times New Roman" w:hAnsi="Times New Roman" w:cs="Times New Roman"/>
        </w:rPr>
        <w:t>, 206.</w:t>
      </w:r>
      <w:r w:rsidRPr="00AB1C99">
        <w:rPr>
          <w:rFonts w:ascii="Times New Roman" w:hAnsi="Times New Roman" w:cs="Times New Roman"/>
        </w:rPr>
        <w:t xml:space="preserve"> </w:t>
      </w:r>
    </w:p>
    <w:p w14:paraId="6A67524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Medici, Donato, 99</w:t>
      </w:r>
      <w:r>
        <w:rPr>
          <w:rFonts w:ascii="Times New Roman" w:hAnsi="Times New Roman" w:cs="Times New Roman"/>
        </w:rPr>
        <w:t>.</w:t>
      </w:r>
    </w:p>
    <w:p w14:paraId="18CC6F7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Melchior, Gaspare</w:t>
      </w:r>
      <w:r>
        <w:rPr>
          <w:rFonts w:ascii="Times New Roman" w:hAnsi="Times New Roman" w:cs="Times New Roman"/>
        </w:rPr>
        <w:t>, 205.</w:t>
      </w:r>
    </w:p>
    <w:p w14:paraId="75DE1EB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Mercatello, Ludovico</w:t>
      </w:r>
      <w:r>
        <w:rPr>
          <w:rFonts w:ascii="Times New Roman" w:hAnsi="Times New Roman" w:cs="Times New Roman"/>
        </w:rPr>
        <w:t>, 53n.</w:t>
      </w:r>
    </w:p>
    <w:p w14:paraId="654D72E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Merloni, Barnaba, 137n</w:t>
      </w:r>
      <w:r>
        <w:rPr>
          <w:rFonts w:ascii="Times New Roman" w:hAnsi="Times New Roman" w:cs="Times New Roman"/>
        </w:rPr>
        <w:t>.</w:t>
      </w:r>
      <w:r w:rsidRPr="00AB1C99">
        <w:rPr>
          <w:rFonts w:ascii="Times New Roman" w:hAnsi="Times New Roman" w:cs="Times New Roman"/>
        </w:rPr>
        <w:t xml:space="preserve"> </w:t>
      </w:r>
    </w:p>
    <w:p w14:paraId="673DDDB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Merula, Giorgio, 16 e n, 61, 77, 106, 175n, 176, 184n</w:t>
      </w:r>
      <w:r>
        <w:rPr>
          <w:rFonts w:ascii="Times New Roman" w:hAnsi="Times New Roman" w:cs="Times New Roman"/>
        </w:rPr>
        <w:t>.</w:t>
      </w:r>
    </w:p>
    <w:p w14:paraId="4B6F682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Mesullam ben Menahem, 36</w:t>
      </w:r>
      <w:r>
        <w:rPr>
          <w:rFonts w:ascii="Times New Roman" w:hAnsi="Times New Roman" w:cs="Times New Roman"/>
        </w:rPr>
        <w:t>.</w:t>
      </w:r>
    </w:p>
    <w:p w14:paraId="0BFAB21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Michelozzi, Michelozzo, 20 e n, 21</w:t>
      </w:r>
      <w:r>
        <w:rPr>
          <w:rFonts w:ascii="Times New Roman" w:hAnsi="Times New Roman" w:cs="Times New Roman"/>
        </w:rPr>
        <w:t>.</w:t>
      </w:r>
    </w:p>
    <w:p w14:paraId="2B8F497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Michelozzi, Niccolò, 112n</w:t>
      </w:r>
      <w:r>
        <w:rPr>
          <w:rFonts w:ascii="Times New Roman" w:hAnsi="Times New Roman" w:cs="Times New Roman"/>
        </w:rPr>
        <w:t>.</w:t>
      </w:r>
    </w:p>
    <w:p w14:paraId="33013E2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Mignot, Jean, 180</w:t>
      </w:r>
      <w:r>
        <w:rPr>
          <w:rFonts w:ascii="Times New Roman" w:hAnsi="Times New Roman" w:cs="Times New Roman"/>
        </w:rPr>
        <w:t>.</w:t>
      </w:r>
      <w:r w:rsidRPr="00AB1C99">
        <w:rPr>
          <w:rFonts w:ascii="Times New Roman" w:hAnsi="Times New Roman" w:cs="Times New Roman"/>
        </w:rPr>
        <w:t xml:space="preserve"> </w:t>
      </w:r>
    </w:p>
    <w:p w14:paraId="51BA50A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Minuziano, Alessandro, 78</w:t>
      </w:r>
      <w:r>
        <w:rPr>
          <w:rFonts w:ascii="Times New Roman" w:hAnsi="Times New Roman" w:cs="Times New Roman"/>
        </w:rPr>
        <w:t>.</w:t>
      </w:r>
      <w:r w:rsidRPr="00AB1C99">
        <w:rPr>
          <w:rFonts w:ascii="Times New Roman" w:hAnsi="Times New Roman" w:cs="Times New Roman"/>
        </w:rPr>
        <w:t xml:space="preserve"> </w:t>
      </w:r>
    </w:p>
    <w:p w14:paraId="73B52BD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Misinta, Bernardino, 169</w:t>
      </w:r>
      <w:r>
        <w:rPr>
          <w:rFonts w:ascii="Times New Roman" w:hAnsi="Times New Roman" w:cs="Times New Roman"/>
        </w:rPr>
        <w:t>.</w:t>
      </w:r>
      <w:r w:rsidRPr="00AB1C99">
        <w:rPr>
          <w:rFonts w:ascii="Times New Roman" w:hAnsi="Times New Roman" w:cs="Times New Roman"/>
        </w:rPr>
        <w:t xml:space="preserve"> </w:t>
      </w:r>
    </w:p>
    <w:p w14:paraId="0860167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Molino, Pietro</w:t>
      </w:r>
      <w:r>
        <w:rPr>
          <w:rFonts w:ascii="Times New Roman" w:hAnsi="Times New Roman" w:cs="Times New Roman"/>
        </w:rPr>
        <w:t>, 52n.</w:t>
      </w:r>
      <w:r w:rsidRPr="00AB1C99">
        <w:rPr>
          <w:rFonts w:ascii="Times New Roman" w:hAnsi="Times New Roman" w:cs="Times New Roman"/>
        </w:rPr>
        <w:t xml:space="preserve"> </w:t>
      </w:r>
    </w:p>
    <w:p w14:paraId="694AF67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Mombrizio, Bonino, 89n</w:t>
      </w:r>
      <w:r>
        <w:rPr>
          <w:rFonts w:ascii="Times New Roman" w:hAnsi="Times New Roman" w:cs="Times New Roman"/>
        </w:rPr>
        <w:t>.</w:t>
      </w:r>
      <w:r w:rsidRPr="00AB1C99">
        <w:rPr>
          <w:rFonts w:ascii="Times New Roman" w:hAnsi="Times New Roman" w:cs="Times New Roman"/>
        </w:rPr>
        <w:t xml:space="preserve"> </w:t>
      </w:r>
    </w:p>
    <w:p w14:paraId="7BDF5E7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Montano, Cola, 171</w:t>
      </w:r>
      <w:r>
        <w:rPr>
          <w:rFonts w:ascii="Times New Roman" w:hAnsi="Times New Roman" w:cs="Times New Roman"/>
        </w:rPr>
        <w:t>.</w:t>
      </w:r>
    </w:p>
    <w:p w14:paraId="433816D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Moravo, Mattia</w:t>
      </w:r>
      <w:r>
        <w:rPr>
          <w:rFonts w:ascii="Times New Roman" w:hAnsi="Times New Roman" w:cs="Times New Roman"/>
        </w:rPr>
        <w:t>, 52n.</w:t>
      </w:r>
      <w:r w:rsidRPr="00AB1C99">
        <w:rPr>
          <w:rFonts w:ascii="Times New Roman" w:hAnsi="Times New Roman" w:cs="Times New Roman"/>
        </w:rPr>
        <w:t xml:space="preserve"> </w:t>
      </w:r>
    </w:p>
    <w:p w14:paraId="59D1B3B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Móré, János</w:t>
      </w:r>
      <w:r>
        <w:rPr>
          <w:rFonts w:ascii="Times New Roman" w:hAnsi="Times New Roman" w:cs="Times New Roman"/>
        </w:rPr>
        <w:t>, 107.</w:t>
      </w:r>
    </w:p>
    <w:p w14:paraId="5CE92DE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Morosini, Giuseppe, 126 e n. </w:t>
      </w:r>
    </w:p>
    <w:p w14:paraId="7891F0D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Muralto, Francesco, 119</w:t>
      </w:r>
      <w:r>
        <w:rPr>
          <w:rFonts w:ascii="Times New Roman" w:hAnsi="Times New Roman" w:cs="Times New Roman"/>
        </w:rPr>
        <w:t>.</w:t>
      </w:r>
    </w:p>
    <w:p w14:paraId="11D2769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Nadi, Gaspare</w:t>
      </w:r>
      <w:r>
        <w:rPr>
          <w:rFonts w:ascii="Times New Roman" w:hAnsi="Times New Roman" w:cs="Times New Roman"/>
        </w:rPr>
        <w:t>, 222.</w:t>
      </w:r>
    </w:p>
    <w:p w14:paraId="521BBE0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Naldi, Naldo, 4, 105, 107-114, 123, 127, 150, 152, 161</w:t>
      </w:r>
      <w:r>
        <w:rPr>
          <w:rFonts w:ascii="Times New Roman" w:hAnsi="Times New Roman" w:cs="Times New Roman"/>
        </w:rPr>
        <w:t>, 328.</w:t>
      </w:r>
    </w:p>
    <w:p w14:paraId="0D56814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Nappi, Cesare, 154n, 156n</w:t>
      </w:r>
      <w:r>
        <w:rPr>
          <w:rFonts w:ascii="Times New Roman" w:hAnsi="Times New Roman" w:cs="Times New Roman"/>
        </w:rPr>
        <w:t>.</w:t>
      </w:r>
      <w:r w:rsidRPr="00AB1C99">
        <w:rPr>
          <w:rFonts w:ascii="Times New Roman" w:hAnsi="Times New Roman" w:cs="Times New Roman"/>
        </w:rPr>
        <w:t xml:space="preserve">  </w:t>
      </w:r>
    </w:p>
    <w:p w14:paraId="4AA9DC4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Negri, Francesco, 148-149</w:t>
      </w:r>
      <w:r>
        <w:rPr>
          <w:rFonts w:ascii="Times New Roman" w:hAnsi="Times New Roman" w:cs="Times New Roman"/>
        </w:rPr>
        <w:t>.</w:t>
      </w:r>
      <w:r w:rsidRPr="00AB1C99">
        <w:rPr>
          <w:rFonts w:ascii="Times New Roman" w:hAnsi="Times New Roman" w:cs="Times New Roman"/>
        </w:rPr>
        <w:t xml:space="preserve"> </w:t>
      </w:r>
    </w:p>
    <w:p w14:paraId="7175649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Niccoli, Niccolò, 21 e n, 70, 96, 97n</w:t>
      </w:r>
      <w:r>
        <w:rPr>
          <w:rFonts w:ascii="Times New Roman" w:hAnsi="Times New Roman" w:cs="Times New Roman"/>
        </w:rPr>
        <w:t>.</w:t>
      </w:r>
      <w:r w:rsidRPr="00AB1C99">
        <w:rPr>
          <w:rFonts w:ascii="Times New Roman" w:hAnsi="Times New Roman" w:cs="Times New Roman"/>
        </w:rPr>
        <w:t xml:space="preserve"> </w:t>
      </w:r>
    </w:p>
    <w:p w14:paraId="3F9FEC6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Niccolò V (papa, Tommaso Parentucelli) 26-27, 55, 70-72, 99, 149n</w:t>
      </w:r>
      <w:r>
        <w:rPr>
          <w:rFonts w:ascii="Times New Roman" w:hAnsi="Times New Roman" w:cs="Times New Roman"/>
        </w:rPr>
        <w:t>.</w:t>
      </w:r>
    </w:p>
    <w:p w14:paraId="753D5AF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Nigrisoli, Bartolomeo, 19n</w:t>
      </w:r>
      <w:r>
        <w:rPr>
          <w:rFonts w:ascii="Times New Roman" w:hAnsi="Times New Roman" w:cs="Times New Roman"/>
        </w:rPr>
        <w:t>.</w:t>
      </w:r>
      <w:r w:rsidRPr="00AB1C99">
        <w:rPr>
          <w:rFonts w:ascii="Times New Roman" w:hAnsi="Times New Roman" w:cs="Times New Roman"/>
        </w:rPr>
        <w:t xml:space="preserve"> </w:t>
      </w:r>
    </w:p>
    <w:p w14:paraId="4DD7F2B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Novello, Malatesta, 34</w:t>
      </w:r>
      <w:r>
        <w:rPr>
          <w:rFonts w:ascii="Times New Roman" w:hAnsi="Times New Roman" w:cs="Times New Roman"/>
        </w:rPr>
        <w:t>.</w:t>
      </w:r>
      <w:r w:rsidRPr="00AB1C99">
        <w:rPr>
          <w:rFonts w:ascii="Times New Roman" w:hAnsi="Times New Roman" w:cs="Times New Roman"/>
        </w:rPr>
        <w:t xml:space="preserve"> </w:t>
      </w:r>
    </w:p>
    <w:p w14:paraId="70869AC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Nuti, Antonio da Mercatello, 116</w:t>
      </w:r>
      <w:r>
        <w:rPr>
          <w:rFonts w:ascii="Times New Roman" w:hAnsi="Times New Roman" w:cs="Times New Roman"/>
        </w:rPr>
        <w:t>.</w:t>
      </w:r>
    </w:p>
    <w:p w14:paraId="76EC0D9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Onorio III, (papa Cencio Savelli)</w:t>
      </w:r>
      <w:r>
        <w:rPr>
          <w:rFonts w:ascii="Times New Roman" w:hAnsi="Times New Roman" w:cs="Times New Roman"/>
        </w:rPr>
        <w:t>, 212.</w:t>
      </w:r>
    </w:p>
    <w:p w14:paraId="58D269A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Onorio, imperatore, 198</w:t>
      </w:r>
      <w:r>
        <w:rPr>
          <w:rFonts w:ascii="Times New Roman" w:hAnsi="Times New Roman" w:cs="Times New Roman"/>
        </w:rPr>
        <w:t>.</w:t>
      </w:r>
    </w:p>
    <w:p w14:paraId="1B2BA84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Ordelaffi, Pino</w:t>
      </w:r>
      <w:r>
        <w:rPr>
          <w:rFonts w:ascii="Times New Roman" w:hAnsi="Times New Roman" w:cs="Times New Roman"/>
        </w:rPr>
        <w:t>, 289.</w:t>
      </w:r>
    </w:p>
    <w:p w14:paraId="74E43EC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Origene, 71</w:t>
      </w:r>
      <w:r>
        <w:rPr>
          <w:rFonts w:ascii="Times New Roman" w:hAnsi="Times New Roman" w:cs="Times New Roman"/>
        </w:rPr>
        <w:t>.</w:t>
      </w:r>
    </w:p>
    <w:p w14:paraId="734949F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Orsini, Clarice, 151 e n</w:t>
      </w:r>
      <w:r>
        <w:rPr>
          <w:rFonts w:ascii="Times New Roman" w:hAnsi="Times New Roman" w:cs="Times New Roman"/>
        </w:rPr>
        <w:t>.</w:t>
      </w:r>
    </w:p>
    <w:p w14:paraId="5DA72AF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Orsini, Niccolò, 150n</w:t>
      </w:r>
      <w:r>
        <w:rPr>
          <w:rFonts w:ascii="Times New Roman" w:hAnsi="Times New Roman" w:cs="Times New Roman"/>
        </w:rPr>
        <w:t>.</w:t>
      </w:r>
      <w:r w:rsidRPr="00AB1C99">
        <w:rPr>
          <w:rFonts w:ascii="Times New Roman" w:hAnsi="Times New Roman" w:cs="Times New Roman"/>
        </w:rPr>
        <w:t xml:space="preserve">  </w:t>
      </w:r>
    </w:p>
    <w:p w14:paraId="71286CB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Orsini, Onorata, 94</w:t>
      </w:r>
      <w:r>
        <w:rPr>
          <w:rFonts w:ascii="Times New Roman" w:hAnsi="Times New Roman" w:cs="Times New Roman"/>
        </w:rPr>
        <w:t>.</w:t>
      </w:r>
      <w:r w:rsidRPr="00AB1C99">
        <w:rPr>
          <w:rFonts w:ascii="Times New Roman" w:hAnsi="Times New Roman" w:cs="Times New Roman"/>
        </w:rPr>
        <w:t xml:space="preserve"> </w:t>
      </w:r>
    </w:p>
    <w:p w14:paraId="36E0B08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Orsoni, Gabriele, 171</w:t>
      </w:r>
      <w:r>
        <w:rPr>
          <w:rFonts w:ascii="Times New Roman" w:hAnsi="Times New Roman" w:cs="Times New Roman"/>
        </w:rPr>
        <w:t>.</w:t>
      </w:r>
    </w:p>
    <w:p w14:paraId="64E02BE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Ovidio, 72</w:t>
      </w:r>
      <w:r>
        <w:rPr>
          <w:rFonts w:ascii="Times New Roman" w:hAnsi="Times New Roman" w:cs="Times New Roman"/>
        </w:rPr>
        <w:t>.</w:t>
      </w:r>
    </w:p>
    <w:p w14:paraId="07009A4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Pachel, Leonhard, 154, 170n, </w:t>
      </w:r>
      <w:r>
        <w:rPr>
          <w:rFonts w:ascii="Times New Roman" w:hAnsi="Times New Roman" w:cs="Times New Roman"/>
        </w:rPr>
        <w:t>199, 202.</w:t>
      </w:r>
    </w:p>
    <w:p w14:paraId="3D2C58F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Paliotto, Vincenzo, 160</w:t>
      </w:r>
      <w:r>
        <w:rPr>
          <w:rFonts w:ascii="Times New Roman" w:hAnsi="Times New Roman" w:cs="Times New Roman"/>
        </w:rPr>
        <w:t>.</w:t>
      </w:r>
    </w:p>
    <w:p w14:paraId="695D98C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Pallavicino, Gian Francesco, 195 e n, </w:t>
      </w:r>
      <w:r>
        <w:rPr>
          <w:rFonts w:ascii="Times New Roman" w:hAnsi="Times New Roman" w:cs="Times New Roman"/>
        </w:rPr>
        <w:t>210.</w:t>
      </w:r>
    </w:p>
    <w:p w14:paraId="46BBDC9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Pallavicino, Orlando, 170</w:t>
      </w:r>
      <w:r>
        <w:rPr>
          <w:rFonts w:ascii="Times New Roman" w:hAnsi="Times New Roman" w:cs="Times New Roman"/>
        </w:rPr>
        <w:t>.</w:t>
      </w:r>
      <w:r w:rsidRPr="00AB1C99">
        <w:rPr>
          <w:rFonts w:ascii="Times New Roman" w:hAnsi="Times New Roman" w:cs="Times New Roman"/>
        </w:rPr>
        <w:t xml:space="preserve"> </w:t>
      </w:r>
    </w:p>
    <w:p w14:paraId="300A912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Paolo II (papa, Pietro Barbo), 28, 45 e n, 57, 58n, 128n, 149n</w:t>
      </w:r>
      <w:r>
        <w:rPr>
          <w:rFonts w:ascii="Times New Roman" w:hAnsi="Times New Roman" w:cs="Times New Roman"/>
        </w:rPr>
        <w:t>, 221n, 222, 225.</w:t>
      </w:r>
    </w:p>
    <w:p w14:paraId="20706303" w14:textId="77777777" w:rsidR="00337C20" w:rsidRDefault="00337C20" w:rsidP="00337C20">
      <w:pPr>
        <w:jc w:val="both"/>
        <w:rPr>
          <w:rFonts w:ascii="Times New Roman" w:hAnsi="Times New Roman" w:cs="Times New Roman"/>
        </w:rPr>
      </w:pPr>
      <w:r w:rsidRPr="00AB1C99">
        <w:rPr>
          <w:rFonts w:ascii="Times New Roman" w:hAnsi="Times New Roman" w:cs="Times New Roman"/>
        </w:rPr>
        <w:t>Pencaro, Giovanni</w:t>
      </w:r>
      <w:r>
        <w:rPr>
          <w:rFonts w:ascii="Times New Roman" w:hAnsi="Times New Roman" w:cs="Times New Roman"/>
        </w:rPr>
        <w:t>, 315.</w:t>
      </w:r>
    </w:p>
    <w:p w14:paraId="129320A4" w14:textId="77777777" w:rsidR="00337C20" w:rsidRPr="00AB1C99" w:rsidRDefault="00337C20" w:rsidP="00337C20">
      <w:pPr>
        <w:jc w:val="both"/>
        <w:rPr>
          <w:rFonts w:ascii="Times New Roman" w:hAnsi="Times New Roman" w:cs="Times New Roman"/>
        </w:rPr>
      </w:pPr>
      <w:r>
        <w:rPr>
          <w:rFonts w:ascii="Times New Roman" w:hAnsi="Times New Roman" w:cs="Times New Roman"/>
        </w:rPr>
        <w:t>Palazzi, Lazzaro, 205n.</w:t>
      </w:r>
      <w:r w:rsidRPr="00AB1C99">
        <w:rPr>
          <w:rFonts w:ascii="Times New Roman" w:hAnsi="Times New Roman" w:cs="Times New Roman"/>
        </w:rPr>
        <w:t xml:space="preserve"> </w:t>
      </w:r>
    </w:p>
    <w:p w14:paraId="3157F00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Pandolfini, Battista, 32</w:t>
      </w:r>
      <w:r>
        <w:rPr>
          <w:rFonts w:ascii="Times New Roman" w:hAnsi="Times New Roman" w:cs="Times New Roman"/>
        </w:rPr>
        <w:t>.</w:t>
      </w:r>
      <w:r w:rsidRPr="00AB1C99">
        <w:rPr>
          <w:rFonts w:ascii="Times New Roman" w:hAnsi="Times New Roman" w:cs="Times New Roman"/>
        </w:rPr>
        <w:t xml:space="preserve"> </w:t>
      </w:r>
    </w:p>
    <w:p w14:paraId="15A0C63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Panfilo, Girolamo, 155, 161</w:t>
      </w:r>
      <w:r>
        <w:rPr>
          <w:rFonts w:ascii="Times New Roman" w:hAnsi="Times New Roman" w:cs="Times New Roman"/>
        </w:rPr>
        <w:t>.</w:t>
      </w:r>
    </w:p>
    <w:p w14:paraId="53E1EFB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Panigarola, Giovan Pietro</w:t>
      </w:r>
      <w:r>
        <w:rPr>
          <w:rFonts w:ascii="Times New Roman" w:hAnsi="Times New Roman" w:cs="Times New Roman"/>
        </w:rPr>
        <w:t>, 236.</w:t>
      </w:r>
      <w:r w:rsidRPr="00AB1C99">
        <w:rPr>
          <w:rFonts w:ascii="Times New Roman" w:hAnsi="Times New Roman" w:cs="Times New Roman"/>
        </w:rPr>
        <w:t xml:space="preserve"> </w:t>
      </w:r>
    </w:p>
    <w:p w14:paraId="1DB7473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Pannartz, Arnold, 5, 56 e n, 57, 58, 59</w:t>
      </w:r>
      <w:r>
        <w:rPr>
          <w:rFonts w:ascii="Times New Roman" w:hAnsi="Times New Roman" w:cs="Times New Roman"/>
        </w:rPr>
        <w:t>.</w:t>
      </w:r>
    </w:p>
    <w:p w14:paraId="1B33876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Pannonio, Giano, 106n</w:t>
      </w:r>
      <w:r>
        <w:rPr>
          <w:rFonts w:ascii="Times New Roman" w:hAnsi="Times New Roman" w:cs="Times New Roman"/>
        </w:rPr>
        <w:t>.</w:t>
      </w:r>
    </w:p>
    <w:p w14:paraId="22DE81B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Pannonio, Michele, 41n, 44</w:t>
      </w:r>
      <w:r>
        <w:rPr>
          <w:rFonts w:ascii="Times New Roman" w:hAnsi="Times New Roman" w:cs="Times New Roman"/>
        </w:rPr>
        <w:t>.</w:t>
      </w:r>
    </w:p>
    <w:p w14:paraId="4D240B2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Pannetti, Battista, 61</w:t>
      </w:r>
      <w:r>
        <w:rPr>
          <w:rFonts w:ascii="Times New Roman" w:hAnsi="Times New Roman" w:cs="Times New Roman"/>
        </w:rPr>
        <w:t>.</w:t>
      </w:r>
      <w:r w:rsidRPr="00AB1C99">
        <w:rPr>
          <w:rFonts w:ascii="Times New Roman" w:hAnsi="Times New Roman" w:cs="Times New Roman"/>
        </w:rPr>
        <w:t xml:space="preserve"> </w:t>
      </w:r>
    </w:p>
    <w:p w14:paraId="7ACC825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Paolo Emilio</w:t>
      </w:r>
      <w:r>
        <w:rPr>
          <w:rFonts w:ascii="Times New Roman" w:hAnsi="Times New Roman" w:cs="Times New Roman"/>
        </w:rPr>
        <w:t>, 248.</w:t>
      </w:r>
    </w:p>
    <w:p w14:paraId="12B09BF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Parenti, Marco, 151</w:t>
      </w:r>
      <w:r>
        <w:rPr>
          <w:rFonts w:ascii="Times New Roman" w:hAnsi="Times New Roman" w:cs="Times New Roman"/>
        </w:rPr>
        <w:t>, 223</w:t>
      </w:r>
      <w:r w:rsidRPr="00AB1C99">
        <w:rPr>
          <w:rFonts w:ascii="Times New Roman" w:hAnsi="Times New Roman" w:cs="Times New Roman"/>
        </w:rPr>
        <w:t xml:space="preserve"> </w:t>
      </w:r>
      <w:r>
        <w:rPr>
          <w:rFonts w:ascii="Times New Roman" w:hAnsi="Times New Roman" w:cs="Times New Roman"/>
        </w:rPr>
        <w:t>e n.</w:t>
      </w:r>
    </w:p>
    <w:p w14:paraId="1C5C4FA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Parentucelli Tommaso, vedi Niccolò V</w:t>
      </w:r>
      <w:r>
        <w:rPr>
          <w:rFonts w:ascii="Times New Roman" w:hAnsi="Times New Roman" w:cs="Times New Roman"/>
        </w:rPr>
        <w:t>.</w:t>
      </w:r>
    </w:p>
    <w:p w14:paraId="1C67F23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Parler, Heinrich, 180</w:t>
      </w:r>
      <w:r>
        <w:rPr>
          <w:rFonts w:ascii="Times New Roman" w:hAnsi="Times New Roman" w:cs="Times New Roman"/>
        </w:rPr>
        <w:t>.</w:t>
      </w:r>
    </w:p>
    <w:p w14:paraId="5AC2EA5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Passero, Giuliano</w:t>
      </w:r>
      <w:r>
        <w:rPr>
          <w:rFonts w:ascii="Times New Roman" w:hAnsi="Times New Roman" w:cs="Times New Roman"/>
        </w:rPr>
        <w:t>, 292.</w:t>
      </w:r>
      <w:r w:rsidRPr="00AB1C99">
        <w:rPr>
          <w:rFonts w:ascii="Times New Roman" w:hAnsi="Times New Roman" w:cs="Times New Roman"/>
        </w:rPr>
        <w:t xml:space="preserve"> </w:t>
      </w:r>
    </w:p>
    <w:p w14:paraId="02A4C95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Patrizi Piccolomini, Agostino, 184n</w:t>
      </w:r>
      <w:r>
        <w:rPr>
          <w:rFonts w:ascii="Times New Roman" w:hAnsi="Times New Roman" w:cs="Times New Roman"/>
        </w:rPr>
        <w:t>, 212, 237.</w:t>
      </w:r>
    </w:p>
    <w:p w14:paraId="06CD289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Paveri Fontana, Gabriele, 170-171</w:t>
      </w:r>
      <w:r>
        <w:rPr>
          <w:rFonts w:ascii="Times New Roman" w:hAnsi="Times New Roman" w:cs="Times New Roman"/>
        </w:rPr>
        <w:t>.</w:t>
      </w:r>
      <w:r w:rsidRPr="00AB1C99">
        <w:rPr>
          <w:rFonts w:ascii="Times New Roman" w:hAnsi="Times New Roman" w:cs="Times New Roman"/>
        </w:rPr>
        <w:t xml:space="preserve"> </w:t>
      </w:r>
    </w:p>
    <w:p w14:paraId="079AC06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Pecci, Tomasso, 95</w:t>
      </w:r>
      <w:r>
        <w:rPr>
          <w:rFonts w:ascii="Times New Roman" w:hAnsi="Times New Roman" w:cs="Times New Roman"/>
        </w:rPr>
        <w:t>, 224, 229.</w:t>
      </w:r>
      <w:r w:rsidRPr="00AB1C99">
        <w:rPr>
          <w:rFonts w:ascii="Times New Roman" w:hAnsi="Times New Roman" w:cs="Times New Roman"/>
        </w:rPr>
        <w:t xml:space="preserve"> </w:t>
      </w:r>
    </w:p>
    <w:p w14:paraId="56D361C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Pepoli, Guido, 155</w:t>
      </w:r>
      <w:r>
        <w:rPr>
          <w:rFonts w:ascii="Times New Roman" w:hAnsi="Times New Roman" w:cs="Times New Roman"/>
        </w:rPr>
        <w:t>.</w:t>
      </w:r>
    </w:p>
    <w:p w14:paraId="065B1FB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Perotti, Niccolò, 27, </w:t>
      </w:r>
      <w:r>
        <w:rPr>
          <w:rFonts w:ascii="Times New Roman" w:hAnsi="Times New Roman" w:cs="Times New Roman"/>
        </w:rPr>
        <w:t>301.</w:t>
      </w:r>
    </w:p>
    <w:p w14:paraId="70DC44D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Persona, Cristoforo, 30</w:t>
      </w:r>
      <w:r>
        <w:rPr>
          <w:rFonts w:ascii="Times New Roman" w:hAnsi="Times New Roman" w:cs="Times New Roman"/>
        </w:rPr>
        <w:t>.</w:t>
      </w:r>
      <w:r w:rsidRPr="00AB1C99">
        <w:rPr>
          <w:rFonts w:ascii="Times New Roman" w:hAnsi="Times New Roman" w:cs="Times New Roman"/>
        </w:rPr>
        <w:t xml:space="preserve"> </w:t>
      </w:r>
    </w:p>
    <w:p w14:paraId="4D4996A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Petrarca, Francesco, 11, 12n, 14, 15 e n, 20n, 36, 39, 107, 169</w:t>
      </w:r>
      <w:r>
        <w:rPr>
          <w:rFonts w:ascii="Times New Roman" w:hAnsi="Times New Roman" w:cs="Times New Roman"/>
        </w:rPr>
        <w:t>, 237 e n, 250, 251, 273n.</w:t>
      </w:r>
    </w:p>
    <w:p w14:paraId="1B25D83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Petronio</w:t>
      </w:r>
      <w:r>
        <w:rPr>
          <w:rFonts w:ascii="Times New Roman" w:hAnsi="Times New Roman" w:cs="Times New Roman"/>
        </w:rPr>
        <w:t>, 270.</w:t>
      </w:r>
      <w:r w:rsidRPr="00AB1C99">
        <w:rPr>
          <w:rFonts w:ascii="Times New Roman" w:hAnsi="Times New Roman" w:cs="Times New Roman"/>
        </w:rPr>
        <w:t xml:space="preserve"> </w:t>
      </w:r>
    </w:p>
    <w:p w14:paraId="15E3A0E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Petrucci, Antonello, 33, 52, 84</w:t>
      </w:r>
      <w:r>
        <w:rPr>
          <w:rFonts w:ascii="Times New Roman" w:hAnsi="Times New Roman" w:cs="Times New Roman"/>
        </w:rPr>
        <w:t>.</w:t>
      </w:r>
    </w:p>
    <w:p w14:paraId="589F796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Petrucci, Giovanni Antonio, 65</w:t>
      </w:r>
      <w:r>
        <w:rPr>
          <w:rFonts w:ascii="Times New Roman" w:hAnsi="Times New Roman" w:cs="Times New Roman"/>
        </w:rPr>
        <w:t>.</w:t>
      </w:r>
    </w:p>
    <w:p w14:paraId="79006D6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Petrucci, Francesco, 65</w:t>
      </w:r>
      <w:r>
        <w:rPr>
          <w:rFonts w:ascii="Times New Roman" w:hAnsi="Times New Roman" w:cs="Times New Roman"/>
        </w:rPr>
        <w:t>.</w:t>
      </w:r>
    </w:p>
    <w:p w14:paraId="2073041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Piccinino, Giacomo</w:t>
      </w:r>
      <w:r>
        <w:rPr>
          <w:rFonts w:ascii="Times New Roman" w:hAnsi="Times New Roman" w:cs="Times New Roman"/>
        </w:rPr>
        <w:t>, 225.</w:t>
      </w:r>
      <w:r w:rsidRPr="00AB1C99">
        <w:rPr>
          <w:rFonts w:ascii="Times New Roman" w:hAnsi="Times New Roman" w:cs="Times New Roman"/>
        </w:rPr>
        <w:t xml:space="preserve"> </w:t>
      </w:r>
    </w:p>
    <w:p w14:paraId="77705B7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Piccolomini, Enea Silvio, vedi Pio II</w:t>
      </w:r>
      <w:r>
        <w:rPr>
          <w:rFonts w:ascii="Times New Roman" w:hAnsi="Times New Roman" w:cs="Times New Roman"/>
        </w:rPr>
        <w:t>.</w:t>
      </w:r>
    </w:p>
    <w:p w14:paraId="2C72BDA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Pico della Mirandola, Giovanni, 25, </w:t>
      </w:r>
      <w:r>
        <w:rPr>
          <w:rFonts w:ascii="Times New Roman" w:hAnsi="Times New Roman" w:cs="Times New Roman"/>
        </w:rPr>
        <w:t>261n.</w:t>
      </w:r>
    </w:p>
    <w:p w14:paraId="48E2713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Pico della Mirandola, Anton Maria</w:t>
      </w:r>
      <w:r>
        <w:rPr>
          <w:rFonts w:ascii="Times New Roman" w:hAnsi="Times New Roman" w:cs="Times New Roman"/>
        </w:rPr>
        <w:t>, 261 e n.</w:t>
      </w:r>
    </w:p>
    <w:p w14:paraId="321EBBC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Pierozzi, Antonino sant’</w:t>
      </w:r>
      <w:r>
        <w:rPr>
          <w:rFonts w:ascii="Times New Roman" w:hAnsi="Times New Roman" w:cs="Times New Roman"/>
        </w:rPr>
        <w:t>, 300.</w:t>
      </w:r>
    </w:p>
    <w:p w14:paraId="6017795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Pieruzzi, Filippo, 21, 22</w:t>
      </w:r>
      <w:r>
        <w:rPr>
          <w:rFonts w:ascii="Times New Roman" w:hAnsi="Times New Roman" w:cs="Times New Roman"/>
        </w:rPr>
        <w:t>.</w:t>
      </w:r>
    </w:p>
    <w:p w14:paraId="7F97F97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Pinturicchio</w:t>
      </w:r>
      <w:r>
        <w:rPr>
          <w:rFonts w:ascii="Times New Roman" w:hAnsi="Times New Roman" w:cs="Times New Roman"/>
        </w:rPr>
        <w:t>, 28, 143n.</w:t>
      </w:r>
    </w:p>
    <w:p w14:paraId="04494C4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Pio II, (papa, Enea Silvio Piccolomini), 13, 28, 55, 73n, 93, 169n, 179n, 193</w:t>
      </w:r>
      <w:r>
        <w:rPr>
          <w:rFonts w:ascii="Times New Roman" w:hAnsi="Times New Roman" w:cs="Times New Roman"/>
        </w:rPr>
        <w:t>, 219, 223n, 258n, 306.</w:t>
      </w:r>
    </w:p>
    <w:p w14:paraId="0B000CB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Pio, Cleofe da Carpi</w:t>
      </w:r>
      <w:r>
        <w:rPr>
          <w:rFonts w:ascii="Times New Roman" w:hAnsi="Times New Roman" w:cs="Times New Roman"/>
        </w:rPr>
        <w:t>, 245.</w:t>
      </w:r>
    </w:p>
    <w:p w14:paraId="1BF5C3C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Pisanello, 44, 69n</w:t>
      </w:r>
      <w:r>
        <w:rPr>
          <w:rFonts w:ascii="Times New Roman" w:hAnsi="Times New Roman" w:cs="Times New Roman"/>
        </w:rPr>
        <w:t>.</w:t>
      </w:r>
    </w:p>
    <w:p w14:paraId="3E6421E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Pizzardo, Barnaba, 131</w:t>
      </w:r>
      <w:r>
        <w:rPr>
          <w:rFonts w:ascii="Times New Roman" w:hAnsi="Times New Roman" w:cs="Times New Roman"/>
        </w:rPr>
        <w:t>.</w:t>
      </w:r>
    </w:p>
    <w:p w14:paraId="227468E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Planck, Stefano, 184n</w:t>
      </w:r>
      <w:r>
        <w:rPr>
          <w:rFonts w:ascii="Times New Roman" w:hAnsi="Times New Roman" w:cs="Times New Roman"/>
        </w:rPr>
        <w:t>.</w:t>
      </w:r>
    </w:p>
    <w:p w14:paraId="66E8B67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Planella, Antonio, 59, 60 e n</w:t>
      </w:r>
      <w:r>
        <w:rPr>
          <w:rFonts w:ascii="Times New Roman" w:hAnsi="Times New Roman" w:cs="Times New Roman"/>
        </w:rPr>
        <w:t>.</w:t>
      </w:r>
    </w:p>
    <w:p w14:paraId="08ADB41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Platina, Bartolomeo, 7, 29, 30 e n, 128n</w:t>
      </w:r>
      <w:r>
        <w:rPr>
          <w:rFonts w:ascii="Times New Roman" w:hAnsi="Times New Roman" w:cs="Times New Roman"/>
        </w:rPr>
        <w:t>, 270 e n.</w:t>
      </w:r>
    </w:p>
    <w:p w14:paraId="0AE20E8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Plauto, 42, 153, 192n, 193n</w:t>
      </w:r>
      <w:r>
        <w:rPr>
          <w:rFonts w:ascii="Times New Roman" w:hAnsi="Times New Roman" w:cs="Times New Roman"/>
        </w:rPr>
        <w:t>, 309 e n, 311, 313, 314.</w:t>
      </w:r>
    </w:p>
    <w:p w14:paraId="1D5316E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Plinio, 13, 42, 52n, 72, 99, 120, 123n, 175, 180, 186, 191</w:t>
      </w:r>
      <w:r>
        <w:rPr>
          <w:rFonts w:ascii="Times New Roman" w:hAnsi="Times New Roman" w:cs="Times New Roman"/>
        </w:rPr>
        <w:t>, 280.</w:t>
      </w:r>
    </w:p>
    <w:p w14:paraId="17A32E1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Plutarco, 12, 72</w:t>
      </w:r>
      <w:r>
        <w:rPr>
          <w:rFonts w:ascii="Times New Roman" w:hAnsi="Times New Roman" w:cs="Times New Roman"/>
        </w:rPr>
        <w:t>.</w:t>
      </w:r>
    </w:p>
    <w:p w14:paraId="6A2BA70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Poccino, Paola</w:t>
      </w:r>
      <w:r>
        <w:rPr>
          <w:rFonts w:ascii="Times New Roman" w:hAnsi="Times New Roman" w:cs="Times New Roman"/>
        </w:rPr>
        <w:t>, 322.</w:t>
      </w:r>
    </w:p>
    <w:p w14:paraId="27B2C73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Poccino, Paolo</w:t>
      </w:r>
      <w:r>
        <w:rPr>
          <w:rFonts w:ascii="Times New Roman" w:hAnsi="Times New Roman" w:cs="Times New Roman"/>
        </w:rPr>
        <w:t>, 322.</w:t>
      </w:r>
      <w:r w:rsidRPr="00AB1C99">
        <w:rPr>
          <w:rFonts w:ascii="Times New Roman" w:hAnsi="Times New Roman" w:cs="Times New Roman"/>
        </w:rPr>
        <w:t xml:space="preserve"> </w:t>
      </w:r>
    </w:p>
    <w:p w14:paraId="1091CB33" w14:textId="77777777" w:rsidR="00337C20" w:rsidRDefault="00337C20" w:rsidP="00337C20">
      <w:pPr>
        <w:jc w:val="both"/>
        <w:rPr>
          <w:rFonts w:ascii="Times New Roman" w:hAnsi="Times New Roman" w:cs="Times New Roman"/>
        </w:rPr>
      </w:pPr>
      <w:r w:rsidRPr="00AB1C99">
        <w:rPr>
          <w:rFonts w:ascii="Times New Roman" w:hAnsi="Times New Roman" w:cs="Times New Roman"/>
        </w:rPr>
        <w:t>Polani, Niccolò, 56</w:t>
      </w:r>
      <w:r>
        <w:rPr>
          <w:rFonts w:ascii="Times New Roman" w:hAnsi="Times New Roman" w:cs="Times New Roman"/>
        </w:rPr>
        <w:t>.</w:t>
      </w:r>
      <w:r w:rsidRPr="00AB1C99">
        <w:rPr>
          <w:rFonts w:ascii="Times New Roman" w:hAnsi="Times New Roman" w:cs="Times New Roman"/>
        </w:rPr>
        <w:t xml:space="preserve"> </w:t>
      </w:r>
    </w:p>
    <w:p w14:paraId="442D0FCF" w14:textId="77777777" w:rsidR="00337C20" w:rsidRPr="00AB1C99" w:rsidRDefault="00337C20" w:rsidP="00337C20">
      <w:pPr>
        <w:jc w:val="both"/>
        <w:rPr>
          <w:rFonts w:ascii="Times New Roman" w:hAnsi="Times New Roman" w:cs="Times New Roman"/>
        </w:rPr>
      </w:pPr>
      <w:r>
        <w:rPr>
          <w:rFonts w:ascii="Times New Roman" w:hAnsi="Times New Roman" w:cs="Times New Roman"/>
        </w:rPr>
        <w:t>Polono, Antonio, 213.</w:t>
      </w:r>
    </w:p>
    <w:p w14:paraId="0FC45F7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Pollaiolo, Antonio, 118</w:t>
      </w:r>
      <w:r>
        <w:rPr>
          <w:rFonts w:ascii="Times New Roman" w:hAnsi="Times New Roman" w:cs="Times New Roman"/>
        </w:rPr>
        <w:t>.</w:t>
      </w:r>
    </w:p>
    <w:p w14:paraId="7B8EA42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Polo, Marco, 68</w:t>
      </w:r>
      <w:r>
        <w:rPr>
          <w:rFonts w:ascii="Times New Roman" w:hAnsi="Times New Roman" w:cs="Times New Roman"/>
        </w:rPr>
        <w:t>.</w:t>
      </w:r>
    </w:p>
    <w:p w14:paraId="2A3C632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Pompeo Trogo, 32</w:t>
      </w:r>
      <w:r>
        <w:rPr>
          <w:rFonts w:ascii="Times New Roman" w:hAnsi="Times New Roman" w:cs="Times New Roman"/>
        </w:rPr>
        <w:t>.</w:t>
      </w:r>
    </w:p>
    <w:p w14:paraId="69B4BA1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Pomponio Mela, 60</w:t>
      </w:r>
      <w:r>
        <w:rPr>
          <w:rFonts w:ascii="Times New Roman" w:hAnsi="Times New Roman" w:cs="Times New Roman"/>
        </w:rPr>
        <w:t>.</w:t>
      </w:r>
    </w:p>
    <w:p w14:paraId="5553E5E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Pongrácz, Giovanni</w:t>
      </w:r>
      <w:r>
        <w:rPr>
          <w:rFonts w:ascii="Times New Roman" w:hAnsi="Times New Roman" w:cs="Times New Roman"/>
        </w:rPr>
        <w:t>, 231.</w:t>
      </w:r>
    </w:p>
    <w:p w14:paraId="0EA8088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Pontano, Giovanni, 7, 36, 189</w:t>
      </w:r>
      <w:r>
        <w:rPr>
          <w:rFonts w:ascii="Times New Roman" w:hAnsi="Times New Roman" w:cs="Times New Roman"/>
        </w:rPr>
        <w:t>, 268, 270, 272, 273, 274, 281.</w:t>
      </w:r>
    </w:p>
    <w:p w14:paraId="5F5B86D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Prisciani, Pellegrino, 19n, 182n, </w:t>
      </w:r>
      <w:r>
        <w:rPr>
          <w:rFonts w:ascii="Times New Roman" w:hAnsi="Times New Roman" w:cs="Times New Roman"/>
        </w:rPr>
        <w:t xml:space="preserve">249 e n.  </w:t>
      </w:r>
    </w:p>
    <w:p w14:paraId="5551E77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Prosperi, Bernardino, 62, 115</w:t>
      </w:r>
      <w:r>
        <w:rPr>
          <w:rFonts w:ascii="Times New Roman" w:hAnsi="Times New Roman" w:cs="Times New Roman"/>
        </w:rPr>
        <w:t>, 254.</w:t>
      </w:r>
    </w:p>
    <w:p w14:paraId="42297A8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Pulci, Antonia</w:t>
      </w:r>
      <w:r>
        <w:rPr>
          <w:rFonts w:ascii="Times New Roman" w:hAnsi="Times New Roman" w:cs="Times New Roman"/>
        </w:rPr>
        <w:t>, 300.</w:t>
      </w:r>
    </w:p>
    <w:p w14:paraId="4C4E4CA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Pulci, Bernardo</w:t>
      </w:r>
      <w:r>
        <w:rPr>
          <w:rFonts w:ascii="Times New Roman" w:hAnsi="Times New Roman" w:cs="Times New Roman"/>
        </w:rPr>
        <w:t>, 300.</w:t>
      </w:r>
      <w:r w:rsidRPr="00AB1C99">
        <w:rPr>
          <w:rFonts w:ascii="Times New Roman" w:hAnsi="Times New Roman" w:cs="Times New Roman"/>
        </w:rPr>
        <w:t xml:space="preserve"> </w:t>
      </w:r>
    </w:p>
    <w:p w14:paraId="72DFAB0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Pulci, Lugi, 111</w:t>
      </w:r>
      <w:r>
        <w:rPr>
          <w:rFonts w:ascii="Times New Roman" w:hAnsi="Times New Roman" w:cs="Times New Roman"/>
        </w:rPr>
        <w:t>.</w:t>
      </w:r>
    </w:p>
    <w:p w14:paraId="09B1689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Pusterla, Giacomo, 16n</w:t>
      </w:r>
      <w:r>
        <w:rPr>
          <w:rFonts w:ascii="Times New Roman" w:hAnsi="Times New Roman" w:cs="Times New Roman"/>
        </w:rPr>
        <w:t>.</w:t>
      </w:r>
      <w:r w:rsidRPr="00AB1C99">
        <w:rPr>
          <w:rFonts w:ascii="Times New Roman" w:hAnsi="Times New Roman" w:cs="Times New Roman"/>
        </w:rPr>
        <w:t xml:space="preserve"> </w:t>
      </w:r>
    </w:p>
    <w:p w14:paraId="7606271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Pusterla, Pietro</w:t>
      </w:r>
      <w:r>
        <w:rPr>
          <w:rFonts w:ascii="Times New Roman" w:hAnsi="Times New Roman" w:cs="Times New Roman"/>
        </w:rPr>
        <w:t>, 196n.</w:t>
      </w:r>
    </w:p>
    <w:p w14:paraId="6517A7E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Putti, Francesco, 19</w:t>
      </w:r>
      <w:r>
        <w:rPr>
          <w:rFonts w:ascii="Times New Roman" w:hAnsi="Times New Roman" w:cs="Times New Roman"/>
        </w:rPr>
        <w:t>.</w:t>
      </w:r>
    </w:p>
    <w:p w14:paraId="57921D0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Quintiliano, 70n, 72</w:t>
      </w:r>
      <w:r>
        <w:rPr>
          <w:rFonts w:ascii="Times New Roman" w:hAnsi="Times New Roman" w:cs="Times New Roman"/>
        </w:rPr>
        <w:t>, 310.</w:t>
      </w:r>
    </w:p>
    <w:p w14:paraId="1B700E3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Raibolini, Francesco detto il Francia, 166 e n</w:t>
      </w:r>
      <w:r>
        <w:rPr>
          <w:rFonts w:ascii="Times New Roman" w:hAnsi="Times New Roman" w:cs="Times New Roman"/>
        </w:rPr>
        <w:t>.</w:t>
      </w:r>
      <w:r w:rsidRPr="00AB1C99">
        <w:rPr>
          <w:rFonts w:ascii="Times New Roman" w:hAnsi="Times New Roman" w:cs="Times New Roman"/>
        </w:rPr>
        <w:t xml:space="preserve"> </w:t>
      </w:r>
    </w:p>
    <w:p w14:paraId="34DD9C0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Rampini, Enrico da Sant’Alosio, 27</w:t>
      </w:r>
      <w:r>
        <w:rPr>
          <w:rFonts w:ascii="Times New Roman" w:hAnsi="Times New Roman" w:cs="Times New Roman"/>
        </w:rPr>
        <w:t>.</w:t>
      </w:r>
    </w:p>
    <w:p w14:paraId="34B6DEA1" w14:textId="77777777" w:rsidR="00337C20" w:rsidRDefault="00337C20" w:rsidP="00337C20">
      <w:pPr>
        <w:jc w:val="both"/>
        <w:rPr>
          <w:rFonts w:ascii="Times New Roman" w:hAnsi="Times New Roman" w:cs="Times New Roman"/>
        </w:rPr>
      </w:pPr>
      <w:r w:rsidRPr="00AB1C99">
        <w:rPr>
          <w:rFonts w:ascii="Times New Roman" w:hAnsi="Times New Roman" w:cs="Times New Roman"/>
        </w:rPr>
        <w:t>Rampini, Marziano da Sant’Alosio, 14</w:t>
      </w:r>
      <w:r>
        <w:rPr>
          <w:rFonts w:ascii="Times New Roman" w:hAnsi="Times New Roman" w:cs="Times New Roman"/>
        </w:rPr>
        <w:t>.</w:t>
      </w:r>
    </w:p>
    <w:p w14:paraId="6687A186" w14:textId="77777777" w:rsidR="00337C20" w:rsidRPr="00AB1C99" w:rsidRDefault="00337C20" w:rsidP="00337C20">
      <w:pPr>
        <w:jc w:val="both"/>
        <w:rPr>
          <w:rFonts w:ascii="Times New Roman" w:hAnsi="Times New Roman" w:cs="Times New Roman"/>
        </w:rPr>
      </w:pPr>
      <w:r>
        <w:rPr>
          <w:rFonts w:ascii="Times New Roman" w:hAnsi="Times New Roman" w:cs="Times New Roman"/>
        </w:rPr>
        <w:t>Rangoni, Beatrice, 315.</w:t>
      </w:r>
    </w:p>
    <w:p w14:paraId="7C4C861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Rangoni, Niccolò, 150n</w:t>
      </w:r>
      <w:r>
        <w:rPr>
          <w:rFonts w:ascii="Times New Roman" w:hAnsi="Times New Roman" w:cs="Times New Roman"/>
        </w:rPr>
        <w:t>.</w:t>
      </w:r>
      <w:r w:rsidRPr="00AB1C99">
        <w:rPr>
          <w:rFonts w:ascii="Times New Roman" w:hAnsi="Times New Roman" w:cs="Times New Roman"/>
        </w:rPr>
        <w:t xml:space="preserve"> </w:t>
      </w:r>
    </w:p>
    <w:p w14:paraId="1EC2111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Rapicano, Cola, 51, 85</w:t>
      </w:r>
      <w:r>
        <w:rPr>
          <w:rFonts w:ascii="Times New Roman" w:hAnsi="Times New Roman" w:cs="Times New Roman"/>
        </w:rPr>
        <w:t>.</w:t>
      </w:r>
    </w:p>
    <w:p w14:paraId="1616009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Rapicano, Filippo, 52</w:t>
      </w:r>
      <w:r>
        <w:rPr>
          <w:rFonts w:ascii="Times New Roman" w:hAnsi="Times New Roman" w:cs="Times New Roman"/>
        </w:rPr>
        <w:t>.</w:t>
      </w:r>
    </w:p>
    <w:p w14:paraId="6520550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Rapicano, Leonardo detto Nardo, 52, 83, 84 e n</w:t>
      </w:r>
      <w:r>
        <w:rPr>
          <w:rFonts w:ascii="Times New Roman" w:hAnsi="Times New Roman" w:cs="Times New Roman"/>
        </w:rPr>
        <w:t>.</w:t>
      </w:r>
    </w:p>
    <w:p w14:paraId="246BAB2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Riario, Girolamo, 52</w:t>
      </w:r>
      <w:r>
        <w:rPr>
          <w:rFonts w:ascii="Times New Roman" w:hAnsi="Times New Roman" w:cs="Times New Roman"/>
        </w:rPr>
        <w:t>, 232n, 252, 253 e n, 254, 259, 261, 279.</w:t>
      </w:r>
    </w:p>
    <w:p w14:paraId="5192431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Riario, Pietro, 3, 128, 186n</w:t>
      </w:r>
      <w:r>
        <w:rPr>
          <w:rFonts w:ascii="Times New Roman" w:hAnsi="Times New Roman" w:cs="Times New Roman"/>
        </w:rPr>
        <w:t>, 228, 253n, 273, 275n, 298-300, 325.</w:t>
      </w:r>
    </w:p>
    <w:p w14:paraId="7325E66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Riario, Raffaele, 30, 173n</w:t>
      </w:r>
      <w:r>
        <w:rPr>
          <w:rFonts w:ascii="Times New Roman" w:hAnsi="Times New Roman" w:cs="Times New Roman"/>
        </w:rPr>
        <w:t>, 310, 311n, 313.</w:t>
      </w:r>
    </w:p>
    <w:p w14:paraId="100618E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Ridolfi, Antonio, 82, 83</w:t>
      </w:r>
      <w:r>
        <w:rPr>
          <w:rFonts w:ascii="Times New Roman" w:hAnsi="Times New Roman" w:cs="Times New Roman"/>
        </w:rPr>
        <w:t>.</w:t>
      </w:r>
      <w:r w:rsidRPr="00AB1C99">
        <w:rPr>
          <w:rFonts w:ascii="Times New Roman" w:hAnsi="Times New Roman" w:cs="Times New Roman"/>
        </w:rPr>
        <w:t xml:space="preserve"> </w:t>
      </w:r>
    </w:p>
    <w:p w14:paraId="54F7057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Riessinger, Sisto, 57, 64</w:t>
      </w:r>
      <w:r>
        <w:rPr>
          <w:rFonts w:ascii="Times New Roman" w:hAnsi="Times New Roman" w:cs="Times New Roman"/>
        </w:rPr>
        <w:t>.</w:t>
      </w:r>
    </w:p>
    <w:p w14:paraId="2399065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Rinuccini, Alamanno, 35</w:t>
      </w:r>
      <w:r>
        <w:rPr>
          <w:rFonts w:ascii="Times New Roman" w:hAnsi="Times New Roman" w:cs="Times New Roman"/>
        </w:rPr>
        <w:t xml:space="preserve">, 309n. </w:t>
      </w:r>
      <w:r w:rsidRPr="00AB1C99">
        <w:rPr>
          <w:rFonts w:ascii="Times New Roman" w:hAnsi="Times New Roman" w:cs="Times New Roman"/>
        </w:rPr>
        <w:t xml:space="preserve"> </w:t>
      </w:r>
    </w:p>
    <w:p w14:paraId="4093F65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Rinuccini, Neri di Filippo, 108</w:t>
      </w:r>
      <w:r>
        <w:rPr>
          <w:rFonts w:ascii="Times New Roman" w:hAnsi="Times New Roman" w:cs="Times New Roman"/>
        </w:rPr>
        <w:t>.</w:t>
      </w:r>
      <w:r w:rsidRPr="00AB1C99">
        <w:rPr>
          <w:rFonts w:ascii="Times New Roman" w:hAnsi="Times New Roman" w:cs="Times New Roman"/>
        </w:rPr>
        <w:t xml:space="preserve"> </w:t>
      </w:r>
    </w:p>
    <w:p w14:paraId="075F3CA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Rolin, Nicolas, 88</w:t>
      </w:r>
      <w:r>
        <w:rPr>
          <w:rFonts w:ascii="Times New Roman" w:hAnsi="Times New Roman" w:cs="Times New Roman"/>
        </w:rPr>
        <w:t>.</w:t>
      </w:r>
      <w:r w:rsidRPr="00AB1C99">
        <w:rPr>
          <w:rFonts w:ascii="Times New Roman" w:hAnsi="Times New Roman" w:cs="Times New Roman"/>
        </w:rPr>
        <w:t xml:space="preserve"> </w:t>
      </w:r>
    </w:p>
    <w:p w14:paraId="6BA7B27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Rosselli, Cosimo, 101</w:t>
      </w:r>
      <w:r>
        <w:rPr>
          <w:rFonts w:ascii="Times New Roman" w:hAnsi="Times New Roman" w:cs="Times New Roman"/>
        </w:rPr>
        <w:t>.</w:t>
      </w:r>
    </w:p>
    <w:p w14:paraId="1B7604C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Rosselli, Francesco, 100-102</w:t>
      </w:r>
      <w:r>
        <w:rPr>
          <w:rFonts w:ascii="Times New Roman" w:hAnsi="Times New Roman" w:cs="Times New Roman"/>
        </w:rPr>
        <w:t>.</w:t>
      </w:r>
    </w:p>
    <w:p w14:paraId="19A20AD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Rossellino, Antonio, 104</w:t>
      </w:r>
      <w:r>
        <w:rPr>
          <w:rFonts w:ascii="Times New Roman" w:hAnsi="Times New Roman" w:cs="Times New Roman"/>
        </w:rPr>
        <w:t>.</w:t>
      </w:r>
    </w:p>
    <w:p w14:paraId="78872EC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Rossetti, Biagio</w:t>
      </w:r>
      <w:r>
        <w:rPr>
          <w:rFonts w:ascii="Times New Roman" w:hAnsi="Times New Roman" w:cs="Times New Roman"/>
        </w:rPr>
        <w:t>, 243 e n, 249.</w:t>
      </w:r>
    </w:p>
    <w:p w14:paraId="7519689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Rossi, Lorenzo da Valencia, 61, 62</w:t>
      </w:r>
      <w:r>
        <w:rPr>
          <w:rFonts w:ascii="Times New Roman" w:hAnsi="Times New Roman" w:cs="Times New Roman"/>
        </w:rPr>
        <w:t>.</w:t>
      </w:r>
      <w:r w:rsidRPr="00AB1C99">
        <w:rPr>
          <w:rFonts w:ascii="Times New Roman" w:hAnsi="Times New Roman" w:cs="Times New Roman"/>
        </w:rPr>
        <w:t xml:space="preserve"> </w:t>
      </w:r>
    </w:p>
    <w:p w14:paraId="6ACF72C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Rossi, Lorenzo, 156</w:t>
      </w:r>
      <w:r>
        <w:rPr>
          <w:rFonts w:ascii="Times New Roman" w:hAnsi="Times New Roman" w:cs="Times New Roman"/>
        </w:rPr>
        <w:t>.</w:t>
      </w:r>
      <w:r w:rsidRPr="00AB1C99">
        <w:rPr>
          <w:rFonts w:ascii="Times New Roman" w:hAnsi="Times New Roman" w:cs="Times New Roman"/>
        </w:rPr>
        <w:t xml:space="preserve"> </w:t>
      </w:r>
    </w:p>
    <w:p w14:paraId="33722B9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Rovella, Bartolomeo, 93</w:t>
      </w:r>
      <w:r>
        <w:rPr>
          <w:rFonts w:ascii="Times New Roman" w:hAnsi="Times New Roman" w:cs="Times New Roman"/>
        </w:rPr>
        <w:t>, 225, 227, 259, 270n.</w:t>
      </w:r>
      <w:r w:rsidRPr="00AB1C99">
        <w:rPr>
          <w:rFonts w:ascii="Times New Roman" w:hAnsi="Times New Roman" w:cs="Times New Roman"/>
        </w:rPr>
        <w:t xml:space="preserve"> </w:t>
      </w:r>
    </w:p>
    <w:p w14:paraId="3DFFBCE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Sacromori, Sacromoro</w:t>
      </w:r>
      <w:r>
        <w:rPr>
          <w:rFonts w:ascii="Times New Roman" w:hAnsi="Times New Roman" w:cs="Times New Roman"/>
        </w:rPr>
        <w:t>, 262 e n.</w:t>
      </w:r>
    </w:p>
    <w:p w14:paraId="16FE39A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Saffo, 107, 108n</w:t>
      </w:r>
      <w:r>
        <w:rPr>
          <w:rFonts w:ascii="Times New Roman" w:hAnsi="Times New Roman" w:cs="Times New Roman"/>
        </w:rPr>
        <w:t>.</w:t>
      </w:r>
    </w:p>
    <w:p w14:paraId="31F7097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Salernitano, Masuccio, 52n</w:t>
      </w:r>
      <w:r>
        <w:rPr>
          <w:rFonts w:ascii="Times New Roman" w:hAnsi="Times New Roman" w:cs="Times New Roman"/>
        </w:rPr>
        <w:t>.</w:t>
      </w:r>
      <w:r w:rsidRPr="00AB1C99">
        <w:rPr>
          <w:rFonts w:ascii="Times New Roman" w:hAnsi="Times New Roman" w:cs="Times New Roman"/>
        </w:rPr>
        <w:t xml:space="preserve"> </w:t>
      </w:r>
    </w:p>
    <w:p w14:paraId="6D3425B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Salimbeni, Angelo Michele, 123, 153, 154-155, 159, 161, 167</w:t>
      </w:r>
      <w:r>
        <w:rPr>
          <w:rFonts w:ascii="Times New Roman" w:hAnsi="Times New Roman" w:cs="Times New Roman"/>
        </w:rPr>
        <w:t>.</w:t>
      </w:r>
      <w:r w:rsidRPr="00AB1C99">
        <w:rPr>
          <w:rFonts w:ascii="Times New Roman" w:hAnsi="Times New Roman" w:cs="Times New Roman"/>
        </w:rPr>
        <w:t xml:space="preserve"> </w:t>
      </w:r>
    </w:p>
    <w:p w14:paraId="049738B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Sallustio, 72</w:t>
      </w:r>
      <w:r>
        <w:rPr>
          <w:rFonts w:ascii="Times New Roman" w:hAnsi="Times New Roman" w:cs="Times New Roman"/>
        </w:rPr>
        <w:t>.</w:t>
      </w:r>
    </w:p>
    <w:p w14:paraId="3866B11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Salutati, Coluccio, 12, 21 e n, 96, 100n, 154</w:t>
      </w:r>
      <w:r>
        <w:rPr>
          <w:rFonts w:ascii="Times New Roman" w:hAnsi="Times New Roman" w:cs="Times New Roman"/>
        </w:rPr>
        <w:t>.</w:t>
      </w:r>
    </w:p>
    <w:p w14:paraId="56A4DAE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Sanchez, Rodrigo, 29, 58</w:t>
      </w:r>
      <w:r>
        <w:rPr>
          <w:rFonts w:ascii="Times New Roman" w:hAnsi="Times New Roman" w:cs="Times New Roman"/>
        </w:rPr>
        <w:t>.</w:t>
      </w:r>
      <w:r w:rsidRPr="00AB1C99">
        <w:rPr>
          <w:rFonts w:ascii="Times New Roman" w:hAnsi="Times New Roman" w:cs="Times New Roman"/>
        </w:rPr>
        <w:t xml:space="preserve"> </w:t>
      </w:r>
    </w:p>
    <w:p w14:paraId="0D6ED36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Sanseverino, Federico, 197 e n, </w:t>
      </w:r>
      <w:r>
        <w:rPr>
          <w:rFonts w:ascii="Times New Roman" w:hAnsi="Times New Roman" w:cs="Times New Roman"/>
        </w:rPr>
        <w:t>261.</w:t>
      </w:r>
    </w:p>
    <w:p w14:paraId="6FB1813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Sanseverino, Galeazzo, 197</w:t>
      </w:r>
      <w:r>
        <w:rPr>
          <w:rFonts w:ascii="Times New Roman" w:hAnsi="Times New Roman" w:cs="Times New Roman"/>
        </w:rPr>
        <w:t>, 201, 261, 295.</w:t>
      </w:r>
    </w:p>
    <w:p w14:paraId="07B80B6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Sanseverino, Gaspare detto Fracasso</w:t>
      </w:r>
      <w:r>
        <w:rPr>
          <w:rFonts w:ascii="Times New Roman" w:hAnsi="Times New Roman" w:cs="Times New Roman"/>
        </w:rPr>
        <w:t>, 296.</w:t>
      </w:r>
    </w:p>
    <w:p w14:paraId="3A9A4D3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Sanseverino, Giovan Francesco, 155, 164, 173n, </w:t>
      </w:r>
      <w:r>
        <w:rPr>
          <w:rFonts w:ascii="Times New Roman" w:hAnsi="Times New Roman" w:cs="Times New Roman"/>
        </w:rPr>
        <w:t>316n.</w:t>
      </w:r>
    </w:p>
    <w:p w14:paraId="4C90951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Sanseverino, Girolamo, 33</w:t>
      </w:r>
      <w:r>
        <w:rPr>
          <w:rFonts w:ascii="Times New Roman" w:hAnsi="Times New Roman" w:cs="Times New Roman"/>
        </w:rPr>
        <w:t>.</w:t>
      </w:r>
    </w:p>
    <w:p w14:paraId="61B54F7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Sanseverino, Roberto, 17n, 197n</w:t>
      </w:r>
      <w:r>
        <w:rPr>
          <w:rFonts w:ascii="Times New Roman" w:hAnsi="Times New Roman" w:cs="Times New Roman"/>
        </w:rPr>
        <w:t>, 221n, 223, 226.</w:t>
      </w:r>
    </w:p>
    <w:p w14:paraId="03B6E247" w14:textId="77777777" w:rsidR="00337C20" w:rsidRDefault="00337C20" w:rsidP="00337C20">
      <w:pPr>
        <w:jc w:val="both"/>
        <w:rPr>
          <w:rFonts w:ascii="Times New Roman" w:hAnsi="Times New Roman" w:cs="Times New Roman"/>
        </w:rPr>
      </w:pPr>
      <w:r w:rsidRPr="00AB1C99">
        <w:rPr>
          <w:rFonts w:ascii="Times New Roman" w:hAnsi="Times New Roman" w:cs="Times New Roman"/>
        </w:rPr>
        <w:t>Santi, Giovanni, 145-146</w:t>
      </w:r>
      <w:r>
        <w:rPr>
          <w:rFonts w:ascii="Times New Roman" w:hAnsi="Times New Roman" w:cs="Times New Roman"/>
        </w:rPr>
        <w:t>, 214, 307.</w:t>
      </w:r>
    </w:p>
    <w:p w14:paraId="1A1360F0" w14:textId="77777777" w:rsidR="00337C20" w:rsidRPr="00AB1C99" w:rsidRDefault="00337C20" w:rsidP="00337C20">
      <w:pPr>
        <w:jc w:val="both"/>
        <w:rPr>
          <w:rFonts w:ascii="Times New Roman" w:hAnsi="Times New Roman" w:cs="Times New Roman"/>
        </w:rPr>
      </w:pPr>
      <w:r>
        <w:rPr>
          <w:rFonts w:ascii="Times New Roman" w:hAnsi="Times New Roman" w:cs="Times New Roman"/>
        </w:rPr>
        <w:t>Sanuto, Marino, 247, 263, 318, 320, 321.</w:t>
      </w:r>
    </w:p>
    <w:p w14:paraId="747A91E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Sanvito, Bartolomeo, 42, 54, 56</w:t>
      </w:r>
      <w:r>
        <w:rPr>
          <w:rFonts w:ascii="Times New Roman" w:hAnsi="Times New Roman" w:cs="Times New Roman"/>
        </w:rPr>
        <w:t>.</w:t>
      </w:r>
    </w:p>
    <w:p w14:paraId="1D3D40E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Saraceni, Gerardo</w:t>
      </w:r>
      <w:r>
        <w:rPr>
          <w:rFonts w:ascii="Times New Roman" w:hAnsi="Times New Roman" w:cs="Times New Roman"/>
        </w:rPr>
        <w:t>, 312.</w:t>
      </w:r>
      <w:r w:rsidRPr="00AB1C99">
        <w:rPr>
          <w:rFonts w:ascii="Times New Roman" w:hAnsi="Times New Roman" w:cs="Times New Roman"/>
        </w:rPr>
        <w:t xml:space="preserve"> </w:t>
      </w:r>
    </w:p>
    <w:p w14:paraId="51EF0DD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Saracini, Iacomo di Simone, 94</w:t>
      </w:r>
      <w:r>
        <w:rPr>
          <w:rFonts w:ascii="Times New Roman" w:hAnsi="Times New Roman" w:cs="Times New Roman"/>
        </w:rPr>
        <w:t>.</w:t>
      </w:r>
    </w:p>
    <w:p w14:paraId="5AF2047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Saracini, Bianca, 94-95</w:t>
      </w:r>
      <w:r>
        <w:rPr>
          <w:rFonts w:ascii="Times New Roman" w:hAnsi="Times New Roman" w:cs="Times New Roman"/>
        </w:rPr>
        <w:t>.</w:t>
      </w:r>
    </w:p>
    <w:p w14:paraId="11A1EE2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Sassetti, Francesco, 25, 106</w:t>
      </w:r>
      <w:r>
        <w:rPr>
          <w:rFonts w:ascii="Times New Roman" w:hAnsi="Times New Roman" w:cs="Times New Roman"/>
        </w:rPr>
        <w:t>.</w:t>
      </w:r>
    </w:p>
    <w:p w14:paraId="0C3AD685" w14:textId="77777777" w:rsidR="00337C20" w:rsidRDefault="00337C20" w:rsidP="00337C20">
      <w:pPr>
        <w:jc w:val="both"/>
        <w:rPr>
          <w:rFonts w:ascii="Times New Roman" w:hAnsi="Times New Roman" w:cs="Times New Roman"/>
        </w:rPr>
      </w:pPr>
      <w:r w:rsidRPr="00AB1C99">
        <w:rPr>
          <w:rFonts w:ascii="Times New Roman" w:hAnsi="Times New Roman" w:cs="Times New Roman"/>
        </w:rPr>
        <w:t>Savelli, Cencio</w:t>
      </w:r>
      <w:r>
        <w:rPr>
          <w:rFonts w:ascii="Times New Roman" w:hAnsi="Times New Roman" w:cs="Times New Roman"/>
        </w:rPr>
        <w:t xml:space="preserve">, vedi </w:t>
      </w:r>
      <w:r w:rsidRPr="00AB1C99">
        <w:rPr>
          <w:rFonts w:ascii="Times New Roman" w:hAnsi="Times New Roman" w:cs="Times New Roman"/>
        </w:rPr>
        <w:t>Onorio III</w:t>
      </w:r>
      <w:r>
        <w:rPr>
          <w:rFonts w:ascii="Times New Roman" w:hAnsi="Times New Roman" w:cs="Times New Roman"/>
        </w:rPr>
        <w:t>.</w:t>
      </w:r>
    </w:p>
    <w:p w14:paraId="48445933" w14:textId="77777777" w:rsidR="00337C20" w:rsidRPr="00AB1C99" w:rsidRDefault="00337C20" w:rsidP="00337C20">
      <w:pPr>
        <w:jc w:val="both"/>
        <w:rPr>
          <w:rFonts w:ascii="Times New Roman" w:hAnsi="Times New Roman" w:cs="Times New Roman"/>
        </w:rPr>
      </w:pPr>
      <w:r>
        <w:rPr>
          <w:rFonts w:ascii="Times New Roman" w:hAnsi="Times New Roman" w:cs="Times New Roman"/>
        </w:rPr>
        <w:t>Scala, Alessandra, 310n.</w:t>
      </w:r>
    </w:p>
    <w:p w14:paraId="011ECBC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Scarampi, Luigi, 93</w:t>
      </w:r>
      <w:r>
        <w:rPr>
          <w:rFonts w:ascii="Times New Roman" w:hAnsi="Times New Roman" w:cs="Times New Roman"/>
        </w:rPr>
        <w:t>.</w:t>
      </w:r>
    </w:p>
    <w:p w14:paraId="157D3BE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Scariglia, Baldassarre, 50</w:t>
      </w:r>
      <w:r>
        <w:rPr>
          <w:rFonts w:ascii="Times New Roman" w:hAnsi="Times New Roman" w:cs="Times New Roman"/>
        </w:rPr>
        <w:t>.</w:t>
      </w:r>
    </w:p>
    <w:p w14:paraId="006F20B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Scauro, Marco Emilio, 186n</w:t>
      </w:r>
      <w:r>
        <w:rPr>
          <w:rFonts w:ascii="Times New Roman" w:hAnsi="Times New Roman" w:cs="Times New Roman"/>
        </w:rPr>
        <w:t>.</w:t>
      </w:r>
      <w:r w:rsidRPr="00AB1C99">
        <w:rPr>
          <w:rFonts w:ascii="Times New Roman" w:hAnsi="Times New Roman" w:cs="Times New Roman"/>
        </w:rPr>
        <w:t xml:space="preserve"> </w:t>
      </w:r>
    </w:p>
    <w:p w14:paraId="4247337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Schall, Johann, 64 e n</w:t>
      </w:r>
      <w:r>
        <w:rPr>
          <w:rFonts w:ascii="Times New Roman" w:hAnsi="Times New Roman" w:cs="Times New Roman"/>
        </w:rPr>
        <w:t>.</w:t>
      </w:r>
    </w:p>
    <w:p w14:paraId="408DF45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Schweynheym, Conrad, 5, 56 e n, 57, 58, 59</w:t>
      </w:r>
      <w:r>
        <w:rPr>
          <w:rFonts w:ascii="Times New Roman" w:hAnsi="Times New Roman" w:cs="Times New Roman"/>
        </w:rPr>
        <w:t>.</w:t>
      </w:r>
      <w:r w:rsidRPr="00AB1C99">
        <w:rPr>
          <w:rFonts w:ascii="Times New Roman" w:hAnsi="Times New Roman" w:cs="Times New Roman"/>
        </w:rPr>
        <w:t xml:space="preserve"> </w:t>
      </w:r>
    </w:p>
    <w:p w14:paraId="20E2CF3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Scinzenzeler, Giovan Angelo, </w:t>
      </w:r>
      <w:r>
        <w:rPr>
          <w:rFonts w:ascii="Times New Roman" w:hAnsi="Times New Roman" w:cs="Times New Roman"/>
        </w:rPr>
        <w:t>202.</w:t>
      </w:r>
    </w:p>
    <w:p w14:paraId="3833901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Scinzenzeler, Ulrich, 61 e n, 154</w:t>
      </w:r>
      <w:r>
        <w:rPr>
          <w:rFonts w:ascii="Times New Roman" w:hAnsi="Times New Roman" w:cs="Times New Roman"/>
        </w:rPr>
        <w:t>, 202, 211.</w:t>
      </w:r>
      <w:r w:rsidRPr="00AB1C99">
        <w:rPr>
          <w:rFonts w:ascii="Times New Roman" w:hAnsi="Times New Roman" w:cs="Times New Roman"/>
        </w:rPr>
        <w:t xml:space="preserve"> </w:t>
      </w:r>
    </w:p>
    <w:p w14:paraId="2D2BEE3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Seneca, 21, 51, 72</w:t>
      </w:r>
      <w:r>
        <w:rPr>
          <w:rFonts w:ascii="Times New Roman" w:hAnsi="Times New Roman" w:cs="Times New Roman"/>
        </w:rPr>
        <w:t>, 280, 311.</w:t>
      </w:r>
    </w:p>
    <w:p w14:paraId="095F8E3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Senofonte, 76n</w:t>
      </w:r>
      <w:r>
        <w:rPr>
          <w:rFonts w:ascii="Times New Roman" w:hAnsi="Times New Roman" w:cs="Times New Roman"/>
        </w:rPr>
        <w:t>.</w:t>
      </w:r>
    </w:p>
    <w:p w14:paraId="31E0086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Sernigi, Clemente, 104</w:t>
      </w:r>
      <w:r>
        <w:rPr>
          <w:rFonts w:ascii="Times New Roman" w:hAnsi="Times New Roman" w:cs="Times New Roman"/>
        </w:rPr>
        <w:t>.</w:t>
      </w:r>
      <w:r w:rsidRPr="00AB1C99">
        <w:rPr>
          <w:rFonts w:ascii="Times New Roman" w:hAnsi="Times New Roman" w:cs="Times New Roman"/>
        </w:rPr>
        <w:t xml:space="preserve"> </w:t>
      </w:r>
    </w:p>
    <w:p w14:paraId="7AAF669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Alessandro, 74, 128</w:t>
      </w:r>
      <w:r>
        <w:rPr>
          <w:rFonts w:ascii="Times New Roman" w:hAnsi="Times New Roman" w:cs="Times New Roman"/>
        </w:rPr>
        <w:t>, 225, 289n.</w:t>
      </w:r>
    </w:p>
    <w:p w14:paraId="3600269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Sforza, Anna, 46 e n, </w:t>
      </w:r>
      <w:r>
        <w:rPr>
          <w:rFonts w:ascii="Times New Roman" w:hAnsi="Times New Roman" w:cs="Times New Roman"/>
        </w:rPr>
        <w:t>232-234, 242, 243 e n, 249, 285, 295, 315.</w:t>
      </w:r>
    </w:p>
    <w:p w14:paraId="3ED475F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Ascanio, 62n, 155, 173n, 177, 197n</w:t>
      </w:r>
      <w:r>
        <w:rPr>
          <w:rFonts w:ascii="Times New Roman" w:hAnsi="Times New Roman" w:cs="Times New Roman"/>
        </w:rPr>
        <w:t>, 204.</w:t>
      </w:r>
    </w:p>
    <w:p w14:paraId="77BF91F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Battista, 142 e n</w:t>
      </w:r>
      <w:r>
        <w:rPr>
          <w:rFonts w:ascii="Times New Roman" w:hAnsi="Times New Roman" w:cs="Times New Roman"/>
        </w:rPr>
        <w:t>, 289.</w:t>
      </w:r>
    </w:p>
    <w:p w14:paraId="0B50E61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Bianca Maria, 6, 121, 123, 127n, 128, 169n, 175</w:t>
      </w:r>
      <w:r>
        <w:rPr>
          <w:rFonts w:ascii="Times New Roman" w:hAnsi="Times New Roman" w:cs="Times New Roman"/>
        </w:rPr>
        <w:t xml:space="preserve">, 199, 204, 208, 209, 211, 236, 245, 260, 285. </w:t>
      </w:r>
    </w:p>
    <w:p w14:paraId="3997BCF9" w14:textId="77777777" w:rsidR="00337C20" w:rsidRDefault="00337C20" w:rsidP="00337C20">
      <w:pPr>
        <w:jc w:val="both"/>
        <w:rPr>
          <w:rFonts w:ascii="Times New Roman" w:hAnsi="Times New Roman" w:cs="Times New Roman"/>
        </w:rPr>
      </w:pPr>
      <w:r w:rsidRPr="00AB1C99">
        <w:rPr>
          <w:rFonts w:ascii="Times New Roman" w:hAnsi="Times New Roman" w:cs="Times New Roman"/>
        </w:rPr>
        <w:t>Sforza, Carlo, 130, 137</w:t>
      </w:r>
      <w:r>
        <w:rPr>
          <w:rFonts w:ascii="Times New Roman" w:hAnsi="Times New Roman" w:cs="Times New Roman"/>
        </w:rPr>
        <w:t>.</w:t>
      </w:r>
    </w:p>
    <w:p w14:paraId="0D397447" w14:textId="77777777" w:rsidR="00337C20" w:rsidRPr="00AB1C99" w:rsidRDefault="00337C20" w:rsidP="00337C20">
      <w:pPr>
        <w:jc w:val="both"/>
        <w:rPr>
          <w:rFonts w:ascii="Times New Roman" w:hAnsi="Times New Roman" w:cs="Times New Roman"/>
        </w:rPr>
      </w:pPr>
      <w:r>
        <w:rPr>
          <w:rFonts w:ascii="Times New Roman" w:hAnsi="Times New Roman" w:cs="Times New Roman"/>
        </w:rPr>
        <w:t>Sforza, Caterina, 232n, 252-253, 259, 261, 277, 278, 279.</w:t>
      </w:r>
    </w:p>
    <w:p w14:paraId="702E76C5" w14:textId="77777777" w:rsidR="00337C20" w:rsidRDefault="00337C20" w:rsidP="00337C20">
      <w:pPr>
        <w:jc w:val="both"/>
        <w:rPr>
          <w:rFonts w:ascii="Times New Roman" w:hAnsi="Times New Roman" w:cs="Times New Roman"/>
        </w:rPr>
      </w:pPr>
      <w:r w:rsidRPr="00AB1C99">
        <w:rPr>
          <w:rFonts w:ascii="Times New Roman" w:hAnsi="Times New Roman" w:cs="Times New Roman"/>
        </w:rPr>
        <w:t xml:space="preserve">Sforza, Costanzo, 6, 85, 119, 121, 125, 129, 133-147, </w:t>
      </w:r>
      <w:r>
        <w:rPr>
          <w:rFonts w:ascii="Times New Roman" w:hAnsi="Times New Roman" w:cs="Times New Roman"/>
        </w:rPr>
        <w:t>225, 249, 267, 274, 281, 292.</w:t>
      </w:r>
    </w:p>
    <w:p w14:paraId="418F5F7F" w14:textId="77777777" w:rsidR="00337C20" w:rsidRPr="00AB1C99" w:rsidRDefault="00337C20" w:rsidP="00337C20">
      <w:pPr>
        <w:jc w:val="both"/>
        <w:rPr>
          <w:rFonts w:ascii="Times New Roman" w:hAnsi="Times New Roman" w:cs="Times New Roman"/>
        </w:rPr>
      </w:pPr>
      <w:r>
        <w:rPr>
          <w:rFonts w:ascii="Times New Roman" w:hAnsi="Times New Roman" w:cs="Times New Roman"/>
        </w:rPr>
        <w:t>Sforza, Filippo Maria, 221, 222, 223, 225n, 226.</w:t>
      </w:r>
    </w:p>
    <w:p w14:paraId="344F75C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Francesco I, 15, 16, 17 e n, 38, 48, 76, 93, 94, 116, 177, 182</w:t>
      </w:r>
      <w:r>
        <w:rPr>
          <w:rFonts w:ascii="Times New Roman" w:hAnsi="Times New Roman" w:cs="Times New Roman"/>
        </w:rPr>
        <w:t>, 204, 205, 206, 207, 212, 220, 221, 222, 225, 246, 287.</w:t>
      </w:r>
    </w:p>
    <w:p w14:paraId="67657F8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Sforza, Galeazzo Maria, 16, 17, 46, 47, 58, 59, 86-91, 169n, 173, 185n, 188 e n, 189 e n, 190 e n, 191 e n, </w:t>
      </w:r>
      <w:r>
        <w:rPr>
          <w:rFonts w:ascii="Times New Roman" w:hAnsi="Times New Roman" w:cs="Times New Roman"/>
        </w:rPr>
        <w:t>204, 220, 223n, 226, 236, 253 e n, 279, 289 e n, 299n.</w:t>
      </w:r>
    </w:p>
    <w:p w14:paraId="3BDA0EA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Gian Galeazzo, 6, 16, 48, 60, 78, 121, 127, 155, 172-198</w:t>
      </w:r>
      <w:r>
        <w:rPr>
          <w:rFonts w:ascii="Times New Roman" w:hAnsi="Times New Roman" w:cs="Times New Roman"/>
        </w:rPr>
        <w:t>, 200, 204, 209, 227, 258, 296.</w:t>
      </w:r>
    </w:p>
    <w:p w14:paraId="3771B1E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Ginevra, 135 e n, 136, 137, 149, 150, 161, 166</w:t>
      </w:r>
      <w:r>
        <w:rPr>
          <w:rFonts w:ascii="Times New Roman" w:hAnsi="Times New Roman" w:cs="Times New Roman"/>
        </w:rPr>
        <w:t>.</w:t>
      </w:r>
    </w:p>
    <w:p w14:paraId="1FC2C77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Giovanni, 4n, 119n</w:t>
      </w:r>
      <w:r>
        <w:rPr>
          <w:rFonts w:ascii="Times New Roman" w:hAnsi="Times New Roman" w:cs="Times New Roman"/>
        </w:rPr>
        <w:t>, 271n, 307, 311.</w:t>
      </w:r>
    </w:p>
    <w:p w14:paraId="0E6A937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Hermes, 173</w:t>
      </w:r>
      <w:r>
        <w:rPr>
          <w:rFonts w:ascii="Times New Roman" w:hAnsi="Times New Roman" w:cs="Times New Roman"/>
        </w:rPr>
        <w:t>, 210n, 316.</w:t>
      </w:r>
    </w:p>
    <w:p w14:paraId="29A9274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Ippolita, 7, 92-93, 95, 96, 169n, 173</w:t>
      </w:r>
      <w:r>
        <w:rPr>
          <w:rFonts w:ascii="Times New Roman" w:hAnsi="Times New Roman" w:cs="Times New Roman"/>
        </w:rPr>
        <w:t>, 220-226, 229, 264, 289, 293.</w:t>
      </w:r>
    </w:p>
    <w:p w14:paraId="5953EAB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Ludovico detto il Moro, 16 e n, 17, 18, 48-49, 60, 77, 128, 142, 153n, 155, 165, 168, 170, 173, 174, 175, 184, 187, 195, 196, 197, 198</w:t>
      </w:r>
      <w:r>
        <w:rPr>
          <w:rFonts w:ascii="Times New Roman" w:hAnsi="Times New Roman" w:cs="Times New Roman"/>
        </w:rPr>
        <w:t>, 199, 200, 203, 204, 207, 209, 211, 213, 260, 261, 264, 290, 295, 297.</w:t>
      </w:r>
    </w:p>
    <w:p w14:paraId="035F485E" w14:textId="77777777" w:rsidR="00337C20" w:rsidRDefault="00337C20" w:rsidP="00337C20">
      <w:pPr>
        <w:jc w:val="both"/>
        <w:rPr>
          <w:rFonts w:ascii="Times New Roman" w:hAnsi="Times New Roman" w:cs="Times New Roman"/>
        </w:rPr>
      </w:pPr>
      <w:r w:rsidRPr="00AB1C99">
        <w:rPr>
          <w:rFonts w:ascii="Times New Roman" w:hAnsi="Times New Roman" w:cs="Times New Roman"/>
        </w:rPr>
        <w:t>Sforza, Massimiliano, 48, 49, 128</w:t>
      </w:r>
      <w:r>
        <w:rPr>
          <w:rFonts w:ascii="Times New Roman" w:hAnsi="Times New Roman" w:cs="Times New Roman"/>
        </w:rPr>
        <w:t>.</w:t>
      </w:r>
    </w:p>
    <w:p w14:paraId="7967FD3C" w14:textId="77777777" w:rsidR="00337C20" w:rsidRPr="00AB1C99" w:rsidRDefault="00337C20" w:rsidP="00337C20">
      <w:pPr>
        <w:jc w:val="both"/>
        <w:rPr>
          <w:rFonts w:ascii="Times New Roman" w:hAnsi="Times New Roman" w:cs="Times New Roman"/>
        </w:rPr>
      </w:pPr>
      <w:r>
        <w:rPr>
          <w:rFonts w:ascii="Times New Roman" w:hAnsi="Times New Roman" w:cs="Times New Roman"/>
        </w:rPr>
        <w:t>Sforza, Sforza, Maria, 221, 222, 223, 225n, 226, 264.</w:t>
      </w:r>
    </w:p>
    <w:p w14:paraId="256AE4C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Sforza, Tristano, 171</w:t>
      </w:r>
      <w:r>
        <w:rPr>
          <w:rFonts w:ascii="Times New Roman" w:hAnsi="Times New Roman" w:cs="Times New Roman"/>
        </w:rPr>
        <w:t>, 289n.</w:t>
      </w:r>
    </w:p>
    <w:p w14:paraId="10D680A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Siebenburg, Thomas</w:t>
      </w:r>
      <w:r>
        <w:rPr>
          <w:rFonts w:ascii="Times New Roman" w:hAnsi="Times New Roman" w:cs="Times New Roman"/>
        </w:rPr>
        <w:t>, 63n.</w:t>
      </w:r>
    </w:p>
    <w:p w14:paraId="1011630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Sigismondo di Lussemburgo, imperatore, 12n, 87, 108, 171</w:t>
      </w:r>
      <w:r>
        <w:rPr>
          <w:rFonts w:ascii="Times New Roman" w:hAnsi="Times New Roman" w:cs="Times New Roman"/>
        </w:rPr>
        <w:t>.</w:t>
      </w:r>
    </w:p>
    <w:p w14:paraId="0610C26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Silber, Eucario</w:t>
      </w:r>
      <w:r>
        <w:rPr>
          <w:rFonts w:ascii="Times New Roman" w:hAnsi="Times New Roman" w:cs="Times New Roman"/>
        </w:rPr>
        <w:t xml:space="preserve">, 270, 310.  </w:t>
      </w:r>
      <w:r w:rsidRPr="00AB1C99">
        <w:rPr>
          <w:rFonts w:ascii="Times New Roman" w:hAnsi="Times New Roman" w:cs="Times New Roman"/>
        </w:rPr>
        <w:t xml:space="preserve"> </w:t>
      </w:r>
    </w:p>
    <w:p w14:paraId="4BFEF8D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Silvestri, Francesco, 125n</w:t>
      </w:r>
      <w:r>
        <w:rPr>
          <w:rFonts w:ascii="Times New Roman" w:hAnsi="Times New Roman" w:cs="Times New Roman"/>
        </w:rPr>
        <w:t>.</w:t>
      </w:r>
    </w:p>
    <w:p w14:paraId="0F9CD02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Simonetta, Francesco detto Cicco, 16 e n, 76, 86</w:t>
      </w:r>
      <w:r>
        <w:rPr>
          <w:rFonts w:ascii="Times New Roman" w:hAnsi="Times New Roman" w:cs="Times New Roman"/>
        </w:rPr>
        <w:t>.</w:t>
      </w:r>
      <w:r w:rsidRPr="00AB1C99">
        <w:rPr>
          <w:rFonts w:ascii="Times New Roman" w:hAnsi="Times New Roman" w:cs="Times New Roman"/>
        </w:rPr>
        <w:t xml:space="preserve"> </w:t>
      </w:r>
    </w:p>
    <w:p w14:paraId="0DEB558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Simonetta, Giovanni, 48 e n, 59, 77</w:t>
      </w:r>
      <w:r>
        <w:rPr>
          <w:rFonts w:ascii="Times New Roman" w:hAnsi="Times New Roman" w:cs="Times New Roman"/>
        </w:rPr>
        <w:t>.</w:t>
      </w:r>
    </w:p>
    <w:p w14:paraId="183C9CD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Sisto IV (papa, Francesco della Rovere), 8, 22n, 26 e n, 29, 56, 58, 63n, 116, 117, 129. 130n, 137n, 150, 173n, </w:t>
      </w:r>
      <w:r>
        <w:rPr>
          <w:rFonts w:ascii="Times New Roman" w:hAnsi="Times New Roman" w:cs="Times New Roman"/>
        </w:rPr>
        <w:t>228, 253n, 254, 255n, 269n, 278, 295n, 300.</w:t>
      </w:r>
    </w:p>
    <w:p w14:paraId="685ACA6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Solari, Cristoforo, 180</w:t>
      </w:r>
      <w:r>
        <w:rPr>
          <w:rFonts w:ascii="Times New Roman" w:hAnsi="Times New Roman" w:cs="Times New Roman"/>
        </w:rPr>
        <w:t>.</w:t>
      </w:r>
    </w:p>
    <w:p w14:paraId="7E140F3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Solari, Giovanni, 180</w:t>
      </w:r>
      <w:r>
        <w:rPr>
          <w:rFonts w:ascii="Times New Roman" w:hAnsi="Times New Roman" w:cs="Times New Roman"/>
        </w:rPr>
        <w:t>.</w:t>
      </w:r>
    </w:p>
    <w:p w14:paraId="62986820" w14:textId="77777777" w:rsidR="00337C20" w:rsidRDefault="00337C20" w:rsidP="00337C20">
      <w:pPr>
        <w:jc w:val="both"/>
        <w:rPr>
          <w:rFonts w:ascii="Times New Roman" w:hAnsi="Times New Roman" w:cs="Times New Roman"/>
        </w:rPr>
      </w:pPr>
      <w:r w:rsidRPr="00AB1C99">
        <w:rPr>
          <w:rFonts w:ascii="Times New Roman" w:hAnsi="Times New Roman" w:cs="Times New Roman"/>
        </w:rPr>
        <w:t>Solari, Guiniforte, 180, 188n</w:t>
      </w:r>
      <w:r>
        <w:rPr>
          <w:rFonts w:ascii="Times New Roman" w:hAnsi="Times New Roman" w:cs="Times New Roman"/>
        </w:rPr>
        <w:t>.</w:t>
      </w:r>
    </w:p>
    <w:p w14:paraId="0BDF87D8" w14:textId="77777777" w:rsidR="00337C20" w:rsidRPr="00AB1C99" w:rsidRDefault="00337C20" w:rsidP="00337C20">
      <w:pPr>
        <w:jc w:val="both"/>
        <w:rPr>
          <w:rFonts w:ascii="Times New Roman" w:hAnsi="Times New Roman" w:cs="Times New Roman"/>
        </w:rPr>
      </w:pPr>
      <w:r>
        <w:rPr>
          <w:rFonts w:ascii="Times New Roman" w:hAnsi="Times New Roman" w:cs="Times New Roman"/>
        </w:rPr>
        <w:t>Stampa, Barbara, 285.</w:t>
      </w:r>
    </w:p>
    <w:p w14:paraId="196B126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Stanga, Marchesino</w:t>
      </w:r>
      <w:r>
        <w:rPr>
          <w:rFonts w:ascii="Times New Roman" w:hAnsi="Times New Roman" w:cs="Times New Roman"/>
        </w:rPr>
        <w:t>, 210n.</w:t>
      </w:r>
      <w:r w:rsidRPr="00AB1C99">
        <w:rPr>
          <w:rFonts w:ascii="Times New Roman" w:hAnsi="Times New Roman" w:cs="Times New Roman"/>
        </w:rPr>
        <w:t xml:space="preserve"> </w:t>
      </w:r>
    </w:p>
    <w:p w14:paraId="3BACF3D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Stazio, 72, 194</w:t>
      </w:r>
      <w:r>
        <w:rPr>
          <w:rFonts w:ascii="Times New Roman" w:hAnsi="Times New Roman" w:cs="Times New Roman"/>
        </w:rPr>
        <w:t>.</w:t>
      </w:r>
    </w:p>
    <w:p w14:paraId="75129E4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Stilicone, 198</w:t>
      </w:r>
      <w:r>
        <w:rPr>
          <w:rFonts w:ascii="Times New Roman" w:hAnsi="Times New Roman" w:cs="Times New Roman"/>
        </w:rPr>
        <w:t>.</w:t>
      </w:r>
    </w:p>
    <w:p w14:paraId="664FAFB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Stornaloca, Gabriele, 179</w:t>
      </w:r>
      <w:r>
        <w:rPr>
          <w:rFonts w:ascii="Times New Roman" w:hAnsi="Times New Roman" w:cs="Times New Roman"/>
        </w:rPr>
        <w:t>.</w:t>
      </w:r>
    </w:p>
    <w:p w14:paraId="1A15AF51" w14:textId="77777777" w:rsidR="00337C20" w:rsidRDefault="00337C20" w:rsidP="00337C20">
      <w:pPr>
        <w:jc w:val="both"/>
        <w:rPr>
          <w:rFonts w:ascii="Times New Roman" w:hAnsi="Times New Roman" w:cs="Times New Roman"/>
        </w:rPr>
      </w:pPr>
      <w:r w:rsidRPr="00AB1C99">
        <w:rPr>
          <w:rFonts w:ascii="Times New Roman" w:hAnsi="Times New Roman" w:cs="Times New Roman"/>
        </w:rPr>
        <w:t>Strozzi, Francesco, 93</w:t>
      </w:r>
      <w:r>
        <w:rPr>
          <w:rFonts w:ascii="Times New Roman" w:hAnsi="Times New Roman" w:cs="Times New Roman"/>
        </w:rPr>
        <w:t>.</w:t>
      </w:r>
    </w:p>
    <w:p w14:paraId="4CF37F1B" w14:textId="77777777" w:rsidR="00337C20" w:rsidRPr="00AB1C99" w:rsidRDefault="00337C20" w:rsidP="00337C20">
      <w:pPr>
        <w:jc w:val="both"/>
        <w:rPr>
          <w:rFonts w:ascii="Times New Roman" w:hAnsi="Times New Roman" w:cs="Times New Roman"/>
        </w:rPr>
      </w:pPr>
      <w:r>
        <w:rPr>
          <w:rFonts w:ascii="Times New Roman" w:hAnsi="Times New Roman" w:cs="Times New Roman"/>
        </w:rPr>
        <w:t>Strozzi, Filippo, 223 e n.</w:t>
      </w:r>
    </w:p>
    <w:p w14:paraId="34600FFE" w14:textId="77777777" w:rsidR="00337C20" w:rsidRDefault="00337C20" w:rsidP="00337C20">
      <w:pPr>
        <w:jc w:val="both"/>
        <w:rPr>
          <w:rFonts w:ascii="Times New Roman" w:hAnsi="Times New Roman" w:cs="Times New Roman"/>
        </w:rPr>
      </w:pPr>
      <w:r w:rsidRPr="00AB1C99">
        <w:rPr>
          <w:rFonts w:ascii="Times New Roman" w:hAnsi="Times New Roman" w:cs="Times New Roman"/>
        </w:rPr>
        <w:t>Strozzi, Girolamo, 123n</w:t>
      </w:r>
      <w:r>
        <w:rPr>
          <w:rFonts w:ascii="Times New Roman" w:hAnsi="Times New Roman" w:cs="Times New Roman"/>
        </w:rPr>
        <w:t>.</w:t>
      </w:r>
    </w:p>
    <w:p w14:paraId="64524D4D" w14:textId="77777777" w:rsidR="00337C20" w:rsidRPr="00AB1C99" w:rsidRDefault="00337C20" w:rsidP="00337C20">
      <w:pPr>
        <w:jc w:val="both"/>
        <w:rPr>
          <w:rFonts w:ascii="Times New Roman" w:hAnsi="Times New Roman" w:cs="Times New Roman"/>
        </w:rPr>
      </w:pPr>
      <w:r>
        <w:rPr>
          <w:rFonts w:ascii="Times New Roman" w:hAnsi="Times New Roman" w:cs="Times New Roman"/>
        </w:rPr>
        <w:t>Strozzi, Lorenzo, 223 e n.</w:t>
      </w:r>
    </w:p>
    <w:p w14:paraId="446C6E7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Strozzi, Palla, 35, 55</w:t>
      </w:r>
      <w:r>
        <w:rPr>
          <w:rFonts w:ascii="Times New Roman" w:hAnsi="Times New Roman" w:cs="Times New Roman"/>
        </w:rPr>
        <w:t>.</w:t>
      </w:r>
    </w:p>
    <w:p w14:paraId="0ED7CAB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Strozzi, Piero</w:t>
      </w:r>
      <w:r>
        <w:rPr>
          <w:rFonts w:ascii="Times New Roman" w:hAnsi="Times New Roman" w:cs="Times New Roman"/>
        </w:rPr>
        <w:t>, 52n.</w:t>
      </w:r>
    </w:p>
    <w:p w14:paraId="07889A6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Strozzi, Tito</w:t>
      </w:r>
      <w:r>
        <w:rPr>
          <w:rFonts w:ascii="Times New Roman" w:hAnsi="Times New Roman" w:cs="Times New Roman"/>
        </w:rPr>
        <w:t xml:space="preserve"> Vespasiano</w:t>
      </w:r>
      <w:r w:rsidRPr="00AB1C99">
        <w:rPr>
          <w:rFonts w:ascii="Times New Roman" w:hAnsi="Times New Roman" w:cs="Times New Roman"/>
        </w:rPr>
        <w:t>, 20</w:t>
      </w:r>
      <w:r>
        <w:rPr>
          <w:rFonts w:ascii="Times New Roman" w:hAnsi="Times New Roman" w:cs="Times New Roman"/>
        </w:rPr>
        <w:t>, 227n.</w:t>
      </w:r>
    </w:p>
    <w:p w14:paraId="1E977B8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Strozzi, Zanobi, 98</w:t>
      </w:r>
      <w:r>
        <w:rPr>
          <w:rFonts w:ascii="Times New Roman" w:hAnsi="Times New Roman" w:cs="Times New Roman"/>
        </w:rPr>
        <w:t>.</w:t>
      </w:r>
      <w:r w:rsidRPr="00AB1C99">
        <w:rPr>
          <w:rFonts w:ascii="Times New Roman" w:hAnsi="Times New Roman" w:cs="Times New Roman"/>
        </w:rPr>
        <w:t xml:space="preserve"> </w:t>
      </w:r>
    </w:p>
    <w:p w14:paraId="346A4F9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Strucina, Corrado, 197</w:t>
      </w:r>
      <w:r>
        <w:rPr>
          <w:rFonts w:ascii="Times New Roman" w:hAnsi="Times New Roman" w:cs="Times New Roman"/>
        </w:rPr>
        <w:t>.</w:t>
      </w:r>
    </w:p>
    <w:p w14:paraId="6D7C4F7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Stuart, Giacomo IV, re di Scozia</w:t>
      </w:r>
      <w:r>
        <w:rPr>
          <w:rFonts w:ascii="Times New Roman" w:hAnsi="Times New Roman" w:cs="Times New Roman"/>
        </w:rPr>
        <w:t>, 200.</w:t>
      </w:r>
    </w:p>
    <w:p w14:paraId="55023D0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Sulpizio, Giovanni da Veroli</w:t>
      </w:r>
      <w:r>
        <w:rPr>
          <w:rFonts w:ascii="Times New Roman" w:hAnsi="Times New Roman" w:cs="Times New Roman"/>
        </w:rPr>
        <w:t>, 310.</w:t>
      </w:r>
    </w:p>
    <w:p w14:paraId="51EB646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Svetonio</w:t>
      </w:r>
      <w:r>
        <w:rPr>
          <w:rFonts w:ascii="Times New Roman" w:hAnsi="Times New Roman" w:cs="Times New Roman"/>
        </w:rPr>
        <w:t>, 72.</w:t>
      </w:r>
    </w:p>
    <w:p w14:paraId="4E775B65" w14:textId="77777777" w:rsidR="00337C20" w:rsidRPr="00337C20" w:rsidRDefault="00337C20" w:rsidP="00337C20">
      <w:pPr>
        <w:jc w:val="both"/>
        <w:rPr>
          <w:rStyle w:val="Enfasigrassetto"/>
          <w:rFonts w:ascii="Times New Roman" w:hAnsi="Times New Roman" w:cs="Times New Roman"/>
          <w:b w:val="0"/>
          <w:color w:val="000000"/>
          <w:shd w:val="clear" w:color="auto" w:fill="FFFFFF"/>
        </w:rPr>
      </w:pPr>
      <w:r w:rsidRPr="00337C20">
        <w:rPr>
          <w:rStyle w:val="Enfasigrassetto"/>
          <w:rFonts w:ascii="Times New Roman" w:hAnsi="Times New Roman" w:cs="Times New Roman"/>
          <w:b w:val="0"/>
          <w:color w:val="000000"/>
          <w:shd w:val="clear" w:color="auto" w:fill="FFFFFF"/>
        </w:rPr>
        <w:t>Taccone, Baldassarre, 123, 127n, 172n, 178n, 199 e n, 200-203, 204, 205n, 206, 210, 211 e n, 213, 215.</w:t>
      </w:r>
    </w:p>
    <w:p w14:paraId="53FA1053" w14:textId="77777777" w:rsidR="00337C20" w:rsidRPr="00337C20" w:rsidRDefault="00337C20" w:rsidP="00337C20">
      <w:pPr>
        <w:jc w:val="both"/>
        <w:rPr>
          <w:rStyle w:val="Enfasigrassetto"/>
          <w:rFonts w:ascii="Times New Roman" w:hAnsi="Times New Roman" w:cs="Times New Roman"/>
          <w:b w:val="0"/>
          <w:color w:val="000000"/>
          <w:shd w:val="clear" w:color="auto" w:fill="FFFFFF"/>
        </w:rPr>
      </w:pPr>
      <w:r w:rsidRPr="00337C20">
        <w:rPr>
          <w:rStyle w:val="Enfasigrassetto"/>
          <w:rFonts w:ascii="Times New Roman" w:hAnsi="Times New Roman" w:cs="Times New Roman"/>
          <w:b w:val="0"/>
          <w:color w:val="000000"/>
          <w:shd w:val="clear" w:color="auto" w:fill="FFFFFF"/>
        </w:rPr>
        <w:t>Tacito, 45n.</w:t>
      </w:r>
    </w:p>
    <w:p w14:paraId="3B5129C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Tanzi, Francesco</w:t>
      </w:r>
      <w:r>
        <w:rPr>
          <w:rFonts w:ascii="Times New Roman" w:hAnsi="Times New Roman" w:cs="Times New Roman"/>
        </w:rPr>
        <w:t>, 214 e n.</w:t>
      </w:r>
      <w:r w:rsidRPr="00AB1C99">
        <w:rPr>
          <w:rFonts w:ascii="Times New Roman" w:hAnsi="Times New Roman" w:cs="Times New Roman"/>
        </w:rPr>
        <w:t xml:space="preserve"> </w:t>
      </w:r>
    </w:p>
    <w:p w14:paraId="33BD7BA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Tebaldeo, Antonio</w:t>
      </w:r>
      <w:r>
        <w:rPr>
          <w:rFonts w:ascii="Times New Roman" w:hAnsi="Times New Roman" w:cs="Times New Roman"/>
        </w:rPr>
        <w:t>, 315.</w:t>
      </w:r>
      <w:r w:rsidRPr="00AB1C99">
        <w:rPr>
          <w:rFonts w:ascii="Times New Roman" w:hAnsi="Times New Roman" w:cs="Times New Roman"/>
        </w:rPr>
        <w:t xml:space="preserve"> </w:t>
      </w:r>
    </w:p>
    <w:p w14:paraId="073DC23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Terenziano Mauro, 61</w:t>
      </w:r>
      <w:r>
        <w:rPr>
          <w:rFonts w:ascii="Times New Roman" w:hAnsi="Times New Roman" w:cs="Times New Roman"/>
        </w:rPr>
        <w:t>.</w:t>
      </w:r>
    </w:p>
    <w:p w14:paraId="6751485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Terenzio</w:t>
      </w:r>
      <w:r>
        <w:rPr>
          <w:rFonts w:ascii="Times New Roman" w:hAnsi="Times New Roman" w:cs="Times New Roman"/>
        </w:rPr>
        <w:t>, 309 e n, 315.</w:t>
      </w:r>
    </w:p>
    <w:p w14:paraId="34513BE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Tifernate, Gregorio, 13 e n</w:t>
      </w:r>
      <w:r>
        <w:rPr>
          <w:rFonts w:ascii="Times New Roman" w:hAnsi="Times New Roman" w:cs="Times New Roman"/>
        </w:rPr>
        <w:t>.</w:t>
      </w:r>
    </w:p>
    <w:p w14:paraId="2B74B26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Tifernate, Lilio, 35n. </w:t>
      </w:r>
    </w:p>
    <w:p w14:paraId="36ED52A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Tinctoris, Johannes</w:t>
      </w:r>
      <w:r>
        <w:rPr>
          <w:rFonts w:ascii="Times New Roman" w:hAnsi="Times New Roman" w:cs="Times New Roman"/>
        </w:rPr>
        <w:t>, 272n.</w:t>
      </w:r>
      <w:r w:rsidRPr="00AB1C99">
        <w:rPr>
          <w:rFonts w:ascii="Times New Roman" w:hAnsi="Times New Roman" w:cs="Times New Roman"/>
        </w:rPr>
        <w:t xml:space="preserve"> </w:t>
      </w:r>
    </w:p>
    <w:p w14:paraId="4988380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Tolomeo, 72, 96, 101, 131</w:t>
      </w:r>
      <w:r>
        <w:rPr>
          <w:rFonts w:ascii="Times New Roman" w:hAnsi="Times New Roman" w:cs="Times New Roman"/>
        </w:rPr>
        <w:t>.</w:t>
      </w:r>
    </w:p>
    <w:p w14:paraId="09D9D48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Tommaso san, 27, 72</w:t>
      </w:r>
      <w:r>
        <w:rPr>
          <w:rFonts w:ascii="Times New Roman" w:hAnsi="Times New Roman" w:cs="Times New Roman"/>
        </w:rPr>
        <w:t>, 259.</w:t>
      </w:r>
    </w:p>
    <w:p w14:paraId="04BA5E0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Torelli, Filippo di Matteo, 98-99</w:t>
      </w:r>
      <w:r>
        <w:rPr>
          <w:rFonts w:ascii="Times New Roman" w:hAnsi="Times New Roman" w:cs="Times New Roman"/>
        </w:rPr>
        <w:t>.</w:t>
      </w:r>
    </w:p>
    <w:p w14:paraId="7CB56A4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Tornabuoni, Lorenzo, 150, 151</w:t>
      </w:r>
      <w:r>
        <w:rPr>
          <w:rFonts w:ascii="Times New Roman" w:hAnsi="Times New Roman" w:cs="Times New Roman"/>
        </w:rPr>
        <w:t>.</w:t>
      </w:r>
    </w:p>
    <w:p w14:paraId="56BC550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Tornabuoni, Lucrezia, 24, 109</w:t>
      </w:r>
      <w:r>
        <w:rPr>
          <w:rFonts w:ascii="Times New Roman" w:hAnsi="Times New Roman" w:cs="Times New Roman"/>
        </w:rPr>
        <w:t>.</w:t>
      </w:r>
    </w:p>
    <w:p w14:paraId="1215EE6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Torres, Jaume, 50 e n</w:t>
      </w:r>
      <w:r>
        <w:rPr>
          <w:rFonts w:ascii="Times New Roman" w:hAnsi="Times New Roman" w:cs="Times New Roman"/>
        </w:rPr>
        <w:t>.</w:t>
      </w:r>
      <w:r w:rsidRPr="00AB1C99">
        <w:rPr>
          <w:rFonts w:ascii="Times New Roman" w:hAnsi="Times New Roman" w:cs="Times New Roman"/>
        </w:rPr>
        <w:t xml:space="preserve"> </w:t>
      </w:r>
    </w:p>
    <w:p w14:paraId="6E6742C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Torquemada, Juan, 29</w:t>
      </w:r>
      <w:r>
        <w:rPr>
          <w:rFonts w:ascii="Times New Roman" w:hAnsi="Times New Roman" w:cs="Times New Roman"/>
        </w:rPr>
        <w:t>.</w:t>
      </w:r>
      <w:r w:rsidRPr="00AB1C99">
        <w:rPr>
          <w:rFonts w:ascii="Times New Roman" w:hAnsi="Times New Roman" w:cs="Times New Roman"/>
        </w:rPr>
        <w:t xml:space="preserve"> </w:t>
      </w:r>
    </w:p>
    <w:p w14:paraId="0A7A8F7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Tossico, Ni</w:t>
      </w:r>
      <w:r>
        <w:rPr>
          <w:rFonts w:ascii="Times New Roman" w:hAnsi="Times New Roman" w:cs="Times New Roman"/>
        </w:rPr>
        <w:t>c</w:t>
      </w:r>
      <w:r w:rsidRPr="00AB1C99">
        <w:rPr>
          <w:rFonts w:ascii="Times New Roman" w:hAnsi="Times New Roman" w:cs="Times New Roman"/>
        </w:rPr>
        <w:t>colò</w:t>
      </w:r>
      <w:r>
        <w:rPr>
          <w:rFonts w:ascii="Times New Roman" w:hAnsi="Times New Roman" w:cs="Times New Roman"/>
        </w:rPr>
        <w:t>, 315.</w:t>
      </w:r>
      <w:r w:rsidRPr="00AB1C99">
        <w:rPr>
          <w:rFonts w:ascii="Times New Roman" w:hAnsi="Times New Roman" w:cs="Times New Roman"/>
        </w:rPr>
        <w:t xml:space="preserve"> </w:t>
      </w:r>
    </w:p>
    <w:p w14:paraId="1ADE656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Traversari, Ambrogio, 21n, 27, 70</w:t>
      </w:r>
      <w:r>
        <w:rPr>
          <w:rFonts w:ascii="Times New Roman" w:hAnsi="Times New Roman" w:cs="Times New Roman"/>
        </w:rPr>
        <w:t>.</w:t>
      </w:r>
    </w:p>
    <w:p w14:paraId="60E406F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Trechsel, Jean, 153</w:t>
      </w:r>
      <w:r>
        <w:rPr>
          <w:rFonts w:ascii="Times New Roman" w:hAnsi="Times New Roman" w:cs="Times New Roman"/>
        </w:rPr>
        <w:t>, 310n.</w:t>
      </w:r>
      <w:r w:rsidRPr="00AB1C99">
        <w:rPr>
          <w:rFonts w:ascii="Times New Roman" w:hAnsi="Times New Roman" w:cs="Times New Roman"/>
        </w:rPr>
        <w:t xml:space="preserve"> </w:t>
      </w:r>
    </w:p>
    <w:p w14:paraId="26EC0B9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Tréperel, Jean</w:t>
      </w:r>
      <w:r>
        <w:rPr>
          <w:rFonts w:ascii="Times New Roman" w:hAnsi="Times New Roman" w:cs="Times New Roman"/>
        </w:rPr>
        <w:t>, 121n.</w:t>
      </w:r>
      <w:r w:rsidRPr="00AB1C99">
        <w:rPr>
          <w:rFonts w:ascii="Times New Roman" w:hAnsi="Times New Roman" w:cs="Times New Roman"/>
        </w:rPr>
        <w:t xml:space="preserve"> </w:t>
      </w:r>
    </w:p>
    <w:p w14:paraId="4884B1B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Tribraco, Gaspare</w:t>
      </w:r>
      <w:r>
        <w:rPr>
          <w:rFonts w:ascii="Times New Roman" w:hAnsi="Times New Roman" w:cs="Times New Roman"/>
        </w:rPr>
        <w:t>, 42n.</w:t>
      </w:r>
      <w:r w:rsidRPr="00AB1C99">
        <w:rPr>
          <w:rFonts w:ascii="Times New Roman" w:hAnsi="Times New Roman" w:cs="Times New Roman"/>
        </w:rPr>
        <w:t xml:space="preserve"> </w:t>
      </w:r>
    </w:p>
    <w:p w14:paraId="25A26C8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Trivulzio, Antonio, 173n</w:t>
      </w:r>
      <w:r>
        <w:rPr>
          <w:rFonts w:ascii="Times New Roman" w:hAnsi="Times New Roman" w:cs="Times New Roman"/>
        </w:rPr>
        <w:t>, 209.</w:t>
      </w:r>
    </w:p>
    <w:p w14:paraId="6329857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Trivulzio, Gian Giacomo, 18n, 183n</w:t>
      </w:r>
      <w:r>
        <w:rPr>
          <w:rFonts w:ascii="Times New Roman" w:hAnsi="Times New Roman" w:cs="Times New Roman"/>
        </w:rPr>
        <w:t>.</w:t>
      </w:r>
      <w:r w:rsidRPr="00AB1C99">
        <w:rPr>
          <w:rFonts w:ascii="Times New Roman" w:hAnsi="Times New Roman" w:cs="Times New Roman"/>
        </w:rPr>
        <w:t xml:space="preserve"> </w:t>
      </w:r>
    </w:p>
    <w:p w14:paraId="4AF17EE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Trotti, Giacomo, 16n, 175n,</w:t>
      </w:r>
      <w:r>
        <w:rPr>
          <w:rFonts w:ascii="Times New Roman" w:hAnsi="Times New Roman" w:cs="Times New Roman"/>
        </w:rPr>
        <w:t xml:space="preserve"> 214, 285, 288.</w:t>
      </w:r>
    </w:p>
    <w:p w14:paraId="2D9DE32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Trotto, Antonio, 155, 161</w:t>
      </w:r>
      <w:r>
        <w:rPr>
          <w:rFonts w:ascii="Times New Roman" w:hAnsi="Times New Roman" w:cs="Times New Roman"/>
        </w:rPr>
        <w:t>.</w:t>
      </w:r>
    </w:p>
    <w:p w14:paraId="1D20C98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Trotto, Marco, 16n</w:t>
      </w:r>
      <w:r>
        <w:rPr>
          <w:rFonts w:ascii="Times New Roman" w:hAnsi="Times New Roman" w:cs="Times New Roman"/>
        </w:rPr>
        <w:t>.</w:t>
      </w:r>
    </w:p>
    <w:p w14:paraId="0DDF2E6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Todeschini, Francesco, 28</w:t>
      </w:r>
      <w:r>
        <w:rPr>
          <w:rFonts w:ascii="Times New Roman" w:hAnsi="Times New Roman" w:cs="Times New Roman"/>
        </w:rPr>
        <w:t>.</w:t>
      </w:r>
    </w:p>
    <w:p w14:paraId="46033B3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Tortelli, Giovanni, 27</w:t>
      </w:r>
      <w:r>
        <w:rPr>
          <w:rFonts w:ascii="Times New Roman" w:hAnsi="Times New Roman" w:cs="Times New Roman"/>
        </w:rPr>
        <w:t>.</w:t>
      </w:r>
    </w:p>
    <w:p w14:paraId="0504AAF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Tossici, Niccolò, 19</w:t>
      </w:r>
      <w:r>
        <w:rPr>
          <w:rFonts w:ascii="Times New Roman" w:hAnsi="Times New Roman" w:cs="Times New Roman"/>
        </w:rPr>
        <w:t>.</w:t>
      </w:r>
      <w:r w:rsidRPr="00AB1C99">
        <w:rPr>
          <w:rFonts w:ascii="Times New Roman" w:hAnsi="Times New Roman" w:cs="Times New Roman"/>
        </w:rPr>
        <w:t xml:space="preserve">  </w:t>
      </w:r>
    </w:p>
    <w:p w14:paraId="1F1F9FB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Tranchedini, Nicodemo, 58-59, 76</w:t>
      </w:r>
      <w:r>
        <w:rPr>
          <w:rFonts w:ascii="Times New Roman" w:hAnsi="Times New Roman" w:cs="Times New Roman"/>
        </w:rPr>
        <w:t>, 223.</w:t>
      </w:r>
      <w:r w:rsidRPr="00AB1C99">
        <w:rPr>
          <w:rFonts w:ascii="Times New Roman" w:hAnsi="Times New Roman" w:cs="Times New Roman"/>
        </w:rPr>
        <w:t xml:space="preserve"> </w:t>
      </w:r>
    </w:p>
    <w:p w14:paraId="1B3F357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Trovarelli, Giosia, 30</w:t>
      </w:r>
      <w:r>
        <w:rPr>
          <w:rFonts w:ascii="Times New Roman" w:hAnsi="Times New Roman" w:cs="Times New Roman"/>
        </w:rPr>
        <w:t>.</w:t>
      </w:r>
    </w:p>
    <w:p w14:paraId="62F2744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Tura, Cosmè, 41n, 44</w:t>
      </w:r>
      <w:r>
        <w:rPr>
          <w:rFonts w:ascii="Times New Roman" w:hAnsi="Times New Roman" w:cs="Times New Roman"/>
        </w:rPr>
        <w:t>, 260.</w:t>
      </w:r>
    </w:p>
    <w:p w14:paraId="0A6409D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Turchi Aldobrandino, detto Tegrino</w:t>
      </w:r>
      <w:r>
        <w:rPr>
          <w:rFonts w:ascii="Times New Roman" w:hAnsi="Times New Roman" w:cs="Times New Roman"/>
        </w:rPr>
        <w:t>, 263 e n.</w:t>
      </w:r>
    </w:p>
    <w:p w14:paraId="3ADB01A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Ubaldini, Ottaviano della Carda, 36 e n, 137</w:t>
      </w:r>
      <w:r>
        <w:rPr>
          <w:rFonts w:ascii="Times New Roman" w:hAnsi="Times New Roman" w:cs="Times New Roman"/>
        </w:rPr>
        <w:t>, 239.</w:t>
      </w:r>
    </w:p>
    <w:p w14:paraId="7EDA6CF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Uberti ser, Leonardo, 71</w:t>
      </w:r>
      <w:r>
        <w:rPr>
          <w:rFonts w:ascii="Times New Roman" w:hAnsi="Times New Roman" w:cs="Times New Roman"/>
        </w:rPr>
        <w:t>.</w:t>
      </w:r>
      <w:r w:rsidRPr="00AB1C99">
        <w:rPr>
          <w:rFonts w:ascii="Times New Roman" w:hAnsi="Times New Roman" w:cs="Times New Roman"/>
        </w:rPr>
        <w:t xml:space="preserve"> </w:t>
      </w:r>
    </w:p>
    <w:p w14:paraId="1C93BDD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Ugoletti, Taddeo, 102, 106, 107, 109</w:t>
      </w:r>
      <w:r>
        <w:rPr>
          <w:rFonts w:ascii="Times New Roman" w:hAnsi="Times New Roman" w:cs="Times New Roman"/>
        </w:rPr>
        <w:t>.</w:t>
      </w:r>
    </w:p>
    <w:p w14:paraId="6AE5AC4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Ugolini, Baccio</w:t>
      </w:r>
      <w:r>
        <w:rPr>
          <w:rFonts w:ascii="Times New Roman" w:hAnsi="Times New Roman" w:cs="Times New Roman"/>
        </w:rPr>
        <w:t>, 275.</w:t>
      </w:r>
    </w:p>
    <w:p w14:paraId="080FFAB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Urbano IV (papa Jacopo Pantaleon)</w:t>
      </w:r>
      <w:r>
        <w:rPr>
          <w:rFonts w:ascii="Times New Roman" w:hAnsi="Times New Roman" w:cs="Times New Roman"/>
        </w:rPr>
        <w:t>, 212.</w:t>
      </w:r>
    </w:p>
    <w:p w14:paraId="6811F1F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Urbano V (papa Guillaume de Grimoard)</w:t>
      </w:r>
      <w:r>
        <w:rPr>
          <w:rFonts w:ascii="Times New Roman" w:hAnsi="Times New Roman" w:cs="Times New Roman"/>
        </w:rPr>
        <w:t>, 262.</w:t>
      </w:r>
    </w:p>
    <w:p w14:paraId="137C15A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Ursuleo, Pietro da Capua, 50</w:t>
      </w:r>
      <w:r>
        <w:rPr>
          <w:rFonts w:ascii="Times New Roman" w:hAnsi="Times New Roman" w:cs="Times New Roman"/>
        </w:rPr>
        <w:t>.</w:t>
      </w:r>
    </w:p>
    <w:p w14:paraId="1A58673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Vadio, Angelo, 131</w:t>
      </w:r>
      <w:r>
        <w:rPr>
          <w:rFonts w:ascii="Times New Roman" w:hAnsi="Times New Roman" w:cs="Times New Roman"/>
        </w:rPr>
        <w:t>.</w:t>
      </w:r>
    </w:p>
    <w:p w14:paraId="4C7D5D6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Vagnino, Federico</w:t>
      </w:r>
      <w:r>
        <w:rPr>
          <w:rFonts w:ascii="Times New Roman" w:hAnsi="Times New Roman" w:cs="Times New Roman"/>
        </w:rPr>
        <w:t>,</w:t>
      </w:r>
      <w:r w:rsidRPr="00AB1C99">
        <w:rPr>
          <w:rFonts w:ascii="Times New Roman" w:hAnsi="Times New Roman" w:cs="Times New Roman"/>
        </w:rPr>
        <w:t xml:space="preserve"> vedi Veterani, Federico</w:t>
      </w:r>
      <w:r>
        <w:rPr>
          <w:rFonts w:ascii="Times New Roman" w:hAnsi="Times New Roman" w:cs="Times New Roman"/>
        </w:rPr>
        <w:t>.</w:t>
      </w:r>
    </w:p>
    <w:p w14:paraId="00746AB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Valentini, Giovan Battista detto Cantalicio</w:t>
      </w:r>
      <w:r>
        <w:rPr>
          <w:rFonts w:ascii="Times New Roman" w:hAnsi="Times New Roman" w:cs="Times New Roman"/>
        </w:rPr>
        <w:t>, 255-257.</w:t>
      </w:r>
    </w:p>
    <w:p w14:paraId="0D2EE0D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Valerio Flacco, 70n</w:t>
      </w:r>
      <w:r>
        <w:rPr>
          <w:rFonts w:ascii="Times New Roman" w:hAnsi="Times New Roman" w:cs="Times New Roman"/>
        </w:rPr>
        <w:t>.</w:t>
      </w:r>
    </w:p>
    <w:p w14:paraId="5A73B92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Valla, Lorenzo, 27, 32,</w:t>
      </w:r>
      <w:r>
        <w:rPr>
          <w:rFonts w:ascii="Times New Roman" w:hAnsi="Times New Roman" w:cs="Times New Roman"/>
        </w:rPr>
        <w:t xml:space="preserve"> 33n,</w:t>
      </w:r>
      <w:r w:rsidRPr="00AB1C99">
        <w:rPr>
          <w:rFonts w:ascii="Times New Roman" w:hAnsi="Times New Roman" w:cs="Times New Roman"/>
        </w:rPr>
        <w:t xml:space="preserve"> 75, 82</w:t>
      </w:r>
      <w:r>
        <w:rPr>
          <w:rFonts w:ascii="Times New Roman" w:hAnsi="Times New Roman" w:cs="Times New Roman"/>
        </w:rPr>
        <w:t>.</w:t>
      </w:r>
    </w:p>
    <w:p w14:paraId="2493AD0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Valturio, Roberto, 182n</w:t>
      </w:r>
      <w:r>
        <w:rPr>
          <w:rFonts w:ascii="Times New Roman" w:hAnsi="Times New Roman" w:cs="Times New Roman"/>
        </w:rPr>
        <w:t>.</w:t>
      </w:r>
    </w:p>
    <w:p w14:paraId="5060E39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van Eyck, Jan, 44</w:t>
      </w:r>
      <w:r>
        <w:rPr>
          <w:rFonts w:ascii="Times New Roman" w:hAnsi="Times New Roman" w:cs="Times New Roman"/>
        </w:rPr>
        <w:t>.</w:t>
      </w:r>
    </w:p>
    <w:p w14:paraId="3008FF96"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van der Weyden, Rogier, 44, 88</w:t>
      </w:r>
      <w:r>
        <w:rPr>
          <w:rFonts w:ascii="Times New Roman" w:hAnsi="Times New Roman" w:cs="Times New Roman"/>
        </w:rPr>
        <w:t>.</w:t>
      </w:r>
    </w:p>
    <w:p w14:paraId="6441F981"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Vannucci, Bartolomeo, 51</w:t>
      </w:r>
      <w:r>
        <w:rPr>
          <w:rFonts w:ascii="Times New Roman" w:hAnsi="Times New Roman" w:cs="Times New Roman"/>
        </w:rPr>
        <w:t>.</w:t>
      </w:r>
    </w:p>
    <w:p w14:paraId="520DA5C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Varano, Costanza</w:t>
      </w:r>
      <w:r>
        <w:rPr>
          <w:rFonts w:ascii="Times New Roman" w:hAnsi="Times New Roman" w:cs="Times New Roman"/>
        </w:rPr>
        <w:t>, 289.</w:t>
      </w:r>
    </w:p>
    <w:p w14:paraId="709E7E7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Varano, Pietro</w:t>
      </w:r>
      <w:r>
        <w:rPr>
          <w:rFonts w:ascii="Times New Roman" w:hAnsi="Times New Roman" w:cs="Times New Roman"/>
        </w:rPr>
        <w:t>, 311.</w:t>
      </w:r>
      <w:r w:rsidRPr="00AB1C99">
        <w:rPr>
          <w:rFonts w:ascii="Times New Roman" w:hAnsi="Times New Roman" w:cs="Times New Roman"/>
        </w:rPr>
        <w:t xml:space="preserve"> </w:t>
      </w:r>
    </w:p>
    <w:p w14:paraId="0B658E2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Varese, Ambrogio</w:t>
      </w:r>
      <w:r>
        <w:rPr>
          <w:rFonts w:ascii="Times New Roman" w:hAnsi="Times New Roman" w:cs="Times New Roman"/>
        </w:rPr>
        <w:t>, 233.</w:t>
      </w:r>
    </w:p>
    <w:p w14:paraId="520AD3D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Varrone</w:t>
      </w:r>
      <w:r>
        <w:rPr>
          <w:rFonts w:ascii="Times New Roman" w:hAnsi="Times New Roman" w:cs="Times New Roman"/>
        </w:rPr>
        <w:t>, 72, 74n, 175.</w:t>
      </w:r>
    </w:p>
    <w:p w14:paraId="046ECED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Vasari, Giorgio</w:t>
      </w:r>
      <w:r>
        <w:rPr>
          <w:rFonts w:ascii="Times New Roman" w:hAnsi="Times New Roman" w:cs="Times New Roman"/>
        </w:rPr>
        <w:t>, 305n.</w:t>
      </w:r>
    </w:p>
    <w:p w14:paraId="2A026DE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Vegezio, 52n, 72</w:t>
      </w:r>
      <w:r>
        <w:rPr>
          <w:rFonts w:ascii="Times New Roman" w:hAnsi="Times New Roman" w:cs="Times New Roman"/>
        </w:rPr>
        <w:t>.</w:t>
      </w:r>
    </w:p>
    <w:p w14:paraId="3A3F995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Vendramin, Andrea</w:t>
      </w:r>
      <w:r>
        <w:rPr>
          <w:rFonts w:ascii="Times New Roman" w:hAnsi="Times New Roman" w:cs="Times New Roman"/>
        </w:rPr>
        <w:t>, 232, 258.</w:t>
      </w:r>
      <w:r w:rsidRPr="00AB1C99">
        <w:rPr>
          <w:rFonts w:ascii="Times New Roman" w:hAnsi="Times New Roman" w:cs="Times New Roman"/>
        </w:rPr>
        <w:t xml:space="preserve"> </w:t>
      </w:r>
    </w:p>
    <w:p w14:paraId="34EAE86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Veneziano, Domenico, 24</w:t>
      </w:r>
      <w:r>
        <w:rPr>
          <w:rFonts w:ascii="Times New Roman" w:hAnsi="Times New Roman" w:cs="Times New Roman"/>
        </w:rPr>
        <w:t>.</w:t>
      </w:r>
    </w:p>
    <w:p w14:paraId="32E1FDE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Verduno, Narciso, 84, 85n</w:t>
      </w:r>
      <w:r>
        <w:rPr>
          <w:rFonts w:ascii="Times New Roman" w:hAnsi="Times New Roman" w:cs="Times New Roman"/>
        </w:rPr>
        <w:t>.</w:t>
      </w:r>
      <w:r w:rsidRPr="00AB1C99">
        <w:rPr>
          <w:rFonts w:ascii="Times New Roman" w:hAnsi="Times New Roman" w:cs="Times New Roman"/>
        </w:rPr>
        <w:t xml:space="preserve"> </w:t>
      </w:r>
    </w:p>
    <w:p w14:paraId="22D5410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Verino, Ugolino, 111</w:t>
      </w:r>
      <w:r>
        <w:rPr>
          <w:rFonts w:ascii="Times New Roman" w:hAnsi="Times New Roman" w:cs="Times New Roman"/>
        </w:rPr>
        <w:t>.</w:t>
      </w:r>
    </w:p>
    <w:p w14:paraId="6A2CB4C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Veronese, Guarino, 12n, 13, 19, 42 e n, 43n, 66, 73, 96, 137n, 144</w:t>
      </w:r>
      <w:r>
        <w:rPr>
          <w:rFonts w:ascii="Times New Roman" w:hAnsi="Times New Roman" w:cs="Times New Roman"/>
        </w:rPr>
        <w:t>, 258n, 309n.</w:t>
      </w:r>
    </w:p>
    <w:p w14:paraId="501F630C"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Verrocchio, Andrea, </w:t>
      </w:r>
      <w:r>
        <w:rPr>
          <w:rFonts w:ascii="Times New Roman" w:hAnsi="Times New Roman" w:cs="Times New Roman"/>
        </w:rPr>
        <w:t xml:space="preserve">100n, </w:t>
      </w:r>
      <w:r w:rsidRPr="00AB1C99">
        <w:rPr>
          <w:rFonts w:ascii="Times New Roman" w:hAnsi="Times New Roman" w:cs="Times New Roman"/>
        </w:rPr>
        <w:t>103</w:t>
      </w:r>
      <w:r>
        <w:rPr>
          <w:rFonts w:ascii="Times New Roman" w:hAnsi="Times New Roman" w:cs="Times New Roman"/>
        </w:rPr>
        <w:t>.</w:t>
      </w:r>
    </w:p>
    <w:p w14:paraId="5F27A4C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Vespucci Cattaneo, Simonetta, 109, 110</w:t>
      </w:r>
      <w:r>
        <w:rPr>
          <w:rFonts w:ascii="Times New Roman" w:hAnsi="Times New Roman" w:cs="Times New Roman"/>
        </w:rPr>
        <w:t>.</w:t>
      </w:r>
    </w:p>
    <w:p w14:paraId="0EE8D22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Vespucci, Giorgio Antonio</w:t>
      </w:r>
      <w:r>
        <w:rPr>
          <w:rFonts w:ascii="Times New Roman" w:hAnsi="Times New Roman" w:cs="Times New Roman"/>
        </w:rPr>
        <w:t>, 309, 310n.</w:t>
      </w:r>
      <w:r w:rsidRPr="00AB1C99">
        <w:rPr>
          <w:rFonts w:ascii="Times New Roman" w:hAnsi="Times New Roman" w:cs="Times New Roman"/>
        </w:rPr>
        <w:t xml:space="preserve"> </w:t>
      </w:r>
    </w:p>
    <w:p w14:paraId="14D267E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Vespucci, Giuliano</w:t>
      </w:r>
      <w:r>
        <w:rPr>
          <w:rFonts w:ascii="Times New Roman" w:hAnsi="Times New Roman" w:cs="Times New Roman"/>
        </w:rPr>
        <w:t>, 223.</w:t>
      </w:r>
      <w:r w:rsidRPr="00AB1C99">
        <w:rPr>
          <w:rFonts w:ascii="Times New Roman" w:hAnsi="Times New Roman" w:cs="Times New Roman"/>
        </w:rPr>
        <w:t xml:space="preserve"> </w:t>
      </w:r>
    </w:p>
    <w:p w14:paraId="66E7CA1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Vespucci, Marco, 110</w:t>
      </w:r>
      <w:r>
        <w:rPr>
          <w:rFonts w:ascii="Times New Roman" w:hAnsi="Times New Roman" w:cs="Times New Roman"/>
        </w:rPr>
        <w:t>.</w:t>
      </w:r>
    </w:p>
    <w:p w14:paraId="6540229A"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Veterani, Federico, 53, 55</w:t>
      </w:r>
      <w:r>
        <w:rPr>
          <w:rFonts w:ascii="Times New Roman" w:hAnsi="Times New Roman" w:cs="Times New Roman"/>
        </w:rPr>
        <w:t>.</w:t>
      </w:r>
    </w:p>
    <w:p w14:paraId="687C56C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Villani, Giovanni, 65n</w:t>
      </w:r>
      <w:r>
        <w:rPr>
          <w:rFonts w:ascii="Times New Roman" w:hAnsi="Times New Roman" w:cs="Times New Roman"/>
        </w:rPr>
        <w:t>.</w:t>
      </w:r>
    </w:p>
    <w:p w14:paraId="0519A1D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Vincenzi Giacobelli, Tommaso, 137n</w:t>
      </w:r>
      <w:r>
        <w:rPr>
          <w:rFonts w:ascii="Times New Roman" w:hAnsi="Times New Roman" w:cs="Times New Roman"/>
        </w:rPr>
        <w:t>.</w:t>
      </w:r>
      <w:r w:rsidRPr="00AB1C99">
        <w:rPr>
          <w:rFonts w:ascii="Times New Roman" w:hAnsi="Times New Roman" w:cs="Times New Roman"/>
        </w:rPr>
        <w:t xml:space="preserve">  </w:t>
      </w:r>
    </w:p>
    <w:p w14:paraId="436208D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Virgilio, 72, 93, 120, 194n</w:t>
      </w:r>
      <w:r>
        <w:rPr>
          <w:rFonts w:ascii="Times New Roman" w:hAnsi="Times New Roman" w:cs="Times New Roman"/>
        </w:rPr>
        <w:t>, 202.</w:t>
      </w:r>
    </w:p>
    <w:p w14:paraId="22F9531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Visconti, Bernabò, 15, 170n, 176 e n</w:t>
      </w:r>
      <w:r>
        <w:rPr>
          <w:rFonts w:ascii="Times New Roman" w:hAnsi="Times New Roman" w:cs="Times New Roman"/>
        </w:rPr>
        <w:t>.</w:t>
      </w:r>
      <w:r w:rsidRPr="00AB1C99">
        <w:rPr>
          <w:rFonts w:ascii="Times New Roman" w:hAnsi="Times New Roman" w:cs="Times New Roman"/>
        </w:rPr>
        <w:t xml:space="preserve"> </w:t>
      </w:r>
    </w:p>
    <w:p w14:paraId="51F50A98"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Visconti, Bianca Maria, 40, 177, 182, 196n</w:t>
      </w:r>
      <w:r>
        <w:rPr>
          <w:rFonts w:ascii="Times New Roman" w:hAnsi="Times New Roman" w:cs="Times New Roman"/>
        </w:rPr>
        <w:t>, 219, 289n.</w:t>
      </w:r>
    </w:p>
    <w:p w14:paraId="40A44B6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Visconti, Filippo Maria, 14, 17, 32, 51, 76, 171, 180</w:t>
      </w:r>
      <w:r>
        <w:rPr>
          <w:rFonts w:ascii="Times New Roman" w:hAnsi="Times New Roman" w:cs="Times New Roman"/>
        </w:rPr>
        <w:t>.</w:t>
      </w:r>
    </w:p>
    <w:p w14:paraId="79EC79C3"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Visconti, Galeazzo II, 14, 17, 176 e n, 189 e n</w:t>
      </w:r>
      <w:r>
        <w:rPr>
          <w:rFonts w:ascii="Times New Roman" w:hAnsi="Times New Roman" w:cs="Times New Roman"/>
        </w:rPr>
        <w:t>.</w:t>
      </w:r>
    </w:p>
    <w:p w14:paraId="0008308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Visconti, Gasparo Ambrogio, 49, 115n, 183, 185n</w:t>
      </w:r>
      <w:r>
        <w:rPr>
          <w:rFonts w:ascii="Times New Roman" w:hAnsi="Times New Roman" w:cs="Times New Roman"/>
        </w:rPr>
        <w:t>, 200n, 201, 210n.</w:t>
      </w:r>
    </w:p>
    <w:p w14:paraId="553A0966" w14:textId="77777777" w:rsidR="00337C20" w:rsidRDefault="00337C20" w:rsidP="00337C20">
      <w:pPr>
        <w:jc w:val="both"/>
        <w:rPr>
          <w:rFonts w:ascii="Times New Roman" w:hAnsi="Times New Roman" w:cs="Times New Roman"/>
        </w:rPr>
      </w:pPr>
      <w:r w:rsidRPr="00AB1C99">
        <w:rPr>
          <w:rFonts w:ascii="Times New Roman" w:hAnsi="Times New Roman" w:cs="Times New Roman"/>
        </w:rPr>
        <w:t>Visconti, Gian Galeazzo, 15, 176 e n, 177 e n, 178, 180, 181n</w:t>
      </w:r>
      <w:r>
        <w:rPr>
          <w:rFonts w:ascii="Times New Roman" w:hAnsi="Times New Roman" w:cs="Times New Roman"/>
        </w:rPr>
        <w:t>.</w:t>
      </w:r>
      <w:r w:rsidRPr="00AB1C99">
        <w:rPr>
          <w:rFonts w:ascii="Times New Roman" w:hAnsi="Times New Roman" w:cs="Times New Roman"/>
        </w:rPr>
        <w:t xml:space="preserve"> </w:t>
      </w:r>
    </w:p>
    <w:p w14:paraId="2E8778E8" w14:textId="77777777" w:rsidR="00337C20" w:rsidRPr="00AB1C99" w:rsidRDefault="00337C20" w:rsidP="00337C20">
      <w:pPr>
        <w:jc w:val="both"/>
        <w:rPr>
          <w:rFonts w:ascii="Times New Roman" w:hAnsi="Times New Roman" w:cs="Times New Roman"/>
        </w:rPr>
      </w:pPr>
      <w:r>
        <w:rPr>
          <w:rFonts w:ascii="Times New Roman" w:hAnsi="Times New Roman" w:cs="Times New Roman"/>
        </w:rPr>
        <w:t>Visconti, Francesco Bernardo, 210.</w:t>
      </w:r>
    </w:p>
    <w:p w14:paraId="1E361E25"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Visconti, Matteo I, 176</w:t>
      </w:r>
      <w:r>
        <w:rPr>
          <w:rFonts w:ascii="Times New Roman" w:hAnsi="Times New Roman" w:cs="Times New Roman"/>
        </w:rPr>
        <w:t>, 205.</w:t>
      </w:r>
    </w:p>
    <w:p w14:paraId="1D2F3E5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Visconti, Ottone</w:t>
      </w:r>
      <w:r>
        <w:rPr>
          <w:rFonts w:ascii="Times New Roman" w:hAnsi="Times New Roman" w:cs="Times New Roman"/>
        </w:rPr>
        <w:t>, 205</w:t>
      </w:r>
      <w:r w:rsidRPr="00AB1C99">
        <w:rPr>
          <w:rFonts w:ascii="Times New Roman" w:hAnsi="Times New Roman" w:cs="Times New Roman"/>
        </w:rPr>
        <w:t xml:space="preserve"> </w:t>
      </w:r>
      <w:r>
        <w:rPr>
          <w:rFonts w:ascii="Times New Roman" w:hAnsi="Times New Roman" w:cs="Times New Roman"/>
        </w:rPr>
        <w:t>e n.</w:t>
      </w:r>
    </w:p>
    <w:p w14:paraId="3876913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Vitelli, Niccolò, 129</w:t>
      </w:r>
      <w:r>
        <w:rPr>
          <w:rFonts w:ascii="Times New Roman" w:hAnsi="Times New Roman" w:cs="Times New Roman"/>
        </w:rPr>
        <w:t>.</w:t>
      </w:r>
    </w:p>
    <w:p w14:paraId="37AD4152"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Vitéz, János, 106</w:t>
      </w:r>
      <w:r>
        <w:rPr>
          <w:rFonts w:ascii="Times New Roman" w:hAnsi="Times New Roman" w:cs="Times New Roman"/>
        </w:rPr>
        <w:t>.</w:t>
      </w:r>
      <w:r w:rsidRPr="00AB1C99">
        <w:rPr>
          <w:rFonts w:ascii="Times New Roman" w:hAnsi="Times New Roman" w:cs="Times New Roman"/>
        </w:rPr>
        <w:t xml:space="preserve"> </w:t>
      </w:r>
    </w:p>
    <w:p w14:paraId="0CAFC0E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Vitruvio, 72, 175, 180</w:t>
      </w:r>
      <w:r>
        <w:rPr>
          <w:rFonts w:ascii="Times New Roman" w:hAnsi="Times New Roman" w:cs="Times New Roman"/>
        </w:rPr>
        <w:t xml:space="preserve">, 247, 309, 310 e n. </w:t>
      </w:r>
    </w:p>
    <w:p w14:paraId="4D8931A4"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Vladislao II, re di Boemia</w:t>
      </w:r>
      <w:r>
        <w:rPr>
          <w:rFonts w:ascii="Times New Roman" w:hAnsi="Times New Roman" w:cs="Times New Roman"/>
        </w:rPr>
        <w:t>, 200.</w:t>
      </w:r>
    </w:p>
    <w:p w14:paraId="23424FD9"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von Meckau, Melchior, 197</w:t>
      </w:r>
      <w:r>
        <w:rPr>
          <w:rFonts w:ascii="Times New Roman" w:hAnsi="Times New Roman" w:cs="Times New Roman"/>
        </w:rPr>
        <w:t>.</w:t>
      </w:r>
    </w:p>
    <w:p w14:paraId="41FE078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Vukčić, Caterina regina di Bosnia</w:t>
      </w:r>
      <w:r>
        <w:rPr>
          <w:rFonts w:ascii="Times New Roman" w:hAnsi="Times New Roman" w:cs="Times New Roman"/>
        </w:rPr>
        <w:t>, 229.</w:t>
      </w:r>
    </w:p>
    <w:p w14:paraId="4974B69D"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Vurster, Johann</w:t>
      </w:r>
      <w:r>
        <w:rPr>
          <w:rFonts w:ascii="Times New Roman" w:hAnsi="Times New Roman" w:cs="Times New Roman"/>
        </w:rPr>
        <w:t>, 63n.</w:t>
      </w:r>
    </w:p>
    <w:p w14:paraId="1D8E91AF"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Wauquelin, Jean, 87</w:t>
      </w:r>
      <w:r>
        <w:rPr>
          <w:rFonts w:ascii="Times New Roman" w:hAnsi="Times New Roman" w:cs="Times New Roman"/>
        </w:rPr>
        <w:t>.</w:t>
      </w:r>
      <w:r w:rsidRPr="00AB1C99">
        <w:rPr>
          <w:rFonts w:ascii="Times New Roman" w:hAnsi="Times New Roman" w:cs="Times New Roman"/>
        </w:rPr>
        <w:t xml:space="preserve"> </w:t>
      </w:r>
    </w:p>
    <w:p w14:paraId="0177A897"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Zambotti, Bernardino</w:t>
      </w:r>
      <w:r>
        <w:rPr>
          <w:rFonts w:ascii="Times New Roman" w:hAnsi="Times New Roman" w:cs="Times New Roman"/>
        </w:rPr>
        <w:t>, 242, 247, 306, 313, 315, 316.</w:t>
      </w:r>
    </w:p>
    <w:p w14:paraId="668B5D4E"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Zane, Lorenzo, 148</w:t>
      </w:r>
      <w:r>
        <w:rPr>
          <w:rFonts w:ascii="Times New Roman" w:hAnsi="Times New Roman" w:cs="Times New Roman"/>
        </w:rPr>
        <w:t>.</w:t>
      </w:r>
      <w:r w:rsidRPr="00AB1C99">
        <w:rPr>
          <w:rFonts w:ascii="Times New Roman" w:hAnsi="Times New Roman" w:cs="Times New Roman"/>
        </w:rPr>
        <w:t xml:space="preserve"> </w:t>
      </w:r>
    </w:p>
    <w:p w14:paraId="0B8758E0"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Zarotto, Antonio, 48 e n, 60, 61n, 77, 123n, 169-172, 198</w:t>
      </w:r>
      <w:r>
        <w:rPr>
          <w:rFonts w:ascii="Times New Roman" w:hAnsi="Times New Roman" w:cs="Times New Roman"/>
        </w:rPr>
        <w:t>, 199, 203.</w:t>
      </w:r>
    </w:p>
    <w:p w14:paraId="626938A7" w14:textId="77777777" w:rsidR="00A22FFE" w:rsidRPr="00AB1C99" w:rsidRDefault="00337C20" w:rsidP="00337C20">
      <w:pPr>
        <w:jc w:val="both"/>
        <w:rPr>
          <w:rFonts w:ascii="Times New Roman" w:hAnsi="Times New Roman" w:cs="Times New Roman"/>
        </w:rPr>
      </w:pPr>
      <w:r w:rsidRPr="00AB1C99">
        <w:rPr>
          <w:rFonts w:ascii="Times New Roman" w:hAnsi="Times New Roman" w:cs="Times New Roman"/>
        </w:rPr>
        <w:t>Zuccola, Girolamo</w:t>
      </w:r>
      <w:r>
        <w:rPr>
          <w:rFonts w:ascii="Times New Roman" w:hAnsi="Times New Roman" w:cs="Times New Roman"/>
        </w:rPr>
        <w:t>, 315n.</w:t>
      </w:r>
      <w:r w:rsidRPr="00AB1C99">
        <w:rPr>
          <w:rFonts w:ascii="Times New Roman" w:hAnsi="Times New Roman" w:cs="Times New Roman"/>
        </w:rPr>
        <w:t xml:space="preserve"> </w:t>
      </w:r>
    </w:p>
    <w:p w14:paraId="79AF501B" w14:textId="77777777" w:rsidR="00337C20" w:rsidRPr="00AB1C99" w:rsidRDefault="00337C20" w:rsidP="00337C20">
      <w:pPr>
        <w:jc w:val="both"/>
        <w:rPr>
          <w:rFonts w:ascii="Times New Roman" w:hAnsi="Times New Roman" w:cs="Times New Roman"/>
        </w:rPr>
      </w:pPr>
      <w:r w:rsidRPr="00AB1C99">
        <w:rPr>
          <w:rFonts w:ascii="Times New Roman" w:hAnsi="Times New Roman" w:cs="Times New Roman"/>
        </w:rPr>
        <w:t xml:space="preserve"> </w:t>
      </w:r>
    </w:p>
    <w:p w14:paraId="55A11C29" w14:textId="77777777" w:rsidR="00FF51E2" w:rsidRDefault="00FF51E2" w:rsidP="00EE65B7">
      <w:pPr>
        <w:spacing w:line="259" w:lineRule="auto"/>
        <w:jc w:val="both"/>
        <w:rPr>
          <w:smallCaps/>
        </w:rPr>
      </w:pPr>
    </w:p>
    <w:p w14:paraId="20C23095" w14:textId="77777777" w:rsidR="00FF51E2" w:rsidRDefault="00FF51E2" w:rsidP="00EE65B7">
      <w:pPr>
        <w:spacing w:line="259" w:lineRule="auto"/>
        <w:jc w:val="both"/>
        <w:rPr>
          <w:smallCaps/>
        </w:rPr>
        <w:sectPr w:rsidR="00FF51E2" w:rsidSect="00FF51E2">
          <w:type w:val="continuous"/>
          <w:pgSz w:w="11906" w:h="16838" w:code="9"/>
          <w:pgMar w:top="1418" w:right="1134" w:bottom="1134" w:left="1134" w:header="709" w:footer="709" w:gutter="284"/>
          <w:cols w:num="2" w:space="708"/>
          <w:docGrid w:linePitch="360"/>
        </w:sectPr>
      </w:pPr>
    </w:p>
    <w:p w14:paraId="54CE75E1" w14:textId="77777777" w:rsidR="00EE65B7" w:rsidRPr="00EE65B7" w:rsidRDefault="00EE65B7" w:rsidP="00EE65B7">
      <w:pPr>
        <w:spacing w:line="259" w:lineRule="auto"/>
        <w:jc w:val="both"/>
        <w:rPr>
          <w:smallCaps/>
        </w:rPr>
      </w:pPr>
    </w:p>
    <w:p w14:paraId="0F8D29F5" w14:textId="77777777" w:rsidR="00B92BCD" w:rsidRPr="00B66940" w:rsidRDefault="00B92BCD" w:rsidP="00B66940">
      <w:pPr>
        <w:pStyle w:val="Titolocapitolo"/>
        <w:jc w:val="both"/>
        <w:rPr>
          <w:smallCaps w:val="0"/>
        </w:rPr>
      </w:pPr>
    </w:p>
    <w:sectPr w:rsidR="00B92BCD" w:rsidRPr="00B66940" w:rsidSect="00FF51E2">
      <w:type w:val="continuous"/>
      <w:pgSz w:w="11906" w:h="16838" w:code="9"/>
      <w:pgMar w:top="1418" w:right="1134" w:bottom="1134" w:left="1134" w:header="709" w:footer="709" w:gutter="28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7E3826" w14:textId="77777777" w:rsidR="007C62AF" w:rsidRDefault="007C62AF" w:rsidP="00E15276">
      <w:pPr>
        <w:spacing w:after="0" w:line="240" w:lineRule="auto"/>
      </w:pPr>
      <w:r>
        <w:separator/>
      </w:r>
    </w:p>
  </w:endnote>
  <w:endnote w:type="continuationSeparator" w:id="0">
    <w:p w14:paraId="6E571040" w14:textId="77777777" w:rsidR="007C62AF" w:rsidRDefault="007C62AF" w:rsidP="00E152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423613410"/>
      <w:docPartObj>
        <w:docPartGallery w:val="Page Numbers (Bottom of Page)"/>
        <w:docPartUnique/>
      </w:docPartObj>
    </w:sdtPr>
    <w:sdtEndPr/>
    <w:sdtContent>
      <w:p w14:paraId="5D59AA7A" w14:textId="67FACEB4" w:rsidR="00CF5CFB" w:rsidRPr="00776834" w:rsidRDefault="00CF5CFB">
        <w:pPr>
          <w:pStyle w:val="Pidipagina"/>
          <w:jc w:val="center"/>
          <w:rPr>
            <w:rFonts w:ascii="Times New Roman" w:hAnsi="Times New Roman" w:cs="Times New Roman"/>
          </w:rPr>
        </w:pPr>
        <w:r w:rsidRPr="00776834">
          <w:rPr>
            <w:rFonts w:ascii="Times New Roman" w:hAnsi="Times New Roman" w:cs="Times New Roman"/>
          </w:rPr>
          <w:fldChar w:fldCharType="begin"/>
        </w:r>
        <w:r w:rsidRPr="00776834">
          <w:rPr>
            <w:rFonts w:ascii="Times New Roman" w:hAnsi="Times New Roman" w:cs="Times New Roman"/>
          </w:rPr>
          <w:instrText>PAGE   \* MERGEFORMAT</w:instrText>
        </w:r>
        <w:r w:rsidRPr="00776834">
          <w:rPr>
            <w:rFonts w:ascii="Times New Roman" w:hAnsi="Times New Roman" w:cs="Times New Roman"/>
          </w:rPr>
          <w:fldChar w:fldCharType="separate"/>
        </w:r>
        <w:r w:rsidRPr="00776834">
          <w:rPr>
            <w:rFonts w:ascii="Times New Roman" w:hAnsi="Times New Roman" w:cs="Times New Roman"/>
          </w:rPr>
          <w:t>2</w:t>
        </w:r>
        <w:r w:rsidRPr="00776834">
          <w:rPr>
            <w:rFonts w:ascii="Times New Roman" w:hAnsi="Times New Roman" w:cs="Times New Roman"/>
          </w:rPr>
          <w:fldChar w:fldCharType="end"/>
        </w:r>
      </w:p>
    </w:sdtContent>
  </w:sdt>
  <w:p w14:paraId="3DC04932" w14:textId="77777777" w:rsidR="00CF5CFB" w:rsidRDefault="00CF5CF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DF4BB2" w14:textId="77777777" w:rsidR="007C62AF" w:rsidRDefault="007C62AF" w:rsidP="00E15276">
      <w:pPr>
        <w:spacing w:after="0" w:line="240" w:lineRule="auto"/>
      </w:pPr>
      <w:r>
        <w:separator/>
      </w:r>
    </w:p>
  </w:footnote>
  <w:footnote w:type="continuationSeparator" w:id="0">
    <w:p w14:paraId="4D22A4CC" w14:textId="77777777" w:rsidR="007C62AF" w:rsidRDefault="007C62AF" w:rsidP="00E15276">
      <w:pPr>
        <w:spacing w:after="0" w:line="240" w:lineRule="auto"/>
      </w:pPr>
      <w:r>
        <w:continuationSeparator/>
      </w:r>
    </w:p>
  </w:footnote>
  <w:footnote w:id="1">
    <w:p w14:paraId="4398D94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secondo Quattrocento le abilità richieste per l’organizzazione di spettacoli iniziarono a segnare in maniera determinante i profili di artisti e letterati cortigiani. La circolazione delle loro competenze tra le corti italiane del Rinascimento è tuttora una delle piste di ricerca più interessanti nel campo degli studi teatrali. Un centro d’irradiazione delle abilità scenotecniche, della rinata drammaturgia volgare e della ripresa di allestimenti all’antica è stato individuato da tempo nella Firenze dell’età laurenziana. Cfr. </w:t>
      </w:r>
      <w:bookmarkStart w:id="0" w:name="_Hlk529000926"/>
      <w:r w:rsidRPr="00796A9D">
        <w:rPr>
          <w:rFonts w:ascii="Times New Roman" w:hAnsi="Times New Roman" w:cs="Times New Roman"/>
          <w:smallCaps/>
        </w:rPr>
        <w:t>F. Cruciani, F. Taviani</w:t>
      </w:r>
      <w:r w:rsidRPr="00796A9D">
        <w:rPr>
          <w:rFonts w:ascii="Times New Roman" w:hAnsi="Times New Roman" w:cs="Times New Roman"/>
        </w:rPr>
        <w:t xml:space="preserve">, </w:t>
      </w:r>
      <w:r w:rsidRPr="00796A9D">
        <w:rPr>
          <w:rFonts w:ascii="Times New Roman" w:hAnsi="Times New Roman" w:cs="Times New Roman"/>
          <w:i/>
        </w:rPr>
        <w:t>Discorso preliminare per una ricerca in collaborazione</w:t>
      </w:r>
      <w:r w:rsidRPr="00796A9D">
        <w:rPr>
          <w:rFonts w:ascii="Times New Roman" w:hAnsi="Times New Roman" w:cs="Times New Roman"/>
        </w:rPr>
        <w:t xml:space="preserve">, in </w:t>
      </w:r>
      <w:r w:rsidRPr="00796A9D">
        <w:rPr>
          <w:rFonts w:ascii="Times New Roman" w:hAnsi="Times New Roman" w:cs="Times New Roman"/>
          <w:i/>
        </w:rPr>
        <w:t>Il teatro dei medici</w:t>
      </w:r>
      <w:r w:rsidRPr="00796A9D">
        <w:rPr>
          <w:rFonts w:ascii="Times New Roman" w:hAnsi="Times New Roman" w:cs="Times New Roman"/>
        </w:rPr>
        <w:t xml:space="preserve">, «Quaderni di teatro», VII, 1980, pp. 31-66. </w:t>
      </w:r>
      <w:bookmarkEnd w:id="0"/>
      <w:r w:rsidRPr="00796A9D">
        <w:rPr>
          <w:rFonts w:ascii="Times New Roman" w:hAnsi="Times New Roman" w:cs="Times New Roman"/>
        </w:rPr>
        <w:t xml:space="preserve">Si avverte tuttavia la scarsità di ricognizioni sulla migrazione delle maestranze artigiane, degli attori e dei musici attivi nell’ideazione di feste e apparati. L’utilità di tale studio risulta dalle considerazioni espresse in </w:t>
      </w:r>
      <w:bookmarkStart w:id="1" w:name="_Hlk529000998"/>
      <w:r w:rsidRPr="00796A9D">
        <w:rPr>
          <w:rFonts w:ascii="Times New Roman" w:hAnsi="Times New Roman" w:cs="Times New Roman"/>
          <w:smallCaps/>
        </w:rPr>
        <w:t>F. Cruciani</w:t>
      </w:r>
      <w:r w:rsidRPr="00796A9D">
        <w:rPr>
          <w:rFonts w:ascii="Times New Roman" w:hAnsi="Times New Roman" w:cs="Times New Roman"/>
        </w:rPr>
        <w:t xml:space="preserve">, </w:t>
      </w:r>
      <w:r w:rsidRPr="00796A9D">
        <w:rPr>
          <w:rFonts w:ascii="Times New Roman" w:hAnsi="Times New Roman" w:cs="Times New Roman"/>
          <w:i/>
        </w:rPr>
        <w:t>Gli attori e l’attore a Ferrara. Premessa per un catalogo</w:t>
      </w:r>
      <w:r w:rsidRPr="00796A9D">
        <w:rPr>
          <w:rFonts w:ascii="Times New Roman" w:hAnsi="Times New Roman" w:cs="Times New Roman"/>
        </w:rPr>
        <w:t xml:space="preserve">, in </w:t>
      </w:r>
      <w:r w:rsidRPr="00796A9D">
        <w:rPr>
          <w:rFonts w:ascii="Times New Roman" w:hAnsi="Times New Roman" w:cs="Times New Roman"/>
          <w:i/>
        </w:rPr>
        <w:t>La corte e lo spazio: Ferrara estense</w:t>
      </w:r>
      <w:r w:rsidRPr="00796A9D">
        <w:rPr>
          <w:rFonts w:ascii="Times New Roman" w:hAnsi="Times New Roman" w:cs="Times New Roman"/>
        </w:rPr>
        <w:t xml:space="preserve">, a cura di </w:t>
      </w:r>
      <w:r w:rsidRPr="00796A9D">
        <w:rPr>
          <w:rFonts w:ascii="Times New Roman" w:hAnsi="Times New Roman" w:cs="Times New Roman"/>
          <w:smallCaps/>
        </w:rPr>
        <w:t>G. Pagano, A. Quondam</w:t>
      </w:r>
      <w:r w:rsidRPr="00796A9D">
        <w:rPr>
          <w:rFonts w:ascii="Times New Roman" w:hAnsi="Times New Roman" w:cs="Times New Roman"/>
        </w:rPr>
        <w:t>, Roma, Bulzoni, 1982, pp. 451-466</w:t>
      </w:r>
      <w:bookmarkEnd w:id="1"/>
      <w:r w:rsidRPr="00796A9D">
        <w:rPr>
          <w:rFonts w:ascii="Times New Roman" w:hAnsi="Times New Roman" w:cs="Times New Roman"/>
        </w:rPr>
        <w:t xml:space="preserve">, che illustra la disponibile ricettività di Ferrara rispetto alle sperimentazioni teatrali contemporanee, divenendo per tutto il secolo XV luogo di fecondo incontro di attori e musici formatisi in differenti aree della Penisola.     </w:t>
      </w:r>
    </w:p>
  </w:footnote>
  <w:footnote w:id="2">
    <w:p w14:paraId="59D3CD7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Mi soffermerò su questo sposalizio e sulla varietà dei documenti che lo riguardano nel capitolo III di questo elaborato e citerò qui soltanto il pionieristico C. </w:t>
      </w:r>
      <w:r w:rsidRPr="00796A9D">
        <w:rPr>
          <w:rFonts w:ascii="Times New Roman" w:hAnsi="Times New Roman" w:cs="Times New Roman"/>
          <w:smallCaps/>
        </w:rPr>
        <w:t>Falletti</w:t>
      </w:r>
      <w:r w:rsidRPr="00796A9D">
        <w:rPr>
          <w:rFonts w:ascii="Times New Roman" w:hAnsi="Times New Roman" w:cs="Times New Roman"/>
        </w:rPr>
        <w:t xml:space="preserve">, </w:t>
      </w:r>
      <w:r w:rsidRPr="00796A9D">
        <w:rPr>
          <w:rFonts w:ascii="Times New Roman" w:hAnsi="Times New Roman" w:cs="Times New Roman"/>
          <w:i/>
        </w:rPr>
        <w:t>Le feste per Eleonora d’Aragona da Napoli a Ferrara (1473)</w:t>
      </w:r>
      <w:r w:rsidRPr="00796A9D">
        <w:rPr>
          <w:rFonts w:ascii="Times New Roman" w:hAnsi="Times New Roman" w:cs="Times New Roman"/>
        </w:rPr>
        <w:t xml:space="preserve">, in </w:t>
      </w:r>
      <w:r w:rsidRPr="00796A9D">
        <w:rPr>
          <w:rFonts w:ascii="Times New Roman" w:hAnsi="Times New Roman" w:cs="Times New Roman"/>
          <w:i/>
        </w:rPr>
        <w:t>Teatro e culture della rappresentazione</w:t>
      </w:r>
      <w:r w:rsidRPr="00796A9D">
        <w:rPr>
          <w:rFonts w:ascii="Times New Roman" w:hAnsi="Times New Roman" w:cs="Times New Roman"/>
          <w:i/>
          <w:snapToGrid w:val="0"/>
        </w:rPr>
        <w:t>. Lo spettacolo in Italia nel Quattrocento</w:t>
      </w:r>
      <w:r w:rsidRPr="00796A9D">
        <w:rPr>
          <w:rFonts w:ascii="Times New Roman" w:hAnsi="Times New Roman" w:cs="Times New Roman"/>
          <w:snapToGrid w:val="0"/>
        </w:rPr>
        <w:t xml:space="preserve">, a cura di </w:t>
      </w:r>
      <w:r w:rsidRPr="00796A9D">
        <w:rPr>
          <w:rFonts w:ascii="Times New Roman" w:hAnsi="Times New Roman" w:cs="Times New Roman"/>
          <w:smallCaps/>
          <w:snapToGrid w:val="0"/>
        </w:rPr>
        <w:t xml:space="preserve">R. </w:t>
      </w:r>
      <w:r w:rsidRPr="00796A9D">
        <w:rPr>
          <w:rFonts w:ascii="Times New Roman" w:hAnsi="Times New Roman" w:cs="Times New Roman"/>
          <w:smallCaps/>
        </w:rPr>
        <w:t>Guarino</w:t>
      </w:r>
      <w:r w:rsidRPr="00796A9D">
        <w:rPr>
          <w:rFonts w:ascii="Times New Roman" w:hAnsi="Times New Roman" w:cs="Times New Roman"/>
          <w:snapToGrid w:val="0"/>
        </w:rPr>
        <w:t>, Bologna, Il Mulino 1988</w:t>
      </w:r>
      <w:r w:rsidRPr="00796A9D">
        <w:rPr>
          <w:rFonts w:ascii="Times New Roman" w:hAnsi="Times New Roman" w:cs="Times New Roman"/>
        </w:rPr>
        <w:t xml:space="preserve">, pp. 121-140 (saggio originariamente pubblicato in </w:t>
      </w:r>
      <w:r w:rsidRPr="00796A9D">
        <w:rPr>
          <w:rFonts w:ascii="Times New Roman" w:hAnsi="Times New Roman" w:cs="Times New Roman"/>
          <w:i/>
        </w:rPr>
        <w:t>Spettacoli conviviali dall’antichità classica alle corti del ’400</w:t>
      </w:r>
      <w:r w:rsidRPr="00796A9D">
        <w:rPr>
          <w:rFonts w:ascii="Times New Roman" w:hAnsi="Times New Roman" w:cs="Times New Roman"/>
        </w:rPr>
        <w:t xml:space="preserve">. Atti del VII convegno del Centro Studi sul Teatro Medioevale e Rinascimentale, Viterbo, 1983, pp. 269-289), che ha indicato perfettamente l’importanza dell’attenzione alla varietà dei sistemi politici delle città organizzatrici degli spettacoli e del confronto tra diverse tipologie di fonti per cogliere il significato delle feste, ispirando le ricerche della mia tesi.    </w:t>
      </w:r>
    </w:p>
  </w:footnote>
  <w:footnote w:id="3">
    <w:p w14:paraId="2D7EE85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l’importanza della lettura comparata delle fonti per cogliere l’intento comunicativo e il significato della festa si veda F. </w:t>
      </w:r>
      <w:r w:rsidRPr="00796A9D">
        <w:rPr>
          <w:rFonts w:ascii="Times New Roman" w:hAnsi="Times New Roman" w:cs="Times New Roman"/>
          <w:smallCaps/>
        </w:rPr>
        <w:t>Cruciani</w:t>
      </w:r>
      <w:r w:rsidRPr="00796A9D">
        <w:rPr>
          <w:rFonts w:ascii="Times New Roman" w:hAnsi="Times New Roman" w:cs="Times New Roman"/>
        </w:rPr>
        <w:t xml:space="preserve">, </w:t>
      </w:r>
      <w:r w:rsidRPr="00796A9D">
        <w:rPr>
          <w:rFonts w:ascii="Times New Roman" w:hAnsi="Times New Roman" w:cs="Times New Roman"/>
          <w:i/>
        </w:rPr>
        <w:t>Il teatro e la festa</w:t>
      </w:r>
      <w:r w:rsidRPr="00796A9D">
        <w:rPr>
          <w:rFonts w:ascii="Times New Roman" w:hAnsi="Times New Roman" w:cs="Times New Roman"/>
        </w:rPr>
        <w:t>, in</w:t>
      </w:r>
      <w:r w:rsidRPr="00796A9D">
        <w:rPr>
          <w:rFonts w:ascii="Times New Roman" w:hAnsi="Times New Roman" w:cs="Times New Roman"/>
          <w:smallCaps/>
        </w:rPr>
        <w:t xml:space="preserve"> Idem, D. Seragnoli</w:t>
      </w:r>
      <w:r w:rsidRPr="00796A9D">
        <w:rPr>
          <w:rFonts w:ascii="Times New Roman" w:hAnsi="Times New Roman" w:cs="Times New Roman"/>
        </w:rPr>
        <w:t xml:space="preserve">, </w:t>
      </w:r>
      <w:r w:rsidRPr="00796A9D">
        <w:rPr>
          <w:rFonts w:ascii="Times New Roman" w:hAnsi="Times New Roman" w:cs="Times New Roman"/>
          <w:i/>
        </w:rPr>
        <w:t>Il teatro italiano del Rinascimento</w:t>
      </w:r>
      <w:r w:rsidRPr="00796A9D">
        <w:rPr>
          <w:rFonts w:ascii="Times New Roman" w:hAnsi="Times New Roman" w:cs="Times New Roman"/>
        </w:rPr>
        <w:t xml:space="preserve">, Bologna, Il Mulino 1987, pp. 32-52, dove si scelgono le relazioni delle nozze romane del 1493 tra Giovanni Sforza e Lucrezia Borgia come esempio esplicativo dell’utilità di un simile metodo d’indagine. </w:t>
      </w:r>
    </w:p>
  </w:footnote>
  <w:footnote w:id="4">
    <w:p w14:paraId="78A4005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eastAsia="Times New Roman" w:hAnsi="Times New Roman" w:cs="Times New Roman"/>
        </w:rPr>
        <w:t xml:space="preserve">L’efficacia di un uso comparato e non gerarchizzato delle fonti scritte e iconografiche, che consideri anche i loro contesti d’uso e le ragioni di produzione, è illustrato in </w:t>
      </w:r>
      <w:bookmarkStart w:id="2" w:name="_Hlk529001670"/>
      <w:r w:rsidRPr="00796A9D">
        <w:rPr>
          <w:rFonts w:ascii="Times New Roman" w:eastAsia="Times New Roman" w:hAnsi="Times New Roman" w:cs="Times New Roman"/>
          <w:smallCaps/>
        </w:rPr>
        <w:t>P. Ventrone</w:t>
      </w:r>
      <w:r w:rsidRPr="00796A9D">
        <w:rPr>
          <w:rFonts w:ascii="Times New Roman" w:eastAsia="Times New Roman" w:hAnsi="Times New Roman" w:cs="Times New Roman"/>
        </w:rPr>
        <w:t xml:space="preserve">, </w:t>
      </w:r>
      <w:r w:rsidRPr="00796A9D">
        <w:rPr>
          <w:rFonts w:ascii="Times New Roman" w:eastAsia="Times New Roman" w:hAnsi="Times New Roman" w:cs="Times New Roman"/>
          <w:i/>
        </w:rPr>
        <w:t>Teatro civile e sacra rappresentazione a Firenze nel Rinascimento</w:t>
      </w:r>
      <w:r w:rsidRPr="00796A9D">
        <w:rPr>
          <w:rFonts w:ascii="Times New Roman" w:eastAsia="Times New Roman" w:hAnsi="Times New Roman" w:cs="Times New Roman"/>
        </w:rPr>
        <w:t xml:space="preserve">, Firenze, Le </w:t>
      </w:r>
      <w:r>
        <w:rPr>
          <w:rFonts w:ascii="Times New Roman" w:eastAsia="Times New Roman" w:hAnsi="Times New Roman" w:cs="Times New Roman"/>
        </w:rPr>
        <w:t>L</w:t>
      </w:r>
      <w:r w:rsidRPr="00796A9D">
        <w:rPr>
          <w:rFonts w:ascii="Times New Roman" w:eastAsia="Times New Roman" w:hAnsi="Times New Roman" w:cs="Times New Roman"/>
        </w:rPr>
        <w:t>ettere, 2016</w:t>
      </w:r>
      <w:bookmarkEnd w:id="2"/>
      <w:r w:rsidRPr="00796A9D">
        <w:rPr>
          <w:rFonts w:ascii="Times New Roman" w:eastAsia="Times New Roman" w:hAnsi="Times New Roman" w:cs="Times New Roman"/>
        </w:rPr>
        <w:t>, pp. 3-7.</w:t>
      </w:r>
    </w:p>
  </w:footnote>
  <w:footnote w:id="5">
    <w:p w14:paraId="46AEB073" w14:textId="77777777" w:rsidR="00CF5CFB" w:rsidRPr="00796A9D" w:rsidRDefault="00CF5CFB" w:rsidP="00796A9D">
      <w:pPr>
        <w:spacing w:after="0" w:line="240" w:lineRule="auto"/>
        <w:jc w:val="both"/>
        <w:rPr>
          <w:rFonts w:ascii="Times New Roman" w:eastAsia="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Nell’ambito degli studi teatrali, le fonti iconografiche sono state distinte anche in dirette e indirette, qualora esse si riferiscano a uno spettacolo storicamente determinabile o piuttosto si limitino a riprodurne una memoria figurativa. Cfr. </w:t>
      </w:r>
      <w:bookmarkStart w:id="3" w:name="_Hlk529001818"/>
      <w:r w:rsidRPr="00796A9D">
        <w:rPr>
          <w:rFonts w:ascii="Times New Roman" w:hAnsi="Times New Roman" w:cs="Times New Roman"/>
          <w:smallCaps/>
          <w:sz w:val="20"/>
          <w:szCs w:val="20"/>
        </w:rPr>
        <w:t>C. Molinari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Sull’iconografia come fonte per la storia dello spettacolo</w:t>
      </w:r>
      <w:r w:rsidRPr="00796A9D">
        <w:rPr>
          <w:rFonts w:ascii="Times New Roman" w:hAnsi="Times New Roman" w:cs="Times New Roman"/>
          <w:sz w:val="20"/>
          <w:szCs w:val="20"/>
        </w:rPr>
        <w:t>, «Biblioteca Teatrale», gennaio-giugno 1996, 37-38, pp. 19-40.</w:t>
      </w:r>
      <w:bookmarkEnd w:id="3"/>
      <w:r w:rsidRPr="00796A9D">
        <w:rPr>
          <w:rFonts w:ascii="Times New Roman" w:hAnsi="Times New Roman" w:cs="Times New Roman"/>
          <w:sz w:val="20"/>
          <w:szCs w:val="20"/>
        </w:rPr>
        <w:t xml:space="preserve"> A tale distinzione Siro Ferrone accosta il criterio dell’intenzionalità dell’artista nella composizione del documento iconografico. Criterio che ha consentito allo studioso di meglio inquadrare il duraturo successo delle immagini dei comici dell’Arte nella tradizione pittorica dell’età moderna e di valutarne opportunamente l’uso quali testimoni della pratica recitativa degli attori. Cfr. </w:t>
      </w:r>
      <w:bookmarkStart w:id="4" w:name="_Hlk529001887"/>
      <w:r w:rsidRPr="00796A9D">
        <w:rPr>
          <w:rFonts w:ascii="Times New Roman" w:eastAsia="Times New Roman" w:hAnsi="Times New Roman" w:cs="Times New Roman"/>
          <w:smallCaps/>
          <w:sz w:val="20"/>
          <w:szCs w:val="20"/>
        </w:rPr>
        <w:t>S. Ferrone</w:t>
      </w:r>
      <w:r w:rsidRPr="00796A9D">
        <w:rPr>
          <w:rFonts w:ascii="Times New Roman" w:eastAsia="Times New Roman" w:hAnsi="Times New Roman" w:cs="Times New Roman"/>
          <w:sz w:val="20"/>
          <w:szCs w:val="20"/>
        </w:rPr>
        <w:t xml:space="preserve">, </w:t>
      </w:r>
      <w:r w:rsidRPr="00796A9D">
        <w:rPr>
          <w:rFonts w:ascii="Times New Roman" w:eastAsia="Times New Roman" w:hAnsi="Times New Roman" w:cs="Times New Roman"/>
          <w:i/>
          <w:iCs/>
          <w:sz w:val="20"/>
          <w:szCs w:val="20"/>
        </w:rPr>
        <w:t>La commedia dell’Arte</w:t>
      </w:r>
      <w:r w:rsidRPr="00796A9D">
        <w:rPr>
          <w:rFonts w:ascii="Times New Roman" w:eastAsia="Times New Roman" w:hAnsi="Times New Roman" w:cs="Times New Roman"/>
          <w:sz w:val="20"/>
          <w:szCs w:val="20"/>
        </w:rPr>
        <w:t>, Torino, Einaudi, 2014.</w:t>
      </w:r>
      <w:bookmarkEnd w:id="4"/>
      <w:r w:rsidRPr="00796A9D">
        <w:rPr>
          <w:rFonts w:ascii="Times New Roman" w:eastAsia="Times New Roman" w:hAnsi="Times New Roman" w:cs="Times New Roman"/>
          <w:sz w:val="20"/>
          <w:szCs w:val="20"/>
        </w:rPr>
        <w:t xml:space="preserve"> Per un quadro complessivo delle problematiche del reperimento, della classificazione e dell’impiego storiografico delle testimonianze iconografiche di azioni teatrali si vedano le considerazioni espresse nel saggio </w:t>
      </w:r>
      <w:r w:rsidRPr="00796A9D">
        <w:rPr>
          <w:rFonts w:ascii="Times New Roman" w:eastAsia="Times New Roman" w:hAnsi="Times New Roman" w:cs="Times New Roman"/>
          <w:i/>
          <w:sz w:val="20"/>
          <w:szCs w:val="20"/>
        </w:rPr>
        <w:t>Arte e spettacolo. La partita senza fine</w:t>
      </w:r>
      <w:r w:rsidRPr="00796A9D">
        <w:rPr>
          <w:rFonts w:ascii="Times New Roman" w:eastAsia="Times New Roman" w:hAnsi="Times New Roman" w:cs="Times New Roman"/>
          <w:sz w:val="20"/>
          <w:szCs w:val="20"/>
        </w:rPr>
        <w:t xml:space="preserve"> in </w:t>
      </w:r>
      <w:r w:rsidRPr="00796A9D">
        <w:rPr>
          <w:rFonts w:ascii="Times New Roman" w:eastAsia="Times New Roman" w:hAnsi="Times New Roman" w:cs="Times New Roman"/>
          <w:smallCaps/>
          <w:sz w:val="20"/>
          <w:szCs w:val="20"/>
        </w:rPr>
        <w:t>S. Mamone,</w:t>
      </w:r>
      <w:r w:rsidRPr="00796A9D">
        <w:rPr>
          <w:rFonts w:ascii="Times New Roman" w:eastAsia="Times New Roman" w:hAnsi="Times New Roman" w:cs="Times New Roman"/>
          <w:i/>
          <w:sz w:val="20"/>
          <w:szCs w:val="20"/>
          <w:lang w:eastAsia="it-IT"/>
        </w:rPr>
        <w:t xml:space="preserve"> Dèi, Semidei, Uomini. Lo spettacolo a Firenze tra neoplatonismo e realtà borghese (XV-XVII secolo)</w:t>
      </w:r>
      <w:r w:rsidRPr="00796A9D">
        <w:rPr>
          <w:rFonts w:ascii="Times New Roman" w:eastAsia="Times New Roman" w:hAnsi="Times New Roman" w:cs="Times New Roman"/>
          <w:sz w:val="20"/>
          <w:szCs w:val="20"/>
          <w:lang w:eastAsia="it-IT"/>
        </w:rPr>
        <w:t xml:space="preserve">, Roma, Bulzoni, 2003, pp. 27-68. </w:t>
      </w:r>
    </w:p>
  </w:footnote>
  <w:footnote w:id="6">
    <w:p w14:paraId="36B3FC53" w14:textId="77777777" w:rsidR="00CF5CFB" w:rsidRPr="00796A9D" w:rsidRDefault="00CF5CFB" w:rsidP="00796A9D">
      <w:pPr>
        <w:pStyle w:val="Testonotaapidipagina"/>
        <w:jc w:val="both"/>
        <w:rPr>
          <w:rFonts w:ascii="Times New Roman" w:eastAsiaTheme="minorEastAsia"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F. Cruciani</w:t>
      </w:r>
      <w:r w:rsidRPr="00796A9D">
        <w:rPr>
          <w:rFonts w:ascii="Times New Roman" w:hAnsi="Times New Roman" w:cs="Times New Roman"/>
        </w:rPr>
        <w:t xml:space="preserve">, </w:t>
      </w:r>
      <w:r w:rsidRPr="00796A9D">
        <w:rPr>
          <w:rFonts w:ascii="Times New Roman" w:hAnsi="Times New Roman" w:cs="Times New Roman"/>
          <w:i/>
        </w:rPr>
        <w:t>Comparazioni: la</w:t>
      </w:r>
      <w:r w:rsidRPr="00796A9D">
        <w:rPr>
          <w:rFonts w:ascii="Times New Roman" w:hAnsi="Times New Roman" w:cs="Times New Roman"/>
        </w:rPr>
        <w:t xml:space="preserve"> Tradition de la naissance, «Teatro e Storia», IV, 1989, pp. 3-17: 5.</w:t>
      </w:r>
    </w:p>
  </w:footnote>
  <w:footnote w:id="7">
    <w:p w14:paraId="31E3E01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Dell’inventario si conservano due testimoni, discendenti da un unico archetipo</w:t>
      </w:r>
      <w:r>
        <w:rPr>
          <w:rFonts w:ascii="Times New Roman" w:hAnsi="Times New Roman" w:cs="Times New Roman"/>
        </w:rPr>
        <w:t xml:space="preserve"> e</w:t>
      </w:r>
      <w:r w:rsidRPr="00796A9D">
        <w:rPr>
          <w:rFonts w:ascii="Times New Roman" w:hAnsi="Times New Roman" w:cs="Times New Roman"/>
        </w:rPr>
        <w:t xml:space="preserve"> collocati in ASMn, AG, b. 329. Sono datati 26 aprile 1407 e introdotti dalla rubrica </w:t>
      </w:r>
      <w:r w:rsidRPr="00796A9D">
        <w:rPr>
          <w:rFonts w:ascii="Times New Roman" w:hAnsi="Times New Roman" w:cs="Times New Roman"/>
          <w:i/>
        </w:rPr>
        <w:t>Fideicomissariorum inventarium F. I. Liber inventarii bonorum mobilium hereditatis quondam domini Francisci Gonzagae domini Mantuae</w:t>
      </w:r>
      <w:r w:rsidRPr="00796A9D">
        <w:rPr>
          <w:rFonts w:ascii="Times New Roman" w:hAnsi="Times New Roman" w:cs="Times New Roman"/>
        </w:rPr>
        <w:t xml:space="preserve">. Ad oggi manca un’edizione completa del loro testo, del quale si leggono tuttavia ampie sezioni in </w:t>
      </w:r>
      <w:r w:rsidRPr="00796A9D">
        <w:rPr>
          <w:rFonts w:ascii="Times New Roman" w:hAnsi="Times New Roman" w:cs="Times New Roman"/>
          <w:smallCaps/>
        </w:rPr>
        <w:t>P. Girolla</w:t>
      </w:r>
      <w:r w:rsidRPr="00796A9D">
        <w:rPr>
          <w:rFonts w:ascii="Times New Roman" w:hAnsi="Times New Roman" w:cs="Times New Roman"/>
        </w:rPr>
        <w:t xml:space="preserve">, </w:t>
      </w:r>
      <w:r w:rsidRPr="00796A9D">
        <w:rPr>
          <w:rFonts w:ascii="Times New Roman" w:hAnsi="Times New Roman" w:cs="Times New Roman"/>
          <w:i/>
        </w:rPr>
        <w:t>La biblioteca di Francesco Gonzaga secondo l’inventario del 1407</w:t>
      </w:r>
      <w:r w:rsidRPr="00796A9D">
        <w:rPr>
          <w:rFonts w:ascii="Times New Roman" w:hAnsi="Times New Roman" w:cs="Times New Roman"/>
        </w:rPr>
        <w:t xml:space="preserve">, «Atti e memorie della Accademia Virgiliana di Mantova», XIV-XVI, 1921-1923, pp. 30-72. Cfr. anche </w:t>
      </w:r>
      <w:r w:rsidRPr="00796A9D">
        <w:rPr>
          <w:rFonts w:ascii="Times New Roman" w:hAnsi="Times New Roman" w:cs="Times New Roman"/>
          <w:smallCaps/>
        </w:rPr>
        <w:t>V. Bertolini</w:t>
      </w:r>
      <w:r w:rsidRPr="00796A9D">
        <w:rPr>
          <w:rFonts w:ascii="Times New Roman" w:hAnsi="Times New Roman" w:cs="Times New Roman"/>
        </w:rPr>
        <w:t xml:space="preserve">, </w:t>
      </w:r>
      <w:r w:rsidRPr="00796A9D">
        <w:rPr>
          <w:rFonts w:ascii="Times New Roman" w:hAnsi="Times New Roman" w:cs="Times New Roman"/>
          <w:i/>
        </w:rPr>
        <w:t>Preliminari a un’edizione degli «Inventari» della biblioteca gonzaghesca del 1407</w:t>
      </w:r>
      <w:r w:rsidRPr="00796A9D">
        <w:rPr>
          <w:rFonts w:ascii="Times New Roman" w:hAnsi="Times New Roman" w:cs="Times New Roman"/>
        </w:rPr>
        <w:t xml:space="preserve">, «Quaderni di lingue e letterature», XIV, 1989, pp. 67-73. </w:t>
      </w:r>
    </w:p>
  </w:footnote>
  <w:footnote w:id="8">
    <w:p w14:paraId="0E19517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L’identificazione dell’esemplare del </w:t>
      </w:r>
      <w:r w:rsidRPr="00796A9D">
        <w:rPr>
          <w:rFonts w:ascii="Times New Roman" w:hAnsi="Times New Roman" w:cs="Times New Roman"/>
          <w:i/>
        </w:rPr>
        <w:t>Tesor</w:t>
      </w:r>
      <w:r w:rsidRPr="00796A9D">
        <w:rPr>
          <w:rFonts w:ascii="Times New Roman" w:hAnsi="Times New Roman" w:cs="Times New Roman"/>
        </w:rPr>
        <w:t xml:space="preserve"> appartenuto a Francesco Gonzaga con quello dell’eredità di Filippone è proposta in </w:t>
      </w:r>
      <w:r w:rsidRPr="00796A9D">
        <w:rPr>
          <w:rFonts w:ascii="Times New Roman" w:hAnsi="Times New Roman" w:cs="Times New Roman"/>
          <w:smallCaps/>
        </w:rPr>
        <w:t>A. de Mandach</w:t>
      </w:r>
      <w:r w:rsidRPr="00796A9D">
        <w:rPr>
          <w:rFonts w:ascii="Times New Roman" w:hAnsi="Times New Roman" w:cs="Times New Roman"/>
        </w:rPr>
        <w:t xml:space="preserve">, </w:t>
      </w:r>
      <w:r w:rsidRPr="00796A9D">
        <w:rPr>
          <w:rFonts w:ascii="Times New Roman" w:hAnsi="Times New Roman" w:cs="Times New Roman"/>
          <w:i/>
        </w:rPr>
        <w:t>La geste de Charlemagne et de Roland</w:t>
      </w:r>
      <w:r w:rsidRPr="00796A9D">
        <w:rPr>
          <w:rFonts w:ascii="Times New Roman" w:hAnsi="Times New Roman" w:cs="Times New Roman"/>
        </w:rPr>
        <w:t xml:space="preserve">, Genève, Droz, 1961, pp. 317-324. Il codice, pregevolmente miniato, risale al XIII secolo ed è conservato presso la Biblioteca Nazionale di Torino, MS. L II. 18. </w:t>
      </w:r>
    </w:p>
  </w:footnote>
  <w:footnote w:id="9">
    <w:p w14:paraId="7C57EE8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testamento di Filippone Bonacolsi e, in generale, per la storia della biblioteca gonzaghesca, vedi </w:t>
      </w:r>
      <w:r w:rsidRPr="00796A9D">
        <w:rPr>
          <w:rFonts w:ascii="Times New Roman" w:hAnsi="Times New Roman" w:cs="Times New Roman"/>
          <w:i/>
        </w:rPr>
        <w:t>Mostra dei codici gonzagheschi: la biblioteca dei Gonzaga da Luigi I ad Isabella</w:t>
      </w:r>
      <w:r w:rsidRPr="00796A9D">
        <w:rPr>
          <w:rFonts w:ascii="Times New Roman" w:hAnsi="Times New Roman" w:cs="Times New Roman"/>
        </w:rPr>
        <w:t xml:space="preserve">, Catalogo della mostra (Mantova, 18 settembre-10 ottobre 1966), a cura di </w:t>
      </w:r>
      <w:r w:rsidRPr="00796A9D">
        <w:rPr>
          <w:rFonts w:ascii="Times New Roman" w:hAnsi="Times New Roman" w:cs="Times New Roman"/>
          <w:smallCaps/>
        </w:rPr>
        <w:t>U. Meroni</w:t>
      </w:r>
      <w:r w:rsidRPr="00796A9D">
        <w:rPr>
          <w:rFonts w:ascii="Times New Roman" w:hAnsi="Times New Roman" w:cs="Times New Roman"/>
        </w:rPr>
        <w:t>, Mantova, Stabilimento tipografico editoriale, 1966.</w:t>
      </w:r>
    </w:p>
  </w:footnote>
  <w:footnote w:id="10">
    <w:p w14:paraId="546724E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G. Gardoni</w:t>
      </w:r>
      <w:r w:rsidRPr="00796A9D">
        <w:rPr>
          <w:rFonts w:ascii="Times New Roman" w:hAnsi="Times New Roman" w:cs="Times New Roman"/>
        </w:rPr>
        <w:t xml:space="preserve">, </w:t>
      </w:r>
      <w:r w:rsidRPr="00796A9D">
        <w:rPr>
          <w:rFonts w:ascii="Times New Roman" w:hAnsi="Times New Roman" w:cs="Times New Roman"/>
          <w:i/>
        </w:rPr>
        <w:t>Libri e Uomini di corte a Mantova tra Tre e Quattrocento</w:t>
      </w:r>
      <w:r w:rsidRPr="00796A9D">
        <w:rPr>
          <w:rFonts w:ascii="Times New Roman" w:hAnsi="Times New Roman" w:cs="Times New Roman"/>
        </w:rPr>
        <w:t>, Firenze, Olschki, 2012, p. 82.  A Mantova Petrarca soggiornò nel luglio 1350 e nuovamente nel dicembre 1354, in occasione del passaggio per la città dell’imperatore Carlo IV</w:t>
      </w:r>
      <w:r>
        <w:rPr>
          <w:rFonts w:ascii="Times New Roman" w:hAnsi="Times New Roman" w:cs="Times New Roman"/>
        </w:rPr>
        <w:t xml:space="preserve"> di Lussemburgo</w:t>
      </w:r>
      <w:r w:rsidRPr="00796A9D">
        <w:rPr>
          <w:rFonts w:ascii="Times New Roman" w:hAnsi="Times New Roman" w:cs="Times New Roman"/>
        </w:rPr>
        <w:t xml:space="preserve">. Guido Gonzaga fu inoltre destinatario di due lettere dell’epistolario del poeta: </w:t>
      </w:r>
      <w:r w:rsidRPr="00796A9D">
        <w:rPr>
          <w:rFonts w:ascii="Times New Roman" w:hAnsi="Times New Roman" w:cs="Times New Roman"/>
          <w:i/>
        </w:rPr>
        <w:t>Epistolae metricae</w:t>
      </w:r>
      <w:r w:rsidRPr="00796A9D">
        <w:rPr>
          <w:rFonts w:ascii="Times New Roman" w:hAnsi="Times New Roman" w:cs="Times New Roman"/>
        </w:rPr>
        <w:t xml:space="preserve"> III, 30 e </w:t>
      </w:r>
      <w:r w:rsidRPr="00796A9D">
        <w:rPr>
          <w:rFonts w:ascii="Times New Roman" w:hAnsi="Times New Roman" w:cs="Times New Roman"/>
          <w:i/>
        </w:rPr>
        <w:t>Familiares</w:t>
      </w:r>
      <w:r w:rsidRPr="00796A9D">
        <w:rPr>
          <w:rFonts w:ascii="Times New Roman" w:hAnsi="Times New Roman" w:cs="Times New Roman"/>
        </w:rPr>
        <w:t xml:space="preserve"> III, 11.</w:t>
      </w:r>
    </w:p>
  </w:footnote>
  <w:footnote w:id="11">
    <w:p w14:paraId="1400C7F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C. Salutati</w:t>
      </w:r>
      <w:r w:rsidRPr="00796A9D">
        <w:rPr>
          <w:rFonts w:ascii="Times New Roman" w:hAnsi="Times New Roman" w:cs="Times New Roman"/>
        </w:rPr>
        <w:t xml:space="preserve">, </w:t>
      </w:r>
      <w:r w:rsidRPr="00796A9D">
        <w:rPr>
          <w:rFonts w:ascii="Times New Roman" w:hAnsi="Times New Roman" w:cs="Times New Roman"/>
          <w:i/>
        </w:rPr>
        <w:t>Epistolario,</w:t>
      </w:r>
      <w:r w:rsidRPr="00796A9D">
        <w:rPr>
          <w:rFonts w:ascii="Times New Roman" w:hAnsi="Times New Roman" w:cs="Times New Roman"/>
        </w:rPr>
        <w:t xml:space="preserve"> a cura di </w:t>
      </w:r>
      <w:r w:rsidRPr="00796A9D">
        <w:rPr>
          <w:rFonts w:ascii="Times New Roman" w:hAnsi="Times New Roman" w:cs="Times New Roman"/>
          <w:smallCaps/>
        </w:rPr>
        <w:t>F. Novati</w:t>
      </w:r>
      <w:r w:rsidRPr="00796A9D">
        <w:rPr>
          <w:rFonts w:ascii="Times New Roman" w:hAnsi="Times New Roman" w:cs="Times New Roman"/>
        </w:rPr>
        <w:t>, Roma, Forzani, 1896, vol. III, pp. 102-105.</w:t>
      </w:r>
    </w:p>
  </w:footnote>
  <w:footnote w:id="12">
    <w:p w14:paraId="7D03C16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Mostra dei codici gonzagheschi</w:t>
      </w:r>
      <w:r w:rsidRPr="00796A9D">
        <w:rPr>
          <w:rFonts w:ascii="Times New Roman" w:hAnsi="Times New Roman" w:cs="Times New Roman"/>
        </w:rPr>
        <w:t>, cit., p. 48.</w:t>
      </w:r>
    </w:p>
  </w:footnote>
  <w:footnote w:id="13">
    <w:p w14:paraId="141F0CC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Vittorino giunse a Mantova nel 1423. Sotto l’egida del marchese vi aprì la Ca’ Zoiosa, luogo votato all’educazione e allo studio che accoglieva fino a settanta giovani meritevoli di differenti condizioni sociali, come i rampolli Gonzaga, i figli di Guarino Veronese o ancora Federico da Montefeltro adolescente. I corsi, volti all’apprendimento delle arti del </w:t>
      </w:r>
      <w:r w:rsidRPr="00796A9D">
        <w:rPr>
          <w:rFonts w:ascii="Times New Roman" w:hAnsi="Times New Roman" w:cs="Times New Roman"/>
          <w:i/>
        </w:rPr>
        <w:t>trivium</w:t>
      </w:r>
      <w:r w:rsidRPr="00796A9D">
        <w:rPr>
          <w:rFonts w:ascii="Times New Roman" w:hAnsi="Times New Roman" w:cs="Times New Roman"/>
        </w:rPr>
        <w:t xml:space="preserve"> e del </w:t>
      </w:r>
      <w:r w:rsidRPr="00796A9D">
        <w:rPr>
          <w:rFonts w:ascii="Times New Roman" w:hAnsi="Times New Roman" w:cs="Times New Roman"/>
          <w:i/>
        </w:rPr>
        <w:t>quadrivium</w:t>
      </w:r>
      <w:r w:rsidRPr="00796A9D">
        <w:rPr>
          <w:rFonts w:ascii="Times New Roman" w:hAnsi="Times New Roman" w:cs="Times New Roman"/>
        </w:rPr>
        <w:t xml:space="preserve">, con particolare attenzione alla matematica e allo sviluppo delle tecniche mnemotecniche, erano aperti anche alle fanciulle, educate al fianco dei maschi. La crescita morale e religiosa degli educandi, modellata sull’integerrima condotta del pedagogo e ispirata dalle letture patristiche, completava questa esperienza pedagogica, rinomata in tutta l’Europa del Quattrocento. Cfr. </w:t>
      </w:r>
      <w:r w:rsidRPr="00796A9D">
        <w:rPr>
          <w:rFonts w:ascii="Times New Roman" w:hAnsi="Times New Roman" w:cs="Times New Roman"/>
          <w:smallCaps/>
        </w:rPr>
        <w:t>G. Cappelli</w:t>
      </w:r>
      <w:r w:rsidRPr="00796A9D">
        <w:rPr>
          <w:rFonts w:ascii="Times New Roman" w:hAnsi="Times New Roman" w:cs="Times New Roman"/>
        </w:rPr>
        <w:t xml:space="preserve">, </w:t>
      </w:r>
      <w:r w:rsidRPr="00796A9D">
        <w:rPr>
          <w:rFonts w:ascii="Times New Roman" w:hAnsi="Times New Roman" w:cs="Times New Roman"/>
          <w:i/>
        </w:rPr>
        <w:t>L’umanesimo italiano da Petrarca a Valla</w:t>
      </w:r>
      <w:r w:rsidRPr="00796A9D">
        <w:rPr>
          <w:rFonts w:ascii="Times New Roman" w:hAnsi="Times New Roman" w:cs="Times New Roman"/>
        </w:rPr>
        <w:t xml:space="preserve">, Roma, Carocci, 2007, pp. 130-132. Per osservazioni sulla pedagogia morale e religiosa di Ca’ Zoiosa e sul ricordo che ne tramandarono gli scritti dei discepoli di Vittorino vedi </w:t>
      </w:r>
      <w:r w:rsidRPr="00796A9D">
        <w:rPr>
          <w:rFonts w:ascii="Times New Roman" w:hAnsi="Times New Roman" w:cs="Times New Roman"/>
          <w:smallCaps/>
        </w:rPr>
        <w:t>C. Freddi</w:t>
      </w:r>
      <w:r w:rsidRPr="00796A9D">
        <w:rPr>
          <w:rFonts w:ascii="Times New Roman" w:hAnsi="Times New Roman" w:cs="Times New Roman"/>
        </w:rPr>
        <w:t xml:space="preserve">, </w:t>
      </w:r>
      <w:r w:rsidRPr="00796A9D">
        <w:rPr>
          <w:rFonts w:ascii="Times New Roman" w:hAnsi="Times New Roman" w:cs="Times New Roman"/>
          <w:i/>
        </w:rPr>
        <w:t>L’educazione religiosa nella Ca’ Zoiosa di Vittorino da Feltre</w:t>
      </w:r>
      <w:r w:rsidRPr="00796A9D">
        <w:rPr>
          <w:rFonts w:ascii="Times New Roman" w:hAnsi="Times New Roman" w:cs="Times New Roman"/>
        </w:rPr>
        <w:t xml:space="preserve">, Mantova, Cittadella, 2016, pp. 12-26. </w:t>
      </w:r>
    </w:p>
  </w:footnote>
  <w:footnote w:id="14">
    <w:p w14:paraId="063A9E2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Riguardo l’influenza esercitata dall’umanista sulle sorti della biblioteca Gonzaga vedi </w:t>
      </w:r>
      <w:r w:rsidRPr="00796A9D">
        <w:rPr>
          <w:rFonts w:ascii="Times New Roman" w:hAnsi="Times New Roman" w:cs="Times New Roman"/>
          <w:smallCaps/>
        </w:rPr>
        <w:t>G. Gardoni</w:t>
      </w:r>
      <w:r w:rsidRPr="00796A9D">
        <w:rPr>
          <w:rFonts w:ascii="Times New Roman" w:hAnsi="Times New Roman" w:cs="Times New Roman"/>
        </w:rPr>
        <w:t xml:space="preserve">, </w:t>
      </w:r>
      <w:r w:rsidRPr="00796A9D">
        <w:rPr>
          <w:rFonts w:ascii="Times New Roman" w:hAnsi="Times New Roman" w:cs="Times New Roman"/>
          <w:i/>
        </w:rPr>
        <w:t>Libri e Uomini di corte</w:t>
      </w:r>
      <w:r w:rsidRPr="00796A9D">
        <w:rPr>
          <w:rFonts w:ascii="Times New Roman" w:hAnsi="Times New Roman" w:cs="Times New Roman"/>
        </w:rPr>
        <w:t>,</w:t>
      </w:r>
      <w:r w:rsidRPr="00796A9D">
        <w:rPr>
          <w:rFonts w:ascii="Times New Roman" w:hAnsi="Times New Roman" w:cs="Times New Roman"/>
          <w:i/>
        </w:rPr>
        <w:t xml:space="preserve"> </w:t>
      </w:r>
      <w:r w:rsidRPr="00796A9D">
        <w:rPr>
          <w:rFonts w:ascii="Times New Roman" w:hAnsi="Times New Roman" w:cs="Times New Roman"/>
        </w:rPr>
        <w:t>cit., pp. 84-85.</w:t>
      </w:r>
    </w:p>
  </w:footnote>
  <w:footnote w:id="15">
    <w:p w14:paraId="11D18F1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I. </w:t>
      </w:r>
      <w:r w:rsidRPr="00796A9D">
        <w:rPr>
          <w:rFonts w:ascii="Times New Roman" w:hAnsi="Times New Roman" w:cs="Times New Roman"/>
          <w:smallCaps/>
        </w:rPr>
        <w:t>Pagliari</w:t>
      </w:r>
      <w:r w:rsidRPr="00796A9D">
        <w:rPr>
          <w:rFonts w:ascii="Times New Roman" w:hAnsi="Times New Roman" w:cs="Times New Roman"/>
        </w:rPr>
        <w:t xml:space="preserve">, </w:t>
      </w:r>
      <w:r w:rsidRPr="00796A9D">
        <w:rPr>
          <w:rFonts w:ascii="Times New Roman" w:hAnsi="Times New Roman" w:cs="Times New Roman"/>
          <w:i/>
        </w:rPr>
        <w:t>“Una libreria che in Italia non v’era una simile ne’anco a Roma”. La biblioteca dei Gonzaga</w:t>
      </w:r>
      <w:r w:rsidRPr="00796A9D">
        <w:rPr>
          <w:rFonts w:ascii="Times New Roman" w:hAnsi="Times New Roman" w:cs="Times New Roman"/>
        </w:rPr>
        <w:t xml:space="preserve">, in </w:t>
      </w:r>
      <w:r w:rsidRPr="00796A9D">
        <w:rPr>
          <w:rFonts w:ascii="Times New Roman" w:hAnsi="Times New Roman" w:cs="Times New Roman"/>
          <w:i/>
        </w:rPr>
        <w:t>Gonzaga. La celeste galleria. L’esercizio del collezionismo</w:t>
      </w:r>
      <w:r w:rsidRPr="00796A9D">
        <w:rPr>
          <w:rFonts w:ascii="Times New Roman" w:hAnsi="Times New Roman" w:cs="Times New Roman"/>
        </w:rPr>
        <w:t xml:space="preserve">, a cura di </w:t>
      </w:r>
      <w:r w:rsidRPr="00796A9D">
        <w:rPr>
          <w:rFonts w:ascii="Times New Roman" w:hAnsi="Times New Roman" w:cs="Times New Roman"/>
          <w:smallCaps/>
        </w:rPr>
        <w:t>R. Morselli</w:t>
      </w:r>
      <w:r w:rsidRPr="00796A9D">
        <w:rPr>
          <w:rFonts w:ascii="Times New Roman" w:hAnsi="Times New Roman" w:cs="Times New Roman"/>
        </w:rPr>
        <w:t xml:space="preserve">, Milano, Skira, 2002, pp. 111-125. Per l’importanza dello studio del greco nel programma pedagogico del feltrino rinvio a </w:t>
      </w:r>
      <w:r w:rsidRPr="00796A9D">
        <w:rPr>
          <w:rFonts w:ascii="Times New Roman" w:hAnsi="Times New Roman" w:cs="Times New Roman"/>
          <w:smallCaps/>
        </w:rPr>
        <w:t>M. Cortesi</w:t>
      </w:r>
      <w:r w:rsidRPr="00796A9D">
        <w:rPr>
          <w:rFonts w:ascii="Times New Roman" w:hAnsi="Times New Roman" w:cs="Times New Roman"/>
        </w:rPr>
        <w:t xml:space="preserve">, </w:t>
      </w:r>
      <w:r w:rsidRPr="00796A9D">
        <w:rPr>
          <w:rFonts w:ascii="Times New Roman" w:hAnsi="Times New Roman" w:cs="Times New Roman"/>
          <w:i/>
        </w:rPr>
        <w:t>Greek at the school of Vittorino da Feltre</w:t>
      </w:r>
      <w:r w:rsidRPr="00796A9D">
        <w:rPr>
          <w:rFonts w:ascii="Times New Roman" w:hAnsi="Times New Roman" w:cs="Times New Roman"/>
        </w:rPr>
        <w:t xml:space="preserve">, in </w:t>
      </w:r>
      <w:r w:rsidRPr="00796A9D">
        <w:rPr>
          <w:rFonts w:ascii="Times New Roman" w:hAnsi="Times New Roman" w:cs="Times New Roman"/>
          <w:i/>
        </w:rPr>
        <w:t>Teachers, Students, and Schools of Greek in the Renaissance</w:t>
      </w:r>
      <w:r w:rsidRPr="00796A9D">
        <w:rPr>
          <w:rFonts w:ascii="Times New Roman" w:hAnsi="Times New Roman" w:cs="Times New Roman"/>
        </w:rPr>
        <w:t xml:space="preserve">, edited by </w:t>
      </w:r>
      <w:r w:rsidRPr="00796A9D">
        <w:rPr>
          <w:rFonts w:ascii="Times New Roman" w:hAnsi="Times New Roman" w:cs="Times New Roman"/>
          <w:smallCaps/>
        </w:rPr>
        <w:t>F. Ciccolella, L. Silvano</w:t>
      </w:r>
      <w:r w:rsidRPr="00796A9D">
        <w:rPr>
          <w:rFonts w:ascii="Times New Roman" w:hAnsi="Times New Roman" w:cs="Times New Roman"/>
        </w:rPr>
        <w:t xml:space="preserve">, Leiden, Brill, 2017, pp. 54-78. </w:t>
      </w:r>
    </w:p>
  </w:footnote>
  <w:footnote w:id="16">
    <w:p w14:paraId="2F6C22A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l’acquisto della biblioteca dell’Aurispa da parte del marchese di Mantova e per il carteggio relativo a tale soggetto intrattenuto con Tifernate, cfr. R. </w:t>
      </w:r>
      <w:r w:rsidRPr="00796A9D">
        <w:rPr>
          <w:rFonts w:ascii="Times New Roman" w:hAnsi="Times New Roman" w:cs="Times New Roman"/>
          <w:smallCaps/>
        </w:rPr>
        <w:t>Signorini</w:t>
      </w:r>
      <w:r w:rsidRPr="00796A9D">
        <w:rPr>
          <w:rFonts w:ascii="Times New Roman" w:hAnsi="Times New Roman" w:cs="Times New Roman"/>
        </w:rPr>
        <w:t xml:space="preserve">, </w:t>
      </w:r>
      <w:r w:rsidRPr="00796A9D">
        <w:rPr>
          <w:rFonts w:ascii="Times New Roman" w:hAnsi="Times New Roman" w:cs="Times New Roman"/>
          <w:i/>
        </w:rPr>
        <w:t>Acquisitions for Ludovico II Gonzaga Library</w:t>
      </w:r>
      <w:r w:rsidRPr="00796A9D">
        <w:rPr>
          <w:rFonts w:ascii="Times New Roman" w:hAnsi="Times New Roman" w:cs="Times New Roman"/>
        </w:rPr>
        <w:t xml:space="preserve">, «Journal of the Warburg and Courtauld Institutes», XLIV, 1981, pp. 180-183. </w:t>
      </w:r>
    </w:p>
  </w:footnote>
  <w:footnote w:id="17">
    <w:p w14:paraId="627B2A3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L’episodio certifica come la donazione di libri fosse comune tra le pratiche diplomatiche dell’epoca. Sulle vicende della redazione del Plinio Gonzaga, conservato presso la Biblioteca Nazionale di Torino, MS J.I. 22-23 Lat., vedi </w:t>
      </w:r>
      <w:r w:rsidRPr="00796A9D">
        <w:rPr>
          <w:rFonts w:ascii="Times New Roman" w:hAnsi="Times New Roman" w:cs="Times New Roman"/>
          <w:smallCaps/>
        </w:rPr>
        <w:t>M.D. Reeve</w:t>
      </w:r>
      <w:r w:rsidRPr="00796A9D">
        <w:rPr>
          <w:rFonts w:ascii="Times New Roman" w:hAnsi="Times New Roman" w:cs="Times New Roman"/>
        </w:rPr>
        <w:t xml:space="preserve">, </w:t>
      </w:r>
      <w:r w:rsidRPr="00796A9D">
        <w:rPr>
          <w:rFonts w:ascii="Times New Roman" w:hAnsi="Times New Roman" w:cs="Times New Roman"/>
          <w:i/>
        </w:rPr>
        <w:t>The Editing of Pliny’s Natural History</w:t>
      </w:r>
      <w:r w:rsidRPr="00796A9D">
        <w:rPr>
          <w:rFonts w:ascii="Times New Roman" w:hAnsi="Times New Roman" w:cs="Times New Roman"/>
        </w:rPr>
        <w:t xml:space="preserve">, «Revue d’histoire des textes», II, 2007, pp. 107-179.  </w:t>
      </w:r>
    </w:p>
  </w:footnote>
  <w:footnote w:id="18">
    <w:p w14:paraId="2A0EE13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scelta di questo duplice atteggiamento nel provvedere alla formazione dei depositi librari della famiglia Gonzaga è analizzata in </w:t>
      </w:r>
      <w:r w:rsidRPr="00796A9D">
        <w:rPr>
          <w:rFonts w:ascii="Times New Roman" w:hAnsi="Times New Roman" w:cs="Times New Roman"/>
          <w:smallCaps/>
        </w:rPr>
        <w:t>A. Canova</w:t>
      </w:r>
      <w:r w:rsidRPr="00796A9D">
        <w:rPr>
          <w:rFonts w:ascii="Times New Roman" w:hAnsi="Times New Roman" w:cs="Times New Roman"/>
        </w:rPr>
        <w:t xml:space="preserve">, </w:t>
      </w:r>
      <w:r w:rsidRPr="00796A9D">
        <w:rPr>
          <w:rFonts w:ascii="Times New Roman" w:hAnsi="Times New Roman" w:cs="Times New Roman"/>
          <w:i/>
        </w:rPr>
        <w:t>Le biblioteche dei Gonzaga nella seconda metà del Quattrocento</w:t>
      </w:r>
      <w:r w:rsidRPr="00796A9D">
        <w:rPr>
          <w:rFonts w:ascii="Times New Roman" w:hAnsi="Times New Roman" w:cs="Times New Roman"/>
        </w:rPr>
        <w:t xml:space="preserve">, in </w:t>
      </w:r>
      <w:r w:rsidRPr="00796A9D">
        <w:rPr>
          <w:rFonts w:ascii="Times New Roman" w:hAnsi="Times New Roman" w:cs="Times New Roman"/>
          <w:i/>
        </w:rPr>
        <w:t>Principi e Signori. Le Biblioteche nella seconda metà del Quattrocento</w:t>
      </w:r>
      <w:r w:rsidRPr="00796A9D">
        <w:rPr>
          <w:rFonts w:ascii="Times New Roman" w:hAnsi="Times New Roman" w:cs="Times New Roman"/>
        </w:rPr>
        <w:t xml:space="preserve">. Atti del Convegno (Urbino, 5-6 giugno 2008), a cura di </w:t>
      </w:r>
      <w:r w:rsidRPr="00796A9D">
        <w:rPr>
          <w:rFonts w:ascii="Times New Roman" w:hAnsi="Times New Roman" w:cs="Times New Roman"/>
          <w:smallCaps/>
        </w:rPr>
        <w:t>G. Arbizzoni, C. Bianca, M. Peruzzi</w:t>
      </w:r>
      <w:r w:rsidRPr="00796A9D">
        <w:rPr>
          <w:rFonts w:ascii="Times New Roman" w:hAnsi="Times New Roman" w:cs="Times New Roman"/>
        </w:rPr>
        <w:t xml:space="preserve">, Urbino, Accademia Raffaello, 2008, pp. 39-66. Ad esso si rinvia anche per la documentazione relativa alla biblioteca di Barbara di Brandeburgo e dei suoi eredi.  </w:t>
      </w:r>
    </w:p>
  </w:footnote>
  <w:footnote w:id="19">
    <w:p w14:paraId="17E1AF2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F. Pigati</w:t>
      </w:r>
      <w:r w:rsidRPr="00796A9D">
        <w:rPr>
          <w:rFonts w:ascii="Times New Roman" w:hAnsi="Times New Roman" w:cs="Times New Roman"/>
        </w:rPr>
        <w:t xml:space="preserve">, s.v. </w:t>
      </w:r>
      <w:r w:rsidRPr="00796A9D">
        <w:rPr>
          <w:rFonts w:ascii="Times New Roman" w:hAnsi="Times New Roman" w:cs="Times New Roman"/>
          <w:i/>
        </w:rPr>
        <w:t>Filelfo</w:t>
      </w:r>
      <w:r w:rsidRPr="00796A9D">
        <w:rPr>
          <w:rFonts w:ascii="Times New Roman" w:hAnsi="Times New Roman" w:cs="Times New Roman"/>
        </w:rPr>
        <w:t>,</w:t>
      </w:r>
      <w:r w:rsidRPr="00796A9D">
        <w:rPr>
          <w:rFonts w:ascii="Times New Roman" w:hAnsi="Times New Roman" w:cs="Times New Roman"/>
          <w:i/>
        </w:rPr>
        <w:t xml:space="preserve"> Giovanni Mario</w:t>
      </w:r>
      <w:r w:rsidRPr="00796A9D">
        <w:rPr>
          <w:rFonts w:ascii="Times New Roman" w:hAnsi="Times New Roman" w:cs="Times New Roman"/>
        </w:rPr>
        <w:t xml:space="preserve">, in </w:t>
      </w:r>
      <w:r w:rsidRPr="00796A9D">
        <w:rPr>
          <w:rFonts w:ascii="Times New Roman" w:hAnsi="Times New Roman" w:cs="Times New Roman"/>
          <w:i/>
        </w:rPr>
        <w:t>Dizionario Biografico degli Italiani</w:t>
      </w:r>
      <w:r w:rsidRPr="00796A9D">
        <w:rPr>
          <w:rFonts w:ascii="Times New Roman" w:hAnsi="Times New Roman" w:cs="Times New Roman"/>
        </w:rPr>
        <w:t xml:space="preserve"> (d’ora innanzi DBI), Roma, Istituto dell’Enciclopedia Italiana, 1997, vol. XLVII, pp. 613-627.</w:t>
      </w:r>
    </w:p>
  </w:footnote>
  <w:footnote w:id="20">
    <w:p w14:paraId="480A28C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Milano, Biblioteca Nazionale Braidense, AD XV 18.4. Edito in </w:t>
      </w:r>
      <w:r w:rsidRPr="00796A9D">
        <w:rPr>
          <w:rFonts w:ascii="Times New Roman" w:hAnsi="Times New Roman" w:cs="Times New Roman"/>
          <w:smallCaps/>
        </w:rPr>
        <w:t>E. Pellegrin</w:t>
      </w:r>
      <w:r w:rsidRPr="00796A9D">
        <w:rPr>
          <w:rFonts w:ascii="Times New Roman" w:hAnsi="Times New Roman" w:cs="Times New Roman"/>
        </w:rPr>
        <w:t xml:space="preserve">, </w:t>
      </w:r>
      <w:r w:rsidRPr="00796A9D">
        <w:rPr>
          <w:rFonts w:ascii="Times New Roman" w:hAnsi="Times New Roman" w:cs="Times New Roman"/>
          <w:i/>
        </w:rPr>
        <w:t>La bibliothèque des Visconti et des Sforza ducs de Milan au XV siècle</w:t>
      </w:r>
      <w:r w:rsidRPr="00796A9D">
        <w:rPr>
          <w:rFonts w:ascii="Times New Roman" w:hAnsi="Times New Roman" w:cs="Times New Roman"/>
        </w:rPr>
        <w:t xml:space="preserve">, Paris, C.N.R.S., 1955, pp. 75-289. La studiosa identifica diverse delle voci registrate nella </w:t>
      </w:r>
      <w:r w:rsidRPr="00796A9D">
        <w:rPr>
          <w:rFonts w:ascii="Times New Roman" w:hAnsi="Times New Roman" w:cs="Times New Roman"/>
          <w:i/>
        </w:rPr>
        <w:t>Consignatio</w:t>
      </w:r>
      <w:r w:rsidRPr="00796A9D">
        <w:rPr>
          <w:rFonts w:ascii="Times New Roman" w:hAnsi="Times New Roman" w:cs="Times New Roman"/>
        </w:rPr>
        <w:t xml:space="preserve"> con i codici della antica raccolta visconteo-sforzesca oggi conservati alla Bibliothèque Nationale de France. </w:t>
      </w:r>
    </w:p>
  </w:footnote>
  <w:footnote w:id="21">
    <w:p w14:paraId="48CBA63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U. </w:t>
      </w:r>
      <w:r w:rsidRPr="00796A9D">
        <w:rPr>
          <w:rFonts w:ascii="Times New Roman" w:hAnsi="Times New Roman" w:cs="Times New Roman"/>
          <w:smallCaps/>
        </w:rPr>
        <w:t>Rozzo</w:t>
      </w:r>
      <w:r w:rsidRPr="00796A9D">
        <w:rPr>
          <w:rFonts w:ascii="Times New Roman" w:hAnsi="Times New Roman" w:cs="Times New Roman"/>
        </w:rPr>
        <w:t xml:space="preserve">, </w:t>
      </w:r>
      <w:r w:rsidRPr="00796A9D">
        <w:rPr>
          <w:rFonts w:ascii="Times New Roman" w:hAnsi="Times New Roman" w:cs="Times New Roman"/>
          <w:i/>
        </w:rPr>
        <w:t>La biblioteca Visconteo-sforzesca</w:t>
      </w:r>
      <w:r w:rsidRPr="00796A9D">
        <w:rPr>
          <w:rFonts w:ascii="Times New Roman" w:hAnsi="Times New Roman" w:cs="Times New Roman"/>
        </w:rPr>
        <w:t xml:space="preserve">, in </w:t>
      </w:r>
      <w:r w:rsidRPr="00796A9D">
        <w:rPr>
          <w:rFonts w:ascii="Times New Roman" w:hAnsi="Times New Roman" w:cs="Times New Roman"/>
          <w:i/>
        </w:rPr>
        <w:t>Principi e Signori</w:t>
      </w:r>
      <w:r w:rsidRPr="00796A9D">
        <w:rPr>
          <w:rFonts w:ascii="Times New Roman" w:hAnsi="Times New Roman" w:cs="Times New Roman"/>
        </w:rPr>
        <w:t xml:space="preserve">, cit, pp. 33-38. </w:t>
      </w:r>
    </w:p>
  </w:footnote>
  <w:footnote w:id="22">
    <w:p w14:paraId="47B5A90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C.Z. Laskaris</w:t>
      </w:r>
      <w:r w:rsidRPr="00796A9D">
        <w:rPr>
          <w:rFonts w:ascii="Times New Roman" w:hAnsi="Times New Roman" w:cs="Times New Roman"/>
        </w:rPr>
        <w:t xml:space="preserve">, </w:t>
      </w:r>
      <w:r w:rsidRPr="00796A9D">
        <w:rPr>
          <w:rFonts w:ascii="Times New Roman" w:hAnsi="Times New Roman" w:cs="Times New Roman"/>
          <w:i/>
        </w:rPr>
        <w:t>La biblioteca dei Visconti e degli Sforza nel castello di Pavia: gloria di una dinastia</w:t>
      </w:r>
      <w:r w:rsidRPr="00796A9D">
        <w:rPr>
          <w:rFonts w:ascii="Times New Roman" w:hAnsi="Times New Roman" w:cs="Times New Roman"/>
        </w:rPr>
        <w:t xml:space="preserve">, in </w:t>
      </w:r>
      <w:r w:rsidRPr="00796A9D">
        <w:rPr>
          <w:rFonts w:ascii="Times New Roman" w:hAnsi="Times New Roman" w:cs="Times New Roman"/>
          <w:i/>
        </w:rPr>
        <w:t>Pavia visconteo-sforzesca. Il castello, la città, la certosa</w:t>
      </w:r>
      <w:r w:rsidRPr="00796A9D">
        <w:rPr>
          <w:rFonts w:ascii="Times New Roman" w:hAnsi="Times New Roman" w:cs="Times New Roman"/>
        </w:rPr>
        <w:t>, Milano, Skira, 2016, pp. 37-44.</w:t>
      </w:r>
    </w:p>
  </w:footnote>
  <w:footnote w:id="23">
    <w:p w14:paraId="1F238D0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Tra i libri di Petrarca trasferiti a Pavia dopo la conquista di Padova del 1388 vi erano alcuni dei volumi più apprezzati e amati dal letterato, come il </w:t>
      </w:r>
      <w:r w:rsidRPr="00796A9D">
        <w:rPr>
          <w:rFonts w:ascii="Times New Roman" w:hAnsi="Times New Roman" w:cs="Times New Roman"/>
          <w:i/>
        </w:rPr>
        <w:t>Virgilio</w:t>
      </w:r>
      <w:r w:rsidRPr="00796A9D">
        <w:rPr>
          <w:rFonts w:ascii="Times New Roman" w:hAnsi="Times New Roman" w:cs="Times New Roman"/>
        </w:rPr>
        <w:t xml:space="preserve"> miniato da Simone Martini, oggi alla Veneranda Biblioteca Ambrosiana, A 79 inf.; o il testo postillato delle </w:t>
      </w:r>
      <w:r w:rsidRPr="00796A9D">
        <w:rPr>
          <w:rFonts w:ascii="Times New Roman" w:hAnsi="Times New Roman" w:cs="Times New Roman"/>
          <w:i/>
        </w:rPr>
        <w:t>Antiquitates Iudaicae</w:t>
      </w:r>
      <w:r w:rsidRPr="00796A9D">
        <w:rPr>
          <w:rFonts w:ascii="Times New Roman" w:hAnsi="Times New Roman" w:cs="Times New Roman"/>
        </w:rPr>
        <w:t xml:space="preserve"> di Giuseppe Flavio, ora alla Bibliothèque Nationale de France, MS. Lat. 5054. Più puntuali indicazioni sulla sorte spettata ai libri del poeta in </w:t>
      </w:r>
      <w:r w:rsidRPr="00796A9D">
        <w:rPr>
          <w:rFonts w:ascii="Times New Roman" w:hAnsi="Times New Roman" w:cs="Times New Roman"/>
          <w:smallCaps/>
        </w:rPr>
        <w:t>N. Vianello</w:t>
      </w:r>
      <w:r w:rsidRPr="00796A9D">
        <w:rPr>
          <w:rFonts w:ascii="Times New Roman" w:hAnsi="Times New Roman" w:cs="Times New Roman"/>
        </w:rPr>
        <w:t xml:space="preserve">, </w:t>
      </w:r>
      <w:r w:rsidRPr="00796A9D">
        <w:rPr>
          <w:rFonts w:ascii="Times New Roman" w:hAnsi="Times New Roman" w:cs="Times New Roman"/>
          <w:i/>
        </w:rPr>
        <w:t>I libri del Petrarca e la prima idea di una pubblica biblioteca a Venezia</w:t>
      </w:r>
      <w:r w:rsidRPr="00796A9D">
        <w:rPr>
          <w:rFonts w:ascii="Times New Roman" w:hAnsi="Times New Roman" w:cs="Times New Roman"/>
        </w:rPr>
        <w:t xml:space="preserve">, in </w:t>
      </w:r>
      <w:bookmarkStart w:id="16" w:name="_Hlk498327941"/>
      <w:r w:rsidRPr="00796A9D">
        <w:rPr>
          <w:rFonts w:ascii="Times New Roman" w:hAnsi="Times New Roman" w:cs="Times New Roman"/>
          <w:i/>
        </w:rPr>
        <w:t xml:space="preserve">Miscellanea marciana di studi bessarionei </w:t>
      </w:r>
      <w:bookmarkEnd w:id="16"/>
      <w:r w:rsidRPr="00796A9D">
        <w:rPr>
          <w:rFonts w:ascii="Times New Roman" w:hAnsi="Times New Roman" w:cs="Times New Roman"/>
          <w:i/>
        </w:rPr>
        <w:t>a coronamento del V Centenario della donazione nicena</w:t>
      </w:r>
      <w:r w:rsidRPr="00796A9D">
        <w:rPr>
          <w:rFonts w:ascii="Times New Roman" w:hAnsi="Times New Roman" w:cs="Times New Roman"/>
        </w:rPr>
        <w:t xml:space="preserve">, «Medioevo e Umanesimo», 24, 1976, pp. 435-451. </w:t>
      </w:r>
    </w:p>
  </w:footnote>
  <w:footnote w:id="24">
    <w:p w14:paraId="31E6F51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paragone tra l’estensione delle biblioteche di questi principi e quella visconteo-sforzesca </w:t>
      </w:r>
      <w:bookmarkStart w:id="17" w:name="_Hlk487877863"/>
      <w:r w:rsidRPr="00796A9D">
        <w:rPr>
          <w:rFonts w:ascii="Times New Roman" w:hAnsi="Times New Roman" w:cs="Times New Roman"/>
        </w:rPr>
        <w:t xml:space="preserve">rimando a G. </w:t>
      </w:r>
      <w:r w:rsidRPr="00796A9D">
        <w:rPr>
          <w:rFonts w:ascii="Times New Roman" w:hAnsi="Times New Roman" w:cs="Times New Roman"/>
          <w:smallCaps/>
        </w:rPr>
        <w:t>Small</w:t>
      </w:r>
      <w:r w:rsidRPr="00796A9D">
        <w:rPr>
          <w:rFonts w:ascii="Times New Roman" w:hAnsi="Times New Roman" w:cs="Times New Roman"/>
        </w:rPr>
        <w:t xml:space="preserve">, </w:t>
      </w:r>
      <w:r w:rsidRPr="00796A9D">
        <w:rPr>
          <w:rFonts w:ascii="Times New Roman" w:hAnsi="Times New Roman" w:cs="Times New Roman"/>
          <w:i/>
        </w:rPr>
        <w:t>Clio à la cour de Bourgogne au XV</w:t>
      </w:r>
      <w:r w:rsidRPr="00796A9D">
        <w:rPr>
          <w:rFonts w:ascii="Times New Roman" w:hAnsi="Times New Roman" w:cs="Times New Roman"/>
          <w:i/>
          <w:vertAlign w:val="superscript"/>
        </w:rPr>
        <w:t>eme</w:t>
      </w:r>
      <w:r w:rsidRPr="00796A9D">
        <w:rPr>
          <w:rFonts w:ascii="Times New Roman" w:hAnsi="Times New Roman" w:cs="Times New Roman"/>
          <w:i/>
        </w:rPr>
        <w:t xml:space="preserve"> siècle</w:t>
      </w:r>
      <w:r w:rsidRPr="00796A9D">
        <w:rPr>
          <w:rFonts w:ascii="Times New Roman" w:hAnsi="Times New Roman" w:cs="Times New Roman"/>
        </w:rPr>
        <w:t xml:space="preserve">, in </w:t>
      </w:r>
      <w:r w:rsidRPr="00796A9D">
        <w:rPr>
          <w:rFonts w:ascii="Times New Roman" w:hAnsi="Times New Roman" w:cs="Times New Roman"/>
          <w:i/>
        </w:rPr>
        <w:t>La Librairie des ducs de Bourgogne, Manuscrits conservés à la Bibliothèque royale de Belgique</w:t>
      </w:r>
      <w:r w:rsidRPr="00796A9D">
        <w:rPr>
          <w:rFonts w:ascii="Times New Roman" w:hAnsi="Times New Roman" w:cs="Times New Roman"/>
        </w:rPr>
        <w:t>, Turnhout, Brepols, 2009, vol. VI, pp. 11-24</w:t>
      </w:r>
      <w:bookmarkEnd w:id="17"/>
      <w:r w:rsidRPr="00796A9D">
        <w:rPr>
          <w:rFonts w:ascii="Times New Roman" w:hAnsi="Times New Roman" w:cs="Times New Roman"/>
        </w:rPr>
        <w:t xml:space="preserve">; e a </w:t>
      </w:r>
      <w:r w:rsidRPr="00796A9D">
        <w:rPr>
          <w:rFonts w:ascii="Times New Roman" w:hAnsi="Times New Roman" w:cs="Times New Roman"/>
          <w:smallCaps/>
        </w:rPr>
        <w:t>Y. Potin</w:t>
      </w:r>
      <w:r w:rsidRPr="00796A9D">
        <w:rPr>
          <w:rFonts w:ascii="Times New Roman" w:hAnsi="Times New Roman" w:cs="Times New Roman"/>
        </w:rPr>
        <w:t xml:space="preserve">, </w:t>
      </w:r>
      <w:r w:rsidRPr="00796A9D">
        <w:rPr>
          <w:rFonts w:ascii="Times New Roman" w:hAnsi="Times New Roman" w:cs="Times New Roman"/>
          <w:i/>
        </w:rPr>
        <w:t>Des inventaires pour catalogues? Les archives d’une bibliothèque médiévale: la librairie royale du Louvre (1368-1429),</w:t>
      </w:r>
      <w:r w:rsidRPr="00796A9D">
        <w:rPr>
          <w:rFonts w:ascii="Times New Roman" w:hAnsi="Times New Roman" w:cs="Times New Roman"/>
        </w:rPr>
        <w:t xml:space="preserve"> in </w:t>
      </w:r>
      <w:r w:rsidRPr="00796A9D">
        <w:rPr>
          <w:rFonts w:ascii="Times New Roman" w:hAnsi="Times New Roman" w:cs="Times New Roman"/>
          <w:i/>
        </w:rPr>
        <w:t>Bibliothek als Archiv</w:t>
      </w:r>
      <w:r w:rsidRPr="00796A9D">
        <w:rPr>
          <w:rFonts w:ascii="Times New Roman" w:hAnsi="Times New Roman" w:cs="Times New Roman"/>
        </w:rPr>
        <w:t xml:space="preserve">, herausgegeben von </w:t>
      </w:r>
      <w:r w:rsidRPr="00796A9D">
        <w:rPr>
          <w:rFonts w:ascii="Times New Roman" w:hAnsi="Times New Roman" w:cs="Times New Roman"/>
          <w:smallCaps/>
        </w:rPr>
        <w:t>H.E. Bödeker</w:t>
      </w:r>
      <w:r w:rsidRPr="00796A9D">
        <w:rPr>
          <w:rFonts w:ascii="Times New Roman" w:hAnsi="Times New Roman" w:cs="Times New Roman"/>
        </w:rPr>
        <w:t>, Göttingen, 2007, pp. 119-140.</w:t>
      </w:r>
    </w:p>
  </w:footnote>
  <w:footnote w:id="25">
    <w:p w14:paraId="0454D37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Parigi, Bibliothèque Nationale de France, MS. Lat. 11.400, ff. 26-36, edito in </w:t>
      </w:r>
      <w:r w:rsidRPr="00796A9D">
        <w:rPr>
          <w:rFonts w:ascii="Times New Roman" w:hAnsi="Times New Roman" w:cs="Times New Roman"/>
          <w:smallCaps/>
        </w:rPr>
        <w:t>E. Pellegrin</w:t>
      </w:r>
      <w:r w:rsidRPr="00796A9D">
        <w:rPr>
          <w:rFonts w:ascii="Times New Roman" w:hAnsi="Times New Roman" w:cs="Times New Roman"/>
        </w:rPr>
        <w:t xml:space="preserve">, </w:t>
      </w:r>
      <w:r w:rsidRPr="00796A9D">
        <w:rPr>
          <w:rFonts w:ascii="Times New Roman" w:hAnsi="Times New Roman" w:cs="Times New Roman"/>
          <w:i/>
        </w:rPr>
        <w:t>La bibliothèque des Visconti et des Sforza</w:t>
      </w:r>
      <w:r w:rsidRPr="00796A9D">
        <w:rPr>
          <w:rFonts w:ascii="Times New Roman" w:hAnsi="Times New Roman" w:cs="Times New Roman"/>
        </w:rPr>
        <w:t>, cit., pp. 290-328. Sulla base di questo documento e della pianta del castello di Pavia ricostruita da Evelyn S. Welch, Franca Petrucci Nardelli ha tentato un’identificazione dei tre locali occupati dalla biblioteca, posti al primo piano e corrispondenti presumibilmente alla stanza interna della torre di sud ovest e ai due locali ad essa attigui. Cfr</w:t>
      </w:r>
      <w:r w:rsidRPr="00796A9D">
        <w:rPr>
          <w:rFonts w:ascii="Times New Roman" w:hAnsi="Times New Roman" w:cs="Times New Roman"/>
          <w:smallCaps/>
        </w:rPr>
        <w:t>. F. Petrucci Nardelli</w:t>
      </w:r>
      <w:r w:rsidRPr="00796A9D">
        <w:rPr>
          <w:rFonts w:ascii="Times New Roman" w:hAnsi="Times New Roman" w:cs="Times New Roman"/>
        </w:rPr>
        <w:t xml:space="preserve">, </w:t>
      </w:r>
      <w:r w:rsidRPr="00796A9D">
        <w:rPr>
          <w:rFonts w:ascii="Times New Roman" w:hAnsi="Times New Roman" w:cs="Times New Roman"/>
          <w:i/>
        </w:rPr>
        <w:t>La biblioteca Visconteo Sforzesca. Ubicazione e disposizione del materiale librario</w:t>
      </w:r>
      <w:r w:rsidRPr="00796A9D">
        <w:rPr>
          <w:rFonts w:ascii="Times New Roman" w:hAnsi="Times New Roman" w:cs="Times New Roman"/>
        </w:rPr>
        <w:t xml:space="preserve">, «La Bibliofilia», XCVIII, 1995, pp. 21-33. </w:t>
      </w:r>
    </w:p>
  </w:footnote>
  <w:footnote w:id="26">
    <w:p w14:paraId="45403AF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tale occasione, sotto la supervisione di Marco Trotto, dignitario di corte e più volte ambasciatore di Galeazzo Maria alla corte di Luigi XI, fu steso un registro dei libri trasferiti alla sede pavese, pubblicato in </w:t>
      </w:r>
      <w:r w:rsidRPr="00796A9D">
        <w:rPr>
          <w:rFonts w:ascii="Times New Roman" w:hAnsi="Times New Roman" w:cs="Times New Roman"/>
          <w:smallCaps/>
        </w:rPr>
        <w:t>E. Pellegrin</w:t>
      </w:r>
      <w:r w:rsidRPr="00796A9D">
        <w:rPr>
          <w:rFonts w:ascii="Times New Roman" w:hAnsi="Times New Roman" w:cs="Times New Roman"/>
        </w:rPr>
        <w:t xml:space="preserve">, </w:t>
      </w:r>
      <w:r w:rsidRPr="00796A9D">
        <w:rPr>
          <w:rFonts w:ascii="Times New Roman" w:hAnsi="Times New Roman" w:cs="Times New Roman"/>
          <w:i/>
        </w:rPr>
        <w:t>La bibliothèque des Visconti et des Sforza</w:t>
      </w:r>
      <w:r w:rsidRPr="00796A9D">
        <w:rPr>
          <w:rFonts w:ascii="Times New Roman" w:hAnsi="Times New Roman" w:cs="Times New Roman"/>
        </w:rPr>
        <w:t>, pp. 329-352.</w:t>
      </w:r>
    </w:p>
  </w:footnote>
  <w:footnote w:id="27">
    <w:p w14:paraId="4C23EAC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E. Motta</w:t>
      </w:r>
      <w:r w:rsidRPr="00796A9D">
        <w:rPr>
          <w:rFonts w:ascii="Times New Roman" w:hAnsi="Times New Roman" w:cs="Times New Roman"/>
        </w:rPr>
        <w:t xml:space="preserve">, </w:t>
      </w:r>
      <w:r w:rsidRPr="00796A9D">
        <w:rPr>
          <w:rFonts w:ascii="Times New Roman" w:hAnsi="Times New Roman" w:cs="Times New Roman"/>
          <w:i/>
        </w:rPr>
        <w:t>Altri documenti per la Libreria sforzesca di Pavia</w:t>
      </w:r>
      <w:r w:rsidRPr="00796A9D">
        <w:rPr>
          <w:rFonts w:ascii="Times New Roman" w:hAnsi="Times New Roman" w:cs="Times New Roman"/>
        </w:rPr>
        <w:t xml:space="preserve">, «Il Bibliofilo», X, 1889, p. 109. </w:t>
      </w:r>
    </w:p>
  </w:footnote>
  <w:footnote w:id="28">
    <w:p w14:paraId="18F3B41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1496 Tristano, in seguito alla morte di Giorgio Merula, ricevette dal Moro l’incarico di completare l</w:t>
      </w:r>
      <w:r w:rsidRPr="00796A9D">
        <w:rPr>
          <w:rFonts w:ascii="Times New Roman" w:hAnsi="Times New Roman" w:cs="Times New Roman"/>
          <w:i/>
        </w:rPr>
        <w:t>’Historia Vicecomitum</w:t>
      </w:r>
      <w:r w:rsidRPr="00796A9D">
        <w:rPr>
          <w:rFonts w:ascii="Times New Roman" w:hAnsi="Times New Roman" w:cs="Times New Roman"/>
        </w:rPr>
        <w:t xml:space="preserve">. Tale committenza fu sollecitata da suo zio Bartolomeo e dall’ambasciatore ferrarese Giacomo Trotti. Proprio nella prefatoria ai </w:t>
      </w:r>
      <w:r w:rsidRPr="00796A9D">
        <w:rPr>
          <w:rFonts w:ascii="Times New Roman" w:hAnsi="Times New Roman" w:cs="Times New Roman"/>
          <w:i/>
        </w:rPr>
        <w:t>Mediolanensis historiae libri XX</w:t>
      </w:r>
      <w:r w:rsidRPr="00796A9D">
        <w:rPr>
          <w:rFonts w:ascii="Times New Roman" w:hAnsi="Times New Roman" w:cs="Times New Roman"/>
        </w:rPr>
        <w:t xml:space="preserve"> Calco ricorda orgogliosamente il suo decennale lavoro di custode dei libri pavesi. Si veda in merito </w:t>
      </w:r>
      <w:r w:rsidRPr="00796A9D">
        <w:rPr>
          <w:rFonts w:ascii="Times New Roman" w:hAnsi="Times New Roman" w:cs="Times New Roman"/>
          <w:smallCaps/>
        </w:rPr>
        <w:t>G. M. Anselmi</w:t>
      </w:r>
      <w:r w:rsidRPr="00796A9D">
        <w:rPr>
          <w:rFonts w:ascii="Times New Roman" w:hAnsi="Times New Roman" w:cs="Times New Roman"/>
        </w:rPr>
        <w:t xml:space="preserve">, </w:t>
      </w:r>
      <w:r w:rsidRPr="00796A9D">
        <w:rPr>
          <w:rFonts w:ascii="Times New Roman" w:hAnsi="Times New Roman" w:cs="Times New Roman"/>
          <w:i/>
        </w:rPr>
        <w:t>Tra Pontano, Rucellai e Calco. Un dibattito quattrocentesco sulla storiografia</w:t>
      </w:r>
      <w:r w:rsidRPr="00796A9D">
        <w:rPr>
          <w:rFonts w:ascii="Times New Roman" w:hAnsi="Times New Roman" w:cs="Times New Roman"/>
        </w:rPr>
        <w:t xml:space="preserve">, in </w:t>
      </w:r>
      <w:r w:rsidRPr="00796A9D">
        <w:rPr>
          <w:rFonts w:ascii="Times New Roman" w:hAnsi="Times New Roman" w:cs="Times New Roman"/>
          <w:i/>
        </w:rPr>
        <w:t>Da Dante a Montale. Studi di filologia e critica letteraria in onore di Emilio Pasquini</w:t>
      </w:r>
      <w:r w:rsidRPr="00796A9D">
        <w:rPr>
          <w:rFonts w:ascii="Times New Roman" w:hAnsi="Times New Roman" w:cs="Times New Roman"/>
        </w:rPr>
        <w:t xml:space="preserve">, a cura di </w:t>
      </w:r>
      <w:r w:rsidRPr="00796A9D">
        <w:rPr>
          <w:rFonts w:ascii="Times New Roman" w:hAnsi="Times New Roman" w:cs="Times New Roman"/>
          <w:smallCaps/>
        </w:rPr>
        <w:t>G. M. Anselmi, B. Bentivogli, A. Cottignol</w:t>
      </w:r>
      <w:r w:rsidRPr="00796A9D">
        <w:rPr>
          <w:rFonts w:ascii="Times New Roman" w:hAnsi="Times New Roman" w:cs="Times New Roman"/>
        </w:rPr>
        <w:t>, Bologna, Gedit, 2005, pp. 323-332.</w:t>
      </w:r>
    </w:p>
  </w:footnote>
  <w:footnote w:id="29">
    <w:p w14:paraId="58505BE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prima lista data al 17 marzo 1488 e si conserva presso l’ASPv, Archivio Notarile, filza 853. Fu scritta dal notaio Landolfi per conto di Giovanni Antonio Bolognini, che in quell’anno lasciava la carica di castellano di Pavia a Guido Antonio Arcimboldi. A quest’ultimo, nominato arcivescovo di Milano il 14 gennaio 1489, succedette Giacomo Pusterla, per il quale fu preparato il secondo inventario del 1490 curato da Andrea da Mantova. Entrambi i documenti sono pubblicati in </w:t>
      </w:r>
      <w:r w:rsidRPr="00796A9D">
        <w:rPr>
          <w:rFonts w:ascii="Times New Roman" w:hAnsi="Times New Roman" w:cs="Times New Roman"/>
          <w:smallCaps/>
        </w:rPr>
        <w:t>M. G. Albertini Ottolenghi</w:t>
      </w:r>
      <w:r w:rsidRPr="00796A9D">
        <w:rPr>
          <w:rFonts w:ascii="Times New Roman" w:hAnsi="Times New Roman" w:cs="Times New Roman"/>
        </w:rPr>
        <w:t xml:space="preserve">, </w:t>
      </w:r>
      <w:r w:rsidRPr="00796A9D">
        <w:rPr>
          <w:rFonts w:ascii="Times New Roman" w:hAnsi="Times New Roman" w:cs="Times New Roman"/>
          <w:i/>
        </w:rPr>
        <w:t>La biblioteca dei Visconti e degli Sforza: gli inventari del 1488 e del 1490</w:t>
      </w:r>
      <w:r w:rsidRPr="00796A9D">
        <w:rPr>
          <w:rFonts w:ascii="Times New Roman" w:hAnsi="Times New Roman" w:cs="Times New Roman"/>
        </w:rPr>
        <w:t>, «Studi Petrarcheschi», VIII, 1991, pp. 1-238.</w:t>
      </w:r>
    </w:p>
  </w:footnote>
  <w:footnote w:id="30">
    <w:p w14:paraId="1DE2715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conservano otto liste dei libri posseduti da Cicco Simonetta. Scritte tra il 1472 e il 1479, attestano gli spostamenti tra le varie città in cui egli risiedette e le relazioni intrattenute con diversi umanisti legati alla corte. L’ultima si legge all’interno di un inventario dei beni presenti nel castello di Sartirana compilato poco dopo il suo arresto. Vedi in proposito </w:t>
      </w:r>
      <w:r w:rsidRPr="00796A9D">
        <w:rPr>
          <w:rFonts w:ascii="Times New Roman" w:hAnsi="Times New Roman" w:cs="Times New Roman"/>
          <w:smallCaps/>
        </w:rPr>
        <w:t>M. Pedralli</w:t>
      </w:r>
      <w:r w:rsidRPr="00796A9D">
        <w:rPr>
          <w:rFonts w:ascii="Times New Roman" w:hAnsi="Times New Roman" w:cs="Times New Roman"/>
        </w:rPr>
        <w:t xml:space="preserve">, </w:t>
      </w:r>
      <w:r w:rsidRPr="00796A9D">
        <w:rPr>
          <w:rFonts w:ascii="Times New Roman" w:hAnsi="Times New Roman" w:cs="Times New Roman"/>
          <w:i/>
        </w:rPr>
        <w:t>Novo, grande, coverto e ferrato. Gli inventati di biblioteca e la cultura a Milano nel Quattrocento</w:t>
      </w:r>
      <w:r w:rsidRPr="00796A9D">
        <w:rPr>
          <w:rFonts w:ascii="Times New Roman" w:hAnsi="Times New Roman" w:cs="Times New Roman"/>
        </w:rPr>
        <w:t xml:space="preserve">, Milano, Vita e Pensiero, 2002, pp. 505-510.  </w:t>
      </w:r>
    </w:p>
  </w:footnote>
  <w:footnote w:id="31">
    <w:p w14:paraId="1322772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 lettera di Bartolomeo Calco a Ludovico Sforza, ASMi, Sforzesco, Potenze sovrane, c. 1607, annota le ultime volontà del Merula, il quale avrebbe lasciato al duca i soli libri greci della sua raccolta, destinando invece i latini alla chiesa di San Marco ad Alessandria, sua città natale. Cfr. </w:t>
      </w:r>
      <w:r w:rsidRPr="00796A9D">
        <w:rPr>
          <w:rFonts w:ascii="Times New Roman" w:hAnsi="Times New Roman" w:cs="Times New Roman"/>
          <w:i/>
        </w:rPr>
        <w:t>Ivi</w:t>
      </w:r>
      <w:r w:rsidRPr="00796A9D">
        <w:rPr>
          <w:rFonts w:ascii="Times New Roman" w:hAnsi="Times New Roman" w:cs="Times New Roman"/>
        </w:rPr>
        <w:t xml:space="preserve">, pp. 587-588.  </w:t>
      </w:r>
    </w:p>
  </w:footnote>
  <w:footnote w:id="32">
    <w:p w14:paraId="2C41487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 committenza da parte del Moro di traduzioni di opere della letteratura ebraica cfr. </w:t>
      </w:r>
      <w:r w:rsidRPr="00796A9D">
        <w:rPr>
          <w:rFonts w:ascii="Times New Roman" w:hAnsi="Times New Roman" w:cs="Times New Roman"/>
          <w:smallCaps/>
        </w:rPr>
        <w:t>M. Valori</w:t>
      </w:r>
      <w:r w:rsidRPr="00796A9D">
        <w:rPr>
          <w:rFonts w:ascii="Times New Roman" w:hAnsi="Times New Roman" w:cs="Times New Roman"/>
        </w:rPr>
        <w:t xml:space="preserve">, </w:t>
      </w:r>
      <w:r w:rsidRPr="00796A9D">
        <w:rPr>
          <w:rFonts w:ascii="Times New Roman" w:hAnsi="Times New Roman" w:cs="Times New Roman"/>
          <w:i/>
        </w:rPr>
        <w:t>Venite, dico Athene hoggi Milano ove è il nostro Parnaso Ludovico</w:t>
      </w:r>
      <w:r w:rsidRPr="00796A9D">
        <w:rPr>
          <w:rFonts w:ascii="Times New Roman" w:hAnsi="Times New Roman" w:cs="Times New Roman"/>
        </w:rPr>
        <w:t xml:space="preserve">, in </w:t>
      </w:r>
      <w:r w:rsidRPr="00796A9D">
        <w:rPr>
          <w:rFonts w:ascii="Times New Roman" w:hAnsi="Times New Roman" w:cs="Times New Roman"/>
          <w:i/>
        </w:rPr>
        <w:t>Ludovico il Moro. La città e la sua corte</w:t>
      </w:r>
      <w:r w:rsidRPr="00796A9D">
        <w:rPr>
          <w:rFonts w:ascii="Times New Roman" w:hAnsi="Times New Roman" w:cs="Times New Roman"/>
        </w:rPr>
        <w:t>, Milano, Archivio di Stato di Milano, 1983, p. 117-118.</w:t>
      </w:r>
    </w:p>
  </w:footnote>
  <w:footnote w:id="33">
    <w:p w14:paraId="5F85D365"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Nel 1449 Francesco Sforza, Jacopo de’ Pazzi e </w:t>
      </w:r>
      <w:bookmarkStart w:id="18" w:name="_Hlk535674158"/>
      <w:r w:rsidRPr="00796A9D">
        <w:rPr>
          <w:rFonts w:ascii="Times New Roman" w:hAnsi="Times New Roman" w:cs="Times New Roman"/>
          <w:sz w:val="20"/>
          <w:szCs w:val="20"/>
        </w:rPr>
        <w:t>Roberto San</w:t>
      </w:r>
      <w:r>
        <w:rPr>
          <w:rFonts w:ascii="Times New Roman" w:hAnsi="Times New Roman" w:cs="Times New Roman"/>
          <w:sz w:val="20"/>
          <w:szCs w:val="20"/>
        </w:rPr>
        <w:t>s</w:t>
      </w:r>
      <w:r w:rsidRPr="00796A9D">
        <w:rPr>
          <w:rFonts w:ascii="Times New Roman" w:hAnsi="Times New Roman" w:cs="Times New Roman"/>
          <w:sz w:val="20"/>
          <w:szCs w:val="20"/>
        </w:rPr>
        <w:t xml:space="preserve">everino </w:t>
      </w:r>
      <w:bookmarkEnd w:id="18"/>
      <w:r w:rsidRPr="00796A9D">
        <w:rPr>
          <w:rFonts w:ascii="Times New Roman" w:hAnsi="Times New Roman" w:cs="Times New Roman"/>
          <w:sz w:val="20"/>
          <w:szCs w:val="20"/>
        </w:rPr>
        <w:t xml:space="preserve">furono elevati nell’ordine cavalleresco del Levante, istituito nel 1448 da re Renato d’Angiò, raffinato estimatore dell’umanesimo italiano al punto da avviare trattative per avere alla sua corte </w:t>
      </w:r>
      <w:bookmarkStart w:id="19" w:name="_Hlk535674208"/>
      <w:r w:rsidRPr="00796A9D">
        <w:rPr>
          <w:rFonts w:ascii="Times New Roman" w:hAnsi="Times New Roman" w:cs="Times New Roman"/>
          <w:sz w:val="20"/>
          <w:szCs w:val="20"/>
        </w:rPr>
        <w:t xml:space="preserve">Francesco Filelfo </w:t>
      </w:r>
      <w:bookmarkEnd w:id="19"/>
      <w:r w:rsidRPr="00796A9D">
        <w:rPr>
          <w:rFonts w:ascii="Times New Roman" w:hAnsi="Times New Roman" w:cs="Times New Roman"/>
          <w:sz w:val="20"/>
          <w:szCs w:val="20"/>
        </w:rPr>
        <w:t xml:space="preserve">e </w:t>
      </w:r>
      <w:bookmarkStart w:id="20" w:name="_Hlk535674240"/>
      <w:r w:rsidRPr="00796A9D">
        <w:rPr>
          <w:rFonts w:ascii="Times New Roman" w:hAnsi="Times New Roman" w:cs="Times New Roman"/>
          <w:sz w:val="20"/>
          <w:szCs w:val="20"/>
        </w:rPr>
        <w:t>Giuliano Maggio</w:t>
      </w:r>
      <w:bookmarkEnd w:id="20"/>
      <w:r w:rsidRPr="00796A9D">
        <w:rPr>
          <w:rFonts w:ascii="Times New Roman" w:hAnsi="Times New Roman" w:cs="Times New Roman"/>
          <w:sz w:val="20"/>
          <w:szCs w:val="20"/>
        </w:rPr>
        <w:t xml:space="preserve">. Lo Sforza, il banchiere fiorentino </w:t>
      </w:r>
      <w:bookmarkStart w:id="21" w:name="_Hlk535674290"/>
      <w:r w:rsidRPr="00796A9D">
        <w:rPr>
          <w:rFonts w:ascii="Times New Roman" w:hAnsi="Times New Roman" w:cs="Times New Roman"/>
          <w:sz w:val="20"/>
          <w:szCs w:val="20"/>
        </w:rPr>
        <w:t>Andrea de’ Pazzi</w:t>
      </w:r>
      <w:bookmarkEnd w:id="21"/>
      <w:r w:rsidRPr="00796A9D">
        <w:rPr>
          <w:rFonts w:ascii="Times New Roman" w:hAnsi="Times New Roman" w:cs="Times New Roman"/>
          <w:sz w:val="20"/>
          <w:szCs w:val="20"/>
        </w:rPr>
        <w:t xml:space="preserve">, e il doge genovese </w:t>
      </w:r>
      <w:bookmarkStart w:id="22" w:name="_Hlk535674337"/>
      <w:r w:rsidRPr="00796A9D">
        <w:rPr>
          <w:rFonts w:ascii="Times New Roman" w:hAnsi="Times New Roman" w:cs="Times New Roman"/>
          <w:sz w:val="20"/>
          <w:szCs w:val="20"/>
        </w:rPr>
        <w:t xml:space="preserve">Tommaso Fregoso </w:t>
      </w:r>
      <w:bookmarkEnd w:id="22"/>
      <w:r w:rsidRPr="00796A9D">
        <w:rPr>
          <w:rFonts w:ascii="Times New Roman" w:hAnsi="Times New Roman" w:cs="Times New Roman"/>
          <w:sz w:val="20"/>
          <w:szCs w:val="20"/>
        </w:rPr>
        <w:t xml:space="preserve">furono solleciti nell’invio di manoscritti alla corte di Provenza. Per essi e per la circolazione di libri tra l’Italia e la corte del re di Sicilia vedi </w:t>
      </w:r>
      <w:r w:rsidRPr="00796A9D">
        <w:rPr>
          <w:rFonts w:ascii="Times New Roman" w:hAnsi="Times New Roman" w:cs="Times New Roman"/>
          <w:smallCaps/>
          <w:sz w:val="20"/>
          <w:szCs w:val="20"/>
        </w:rPr>
        <w:t>D. Thiébaut</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Les manuscrits italiens du Roi René</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Splendeur de l’enluminure, Le roi René et les Livres</w:t>
      </w:r>
      <w:r w:rsidRPr="00796A9D">
        <w:rPr>
          <w:rFonts w:ascii="Times New Roman" w:hAnsi="Times New Roman" w:cs="Times New Roman"/>
          <w:sz w:val="20"/>
          <w:szCs w:val="20"/>
        </w:rPr>
        <w:t xml:space="preserve">, sous la direction de </w:t>
      </w:r>
      <w:r w:rsidRPr="00796A9D">
        <w:rPr>
          <w:rFonts w:ascii="Times New Roman" w:hAnsi="Times New Roman" w:cs="Times New Roman"/>
          <w:smallCaps/>
          <w:sz w:val="20"/>
          <w:szCs w:val="20"/>
        </w:rPr>
        <w:t>Marc-Édouard Gautier</w:t>
      </w:r>
      <w:r w:rsidRPr="00796A9D">
        <w:rPr>
          <w:rFonts w:ascii="Times New Roman" w:hAnsi="Times New Roman" w:cs="Times New Roman"/>
          <w:sz w:val="20"/>
          <w:szCs w:val="20"/>
        </w:rPr>
        <w:t xml:space="preserve">, Ville d’Angers, Actes Sud, 2009, pp. 47-54. </w:t>
      </w:r>
    </w:p>
  </w:footnote>
  <w:footnote w:id="34">
    <w:p w14:paraId="2C0BC58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tratta rispettivamente dei codici Parigi, Bibliothèque Nationale de France, Lat. 4772 e Lat. 4587. Per questi due manoscritti e per altri esempi di testi donati da docenti pavesi ai duchi di Milano:</w:t>
      </w:r>
      <w:r w:rsidRPr="00796A9D">
        <w:rPr>
          <w:rFonts w:ascii="Times New Roman" w:hAnsi="Times New Roman" w:cs="Times New Roman"/>
          <w:smallCaps/>
        </w:rPr>
        <w:t xml:space="preserve"> P.L. Mulas</w:t>
      </w:r>
      <w:r w:rsidRPr="00796A9D">
        <w:rPr>
          <w:rFonts w:ascii="Times New Roman" w:hAnsi="Times New Roman" w:cs="Times New Roman"/>
        </w:rPr>
        <w:t xml:space="preserve">, </w:t>
      </w:r>
      <w:r w:rsidRPr="00796A9D">
        <w:rPr>
          <w:rFonts w:ascii="Times New Roman" w:hAnsi="Times New Roman" w:cs="Times New Roman"/>
          <w:i/>
        </w:rPr>
        <w:t>Codici offerti ai duchi</w:t>
      </w:r>
      <w:r w:rsidRPr="00796A9D">
        <w:rPr>
          <w:rFonts w:ascii="Times New Roman" w:hAnsi="Times New Roman" w:cs="Times New Roman"/>
        </w:rPr>
        <w:t xml:space="preserve">, in </w:t>
      </w:r>
      <w:r w:rsidRPr="00796A9D">
        <w:rPr>
          <w:rFonts w:ascii="Times New Roman" w:hAnsi="Times New Roman" w:cs="Times New Roman"/>
          <w:i/>
        </w:rPr>
        <w:t>Almum Studium Papiense</w:t>
      </w:r>
      <w:r w:rsidRPr="00796A9D">
        <w:rPr>
          <w:rFonts w:ascii="Times New Roman" w:hAnsi="Times New Roman" w:cs="Times New Roman"/>
        </w:rPr>
        <w:t xml:space="preserve">. </w:t>
      </w:r>
      <w:r w:rsidRPr="00796A9D">
        <w:rPr>
          <w:rFonts w:ascii="Times New Roman" w:hAnsi="Times New Roman" w:cs="Times New Roman"/>
          <w:i/>
        </w:rPr>
        <w:t>Storia dell’Università di Pavia</w:t>
      </w:r>
      <w:r w:rsidRPr="00796A9D">
        <w:rPr>
          <w:rFonts w:ascii="Times New Roman" w:hAnsi="Times New Roman" w:cs="Times New Roman"/>
        </w:rPr>
        <w:t xml:space="preserve">, a cura di </w:t>
      </w:r>
      <w:r w:rsidRPr="00796A9D">
        <w:rPr>
          <w:rFonts w:ascii="Times New Roman" w:hAnsi="Times New Roman" w:cs="Times New Roman"/>
          <w:smallCaps/>
        </w:rPr>
        <w:t>D. Mantovani</w:t>
      </w:r>
      <w:r w:rsidRPr="00796A9D">
        <w:rPr>
          <w:rFonts w:ascii="Times New Roman" w:hAnsi="Times New Roman" w:cs="Times New Roman"/>
        </w:rPr>
        <w:t xml:space="preserve">, Milano, Cisalpino-Monduzzi, 2012, tomo I, vol. I, pp. 735-741.  </w:t>
      </w:r>
    </w:p>
  </w:footnote>
  <w:footnote w:id="35">
    <w:p w14:paraId="5AA66F5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spoliazione della libreria avvenne con la complicità del maresciallo </w:t>
      </w:r>
      <w:bookmarkStart w:id="23" w:name="_Hlk535674781"/>
      <w:r w:rsidRPr="00796A9D">
        <w:rPr>
          <w:rFonts w:ascii="Times New Roman" w:hAnsi="Times New Roman" w:cs="Times New Roman"/>
        </w:rPr>
        <w:t xml:space="preserve">Gian Giacomo Trivulzio </w:t>
      </w:r>
      <w:bookmarkEnd w:id="23"/>
      <w:r w:rsidRPr="00796A9D">
        <w:rPr>
          <w:rFonts w:ascii="Times New Roman" w:hAnsi="Times New Roman" w:cs="Times New Roman"/>
        </w:rPr>
        <w:t xml:space="preserve">e fu favorita dal cardinale bibliofilo </w:t>
      </w:r>
      <w:bookmarkStart w:id="24" w:name="_Hlk535674922"/>
      <w:r w:rsidRPr="00796A9D">
        <w:rPr>
          <w:rFonts w:ascii="Times New Roman" w:hAnsi="Times New Roman" w:cs="Times New Roman"/>
        </w:rPr>
        <w:t>Georges d’Amboise</w:t>
      </w:r>
      <w:bookmarkEnd w:id="24"/>
      <w:r w:rsidRPr="00796A9D">
        <w:rPr>
          <w:rFonts w:ascii="Times New Roman" w:hAnsi="Times New Roman" w:cs="Times New Roman"/>
        </w:rPr>
        <w:t xml:space="preserve">. La stessa regina </w:t>
      </w:r>
      <w:bookmarkStart w:id="25" w:name="_Hlk535675006"/>
      <w:r w:rsidRPr="00796A9D">
        <w:rPr>
          <w:rFonts w:ascii="Times New Roman" w:hAnsi="Times New Roman" w:cs="Times New Roman"/>
        </w:rPr>
        <w:t xml:space="preserve">Anna di Bretagna </w:t>
      </w:r>
      <w:bookmarkEnd w:id="25"/>
      <w:r w:rsidRPr="00796A9D">
        <w:rPr>
          <w:rFonts w:ascii="Times New Roman" w:hAnsi="Times New Roman" w:cs="Times New Roman"/>
        </w:rPr>
        <w:t xml:space="preserve">pare avesse mostrato interesse all’acquisizione dei codici. Cfr. </w:t>
      </w:r>
      <w:r w:rsidRPr="00796A9D">
        <w:rPr>
          <w:rFonts w:ascii="Times New Roman" w:hAnsi="Times New Roman" w:cs="Times New Roman"/>
          <w:smallCaps/>
        </w:rPr>
        <w:t>M.P. Laffitte</w:t>
      </w:r>
      <w:r w:rsidRPr="00796A9D">
        <w:rPr>
          <w:rFonts w:ascii="Times New Roman" w:hAnsi="Times New Roman" w:cs="Times New Roman"/>
        </w:rPr>
        <w:t xml:space="preserve">, </w:t>
      </w:r>
      <w:r w:rsidRPr="00796A9D">
        <w:rPr>
          <w:rFonts w:ascii="Times New Roman" w:hAnsi="Times New Roman" w:cs="Times New Roman"/>
          <w:i/>
        </w:rPr>
        <w:t>Da Pavia a Parigi, le alterne fortune dei manoscritti dei duchi di Milano</w:t>
      </w:r>
      <w:r w:rsidRPr="00796A9D">
        <w:rPr>
          <w:rFonts w:ascii="Times New Roman" w:hAnsi="Times New Roman" w:cs="Times New Roman"/>
        </w:rPr>
        <w:t xml:space="preserve">, in </w:t>
      </w:r>
      <w:r w:rsidRPr="00796A9D">
        <w:rPr>
          <w:rFonts w:ascii="Times New Roman" w:hAnsi="Times New Roman" w:cs="Times New Roman"/>
          <w:i/>
        </w:rPr>
        <w:t>Arte lombarda dai Visconti agli Sforza, Milano al centro dell’Europa</w:t>
      </w:r>
      <w:r w:rsidRPr="00796A9D">
        <w:rPr>
          <w:rFonts w:ascii="Times New Roman" w:hAnsi="Times New Roman" w:cs="Times New Roman"/>
        </w:rPr>
        <w:t xml:space="preserve">, a cura di </w:t>
      </w:r>
      <w:r w:rsidRPr="00796A9D">
        <w:rPr>
          <w:rFonts w:ascii="Times New Roman" w:hAnsi="Times New Roman" w:cs="Times New Roman"/>
          <w:smallCaps/>
        </w:rPr>
        <w:t>M. Natale, S. Romano</w:t>
      </w:r>
      <w:r w:rsidRPr="00796A9D">
        <w:rPr>
          <w:rFonts w:ascii="Times New Roman" w:hAnsi="Times New Roman" w:cs="Times New Roman"/>
        </w:rPr>
        <w:t>, Milano, Skira, 2015, pp. 41-46.</w:t>
      </w:r>
    </w:p>
  </w:footnote>
  <w:footnote w:id="36">
    <w:p w14:paraId="3E0B250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L’inventario della biblioteca di Bona di Savoia si conserva a Innsbruck, Statthaltereiarchiv, Schatzarchiv Lade 117. In merito si veda </w:t>
      </w:r>
      <w:r w:rsidRPr="00796A9D">
        <w:rPr>
          <w:rFonts w:ascii="Times New Roman" w:hAnsi="Times New Roman" w:cs="Times New Roman"/>
          <w:smallCaps/>
        </w:rPr>
        <w:t>M. Pedralli</w:t>
      </w:r>
      <w:r w:rsidRPr="00796A9D">
        <w:rPr>
          <w:rFonts w:ascii="Times New Roman" w:hAnsi="Times New Roman" w:cs="Times New Roman"/>
        </w:rPr>
        <w:t xml:space="preserve">, </w:t>
      </w:r>
      <w:r w:rsidRPr="00796A9D">
        <w:rPr>
          <w:rFonts w:ascii="Times New Roman" w:hAnsi="Times New Roman" w:cs="Times New Roman"/>
          <w:i/>
        </w:rPr>
        <w:t>Novo, grande, coverto e ferrato</w:t>
      </w:r>
      <w:r w:rsidRPr="00796A9D">
        <w:rPr>
          <w:rFonts w:ascii="Times New Roman" w:hAnsi="Times New Roman" w:cs="Times New Roman"/>
        </w:rPr>
        <w:t>, cit., pp. 612-613.</w:t>
      </w:r>
    </w:p>
  </w:footnote>
  <w:footnote w:id="37">
    <w:p w14:paraId="4C97E95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ASMo, Archivio segreto estense, Camera ducale estense, Amministrazione dei principi, reg. 1. Edito in </w:t>
      </w:r>
      <w:r w:rsidRPr="00796A9D">
        <w:rPr>
          <w:rFonts w:ascii="Times New Roman" w:hAnsi="Times New Roman" w:cs="Times New Roman"/>
          <w:smallCaps/>
        </w:rPr>
        <w:t>G. Bertoni, E.P. Vicini</w:t>
      </w:r>
      <w:r w:rsidRPr="00796A9D">
        <w:rPr>
          <w:rFonts w:ascii="Times New Roman" w:hAnsi="Times New Roman" w:cs="Times New Roman"/>
        </w:rPr>
        <w:t xml:space="preserve">, </w:t>
      </w:r>
      <w:r w:rsidRPr="00796A9D">
        <w:rPr>
          <w:rFonts w:ascii="Times New Roman" w:hAnsi="Times New Roman" w:cs="Times New Roman"/>
          <w:i/>
        </w:rPr>
        <w:t>Il castello di Ferrara ai tempi di Niccolò III. Inventario della suppellettile del castello</w:t>
      </w:r>
      <w:r w:rsidRPr="00796A9D">
        <w:rPr>
          <w:rFonts w:ascii="Times New Roman" w:hAnsi="Times New Roman" w:cs="Times New Roman"/>
        </w:rPr>
        <w:t xml:space="preserve">, </w:t>
      </w:r>
      <w:r w:rsidRPr="00796A9D">
        <w:rPr>
          <w:rFonts w:ascii="Times New Roman" w:hAnsi="Times New Roman" w:cs="Times New Roman"/>
          <w:i/>
        </w:rPr>
        <w:t>1436</w:t>
      </w:r>
      <w:r w:rsidRPr="00796A9D">
        <w:rPr>
          <w:rFonts w:ascii="Times New Roman" w:hAnsi="Times New Roman" w:cs="Times New Roman"/>
        </w:rPr>
        <w:t xml:space="preserve">, Bologna, Azzoguidi, 1906. La parte più consistente dell’antico fondo della raccolta dei signori di Ferrara </w:t>
      </w:r>
      <w:r>
        <w:rPr>
          <w:rFonts w:ascii="Times New Roman" w:hAnsi="Times New Roman" w:cs="Times New Roman"/>
        </w:rPr>
        <w:t>si trova</w:t>
      </w:r>
      <w:r w:rsidRPr="00796A9D">
        <w:rPr>
          <w:rFonts w:ascii="Times New Roman" w:hAnsi="Times New Roman" w:cs="Times New Roman"/>
        </w:rPr>
        <w:t xml:space="preserve"> oggi presso la Biblioteca estense di Modena. Per ricerche intorno ai suoi esemplari è di fondamentale importanza </w:t>
      </w:r>
      <w:r w:rsidRPr="00796A9D">
        <w:rPr>
          <w:rFonts w:ascii="Times New Roman" w:hAnsi="Times New Roman" w:cs="Times New Roman"/>
          <w:smallCaps/>
        </w:rPr>
        <w:t>D. Fava, M. Salmi</w:t>
      </w:r>
      <w:r w:rsidRPr="00796A9D">
        <w:rPr>
          <w:rFonts w:ascii="Times New Roman" w:hAnsi="Times New Roman" w:cs="Times New Roman"/>
        </w:rPr>
        <w:t xml:space="preserve">, </w:t>
      </w:r>
      <w:r w:rsidRPr="00796A9D">
        <w:rPr>
          <w:rFonts w:ascii="Times New Roman" w:hAnsi="Times New Roman" w:cs="Times New Roman"/>
          <w:i/>
        </w:rPr>
        <w:t>I manoscritti miniati della Biblioteca Estense di Modena</w:t>
      </w:r>
      <w:r w:rsidRPr="00796A9D">
        <w:rPr>
          <w:rFonts w:ascii="Times New Roman" w:hAnsi="Times New Roman" w:cs="Times New Roman"/>
        </w:rPr>
        <w:t xml:space="preserve">, Firenze, Electa, 1950. </w:t>
      </w:r>
    </w:p>
  </w:footnote>
  <w:footnote w:id="38">
    <w:p w14:paraId="7ADE7A4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Quondam</w:t>
      </w:r>
      <w:r w:rsidRPr="00796A9D">
        <w:rPr>
          <w:rFonts w:ascii="Times New Roman" w:hAnsi="Times New Roman" w:cs="Times New Roman"/>
        </w:rPr>
        <w:t xml:space="preserve">, </w:t>
      </w:r>
      <w:r w:rsidRPr="00796A9D">
        <w:rPr>
          <w:rFonts w:ascii="Times New Roman" w:hAnsi="Times New Roman" w:cs="Times New Roman"/>
          <w:i/>
        </w:rPr>
        <w:t>Le biblioteche della corte estense</w:t>
      </w:r>
      <w:r w:rsidRPr="00796A9D">
        <w:rPr>
          <w:rFonts w:ascii="Times New Roman" w:hAnsi="Times New Roman" w:cs="Times New Roman"/>
        </w:rPr>
        <w:t xml:space="preserve">, in </w:t>
      </w:r>
      <w:r w:rsidRPr="00796A9D">
        <w:rPr>
          <w:rFonts w:ascii="Times New Roman" w:hAnsi="Times New Roman" w:cs="Times New Roman"/>
          <w:i/>
        </w:rPr>
        <w:t>Il libro a corte</w:t>
      </w:r>
      <w:r w:rsidRPr="00796A9D">
        <w:rPr>
          <w:rFonts w:ascii="Times New Roman" w:hAnsi="Times New Roman" w:cs="Times New Roman"/>
        </w:rPr>
        <w:t xml:space="preserve">, a cura di </w:t>
      </w:r>
      <w:r w:rsidRPr="00796A9D">
        <w:rPr>
          <w:rFonts w:ascii="Times New Roman" w:hAnsi="Times New Roman" w:cs="Times New Roman"/>
          <w:smallCaps/>
        </w:rPr>
        <w:t>Idem</w:t>
      </w:r>
      <w:r w:rsidRPr="00796A9D">
        <w:rPr>
          <w:rFonts w:ascii="Times New Roman" w:hAnsi="Times New Roman" w:cs="Times New Roman"/>
        </w:rPr>
        <w:t>, Roma, Bulzoni, 1994, pp. 7-13.</w:t>
      </w:r>
    </w:p>
  </w:footnote>
  <w:footnote w:id="39">
    <w:p w14:paraId="4404E16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libri di giurisprudenza del Giglioli, forse sistemati in un locale differente, ricompaiono nei successivi repertori di fine Quattrocento. Per le loro vicende, </w:t>
      </w:r>
      <w:r w:rsidRPr="00796A9D">
        <w:rPr>
          <w:rFonts w:ascii="Times New Roman" w:hAnsi="Times New Roman" w:cs="Times New Roman"/>
          <w:smallCaps/>
        </w:rPr>
        <w:t>C. Mezzetti</w:t>
      </w:r>
      <w:r w:rsidRPr="00796A9D">
        <w:rPr>
          <w:rFonts w:ascii="Times New Roman" w:hAnsi="Times New Roman" w:cs="Times New Roman"/>
        </w:rPr>
        <w:t xml:space="preserve">, </w:t>
      </w:r>
      <w:r w:rsidRPr="00796A9D">
        <w:rPr>
          <w:rFonts w:ascii="Times New Roman" w:hAnsi="Times New Roman" w:cs="Times New Roman"/>
          <w:i/>
        </w:rPr>
        <w:t>La biblioteca degli Estensi: inventari dei manoscritti e gestione delle raccolte</w:t>
      </w:r>
      <w:r w:rsidRPr="00796A9D">
        <w:rPr>
          <w:rFonts w:ascii="Times New Roman" w:hAnsi="Times New Roman" w:cs="Times New Roman"/>
        </w:rPr>
        <w:t xml:space="preserve">, in </w:t>
      </w:r>
      <w:r w:rsidRPr="00796A9D">
        <w:rPr>
          <w:rFonts w:ascii="Times New Roman" w:hAnsi="Times New Roman" w:cs="Times New Roman"/>
          <w:i/>
        </w:rPr>
        <w:t>Principi e Signori</w:t>
      </w:r>
      <w:r w:rsidRPr="00796A9D">
        <w:rPr>
          <w:rFonts w:ascii="Times New Roman" w:hAnsi="Times New Roman" w:cs="Times New Roman"/>
        </w:rPr>
        <w:t xml:space="preserve">, cit, pp. 94-95. </w:t>
      </w:r>
    </w:p>
  </w:footnote>
  <w:footnote w:id="40">
    <w:p w14:paraId="0A4946A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documentazione su Biagio Bosoni si legge in </w:t>
      </w:r>
      <w:r w:rsidRPr="00796A9D">
        <w:rPr>
          <w:rFonts w:ascii="Times New Roman" w:hAnsi="Times New Roman" w:cs="Times New Roman"/>
          <w:smallCaps/>
        </w:rPr>
        <w:t>A. Franceschini</w:t>
      </w:r>
      <w:r w:rsidRPr="00796A9D">
        <w:rPr>
          <w:rFonts w:ascii="Times New Roman" w:hAnsi="Times New Roman" w:cs="Times New Roman"/>
        </w:rPr>
        <w:t xml:space="preserve">, </w:t>
      </w:r>
      <w:r w:rsidRPr="00796A9D">
        <w:rPr>
          <w:rFonts w:ascii="Times New Roman" w:hAnsi="Times New Roman" w:cs="Times New Roman"/>
          <w:i/>
        </w:rPr>
        <w:t>Artisti a Ferrara in età umanistica e rinascimentale. Testimonianze archivistiche. Parte I: dal 1341 al 1471</w:t>
      </w:r>
      <w:r w:rsidRPr="00796A9D">
        <w:rPr>
          <w:rFonts w:ascii="Times New Roman" w:hAnsi="Times New Roman" w:cs="Times New Roman"/>
        </w:rPr>
        <w:t xml:space="preserve">, Ferrara, Corbo, 1993, n. 481. Un profilo biografico è offerto da </w:t>
      </w:r>
      <w:r w:rsidRPr="00796A9D">
        <w:rPr>
          <w:rFonts w:ascii="Times New Roman" w:hAnsi="Times New Roman" w:cs="Times New Roman"/>
          <w:smallCaps/>
        </w:rPr>
        <w:t>G. Bertoni</w:t>
      </w:r>
      <w:r w:rsidRPr="00796A9D">
        <w:rPr>
          <w:rFonts w:ascii="Times New Roman" w:hAnsi="Times New Roman" w:cs="Times New Roman"/>
        </w:rPr>
        <w:t xml:space="preserve">, </w:t>
      </w:r>
      <w:r w:rsidRPr="00796A9D">
        <w:rPr>
          <w:rFonts w:ascii="Times New Roman" w:hAnsi="Times New Roman" w:cs="Times New Roman"/>
          <w:i/>
        </w:rPr>
        <w:t>Un copista del Marchese Leonello d'Este: Biagio Bosoni da Cremona</w:t>
      </w:r>
      <w:r w:rsidRPr="00796A9D">
        <w:rPr>
          <w:rFonts w:ascii="Times New Roman" w:hAnsi="Times New Roman" w:cs="Times New Roman"/>
        </w:rPr>
        <w:t xml:space="preserve">, «Giornale storico della letteratura italiana», LXXII, 1918, pp. 96-106. </w:t>
      </w:r>
    </w:p>
  </w:footnote>
  <w:footnote w:id="41">
    <w:p w14:paraId="38283AA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corrispondenza epistolare tra Leonello e Guarino Veronese rinvio a </w:t>
      </w:r>
      <w:r w:rsidRPr="00796A9D">
        <w:rPr>
          <w:rFonts w:ascii="Times New Roman" w:hAnsi="Times New Roman" w:cs="Times New Roman"/>
          <w:smallCaps/>
        </w:rPr>
        <w:t>C. Corfiati</w:t>
      </w:r>
      <w:r w:rsidRPr="00796A9D">
        <w:rPr>
          <w:rFonts w:ascii="Times New Roman" w:hAnsi="Times New Roman" w:cs="Times New Roman"/>
        </w:rPr>
        <w:t xml:space="preserve">, </w:t>
      </w:r>
      <w:r w:rsidRPr="00796A9D">
        <w:rPr>
          <w:rFonts w:ascii="Times New Roman" w:hAnsi="Times New Roman" w:cs="Times New Roman"/>
          <w:i/>
        </w:rPr>
        <w:t>“Absens praesens fore videor”: Guarino Veronese a Leonello d’Este</w:t>
      </w:r>
      <w:r w:rsidRPr="00796A9D">
        <w:rPr>
          <w:rFonts w:ascii="Times New Roman" w:hAnsi="Times New Roman" w:cs="Times New Roman"/>
        </w:rPr>
        <w:t>, in</w:t>
      </w:r>
      <w:r w:rsidRPr="00796A9D">
        <w:rPr>
          <w:rFonts w:ascii="Times New Roman" w:hAnsi="Times New Roman" w:cs="Times New Roman"/>
          <w:i/>
        </w:rPr>
        <w:t xml:space="preserve"> Lettere ed Arti. Studi in onore di Raffaele Cavalluzzi</w:t>
      </w:r>
      <w:r w:rsidRPr="00796A9D">
        <w:rPr>
          <w:rFonts w:ascii="Times New Roman" w:hAnsi="Times New Roman" w:cs="Times New Roman"/>
        </w:rPr>
        <w:t xml:space="preserve">, a cura di </w:t>
      </w:r>
      <w:r w:rsidRPr="00796A9D">
        <w:rPr>
          <w:rFonts w:ascii="Times New Roman" w:hAnsi="Times New Roman" w:cs="Times New Roman"/>
          <w:smallCaps/>
        </w:rPr>
        <w:t>V. Masiello</w:t>
      </w:r>
      <w:r w:rsidRPr="00796A9D">
        <w:rPr>
          <w:rFonts w:ascii="Times New Roman" w:hAnsi="Times New Roman" w:cs="Times New Roman"/>
        </w:rPr>
        <w:t xml:space="preserve">, </w:t>
      </w:r>
      <w:r w:rsidRPr="00796A9D">
        <w:rPr>
          <w:rFonts w:ascii="Times New Roman" w:hAnsi="Times New Roman" w:cs="Times New Roman"/>
          <w:smallCaps/>
        </w:rPr>
        <w:t>G. Distaso, P. Guaragnella</w:t>
      </w:r>
      <w:r w:rsidRPr="00796A9D">
        <w:rPr>
          <w:rFonts w:ascii="Times New Roman" w:hAnsi="Times New Roman" w:cs="Times New Roman"/>
        </w:rPr>
        <w:t xml:space="preserve">, Bari, Graphis, 2009, pp. 30-47. Tra le quarantacinque lettere dei due corrispondenti l’autrice segnala l’importanza di quelle di dedica delle traduzioni guariniane di opere di Plutarco e d’Isocrate, indizio dell’interesse di Leonello per la letteratura greca. </w:t>
      </w:r>
    </w:p>
  </w:footnote>
  <w:footnote w:id="42">
    <w:p w14:paraId="7A5EE52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ASMo, Archivio segreto estense, Cancelleria ducale, Archivio ducale segreto, I. 2, ff. 1-7. Edito parzialmente in G. </w:t>
      </w:r>
      <w:r w:rsidRPr="00796A9D">
        <w:rPr>
          <w:rFonts w:ascii="Times New Roman" w:hAnsi="Times New Roman" w:cs="Times New Roman"/>
          <w:smallCaps/>
        </w:rPr>
        <w:t>Bertoni</w:t>
      </w:r>
      <w:r w:rsidRPr="00796A9D">
        <w:rPr>
          <w:rFonts w:ascii="Times New Roman" w:hAnsi="Times New Roman" w:cs="Times New Roman"/>
        </w:rPr>
        <w:t xml:space="preserve">, </w:t>
      </w:r>
      <w:r w:rsidRPr="00796A9D">
        <w:rPr>
          <w:rFonts w:ascii="Times New Roman" w:hAnsi="Times New Roman" w:cs="Times New Roman"/>
          <w:i/>
        </w:rPr>
        <w:t>La biblioteca estense e la coltura ferrarese ai tempi del duca Ercole I (1471-1505),</w:t>
      </w:r>
      <w:r w:rsidRPr="00796A9D">
        <w:rPr>
          <w:rFonts w:ascii="Times New Roman" w:hAnsi="Times New Roman" w:cs="Times New Roman"/>
        </w:rPr>
        <w:t xml:space="preserve"> Torino, Loescher, 1903, pp. 213-225.</w:t>
      </w:r>
    </w:p>
  </w:footnote>
  <w:footnote w:id="43">
    <w:p w14:paraId="258A8DE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un confronto tra questi documenti, il più recente dei quali fu stilato da Pellegrino Prisciani, umanista di rilievo nel panorama ferrarese e bibliotecario ducale, vedi </w:t>
      </w:r>
      <w:bookmarkStart w:id="31" w:name="_Hlk504743645"/>
      <w:r w:rsidRPr="00796A9D">
        <w:rPr>
          <w:rFonts w:ascii="Times New Roman" w:hAnsi="Times New Roman" w:cs="Times New Roman"/>
          <w:smallCaps/>
        </w:rPr>
        <w:t>C. Mezzetti</w:t>
      </w:r>
      <w:r w:rsidRPr="00796A9D">
        <w:rPr>
          <w:rFonts w:ascii="Times New Roman" w:hAnsi="Times New Roman" w:cs="Times New Roman"/>
        </w:rPr>
        <w:t xml:space="preserve">, </w:t>
      </w:r>
      <w:r w:rsidRPr="00796A9D">
        <w:rPr>
          <w:rFonts w:ascii="Times New Roman" w:hAnsi="Times New Roman" w:cs="Times New Roman"/>
          <w:i/>
        </w:rPr>
        <w:t>La biblioteca degli Estensi,</w:t>
      </w:r>
      <w:r w:rsidRPr="00796A9D">
        <w:rPr>
          <w:rFonts w:ascii="Times New Roman" w:hAnsi="Times New Roman" w:cs="Times New Roman"/>
        </w:rPr>
        <w:t xml:space="preserve"> cit., pp. </w:t>
      </w:r>
      <w:bookmarkEnd w:id="31"/>
      <w:r w:rsidRPr="00796A9D">
        <w:rPr>
          <w:rFonts w:ascii="Times New Roman" w:hAnsi="Times New Roman" w:cs="Times New Roman"/>
        </w:rPr>
        <w:t>86-94.</w:t>
      </w:r>
    </w:p>
  </w:footnote>
  <w:footnote w:id="44">
    <w:p w14:paraId="4F734E6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ASMo, Camera ducale, Amministrazione della casa, Biblioteca, b. 1, A. 4. Nello svolgimento della schedatura Giglioli fu aiutato dal miniatore Andrea dalle Vieze e dal cartolaio Bartolomeo Nigrisoli, il che spiega la ricchezza dei dati codicologici che la contraddistingue. Se ne veda l’edizione in G. </w:t>
      </w:r>
      <w:r w:rsidRPr="00796A9D">
        <w:rPr>
          <w:rFonts w:ascii="Times New Roman" w:hAnsi="Times New Roman" w:cs="Times New Roman"/>
          <w:smallCaps/>
        </w:rPr>
        <w:t>Bertoni</w:t>
      </w:r>
      <w:r w:rsidRPr="00796A9D">
        <w:rPr>
          <w:rFonts w:ascii="Times New Roman" w:hAnsi="Times New Roman" w:cs="Times New Roman"/>
        </w:rPr>
        <w:t xml:space="preserve">, </w:t>
      </w:r>
      <w:r w:rsidRPr="00796A9D">
        <w:rPr>
          <w:rFonts w:ascii="Times New Roman" w:hAnsi="Times New Roman" w:cs="Times New Roman"/>
          <w:i/>
        </w:rPr>
        <w:t>La biblioteca estense</w:t>
      </w:r>
      <w:r w:rsidRPr="00796A9D">
        <w:rPr>
          <w:rFonts w:ascii="Times New Roman" w:hAnsi="Times New Roman" w:cs="Times New Roman"/>
        </w:rPr>
        <w:t xml:space="preserve">, cit., pp. 235-252. </w:t>
      </w:r>
    </w:p>
  </w:footnote>
  <w:footnote w:id="45">
    <w:p w14:paraId="1593C40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ASMo, Camera Ducale, Amministrazione della casa, Guardaroba, b. 114, c. 134. Il documento fu vergato dopo la morte della principessa, nell’ottobre del 1493, e comprende principalmente libri di devozione destinati all’uso personale di Eleonora</w:t>
      </w:r>
      <w:r>
        <w:rPr>
          <w:rFonts w:ascii="Times New Roman" w:hAnsi="Times New Roman" w:cs="Times New Roman"/>
        </w:rPr>
        <w:t>.</w:t>
      </w:r>
      <w:r w:rsidRPr="00796A9D">
        <w:rPr>
          <w:rFonts w:ascii="Times New Roman" w:hAnsi="Times New Roman" w:cs="Times New Roman"/>
        </w:rPr>
        <w:t xml:space="preserve"> È edito </w:t>
      </w:r>
      <w:r w:rsidRPr="00796A9D">
        <w:rPr>
          <w:rFonts w:ascii="Times New Roman" w:hAnsi="Times New Roman" w:cs="Times New Roman"/>
          <w:i/>
          <w:smallCaps/>
        </w:rPr>
        <w:t>i</w:t>
      </w:r>
      <w:r w:rsidRPr="00796A9D">
        <w:rPr>
          <w:rFonts w:ascii="Times New Roman" w:hAnsi="Times New Roman" w:cs="Times New Roman"/>
          <w:i/>
        </w:rPr>
        <w:t>vi</w:t>
      </w:r>
      <w:r w:rsidRPr="00796A9D">
        <w:rPr>
          <w:rFonts w:ascii="Times New Roman" w:hAnsi="Times New Roman" w:cs="Times New Roman"/>
        </w:rPr>
        <w:t>, pp. 229-233.</w:t>
      </w:r>
    </w:p>
  </w:footnote>
  <w:footnote w:id="46">
    <w:p w14:paraId="60D4D92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Quondam</w:t>
      </w:r>
      <w:r w:rsidRPr="00796A9D">
        <w:rPr>
          <w:rFonts w:ascii="Times New Roman" w:hAnsi="Times New Roman" w:cs="Times New Roman"/>
          <w:i/>
        </w:rPr>
        <w:t>, La biblioteca della corte estense a Ferrara</w:t>
      </w:r>
      <w:r w:rsidRPr="00796A9D">
        <w:rPr>
          <w:rFonts w:ascii="Times New Roman" w:hAnsi="Times New Roman" w:cs="Times New Roman"/>
        </w:rPr>
        <w:t xml:space="preserve">, in </w:t>
      </w:r>
      <w:r w:rsidRPr="00796A9D">
        <w:rPr>
          <w:rFonts w:ascii="Times New Roman" w:hAnsi="Times New Roman" w:cs="Times New Roman"/>
          <w:i/>
        </w:rPr>
        <w:t>I luoghi della memoria scritta. Manoscritti, incunaboli, libri a stampa di Biblioteche Statali Italiane</w:t>
      </w:r>
      <w:r w:rsidRPr="00796A9D">
        <w:rPr>
          <w:rFonts w:ascii="Times New Roman" w:hAnsi="Times New Roman" w:cs="Times New Roman"/>
        </w:rPr>
        <w:t xml:space="preserve">, a cura di </w:t>
      </w:r>
      <w:r w:rsidRPr="00796A9D">
        <w:rPr>
          <w:rFonts w:ascii="Times New Roman" w:hAnsi="Times New Roman" w:cs="Times New Roman"/>
          <w:smallCaps/>
        </w:rPr>
        <w:t>G. Cavallo</w:t>
      </w:r>
      <w:r w:rsidRPr="00796A9D">
        <w:rPr>
          <w:rFonts w:ascii="Times New Roman" w:hAnsi="Times New Roman" w:cs="Times New Roman"/>
        </w:rPr>
        <w:t>, Roma, Istituto Poligrafico e Zecca dello Stato, 1994, p. 211.</w:t>
      </w:r>
    </w:p>
  </w:footnote>
  <w:footnote w:id="47">
    <w:p w14:paraId="609B6A0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realizzazione del sogno di una biblioteca pubblica, maturato nel solco dell’Umanesimo e anticipato dalle vicende dei lasciti librari di Petrarca e di Boccaccio, si veda </w:t>
      </w:r>
      <w:r w:rsidRPr="00796A9D">
        <w:rPr>
          <w:rFonts w:ascii="Times New Roman" w:hAnsi="Times New Roman" w:cs="Times New Roman"/>
          <w:smallCaps/>
        </w:rPr>
        <w:t>L. Gargan</w:t>
      </w:r>
      <w:r w:rsidRPr="00796A9D">
        <w:rPr>
          <w:rFonts w:ascii="Times New Roman" w:hAnsi="Times New Roman" w:cs="Times New Roman"/>
        </w:rPr>
        <w:t xml:space="preserve">, </w:t>
      </w:r>
      <w:r w:rsidRPr="00796A9D">
        <w:rPr>
          <w:rFonts w:ascii="Times New Roman" w:hAnsi="Times New Roman" w:cs="Times New Roman"/>
          <w:i/>
        </w:rPr>
        <w:t>Gli umanisti e la biblioteca pubblica</w:t>
      </w:r>
      <w:r w:rsidRPr="00796A9D">
        <w:rPr>
          <w:rFonts w:ascii="Times New Roman" w:hAnsi="Times New Roman" w:cs="Times New Roman"/>
        </w:rPr>
        <w:t xml:space="preserve">, in </w:t>
      </w:r>
      <w:r w:rsidRPr="00796A9D">
        <w:rPr>
          <w:rFonts w:ascii="Times New Roman" w:hAnsi="Times New Roman" w:cs="Times New Roman"/>
          <w:i/>
        </w:rPr>
        <w:t>Le biblioteche nel mondo antico e medievale</w:t>
      </w:r>
      <w:r w:rsidRPr="00796A9D">
        <w:rPr>
          <w:rFonts w:ascii="Times New Roman" w:hAnsi="Times New Roman" w:cs="Times New Roman"/>
        </w:rPr>
        <w:t xml:space="preserve">, a cura di </w:t>
      </w:r>
      <w:r w:rsidRPr="00796A9D">
        <w:rPr>
          <w:rFonts w:ascii="Times New Roman" w:hAnsi="Times New Roman" w:cs="Times New Roman"/>
          <w:smallCaps/>
        </w:rPr>
        <w:t>G. Cavallo</w:t>
      </w:r>
      <w:r w:rsidRPr="00796A9D">
        <w:rPr>
          <w:rFonts w:ascii="Times New Roman" w:hAnsi="Times New Roman" w:cs="Times New Roman"/>
        </w:rPr>
        <w:t xml:space="preserve">, Bari, Laterza, 1988, pp. 165-186, dove si osserva come l’iniziativa medicea ebbe un immediato successo: nel 1443 Poggio Bracciolini designò il convento di San Marco erede di parte del suo patrimonio librario, ovvero delle opere di soggetto ecclesiastico e di tutti i codici in greco. </w:t>
      </w:r>
    </w:p>
  </w:footnote>
  <w:footnote w:id="48">
    <w:p w14:paraId="453EBB7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Tra il 1441 e il 1444 Michelozzo realizzò a San Marco una sala di lettura con pianta basilicale, con spaziosi corridoi laterali per i banchi e un corridoio centrale più stretto per la circolazione dei lettori. Ampie finestre affacciate su cortili si aprivano su entrambi i lati dell'aula, coperta da una volta sostenuta da due file di undici colonne ciascuna. Per il successo di questo modello architettonico nel secondo Quattrocento e per l’importanza del patrocinio mediceo per il suo compimento rimando a </w:t>
      </w:r>
      <w:r w:rsidRPr="00796A9D">
        <w:rPr>
          <w:rFonts w:ascii="Times New Roman" w:hAnsi="Times New Roman" w:cs="Times New Roman"/>
          <w:smallCaps/>
        </w:rPr>
        <w:t>J. Connors, A. Dressen</w:t>
      </w:r>
      <w:r w:rsidRPr="00796A9D">
        <w:rPr>
          <w:rFonts w:ascii="Times New Roman" w:hAnsi="Times New Roman" w:cs="Times New Roman"/>
        </w:rPr>
        <w:t xml:space="preserve">, </w:t>
      </w:r>
      <w:r w:rsidRPr="00796A9D">
        <w:rPr>
          <w:rFonts w:ascii="Times New Roman" w:hAnsi="Times New Roman" w:cs="Times New Roman"/>
          <w:i/>
        </w:rPr>
        <w:t>Biblioteche: l’architettura e l’ordinamento del sapere</w:t>
      </w:r>
      <w:r w:rsidRPr="00796A9D">
        <w:rPr>
          <w:rFonts w:ascii="Times New Roman" w:hAnsi="Times New Roman" w:cs="Times New Roman"/>
        </w:rPr>
        <w:t xml:space="preserve">, in </w:t>
      </w:r>
      <w:r w:rsidRPr="00796A9D">
        <w:rPr>
          <w:rFonts w:ascii="Times New Roman" w:hAnsi="Times New Roman" w:cs="Times New Roman"/>
          <w:i/>
        </w:rPr>
        <w:t>Il Rinascimento italiano e l’Europa</w:t>
      </w:r>
      <w:r w:rsidRPr="00796A9D">
        <w:rPr>
          <w:rFonts w:ascii="Times New Roman" w:hAnsi="Times New Roman" w:cs="Times New Roman"/>
        </w:rPr>
        <w:t xml:space="preserve">, vol. VI, </w:t>
      </w:r>
      <w:r w:rsidRPr="00796A9D">
        <w:rPr>
          <w:rFonts w:ascii="Times New Roman" w:hAnsi="Times New Roman" w:cs="Times New Roman"/>
          <w:i/>
        </w:rPr>
        <w:t>Luoghi, spazi, architetture</w:t>
      </w:r>
      <w:r w:rsidRPr="00796A9D">
        <w:rPr>
          <w:rFonts w:ascii="Times New Roman" w:hAnsi="Times New Roman" w:cs="Times New Roman"/>
        </w:rPr>
        <w:t xml:space="preserve">, a cura di </w:t>
      </w:r>
      <w:r w:rsidRPr="00796A9D">
        <w:rPr>
          <w:rFonts w:ascii="Times New Roman" w:hAnsi="Times New Roman" w:cs="Times New Roman"/>
          <w:smallCaps/>
        </w:rPr>
        <w:t>D. Calabi, E. Svalduz</w:t>
      </w:r>
      <w:r w:rsidRPr="00796A9D">
        <w:rPr>
          <w:rFonts w:ascii="Times New Roman" w:hAnsi="Times New Roman" w:cs="Times New Roman"/>
        </w:rPr>
        <w:t xml:space="preserve">, Treviso, Fondazione Costabissara, 2010, pp. 199-228. </w:t>
      </w:r>
    </w:p>
  </w:footnote>
  <w:footnote w:id="49">
    <w:p w14:paraId="12A9F3C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L’11 giugno 1430 Niccolò Niccoli aveva fatto stilare un primo testamento in cui invitava gli esecutori ad assegnare i suoi libri al convento di Santa Maria degli Angeli, del quale era allora priore l’amico Ambrogio Traversari. Due settimane prima di morire però l’umanista richiese la stesura di un secondo atto, in cui la scelta dell’istituzione beneficiaria del lascito era demandata al gruppo degli esecutori. A </w:t>
      </w:r>
      <w:r>
        <w:rPr>
          <w:rFonts w:ascii="Times New Roman" w:hAnsi="Times New Roman" w:cs="Times New Roman"/>
        </w:rPr>
        <w:t xml:space="preserve">influenzare </w:t>
      </w:r>
      <w:r w:rsidRPr="00796A9D">
        <w:rPr>
          <w:rFonts w:ascii="Times New Roman" w:hAnsi="Times New Roman" w:cs="Times New Roman"/>
        </w:rPr>
        <w:t xml:space="preserve">questa decisione furono probabilmente l’elezione del Traversari a Generale dell’ordine dei Camaldolesi e il personale impegno di Cosimo e Lorenzo de’ Medici nella riedificazione di San Marco. Entrambe le versioni del testamento di Niccoli annoverano i fratelli Medici tra gli attuatori delle volontà dell’estinto. Sono edite in </w:t>
      </w:r>
      <w:r w:rsidRPr="00796A9D">
        <w:rPr>
          <w:rFonts w:ascii="Times New Roman" w:hAnsi="Times New Roman" w:cs="Times New Roman"/>
          <w:smallCaps/>
        </w:rPr>
        <w:t>B.L. Ullman, P. Stadter</w:t>
      </w:r>
      <w:r w:rsidRPr="00796A9D">
        <w:rPr>
          <w:rFonts w:ascii="Times New Roman" w:hAnsi="Times New Roman" w:cs="Times New Roman"/>
        </w:rPr>
        <w:t xml:space="preserve">, </w:t>
      </w:r>
      <w:r w:rsidRPr="00796A9D">
        <w:rPr>
          <w:rFonts w:ascii="Times New Roman" w:hAnsi="Times New Roman" w:cs="Times New Roman"/>
          <w:i/>
        </w:rPr>
        <w:t>The Public Library of Renaissance Florence: Niccolò Niccoli, Cosimo de’ Medici and the Library of San Marco</w:t>
      </w:r>
      <w:r w:rsidRPr="00796A9D">
        <w:rPr>
          <w:rFonts w:ascii="Times New Roman" w:hAnsi="Times New Roman" w:cs="Times New Roman"/>
        </w:rPr>
        <w:t>, Padova, Antenore, 1972, pp. 292-309.</w:t>
      </w:r>
    </w:p>
  </w:footnote>
  <w:footnote w:id="50">
    <w:p w14:paraId="1CF9302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È stata avanzata anche l’ipotesi di una collocazione provvisoria dei manoscritti di Niccoli negli anni 1441-1444 presso un’importante chiesa cittadina, quale Santa Maria del Fiore o Santa Croce. La questione è dibattuta in </w:t>
      </w:r>
      <w:r w:rsidRPr="00796A9D">
        <w:rPr>
          <w:rFonts w:ascii="Times New Roman" w:hAnsi="Times New Roman" w:cs="Times New Roman"/>
          <w:smallCaps/>
        </w:rPr>
        <w:t>C. Mazzi</w:t>
      </w:r>
      <w:r w:rsidRPr="00796A9D">
        <w:rPr>
          <w:rFonts w:ascii="Times New Roman" w:hAnsi="Times New Roman" w:cs="Times New Roman"/>
        </w:rPr>
        <w:t xml:space="preserve">, </w:t>
      </w:r>
      <w:r w:rsidRPr="00796A9D">
        <w:rPr>
          <w:rFonts w:ascii="Times New Roman" w:hAnsi="Times New Roman" w:cs="Times New Roman"/>
          <w:i/>
        </w:rPr>
        <w:t>L’inventario quattrocentistico della biblioteca di S. Croce in Firenze,</w:t>
      </w:r>
      <w:r w:rsidRPr="00796A9D">
        <w:rPr>
          <w:rFonts w:ascii="Times New Roman" w:hAnsi="Times New Roman" w:cs="Times New Roman"/>
        </w:rPr>
        <w:t xml:space="preserve"> «Rivista delle biblioteche e degli archivi», VIII, 1897-1898, pp. 16-31; 99-113; 129-147.</w:t>
      </w:r>
    </w:p>
  </w:footnote>
  <w:footnote w:id="51">
    <w:p w14:paraId="1EB9C18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L’elenco dei 39 codici di Coluccio Salutati confluiti a San Marco, ripartito in base al donatore che li offrì al convento, è offerto in </w:t>
      </w:r>
      <w:r w:rsidRPr="00796A9D">
        <w:rPr>
          <w:rFonts w:ascii="Times New Roman" w:hAnsi="Times New Roman" w:cs="Times New Roman"/>
          <w:smallCaps/>
        </w:rPr>
        <w:t>B.L. Ullman, P. Stadter</w:t>
      </w:r>
      <w:r w:rsidRPr="00796A9D">
        <w:rPr>
          <w:rFonts w:ascii="Times New Roman" w:hAnsi="Times New Roman" w:cs="Times New Roman"/>
        </w:rPr>
        <w:t xml:space="preserve">, </w:t>
      </w:r>
      <w:r w:rsidRPr="00796A9D">
        <w:rPr>
          <w:rFonts w:ascii="Times New Roman" w:hAnsi="Times New Roman" w:cs="Times New Roman"/>
          <w:i/>
        </w:rPr>
        <w:t xml:space="preserve">The Public Library of Renaissance Florence, </w:t>
      </w:r>
      <w:r w:rsidRPr="00796A9D">
        <w:rPr>
          <w:rFonts w:ascii="Times New Roman" w:hAnsi="Times New Roman" w:cs="Times New Roman"/>
        </w:rPr>
        <w:t xml:space="preserve">cit., pp. 314-315. </w:t>
      </w:r>
    </w:p>
  </w:footnote>
  <w:footnote w:id="52">
    <w:p w14:paraId="5742451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V. da Bisticci</w:t>
      </w:r>
      <w:r w:rsidRPr="00796A9D">
        <w:rPr>
          <w:rFonts w:ascii="Times New Roman" w:hAnsi="Times New Roman" w:cs="Times New Roman"/>
        </w:rPr>
        <w:t xml:space="preserve">, </w:t>
      </w:r>
      <w:r w:rsidRPr="00796A9D">
        <w:rPr>
          <w:rFonts w:ascii="Times New Roman" w:hAnsi="Times New Roman" w:cs="Times New Roman"/>
          <w:i/>
        </w:rPr>
        <w:t>Le vite</w:t>
      </w:r>
      <w:r w:rsidRPr="00796A9D">
        <w:rPr>
          <w:rFonts w:ascii="Times New Roman" w:hAnsi="Times New Roman" w:cs="Times New Roman"/>
        </w:rPr>
        <w:t xml:space="preserve">, a cura di </w:t>
      </w:r>
      <w:r w:rsidRPr="00796A9D">
        <w:rPr>
          <w:rFonts w:ascii="Times New Roman" w:hAnsi="Times New Roman" w:cs="Times New Roman"/>
          <w:smallCaps/>
        </w:rPr>
        <w:t>A. Greco</w:t>
      </w:r>
      <w:r w:rsidRPr="00796A9D">
        <w:rPr>
          <w:rFonts w:ascii="Times New Roman" w:hAnsi="Times New Roman" w:cs="Times New Roman"/>
        </w:rPr>
        <w:t>, Firenze, Istituto Nazionale di Studi sul Rinascimento, 1976, vol. II, p. 179.</w:t>
      </w:r>
    </w:p>
  </w:footnote>
  <w:footnote w:id="53">
    <w:p w14:paraId="24605BA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questa fase di crescita della libreria cfr. </w:t>
      </w:r>
      <w:r w:rsidRPr="00796A9D">
        <w:rPr>
          <w:rFonts w:ascii="Times New Roman" w:hAnsi="Times New Roman" w:cs="Times New Roman"/>
          <w:smallCaps/>
        </w:rPr>
        <w:t>E. Garin</w:t>
      </w:r>
      <w:r w:rsidRPr="00796A9D">
        <w:rPr>
          <w:rFonts w:ascii="Times New Roman" w:hAnsi="Times New Roman" w:cs="Times New Roman"/>
        </w:rPr>
        <w:t xml:space="preserve">, </w:t>
      </w:r>
      <w:r w:rsidRPr="00796A9D">
        <w:rPr>
          <w:rFonts w:ascii="Times New Roman" w:hAnsi="Times New Roman" w:cs="Times New Roman"/>
          <w:i/>
        </w:rPr>
        <w:t>La Biblioteca di San Marco</w:t>
      </w:r>
      <w:r w:rsidRPr="00796A9D">
        <w:rPr>
          <w:rFonts w:ascii="Times New Roman" w:hAnsi="Times New Roman" w:cs="Times New Roman"/>
        </w:rPr>
        <w:t>, Firenze, Le Lettere, 2000, pp. 33-38.</w:t>
      </w:r>
    </w:p>
  </w:footnote>
  <w:footnote w:id="54">
    <w:p w14:paraId="1FA9755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catalogo dei libri donati da Cosimo il Vecchio, cfr. </w:t>
      </w:r>
      <w:r w:rsidRPr="00796A9D">
        <w:rPr>
          <w:rFonts w:ascii="Times New Roman" w:hAnsi="Times New Roman" w:cs="Times New Roman"/>
          <w:smallCaps/>
        </w:rPr>
        <w:t>B.L. Ullman, P. Stadter</w:t>
      </w:r>
      <w:r w:rsidRPr="00796A9D">
        <w:rPr>
          <w:rFonts w:ascii="Times New Roman" w:hAnsi="Times New Roman" w:cs="Times New Roman"/>
        </w:rPr>
        <w:t xml:space="preserve">, </w:t>
      </w:r>
      <w:r w:rsidRPr="00796A9D">
        <w:rPr>
          <w:rFonts w:ascii="Times New Roman" w:hAnsi="Times New Roman" w:cs="Times New Roman"/>
          <w:i/>
        </w:rPr>
        <w:t>The Public Library of Renaissance Florence</w:t>
      </w:r>
      <w:r w:rsidRPr="00796A9D">
        <w:rPr>
          <w:rFonts w:ascii="Times New Roman" w:hAnsi="Times New Roman" w:cs="Times New Roman"/>
        </w:rPr>
        <w:t xml:space="preserve">, cit., pp. 310-314. I volumi sono identificati sulla base del </w:t>
      </w:r>
      <w:r w:rsidRPr="00796A9D">
        <w:rPr>
          <w:rFonts w:ascii="Times New Roman" w:hAnsi="Times New Roman" w:cs="Times New Roman"/>
          <w:i/>
        </w:rPr>
        <w:t>Repertorium sive index librorum Latine et Grecae bibliothecae conventus sancti Marci de Florentia ordinis predicatorum</w:t>
      </w:r>
      <w:r w:rsidRPr="00796A9D">
        <w:rPr>
          <w:rFonts w:ascii="Times New Roman" w:hAnsi="Times New Roman" w:cs="Times New Roman"/>
        </w:rPr>
        <w:t xml:space="preserve"> che si conserva in ASMo, Cancelleria ducale Estense, Documenti e carteggi di Stati Estensi: Firenze, b. 17. Il documento fu probabilmente redatto da un agente degli Este di stanza a Firenze ed è databile agli anni 1497-1500. È rilegato insieme ad altri due manoscritti contenti altri due cataloghi bibliotecari: quello della raccolta di Guidubaldo da Montefeltro e quello della Biblioteca pontificia di Sisto IV. Indizio del desiderio di aggiornamento della corte di Ercole d’Este riguardo alla formazione delle librerie coeve, dove eventualmente reperire testi mancanti a Ferrara. </w:t>
      </w:r>
    </w:p>
  </w:footnote>
  <w:footnote w:id="55">
    <w:p w14:paraId="4306F8E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E. Garin</w:t>
      </w:r>
      <w:r w:rsidRPr="00796A9D">
        <w:rPr>
          <w:rFonts w:ascii="Times New Roman" w:hAnsi="Times New Roman" w:cs="Times New Roman"/>
        </w:rPr>
        <w:t xml:space="preserve">, </w:t>
      </w:r>
      <w:r w:rsidRPr="00796A9D">
        <w:rPr>
          <w:rFonts w:ascii="Times New Roman" w:hAnsi="Times New Roman" w:cs="Times New Roman"/>
          <w:i/>
        </w:rPr>
        <w:t>La Biblioteca di San Marco</w:t>
      </w:r>
      <w:r w:rsidRPr="00796A9D">
        <w:rPr>
          <w:rFonts w:ascii="Times New Roman" w:hAnsi="Times New Roman" w:cs="Times New Roman"/>
        </w:rPr>
        <w:t xml:space="preserve">, p. 36. </w:t>
      </w:r>
    </w:p>
  </w:footnote>
  <w:footnote w:id="56">
    <w:p w14:paraId="7D8854A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 patronato </w:t>
      </w:r>
      <w:r>
        <w:rPr>
          <w:rFonts w:ascii="Times New Roman" w:hAnsi="Times New Roman" w:cs="Times New Roman"/>
        </w:rPr>
        <w:t>mediceo esercitato</w:t>
      </w:r>
      <w:r w:rsidRPr="00796A9D">
        <w:rPr>
          <w:rFonts w:ascii="Times New Roman" w:hAnsi="Times New Roman" w:cs="Times New Roman"/>
        </w:rPr>
        <w:t xml:space="preserve"> sulla Badia di Fiesole si veda </w:t>
      </w:r>
      <w:r w:rsidRPr="00796A9D">
        <w:rPr>
          <w:rFonts w:ascii="Times New Roman" w:hAnsi="Times New Roman" w:cs="Times New Roman"/>
          <w:smallCaps/>
        </w:rPr>
        <w:t>U. Procacci</w:t>
      </w:r>
      <w:r w:rsidRPr="00796A9D">
        <w:rPr>
          <w:rFonts w:ascii="Times New Roman" w:hAnsi="Times New Roman" w:cs="Times New Roman"/>
        </w:rPr>
        <w:t xml:space="preserve">, </w:t>
      </w:r>
      <w:r w:rsidRPr="00796A9D">
        <w:rPr>
          <w:rFonts w:ascii="Times New Roman" w:hAnsi="Times New Roman" w:cs="Times New Roman"/>
          <w:i/>
        </w:rPr>
        <w:t>Cosimo de’Medici e la costruzione della Badia fiesolana</w:t>
      </w:r>
      <w:r w:rsidRPr="00796A9D">
        <w:rPr>
          <w:rFonts w:ascii="Times New Roman" w:hAnsi="Times New Roman" w:cs="Times New Roman"/>
        </w:rPr>
        <w:t xml:space="preserve">, «Commentari», XIX, 1968, pp. 80-97. </w:t>
      </w:r>
    </w:p>
  </w:footnote>
  <w:footnote w:id="57">
    <w:p w14:paraId="7225034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MS Fiesole 227 della Biblioteca Medicea Laurenziana di Firenze trasmette il </w:t>
      </w:r>
      <w:r w:rsidRPr="00796A9D">
        <w:rPr>
          <w:rFonts w:ascii="Times New Roman" w:hAnsi="Times New Roman" w:cs="Times New Roman"/>
          <w:i/>
        </w:rPr>
        <w:t>Volumen in quo series Bybliothece digesta continetur, quam Magnifici Cosme liberalitas atque religio ad excitandos ad virtutem animos atque ad ingenia litteris illustranda canonicis regularibus Abatia Fesulana singulari munere donavit</w:t>
      </w:r>
      <w:r w:rsidRPr="00796A9D">
        <w:rPr>
          <w:rFonts w:ascii="Times New Roman" w:hAnsi="Times New Roman" w:cs="Times New Roman"/>
        </w:rPr>
        <w:t xml:space="preserve">. Si tratta di un inventario databile all’anno 1464, recentemente pubblicato in </w:t>
      </w:r>
      <w:r w:rsidRPr="00796A9D">
        <w:rPr>
          <w:rFonts w:ascii="Times New Roman" w:hAnsi="Times New Roman" w:cs="Times New Roman"/>
          <w:smallCaps/>
        </w:rPr>
        <w:t>A. Dressen</w:t>
      </w:r>
      <w:r w:rsidRPr="00796A9D">
        <w:rPr>
          <w:rFonts w:ascii="Times New Roman" w:hAnsi="Times New Roman" w:cs="Times New Roman"/>
        </w:rPr>
        <w:t xml:space="preserve">, </w:t>
      </w:r>
      <w:r w:rsidRPr="00796A9D">
        <w:rPr>
          <w:rFonts w:ascii="Times New Roman" w:hAnsi="Times New Roman" w:cs="Times New Roman"/>
          <w:i/>
        </w:rPr>
        <w:t xml:space="preserve">The Library of the Badia Fiesolana. </w:t>
      </w:r>
      <w:r w:rsidRPr="00796A9D">
        <w:rPr>
          <w:rFonts w:ascii="Times New Roman" w:hAnsi="Times New Roman" w:cs="Times New Roman"/>
          <w:i/>
          <w:lang w:val="en-US"/>
        </w:rPr>
        <w:t>Intellectual History and Education under the Medici (1462-1494),</w:t>
      </w:r>
      <w:r w:rsidRPr="00796A9D">
        <w:rPr>
          <w:rFonts w:ascii="Times New Roman" w:hAnsi="Times New Roman" w:cs="Times New Roman"/>
          <w:lang w:val="en-US"/>
        </w:rPr>
        <w:t xml:space="preserve"> Firenze, Galluzzo, 2013, pp. 113-149. </w:t>
      </w:r>
      <w:r w:rsidRPr="00796A9D">
        <w:rPr>
          <w:rFonts w:ascii="Times New Roman" w:hAnsi="Times New Roman" w:cs="Times New Roman"/>
        </w:rPr>
        <w:t xml:space="preserve">Al quale si rinvia anche per la ricostruzione delle vicende relative alla Biblioteca fiesolana durante l’età medicea. </w:t>
      </w:r>
    </w:p>
  </w:footnote>
  <w:footnote w:id="58">
    <w:p w14:paraId="10FBAF03"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V. da Bisticci</w:t>
      </w:r>
      <w:r w:rsidRPr="00796A9D">
        <w:rPr>
          <w:rFonts w:ascii="Times New Roman" w:hAnsi="Times New Roman" w:cs="Times New Roman"/>
        </w:rPr>
        <w:t xml:space="preserve">, </w:t>
      </w:r>
      <w:r w:rsidRPr="00796A9D">
        <w:rPr>
          <w:rFonts w:ascii="Times New Roman" w:hAnsi="Times New Roman" w:cs="Times New Roman"/>
          <w:i/>
        </w:rPr>
        <w:t>Le vite</w:t>
      </w:r>
      <w:r w:rsidRPr="00796A9D">
        <w:rPr>
          <w:rFonts w:ascii="Times New Roman" w:hAnsi="Times New Roman" w:cs="Times New Roman"/>
        </w:rPr>
        <w:t xml:space="preserve">, cit., vol. </w:t>
      </w:r>
      <w:r w:rsidRPr="00796A9D">
        <w:rPr>
          <w:rFonts w:ascii="Times New Roman" w:hAnsi="Times New Roman" w:cs="Times New Roman"/>
          <w:lang w:val="en-US"/>
        </w:rPr>
        <w:t>II, p. 183.</w:t>
      </w:r>
    </w:p>
  </w:footnote>
  <w:footnote w:id="59">
    <w:p w14:paraId="2275AF1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Cfr. </w:t>
      </w:r>
      <w:r w:rsidRPr="00796A9D">
        <w:rPr>
          <w:rFonts w:ascii="Times New Roman" w:hAnsi="Times New Roman" w:cs="Times New Roman"/>
          <w:smallCaps/>
          <w:lang w:val="en-US"/>
        </w:rPr>
        <w:t>A. de la Mare</w:t>
      </w:r>
      <w:r w:rsidRPr="00796A9D">
        <w:rPr>
          <w:rFonts w:ascii="Times New Roman" w:hAnsi="Times New Roman" w:cs="Times New Roman"/>
          <w:lang w:val="en-US"/>
        </w:rPr>
        <w:t xml:space="preserve">, </w:t>
      </w:r>
      <w:r w:rsidRPr="00796A9D">
        <w:rPr>
          <w:rFonts w:ascii="Times New Roman" w:hAnsi="Times New Roman" w:cs="Times New Roman"/>
          <w:i/>
          <w:lang w:val="en-US"/>
        </w:rPr>
        <w:t>Vespasiano da Bisticci as Productor of Classical Manuscripts in Fiftheenth-Century Florence</w:t>
      </w:r>
      <w:r w:rsidRPr="00796A9D">
        <w:rPr>
          <w:rFonts w:ascii="Times New Roman" w:hAnsi="Times New Roman" w:cs="Times New Roman"/>
          <w:lang w:val="en-US"/>
        </w:rPr>
        <w:t xml:space="preserve">, in </w:t>
      </w:r>
      <w:r w:rsidRPr="00796A9D">
        <w:rPr>
          <w:rFonts w:ascii="Times New Roman" w:hAnsi="Times New Roman" w:cs="Times New Roman"/>
          <w:i/>
          <w:lang w:val="en-US"/>
        </w:rPr>
        <w:t>Medieval Manuscripts of Latin Classics: Production and Use</w:t>
      </w:r>
      <w:r w:rsidRPr="00796A9D">
        <w:rPr>
          <w:rFonts w:ascii="Times New Roman" w:hAnsi="Times New Roman" w:cs="Times New Roman"/>
          <w:lang w:val="en-US"/>
        </w:rPr>
        <w:t xml:space="preserve">, edited by </w:t>
      </w:r>
      <w:r w:rsidRPr="00796A9D">
        <w:rPr>
          <w:rFonts w:ascii="Times New Roman" w:hAnsi="Times New Roman" w:cs="Times New Roman"/>
          <w:smallCaps/>
          <w:lang w:val="en-US"/>
        </w:rPr>
        <w:t>C. A. Chavannes-Mezel, M. M. Smith</w:t>
      </w:r>
      <w:r w:rsidRPr="00796A9D">
        <w:rPr>
          <w:rFonts w:ascii="Times New Roman" w:hAnsi="Times New Roman" w:cs="Times New Roman"/>
          <w:lang w:val="en-US"/>
        </w:rPr>
        <w:t xml:space="preserve">, London, The Red Gull Press, 1996, pp. 167-208: </w:t>
      </w:r>
      <w:r w:rsidRPr="00796A9D">
        <w:rPr>
          <w:rFonts w:ascii="Times New Roman" w:hAnsi="Times New Roman" w:cs="Times New Roman"/>
        </w:rPr>
        <w:t xml:space="preserve">l’autrice identifica 88 dei 111 manoscritti procurati dal Bisticci per la Badia. </w:t>
      </w:r>
    </w:p>
  </w:footnote>
  <w:footnote w:id="60">
    <w:p w14:paraId="17CA537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è pubblicata in </w:t>
      </w:r>
      <w:r w:rsidRPr="00796A9D">
        <w:rPr>
          <w:rFonts w:ascii="Times New Roman" w:hAnsi="Times New Roman" w:cs="Times New Roman"/>
          <w:smallCaps/>
        </w:rPr>
        <w:t>G. M. Cagni</w:t>
      </w:r>
      <w:r w:rsidRPr="00796A9D">
        <w:rPr>
          <w:rFonts w:ascii="Times New Roman" w:hAnsi="Times New Roman" w:cs="Times New Roman"/>
        </w:rPr>
        <w:t xml:space="preserve">, </w:t>
      </w:r>
      <w:r w:rsidRPr="00796A9D">
        <w:rPr>
          <w:rFonts w:ascii="Times New Roman" w:hAnsi="Times New Roman" w:cs="Times New Roman"/>
          <w:i/>
        </w:rPr>
        <w:t>Vespasiano da Bisticci e il suo epistolario</w:t>
      </w:r>
      <w:r w:rsidRPr="00796A9D">
        <w:rPr>
          <w:rFonts w:ascii="Times New Roman" w:hAnsi="Times New Roman" w:cs="Times New Roman"/>
        </w:rPr>
        <w:t>, Roma, Edizioni di Storia e Letteratura, 1969, pp. 153-154.</w:t>
      </w:r>
    </w:p>
  </w:footnote>
  <w:footnote w:id="61">
    <w:p w14:paraId="47F0640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de la Mare</w:t>
      </w:r>
      <w:r w:rsidRPr="00796A9D">
        <w:rPr>
          <w:rFonts w:ascii="Times New Roman" w:hAnsi="Times New Roman" w:cs="Times New Roman"/>
        </w:rPr>
        <w:t xml:space="preserve">, </w:t>
      </w:r>
      <w:r w:rsidRPr="00796A9D">
        <w:rPr>
          <w:rFonts w:ascii="Times New Roman" w:hAnsi="Times New Roman" w:cs="Times New Roman"/>
          <w:i/>
        </w:rPr>
        <w:t>Cosimo and his Books</w:t>
      </w:r>
      <w:r w:rsidRPr="00796A9D">
        <w:rPr>
          <w:rFonts w:ascii="Times New Roman" w:hAnsi="Times New Roman" w:cs="Times New Roman"/>
        </w:rPr>
        <w:t xml:space="preserve">, in </w:t>
      </w:r>
      <w:r w:rsidRPr="00796A9D">
        <w:rPr>
          <w:rFonts w:ascii="Times New Roman" w:hAnsi="Times New Roman" w:cs="Times New Roman"/>
          <w:i/>
        </w:rPr>
        <w:t>Cosimo il Vecchio de’ Medici, 1389-1464</w:t>
      </w:r>
      <w:r w:rsidRPr="00796A9D">
        <w:rPr>
          <w:rFonts w:ascii="Times New Roman" w:hAnsi="Times New Roman" w:cs="Times New Roman"/>
        </w:rPr>
        <w:t xml:space="preserve">, edited by </w:t>
      </w:r>
      <w:r w:rsidRPr="00796A9D">
        <w:rPr>
          <w:rFonts w:ascii="Times New Roman" w:hAnsi="Times New Roman" w:cs="Times New Roman"/>
          <w:smallCaps/>
        </w:rPr>
        <w:t>F. Ames-Lewis</w:t>
      </w:r>
      <w:r w:rsidRPr="00796A9D">
        <w:rPr>
          <w:rFonts w:ascii="Times New Roman" w:hAnsi="Times New Roman" w:cs="Times New Roman"/>
        </w:rPr>
        <w:t xml:space="preserve">, Oxford, Clarendon Press, 1992, p. 116. La studiosa osserva inoltre come tra i volumi identificati come facenti parte delle proprietà di Piero de’ Medici almeno dieci, in realtà, sarebbero stati copiati su istanza di Cosimo, come il Laur. Plut. 35, 27, un Lucrezio databile al 1430 circa, esemplato sul codice di Niccolò Niccoli che fu uno dei primi a trasmettere il </w:t>
      </w:r>
      <w:r w:rsidRPr="00796A9D">
        <w:rPr>
          <w:rFonts w:ascii="Times New Roman" w:hAnsi="Times New Roman" w:cs="Times New Roman"/>
          <w:i/>
        </w:rPr>
        <w:t>De rerum natura</w:t>
      </w:r>
      <w:r w:rsidRPr="00796A9D">
        <w:rPr>
          <w:rFonts w:ascii="Times New Roman" w:hAnsi="Times New Roman" w:cs="Times New Roman"/>
        </w:rPr>
        <w:t xml:space="preserve"> dopo il suo ritrovamento ad opera di Bracciolini nel 1417. </w:t>
      </w:r>
    </w:p>
  </w:footnote>
  <w:footnote w:id="62">
    <w:p w14:paraId="6C3A470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testo dei due inventari e per più puntuali analisi sull’organizzazione della raccolta di Piero si veda </w:t>
      </w:r>
      <w:r w:rsidRPr="00796A9D">
        <w:rPr>
          <w:rFonts w:ascii="Times New Roman" w:hAnsi="Times New Roman" w:cs="Times New Roman"/>
          <w:smallCaps/>
        </w:rPr>
        <w:t>F. Ames-Lewis</w:t>
      </w:r>
      <w:r w:rsidRPr="00796A9D">
        <w:rPr>
          <w:rFonts w:ascii="Times New Roman" w:hAnsi="Times New Roman" w:cs="Times New Roman"/>
        </w:rPr>
        <w:t xml:space="preserve">, </w:t>
      </w:r>
      <w:r w:rsidRPr="00796A9D">
        <w:rPr>
          <w:rFonts w:ascii="Times New Roman" w:hAnsi="Times New Roman" w:cs="Times New Roman"/>
          <w:i/>
        </w:rPr>
        <w:t>The Inventories of Piero di Cosimo de’ Medici’s Library</w:t>
      </w:r>
      <w:r w:rsidRPr="00796A9D">
        <w:rPr>
          <w:rFonts w:ascii="Times New Roman" w:hAnsi="Times New Roman" w:cs="Times New Roman"/>
        </w:rPr>
        <w:t>, «La Bibliofilia», LXXXIV, 1982, pp. 103-142.</w:t>
      </w:r>
    </w:p>
  </w:footnote>
  <w:footnote w:id="63">
    <w:p w14:paraId="12C45D6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F. Arduini</w:t>
      </w:r>
      <w:r w:rsidRPr="00796A9D">
        <w:rPr>
          <w:rFonts w:ascii="Times New Roman" w:hAnsi="Times New Roman" w:cs="Times New Roman"/>
        </w:rPr>
        <w:t xml:space="preserve">, </w:t>
      </w:r>
      <w:r w:rsidRPr="00796A9D">
        <w:rPr>
          <w:rFonts w:ascii="Times New Roman" w:hAnsi="Times New Roman" w:cs="Times New Roman"/>
          <w:i/>
        </w:rPr>
        <w:t>I libri dei Medici nella Biblioteca Medicea Laurenziana</w:t>
      </w:r>
      <w:r w:rsidRPr="00796A9D">
        <w:rPr>
          <w:rFonts w:ascii="Times New Roman" w:hAnsi="Times New Roman" w:cs="Times New Roman"/>
        </w:rPr>
        <w:t xml:space="preserve">, in </w:t>
      </w:r>
      <w:r w:rsidRPr="00796A9D">
        <w:rPr>
          <w:rFonts w:ascii="Times New Roman" w:hAnsi="Times New Roman" w:cs="Times New Roman"/>
          <w:i/>
        </w:rPr>
        <w:t>Il libro d’Ore di Lorenzo de’ Medici</w:t>
      </w:r>
      <w:r w:rsidRPr="00796A9D">
        <w:rPr>
          <w:rFonts w:ascii="Times New Roman" w:hAnsi="Times New Roman" w:cs="Times New Roman"/>
        </w:rPr>
        <w:t xml:space="preserve">, Volume di commento, a cura di </w:t>
      </w:r>
      <w:r w:rsidRPr="00796A9D">
        <w:rPr>
          <w:rFonts w:ascii="Times New Roman" w:hAnsi="Times New Roman" w:cs="Times New Roman"/>
          <w:smallCaps/>
        </w:rPr>
        <w:t>Idem</w:t>
      </w:r>
      <w:r w:rsidRPr="00796A9D">
        <w:rPr>
          <w:rFonts w:ascii="Times New Roman" w:hAnsi="Times New Roman" w:cs="Times New Roman"/>
        </w:rPr>
        <w:t xml:space="preserve">, Parma, Franco Cosimo Panini, 2005, pp. 68-69. </w:t>
      </w:r>
    </w:p>
  </w:footnote>
  <w:footnote w:id="64">
    <w:p w14:paraId="1240A56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L’osservazione si deve a </w:t>
      </w:r>
      <w:r w:rsidRPr="00796A9D">
        <w:rPr>
          <w:rFonts w:ascii="Times New Roman" w:hAnsi="Times New Roman" w:cs="Times New Roman"/>
          <w:smallCaps/>
        </w:rPr>
        <w:t>M. Martelli</w:t>
      </w:r>
      <w:r w:rsidRPr="00796A9D">
        <w:rPr>
          <w:rFonts w:ascii="Times New Roman" w:hAnsi="Times New Roman" w:cs="Times New Roman"/>
        </w:rPr>
        <w:t xml:space="preserve">, </w:t>
      </w:r>
      <w:r w:rsidRPr="00796A9D">
        <w:rPr>
          <w:rFonts w:ascii="Times New Roman" w:hAnsi="Times New Roman" w:cs="Times New Roman"/>
          <w:i/>
        </w:rPr>
        <w:t>Formazione e significato della Biblioteca Medicea</w:t>
      </w:r>
      <w:r w:rsidRPr="00796A9D">
        <w:rPr>
          <w:rFonts w:ascii="Times New Roman" w:hAnsi="Times New Roman" w:cs="Times New Roman"/>
        </w:rPr>
        <w:t xml:space="preserve">, in </w:t>
      </w:r>
      <w:r w:rsidRPr="00796A9D">
        <w:rPr>
          <w:rFonts w:ascii="Times New Roman" w:hAnsi="Times New Roman" w:cs="Times New Roman"/>
          <w:i/>
        </w:rPr>
        <w:t>I luoghi della memoria scritta</w:t>
      </w:r>
      <w:r w:rsidRPr="00796A9D">
        <w:rPr>
          <w:rFonts w:ascii="Times New Roman" w:hAnsi="Times New Roman" w:cs="Times New Roman"/>
        </w:rPr>
        <w:t>, cit., pp. 108-109.</w:t>
      </w:r>
    </w:p>
  </w:footnote>
  <w:footnote w:id="65">
    <w:p w14:paraId="5516C1A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ASFi, Mediceo Avanti il Principato, filza 62, ff. 128r-130v; filza 63, ff. 138r-140v. Della ripartizione dei libri medicei tra Giuliano, Lorenzo e Lucrezia si discute in </w:t>
      </w:r>
      <w:r w:rsidRPr="00796A9D">
        <w:rPr>
          <w:rFonts w:ascii="Times New Roman" w:hAnsi="Times New Roman" w:cs="Times New Roman"/>
          <w:smallCaps/>
        </w:rPr>
        <w:t>D. Speranzi</w:t>
      </w:r>
      <w:r w:rsidRPr="00796A9D">
        <w:rPr>
          <w:rFonts w:ascii="Times New Roman" w:hAnsi="Times New Roman" w:cs="Times New Roman"/>
        </w:rPr>
        <w:t xml:space="preserve">, </w:t>
      </w:r>
      <w:r w:rsidRPr="00796A9D">
        <w:rPr>
          <w:rFonts w:ascii="Times New Roman" w:hAnsi="Times New Roman" w:cs="Times New Roman"/>
          <w:i/>
        </w:rPr>
        <w:t>La biblioteca dei Medici. Appunti sulla storia della formazione del fondo greco della libreria medicea privata</w:t>
      </w:r>
      <w:r w:rsidRPr="00796A9D">
        <w:rPr>
          <w:rFonts w:ascii="Times New Roman" w:hAnsi="Times New Roman" w:cs="Times New Roman"/>
        </w:rPr>
        <w:t xml:space="preserve">, in </w:t>
      </w:r>
      <w:r w:rsidRPr="00796A9D">
        <w:rPr>
          <w:rFonts w:ascii="Times New Roman" w:hAnsi="Times New Roman" w:cs="Times New Roman"/>
          <w:i/>
        </w:rPr>
        <w:t>Principi e signori</w:t>
      </w:r>
      <w:r w:rsidRPr="00796A9D">
        <w:rPr>
          <w:rFonts w:ascii="Times New Roman" w:hAnsi="Times New Roman" w:cs="Times New Roman"/>
        </w:rPr>
        <w:t xml:space="preserve">, cit., pp. 217-264. Lo studio riserva una particolare attenzione ai testi greci delle raccolte private di casa Medici. </w:t>
      </w:r>
    </w:p>
  </w:footnote>
  <w:footnote w:id="66">
    <w:p w14:paraId="650FFDF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Sull’attività di bibliotecario di Poliziano, reale ordinatore delle acquisizioni dell’età laurenziana, e per la sua assidua frequentazione anche dei fondi librari del convento di San Marco vedi </w:t>
      </w:r>
      <w:bookmarkStart w:id="32" w:name="_Hlk522782392"/>
      <w:r w:rsidRPr="00796A9D">
        <w:rPr>
          <w:rFonts w:ascii="Times New Roman" w:hAnsi="Times New Roman" w:cs="Times New Roman"/>
          <w:smallCaps/>
        </w:rPr>
        <w:t>V. Branca</w:t>
      </w:r>
      <w:r w:rsidRPr="00796A9D">
        <w:rPr>
          <w:rFonts w:ascii="Times New Roman" w:hAnsi="Times New Roman" w:cs="Times New Roman"/>
        </w:rPr>
        <w:t xml:space="preserve">, </w:t>
      </w:r>
      <w:r w:rsidRPr="00796A9D">
        <w:rPr>
          <w:rFonts w:ascii="Times New Roman" w:hAnsi="Times New Roman" w:cs="Times New Roman"/>
          <w:i/>
        </w:rPr>
        <w:t>Poliziano e la libreria di S. Marco</w:t>
      </w:r>
      <w:r w:rsidRPr="00796A9D">
        <w:rPr>
          <w:rFonts w:ascii="Times New Roman" w:hAnsi="Times New Roman" w:cs="Times New Roman"/>
        </w:rPr>
        <w:t xml:space="preserve">, in </w:t>
      </w:r>
      <w:r w:rsidRPr="00796A9D">
        <w:rPr>
          <w:rFonts w:ascii="Times New Roman" w:hAnsi="Times New Roman" w:cs="Times New Roman"/>
          <w:i/>
        </w:rPr>
        <w:t>Miscellanea Augusto Campana</w:t>
      </w:r>
      <w:r w:rsidRPr="00796A9D">
        <w:rPr>
          <w:rFonts w:ascii="Times New Roman" w:hAnsi="Times New Roman" w:cs="Times New Roman"/>
        </w:rPr>
        <w:t xml:space="preserve">, «Medioevo e Umanesimo», XLIV, 1981, pp. 167-188. </w:t>
      </w:r>
      <w:bookmarkEnd w:id="32"/>
    </w:p>
  </w:footnote>
  <w:footnote w:id="67">
    <w:p w14:paraId="318E752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queste tre importanti raccolte entrate nella biblioteca privata del Magnifico e per l’ampliamento del fondo greco della collezione, cfr. </w:t>
      </w:r>
      <w:bookmarkStart w:id="33" w:name="_Hlk522782461"/>
      <w:r w:rsidRPr="00796A9D">
        <w:rPr>
          <w:rFonts w:ascii="Times New Roman" w:hAnsi="Times New Roman" w:cs="Times New Roman"/>
          <w:smallCaps/>
        </w:rPr>
        <w:t>S. Gentile</w:t>
      </w:r>
      <w:r w:rsidRPr="00796A9D">
        <w:rPr>
          <w:rFonts w:ascii="Times New Roman" w:hAnsi="Times New Roman" w:cs="Times New Roman"/>
        </w:rPr>
        <w:t xml:space="preserve">, </w:t>
      </w:r>
      <w:r w:rsidRPr="00796A9D">
        <w:rPr>
          <w:rFonts w:ascii="Times New Roman" w:hAnsi="Times New Roman" w:cs="Times New Roman"/>
          <w:i/>
        </w:rPr>
        <w:t>Lorenzo e Giano Lascaris. Il fondo greco della biblioteca medicea privata</w:t>
      </w:r>
      <w:r w:rsidRPr="00796A9D">
        <w:rPr>
          <w:rFonts w:ascii="Times New Roman" w:hAnsi="Times New Roman" w:cs="Times New Roman"/>
        </w:rPr>
        <w:t xml:space="preserve">, in </w:t>
      </w:r>
      <w:r w:rsidRPr="00796A9D">
        <w:rPr>
          <w:rFonts w:ascii="Times New Roman" w:hAnsi="Times New Roman" w:cs="Times New Roman"/>
          <w:i/>
        </w:rPr>
        <w:t>Lorenzo il Magnifico e il suo mondo</w:t>
      </w:r>
      <w:r w:rsidRPr="00796A9D">
        <w:rPr>
          <w:rFonts w:ascii="Times New Roman" w:hAnsi="Times New Roman" w:cs="Times New Roman"/>
        </w:rPr>
        <w:t xml:space="preserve">. Convegno internazionale di studi (Firenze 9-13 giugno 1992), a cura di </w:t>
      </w:r>
      <w:r w:rsidRPr="00796A9D">
        <w:rPr>
          <w:rFonts w:ascii="Times New Roman" w:hAnsi="Times New Roman" w:cs="Times New Roman"/>
          <w:smallCaps/>
        </w:rPr>
        <w:t>G.C. Garfagnini</w:t>
      </w:r>
      <w:r w:rsidRPr="00796A9D">
        <w:rPr>
          <w:rFonts w:ascii="Times New Roman" w:hAnsi="Times New Roman" w:cs="Times New Roman"/>
        </w:rPr>
        <w:t>, Firenze, Olschki, 1994, pp. 177-180.</w:t>
      </w:r>
      <w:bookmarkEnd w:id="33"/>
    </w:p>
  </w:footnote>
  <w:footnote w:id="68">
    <w:p w14:paraId="41300D4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L’impegno di Piero de’ Medici nelle trattative per l’acquisto dei libri destinati al re ungherese è documentato da due missive di Piero, rispettivamente dell’8 e 10 maggio 1490: ASFi, Mediceo Avanti il Principato, filza XLII, f. 57 e 59. Per una sintetica analisi del loro contenuto e per una precisa identificazione degli esemplari oggi alla Biblioteca Laurenziana appartenuti a Lorenzo e ai suoi figli, Giovanni e Piero, si veda </w:t>
      </w:r>
      <w:bookmarkStart w:id="34" w:name="_Hlk522782521"/>
      <w:r w:rsidRPr="00796A9D">
        <w:rPr>
          <w:rFonts w:ascii="Times New Roman" w:hAnsi="Times New Roman" w:cs="Times New Roman"/>
          <w:smallCaps/>
        </w:rPr>
        <w:t>A. Dillon Bussi, A. R. Fantoni</w:t>
      </w:r>
      <w:r w:rsidRPr="00796A9D">
        <w:rPr>
          <w:rFonts w:ascii="Times New Roman" w:hAnsi="Times New Roman" w:cs="Times New Roman"/>
        </w:rPr>
        <w:t xml:space="preserve">, </w:t>
      </w:r>
      <w:r w:rsidRPr="00796A9D">
        <w:rPr>
          <w:rFonts w:ascii="Times New Roman" w:hAnsi="Times New Roman" w:cs="Times New Roman"/>
          <w:i/>
        </w:rPr>
        <w:t>La Biblioteca Medicea Laurenziana negli ultimi anni del Quattrocento</w:t>
      </w:r>
      <w:r w:rsidRPr="00796A9D">
        <w:rPr>
          <w:rFonts w:ascii="Times New Roman" w:hAnsi="Times New Roman" w:cs="Times New Roman"/>
        </w:rPr>
        <w:t xml:space="preserve">, in </w:t>
      </w:r>
      <w:r w:rsidRPr="00796A9D">
        <w:rPr>
          <w:rFonts w:ascii="Times New Roman" w:hAnsi="Times New Roman" w:cs="Times New Roman"/>
          <w:i/>
        </w:rPr>
        <w:t>All’ombra del Lauro. Documenti librari della cultura in età laurenziana</w:t>
      </w:r>
      <w:r w:rsidRPr="00796A9D">
        <w:rPr>
          <w:rFonts w:ascii="Times New Roman" w:hAnsi="Times New Roman" w:cs="Times New Roman"/>
        </w:rPr>
        <w:t xml:space="preserve">, a cura di </w:t>
      </w:r>
      <w:r w:rsidRPr="00796A9D">
        <w:rPr>
          <w:rFonts w:ascii="Times New Roman" w:hAnsi="Times New Roman" w:cs="Times New Roman"/>
          <w:smallCaps/>
        </w:rPr>
        <w:t>A. Lenzuni</w:t>
      </w:r>
      <w:r w:rsidRPr="00796A9D">
        <w:rPr>
          <w:rFonts w:ascii="Times New Roman" w:hAnsi="Times New Roman" w:cs="Times New Roman"/>
        </w:rPr>
        <w:t>, Cinisello Balsamo, Silvana, 1992, pp. 135-148.</w:t>
      </w:r>
      <w:bookmarkEnd w:id="34"/>
    </w:p>
  </w:footnote>
  <w:footnote w:id="69">
    <w:p w14:paraId="6B7AA05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Vat. Gr. 1412 reca anche la lista delle opere greche già presenti in casa Medici prima della spedizione. Lascaris elencò invece i titoli dei testi acquisiti grazie al viaggio del 1492 nella prefatoria a Piero de’ Medici della sua </w:t>
      </w:r>
      <w:r w:rsidRPr="00796A9D">
        <w:rPr>
          <w:rFonts w:ascii="Times New Roman" w:hAnsi="Times New Roman" w:cs="Times New Roman"/>
          <w:i/>
        </w:rPr>
        <w:t>Anthologia Graeca Planudea</w:t>
      </w:r>
      <w:r w:rsidRPr="00796A9D">
        <w:rPr>
          <w:rFonts w:ascii="Times New Roman" w:hAnsi="Times New Roman" w:cs="Times New Roman"/>
        </w:rPr>
        <w:t xml:space="preserve">, pubblicata da Lorenzo de Alopa in data 11 agosto 1494; IGI 599. Una ricostruzione dell’itinerario del filologo, al quale Lorenzo demandò anche di raccogliere informazioni in vista di una possibile crociata contro il Turco, si legge in </w:t>
      </w:r>
      <w:bookmarkStart w:id="35" w:name="_Hlk522783906"/>
      <w:r w:rsidRPr="00796A9D">
        <w:rPr>
          <w:rFonts w:ascii="Times New Roman" w:hAnsi="Times New Roman" w:cs="Times New Roman"/>
        </w:rPr>
        <w:t xml:space="preserve">D. </w:t>
      </w:r>
      <w:r w:rsidRPr="00796A9D">
        <w:rPr>
          <w:rFonts w:ascii="Times New Roman" w:hAnsi="Times New Roman" w:cs="Times New Roman"/>
          <w:smallCaps/>
        </w:rPr>
        <w:t>Speranzi</w:t>
      </w:r>
      <w:r w:rsidRPr="00796A9D">
        <w:rPr>
          <w:rFonts w:ascii="Times New Roman" w:hAnsi="Times New Roman" w:cs="Times New Roman"/>
        </w:rPr>
        <w:t xml:space="preserve">, </w:t>
      </w:r>
      <w:r w:rsidRPr="00796A9D">
        <w:rPr>
          <w:rFonts w:ascii="Times New Roman" w:hAnsi="Times New Roman" w:cs="Times New Roman"/>
          <w:i/>
        </w:rPr>
        <w:t>Per la storia della libreria medicea privata. Giano Lascaris, Sergio Stiso di Zollino e il copista Gabriele</w:t>
      </w:r>
      <w:r w:rsidRPr="00796A9D">
        <w:rPr>
          <w:rFonts w:ascii="Times New Roman" w:hAnsi="Times New Roman" w:cs="Times New Roman"/>
        </w:rPr>
        <w:t xml:space="preserve">, «Italia medievale e umanistica», XLVIII, 2007, pp. 77-111. </w:t>
      </w:r>
      <w:bookmarkEnd w:id="35"/>
    </w:p>
  </w:footnote>
  <w:footnote w:id="70">
    <w:p w14:paraId="5A66A00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lista del 1495 è trasmessa da tre testimoni conservati presso l’ASFi, Mediceo Avanti il Principato, filza 84, ff. 426r-441v; filza 87, ff. 375r-402v; filza 104, ff. 105r-120v. La si può leggere in </w:t>
      </w:r>
      <w:r w:rsidRPr="00796A9D">
        <w:rPr>
          <w:rFonts w:ascii="Times New Roman" w:hAnsi="Times New Roman" w:cs="Times New Roman"/>
          <w:smallCaps/>
        </w:rPr>
        <w:t>E. Piccolomini</w:t>
      </w:r>
      <w:r w:rsidRPr="00796A9D">
        <w:rPr>
          <w:rFonts w:ascii="Times New Roman" w:hAnsi="Times New Roman" w:cs="Times New Roman"/>
        </w:rPr>
        <w:t xml:space="preserve">, </w:t>
      </w:r>
      <w:r w:rsidRPr="00796A9D">
        <w:rPr>
          <w:rFonts w:ascii="Times New Roman" w:hAnsi="Times New Roman" w:cs="Times New Roman"/>
          <w:i/>
        </w:rPr>
        <w:t>Intorno alle condizioni e alle vicende della libreria medicea privata</w:t>
      </w:r>
      <w:r w:rsidRPr="00796A9D">
        <w:rPr>
          <w:rFonts w:ascii="Times New Roman" w:hAnsi="Times New Roman" w:cs="Times New Roman"/>
        </w:rPr>
        <w:t xml:space="preserve">, «Archivio Storico Italiano», XIX-XXI, 1874-1875, pp. 101-129. </w:t>
      </w:r>
    </w:p>
  </w:footnote>
  <w:footnote w:id="71">
    <w:p w14:paraId="2E16AFD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breve venne dettato in vista di un viaggio di Enoch da Ascoli alla ricerca di volumi per la nuova biblioteca. È edito integralmente in </w:t>
      </w:r>
      <w:bookmarkStart w:id="36" w:name="_Hlk522783983"/>
      <w:r w:rsidRPr="00796A9D">
        <w:rPr>
          <w:rFonts w:ascii="Times New Roman" w:hAnsi="Times New Roman" w:cs="Times New Roman"/>
          <w:smallCaps/>
        </w:rPr>
        <w:t>E. Müntz, P. Fabre</w:t>
      </w:r>
      <w:r w:rsidRPr="00796A9D">
        <w:rPr>
          <w:rFonts w:ascii="Times New Roman" w:hAnsi="Times New Roman" w:cs="Times New Roman"/>
        </w:rPr>
        <w:t xml:space="preserve">, </w:t>
      </w:r>
      <w:r w:rsidRPr="00796A9D">
        <w:rPr>
          <w:rFonts w:ascii="Times New Roman" w:hAnsi="Times New Roman" w:cs="Times New Roman"/>
          <w:i/>
        </w:rPr>
        <w:t>La bibliothèque du Vatican au XV siècle d’après des documents inédits</w:t>
      </w:r>
      <w:r w:rsidRPr="00796A9D">
        <w:rPr>
          <w:rFonts w:ascii="Times New Roman" w:hAnsi="Times New Roman" w:cs="Times New Roman"/>
        </w:rPr>
        <w:t>, Paris, Ernest Thorin, 1887</w:t>
      </w:r>
      <w:bookmarkEnd w:id="36"/>
      <w:r w:rsidRPr="00796A9D">
        <w:rPr>
          <w:rFonts w:ascii="Times New Roman" w:hAnsi="Times New Roman" w:cs="Times New Roman"/>
        </w:rPr>
        <w:t xml:space="preserve">, pp. 47-48. </w:t>
      </w:r>
    </w:p>
  </w:footnote>
  <w:footnote w:id="72">
    <w:p w14:paraId="3765CABD"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Josè Ruysschaert aveva attribuito la fondazione della Vaticana a Sisto IV, che nel giugno 1475 promulgò la bolla</w:t>
      </w:r>
      <w:r w:rsidRPr="00796A9D">
        <w:rPr>
          <w:rFonts w:ascii="Times New Roman" w:hAnsi="Times New Roman" w:cs="Times New Roman"/>
          <w:i/>
        </w:rPr>
        <w:t xml:space="preserve"> Ad decorem</w:t>
      </w:r>
      <w:r w:rsidRPr="00796A9D">
        <w:rPr>
          <w:rFonts w:ascii="Times New Roman" w:hAnsi="Times New Roman" w:cs="Times New Roman"/>
        </w:rPr>
        <w:t xml:space="preserve">, cfr. </w:t>
      </w:r>
      <w:bookmarkStart w:id="37" w:name="_Hlk496549478"/>
      <w:bookmarkStart w:id="38" w:name="_Hlk522784027"/>
      <w:r w:rsidRPr="00796A9D">
        <w:rPr>
          <w:rFonts w:ascii="Times New Roman" w:hAnsi="Times New Roman" w:cs="Times New Roman"/>
          <w:smallCaps/>
        </w:rPr>
        <w:t>J. Ruysschaert</w:t>
      </w:r>
      <w:r w:rsidRPr="00796A9D">
        <w:rPr>
          <w:rFonts w:ascii="Times New Roman" w:hAnsi="Times New Roman" w:cs="Times New Roman"/>
        </w:rPr>
        <w:t xml:space="preserve">, </w:t>
      </w:r>
      <w:r w:rsidRPr="00796A9D">
        <w:rPr>
          <w:rFonts w:ascii="Times New Roman" w:hAnsi="Times New Roman" w:cs="Times New Roman"/>
          <w:i/>
        </w:rPr>
        <w:t>Siste IV</w:t>
      </w:r>
      <w:bookmarkEnd w:id="37"/>
      <w:r w:rsidRPr="00796A9D">
        <w:rPr>
          <w:rFonts w:ascii="Times New Roman" w:hAnsi="Times New Roman" w:cs="Times New Roman"/>
          <w:i/>
        </w:rPr>
        <w:t xml:space="preserve"> fondateur de la Bibliothèque Vaticane (15 juin 1475</w:t>
      </w:r>
      <w:r w:rsidRPr="00796A9D">
        <w:rPr>
          <w:rFonts w:ascii="Times New Roman" w:hAnsi="Times New Roman" w:cs="Times New Roman"/>
        </w:rPr>
        <w:t>), «Archivium Historiae Pontificiae», VII, 1969, pp. 513-524</w:t>
      </w:r>
      <w:bookmarkEnd w:id="38"/>
      <w:r w:rsidRPr="00796A9D">
        <w:rPr>
          <w:rFonts w:ascii="Times New Roman" w:hAnsi="Times New Roman" w:cs="Times New Roman"/>
        </w:rPr>
        <w:t>, con la quale si rendeva libera la consutazione delle raccolte papali che precedentemente, sotto Niccolò V, erano accessibili solamente ai lettori invitati alla corte del papa. Tuttavia</w:t>
      </w:r>
      <w:r>
        <w:rPr>
          <w:rFonts w:ascii="Times New Roman" w:hAnsi="Times New Roman" w:cs="Times New Roman"/>
        </w:rPr>
        <w:t>,</w:t>
      </w:r>
      <w:r w:rsidRPr="00796A9D">
        <w:rPr>
          <w:rFonts w:ascii="Times New Roman" w:hAnsi="Times New Roman" w:cs="Times New Roman"/>
        </w:rPr>
        <w:t xml:space="preserve"> non si può negare al progetto nicolino un chiaro intento fondativo, e si è propensi a credere che, se egli avesse avuto vita più lunga, sarebbe riuscito a prendere disposizioni per rendere l’istituzione più accessibile. </w:t>
      </w:r>
      <w:r w:rsidRPr="00796A9D">
        <w:rPr>
          <w:rFonts w:ascii="Times New Roman" w:hAnsi="Times New Roman" w:cs="Times New Roman"/>
          <w:lang w:val="en-US"/>
        </w:rPr>
        <w:t xml:space="preserve">Cfr. </w:t>
      </w:r>
      <w:bookmarkStart w:id="39" w:name="_Hlk522784093"/>
      <w:r w:rsidRPr="00796A9D">
        <w:rPr>
          <w:rFonts w:ascii="Times New Roman" w:hAnsi="Times New Roman" w:cs="Times New Roman"/>
          <w:smallCaps/>
          <w:lang w:val="en-US"/>
        </w:rPr>
        <w:t>L. Boyle</w:t>
      </w:r>
      <w:r w:rsidRPr="00796A9D">
        <w:rPr>
          <w:rFonts w:ascii="Times New Roman" w:hAnsi="Times New Roman" w:cs="Times New Roman"/>
          <w:lang w:val="en-US"/>
        </w:rPr>
        <w:t xml:space="preserve">, </w:t>
      </w:r>
      <w:r w:rsidRPr="00796A9D">
        <w:rPr>
          <w:rFonts w:ascii="Times New Roman" w:hAnsi="Times New Roman" w:cs="Times New Roman"/>
          <w:i/>
          <w:lang w:val="en-US"/>
        </w:rPr>
        <w:t>Sixtus IV and the Vatican Library</w:t>
      </w:r>
      <w:r w:rsidRPr="00796A9D">
        <w:rPr>
          <w:rFonts w:ascii="Times New Roman" w:hAnsi="Times New Roman" w:cs="Times New Roman"/>
          <w:lang w:val="en-US"/>
        </w:rPr>
        <w:t xml:space="preserve">, in </w:t>
      </w:r>
      <w:r w:rsidRPr="00796A9D">
        <w:rPr>
          <w:rFonts w:ascii="Times New Roman" w:hAnsi="Times New Roman" w:cs="Times New Roman"/>
          <w:i/>
          <w:lang w:val="en-US"/>
        </w:rPr>
        <w:t>Rome, Tradition, Innovation Renewal</w:t>
      </w:r>
      <w:r w:rsidRPr="00796A9D">
        <w:rPr>
          <w:rFonts w:ascii="Times New Roman" w:hAnsi="Times New Roman" w:cs="Times New Roman"/>
          <w:lang w:val="en-US"/>
        </w:rPr>
        <w:t xml:space="preserve">: a Canadian International Art History Conference, (8-13 June 1987), Rome, in Honour of Richard Krautheimer on the Occasion of His 90th Birthday and Leonard Boyle O.P. Prefect of the Biblioteca Apostilica Vaticana, Victotia B. C., University of Victoria, 1991, pp. 65-73. </w:t>
      </w:r>
    </w:p>
    <w:bookmarkEnd w:id="39"/>
  </w:footnote>
  <w:footnote w:id="73">
    <w:p w14:paraId="571F8E8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41" w:name="_Hlk522784137"/>
      <w:r w:rsidRPr="00796A9D">
        <w:rPr>
          <w:rFonts w:ascii="Times New Roman" w:hAnsi="Times New Roman" w:cs="Times New Roman"/>
          <w:smallCaps/>
        </w:rPr>
        <w:t>G. Manetti</w:t>
      </w:r>
      <w:r w:rsidRPr="00796A9D">
        <w:rPr>
          <w:rFonts w:ascii="Times New Roman" w:hAnsi="Times New Roman" w:cs="Times New Roman"/>
        </w:rPr>
        <w:t xml:space="preserve">, </w:t>
      </w:r>
      <w:r w:rsidRPr="00796A9D">
        <w:rPr>
          <w:rFonts w:ascii="Times New Roman" w:hAnsi="Times New Roman" w:cs="Times New Roman"/>
          <w:i/>
        </w:rPr>
        <w:t>De vita ac gestis Nicolai Quinti Summi Pontificis</w:t>
      </w:r>
      <w:r w:rsidRPr="00796A9D">
        <w:rPr>
          <w:rFonts w:ascii="Times New Roman" w:hAnsi="Times New Roman" w:cs="Times New Roman"/>
        </w:rPr>
        <w:t xml:space="preserve">, a cura di </w:t>
      </w:r>
      <w:r w:rsidRPr="00796A9D">
        <w:rPr>
          <w:rFonts w:ascii="Times New Roman" w:hAnsi="Times New Roman" w:cs="Times New Roman"/>
          <w:smallCaps/>
        </w:rPr>
        <w:t>A. Modigliani</w:t>
      </w:r>
      <w:r w:rsidRPr="00796A9D">
        <w:rPr>
          <w:rFonts w:ascii="Times New Roman" w:hAnsi="Times New Roman" w:cs="Times New Roman"/>
        </w:rPr>
        <w:t>, «Fonti per la storia dell’Italia medievale. Rerum Italicarum Scriptores», VI, 2005</w:t>
      </w:r>
      <w:bookmarkEnd w:id="41"/>
      <w:r w:rsidRPr="00796A9D">
        <w:rPr>
          <w:rFonts w:ascii="Times New Roman" w:hAnsi="Times New Roman" w:cs="Times New Roman"/>
        </w:rPr>
        <w:t xml:space="preserve">, pp. 56-57. </w:t>
      </w:r>
      <w:r w:rsidRPr="00796A9D">
        <w:rPr>
          <w:rFonts w:ascii="Times New Roman" w:hAnsi="Times New Roman" w:cs="Times New Roman"/>
          <w:smallCaps/>
        </w:rPr>
        <w:t>V. Da Bisticci</w:t>
      </w:r>
      <w:r w:rsidRPr="00796A9D">
        <w:rPr>
          <w:rFonts w:ascii="Times New Roman" w:hAnsi="Times New Roman" w:cs="Times New Roman"/>
        </w:rPr>
        <w:t xml:space="preserve">, </w:t>
      </w:r>
      <w:r w:rsidRPr="00796A9D">
        <w:rPr>
          <w:rFonts w:ascii="Times New Roman" w:hAnsi="Times New Roman" w:cs="Times New Roman"/>
          <w:i/>
        </w:rPr>
        <w:t>Le vite</w:t>
      </w:r>
      <w:r w:rsidRPr="00796A9D">
        <w:rPr>
          <w:rFonts w:ascii="Times New Roman" w:hAnsi="Times New Roman" w:cs="Times New Roman"/>
        </w:rPr>
        <w:t xml:space="preserve">, cit., vol. I, pp. 63-64.  </w:t>
      </w:r>
    </w:p>
  </w:footnote>
  <w:footnote w:id="74">
    <w:p w14:paraId="70AA962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confronto tra queste due fonti e, in generale, per le fasi di avvio della Vaticana rinvio ad </w:t>
      </w:r>
      <w:bookmarkStart w:id="43" w:name="_Hlk522784187"/>
      <w:r w:rsidRPr="00796A9D">
        <w:rPr>
          <w:rFonts w:ascii="Times New Roman" w:hAnsi="Times New Roman" w:cs="Times New Roman"/>
          <w:smallCaps/>
        </w:rPr>
        <w:t>A. Manfredi</w:t>
      </w:r>
      <w:r w:rsidRPr="00796A9D">
        <w:rPr>
          <w:rFonts w:ascii="Times New Roman" w:hAnsi="Times New Roman" w:cs="Times New Roman"/>
        </w:rPr>
        <w:t xml:space="preserve">, </w:t>
      </w:r>
      <w:r w:rsidRPr="00796A9D">
        <w:rPr>
          <w:rFonts w:ascii="Times New Roman" w:hAnsi="Times New Roman" w:cs="Times New Roman"/>
          <w:i/>
        </w:rPr>
        <w:t>La nascita della Vaticana in età umanistica da Niccolò V a Sisto IV</w:t>
      </w:r>
      <w:r w:rsidRPr="00796A9D">
        <w:rPr>
          <w:rFonts w:ascii="Times New Roman" w:hAnsi="Times New Roman" w:cs="Times New Roman"/>
        </w:rPr>
        <w:t xml:space="preserve">, in </w:t>
      </w:r>
      <w:r w:rsidRPr="00796A9D">
        <w:rPr>
          <w:rFonts w:ascii="Times New Roman" w:hAnsi="Times New Roman" w:cs="Times New Roman"/>
          <w:i/>
        </w:rPr>
        <w:t>Le origini della Biblioteca Vaticana tra Umanesimo e Rinascimento (1447-1534)</w:t>
      </w:r>
      <w:r w:rsidRPr="00796A9D">
        <w:rPr>
          <w:rFonts w:ascii="Times New Roman" w:hAnsi="Times New Roman" w:cs="Times New Roman"/>
        </w:rPr>
        <w:t xml:space="preserve">, a cura di </w:t>
      </w:r>
      <w:r w:rsidRPr="00796A9D">
        <w:rPr>
          <w:rFonts w:ascii="Times New Roman" w:hAnsi="Times New Roman" w:cs="Times New Roman"/>
          <w:smallCaps/>
        </w:rPr>
        <w:t>Idem</w:t>
      </w:r>
      <w:r w:rsidRPr="00796A9D">
        <w:rPr>
          <w:rFonts w:ascii="Times New Roman" w:hAnsi="Times New Roman" w:cs="Times New Roman"/>
        </w:rPr>
        <w:t xml:space="preserve">, Città del Vaticano, Biblioteca Apostolica Vaticana, 2010, pp. 159-165. </w:t>
      </w:r>
      <w:bookmarkEnd w:id="43"/>
    </w:p>
  </w:footnote>
  <w:footnote w:id="75">
    <w:p w14:paraId="5B4FEF5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donazione dei prelati greci costituì il nucleo primitivo del fondo dei manoscritti orientali della biblioteca papale. Per essa e per il recupero selettivo dei codici appartenuti ai suoi predecessori, ordinato da Eugenio IV al legato Pierre de Foix ad Avignone negli anni 1441-1442, rimando a </w:t>
      </w:r>
      <w:bookmarkStart w:id="44" w:name="_Hlk522784281"/>
      <w:r w:rsidRPr="00796A9D">
        <w:rPr>
          <w:rFonts w:ascii="Times New Roman" w:hAnsi="Times New Roman" w:cs="Times New Roman"/>
          <w:smallCaps/>
        </w:rPr>
        <w:t>P. Piacentini</w:t>
      </w:r>
      <w:r w:rsidRPr="00796A9D">
        <w:rPr>
          <w:rFonts w:ascii="Times New Roman" w:hAnsi="Times New Roman" w:cs="Times New Roman"/>
        </w:rPr>
        <w:t xml:space="preserve">, </w:t>
      </w:r>
      <w:r w:rsidRPr="00796A9D">
        <w:rPr>
          <w:rFonts w:ascii="Times New Roman" w:hAnsi="Times New Roman" w:cs="Times New Roman"/>
          <w:i/>
        </w:rPr>
        <w:t>Le biblioteche papali. La Biblioteca Vaticana</w:t>
      </w:r>
      <w:r w:rsidRPr="00796A9D">
        <w:rPr>
          <w:rFonts w:ascii="Times New Roman" w:hAnsi="Times New Roman" w:cs="Times New Roman"/>
        </w:rPr>
        <w:t xml:space="preserve">, in </w:t>
      </w:r>
      <w:r w:rsidRPr="00796A9D">
        <w:rPr>
          <w:rFonts w:ascii="Times New Roman" w:hAnsi="Times New Roman" w:cs="Times New Roman"/>
          <w:i/>
        </w:rPr>
        <w:t>Principi e signori</w:t>
      </w:r>
      <w:r w:rsidRPr="00796A9D">
        <w:rPr>
          <w:rFonts w:ascii="Times New Roman" w:hAnsi="Times New Roman" w:cs="Times New Roman"/>
        </w:rPr>
        <w:t xml:space="preserve">, cit., pp. 109-121. </w:t>
      </w:r>
      <w:bookmarkEnd w:id="44"/>
    </w:p>
  </w:footnote>
  <w:footnote w:id="76">
    <w:p w14:paraId="249F042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Manfredi</w:t>
      </w:r>
      <w:r w:rsidRPr="00796A9D">
        <w:rPr>
          <w:rFonts w:ascii="Times New Roman" w:hAnsi="Times New Roman" w:cs="Times New Roman"/>
        </w:rPr>
        <w:t xml:space="preserve">, </w:t>
      </w:r>
      <w:r w:rsidRPr="00796A9D">
        <w:rPr>
          <w:rFonts w:ascii="Times New Roman" w:hAnsi="Times New Roman" w:cs="Times New Roman"/>
          <w:i/>
        </w:rPr>
        <w:t xml:space="preserve">La nascita della Vaticana, </w:t>
      </w:r>
      <w:r w:rsidRPr="00796A9D">
        <w:rPr>
          <w:rFonts w:ascii="Times New Roman" w:hAnsi="Times New Roman" w:cs="Times New Roman"/>
        </w:rPr>
        <w:t>cit</w:t>
      </w:r>
      <w:r w:rsidRPr="00796A9D">
        <w:rPr>
          <w:rFonts w:ascii="Times New Roman" w:hAnsi="Times New Roman" w:cs="Times New Roman"/>
          <w:i/>
        </w:rPr>
        <w:t xml:space="preserve">., </w:t>
      </w:r>
      <w:r w:rsidRPr="00796A9D">
        <w:rPr>
          <w:rFonts w:ascii="Times New Roman" w:hAnsi="Times New Roman" w:cs="Times New Roman"/>
        </w:rPr>
        <w:t>pp. 174-180.</w:t>
      </w:r>
    </w:p>
  </w:footnote>
  <w:footnote w:id="77">
    <w:p w14:paraId="0370051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L’inventario dei codici latini di Niccolò V è trasmesso da tre testimoni: Vich, Museu Episcopal, 201; Città del Vaticano, Vat. Lat. 3959; Madrid, Real Academia de la Historia, 71. Esso reca anche l’elenco dei codici ritrovati nel </w:t>
      </w:r>
      <w:r w:rsidRPr="00796A9D">
        <w:rPr>
          <w:rFonts w:ascii="Times New Roman" w:hAnsi="Times New Roman" w:cs="Times New Roman"/>
          <w:i/>
        </w:rPr>
        <w:t>cubiculum</w:t>
      </w:r>
      <w:r w:rsidRPr="00796A9D">
        <w:rPr>
          <w:rFonts w:ascii="Times New Roman" w:hAnsi="Times New Roman" w:cs="Times New Roman"/>
        </w:rPr>
        <w:t xml:space="preserve"> di papa Parentucelli al momento della compilazione delle liste. L’edizione moderna si legge in </w:t>
      </w:r>
      <w:r w:rsidRPr="00796A9D">
        <w:rPr>
          <w:rFonts w:ascii="Times New Roman" w:hAnsi="Times New Roman" w:cs="Times New Roman"/>
          <w:smallCaps/>
        </w:rPr>
        <w:t>A. Manfredi</w:t>
      </w:r>
      <w:r w:rsidRPr="00796A9D">
        <w:rPr>
          <w:rFonts w:ascii="Times New Roman" w:hAnsi="Times New Roman" w:cs="Times New Roman"/>
        </w:rPr>
        <w:t xml:space="preserve">, </w:t>
      </w:r>
      <w:r w:rsidRPr="00796A9D">
        <w:rPr>
          <w:rFonts w:ascii="Times New Roman" w:hAnsi="Times New Roman" w:cs="Times New Roman"/>
          <w:i/>
        </w:rPr>
        <w:t>I codici latini di Niccolò V. Edizione degli inventari e identificazione dei manoscritti</w:t>
      </w:r>
      <w:r w:rsidRPr="00796A9D">
        <w:rPr>
          <w:rFonts w:ascii="Times New Roman" w:hAnsi="Times New Roman" w:cs="Times New Roman"/>
        </w:rPr>
        <w:t>, Città del Vaticano, Biblioteca Apostolica Vaticana, 1994, pp. 356-358.</w:t>
      </w:r>
    </w:p>
  </w:footnote>
  <w:footnote w:id="78">
    <w:p w14:paraId="7B7F4B6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notizia di una parziale dispersione della biblioteca allestita da Niccolò V ad opera del Borgia si deve a Vespasiano da Bisticci e a Filelfo. Pare che Callisto III si fosse limitato piuttosto a spogliare alcuni dei volumi ivi conservati delle loro preziose legature, così da rivenderle per ottenere denaro da destinare al progetto di una crociata contro il Turco. Riguardo all’atteggiamento del Borgia nei confronti dei libri della Vaticana e al suo contributo all’ampliamento della sezione dei testi di diritto vedi </w:t>
      </w:r>
      <w:r w:rsidRPr="00796A9D">
        <w:rPr>
          <w:rFonts w:ascii="Times New Roman" w:hAnsi="Times New Roman" w:cs="Times New Roman"/>
          <w:smallCaps/>
        </w:rPr>
        <w:t>M. Mallet</w:t>
      </w:r>
      <w:r w:rsidRPr="00796A9D">
        <w:rPr>
          <w:rFonts w:ascii="Times New Roman" w:hAnsi="Times New Roman" w:cs="Times New Roman"/>
        </w:rPr>
        <w:t xml:space="preserve">, s.v. </w:t>
      </w:r>
      <w:r w:rsidRPr="00796A9D">
        <w:rPr>
          <w:rFonts w:ascii="Times New Roman" w:hAnsi="Times New Roman" w:cs="Times New Roman"/>
          <w:i/>
        </w:rPr>
        <w:t>Callisto III, papa</w:t>
      </w:r>
      <w:r w:rsidRPr="00796A9D">
        <w:rPr>
          <w:rFonts w:ascii="Times New Roman" w:hAnsi="Times New Roman" w:cs="Times New Roman"/>
        </w:rPr>
        <w:t xml:space="preserve">, DBI, 1973, vol. XVI, pp. 769-774.  </w:t>
      </w:r>
    </w:p>
  </w:footnote>
  <w:footnote w:id="79">
    <w:p w14:paraId="5D7C42F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P. Piacentini</w:t>
      </w:r>
      <w:r w:rsidRPr="00796A9D">
        <w:rPr>
          <w:rFonts w:ascii="Times New Roman" w:hAnsi="Times New Roman" w:cs="Times New Roman"/>
        </w:rPr>
        <w:t xml:space="preserve">, </w:t>
      </w:r>
      <w:r w:rsidRPr="00796A9D">
        <w:rPr>
          <w:rFonts w:ascii="Times New Roman" w:hAnsi="Times New Roman" w:cs="Times New Roman"/>
          <w:i/>
        </w:rPr>
        <w:t>Le biblioteche papali</w:t>
      </w:r>
      <w:r w:rsidRPr="00796A9D">
        <w:rPr>
          <w:rFonts w:ascii="Times New Roman" w:hAnsi="Times New Roman" w:cs="Times New Roman"/>
        </w:rPr>
        <w:t>, pp. 138-140.</w:t>
      </w:r>
    </w:p>
  </w:footnote>
  <w:footnote w:id="80">
    <w:p w14:paraId="0321356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M. Dell’Omo</w:t>
      </w:r>
      <w:r w:rsidRPr="00796A9D">
        <w:rPr>
          <w:rFonts w:ascii="Times New Roman" w:hAnsi="Times New Roman" w:cs="Times New Roman"/>
        </w:rPr>
        <w:t xml:space="preserve">, </w:t>
      </w:r>
      <w:r w:rsidRPr="00796A9D">
        <w:rPr>
          <w:rFonts w:ascii="Times New Roman" w:hAnsi="Times New Roman" w:cs="Times New Roman"/>
          <w:i/>
        </w:rPr>
        <w:t xml:space="preserve">Per uno </w:t>
      </w:r>
      <w:r w:rsidRPr="00796A9D">
        <w:rPr>
          <w:rFonts w:ascii="Times New Roman" w:hAnsi="Times New Roman" w:cs="Times New Roman"/>
        </w:rPr>
        <w:t>status quaestionis</w:t>
      </w:r>
      <w:r w:rsidRPr="00796A9D">
        <w:rPr>
          <w:rFonts w:ascii="Times New Roman" w:hAnsi="Times New Roman" w:cs="Times New Roman"/>
          <w:i/>
        </w:rPr>
        <w:t xml:space="preserve"> sui rapporti tra papa Paolo II e la biblioteca di Montecassino</w:t>
      </w:r>
      <w:r w:rsidRPr="00796A9D">
        <w:rPr>
          <w:rFonts w:ascii="Times New Roman" w:hAnsi="Times New Roman" w:cs="Times New Roman"/>
        </w:rPr>
        <w:t xml:space="preserve">, «Benedectina», XXXVI, 1989, pp. 165-178. </w:t>
      </w:r>
    </w:p>
  </w:footnote>
  <w:footnote w:id="81">
    <w:p w14:paraId="2C0B659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testo della </w:t>
      </w:r>
      <w:r w:rsidRPr="00796A9D">
        <w:rPr>
          <w:rFonts w:ascii="Times New Roman" w:hAnsi="Times New Roman" w:cs="Times New Roman"/>
          <w:i/>
        </w:rPr>
        <w:t>Ad decorem</w:t>
      </w:r>
      <w:r w:rsidRPr="00796A9D">
        <w:rPr>
          <w:rFonts w:ascii="Times New Roman" w:hAnsi="Times New Roman" w:cs="Times New Roman"/>
        </w:rPr>
        <w:t>, Città del Vaticano, Biblioteca Apostolica Vaticana, Vat. Lat. 7947, ff. 1-2, fu emanato nuovamente i</w:t>
      </w:r>
      <w:r>
        <w:rPr>
          <w:rFonts w:ascii="Times New Roman" w:hAnsi="Times New Roman" w:cs="Times New Roman"/>
        </w:rPr>
        <w:t>l</w:t>
      </w:r>
      <w:r w:rsidRPr="00796A9D">
        <w:rPr>
          <w:rFonts w:ascii="Times New Roman" w:hAnsi="Times New Roman" w:cs="Times New Roman"/>
        </w:rPr>
        <w:t xml:space="preserve"> 15 luglio 1477 e inserito ancora nella bolla </w:t>
      </w:r>
      <w:r w:rsidRPr="00796A9D">
        <w:rPr>
          <w:rFonts w:ascii="Times New Roman" w:hAnsi="Times New Roman" w:cs="Times New Roman"/>
          <w:i/>
        </w:rPr>
        <w:t>Romanus Pontifex</w:t>
      </w:r>
      <w:r w:rsidRPr="00796A9D">
        <w:rPr>
          <w:rFonts w:ascii="Times New Roman" w:hAnsi="Times New Roman" w:cs="Times New Roman"/>
        </w:rPr>
        <w:t xml:space="preserve"> con cui nel 1481 Sisto IV designava </w:t>
      </w:r>
      <w:bookmarkStart w:id="46" w:name="_Hlk535778946"/>
      <w:r w:rsidRPr="00796A9D">
        <w:rPr>
          <w:rFonts w:ascii="Times New Roman" w:hAnsi="Times New Roman" w:cs="Times New Roman"/>
        </w:rPr>
        <w:t xml:space="preserve">Bartolomeo Manfredi </w:t>
      </w:r>
      <w:bookmarkEnd w:id="46"/>
      <w:r w:rsidRPr="00796A9D">
        <w:rPr>
          <w:rFonts w:ascii="Times New Roman" w:hAnsi="Times New Roman" w:cs="Times New Roman"/>
        </w:rPr>
        <w:t xml:space="preserve">successore di Platina nell’ufficio di bibliotecario pontificio. Cfr. </w:t>
      </w:r>
      <w:r w:rsidRPr="00796A9D">
        <w:rPr>
          <w:rFonts w:ascii="Times New Roman" w:hAnsi="Times New Roman" w:cs="Times New Roman"/>
          <w:smallCaps/>
        </w:rPr>
        <w:t>J. Ruysschaert</w:t>
      </w:r>
      <w:r w:rsidRPr="00796A9D">
        <w:rPr>
          <w:rFonts w:ascii="Times New Roman" w:hAnsi="Times New Roman" w:cs="Times New Roman"/>
        </w:rPr>
        <w:t xml:space="preserve">, </w:t>
      </w:r>
      <w:r w:rsidRPr="00796A9D">
        <w:rPr>
          <w:rFonts w:ascii="Times New Roman" w:hAnsi="Times New Roman" w:cs="Times New Roman"/>
          <w:i/>
        </w:rPr>
        <w:t>Siste IV,</w:t>
      </w:r>
      <w:r w:rsidRPr="00796A9D">
        <w:rPr>
          <w:rFonts w:ascii="Times New Roman" w:hAnsi="Times New Roman" w:cs="Times New Roman"/>
        </w:rPr>
        <w:t xml:space="preserve"> cit., pp. 523-524. </w:t>
      </w:r>
    </w:p>
  </w:footnote>
  <w:footnote w:id="82">
    <w:p w14:paraId="4C447D1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L’inventario del 1475 è giunto in due testimoni: Vat. Lat. 3953 e 3954; così come le liste del 1481: Vat. Lat. 3947 e 3952. Per un’edizione moderna e per indicazioni più precise in merito si veda </w:t>
      </w:r>
      <w:r w:rsidRPr="00796A9D">
        <w:rPr>
          <w:rFonts w:ascii="Times New Roman" w:hAnsi="Times New Roman" w:cs="Times New Roman"/>
          <w:smallCaps/>
        </w:rPr>
        <w:t>P. Scarcia Piacentini</w:t>
      </w:r>
      <w:r w:rsidRPr="00796A9D">
        <w:rPr>
          <w:rFonts w:ascii="Times New Roman" w:hAnsi="Times New Roman" w:cs="Times New Roman"/>
        </w:rPr>
        <w:t xml:space="preserve">, </w:t>
      </w:r>
      <w:r w:rsidRPr="00796A9D">
        <w:rPr>
          <w:rFonts w:ascii="Times New Roman" w:hAnsi="Times New Roman" w:cs="Times New Roman"/>
          <w:i/>
        </w:rPr>
        <w:t>Ricerche sugli antichi inventari della Biblioteca Vaticana: i codici di lavoro di Sisto IV</w:t>
      </w:r>
      <w:r w:rsidRPr="00796A9D">
        <w:rPr>
          <w:rFonts w:ascii="Times New Roman" w:hAnsi="Times New Roman" w:cs="Times New Roman"/>
        </w:rPr>
        <w:t xml:space="preserve">, in </w:t>
      </w:r>
      <w:r w:rsidRPr="00796A9D">
        <w:rPr>
          <w:rFonts w:ascii="Times New Roman" w:hAnsi="Times New Roman" w:cs="Times New Roman"/>
          <w:i/>
        </w:rPr>
        <w:t>Un pontificato ed una città: Sisto IV</w:t>
      </w:r>
      <w:r w:rsidRPr="00796A9D">
        <w:rPr>
          <w:rFonts w:ascii="Times New Roman" w:hAnsi="Times New Roman" w:cs="Times New Roman"/>
        </w:rPr>
        <w:t xml:space="preserve">. Atti del Convegno (Roma 3-7 dicembre 1984), a cura di </w:t>
      </w:r>
      <w:r w:rsidRPr="00796A9D">
        <w:rPr>
          <w:rFonts w:ascii="Times New Roman" w:hAnsi="Times New Roman" w:cs="Times New Roman"/>
          <w:smallCaps/>
        </w:rPr>
        <w:t>M. Miglio</w:t>
      </w:r>
      <w:r w:rsidRPr="00796A9D">
        <w:rPr>
          <w:rFonts w:ascii="Times New Roman" w:hAnsi="Times New Roman" w:cs="Times New Roman"/>
        </w:rPr>
        <w:t>, Città del Vaticano, 1999, pp. 116-177.</w:t>
      </w:r>
    </w:p>
  </w:footnote>
  <w:footnote w:id="83">
    <w:p w14:paraId="7A80A1A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cardinale d’Albi, al momento della morte, possedeva due biblioteche. L’una in Francia, lasciata in eredità a suo nipote Enrico, l’altra a Roma, dove aveva svolto una brillante carriera diplomatica. L’acquisizione del suo patrimonio librario fece aumentare sensibilmente il numero di volumi altomedievali presenti in Vaticano, oltre a determinare l’arrivo di codici finemente miniati</w:t>
      </w:r>
      <w:r w:rsidRPr="00796A9D">
        <w:rPr>
          <w:rFonts w:ascii="Times New Roman" w:hAnsi="Times New Roman" w:cs="Times New Roman"/>
          <w:i/>
        </w:rPr>
        <w:t xml:space="preserve">. </w:t>
      </w:r>
      <w:r w:rsidRPr="00796A9D">
        <w:rPr>
          <w:rFonts w:ascii="Times New Roman" w:hAnsi="Times New Roman" w:cs="Times New Roman"/>
        </w:rPr>
        <w:t>Per le committenze del prelato e l’importante esportazione di libri italiani alla corte di Luigi XI per suo merito</w:t>
      </w:r>
      <w:r w:rsidRPr="00796A9D">
        <w:rPr>
          <w:rFonts w:ascii="Times New Roman" w:hAnsi="Times New Roman" w:cs="Times New Roman"/>
          <w:i/>
        </w:rPr>
        <w:t xml:space="preserve"> </w:t>
      </w:r>
      <w:r w:rsidRPr="00796A9D">
        <w:rPr>
          <w:rFonts w:ascii="Times New Roman" w:hAnsi="Times New Roman" w:cs="Times New Roman"/>
        </w:rPr>
        <w:t xml:space="preserve">vedi </w:t>
      </w:r>
      <w:r w:rsidRPr="00796A9D">
        <w:rPr>
          <w:rFonts w:ascii="Times New Roman" w:hAnsi="Times New Roman" w:cs="Times New Roman"/>
          <w:smallCaps/>
        </w:rPr>
        <w:t>G. Toscano</w:t>
      </w:r>
      <w:r w:rsidRPr="00796A9D">
        <w:rPr>
          <w:rFonts w:ascii="Times New Roman" w:hAnsi="Times New Roman" w:cs="Times New Roman"/>
        </w:rPr>
        <w:t xml:space="preserve">, </w:t>
      </w:r>
      <w:r w:rsidRPr="00796A9D">
        <w:rPr>
          <w:rFonts w:ascii="Times New Roman" w:hAnsi="Times New Roman" w:cs="Times New Roman"/>
          <w:i/>
        </w:rPr>
        <w:t>Le cardinal Jean Jouffroy ou l’introduction du livre italien de la Renaissance en France</w:t>
      </w:r>
      <w:r w:rsidRPr="00796A9D">
        <w:rPr>
          <w:rFonts w:ascii="Times New Roman" w:hAnsi="Times New Roman" w:cs="Times New Roman"/>
        </w:rPr>
        <w:t xml:space="preserve">, in </w:t>
      </w:r>
      <w:r w:rsidRPr="00796A9D">
        <w:rPr>
          <w:rFonts w:ascii="Times New Roman" w:hAnsi="Times New Roman" w:cs="Times New Roman"/>
          <w:i/>
        </w:rPr>
        <w:t>Le goût de la Renaissance italienne. Le manuscripts enluminés de Jean Jouffroy, cardianl d’Albi (1412-1473),</w:t>
      </w:r>
      <w:r w:rsidRPr="00796A9D">
        <w:rPr>
          <w:rFonts w:ascii="Times New Roman" w:hAnsi="Times New Roman" w:cs="Times New Roman"/>
        </w:rPr>
        <w:t xml:space="preserve"> sous la direction de </w:t>
      </w:r>
      <w:r w:rsidRPr="00796A9D">
        <w:rPr>
          <w:rFonts w:ascii="Times New Roman" w:hAnsi="Times New Roman" w:cs="Times New Roman"/>
          <w:smallCaps/>
        </w:rPr>
        <w:t>M. Desachy, G. Toscano</w:t>
      </w:r>
      <w:r w:rsidRPr="00796A9D">
        <w:rPr>
          <w:rFonts w:ascii="Times New Roman" w:hAnsi="Times New Roman" w:cs="Times New Roman"/>
        </w:rPr>
        <w:t>, Cinisello Balsamo, Silvana, 2010, pp. 105-136.</w:t>
      </w:r>
    </w:p>
  </w:footnote>
  <w:footnote w:id="84">
    <w:p w14:paraId="33C6F8A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le biblioteche incamerate durante il pontificato di Sisto IV vedi </w:t>
      </w:r>
      <w:r w:rsidRPr="00796A9D">
        <w:rPr>
          <w:rFonts w:ascii="Times New Roman" w:hAnsi="Times New Roman" w:cs="Times New Roman"/>
          <w:smallCaps/>
        </w:rPr>
        <w:t>P. Piacentini</w:t>
      </w:r>
      <w:r w:rsidRPr="00796A9D">
        <w:rPr>
          <w:rFonts w:ascii="Times New Roman" w:hAnsi="Times New Roman" w:cs="Times New Roman"/>
        </w:rPr>
        <w:t xml:space="preserve">, </w:t>
      </w:r>
      <w:r w:rsidRPr="00796A9D">
        <w:rPr>
          <w:rFonts w:ascii="Times New Roman" w:hAnsi="Times New Roman" w:cs="Times New Roman"/>
          <w:i/>
        </w:rPr>
        <w:t>Le biblioteche papali</w:t>
      </w:r>
      <w:r w:rsidRPr="00796A9D">
        <w:rPr>
          <w:rFonts w:ascii="Times New Roman" w:hAnsi="Times New Roman" w:cs="Times New Roman"/>
        </w:rPr>
        <w:t xml:space="preserve">, pp. 146-147. </w:t>
      </w:r>
    </w:p>
  </w:footnote>
  <w:footnote w:id="85">
    <w:p w14:paraId="733F2A3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 profilo di questi collaboratori di Platina in</w:t>
      </w:r>
      <w:r w:rsidRPr="00796A9D">
        <w:rPr>
          <w:rFonts w:ascii="Times New Roman" w:hAnsi="Times New Roman" w:cs="Times New Roman"/>
          <w:smallCaps/>
        </w:rPr>
        <w:t xml:space="preserve"> J. Ruysschaert</w:t>
      </w:r>
      <w:r w:rsidRPr="00796A9D">
        <w:rPr>
          <w:rFonts w:ascii="Times New Roman" w:hAnsi="Times New Roman" w:cs="Times New Roman"/>
        </w:rPr>
        <w:t xml:space="preserve">, </w:t>
      </w:r>
      <w:r w:rsidRPr="00796A9D">
        <w:rPr>
          <w:rFonts w:ascii="Times New Roman" w:hAnsi="Times New Roman" w:cs="Times New Roman"/>
          <w:i/>
        </w:rPr>
        <w:t>Les collaborateurs stables de Platina, premier bibliothécaire de la Vaticane (1475-1481),</w:t>
      </w:r>
      <w:r w:rsidRPr="00796A9D">
        <w:rPr>
          <w:rFonts w:ascii="Times New Roman" w:hAnsi="Times New Roman" w:cs="Times New Roman"/>
        </w:rPr>
        <w:t xml:space="preserve"> in </w:t>
      </w:r>
      <w:r w:rsidRPr="00796A9D">
        <w:rPr>
          <w:rFonts w:ascii="Times New Roman" w:hAnsi="Times New Roman" w:cs="Times New Roman"/>
          <w:i/>
        </w:rPr>
        <w:t>Palaeographica diplomatica et archivistica</w:t>
      </w:r>
      <w:r w:rsidRPr="00796A9D">
        <w:rPr>
          <w:rFonts w:ascii="Times New Roman" w:hAnsi="Times New Roman" w:cs="Times New Roman"/>
        </w:rPr>
        <w:t xml:space="preserve">. Studi in onore di Giulio Battelli, Roma, Edizioni di storia e letteratura, 1979, pp. 579-591. </w:t>
      </w:r>
    </w:p>
  </w:footnote>
  <w:footnote w:id="86">
    <w:p w14:paraId="5943553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lo studio di questa ampia documentazione, che rese la Vaticana una biblioteca d’avanguardia nel contesto delle coeve istituzioni europee, cfr. </w:t>
      </w:r>
      <w:r w:rsidRPr="00796A9D">
        <w:rPr>
          <w:rFonts w:ascii="Times New Roman" w:hAnsi="Times New Roman" w:cs="Times New Roman"/>
          <w:smallCaps/>
        </w:rPr>
        <w:t>P. Piacentini</w:t>
      </w:r>
      <w:r w:rsidRPr="00796A9D">
        <w:rPr>
          <w:rFonts w:ascii="Times New Roman" w:hAnsi="Times New Roman" w:cs="Times New Roman"/>
        </w:rPr>
        <w:t xml:space="preserve">, </w:t>
      </w:r>
      <w:r w:rsidRPr="00796A9D">
        <w:rPr>
          <w:rFonts w:ascii="Times New Roman" w:hAnsi="Times New Roman" w:cs="Times New Roman"/>
          <w:i/>
        </w:rPr>
        <w:t>Platina, la Biblioteca Vaticana e i registri di introitus ed exitus. Da una ricerca di Giuseppe Lombardi</w:t>
      </w:r>
      <w:r w:rsidRPr="00796A9D">
        <w:rPr>
          <w:rFonts w:ascii="Times New Roman" w:hAnsi="Times New Roman" w:cs="Times New Roman"/>
        </w:rPr>
        <w:t xml:space="preserve">, Roma, Roma nel Rinascimento, 2009. </w:t>
      </w:r>
    </w:p>
  </w:footnote>
  <w:footnote w:id="87">
    <w:p w14:paraId="072A470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Pr>
          <w:rFonts w:ascii="Times New Roman" w:hAnsi="Times New Roman" w:cs="Times New Roman"/>
        </w:rPr>
        <w:t xml:space="preserve"> </w:t>
      </w:r>
      <w:r w:rsidRPr="00796A9D">
        <w:rPr>
          <w:rFonts w:ascii="Times New Roman" w:hAnsi="Times New Roman" w:cs="Times New Roman"/>
        </w:rPr>
        <w:t xml:space="preserve">Per l’affresco, opera di un artista probabilmente appartenuto alla cerchia di </w:t>
      </w:r>
      <w:bookmarkStart w:id="53" w:name="_Hlk535779622"/>
      <w:r w:rsidRPr="00796A9D">
        <w:rPr>
          <w:rFonts w:ascii="Times New Roman" w:hAnsi="Times New Roman" w:cs="Times New Roman"/>
        </w:rPr>
        <w:t>Melozzo da Forlì</w:t>
      </w:r>
      <w:bookmarkEnd w:id="53"/>
      <w:r w:rsidRPr="00796A9D">
        <w:rPr>
          <w:rFonts w:ascii="Times New Roman" w:hAnsi="Times New Roman" w:cs="Times New Roman"/>
        </w:rPr>
        <w:t>, e per il coinvolgimento del Platina nel programma iconografico</w:t>
      </w:r>
      <w:r>
        <w:rPr>
          <w:rFonts w:ascii="Times New Roman" w:hAnsi="Times New Roman" w:cs="Times New Roman"/>
        </w:rPr>
        <w:t xml:space="preserve"> del ciclo di pitture parietali dell’Ospedale</w:t>
      </w:r>
      <w:r w:rsidRPr="00796A9D">
        <w:rPr>
          <w:rFonts w:ascii="Times New Roman" w:hAnsi="Times New Roman" w:cs="Times New Roman"/>
        </w:rPr>
        <w:t xml:space="preserve">, cfr. </w:t>
      </w:r>
      <w:r w:rsidRPr="00796A9D">
        <w:rPr>
          <w:rFonts w:ascii="Times New Roman" w:hAnsi="Times New Roman" w:cs="Times New Roman"/>
          <w:smallCaps/>
        </w:rPr>
        <w:t xml:space="preserve">E. </w:t>
      </w:r>
      <w:bookmarkStart w:id="54" w:name="_Hlk524701582"/>
      <w:r w:rsidRPr="00796A9D">
        <w:rPr>
          <w:rFonts w:ascii="Times New Roman" w:hAnsi="Times New Roman" w:cs="Times New Roman"/>
          <w:smallCaps/>
        </w:rPr>
        <w:t>D. Howe</w:t>
      </w:r>
      <w:r w:rsidRPr="00796A9D">
        <w:rPr>
          <w:rFonts w:ascii="Times New Roman" w:hAnsi="Times New Roman" w:cs="Times New Roman"/>
        </w:rPr>
        <w:t xml:space="preserve">, </w:t>
      </w:r>
      <w:r w:rsidRPr="00796A9D">
        <w:rPr>
          <w:rFonts w:ascii="Times New Roman" w:hAnsi="Times New Roman" w:cs="Times New Roman"/>
          <w:i/>
        </w:rPr>
        <w:t>Art and Culture at the Sistine Court</w:t>
      </w:r>
      <w:bookmarkEnd w:id="54"/>
      <w:r w:rsidRPr="00796A9D">
        <w:rPr>
          <w:rFonts w:ascii="Times New Roman" w:hAnsi="Times New Roman" w:cs="Times New Roman"/>
          <w:i/>
        </w:rPr>
        <w:t>. Platina’s Life of Sixtus IV and the Frescos of the Hospital of Santo Spirito</w:t>
      </w:r>
      <w:r w:rsidRPr="00796A9D">
        <w:rPr>
          <w:rFonts w:ascii="Times New Roman" w:hAnsi="Times New Roman" w:cs="Times New Roman"/>
        </w:rPr>
        <w:t xml:space="preserve">, Città del Vaticano, Biblioteca Apostolica Vaticana, 2005, pp. 118-122. Agli anni 1476-1477 si data inoltre il </w:t>
      </w:r>
      <w:r w:rsidRPr="00796A9D">
        <w:rPr>
          <w:rFonts w:ascii="Times New Roman" w:hAnsi="Times New Roman" w:cs="Times New Roman"/>
          <w:i/>
        </w:rPr>
        <w:t>Convivum scientiarum</w:t>
      </w:r>
      <w:r w:rsidRPr="00796A9D">
        <w:rPr>
          <w:rFonts w:ascii="Times New Roman" w:hAnsi="Times New Roman" w:cs="Times New Roman"/>
        </w:rPr>
        <w:t xml:space="preserve">, un poemetto di circa duemila versi del notaio romano </w:t>
      </w:r>
      <w:bookmarkStart w:id="55" w:name="_Hlk535779761"/>
      <w:r w:rsidRPr="00796A9D">
        <w:rPr>
          <w:rFonts w:ascii="Times New Roman" w:hAnsi="Times New Roman" w:cs="Times New Roman"/>
        </w:rPr>
        <w:t>Antonio de Thomeis</w:t>
      </w:r>
      <w:bookmarkEnd w:id="55"/>
      <w:r w:rsidRPr="00796A9D">
        <w:rPr>
          <w:rFonts w:ascii="Times New Roman" w:hAnsi="Times New Roman" w:cs="Times New Roman"/>
        </w:rPr>
        <w:t xml:space="preserve">. Nel testo l’autore descrisse la propria visita alla raccolta pontificia, elencando scrupolosamente i titoli ivi reperibili, e certificando in tal modo come essa fosse accessibile ad alcuni ospiti. Si veda: </w:t>
      </w:r>
      <w:r w:rsidRPr="00796A9D">
        <w:rPr>
          <w:rFonts w:ascii="Times New Roman" w:hAnsi="Times New Roman" w:cs="Times New Roman"/>
          <w:smallCaps/>
        </w:rPr>
        <w:t>A. de Thomeis</w:t>
      </w:r>
      <w:r w:rsidRPr="00796A9D">
        <w:rPr>
          <w:rFonts w:ascii="Times New Roman" w:hAnsi="Times New Roman" w:cs="Times New Roman"/>
        </w:rPr>
        <w:t xml:space="preserve">, </w:t>
      </w:r>
      <w:r w:rsidRPr="00796A9D">
        <w:rPr>
          <w:rFonts w:ascii="Times New Roman" w:hAnsi="Times New Roman" w:cs="Times New Roman"/>
          <w:i/>
        </w:rPr>
        <w:t>Rime. Convivium scientiarum</w:t>
      </w:r>
      <w:r w:rsidRPr="00796A9D">
        <w:rPr>
          <w:rFonts w:ascii="Times New Roman" w:hAnsi="Times New Roman" w:cs="Times New Roman"/>
        </w:rPr>
        <w:t xml:space="preserve">, a cura di </w:t>
      </w:r>
      <w:r w:rsidRPr="00796A9D">
        <w:rPr>
          <w:rFonts w:ascii="Times New Roman" w:hAnsi="Times New Roman" w:cs="Times New Roman"/>
          <w:smallCaps/>
        </w:rPr>
        <w:t>F. Carboni, A. Manfredi</w:t>
      </w:r>
      <w:r w:rsidRPr="00796A9D">
        <w:rPr>
          <w:rFonts w:ascii="Times New Roman" w:hAnsi="Times New Roman" w:cs="Times New Roman"/>
        </w:rPr>
        <w:t xml:space="preserve">, Città del Vaticano, Studi e testi, 1999. </w:t>
      </w:r>
    </w:p>
  </w:footnote>
  <w:footnote w:id="88">
    <w:p w14:paraId="7BF2A12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le vicende della Vaticana nel passaggio dal XV al XVI secolo rinvio a </w:t>
      </w:r>
      <w:r w:rsidRPr="00796A9D">
        <w:rPr>
          <w:rFonts w:ascii="Times New Roman" w:hAnsi="Times New Roman" w:cs="Times New Roman"/>
          <w:smallCaps/>
        </w:rPr>
        <w:t>A. Rita</w:t>
      </w:r>
      <w:r w:rsidRPr="00796A9D">
        <w:rPr>
          <w:rFonts w:ascii="Times New Roman" w:hAnsi="Times New Roman" w:cs="Times New Roman"/>
        </w:rPr>
        <w:t xml:space="preserve">, </w:t>
      </w:r>
      <w:r w:rsidRPr="00796A9D">
        <w:rPr>
          <w:rFonts w:ascii="Times New Roman" w:hAnsi="Times New Roman" w:cs="Times New Roman"/>
          <w:i/>
        </w:rPr>
        <w:t>Per la storia della Vaticana nel primo Rinascimento</w:t>
      </w:r>
      <w:r w:rsidRPr="00796A9D">
        <w:rPr>
          <w:rFonts w:ascii="Times New Roman" w:hAnsi="Times New Roman" w:cs="Times New Roman"/>
        </w:rPr>
        <w:t xml:space="preserve">, in </w:t>
      </w:r>
      <w:r w:rsidRPr="00796A9D">
        <w:rPr>
          <w:rFonts w:ascii="Times New Roman" w:hAnsi="Times New Roman" w:cs="Times New Roman"/>
          <w:i/>
        </w:rPr>
        <w:t>Le origini della Biblioteca Vaticana tra Umanesimo e Rinascimento (1447-1534)</w:t>
      </w:r>
      <w:r w:rsidRPr="00796A9D">
        <w:rPr>
          <w:rFonts w:ascii="Times New Roman" w:hAnsi="Times New Roman" w:cs="Times New Roman"/>
        </w:rPr>
        <w:t xml:space="preserve">, cit., pp. 239-307, dove si mette in risalto la continuità di Innocenzo VIII e Alessandro VI nello scegliere come bibliotecari personalità di alto profilo culturale, capaci di intrattenere fecondi rapporti con i circoli e le accademie attive nell’Urbe.   </w:t>
      </w:r>
    </w:p>
  </w:footnote>
  <w:footnote w:id="89">
    <w:p w14:paraId="261DC41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Torroncelli</w:t>
      </w:r>
      <w:r w:rsidRPr="00796A9D">
        <w:rPr>
          <w:rFonts w:ascii="Times New Roman" w:hAnsi="Times New Roman" w:cs="Times New Roman"/>
        </w:rPr>
        <w:t xml:space="preserve">, </w:t>
      </w:r>
      <w:r w:rsidRPr="00796A9D">
        <w:rPr>
          <w:rFonts w:ascii="Times New Roman" w:hAnsi="Times New Roman" w:cs="Times New Roman"/>
          <w:i/>
        </w:rPr>
        <w:t>Note per la Biblioteca di Marco Barbo</w:t>
      </w:r>
      <w:r w:rsidRPr="00796A9D">
        <w:rPr>
          <w:rFonts w:ascii="Times New Roman" w:hAnsi="Times New Roman" w:cs="Times New Roman"/>
        </w:rPr>
        <w:t xml:space="preserve">, in </w:t>
      </w:r>
      <w:r w:rsidRPr="00796A9D">
        <w:rPr>
          <w:rFonts w:ascii="Times New Roman" w:hAnsi="Times New Roman" w:cs="Times New Roman"/>
          <w:i/>
        </w:rPr>
        <w:t>Scrittura, biblioteche e stampa a Roma nel Quattrocento</w:t>
      </w:r>
      <w:r w:rsidRPr="00796A9D">
        <w:rPr>
          <w:rFonts w:ascii="Times New Roman" w:hAnsi="Times New Roman" w:cs="Times New Roman"/>
        </w:rPr>
        <w:t xml:space="preserve">. </w:t>
      </w:r>
      <w:r w:rsidRPr="00796A9D">
        <w:rPr>
          <w:rFonts w:ascii="Times New Roman" w:hAnsi="Times New Roman" w:cs="Times New Roman"/>
          <w:i/>
        </w:rPr>
        <w:t>Aspetti e problemi</w:t>
      </w:r>
      <w:r w:rsidRPr="00796A9D">
        <w:rPr>
          <w:rFonts w:ascii="Times New Roman" w:hAnsi="Times New Roman" w:cs="Times New Roman"/>
        </w:rPr>
        <w:t xml:space="preserve">. Atti del Seminario 1-2 giugno 1979, a cura di </w:t>
      </w:r>
      <w:r w:rsidRPr="00796A9D">
        <w:rPr>
          <w:rFonts w:ascii="Times New Roman" w:hAnsi="Times New Roman" w:cs="Times New Roman"/>
          <w:smallCaps/>
        </w:rPr>
        <w:t>C. Bianca, P. Farenga, G. Lombardi</w:t>
      </w:r>
      <w:r w:rsidRPr="00796A9D">
        <w:rPr>
          <w:rFonts w:ascii="Times New Roman" w:hAnsi="Times New Roman" w:cs="Times New Roman"/>
        </w:rPr>
        <w:t xml:space="preserve">, Città del Vaticano, Scuola vaticana di paleografia, diplomatica e archivistica, 1980, pp. 343-352, dove si osserva che la raccolta fu effettivamente dispersa dopo la morte del Barbo, il quale non aveva lasciato indicazioni testamentarie in merito ad essa. Diversi volumi entrarono però nella collezione di Innocenzo VIII, il quale, per supplica degli esecutori testamentari, sostenne anche le spese per i funerali del cardinale. </w:t>
      </w:r>
    </w:p>
  </w:footnote>
  <w:footnote w:id="90">
    <w:p w14:paraId="5EF9701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ASNa, Cedole della Tesoreria Aragonese, vol. VI, f. 262v. Edita in </w:t>
      </w:r>
      <w:r w:rsidRPr="00796A9D">
        <w:rPr>
          <w:rFonts w:ascii="Times New Roman" w:hAnsi="Times New Roman" w:cs="Times New Roman"/>
          <w:smallCaps/>
        </w:rPr>
        <w:t>T. de Marinis</w:t>
      </w:r>
      <w:r w:rsidRPr="00796A9D">
        <w:rPr>
          <w:rFonts w:ascii="Times New Roman" w:hAnsi="Times New Roman" w:cs="Times New Roman"/>
        </w:rPr>
        <w:t xml:space="preserve">, </w:t>
      </w:r>
      <w:r w:rsidRPr="00796A9D">
        <w:rPr>
          <w:rFonts w:ascii="Times New Roman" w:hAnsi="Times New Roman" w:cs="Times New Roman"/>
          <w:i/>
        </w:rPr>
        <w:t>La biblioteca napoletana dei re d’Aragona</w:t>
      </w:r>
      <w:r w:rsidRPr="00796A9D">
        <w:rPr>
          <w:rFonts w:ascii="Times New Roman" w:hAnsi="Times New Roman" w:cs="Times New Roman"/>
        </w:rPr>
        <w:t xml:space="preserve">, Milano, Hoepli, 1947, vol. II, pp. 228.   </w:t>
      </w:r>
    </w:p>
  </w:footnote>
  <w:footnote w:id="91">
    <w:p w14:paraId="224EF1B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smallCaps/>
        </w:rPr>
        <w:t>,</w:t>
      </w:r>
      <w:r w:rsidRPr="00796A9D">
        <w:rPr>
          <w:rFonts w:ascii="Times New Roman" w:hAnsi="Times New Roman" w:cs="Times New Roman"/>
        </w:rPr>
        <w:t xml:space="preserve"> vol. I, p. 13. La notizia è riferita da Vespasiano da Bisticci nella </w:t>
      </w:r>
      <w:r w:rsidRPr="00796A9D">
        <w:rPr>
          <w:rFonts w:ascii="Times New Roman" w:hAnsi="Times New Roman" w:cs="Times New Roman"/>
          <w:i/>
        </w:rPr>
        <w:t>Vita di Giannozzo Manetti</w:t>
      </w:r>
      <w:r w:rsidRPr="00796A9D">
        <w:rPr>
          <w:rFonts w:ascii="Times New Roman" w:hAnsi="Times New Roman" w:cs="Times New Roman"/>
        </w:rPr>
        <w:t>, che dice di aver visto il Magnanimo in dotte discussioni con gli intellettuali riuniti alla sua corte.</w:t>
      </w:r>
    </w:p>
  </w:footnote>
  <w:footnote w:id="92">
    <w:p w14:paraId="499C9409"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Riguardo al metodo di lavoro di De Marinis, basato essenzialmente sullo spoglio della documentazione della tesoreria e della cancelleria aragonesi e sull’analisi di stemmi e note di possesso conservati nei codici dalla biblioteca di Napoli, e in merito all’aggiornamento delle sue ricerche, vedi </w:t>
      </w:r>
      <w:bookmarkStart w:id="56" w:name="_Hlk487789994"/>
      <w:r w:rsidRPr="00796A9D">
        <w:rPr>
          <w:rFonts w:ascii="Times New Roman" w:hAnsi="Times New Roman" w:cs="Times New Roman"/>
          <w:smallCaps/>
          <w:sz w:val="20"/>
          <w:szCs w:val="20"/>
        </w:rPr>
        <w:t>G. Toscano</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La biblioteca napoletana dei re d’Aragona da Tammaro de Marinis ad oggi. Studi e prospettive</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Biblioteche nel Regno fra Tre e Cinquecento</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C. Corfiati, M. de Nichilo</w:t>
      </w:r>
      <w:r w:rsidRPr="00796A9D">
        <w:rPr>
          <w:rFonts w:ascii="Times New Roman" w:hAnsi="Times New Roman" w:cs="Times New Roman"/>
          <w:sz w:val="20"/>
          <w:szCs w:val="20"/>
        </w:rPr>
        <w:t xml:space="preserve">, Lecce, Pensa Multimedia, 2009, pp. 29-63. </w:t>
      </w:r>
      <w:bookmarkEnd w:id="56"/>
      <w:r w:rsidRPr="00796A9D">
        <w:rPr>
          <w:rFonts w:ascii="Times New Roman" w:hAnsi="Times New Roman" w:cs="Times New Roman"/>
          <w:sz w:val="20"/>
          <w:szCs w:val="20"/>
        </w:rPr>
        <w:t xml:space="preserve"> </w:t>
      </w:r>
    </w:p>
  </w:footnote>
  <w:footnote w:id="93">
    <w:p w14:paraId="16E7F5D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T. de Marinis</w:t>
      </w:r>
      <w:r w:rsidRPr="00796A9D">
        <w:rPr>
          <w:rFonts w:ascii="Times New Roman" w:hAnsi="Times New Roman" w:cs="Times New Roman"/>
        </w:rPr>
        <w:t xml:space="preserve">, </w:t>
      </w:r>
      <w:r w:rsidRPr="00796A9D">
        <w:rPr>
          <w:rFonts w:ascii="Times New Roman" w:hAnsi="Times New Roman" w:cs="Times New Roman"/>
          <w:i/>
        </w:rPr>
        <w:t>La biblioteca napoletana dei re d’Aragona</w:t>
      </w:r>
      <w:r w:rsidRPr="00796A9D">
        <w:rPr>
          <w:rFonts w:ascii="Times New Roman" w:hAnsi="Times New Roman" w:cs="Times New Roman"/>
        </w:rPr>
        <w:t xml:space="preserve">, cit., vol. I, pp. 1-2. </w:t>
      </w:r>
    </w:p>
  </w:footnote>
  <w:footnote w:id="94">
    <w:p w14:paraId="5BCEE10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L’espressione si deve ad A. </w:t>
      </w:r>
      <w:r w:rsidRPr="00796A9D">
        <w:rPr>
          <w:rFonts w:ascii="Times New Roman" w:hAnsi="Times New Roman" w:cs="Times New Roman"/>
          <w:smallCaps/>
        </w:rPr>
        <w:t>Petrucci</w:t>
      </w:r>
      <w:r w:rsidRPr="00796A9D">
        <w:rPr>
          <w:rFonts w:ascii="Times New Roman" w:hAnsi="Times New Roman" w:cs="Times New Roman"/>
        </w:rPr>
        <w:t xml:space="preserve">, </w:t>
      </w:r>
      <w:r w:rsidRPr="00796A9D">
        <w:rPr>
          <w:rFonts w:ascii="Times New Roman" w:hAnsi="Times New Roman" w:cs="Times New Roman"/>
          <w:i/>
        </w:rPr>
        <w:t>Biblioteca, libri, scritture nella Napoli aragonese</w:t>
      </w:r>
      <w:r w:rsidRPr="00796A9D">
        <w:rPr>
          <w:rFonts w:ascii="Times New Roman" w:hAnsi="Times New Roman" w:cs="Times New Roman"/>
        </w:rPr>
        <w:t xml:space="preserve"> in </w:t>
      </w:r>
      <w:r w:rsidRPr="00796A9D">
        <w:rPr>
          <w:rFonts w:ascii="Times New Roman" w:hAnsi="Times New Roman" w:cs="Times New Roman"/>
          <w:i/>
        </w:rPr>
        <w:t>Le biblioteche nel mondo antico e medievale</w:t>
      </w:r>
      <w:r w:rsidRPr="00796A9D">
        <w:rPr>
          <w:rFonts w:ascii="Times New Roman" w:hAnsi="Times New Roman" w:cs="Times New Roman"/>
        </w:rPr>
        <w:t xml:space="preserve">, cit., p. 186. </w:t>
      </w:r>
    </w:p>
  </w:footnote>
  <w:footnote w:id="95">
    <w:p w14:paraId="2A9C35B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184. </w:t>
      </w:r>
    </w:p>
  </w:footnote>
  <w:footnote w:id="96">
    <w:p w14:paraId="45C59BB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L’accordo è testimoniato da una lettera dell’Acciaiuoli a Vespasiano da Bisticci del 21 luglio 1463, sulla quale cfr. </w:t>
      </w:r>
      <w:r w:rsidRPr="00796A9D">
        <w:rPr>
          <w:rFonts w:ascii="Times New Roman" w:hAnsi="Times New Roman" w:cs="Times New Roman"/>
          <w:smallCaps/>
        </w:rPr>
        <w:t>G.M. Cagni</w:t>
      </w:r>
      <w:r w:rsidRPr="00796A9D">
        <w:rPr>
          <w:rFonts w:ascii="Times New Roman" w:hAnsi="Times New Roman" w:cs="Times New Roman"/>
        </w:rPr>
        <w:t xml:space="preserve">, </w:t>
      </w:r>
      <w:r w:rsidRPr="00796A9D">
        <w:rPr>
          <w:rFonts w:ascii="Times New Roman" w:hAnsi="Times New Roman" w:cs="Times New Roman"/>
          <w:i/>
        </w:rPr>
        <w:t>Vespasiano da Bisticci e il suo epistolario</w:t>
      </w:r>
      <w:r w:rsidRPr="00796A9D">
        <w:rPr>
          <w:rFonts w:ascii="Times New Roman" w:hAnsi="Times New Roman" w:cs="Times New Roman"/>
        </w:rPr>
        <w:t>, cit., pp. 149-150.</w:t>
      </w:r>
    </w:p>
  </w:footnote>
  <w:footnote w:id="97">
    <w:p w14:paraId="48F3034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tratta dell’inventario A pubblicato in </w:t>
      </w:r>
      <w:r w:rsidRPr="00796A9D">
        <w:rPr>
          <w:rFonts w:ascii="Times New Roman" w:hAnsi="Times New Roman" w:cs="Times New Roman"/>
          <w:smallCaps/>
        </w:rPr>
        <w:t>T. de Marinis</w:t>
      </w:r>
      <w:r w:rsidRPr="00796A9D">
        <w:rPr>
          <w:rFonts w:ascii="Times New Roman" w:hAnsi="Times New Roman" w:cs="Times New Roman"/>
        </w:rPr>
        <w:t xml:space="preserve">, </w:t>
      </w:r>
      <w:r w:rsidRPr="00796A9D">
        <w:rPr>
          <w:rFonts w:ascii="Times New Roman" w:hAnsi="Times New Roman" w:cs="Times New Roman"/>
          <w:i/>
        </w:rPr>
        <w:t>La biblioteca napoletana dei re d’Aragona</w:t>
      </w:r>
      <w:r w:rsidRPr="00796A9D">
        <w:rPr>
          <w:rFonts w:ascii="Times New Roman" w:hAnsi="Times New Roman" w:cs="Times New Roman"/>
        </w:rPr>
        <w:t xml:space="preserve">, cit., vol. II, pp. 187-192. La lista fu redatta da consulenti dei Pandolfini, che predilessero i libri maggiormente corrispondenti ai canoni del libro fiorentino del secondo Quattrocento, trascurando i codici medievali portati dalla Spagna dal Magnanimo. L’elenco non restituisce pertanto un’immagine veridica della raccolta regia. Per la confisca dei beni ai baroni napoletani vedi </w:t>
      </w:r>
      <w:r w:rsidRPr="00796A9D">
        <w:rPr>
          <w:rFonts w:ascii="Times New Roman" w:hAnsi="Times New Roman" w:cs="Times New Roman"/>
          <w:smallCaps/>
        </w:rPr>
        <w:t>E. Scarton</w:t>
      </w:r>
      <w:r w:rsidRPr="00796A9D">
        <w:rPr>
          <w:rFonts w:ascii="Times New Roman" w:hAnsi="Times New Roman" w:cs="Times New Roman"/>
        </w:rPr>
        <w:t xml:space="preserve">, </w:t>
      </w:r>
      <w:r w:rsidRPr="00796A9D">
        <w:rPr>
          <w:rFonts w:ascii="Times New Roman" w:hAnsi="Times New Roman" w:cs="Times New Roman"/>
          <w:i/>
        </w:rPr>
        <w:t>La congiura dei baroni del 1485-1487 e la sorte dei ribelli</w:t>
      </w:r>
      <w:r w:rsidRPr="00796A9D">
        <w:rPr>
          <w:rFonts w:ascii="Times New Roman" w:hAnsi="Times New Roman" w:cs="Times New Roman"/>
        </w:rPr>
        <w:t xml:space="preserve">, in </w:t>
      </w:r>
      <w:r w:rsidRPr="00796A9D">
        <w:rPr>
          <w:rFonts w:ascii="Times New Roman" w:hAnsi="Times New Roman" w:cs="Times New Roman"/>
          <w:i/>
        </w:rPr>
        <w:t>Poteri, relazioni, guerra nel regno di Ferrante d'Aragona. Studi sulle corrispondenze diplomatiche,</w:t>
      </w:r>
      <w:r w:rsidRPr="00796A9D">
        <w:rPr>
          <w:rFonts w:ascii="Times New Roman" w:hAnsi="Times New Roman" w:cs="Times New Roman"/>
        </w:rPr>
        <w:t xml:space="preserve"> a cura di </w:t>
      </w:r>
      <w:r w:rsidRPr="00796A9D">
        <w:rPr>
          <w:rFonts w:ascii="Times New Roman" w:hAnsi="Times New Roman" w:cs="Times New Roman"/>
          <w:smallCaps/>
        </w:rPr>
        <w:t>F. Senatore, F. Storti</w:t>
      </w:r>
      <w:r w:rsidRPr="00796A9D">
        <w:rPr>
          <w:rFonts w:ascii="Times New Roman" w:hAnsi="Times New Roman" w:cs="Times New Roman"/>
        </w:rPr>
        <w:t xml:space="preserve">, Napoli, Cliopress, 2011, pp. 213-290. La studiosa segnala come Ferrante avesse proceduto anche alla confisca dei beni di alcuni gentiluomini che non fece giustiziare, in ragione del momento di forte necessità economica attraversato dal regno. È quindi probabile che la stessa sorte fosse spettata alle biblioteche dei nobili risparmiati. </w:t>
      </w:r>
    </w:p>
  </w:footnote>
  <w:footnote w:id="98">
    <w:p w14:paraId="2DD1D88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baroni avevano emulato i re d’Aragona nell’allestimento delle loro collezioni. Si badi che solo alcuni volumi delle raccolte sequestrate furono effettivamente collocati nella libreria regia. La più parte di essi fu chiusa invece in casse conservate in Castel Nuovo, dove furono trovate dai soldati di Carlo VIII che ne fecero bottino di guerra. Cfr. </w:t>
      </w:r>
      <w:r w:rsidRPr="00796A9D">
        <w:rPr>
          <w:rFonts w:ascii="Times New Roman" w:hAnsi="Times New Roman" w:cs="Times New Roman"/>
          <w:smallCaps/>
        </w:rPr>
        <w:t>G. Toscano</w:t>
      </w:r>
      <w:r w:rsidRPr="00796A9D">
        <w:rPr>
          <w:rFonts w:ascii="Times New Roman" w:hAnsi="Times New Roman" w:cs="Times New Roman"/>
        </w:rPr>
        <w:t xml:space="preserve">, </w:t>
      </w:r>
      <w:r w:rsidRPr="00796A9D">
        <w:rPr>
          <w:rFonts w:ascii="Times New Roman" w:hAnsi="Times New Roman" w:cs="Times New Roman"/>
          <w:i/>
        </w:rPr>
        <w:t>Le biblioteche dei sovrani aragonesi di Napoli</w:t>
      </w:r>
      <w:r w:rsidRPr="00796A9D">
        <w:rPr>
          <w:rFonts w:ascii="Times New Roman" w:hAnsi="Times New Roman" w:cs="Times New Roman"/>
        </w:rPr>
        <w:t xml:space="preserve">, in </w:t>
      </w:r>
      <w:r w:rsidRPr="00796A9D">
        <w:rPr>
          <w:rFonts w:ascii="Times New Roman" w:hAnsi="Times New Roman" w:cs="Times New Roman"/>
          <w:i/>
        </w:rPr>
        <w:t>Principi e Signori</w:t>
      </w:r>
      <w:r w:rsidRPr="00796A9D">
        <w:rPr>
          <w:rFonts w:ascii="Times New Roman" w:hAnsi="Times New Roman" w:cs="Times New Roman"/>
        </w:rPr>
        <w:t xml:space="preserve">, cit, pp. 187-188. Il fondo librario del segretario Petrucci, allievo di Lorenzo Valla e buon conoscitore di lingue classiche, si distingueva in particolare per la presenza delle opere di storici greci. Per esso e per l’identificazione dei libri del segretario nel fondo aragonese oggi alla Bibliothèque Nationale de France rinvio a </w:t>
      </w:r>
      <w:r w:rsidRPr="00796A9D">
        <w:rPr>
          <w:rFonts w:ascii="Times New Roman" w:hAnsi="Times New Roman" w:cs="Times New Roman"/>
          <w:smallCaps/>
        </w:rPr>
        <w:t>R. Ruggiero</w:t>
      </w:r>
      <w:r w:rsidRPr="00796A9D">
        <w:rPr>
          <w:rFonts w:ascii="Times New Roman" w:hAnsi="Times New Roman" w:cs="Times New Roman"/>
        </w:rPr>
        <w:t xml:space="preserve">, </w:t>
      </w:r>
      <w:r w:rsidRPr="00796A9D">
        <w:rPr>
          <w:rFonts w:ascii="Times New Roman" w:hAnsi="Times New Roman" w:cs="Times New Roman"/>
          <w:i/>
        </w:rPr>
        <w:t>«Homines talem scribendi qualem vivendi formulam tenent».</w:t>
      </w:r>
      <w:r w:rsidRPr="00796A9D">
        <w:rPr>
          <w:rFonts w:ascii="Times New Roman" w:hAnsi="Times New Roman" w:cs="Times New Roman"/>
        </w:rPr>
        <w:t xml:space="preserve"> </w:t>
      </w:r>
      <w:r w:rsidRPr="00796A9D">
        <w:rPr>
          <w:rFonts w:ascii="Times New Roman" w:hAnsi="Times New Roman" w:cs="Times New Roman"/>
          <w:i/>
        </w:rPr>
        <w:t>La biblioteca di Antonello Petrucci, “secretario” ribelle</w:t>
      </w:r>
      <w:r w:rsidRPr="00796A9D">
        <w:rPr>
          <w:rFonts w:ascii="Times New Roman" w:hAnsi="Times New Roman" w:cs="Times New Roman"/>
        </w:rPr>
        <w:t xml:space="preserve">, in </w:t>
      </w:r>
      <w:r w:rsidRPr="00796A9D">
        <w:rPr>
          <w:rFonts w:ascii="Times New Roman" w:hAnsi="Times New Roman" w:cs="Times New Roman"/>
          <w:i/>
        </w:rPr>
        <w:t>Biblioteche nel Regno fra Tre e Cinquecento</w:t>
      </w:r>
      <w:r w:rsidRPr="00796A9D">
        <w:rPr>
          <w:rFonts w:ascii="Times New Roman" w:hAnsi="Times New Roman" w:cs="Times New Roman"/>
        </w:rPr>
        <w:t>, cit., pp. 171-192.</w:t>
      </w:r>
    </w:p>
  </w:footnote>
  <w:footnote w:id="99">
    <w:p w14:paraId="666C275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Pare fossero invece assenti libri liturgici e opere di diritto. Per l’identificazione dei volumi del cardinale e per la ricostruzione dei suoi gusti di bibliofilo vedi </w:t>
      </w:r>
      <w:r w:rsidRPr="00796A9D">
        <w:rPr>
          <w:rFonts w:ascii="Times New Roman" w:hAnsi="Times New Roman" w:cs="Times New Roman"/>
          <w:smallCaps/>
        </w:rPr>
        <w:t>T. Haffner</w:t>
      </w:r>
      <w:r w:rsidRPr="00796A9D">
        <w:rPr>
          <w:rFonts w:ascii="Times New Roman" w:hAnsi="Times New Roman" w:cs="Times New Roman"/>
        </w:rPr>
        <w:t xml:space="preserve">, </w:t>
      </w:r>
      <w:r w:rsidRPr="00796A9D">
        <w:rPr>
          <w:rFonts w:ascii="Times New Roman" w:hAnsi="Times New Roman" w:cs="Times New Roman"/>
          <w:i/>
        </w:rPr>
        <w:t>Die Bibliothek des Kardinals Giovanni d'Aragona (1456-1485), Illuminierte Handschriften und Inkunabeln für einen humanistischen Bibliophilen zwischen Neapel und Rom</w:t>
      </w:r>
      <w:r w:rsidRPr="00796A9D">
        <w:rPr>
          <w:rFonts w:ascii="Times New Roman" w:hAnsi="Times New Roman" w:cs="Times New Roman"/>
        </w:rPr>
        <w:t xml:space="preserve">, Wiesbaden, Reichert, 1997, pp. 132-138, cui si rinvia anche per considerazioni sulla sua carriera ecclesiastica e per la diplomazia dai lui esercitata in favore degli aragonesi presso Innocenzo VIII. </w:t>
      </w:r>
    </w:p>
  </w:footnote>
  <w:footnote w:id="100">
    <w:p w14:paraId="5E2E9B0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w:t>
      </w:r>
      <w:r w:rsidRPr="00796A9D">
        <w:rPr>
          <w:rFonts w:ascii="Times New Roman" w:hAnsi="Times New Roman" w:cs="Times New Roman"/>
          <w:smallCaps/>
        </w:rPr>
        <w:t>. G. Toscano</w:t>
      </w:r>
      <w:r w:rsidRPr="00796A9D">
        <w:rPr>
          <w:rFonts w:ascii="Times New Roman" w:hAnsi="Times New Roman" w:cs="Times New Roman"/>
        </w:rPr>
        <w:t xml:space="preserve">, </w:t>
      </w:r>
      <w:r w:rsidRPr="00796A9D">
        <w:rPr>
          <w:rFonts w:ascii="Times New Roman" w:hAnsi="Times New Roman" w:cs="Times New Roman"/>
          <w:i/>
        </w:rPr>
        <w:t>I manoscritti miniati per Isabella di Chiaromonte</w:t>
      </w:r>
      <w:r w:rsidRPr="00796A9D">
        <w:rPr>
          <w:rFonts w:ascii="Times New Roman" w:hAnsi="Times New Roman" w:cs="Times New Roman"/>
        </w:rPr>
        <w:t xml:space="preserve">, in </w:t>
      </w:r>
      <w:r w:rsidRPr="00796A9D">
        <w:rPr>
          <w:rFonts w:ascii="Times New Roman" w:hAnsi="Times New Roman" w:cs="Times New Roman"/>
          <w:i/>
        </w:rPr>
        <w:t>La Biblioteca reale di Napoli al tempo della dinastia aragonese</w:t>
      </w:r>
      <w:r w:rsidRPr="00796A9D">
        <w:rPr>
          <w:rFonts w:ascii="Times New Roman" w:hAnsi="Times New Roman" w:cs="Times New Roman"/>
        </w:rPr>
        <w:t xml:space="preserve">, a cura di </w:t>
      </w:r>
      <w:r w:rsidRPr="00796A9D">
        <w:rPr>
          <w:rFonts w:ascii="Times New Roman" w:hAnsi="Times New Roman" w:cs="Times New Roman"/>
          <w:smallCaps/>
        </w:rPr>
        <w:t>Idem</w:t>
      </w:r>
      <w:r w:rsidRPr="00796A9D">
        <w:rPr>
          <w:rFonts w:ascii="Times New Roman" w:hAnsi="Times New Roman" w:cs="Times New Roman"/>
        </w:rPr>
        <w:t xml:space="preserve">, Valencia, Generalitat Valenciana, 1998, pp. 233-240. </w:t>
      </w:r>
    </w:p>
  </w:footnote>
  <w:footnote w:id="101">
    <w:p w14:paraId="3CFD8A7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Parigi, Biblithèque Nationale de France, MS. FR. 22335, f. 65r. Nel documento, parzialmente edito in </w:t>
      </w:r>
      <w:r w:rsidRPr="00796A9D">
        <w:rPr>
          <w:rFonts w:ascii="Times New Roman" w:hAnsi="Times New Roman" w:cs="Times New Roman"/>
          <w:smallCaps/>
        </w:rPr>
        <w:t>G. Toscano</w:t>
      </w:r>
      <w:r w:rsidRPr="00796A9D">
        <w:rPr>
          <w:rFonts w:ascii="Times New Roman" w:hAnsi="Times New Roman" w:cs="Times New Roman"/>
        </w:rPr>
        <w:t xml:space="preserve">, </w:t>
      </w:r>
      <w:r w:rsidRPr="00796A9D">
        <w:rPr>
          <w:rFonts w:ascii="Times New Roman" w:hAnsi="Times New Roman" w:cs="Times New Roman"/>
          <w:i/>
        </w:rPr>
        <w:t>Le biblioteche dei sovrani aragonesi di Napoli</w:t>
      </w:r>
      <w:r w:rsidRPr="00796A9D">
        <w:rPr>
          <w:rFonts w:ascii="Times New Roman" w:hAnsi="Times New Roman" w:cs="Times New Roman"/>
        </w:rPr>
        <w:t>, cit., p. 211, si fa cenno anche a un inventario mai ritrovato.</w:t>
      </w:r>
    </w:p>
  </w:footnote>
  <w:footnote w:id="102">
    <w:p w14:paraId="65B6094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 dispersione del patrimonio librario aragonese rinvio a G. </w:t>
      </w:r>
      <w:r w:rsidRPr="00796A9D">
        <w:rPr>
          <w:rFonts w:ascii="Times New Roman" w:hAnsi="Times New Roman" w:cs="Times New Roman"/>
          <w:smallCaps/>
        </w:rPr>
        <w:t>Toscano</w:t>
      </w:r>
      <w:r w:rsidRPr="00796A9D">
        <w:rPr>
          <w:rFonts w:ascii="Times New Roman" w:hAnsi="Times New Roman" w:cs="Times New Roman"/>
        </w:rPr>
        <w:t xml:space="preserve">, </w:t>
      </w:r>
      <w:r w:rsidRPr="00796A9D">
        <w:rPr>
          <w:rFonts w:ascii="Times New Roman" w:hAnsi="Times New Roman" w:cs="Times New Roman"/>
          <w:i/>
        </w:rPr>
        <w:t>Il bottino di guerra di Carlo VIII: i manoscritti della biblioteca reale di Napoli</w:t>
      </w:r>
      <w:r w:rsidRPr="00796A9D">
        <w:rPr>
          <w:rFonts w:ascii="Times New Roman" w:hAnsi="Times New Roman" w:cs="Times New Roman"/>
        </w:rPr>
        <w:t xml:space="preserve">, in </w:t>
      </w:r>
      <w:r w:rsidRPr="00796A9D">
        <w:rPr>
          <w:rFonts w:ascii="Times New Roman" w:hAnsi="Times New Roman" w:cs="Times New Roman"/>
          <w:i/>
        </w:rPr>
        <w:t>La biblioteca reale di Napoli</w:t>
      </w:r>
      <w:r w:rsidRPr="00796A9D">
        <w:rPr>
          <w:rFonts w:ascii="Times New Roman" w:hAnsi="Times New Roman" w:cs="Times New Roman"/>
        </w:rPr>
        <w:t>, cit., pp. 279-289.</w:t>
      </w:r>
    </w:p>
  </w:footnote>
  <w:footnote w:id="103">
    <w:p w14:paraId="138E503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Con il </w:t>
      </w:r>
      <w:r w:rsidRPr="00796A9D">
        <w:rPr>
          <w:rFonts w:ascii="Times New Roman" w:hAnsi="Times New Roman" w:cs="Times New Roman"/>
          <w:i/>
        </w:rPr>
        <w:t>motu proprio</w:t>
      </w:r>
      <w:r w:rsidRPr="00796A9D">
        <w:rPr>
          <w:rFonts w:ascii="Times New Roman" w:hAnsi="Times New Roman" w:cs="Times New Roman"/>
        </w:rPr>
        <w:t xml:space="preserve"> del 7 agosto 1657 Alessandro VII Chigi dispose il trasferimento della libreria dei duchi Montefeltro e della Rovere in Vaticano, dove attualmente i codici compongo il Fondo Urbinate della Biblioteca Vaticana. Modeste perdite si erano avute in precedenza a causa della conquista di Urbino del Valentino nel 1502 e dell’invasione dei Palleschi nel 1516. Si veda a riguardo M. </w:t>
      </w:r>
      <w:r w:rsidRPr="00796A9D">
        <w:rPr>
          <w:rFonts w:ascii="Times New Roman" w:hAnsi="Times New Roman" w:cs="Times New Roman"/>
          <w:smallCaps/>
        </w:rPr>
        <w:t>Peruzzi</w:t>
      </w:r>
      <w:r w:rsidRPr="00796A9D">
        <w:rPr>
          <w:rFonts w:ascii="Times New Roman" w:hAnsi="Times New Roman" w:cs="Times New Roman"/>
        </w:rPr>
        <w:t xml:space="preserve">, </w:t>
      </w:r>
      <w:r w:rsidRPr="00796A9D">
        <w:rPr>
          <w:rFonts w:ascii="Times New Roman" w:hAnsi="Times New Roman" w:cs="Times New Roman"/>
          <w:i/>
        </w:rPr>
        <w:t>La biblioteca di Federico da Montefeltro</w:t>
      </w:r>
      <w:r w:rsidRPr="00796A9D">
        <w:rPr>
          <w:rFonts w:ascii="Times New Roman" w:hAnsi="Times New Roman" w:cs="Times New Roman"/>
        </w:rPr>
        <w:t xml:space="preserve">, in </w:t>
      </w:r>
      <w:r w:rsidRPr="00796A9D">
        <w:rPr>
          <w:rFonts w:ascii="Times New Roman" w:hAnsi="Times New Roman" w:cs="Times New Roman"/>
          <w:i/>
        </w:rPr>
        <w:t>Principi e signori</w:t>
      </w:r>
      <w:r w:rsidRPr="00796A9D">
        <w:rPr>
          <w:rFonts w:ascii="Times New Roman" w:hAnsi="Times New Roman" w:cs="Times New Roman"/>
        </w:rPr>
        <w:t xml:space="preserve">, cit., pp. 300-304.  </w:t>
      </w:r>
    </w:p>
  </w:footnote>
  <w:footnote w:id="104">
    <w:p w14:paraId="55A8380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V. da Bisticci</w:t>
      </w:r>
      <w:r w:rsidRPr="00796A9D">
        <w:rPr>
          <w:rFonts w:ascii="Times New Roman" w:hAnsi="Times New Roman" w:cs="Times New Roman"/>
        </w:rPr>
        <w:t xml:space="preserve">, </w:t>
      </w:r>
      <w:r w:rsidRPr="00796A9D">
        <w:rPr>
          <w:rFonts w:ascii="Times New Roman" w:hAnsi="Times New Roman" w:cs="Times New Roman"/>
          <w:i/>
        </w:rPr>
        <w:t>Le vite</w:t>
      </w:r>
      <w:r w:rsidRPr="00796A9D">
        <w:rPr>
          <w:rFonts w:ascii="Times New Roman" w:hAnsi="Times New Roman" w:cs="Times New Roman"/>
        </w:rPr>
        <w:t xml:space="preserve">, cit., vol. I, pp. 386. </w:t>
      </w:r>
    </w:p>
  </w:footnote>
  <w:footnote w:id="105">
    <w:p w14:paraId="3179590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merito alle prime e rare testimonianze sulla biblioteca dei conti di Urbino, alcune delle quali deducibili dalle note di possesso dei codici pervenuti alla Biblioteca Vaticana, cfr. </w:t>
      </w:r>
      <w:r w:rsidRPr="00796A9D">
        <w:rPr>
          <w:rFonts w:ascii="Times New Roman" w:hAnsi="Times New Roman" w:cs="Times New Roman"/>
          <w:smallCaps/>
        </w:rPr>
        <w:t>M. Moranti</w:t>
      </w:r>
      <w:r w:rsidRPr="00796A9D">
        <w:rPr>
          <w:rFonts w:ascii="Times New Roman" w:hAnsi="Times New Roman" w:cs="Times New Roman"/>
        </w:rPr>
        <w:t xml:space="preserve">, </w:t>
      </w:r>
      <w:r w:rsidRPr="00796A9D">
        <w:rPr>
          <w:rFonts w:ascii="Times New Roman" w:hAnsi="Times New Roman" w:cs="Times New Roman"/>
          <w:i/>
        </w:rPr>
        <w:t>Organizzazione della biblioteca di Federico da Montefeltro</w:t>
      </w:r>
      <w:r w:rsidRPr="00796A9D">
        <w:rPr>
          <w:rFonts w:ascii="Times New Roman" w:hAnsi="Times New Roman" w:cs="Times New Roman"/>
        </w:rPr>
        <w:t xml:space="preserve">, in </w:t>
      </w:r>
      <w:r w:rsidRPr="00796A9D">
        <w:rPr>
          <w:rFonts w:ascii="Times New Roman" w:hAnsi="Times New Roman" w:cs="Times New Roman"/>
          <w:i/>
        </w:rPr>
        <w:t>Federico di Montefeltro. Lo stato, le arti, la cultura</w:t>
      </w:r>
      <w:r w:rsidRPr="00796A9D">
        <w:rPr>
          <w:rFonts w:ascii="Times New Roman" w:hAnsi="Times New Roman" w:cs="Times New Roman"/>
        </w:rPr>
        <w:t xml:space="preserve">, a cura di </w:t>
      </w:r>
      <w:r w:rsidRPr="00796A9D">
        <w:rPr>
          <w:rFonts w:ascii="Times New Roman" w:hAnsi="Times New Roman" w:cs="Times New Roman"/>
          <w:smallCaps/>
        </w:rPr>
        <w:t>G. Cerboni Baiardi, G. Chittolini, P. Floriani</w:t>
      </w:r>
      <w:r w:rsidRPr="00796A9D">
        <w:rPr>
          <w:rFonts w:ascii="Times New Roman" w:hAnsi="Times New Roman" w:cs="Times New Roman"/>
        </w:rPr>
        <w:t>, Roma, Bulzoni, 1986, pp. 20-25, che osserva come la parte principali di questi codici siano esemplari di dedica.</w:t>
      </w:r>
    </w:p>
  </w:footnote>
  <w:footnote w:id="106">
    <w:p w14:paraId="1759332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Città del Vaticano, Biblioteca Apostolica Vaticana, ms. Urb. Lat. 1761, ff. 1r-126v; edito in </w:t>
      </w:r>
      <w:r w:rsidRPr="00796A9D">
        <w:rPr>
          <w:rFonts w:ascii="Times New Roman" w:hAnsi="Times New Roman" w:cs="Times New Roman"/>
          <w:smallCaps/>
        </w:rPr>
        <w:t>C. Stornajolo</w:t>
      </w:r>
      <w:r w:rsidRPr="00796A9D">
        <w:rPr>
          <w:rFonts w:ascii="Times New Roman" w:hAnsi="Times New Roman" w:cs="Times New Roman"/>
        </w:rPr>
        <w:t xml:space="preserve">, </w:t>
      </w:r>
      <w:r w:rsidRPr="00796A9D">
        <w:rPr>
          <w:rFonts w:ascii="Times New Roman" w:hAnsi="Times New Roman" w:cs="Times New Roman"/>
          <w:i/>
        </w:rPr>
        <w:t xml:space="preserve">Codices Urbinates Graeci Bibliothecae Vaticanae. </w:t>
      </w:r>
      <w:r w:rsidRPr="00796A9D">
        <w:rPr>
          <w:rFonts w:ascii="Times New Roman" w:hAnsi="Times New Roman" w:cs="Times New Roman"/>
          <w:i/>
          <w:lang w:val="en-US"/>
        </w:rPr>
        <w:t>Accedit index vetus Bibliothecae Urbinatis nunc primum editus</w:t>
      </w:r>
      <w:r w:rsidRPr="00796A9D">
        <w:rPr>
          <w:rFonts w:ascii="Times New Roman" w:hAnsi="Times New Roman" w:cs="Times New Roman"/>
          <w:lang w:val="en-US"/>
        </w:rPr>
        <w:t>, Romae</w:t>
      </w:r>
      <w:r>
        <w:rPr>
          <w:rFonts w:ascii="Times New Roman" w:hAnsi="Times New Roman" w:cs="Times New Roman"/>
          <w:lang w:val="en-US"/>
        </w:rPr>
        <w:t>,</w:t>
      </w:r>
      <w:r w:rsidRPr="00796A9D">
        <w:rPr>
          <w:rFonts w:ascii="Times New Roman" w:hAnsi="Times New Roman" w:cs="Times New Roman"/>
          <w:lang w:val="en-US"/>
        </w:rPr>
        <w:t xml:space="preserve"> 1895, pp. </w:t>
      </w:r>
      <w:r w:rsidRPr="00796A9D">
        <w:rPr>
          <w:rFonts w:ascii="Times New Roman" w:hAnsi="Times New Roman" w:cs="Times New Roman"/>
        </w:rPr>
        <w:t xml:space="preserve">XX-CCII. Si veda inoltre l'analisi condotta in </w:t>
      </w:r>
      <w:r w:rsidRPr="00796A9D">
        <w:rPr>
          <w:rFonts w:ascii="Times New Roman" w:hAnsi="Times New Roman" w:cs="Times New Roman"/>
          <w:smallCaps/>
        </w:rPr>
        <w:t>L. Michelini Tocci</w:t>
      </w:r>
      <w:r w:rsidRPr="00796A9D">
        <w:rPr>
          <w:rFonts w:ascii="Times New Roman" w:hAnsi="Times New Roman" w:cs="Times New Roman"/>
        </w:rPr>
        <w:t xml:space="preserve">, </w:t>
      </w:r>
      <w:r w:rsidRPr="00796A9D">
        <w:rPr>
          <w:rFonts w:ascii="Times New Roman" w:hAnsi="Times New Roman" w:cs="Times New Roman"/>
          <w:i/>
        </w:rPr>
        <w:t>Agapito, bibliotecario docto, acorto et diligente della biblioteca urbinate alla fine del Quattrocento</w:t>
      </w:r>
      <w:r w:rsidRPr="00796A9D">
        <w:rPr>
          <w:rFonts w:ascii="Times New Roman" w:hAnsi="Times New Roman" w:cs="Times New Roman"/>
        </w:rPr>
        <w:t xml:space="preserve">, in </w:t>
      </w:r>
      <w:r w:rsidRPr="00796A9D">
        <w:rPr>
          <w:rFonts w:ascii="Times New Roman" w:hAnsi="Times New Roman" w:cs="Times New Roman"/>
          <w:i/>
        </w:rPr>
        <w:t>Collectanea vaticana in honorem Anselmi M. card. Albareda</w:t>
      </w:r>
      <w:r w:rsidRPr="00796A9D">
        <w:rPr>
          <w:rFonts w:ascii="Times New Roman" w:hAnsi="Times New Roman" w:cs="Times New Roman"/>
        </w:rPr>
        <w:t xml:space="preserve"> </w:t>
      </w:r>
      <w:r w:rsidRPr="00796A9D">
        <w:rPr>
          <w:rFonts w:ascii="Times New Roman" w:hAnsi="Times New Roman" w:cs="Times New Roman"/>
          <w:i/>
        </w:rPr>
        <w:t>a Bibliotheca Apostolica edita</w:t>
      </w:r>
      <w:r w:rsidRPr="00796A9D">
        <w:rPr>
          <w:rFonts w:ascii="Times New Roman" w:hAnsi="Times New Roman" w:cs="Times New Roman"/>
        </w:rPr>
        <w:t>, «Studi e testi», 219, 1962, pp. 245-280.</w:t>
      </w:r>
    </w:p>
  </w:footnote>
  <w:footnote w:id="107">
    <w:p w14:paraId="540BBE8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 tipologia dei volumi conservati nell’</w:t>
      </w:r>
      <w:r w:rsidRPr="00796A9D">
        <w:rPr>
          <w:rFonts w:ascii="Times New Roman" w:hAnsi="Times New Roman" w:cs="Times New Roman"/>
          <w:i/>
        </w:rPr>
        <w:t>alia bibliotheca</w:t>
      </w:r>
      <w:r w:rsidRPr="00796A9D">
        <w:rPr>
          <w:rFonts w:ascii="Times New Roman" w:hAnsi="Times New Roman" w:cs="Times New Roman"/>
        </w:rPr>
        <w:t xml:space="preserve"> confronta le considerazioni espresse in </w:t>
      </w:r>
      <w:r w:rsidRPr="00796A9D">
        <w:rPr>
          <w:rFonts w:ascii="Times New Roman" w:hAnsi="Times New Roman" w:cs="Times New Roman"/>
          <w:smallCaps/>
        </w:rPr>
        <w:t>L. Michelini Tocci</w:t>
      </w:r>
      <w:r w:rsidRPr="00796A9D">
        <w:rPr>
          <w:rFonts w:ascii="Times New Roman" w:hAnsi="Times New Roman" w:cs="Times New Roman"/>
        </w:rPr>
        <w:t xml:space="preserve">, </w:t>
      </w:r>
      <w:r w:rsidRPr="00796A9D">
        <w:rPr>
          <w:rFonts w:ascii="Times New Roman" w:hAnsi="Times New Roman" w:cs="Times New Roman"/>
          <w:i/>
        </w:rPr>
        <w:t>La formazione della biblioteca di Federico da Montefeltro: codici contemporanei e libri a stampa</w:t>
      </w:r>
      <w:r w:rsidRPr="00796A9D">
        <w:rPr>
          <w:rFonts w:ascii="Times New Roman" w:hAnsi="Times New Roman" w:cs="Times New Roman"/>
        </w:rPr>
        <w:t xml:space="preserve">, in </w:t>
      </w:r>
      <w:r w:rsidRPr="00796A9D">
        <w:rPr>
          <w:rFonts w:ascii="Times New Roman" w:hAnsi="Times New Roman" w:cs="Times New Roman"/>
          <w:i/>
        </w:rPr>
        <w:t>Federico di Montefeltro. Lo stato, le arti, la cultura</w:t>
      </w:r>
      <w:r w:rsidRPr="00796A9D">
        <w:rPr>
          <w:rFonts w:ascii="Times New Roman" w:hAnsi="Times New Roman" w:cs="Times New Roman"/>
        </w:rPr>
        <w:t xml:space="preserve">, cit., pp. 9-18; che identifica lo stesso luogo con la “massaria” di Federico adibita a </w:t>
      </w:r>
      <w:r w:rsidRPr="00796A9D">
        <w:rPr>
          <w:rFonts w:ascii="Times New Roman" w:hAnsi="Times New Roman" w:cs="Times New Roman"/>
          <w:i/>
        </w:rPr>
        <w:t>scriptorium</w:t>
      </w:r>
      <w:r w:rsidRPr="00796A9D">
        <w:rPr>
          <w:rFonts w:ascii="Times New Roman" w:hAnsi="Times New Roman" w:cs="Times New Roman"/>
        </w:rPr>
        <w:t xml:space="preserve"> </w:t>
      </w:r>
      <w:r>
        <w:rPr>
          <w:rFonts w:ascii="Times New Roman" w:hAnsi="Times New Roman" w:cs="Times New Roman"/>
        </w:rPr>
        <w:t xml:space="preserve">menzionata </w:t>
      </w:r>
      <w:r w:rsidRPr="00796A9D">
        <w:rPr>
          <w:rFonts w:ascii="Times New Roman" w:hAnsi="Times New Roman" w:cs="Times New Roman"/>
        </w:rPr>
        <w:t xml:space="preserve">anche nel </w:t>
      </w:r>
      <w:r w:rsidRPr="00796A9D">
        <w:rPr>
          <w:rFonts w:ascii="Times New Roman" w:hAnsi="Times New Roman" w:cs="Times New Roman"/>
          <w:i/>
        </w:rPr>
        <w:t>colophon</w:t>
      </w:r>
      <w:r w:rsidRPr="00796A9D">
        <w:rPr>
          <w:rFonts w:ascii="Times New Roman" w:hAnsi="Times New Roman" w:cs="Times New Roman"/>
        </w:rPr>
        <w:t xml:space="preserve"> di Lilio Tifernate al Valerio Massimo, Urb. Lat. 1921. Si tratterebbe dunque di una sorta di laboratorio per la preparazione e il restauro dei manoscritti, oltre che di un deposito per i volumi meno pregiati.  </w:t>
      </w:r>
    </w:p>
  </w:footnote>
  <w:footnote w:id="108">
    <w:p w14:paraId="619806D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queste importanti acquisizioni cfr. </w:t>
      </w:r>
      <w:r w:rsidRPr="00796A9D">
        <w:rPr>
          <w:rFonts w:ascii="Times New Roman" w:hAnsi="Times New Roman" w:cs="Times New Roman"/>
          <w:smallCaps/>
        </w:rPr>
        <w:t>M. Peruzzi</w:t>
      </w:r>
      <w:r w:rsidRPr="00796A9D">
        <w:rPr>
          <w:rFonts w:ascii="Times New Roman" w:hAnsi="Times New Roman" w:cs="Times New Roman"/>
        </w:rPr>
        <w:t xml:space="preserve">, </w:t>
      </w:r>
      <w:r w:rsidRPr="00796A9D">
        <w:rPr>
          <w:rFonts w:ascii="Times New Roman" w:hAnsi="Times New Roman" w:cs="Times New Roman"/>
          <w:i/>
        </w:rPr>
        <w:t>Cultura, Potere, immagine. La biblioteca di Federico di Montefeltro</w:t>
      </w:r>
      <w:r w:rsidRPr="00796A9D">
        <w:rPr>
          <w:rFonts w:ascii="Times New Roman" w:hAnsi="Times New Roman" w:cs="Times New Roman"/>
        </w:rPr>
        <w:t xml:space="preserve">, Urbino, Accademia Raffaello, 2004, pp. 27-29. </w:t>
      </w:r>
    </w:p>
  </w:footnote>
  <w:footnote w:id="109">
    <w:p w14:paraId="204B7E3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Sull’allestimento della biblioteca quale mezzo propagandistico per ingentilire l’immagine pubblica del duca, macchiata dall’onta dell’usurpazione, e più in generale per i caratteri del mecenatismo federiciano successivo alla concessione del titolo ducale, vedi </w:t>
      </w:r>
      <w:r w:rsidRPr="00796A9D">
        <w:rPr>
          <w:rFonts w:ascii="Times New Roman" w:hAnsi="Times New Roman" w:cs="Times New Roman"/>
          <w:smallCaps/>
        </w:rPr>
        <w:t>B. Roeck, A. Tönnesmann</w:t>
      </w:r>
      <w:r w:rsidRPr="00796A9D">
        <w:rPr>
          <w:rFonts w:ascii="Times New Roman" w:hAnsi="Times New Roman" w:cs="Times New Roman"/>
        </w:rPr>
        <w:t xml:space="preserve">, </w:t>
      </w:r>
      <w:r w:rsidRPr="00796A9D">
        <w:rPr>
          <w:rFonts w:ascii="Times New Roman" w:hAnsi="Times New Roman" w:cs="Times New Roman"/>
          <w:i/>
        </w:rPr>
        <w:t>Federico da Montefeltro. Arte, stato e mestiere delle armi</w:t>
      </w:r>
      <w:r w:rsidRPr="00796A9D">
        <w:rPr>
          <w:rFonts w:ascii="Times New Roman" w:hAnsi="Times New Roman" w:cs="Times New Roman"/>
        </w:rPr>
        <w:t>, Torino, Einaudi, 2009, pp. 191-203.</w:t>
      </w:r>
    </w:p>
  </w:footnote>
  <w:footnote w:id="110">
    <w:p w14:paraId="0B35AD1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selezione di questi testi, che escluse le opere poetiche privilegiando invece quelle d’ambito filosofico e scientifico, vedi P</w:t>
      </w:r>
      <w:r w:rsidRPr="00796A9D">
        <w:rPr>
          <w:rFonts w:ascii="Times New Roman" w:hAnsi="Times New Roman" w:cs="Times New Roman"/>
          <w:smallCaps/>
        </w:rPr>
        <w:t>. Proverbio</w:t>
      </w:r>
      <w:r w:rsidRPr="00796A9D">
        <w:rPr>
          <w:rFonts w:ascii="Times New Roman" w:hAnsi="Times New Roman" w:cs="Times New Roman"/>
        </w:rPr>
        <w:t xml:space="preserve">, </w:t>
      </w:r>
      <w:r w:rsidRPr="00796A9D">
        <w:rPr>
          <w:rFonts w:ascii="Times New Roman" w:hAnsi="Times New Roman" w:cs="Times New Roman"/>
          <w:i/>
        </w:rPr>
        <w:t>Notes on the diaspora of the hebrew manuscripts: from Volterra to Urbino</w:t>
      </w:r>
      <w:r w:rsidRPr="00796A9D">
        <w:rPr>
          <w:rFonts w:ascii="Times New Roman" w:hAnsi="Times New Roman" w:cs="Times New Roman"/>
        </w:rPr>
        <w:t xml:space="preserve">, in </w:t>
      </w:r>
      <w:r w:rsidRPr="00796A9D">
        <w:rPr>
          <w:rFonts w:ascii="Times New Roman" w:hAnsi="Times New Roman" w:cs="Times New Roman"/>
          <w:i/>
        </w:rPr>
        <w:t>Federico da Montefeltro and his Library</w:t>
      </w:r>
      <w:r w:rsidRPr="00796A9D">
        <w:rPr>
          <w:rFonts w:ascii="Times New Roman" w:hAnsi="Times New Roman" w:cs="Times New Roman"/>
        </w:rPr>
        <w:t xml:space="preserve">, Milano, Y. Press, 2007, pp. 51-60. </w:t>
      </w:r>
    </w:p>
  </w:footnote>
  <w:footnote w:id="111">
    <w:p w14:paraId="253F2706"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È di Marco Santoro la distinzione tra biblioteca </w:t>
      </w:r>
      <w:r w:rsidRPr="00796A9D">
        <w:rPr>
          <w:rFonts w:ascii="Times New Roman" w:hAnsi="Times New Roman" w:cs="Times New Roman"/>
          <w:i/>
          <w:sz w:val="20"/>
          <w:szCs w:val="20"/>
        </w:rPr>
        <w:t>del</w:t>
      </w:r>
      <w:r w:rsidRPr="00796A9D">
        <w:rPr>
          <w:rFonts w:ascii="Times New Roman" w:hAnsi="Times New Roman" w:cs="Times New Roman"/>
          <w:sz w:val="20"/>
          <w:szCs w:val="20"/>
        </w:rPr>
        <w:t xml:space="preserve"> principe, l’insieme delle letture d’interesse e consultazione pratica del regnante, e biblioteca </w:t>
      </w:r>
      <w:r w:rsidRPr="00796A9D">
        <w:rPr>
          <w:rFonts w:ascii="Times New Roman" w:hAnsi="Times New Roman" w:cs="Times New Roman"/>
          <w:i/>
          <w:sz w:val="20"/>
          <w:szCs w:val="20"/>
        </w:rPr>
        <w:t>per</w:t>
      </w:r>
      <w:r w:rsidRPr="00796A9D">
        <w:rPr>
          <w:rFonts w:ascii="Times New Roman" w:hAnsi="Times New Roman" w:cs="Times New Roman"/>
          <w:sz w:val="20"/>
          <w:szCs w:val="20"/>
        </w:rPr>
        <w:t xml:space="preserve"> il principe, ovvero la collezione disposta in vista di una rappresentazione del potere politico, economico e del prestigio culturale raggiunto dal possidente. Cfr. </w:t>
      </w:r>
      <w:bookmarkStart w:id="62" w:name="_Hlk487795959"/>
      <w:r w:rsidRPr="00796A9D">
        <w:rPr>
          <w:rFonts w:ascii="Times New Roman" w:hAnsi="Times New Roman" w:cs="Times New Roman"/>
          <w:sz w:val="20"/>
          <w:szCs w:val="20"/>
        </w:rPr>
        <w:t xml:space="preserve">M. </w:t>
      </w:r>
      <w:r w:rsidRPr="00796A9D">
        <w:rPr>
          <w:rFonts w:ascii="Times New Roman" w:hAnsi="Times New Roman" w:cs="Times New Roman"/>
          <w:smallCaps/>
          <w:sz w:val="20"/>
          <w:szCs w:val="20"/>
        </w:rPr>
        <w:t>Santoro</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Stampa e cultura: il contributo aragonese</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Le carte aragonesi</w:t>
      </w:r>
      <w:r w:rsidRPr="00796A9D">
        <w:rPr>
          <w:rFonts w:ascii="Times New Roman" w:hAnsi="Times New Roman" w:cs="Times New Roman"/>
          <w:sz w:val="20"/>
          <w:szCs w:val="20"/>
        </w:rPr>
        <w:t xml:space="preserve">. Atti del convegno (Rovello, 3-4 ottobre 2002), a cura di </w:t>
      </w:r>
      <w:r w:rsidRPr="00796A9D">
        <w:rPr>
          <w:rFonts w:ascii="Times New Roman" w:hAnsi="Times New Roman" w:cs="Times New Roman"/>
          <w:smallCaps/>
          <w:sz w:val="20"/>
          <w:szCs w:val="20"/>
        </w:rPr>
        <w:t>Idem</w:t>
      </w:r>
      <w:r w:rsidRPr="00796A9D">
        <w:rPr>
          <w:rFonts w:ascii="Times New Roman" w:hAnsi="Times New Roman" w:cs="Times New Roman"/>
          <w:sz w:val="20"/>
          <w:szCs w:val="20"/>
        </w:rPr>
        <w:t xml:space="preserve">, Pisa, Istituti editoriali e poligrafici internazionali, 2004, pp. 191-206. </w:t>
      </w:r>
      <w:bookmarkEnd w:id="62"/>
    </w:p>
  </w:footnote>
  <w:footnote w:id="112">
    <w:p w14:paraId="02C8E3D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partecipazione alla gestione della libreria urbinate di Ottaviano Ubaldini della Carda, figura di alto rilievo alla corte d’Urbino e, alla morte di Federico, reggente del ducato durante la minore età di Guidubaldo, vedi </w:t>
      </w:r>
      <w:r w:rsidRPr="00796A9D">
        <w:rPr>
          <w:rFonts w:ascii="Times New Roman" w:hAnsi="Times New Roman" w:cs="Times New Roman"/>
          <w:smallCaps/>
        </w:rPr>
        <w:t>M. Peruzzi</w:t>
      </w:r>
      <w:r w:rsidRPr="00796A9D">
        <w:rPr>
          <w:rFonts w:ascii="Times New Roman" w:hAnsi="Times New Roman" w:cs="Times New Roman"/>
        </w:rPr>
        <w:t xml:space="preserve">, </w:t>
      </w:r>
      <w:r w:rsidRPr="00796A9D">
        <w:rPr>
          <w:rFonts w:ascii="Times New Roman" w:hAnsi="Times New Roman" w:cs="Times New Roman"/>
          <w:i/>
        </w:rPr>
        <w:t>La formazione della biblioteca e i manoscritti latini</w:t>
      </w:r>
      <w:r w:rsidRPr="00796A9D">
        <w:rPr>
          <w:rFonts w:ascii="Times New Roman" w:hAnsi="Times New Roman" w:cs="Times New Roman"/>
        </w:rPr>
        <w:t xml:space="preserve">, in </w:t>
      </w:r>
      <w:r w:rsidRPr="00796A9D">
        <w:rPr>
          <w:rFonts w:ascii="Times New Roman" w:hAnsi="Times New Roman" w:cs="Times New Roman"/>
          <w:i/>
        </w:rPr>
        <w:t>Ornatissimo codice. La biblioteca di Federico da Montefeltro</w:t>
      </w:r>
      <w:r w:rsidRPr="00796A9D">
        <w:rPr>
          <w:rFonts w:ascii="Times New Roman" w:hAnsi="Times New Roman" w:cs="Times New Roman"/>
        </w:rPr>
        <w:t xml:space="preserve">, a cura di </w:t>
      </w:r>
      <w:r w:rsidRPr="00796A9D">
        <w:rPr>
          <w:rFonts w:ascii="Times New Roman" w:hAnsi="Times New Roman" w:cs="Times New Roman"/>
          <w:smallCaps/>
        </w:rPr>
        <w:t>Idem, L. Mochi Onori, ‎C. Caldari</w:t>
      </w:r>
      <w:r w:rsidRPr="00796A9D">
        <w:rPr>
          <w:rFonts w:ascii="Times New Roman" w:hAnsi="Times New Roman" w:cs="Times New Roman"/>
        </w:rPr>
        <w:t>, Milano, Skira, 2008, pp. 35-38.</w:t>
      </w:r>
    </w:p>
  </w:footnote>
  <w:footnote w:id="113">
    <w:p w14:paraId="6FD8FCE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pp. 33-34.</w:t>
      </w:r>
    </w:p>
  </w:footnote>
  <w:footnote w:id="114">
    <w:p w14:paraId="726B0F4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V. da Bisticci</w:t>
      </w:r>
      <w:r w:rsidRPr="00796A9D">
        <w:rPr>
          <w:rFonts w:ascii="Times New Roman" w:hAnsi="Times New Roman" w:cs="Times New Roman"/>
        </w:rPr>
        <w:t xml:space="preserve">, </w:t>
      </w:r>
      <w:r w:rsidRPr="00796A9D">
        <w:rPr>
          <w:rFonts w:ascii="Times New Roman" w:hAnsi="Times New Roman" w:cs="Times New Roman"/>
          <w:i/>
        </w:rPr>
        <w:t>Le vite</w:t>
      </w:r>
      <w:r w:rsidRPr="00796A9D">
        <w:rPr>
          <w:rFonts w:ascii="Times New Roman" w:hAnsi="Times New Roman" w:cs="Times New Roman"/>
        </w:rPr>
        <w:t xml:space="preserve">, cit., vol. I, p. 398. Preme rilevare l’aggiornamento comparativo rispetto alla formazione di altre collezioni librarie maturato nella seconda metà del secolo. Approccio che riguardò tanto il Montefeltro quanto, alcuni anni dopo, Ercole I d’Este. Cfr. n. 47.  </w:t>
      </w:r>
    </w:p>
  </w:footnote>
  <w:footnote w:id="115">
    <w:p w14:paraId="1036BE3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questi quantitativi faccio riferimento ai dati forniti dallo </w:t>
      </w:r>
      <w:r w:rsidRPr="00796A9D">
        <w:rPr>
          <w:rFonts w:ascii="Times New Roman" w:hAnsi="Times New Roman" w:cs="Times New Roman"/>
          <w:i/>
        </w:rPr>
        <w:t>Universal Short Title Catalogue</w:t>
      </w:r>
      <w:r w:rsidRPr="00796A9D">
        <w:rPr>
          <w:rFonts w:ascii="Times New Roman" w:hAnsi="Times New Roman" w:cs="Times New Roman"/>
        </w:rPr>
        <w:t>, consultabile online all’indirizzo www.ustc.ac.uk. Visitato il 18/03/2018.</w:t>
      </w:r>
    </w:p>
  </w:footnote>
  <w:footnote w:id="116">
    <w:p w14:paraId="1F2CE5BB" w14:textId="77777777" w:rsidR="00CF5CFB" w:rsidRPr="00796A9D" w:rsidRDefault="00CF5CFB" w:rsidP="00796A9D">
      <w:pPr>
        <w:spacing w:after="0"/>
        <w:jc w:val="both"/>
        <w:rPr>
          <w:rFonts w:ascii="Times New Roman" w:hAnsi="Times New Roman" w:cs="Times New Roman"/>
          <w:sz w:val="20"/>
          <w:szCs w:val="20"/>
          <w:lang w:val="en-US"/>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Sulla perdita d’interesse per le collezioni di libri, rilevata per la maggior parte dei principi europei del secolo XVI, cfr. </w:t>
      </w:r>
      <w:r w:rsidRPr="00796A9D">
        <w:rPr>
          <w:rFonts w:ascii="Times New Roman" w:hAnsi="Times New Roman" w:cs="Times New Roman"/>
          <w:smallCaps/>
          <w:sz w:val="20"/>
          <w:szCs w:val="20"/>
        </w:rPr>
        <w:t>A. Pettegree</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The Renaissance Library and the Challenge of Print</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 xml:space="preserve">The Meaning of the Library. </w:t>
      </w:r>
      <w:r w:rsidRPr="00796A9D">
        <w:rPr>
          <w:rFonts w:ascii="Times New Roman" w:hAnsi="Times New Roman" w:cs="Times New Roman"/>
          <w:i/>
          <w:sz w:val="20"/>
          <w:szCs w:val="20"/>
          <w:lang w:val="en-US"/>
        </w:rPr>
        <w:t>A Cultural History</w:t>
      </w:r>
      <w:r w:rsidRPr="00796A9D">
        <w:rPr>
          <w:rFonts w:ascii="Times New Roman" w:hAnsi="Times New Roman" w:cs="Times New Roman"/>
          <w:sz w:val="20"/>
          <w:szCs w:val="20"/>
          <w:lang w:val="en-US"/>
        </w:rPr>
        <w:t xml:space="preserve">, Edited by A. </w:t>
      </w:r>
      <w:r w:rsidRPr="00796A9D">
        <w:rPr>
          <w:rFonts w:ascii="Times New Roman" w:hAnsi="Times New Roman" w:cs="Times New Roman"/>
          <w:smallCaps/>
          <w:sz w:val="20"/>
          <w:szCs w:val="20"/>
          <w:lang w:val="en-US"/>
        </w:rPr>
        <w:t>Crawford</w:t>
      </w:r>
      <w:r w:rsidRPr="00796A9D">
        <w:rPr>
          <w:rFonts w:ascii="Times New Roman" w:hAnsi="Times New Roman" w:cs="Times New Roman"/>
          <w:sz w:val="20"/>
          <w:szCs w:val="20"/>
          <w:lang w:val="en-US"/>
        </w:rPr>
        <w:t xml:space="preserve">, Princeton-Oxford, Princeton University Press, 2015, pp. 72-90. </w:t>
      </w:r>
    </w:p>
  </w:footnote>
  <w:footnote w:id="117">
    <w:p w14:paraId="1875F9E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Parigi, Bibliothèque de l’Arsenal, ms. 940. Il testo della </w:t>
      </w:r>
      <w:r w:rsidRPr="00796A9D">
        <w:rPr>
          <w:rFonts w:ascii="Times New Roman" w:hAnsi="Times New Roman" w:cs="Times New Roman"/>
          <w:i/>
        </w:rPr>
        <w:t>Passio</w:t>
      </w:r>
      <w:r w:rsidRPr="00796A9D">
        <w:rPr>
          <w:rFonts w:ascii="Times New Roman" w:hAnsi="Times New Roman" w:cs="Times New Roman"/>
        </w:rPr>
        <w:t xml:space="preserve"> è illustrato da sei miniature d’area lombarda. Oltre al ritratto del Marcello e al </w:t>
      </w:r>
      <w:r w:rsidRPr="00796A9D">
        <w:rPr>
          <w:rFonts w:ascii="Times New Roman" w:hAnsi="Times New Roman" w:cs="Times New Roman"/>
          <w:i/>
        </w:rPr>
        <w:t>Congresso dell’ordine del Crescente,</w:t>
      </w:r>
      <w:r w:rsidRPr="00796A9D">
        <w:rPr>
          <w:rFonts w:ascii="Times New Roman" w:hAnsi="Times New Roman" w:cs="Times New Roman"/>
        </w:rPr>
        <w:t xml:space="preserve"> vi si trovano, ai fogli 34v e 39v, altre due illustrazioni a piena pagina assegnate a Giovanni Bellini: un </w:t>
      </w:r>
      <w:r w:rsidRPr="00796A9D">
        <w:rPr>
          <w:rFonts w:ascii="Times New Roman" w:hAnsi="Times New Roman" w:cs="Times New Roman"/>
          <w:i/>
        </w:rPr>
        <w:t>san Maurizio</w:t>
      </w:r>
      <w:r w:rsidRPr="00796A9D">
        <w:rPr>
          <w:rFonts w:ascii="Times New Roman" w:hAnsi="Times New Roman" w:cs="Times New Roman"/>
        </w:rPr>
        <w:t xml:space="preserve"> e un’</w:t>
      </w:r>
      <w:r w:rsidRPr="00796A9D">
        <w:rPr>
          <w:rFonts w:ascii="Times New Roman" w:hAnsi="Times New Roman" w:cs="Times New Roman"/>
          <w:i/>
        </w:rPr>
        <w:t>Allegoria</w:t>
      </w:r>
      <w:r w:rsidRPr="00796A9D">
        <w:rPr>
          <w:rFonts w:ascii="Times New Roman" w:hAnsi="Times New Roman" w:cs="Times New Roman"/>
        </w:rPr>
        <w:t xml:space="preserve"> di Venezia. Per il dibattitto sui loro problemi attribuitivi cfr. </w:t>
      </w:r>
      <w:r w:rsidRPr="00796A9D">
        <w:rPr>
          <w:rFonts w:ascii="Times New Roman" w:hAnsi="Times New Roman" w:cs="Times New Roman"/>
          <w:i/>
        </w:rPr>
        <w:t>Mantegna 1431-1506</w:t>
      </w:r>
      <w:r w:rsidRPr="00796A9D">
        <w:rPr>
          <w:rFonts w:ascii="Times New Roman" w:hAnsi="Times New Roman" w:cs="Times New Roman"/>
        </w:rPr>
        <w:t xml:space="preserve">, a cura di </w:t>
      </w:r>
      <w:r w:rsidRPr="00796A9D">
        <w:rPr>
          <w:rFonts w:ascii="Times New Roman" w:hAnsi="Times New Roman" w:cs="Times New Roman"/>
          <w:smallCaps/>
        </w:rPr>
        <w:t>G. Agosti, D. Thiébaut</w:t>
      </w:r>
      <w:r w:rsidRPr="00796A9D">
        <w:rPr>
          <w:rFonts w:ascii="Times New Roman" w:hAnsi="Times New Roman" w:cs="Times New Roman"/>
        </w:rPr>
        <w:t xml:space="preserve">, Milano, Officina Libraria, 2008, pp. 120-121. </w:t>
      </w:r>
    </w:p>
  </w:footnote>
  <w:footnote w:id="118">
    <w:p w14:paraId="0101950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l’organizzazione del lavoro di copiatura dei testi, affidata nel secolo XV a cartolai capaci di seguire le fasi di lavorazione del prodotto librario e di provvedere al reperimento di carta, pergamene, inchiostri, colori e materiali necessari al suo compimento, vedi </w:t>
      </w:r>
      <w:r w:rsidRPr="00796A9D">
        <w:rPr>
          <w:rFonts w:ascii="Times New Roman" w:hAnsi="Times New Roman" w:cs="Times New Roman"/>
          <w:smallCaps/>
        </w:rPr>
        <w:t>J.J.G. Alexander</w:t>
      </w:r>
      <w:r w:rsidRPr="00796A9D">
        <w:rPr>
          <w:rFonts w:ascii="Times New Roman" w:hAnsi="Times New Roman" w:cs="Times New Roman"/>
        </w:rPr>
        <w:t xml:space="preserve">, </w:t>
      </w:r>
      <w:r w:rsidRPr="00796A9D">
        <w:rPr>
          <w:rFonts w:ascii="Times New Roman" w:hAnsi="Times New Roman" w:cs="Times New Roman"/>
          <w:i/>
        </w:rPr>
        <w:t>I minatori medievali e il loro metodo di lavoro</w:t>
      </w:r>
      <w:r w:rsidRPr="00796A9D">
        <w:rPr>
          <w:rFonts w:ascii="Times New Roman" w:hAnsi="Times New Roman" w:cs="Times New Roman"/>
        </w:rPr>
        <w:t xml:space="preserve">, Parma, Franco Cosimo Panini, 2003, pp. 203-204. </w:t>
      </w:r>
    </w:p>
  </w:footnote>
  <w:footnote w:id="119">
    <w:p w14:paraId="34BFBDA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Firenze, Biblioteca Medicea Laurenziana, Ashb. 1014. </w:t>
      </w:r>
    </w:p>
  </w:footnote>
  <w:footnote w:id="120">
    <w:p w14:paraId="3ADCB1A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Firenze, Biblioteca Medicea Laurenziana, Strozzi 157, 158, 159. Per un sintetico profilo di Ramo de Ramedellis, la cui presenza in veste di copista e illustratore è documentata a Mantova negli anni 1392-1430, vedi </w:t>
      </w:r>
      <w:r w:rsidRPr="00796A9D">
        <w:rPr>
          <w:rFonts w:ascii="Times New Roman" w:hAnsi="Times New Roman" w:cs="Times New Roman"/>
          <w:smallCaps/>
        </w:rPr>
        <w:t>G.Z. Zanichelli</w:t>
      </w:r>
      <w:r w:rsidRPr="00796A9D">
        <w:rPr>
          <w:rFonts w:ascii="Times New Roman" w:hAnsi="Times New Roman" w:cs="Times New Roman"/>
        </w:rPr>
        <w:t xml:space="preserve">, s.v. </w:t>
      </w:r>
      <w:r w:rsidRPr="00796A9D">
        <w:rPr>
          <w:rFonts w:ascii="Times New Roman" w:hAnsi="Times New Roman" w:cs="Times New Roman"/>
          <w:i/>
        </w:rPr>
        <w:t>Ramo de’Ramedellis</w:t>
      </w:r>
      <w:r w:rsidRPr="00796A9D">
        <w:rPr>
          <w:rFonts w:ascii="Times New Roman" w:hAnsi="Times New Roman" w:cs="Times New Roman"/>
        </w:rPr>
        <w:t xml:space="preserve">, in </w:t>
      </w:r>
      <w:r w:rsidRPr="00796A9D">
        <w:rPr>
          <w:rFonts w:ascii="Times New Roman" w:hAnsi="Times New Roman" w:cs="Times New Roman"/>
          <w:i/>
        </w:rPr>
        <w:t>Dizionario biografico dei miniatori italiani. Secoli IX-XVI</w:t>
      </w:r>
      <w:r w:rsidRPr="00796A9D">
        <w:rPr>
          <w:rFonts w:ascii="Times New Roman" w:hAnsi="Times New Roman" w:cs="Times New Roman"/>
        </w:rPr>
        <w:t xml:space="preserve">, a cura di </w:t>
      </w:r>
      <w:r w:rsidRPr="00796A9D">
        <w:rPr>
          <w:rFonts w:ascii="Times New Roman" w:hAnsi="Times New Roman" w:cs="Times New Roman"/>
          <w:smallCaps/>
        </w:rPr>
        <w:t>M. Bollati, M. Boskovits</w:t>
      </w:r>
      <w:r w:rsidRPr="00796A9D">
        <w:rPr>
          <w:rFonts w:ascii="Times New Roman" w:hAnsi="Times New Roman" w:cs="Times New Roman"/>
        </w:rPr>
        <w:t xml:space="preserve">, Milano, Sylvestre Bonnard, 2004, pp. 891-892. </w:t>
      </w:r>
    </w:p>
  </w:footnote>
  <w:footnote w:id="121">
    <w:p w14:paraId="3F971E4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l’elenco dei professionisti del libro retribuiti dalla corte di Mantova all’epoca di Giovan Francesco Gonzaga e Paola Malatesta cfr. </w:t>
      </w:r>
      <w:r w:rsidRPr="00796A9D">
        <w:rPr>
          <w:rFonts w:ascii="Times New Roman" w:hAnsi="Times New Roman" w:cs="Times New Roman"/>
          <w:i/>
        </w:rPr>
        <w:t>Mostra dei codici gonzagheschi</w:t>
      </w:r>
      <w:r w:rsidRPr="00796A9D">
        <w:rPr>
          <w:rFonts w:ascii="Times New Roman" w:hAnsi="Times New Roman" w:cs="Times New Roman"/>
        </w:rPr>
        <w:t xml:space="preserve">, cit., pp. 49-50. Tra loro si segnala la presenza di </w:t>
      </w:r>
      <w:r w:rsidRPr="00796A9D">
        <w:rPr>
          <w:rFonts w:ascii="Times New Roman" w:hAnsi="Times New Roman" w:cs="Times New Roman"/>
          <w:i/>
        </w:rPr>
        <w:t>scriptores</w:t>
      </w:r>
      <w:r w:rsidRPr="00796A9D">
        <w:rPr>
          <w:rFonts w:ascii="Times New Roman" w:hAnsi="Times New Roman" w:cs="Times New Roman"/>
        </w:rPr>
        <w:t xml:space="preserve"> esperti nella copiatura di manoscritti greci, come Petrus Creticus e Gerardo di Pratasso, che confezionarono alcuni dei codici appartenuti a Vittorino da Feltre. </w:t>
      </w:r>
    </w:p>
  </w:footnote>
  <w:footnote w:id="122">
    <w:p w14:paraId="237269F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Mantova, Archivio Storico Diocesano, Capitolo della Cattedrale. Il manoscritto è privo di segnatura archivistica. Per la sua descrizione codicologica si vedano le osservazioni di Giancarlo Manzoli pubblicate in </w:t>
      </w:r>
      <w:r w:rsidRPr="00796A9D">
        <w:rPr>
          <w:rFonts w:ascii="Times New Roman" w:hAnsi="Times New Roman" w:cs="Times New Roman"/>
          <w:i/>
        </w:rPr>
        <w:t>Il messale di Barbara Gonzaga</w:t>
      </w:r>
      <w:r w:rsidRPr="00796A9D">
        <w:rPr>
          <w:rFonts w:ascii="Times New Roman" w:hAnsi="Times New Roman" w:cs="Times New Roman"/>
        </w:rPr>
        <w:t xml:space="preserve">, a cura di </w:t>
      </w:r>
      <w:r w:rsidRPr="00796A9D">
        <w:rPr>
          <w:rFonts w:ascii="Times New Roman" w:hAnsi="Times New Roman" w:cs="Times New Roman"/>
          <w:smallCaps/>
        </w:rPr>
        <w:t>G. Pastore, G. Manzoli,</w:t>
      </w:r>
      <w:r w:rsidRPr="00796A9D">
        <w:rPr>
          <w:rFonts w:ascii="Times New Roman" w:hAnsi="Times New Roman" w:cs="Times New Roman"/>
        </w:rPr>
        <w:t xml:space="preserve"> Mantova, Fasoli, 2008, pp. 211-213.</w:t>
      </w:r>
    </w:p>
  </w:footnote>
  <w:footnote w:id="123">
    <w:p w14:paraId="7757AAC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ASMn, AG, b. 2888, 1.49, c. 8r, è edita in </w:t>
      </w:r>
      <w:r w:rsidRPr="00796A9D">
        <w:rPr>
          <w:rFonts w:ascii="Times New Roman" w:hAnsi="Times New Roman" w:cs="Times New Roman"/>
          <w:smallCaps/>
        </w:rPr>
        <w:t>G. Pacchioni</w:t>
      </w:r>
      <w:r w:rsidRPr="00796A9D">
        <w:rPr>
          <w:rFonts w:ascii="Times New Roman" w:hAnsi="Times New Roman" w:cs="Times New Roman"/>
        </w:rPr>
        <w:t xml:space="preserve">, </w:t>
      </w:r>
      <w:r w:rsidRPr="00796A9D">
        <w:rPr>
          <w:rFonts w:ascii="Times New Roman" w:hAnsi="Times New Roman" w:cs="Times New Roman"/>
          <w:i/>
        </w:rPr>
        <w:t>Belbello da Pavia e Gerolamo da Cremona, miniatori. Un prezioso messale gonzaghesco del secolo XV</w:t>
      </w:r>
      <w:r w:rsidRPr="00796A9D">
        <w:rPr>
          <w:rFonts w:ascii="Times New Roman" w:hAnsi="Times New Roman" w:cs="Times New Roman"/>
        </w:rPr>
        <w:t xml:space="preserve">, «L’arte», XVIII, 1915, p. 241, n. 9. Per la storia della redazione del Messale di Barbara Hohenzollern e per l’alternanza degli artisti che vi lavorarono vedi </w:t>
      </w:r>
      <w:r w:rsidRPr="00796A9D">
        <w:rPr>
          <w:rFonts w:ascii="Times New Roman" w:hAnsi="Times New Roman" w:cs="Times New Roman"/>
          <w:i/>
        </w:rPr>
        <w:t xml:space="preserve">Il messale di Barbara Gonzaga, </w:t>
      </w:r>
      <w:r w:rsidRPr="00796A9D">
        <w:rPr>
          <w:rFonts w:ascii="Times New Roman" w:hAnsi="Times New Roman" w:cs="Times New Roman"/>
        </w:rPr>
        <w:t>cit., pp.</w:t>
      </w:r>
      <w:r w:rsidRPr="00796A9D">
        <w:rPr>
          <w:rFonts w:ascii="Times New Roman" w:hAnsi="Times New Roman" w:cs="Times New Roman"/>
          <w:i/>
        </w:rPr>
        <w:t xml:space="preserve"> </w:t>
      </w:r>
      <w:r w:rsidRPr="00796A9D">
        <w:rPr>
          <w:rFonts w:ascii="Times New Roman" w:hAnsi="Times New Roman" w:cs="Times New Roman"/>
        </w:rPr>
        <w:t xml:space="preserve">47-71. </w:t>
      </w:r>
    </w:p>
  </w:footnote>
  <w:footnote w:id="124">
    <w:p w14:paraId="793E844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tirocinio stilistico di Belbello, che prima della richiesta di Gian Lucido era stato chiamato da Filippo Maria Visconti, dopo la sua ascesa al ducato, per completare l’</w:t>
      </w:r>
      <w:r w:rsidRPr="00796A9D">
        <w:rPr>
          <w:rFonts w:ascii="Times New Roman" w:hAnsi="Times New Roman" w:cs="Times New Roman"/>
          <w:i/>
        </w:rPr>
        <w:t>Offiziolo</w:t>
      </w:r>
      <w:r w:rsidRPr="00796A9D">
        <w:rPr>
          <w:rFonts w:ascii="Times New Roman" w:hAnsi="Times New Roman" w:cs="Times New Roman"/>
        </w:rPr>
        <w:t xml:space="preserve"> di Gian Galeazzo Visconti lasciato incompleto da Giovannino e Salomone de’ Grassi, e per i contatti del miniatore con l’ambito tardogotico emiliano, vedi </w:t>
      </w:r>
      <w:r w:rsidRPr="00796A9D">
        <w:rPr>
          <w:rFonts w:ascii="Times New Roman" w:hAnsi="Times New Roman" w:cs="Times New Roman"/>
          <w:smallCaps/>
        </w:rPr>
        <w:t>F. Lollini</w:t>
      </w:r>
      <w:r w:rsidRPr="00796A9D">
        <w:rPr>
          <w:rFonts w:ascii="Times New Roman" w:hAnsi="Times New Roman" w:cs="Times New Roman"/>
        </w:rPr>
        <w:t xml:space="preserve">, s.v. </w:t>
      </w:r>
      <w:r w:rsidRPr="00796A9D">
        <w:rPr>
          <w:rFonts w:ascii="Times New Roman" w:hAnsi="Times New Roman" w:cs="Times New Roman"/>
          <w:i/>
        </w:rPr>
        <w:t>Giovanni Belbello da Pavia</w:t>
      </w:r>
      <w:r w:rsidRPr="00796A9D">
        <w:rPr>
          <w:rFonts w:ascii="Times New Roman" w:hAnsi="Times New Roman" w:cs="Times New Roman"/>
        </w:rPr>
        <w:t xml:space="preserve">, in </w:t>
      </w:r>
      <w:r w:rsidRPr="00796A9D">
        <w:rPr>
          <w:rFonts w:ascii="Times New Roman" w:hAnsi="Times New Roman" w:cs="Times New Roman"/>
          <w:i/>
        </w:rPr>
        <w:t xml:space="preserve">Dizionario biografico dei miniatori italiani, </w:t>
      </w:r>
      <w:r w:rsidRPr="00796A9D">
        <w:rPr>
          <w:rFonts w:ascii="Times New Roman" w:hAnsi="Times New Roman" w:cs="Times New Roman"/>
        </w:rPr>
        <w:t>cit., pp. 273-276.</w:t>
      </w:r>
      <w:r w:rsidRPr="00796A9D">
        <w:rPr>
          <w:rFonts w:ascii="Times New Roman" w:hAnsi="Times New Roman" w:cs="Times New Roman"/>
          <w:i/>
        </w:rPr>
        <w:t xml:space="preserve"> </w:t>
      </w:r>
    </w:p>
  </w:footnote>
  <w:footnote w:id="125">
    <w:p w14:paraId="6E6593C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l’aggiornamento dello stile di Belbello nel corso del suo ultimo periodo al servizio della corte di Mantova e in rapporto alla decorazione del </w:t>
      </w:r>
      <w:r w:rsidRPr="00796A9D">
        <w:rPr>
          <w:rFonts w:ascii="Times New Roman" w:hAnsi="Times New Roman" w:cs="Times New Roman"/>
          <w:i/>
        </w:rPr>
        <w:t>Messale</w:t>
      </w:r>
      <w:r w:rsidRPr="00796A9D">
        <w:rPr>
          <w:rFonts w:ascii="Times New Roman" w:hAnsi="Times New Roman" w:cs="Times New Roman"/>
        </w:rPr>
        <w:t xml:space="preserve"> si rinvia ad </w:t>
      </w:r>
      <w:r w:rsidRPr="00796A9D">
        <w:rPr>
          <w:rFonts w:ascii="Times New Roman" w:hAnsi="Times New Roman" w:cs="Times New Roman"/>
          <w:smallCaps/>
        </w:rPr>
        <w:t>A. Cadei</w:t>
      </w:r>
      <w:r w:rsidRPr="00796A9D">
        <w:rPr>
          <w:rFonts w:ascii="Times New Roman" w:hAnsi="Times New Roman" w:cs="Times New Roman"/>
        </w:rPr>
        <w:t xml:space="preserve">, </w:t>
      </w:r>
      <w:r w:rsidRPr="00796A9D">
        <w:rPr>
          <w:rFonts w:ascii="Times New Roman" w:hAnsi="Times New Roman" w:cs="Times New Roman"/>
          <w:i/>
        </w:rPr>
        <w:t>Studi di Miniatura Lombarda. Giovannino de’ Grassi, Belbello da Pavia</w:t>
      </w:r>
      <w:r w:rsidRPr="00796A9D">
        <w:rPr>
          <w:rFonts w:ascii="Times New Roman" w:hAnsi="Times New Roman" w:cs="Times New Roman"/>
        </w:rPr>
        <w:t xml:space="preserve">, Roma, Viella, 1984, pp. 175-192. </w:t>
      </w:r>
      <w:r w:rsidRPr="00796A9D">
        <w:rPr>
          <w:rFonts w:ascii="Times New Roman" w:hAnsi="Times New Roman" w:cs="Times New Roman"/>
          <w:smallCaps/>
        </w:rPr>
        <w:t>A. de Marchi</w:t>
      </w:r>
      <w:r w:rsidRPr="00796A9D">
        <w:rPr>
          <w:rFonts w:ascii="Times New Roman" w:hAnsi="Times New Roman" w:cs="Times New Roman"/>
        </w:rPr>
        <w:t xml:space="preserve">, </w:t>
      </w:r>
      <w:r w:rsidRPr="00796A9D">
        <w:rPr>
          <w:rFonts w:ascii="Times New Roman" w:hAnsi="Times New Roman" w:cs="Times New Roman"/>
          <w:i/>
        </w:rPr>
        <w:t>Tra Ferrara e Mantova. Il Messale di Barbara Gonzaga</w:t>
      </w:r>
      <w:r w:rsidRPr="00796A9D">
        <w:rPr>
          <w:rFonts w:ascii="Times New Roman" w:hAnsi="Times New Roman" w:cs="Times New Roman"/>
        </w:rPr>
        <w:t xml:space="preserve">, in </w:t>
      </w:r>
      <w:r w:rsidRPr="00796A9D">
        <w:rPr>
          <w:rFonts w:ascii="Times New Roman" w:hAnsi="Times New Roman" w:cs="Times New Roman"/>
          <w:i/>
        </w:rPr>
        <w:t>La miniatura a Ferrara dal tempo di Cosmè Tura all’eredità di Ercole de’ Roberti</w:t>
      </w:r>
      <w:r w:rsidRPr="00796A9D">
        <w:rPr>
          <w:rFonts w:ascii="Times New Roman" w:hAnsi="Times New Roman" w:cs="Times New Roman"/>
        </w:rPr>
        <w:t xml:space="preserve">, Catalogo della mostra </w:t>
      </w:r>
      <w:r w:rsidRPr="00796A9D">
        <w:rPr>
          <w:rFonts w:ascii="Times New Roman" w:hAnsi="Times New Roman" w:cs="Times New Roman"/>
          <w:smallCaps/>
        </w:rPr>
        <w:t>(F</w:t>
      </w:r>
      <w:r w:rsidRPr="00796A9D">
        <w:rPr>
          <w:rFonts w:ascii="Times New Roman" w:hAnsi="Times New Roman" w:cs="Times New Roman"/>
        </w:rPr>
        <w:t xml:space="preserve">errara, 1 marzo – 31 maggio 1998), a cura di </w:t>
      </w:r>
      <w:r w:rsidRPr="00796A9D">
        <w:rPr>
          <w:rFonts w:ascii="Times New Roman" w:hAnsi="Times New Roman" w:cs="Times New Roman"/>
          <w:smallCaps/>
        </w:rPr>
        <w:t>F. Toniolo</w:t>
      </w:r>
      <w:r w:rsidRPr="00796A9D">
        <w:rPr>
          <w:rFonts w:ascii="Times New Roman" w:hAnsi="Times New Roman" w:cs="Times New Roman"/>
        </w:rPr>
        <w:t>, Modena, Franco Cosimo Panini, 1998, pp. 115-118.</w:t>
      </w:r>
    </w:p>
  </w:footnote>
  <w:footnote w:id="126">
    <w:p w14:paraId="49E3EAA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D. Guernelli</w:t>
      </w:r>
      <w:r w:rsidRPr="00796A9D">
        <w:rPr>
          <w:rFonts w:ascii="Times New Roman" w:hAnsi="Times New Roman" w:cs="Times New Roman"/>
        </w:rPr>
        <w:t xml:space="preserve">, </w:t>
      </w:r>
      <w:r w:rsidRPr="00796A9D">
        <w:rPr>
          <w:rFonts w:ascii="Times New Roman" w:hAnsi="Times New Roman" w:cs="Times New Roman"/>
          <w:i/>
        </w:rPr>
        <w:t>Perle ai margini. Una nuova testimonianza di Girolamo da Cremona</w:t>
      </w:r>
      <w:r w:rsidRPr="00796A9D">
        <w:rPr>
          <w:rFonts w:ascii="Times New Roman" w:hAnsi="Times New Roman" w:cs="Times New Roman"/>
        </w:rPr>
        <w:t xml:space="preserve">, «Bibliothecae.it», V, 2016, 153-171, dove si avanza l’ipotesi di un’elaborazione di questa tipologia decorativa negli anni del soggiorno ferrarese di Girolamo, ispirata forse a opere di oreficeria incastonate nei troni delle </w:t>
      </w:r>
      <w:r w:rsidRPr="00796A9D">
        <w:rPr>
          <w:rFonts w:ascii="Times New Roman" w:hAnsi="Times New Roman" w:cs="Times New Roman"/>
          <w:i/>
        </w:rPr>
        <w:t>Muse</w:t>
      </w:r>
      <w:r w:rsidRPr="00796A9D">
        <w:rPr>
          <w:rFonts w:ascii="Times New Roman" w:hAnsi="Times New Roman" w:cs="Times New Roman"/>
        </w:rPr>
        <w:t xml:space="preserve"> dello studiolo di Belfiore dipinte da Michele Pannonio e Cosmè Tura.  </w:t>
      </w:r>
    </w:p>
  </w:footnote>
  <w:footnote w:id="127">
    <w:p w14:paraId="47ACDD2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Madrid, Biblioteca Nacional, Vitr. 22.5. Un’adeguata analisi del manoscritto e della sua squisita decorazione in </w:t>
      </w:r>
      <w:r w:rsidRPr="00796A9D">
        <w:rPr>
          <w:rFonts w:ascii="Times New Roman" w:hAnsi="Times New Roman" w:cs="Times New Roman"/>
          <w:smallCaps/>
        </w:rPr>
        <w:t>S. Fumian</w:t>
      </w:r>
      <w:r w:rsidRPr="00796A9D">
        <w:rPr>
          <w:rFonts w:ascii="Times New Roman" w:hAnsi="Times New Roman" w:cs="Times New Roman"/>
        </w:rPr>
        <w:t xml:space="preserve">, </w:t>
      </w:r>
      <w:r w:rsidRPr="00796A9D">
        <w:rPr>
          <w:rFonts w:ascii="Times New Roman" w:hAnsi="Times New Roman" w:cs="Times New Roman"/>
          <w:i/>
        </w:rPr>
        <w:t>Considerazioni in margine al Plauto Gonzaga</w:t>
      </w:r>
      <w:r w:rsidRPr="00796A9D">
        <w:rPr>
          <w:rFonts w:ascii="Times New Roman" w:hAnsi="Times New Roman" w:cs="Times New Roman"/>
        </w:rPr>
        <w:t xml:space="preserve">, «Rivista di storia della miniatura», </w:t>
      </w:r>
      <w:r>
        <w:rPr>
          <w:rFonts w:ascii="Times New Roman" w:hAnsi="Times New Roman" w:cs="Times New Roman"/>
        </w:rPr>
        <w:t>XIII</w:t>
      </w:r>
      <w:r w:rsidRPr="00796A9D">
        <w:rPr>
          <w:rFonts w:ascii="Times New Roman" w:hAnsi="Times New Roman" w:cs="Times New Roman"/>
        </w:rPr>
        <w:t>, 2009, pp. 120-129.</w:t>
      </w:r>
    </w:p>
  </w:footnote>
  <w:footnote w:id="128">
    <w:p w14:paraId="4DAD29F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Franceschini</w:t>
      </w:r>
      <w:r w:rsidRPr="00796A9D">
        <w:rPr>
          <w:rFonts w:ascii="Times New Roman" w:hAnsi="Times New Roman" w:cs="Times New Roman"/>
        </w:rPr>
        <w:t xml:space="preserve">, </w:t>
      </w:r>
      <w:r w:rsidRPr="00796A9D">
        <w:rPr>
          <w:rFonts w:ascii="Times New Roman" w:hAnsi="Times New Roman" w:cs="Times New Roman"/>
          <w:i/>
        </w:rPr>
        <w:t>Artisti a Ferrara in età umanistica e rinascimentale</w:t>
      </w:r>
      <w:r w:rsidRPr="00796A9D">
        <w:rPr>
          <w:rFonts w:ascii="Times New Roman" w:hAnsi="Times New Roman" w:cs="Times New Roman"/>
        </w:rPr>
        <w:t>, cit., 1096 u.</w:t>
      </w:r>
    </w:p>
  </w:footnote>
  <w:footnote w:id="129">
    <w:p w14:paraId="07309C5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L’ipotesi di una simile organizzazione della bottega di Giraldi è proposta da Giordana Mariani Canova, che segnala come egli, almeno dal 1466, tenesse in casa come figli putativi la nipote Isabella e il di lei marito, Alessandro Leoni da Milano, che sarebbe stato anche collaboratore del pittore e suo agente commerciale a partire dal 1475. Per questa e per la documentazione in merito alle committenze gonzaghesche di Giraldi cfr. </w:t>
      </w:r>
      <w:r w:rsidRPr="00796A9D">
        <w:rPr>
          <w:rFonts w:ascii="Times New Roman" w:hAnsi="Times New Roman" w:cs="Times New Roman"/>
          <w:smallCaps/>
        </w:rPr>
        <w:t>G.M. Canova</w:t>
      </w:r>
      <w:r w:rsidRPr="00796A9D">
        <w:rPr>
          <w:rFonts w:ascii="Times New Roman" w:hAnsi="Times New Roman" w:cs="Times New Roman"/>
        </w:rPr>
        <w:t xml:space="preserve">, </w:t>
      </w:r>
      <w:r w:rsidRPr="00796A9D">
        <w:rPr>
          <w:rFonts w:ascii="Times New Roman" w:hAnsi="Times New Roman" w:cs="Times New Roman"/>
          <w:i/>
        </w:rPr>
        <w:t>Guglielmo Giraldi miniatore estense</w:t>
      </w:r>
      <w:r w:rsidRPr="00796A9D">
        <w:rPr>
          <w:rFonts w:ascii="Times New Roman" w:hAnsi="Times New Roman" w:cs="Times New Roman"/>
        </w:rPr>
        <w:t xml:space="preserve">, Modena, Franco Cosimo Panini, 1995, pp. 73-77. </w:t>
      </w:r>
    </w:p>
  </w:footnote>
  <w:footnote w:id="130">
    <w:p w14:paraId="6EE974E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Due distici di Guarino Veronese, indirizzati al calligrafo ferrarese Jacopo Lando, attestano la stima dell’umanista per Giraldi, posto a paragone con Cosmè Tura e con l’eccellente destinatario del componimento. Un altro elogio di Guglielmo fu composto da Gaspare Tribraco, poeta estense poi passato al servizio dei Gonzaga. Questi testi credo siano un indizio dell’elaborazione di un linguaggio artistico reciprocamente influenzato da pittori e intellettuali cortigiani. Per essi si veda </w:t>
      </w:r>
      <w:r w:rsidRPr="00796A9D">
        <w:rPr>
          <w:rFonts w:ascii="Times New Roman" w:hAnsi="Times New Roman" w:cs="Times New Roman"/>
          <w:i/>
        </w:rPr>
        <w:t>Ivi</w:t>
      </w:r>
      <w:r w:rsidRPr="00796A9D">
        <w:rPr>
          <w:rFonts w:ascii="Times New Roman" w:hAnsi="Times New Roman" w:cs="Times New Roman"/>
        </w:rPr>
        <w:t xml:space="preserve">, pp. 9-12. </w:t>
      </w:r>
    </w:p>
  </w:footnote>
  <w:footnote w:id="131">
    <w:p w14:paraId="0D3621C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80" w:name="_Hlk528508769"/>
      <w:r w:rsidRPr="00796A9D">
        <w:rPr>
          <w:rFonts w:ascii="Times New Roman" w:hAnsi="Times New Roman" w:cs="Times New Roman"/>
        </w:rPr>
        <w:t xml:space="preserve">Milano, Biblioteca Ambrosiana, ms. S.P. 10/28. </w:t>
      </w:r>
      <w:bookmarkEnd w:id="80"/>
      <w:r w:rsidRPr="00796A9D">
        <w:rPr>
          <w:rFonts w:ascii="Times New Roman" w:hAnsi="Times New Roman" w:cs="Times New Roman"/>
        </w:rPr>
        <w:t xml:space="preserve">Il codice, in umanistica corsiva, si deve alla mano di un anonimo copista bolognese. Ignoto è anche il committente, sebbene la presenza dei passi in greco dell’opera consenta di ascriverlo alla cerchia dei discepoli di Guarino Veronese, che nel 1432 aveva reintegrato i brani greci del testo: </w:t>
      </w:r>
      <w:r w:rsidRPr="00796A9D">
        <w:rPr>
          <w:rFonts w:ascii="Times New Roman" w:hAnsi="Times New Roman" w:cs="Times New Roman"/>
          <w:i/>
        </w:rPr>
        <w:t>Ivi</w:t>
      </w:r>
      <w:r w:rsidRPr="00796A9D">
        <w:rPr>
          <w:rFonts w:ascii="Times New Roman" w:hAnsi="Times New Roman" w:cs="Times New Roman"/>
        </w:rPr>
        <w:t xml:space="preserve">, pp. 20-27.  </w:t>
      </w:r>
    </w:p>
  </w:footnote>
  <w:footnote w:id="132">
    <w:p w14:paraId="70BA85C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un inquadramento del contributo di Giovanni Falconi e Jacopino d’Arezzo, operanti per conto di Lionello e di suo fratello Meliaduse, e più in generale per questa prima stagione della miniatura a Ferrara si veda, </w:t>
      </w:r>
      <w:r w:rsidRPr="00796A9D">
        <w:rPr>
          <w:rFonts w:ascii="Times New Roman" w:hAnsi="Times New Roman" w:cs="Times New Roman"/>
          <w:smallCaps/>
        </w:rPr>
        <w:t>H. J. Hermann</w:t>
      </w:r>
      <w:r w:rsidRPr="00796A9D">
        <w:rPr>
          <w:rFonts w:ascii="Times New Roman" w:hAnsi="Times New Roman" w:cs="Times New Roman"/>
        </w:rPr>
        <w:t xml:space="preserve">, </w:t>
      </w:r>
      <w:r w:rsidRPr="00796A9D">
        <w:rPr>
          <w:rFonts w:ascii="Times New Roman" w:hAnsi="Times New Roman" w:cs="Times New Roman"/>
          <w:i/>
        </w:rPr>
        <w:t>La miniatura a Ferrara</w:t>
      </w:r>
      <w:r w:rsidRPr="00796A9D">
        <w:rPr>
          <w:rFonts w:ascii="Times New Roman" w:hAnsi="Times New Roman" w:cs="Times New Roman"/>
        </w:rPr>
        <w:t xml:space="preserve">, a cura di </w:t>
      </w:r>
      <w:r w:rsidRPr="00796A9D">
        <w:rPr>
          <w:rFonts w:ascii="Times New Roman" w:hAnsi="Times New Roman" w:cs="Times New Roman"/>
          <w:smallCaps/>
        </w:rPr>
        <w:t>F. Toniolo</w:t>
      </w:r>
      <w:r w:rsidRPr="00796A9D">
        <w:rPr>
          <w:rFonts w:ascii="Times New Roman" w:hAnsi="Times New Roman" w:cs="Times New Roman"/>
        </w:rPr>
        <w:t xml:space="preserve">, Modena, Franco Cosimo Panini, 1994, pp. 65-75. </w:t>
      </w:r>
    </w:p>
  </w:footnote>
  <w:footnote w:id="133">
    <w:p w14:paraId="3EAA8C1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Modena, Biblioteca Estense Universitaria, Lat. 422-423: mss. V. G. 12-13. Per la descrizione codicologica si rinvia a </w:t>
      </w:r>
      <w:r w:rsidRPr="00796A9D">
        <w:rPr>
          <w:rFonts w:ascii="Times New Roman" w:hAnsi="Times New Roman" w:cs="Times New Roman"/>
          <w:smallCaps/>
        </w:rPr>
        <w:t>F. Toniolo</w:t>
      </w:r>
      <w:r w:rsidRPr="00796A9D">
        <w:rPr>
          <w:rFonts w:ascii="Times New Roman" w:hAnsi="Times New Roman" w:cs="Times New Roman"/>
        </w:rPr>
        <w:t xml:space="preserve">, </w:t>
      </w:r>
      <w:r w:rsidRPr="00796A9D">
        <w:rPr>
          <w:rFonts w:ascii="Times New Roman" w:hAnsi="Times New Roman" w:cs="Times New Roman"/>
          <w:i/>
        </w:rPr>
        <w:t>Descrizione codicologica</w:t>
      </w:r>
      <w:r w:rsidRPr="00796A9D">
        <w:rPr>
          <w:rFonts w:ascii="Times New Roman" w:hAnsi="Times New Roman" w:cs="Times New Roman"/>
        </w:rPr>
        <w:t xml:space="preserve">, in </w:t>
      </w:r>
      <w:r w:rsidRPr="00796A9D">
        <w:rPr>
          <w:rFonts w:ascii="Times New Roman" w:hAnsi="Times New Roman" w:cs="Times New Roman"/>
          <w:i/>
        </w:rPr>
        <w:t>La Bibbia di Borso d’Este</w:t>
      </w:r>
      <w:r w:rsidRPr="00796A9D">
        <w:rPr>
          <w:rFonts w:ascii="Times New Roman" w:hAnsi="Times New Roman" w:cs="Times New Roman"/>
        </w:rPr>
        <w:t xml:space="preserve">. </w:t>
      </w:r>
      <w:r w:rsidRPr="00796A9D">
        <w:rPr>
          <w:rFonts w:ascii="Times New Roman" w:hAnsi="Times New Roman" w:cs="Times New Roman"/>
          <w:i/>
        </w:rPr>
        <w:t>Commentario al codice</w:t>
      </w:r>
      <w:r w:rsidRPr="00796A9D">
        <w:rPr>
          <w:rFonts w:ascii="Times New Roman" w:hAnsi="Times New Roman" w:cs="Times New Roman"/>
        </w:rPr>
        <w:t xml:space="preserve">, a cura di </w:t>
      </w:r>
      <w:r w:rsidRPr="00796A9D">
        <w:rPr>
          <w:rFonts w:ascii="Times New Roman" w:hAnsi="Times New Roman" w:cs="Times New Roman"/>
          <w:smallCaps/>
        </w:rPr>
        <w:t>Idem</w:t>
      </w:r>
      <w:r w:rsidRPr="00796A9D">
        <w:rPr>
          <w:rFonts w:ascii="Times New Roman" w:hAnsi="Times New Roman" w:cs="Times New Roman"/>
        </w:rPr>
        <w:t xml:space="preserve">, Modena, Franco Cosimo Panini, 1996, vol. I, pp. 139-142. </w:t>
      </w:r>
    </w:p>
  </w:footnote>
  <w:footnote w:id="134">
    <w:p w14:paraId="2FCC365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È da rilevare come già ai tempi del marchese Leonello fossero stati concessi dei locali del Castello per ospitare la bottega di Giorgio d’Alemagna, autore dell’apprezzato </w:t>
      </w:r>
      <w:r w:rsidRPr="00796A9D">
        <w:rPr>
          <w:rFonts w:ascii="Times New Roman" w:hAnsi="Times New Roman" w:cs="Times New Roman"/>
          <w:i/>
        </w:rPr>
        <w:t>Breviario</w:t>
      </w:r>
      <w:r w:rsidRPr="00796A9D">
        <w:rPr>
          <w:rFonts w:ascii="Times New Roman" w:hAnsi="Times New Roman" w:cs="Times New Roman"/>
        </w:rPr>
        <w:t xml:space="preserve"> di Leonello compiuto tra il 1441 e il 1448. Nel 1462 l’artista ricevette per i suoi meriti la cittadinanza ferrarese. L’episodio documenta l’alta considerazione dei maestri miniatori alla corte estense. </w:t>
      </w:r>
    </w:p>
  </w:footnote>
  <w:footnote w:id="135">
    <w:p w14:paraId="484CF94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casa concessa da Borso ai miniatori Crivelli e dei Russi apparteneva a Bartolomeo dai Carri, provveditore della Certosa di Ferrara. L’ammontare del suo affitto, 50 lire l’anno, fu inserito nelle voci del contratto d’esecuzione. Dalla documentazione pervenuta è possibile farsi un’idea dell’ingente spesa richiesta per realizzare l’opera, pari a circa 5.600 lire marchesane, circa la metà del prezzo pagato da Borso nel 1452 per il titolo di duca di Modena e Reggio (4.000 fiorini annui). Cfr</w:t>
      </w:r>
      <w:r w:rsidRPr="00796A9D">
        <w:rPr>
          <w:rFonts w:ascii="Times New Roman" w:hAnsi="Times New Roman" w:cs="Times New Roman"/>
          <w:smallCaps/>
        </w:rPr>
        <w:t>. A. Melograni</w:t>
      </w:r>
      <w:r w:rsidRPr="00796A9D">
        <w:rPr>
          <w:rFonts w:ascii="Times New Roman" w:hAnsi="Times New Roman" w:cs="Times New Roman"/>
        </w:rPr>
        <w:t xml:space="preserve">, </w:t>
      </w:r>
      <w:r w:rsidRPr="00796A9D">
        <w:rPr>
          <w:rFonts w:ascii="Times New Roman" w:hAnsi="Times New Roman" w:cs="Times New Roman"/>
          <w:i/>
        </w:rPr>
        <w:t>Quanto costa la magnificenza? Il caso della “Bibia bella” di Borso d’Este</w:t>
      </w:r>
      <w:r w:rsidRPr="00796A9D">
        <w:rPr>
          <w:rFonts w:ascii="Times New Roman" w:hAnsi="Times New Roman" w:cs="Times New Roman"/>
        </w:rPr>
        <w:t xml:space="preserve">, «Bollettino d’Arte», 144, aprile-giugno 2008, pp.7-24.  </w:t>
      </w:r>
    </w:p>
  </w:footnote>
  <w:footnote w:id="136">
    <w:p w14:paraId="4C04CF1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Alcuni esempi di richiami alle bellezze estensi nelle miniature della </w:t>
      </w:r>
      <w:r w:rsidRPr="00796A9D">
        <w:rPr>
          <w:rFonts w:ascii="Times New Roman" w:hAnsi="Times New Roman" w:cs="Times New Roman"/>
          <w:i/>
        </w:rPr>
        <w:t>Bibbia</w:t>
      </w:r>
      <w:r w:rsidRPr="00796A9D">
        <w:rPr>
          <w:rFonts w:ascii="Times New Roman" w:hAnsi="Times New Roman" w:cs="Times New Roman"/>
        </w:rPr>
        <w:t xml:space="preserve"> sono analizzati in </w:t>
      </w:r>
      <w:r w:rsidRPr="00796A9D">
        <w:rPr>
          <w:rFonts w:ascii="Times New Roman" w:hAnsi="Times New Roman" w:cs="Times New Roman"/>
          <w:smallCaps/>
        </w:rPr>
        <w:t>F. Toniolo</w:t>
      </w:r>
      <w:r w:rsidRPr="00796A9D">
        <w:rPr>
          <w:rFonts w:ascii="Times New Roman" w:hAnsi="Times New Roman" w:cs="Times New Roman"/>
        </w:rPr>
        <w:t xml:space="preserve">, </w:t>
      </w:r>
      <w:r w:rsidRPr="00796A9D">
        <w:rPr>
          <w:rFonts w:ascii="Times New Roman" w:hAnsi="Times New Roman" w:cs="Times New Roman"/>
          <w:i/>
        </w:rPr>
        <w:t>La Bibbia di Borso d’Este: un’officina a Corte e la sua diaspora</w:t>
      </w:r>
      <w:r w:rsidRPr="00796A9D">
        <w:rPr>
          <w:rFonts w:ascii="Times New Roman" w:hAnsi="Times New Roman" w:cs="Times New Roman"/>
        </w:rPr>
        <w:t xml:space="preserve">, in </w:t>
      </w:r>
      <w:r w:rsidRPr="00796A9D">
        <w:rPr>
          <w:rFonts w:ascii="Times New Roman" w:hAnsi="Times New Roman" w:cs="Times New Roman"/>
          <w:i/>
        </w:rPr>
        <w:t xml:space="preserve">La miniatura a Ferrara, </w:t>
      </w:r>
      <w:r w:rsidRPr="00796A9D">
        <w:rPr>
          <w:rFonts w:ascii="Times New Roman" w:hAnsi="Times New Roman" w:cs="Times New Roman"/>
        </w:rPr>
        <w:t xml:space="preserve">cit., pp. 105-113. </w:t>
      </w:r>
    </w:p>
  </w:footnote>
  <w:footnote w:id="137">
    <w:p w14:paraId="6F88C60B"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Per gli aggiornamenti stilistici di Crivelli e dei Russi negli anni d’esecuzione del capolavoro estense si veda F. </w:t>
      </w:r>
      <w:r w:rsidRPr="00796A9D">
        <w:rPr>
          <w:rFonts w:ascii="Times New Roman" w:hAnsi="Times New Roman" w:cs="Times New Roman"/>
          <w:smallCaps/>
          <w:sz w:val="20"/>
          <w:szCs w:val="20"/>
        </w:rPr>
        <w:t>Toniolo</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La miniatura in Emilia-Romagna</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La miniatura in Italia</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A. Putaturo Donati Murano, A. Perriccioli Saggese</w:t>
      </w:r>
      <w:r w:rsidRPr="00796A9D">
        <w:rPr>
          <w:rFonts w:ascii="Times New Roman" w:hAnsi="Times New Roman" w:cs="Times New Roman"/>
          <w:sz w:val="20"/>
          <w:szCs w:val="20"/>
        </w:rPr>
        <w:t xml:space="preserve">, Napoli, Edizioni Scientifiche Italiane, 2009, vol. II, </w:t>
      </w:r>
      <w:r w:rsidRPr="00796A9D">
        <w:rPr>
          <w:rFonts w:ascii="Times New Roman" w:hAnsi="Times New Roman" w:cs="Times New Roman"/>
          <w:i/>
          <w:sz w:val="20"/>
          <w:szCs w:val="20"/>
        </w:rPr>
        <w:t>Dal tardogotico al manierismo</w:t>
      </w:r>
      <w:r w:rsidRPr="00796A9D">
        <w:rPr>
          <w:rFonts w:ascii="Times New Roman" w:hAnsi="Times New Roman" w:cs="Times New Roman"/>
          <w:sz w:val="20"/>
          <w:szCs w:val="20"/>
        </w:rPr>
        <w:t>, pp. 372-399.</w:t>
      </w:r>
    </w:p>
  </w:footnote>
  <w:footnote w:id="138">
    <w:p w14:paraId="6D22926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 disamina dell’influenza dell’arte di Pisanello sui maestri attivi nella </w:t>
      </w:r>
      <w:r w:rsidRPr="00796A9D">
        <w:rPr>
          <w:rFonts w:ascii="Times New Roman" w:hAnsi="Times New Roman" w:cs="Times New Roman"/>
          <w:i/>
        </w:rPr>
        <w:t>Bibbia</w:t>
      </w:r>
      <w:r w:rsidRPr="00796A9D">
        <w:rPr>
          <w:rFonts w:ascii="Times New Roman" w:hAnsi="Times New Roman" w:cs="Times New Roman"/>
        </w:rPr>
        <w:t xml:space="preserve"> di Borso, in rapporto con la corte estense a partire dagli anni </w:t>
      </w:r>
      <w:r>
        <w:rPr>
          <w:rFonts w:ascii="Times New Roman" w:hAnsi="Times New Roman" w:cs="Times New Roman"/>
        </w:rPr>
        <w:t>T</w:t>
      </w:r>
      <w:r w:rsidRPr="00796A9D">
        <w:rPr>
          <w:rFonts w:ascii="Times New Roman" w:hAnsi="Times New Roman" w:cs="Times New Roman"/>
        </w:rPr>
        <w:t>renta del Quattrocento, è offerta in</w:t>
      </w:r>
      <w:r w:rsidRPr="00796A9D">
        <w:rPr>
          <w:rFonts w:ascii="Times New Roman" w:hAnsi="Times New Roman" w:cs="Times New Roman"/>
          <w:smallCaps/>
        </w:rPr>
        <w:t xml:space="preserve"> L. Syson, D. Gordon</w:t>
      </w:r>
      <w:r w:rsidRPr="00796A9D">
        <w:rPr>
          <w:rFonts w:ascii="Times New Roman" w:hAnsi="Times New Roman" w:cs="Times New Roman"/>
        </w:rPr>
        <w:t xml:space="preserve">, </w:t>
      </w:r>
      <w:r w:rsidRPr="00796A9D">
        <w:rPr>
          <w:rFonts w:ascii="Times New Roman" w:hAnsi="Times New Roman" w:cs="Times New Roman"/>
          <w:i/>
        </w:rPr>
        <w:t xml:space="preserve">Pisanello. </w:t>
      </w:r>
      <w:r w:rsidRPr="00796A9D">
        <w:rPr>
          <w:rFonts w:ascii="Times New Roman" w:hAnsi="Times New Roman" w:cs="Times New Roman"/>
          <w:i/>
          <w:lang w:val="en-US"/>
        </w:rPr>
        <w:t>Painter to the Renaissance Court</w:t>
      </w:r>
      <w:r w:rsidRPr="00796A9D">
        <w:rPr>
          <w:rFonts w:ascii="Times New Roman" w:hAnsi="Times New Roman" w:cs="Times New Roman"/>
          <w:lang w:val="en-US"/>
        </w:rPr>
        <w:t xml:space="preserve">, London, National Gallery Company, 2001, pp. 218-226. </w:t>
      </w:r>
      <w:r w:rsidRPr="00796A9D">
        <w:rPr>
          <w:rFonts w:ascii="Times New Roman" w:hAnsi="Times New Roman" w:cs="Times New Roman"/>
        </w:rPr>
        <w:t>Lo studio prende in considerazione in particolare le citazioni pisanelliane in miniature di Crivelli e di Matteo de’ Pasti.</w:t>
      </w:r>
    </w:p>
  </w:footnote>
  <w:footnote w:id="139">
    <w:p w14:paraId="62573D6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Nella </w:t>
      </w:r>
      <w:r w:rsidRPr="00796A9D">
        <w:rPr>
          <w:rFonts w:ascii="Times New Roman" w:hAnsi="Times New Roman" w:cs="Times New Roman"/>
          <w:i/>
        </w:rPr>
        <w:t>Bibbia</w:t>
      </w:r>
      <w:r w:rsidRPr="00796A9D">
        <w:rPr>
          <w:rFonts w:ascii="Times New Roman" w:hAnsi="Times New Roman" w:cs="Times New Roman"/>
        </w:rPr>
        <w:t xml:space="preserve"> è assente l’inquartato di Niccolò III, che designava la casa estense dal gennaio 1431, quando re Carlo VII permise al marchese di Ferrara di accostare i gigli di Francia all’aquila d’argento su scudo azzurro degli Este. Il 18 maggio 1452 l’imperatore Federico III concesse a Borso la Contea di Rovigo e il ducato di Modena e Reggio, per i quali furono creati altri due stemmi assai frequenti nel codice: l’aquila bicipite in argento e nero su sfondo bipartito oro e blu; l’inquartato con gigli di Francia in campo blu e aquila nera bicipite in campo oro. Dello stemma del ducato di Modena e Reggio compare anche una variante elaborata dopo la concessione del titolo ducale da parte di Paolo II, che prevede la sovrapposizione ad esso delle chiavi di san Pietro in oro e argento. Il manoscritto registra dunque gli aggiornamenti del cursus honorum di Borso. Dopo il suo passaggio nelle mani di Ercole I saranno in vero pochi gli stemmi modificati, quasi a ribadire la stretta vicinanza dei volumi al loro primo possessore. Cfr. </w:t>
      </w:r>
      <w:r w:rsidRPr="00796A9D">
        <w:rPr>
          <w:rFonts w:ascii="Times New Roman" w:hAnsi="Times New Roman" w:cs="Times New Roman"/>
          <w:smallCaps/>
        </w:rPr>
        <w:t>A. Spaggiari</w:t>
      </w:r>
      <w:r w:rsidRPr="00796A9D">
        <w:rPr>
          <w:rFonts w:ascii="Times New Roman" w:hAnsi="Times New Roman" w:cs="Times New Roman"/>
        </w:rPr>
        <w:t xml:space="preserve">, </w:t>
      </w:r>
      <w:r w:rsidRPr="00796A9D">
        <w:rPr>
          <w:rFonts w:ascii="Times New Roman" w:hAnsi="Times New Roman" w:cs="Times New Roman"/>
          <w:i/>
        </w:rPr>
        <w:t>Gli stemmi</w:t>
      </w:r>
      <w:r w:rsidRPr="00796A9D">
        <w:rPr>
          <w:rFonts w:ascii="Times New Roman" w:hAnsi="Times New Roman" w:cs="Times New Roman"/>
        </w:rPr>
        <w:t xml:space="preserve">, «Bollettino d’Arte», 144, aprile-giugno 2008, pp. 25-33.  </w:t>
      </w:r>
    </w:p>
  </w:footnote>
  <w:footnote w:id="140">
    <w:p w14:paraId="47DA827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ruolo di Andrea dalle Vieze è messo in rilievo da Mariani Canova, che osserva come non manchino, tuttavia, nei registri di pagamento retribuzioni dirette a calligrafi periodicamente assoldati dalla corte, come Niccolò Mascarino, che nel 1471 ricevette il compenso per la copia di un Tacito e di un Dione. Cfr. </w:t>
      </w:r>
      <w:r w:rsidRPr="00796A9D">
        <w:rPr>
          <w:rFonts w:ascii="Times New Roman" w:hAnsi="Times New Roman" w:cs="Times New Roman"/>
          <w:smallCaps/>
        </w:rPr>
        <w:t>G. Mariani Canova</w:t>
      </w:r>
      <w:r w:rsidRPr="00796A9D">
        <w:rPr>
          <w:rFonts w:ascii="Times New Roman" w:hAnsi="Times New Roman" w:cs="Times New Roman"/>
        </w:rPr>
        <w:t xml:space="preserve">, </w:t>
      </w:r>
      <w:r w:rsidRPr="00796A9D">
        <w:rPr>
          <w:rFonts w:ascii="Times New Roman" w:hAnsi="Times New Roman" w:cs="Times New Roman"/>
          <w:i/>
        </w:rPr>
        <w:t>La miniatura a Ferrara da Borso a Ercole d’Este</w:t>
      </w:r>
      <w:r w:rsidRPr="00796A9D">
        <w:rPr>
          <w:rFonts w:ascii="Times New Roman" w:hAnsi="Times New Roman" w:cs="Times New Roman"/>
        </w:rPr>
        <w:t xml:space="preserve">, in </w:t>
      </w:r>
      <w:r w:rsidRPr="00796A9D">
        <w:rPr>
          <w:rFonts w:ascii="Times New Roman" w:hAnsi="Times New Roman" w:cs="Times New Roman"/>
          <w:i/>
        </w:rPr>
        <w:t>La miniatura a Ferrara dal tempo di Cosmè Tura all’eredità di Ercole de’ Roberti</w:t>
      </w:r>
      <w:r w:rsidRPr="00796A9D">
        <w:rPr>
          <w:rFonts w:ascii="Times New Roman" w:hAnsi="Times New Roman" w:cs="Times New Roman"/>
        </w:rPr>
        <w:t xml:space="preserve">, cit., pp. 33-34. </w:t>
      </w:r>
    </w:p>
  </w:footnote>
  <w:footnote w:id="141">
    <w:p w14:paraId="24CCBD7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merito all’introduzione di una poetica d’ispirazione lombarda a Ferrara per opera di Matteo da Milano si rinvia alle osservazioni di </w:t>
      </w:r>
      <w:r w:rsidRPr="00796A9D">
        <w:rPr>
          <w:rFonts w:ascii="Times New Roman" w:hAnsi="Times New Roman" w:cs="Times New Roman"/>
          <w:smallCaps/>
        </w:rPr>
        <w:t>J.J.G. Alexander</w:t>
      </w:r>
      <w:r w:rsidRPr="00796A9D">
        <w:rPr>
          <w:rFonts w:ascii="Times New Roman" w:hAnsi="Times New Roman" w:cs="Times New Roman"/>
        </w:rPr>
        <w:t xml:space="preserve">, </w:t>
      </w:r>
      <w:r w:rsidRPr="00796A9D">
        <w:rPr>
          <w:rFonts w:ascii="Times New Roman" w:hAnsi="Times New Roman" w:cs="Times New Roman"/>
          <w:i/>
        </w:rPr>
        <w:t>La miniatura da Ercole I ad Alfonso I</w:t>
      </w:r>
      <w:r w:rsidRPr="00796A9D">
        <w:rPr>
          <w:rFonts w:ascii="Times New Roman" w:hAnsi="Times New Roman" w:cs="Times New Roman"/>
        </w:rPr>
        <w:t xml:space="preserve">, in </w:t>
      </w:r>
      <w:r w:rsidRPr="00796A9D">
        <w:rPr>
          <w:rFonts w:ascii="Times New Roman" w:hAnsi="Times New Roman" w:cs="Times New Roman"/>
          <w:i/>
        </w:rPr>
        <w:t>La miniatura a Ferrara dal tempo di Cosmè Tura all’eredità di Ercole de’ Roberti</w:t>
      </w:r>
      <w:r w:rsidRPr="00796A9D">
        <w:rPr>
          <w:rFonts w:ascii="Times New Roman" w:hAnsi="Times New Roman" w:cs="Times New Roman"/>
        </w:rPr>
        <w:t>, cit., pp. 295-303.</w:t>
      </w:r>
    </w:p>
  </w:footnote>
  <w:footnote w:id="142">
    <w:p w14:paraId="5D8E5A9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H. J. Hermann</w:t>
      </w:r>
      <w:r w:rsidRPr="00796A9D">
        <w:rPr>
          <w:rFonts w:ascii="Times New Roman" w:hAnsi="Times New Roman" w:cs="Times New Roman"/>
        </w:rPr>
        <w:t xml:space="preserve">, </w:t>
      </w:r>
      <w:r w:rsidRPr="00796A9D">
        <w:rPr>
          <w:rFonts w:ascii="Times New Roman" w:hAnsi="Times New Roman" w:cs="Times New Roman"/>
          <w:i/>
        </w:rPr>
        <w:t>La miniatura a Ferrara</w:t>
      </w:r>
      <w:r w:rsidRPr="00796A9D">
        <w:rPr>
          <w:rFonts w:ascii="Times New Roman" w:hAnsi="Times New Roman" w:cs="Times New Roman"/>
        </w:rPr>
        <w:t xml:space="preserve">, cit., pp. 162-164. Tra i testi recati in dote da Anna Sforza e destinati ad avere una certa influenza sull’arte locale Hermann segnala, ad esempio, un manoscritto lombardo databile agli anni Settanta del XV secolo, forse opera di Cristoforo de Predis: il </w:t>
      </w:r>
      <w:r w:rsidRPr="00796A9D">
        <w:rPr>
          <w:rFonts w:ascii="Times New Roman" w:hAnsi="Times New Roman" w:cs="Times New Roman"/>
          <w:i/>
        </w:rPr>
        <w:t>De sphaera</w:t>
      </w:r>
      <w:r w:rsidRPr="00796A9D">
        <w:rPr>
          <w:rFonts w:ascii="Times New Roman" w:hAnsi="Times New Roman" w:cs="Times New Roman"/>
        </w:rPr>
        <w:t xml:space="preserve">, Modena, Biblioteca Estense, ms. Lat. 209, recante 14 miniature raffiguranti i pianeti e i loro influssi sulle attività umane. </w:t>
      </w:r>
    </w:p>
  </w:footnote>
  <w:footnote w:id="143">
    <w:p w14:paraId="39357E0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Riguardo al rinnovamento dello stile della miniatura lombarda in rapporto alla contemporanea arte monumentale si vedano </w:t>
      </w:r>
      <w:r w:rsidRPr="00796A9D">
        <w:rPr>
          <w:rFonts w:ascii="Times New Roman" w:hAnsi="Times New Roman" w:cs="Times New Roman"/>
          <w:smallCaps/>
        </w:rPr>
        <w:t>P. Mulas</w:t>
      </w:r>
      <w:r w:rsidRPr="00796A9D">
        <w:rPr>
          <w:rFonts w:ascii="Times New Roman" w:hAnsi="Times New Roman" w:cs="Times New Roman"/>
        </w:rPr>
        <w:t xml:space="preserve">, </w:t>
      </w:r>
      <w:r w:rsidRPr="00796A9D">
        <w:rPr>
          <w:rFonts w:ascii="Times New Roman" w:hAnsi="Times New Roman" w:cs="Times New Roman"/>
          <w:i/>
        </w:rPr>
        <w:t>La miniatura lombarda nell’ultimo quarto del Quattrocento</w:t>
      </w:r>
      <w:r w:rsidRPr="00796A9D">
        <w:rPr>
          <w:rFonts w:ascii="Times New Roman" w:hAnsi="Times New Roman" w:cs="Times New Roman"/>
        </w:rPr>
        <w:t xml:space="preserve">, in </w:t>
      </w:r>
      <w:r w:rsidRPr="00796A9D">
        <w:rPr>
          <w:rFonts w:ascii="Times New Roman" w:hAnsi="Times New Roman" w:cs="Times New Roman"/>
          <w:i/>
        </w:rPr>
        <w:t>Le Ore Torriani</w:t>
      </w:r>
      <w:r w:rsidRPr="00796A9D">
        <w:rPr>
          <w:rFonts w:ascii="Times New Roman" w:hAnsi="Times New Roman" w:cs="Times New Roman"/>
        </w:rPr>
        <w:t xml:space="preserve">. Commento al fac-simile, Modena, Franco Cosimo Panini, 2009, pp. 11-84. </w:t>
      </w:r>
      <w:r w:rsidRPr="00796A9D">
        <w:rPr>
          <w:rFonts w:ascii="Times New Roman" w:hAnsi="Times New Roman" w:cs="Times New Roman"/>
          <w:smallCaps/>
        </w:rPr>
        <w:t>Idem</w:t>
      </w:r>
      <w:r w:rsidRPr="00796A9D">
        <w:rPr>
          <w:rFonts w:ascii="Times New Roman" w:hAnsi="Times New Roman" w:cs="Times New Roman"/>
        </w:rPr>
        <w:t xml:space="preserve">, </w:t>
      </w:r>
      <w:r w:rsidRPr="00796A9D">
        <w:rPr>
          <w:rFonts w:ascii="Times New Roman" w:hAnsi="Times New Roman" w:cs="Times New Roman"/>
          <w:i/>
        </w:rPr>
        <w:t>La miniatura lombarda del Quattrocento</w:t>
      </w:r>
      <w:r w:rsidRPr="00796A9D">
        <w:rPr>
          <w:rFonts w:ascii="Times New Roman" w:hAnsi="Times New Roman" w:cs="Times New Roman"/>
        </w:rPr>
        <w:t xml:space="preserve">, in </w:t>
      </w:r>
      <w:r w:rsidRPr="00796A9D">
        <w:rPr>
          <w:rFonts w:ascii="Times New Roman" w:hAnsi="Times New Roman" w:cs="Times New Roman"/>
          <w:i/>
        </w:rPr>
        <w:t>La Pittura in Lombardia. Il Quattrocento</w:t>
      </w:r>
      <w:r w:rsidRPr="00796A9D">
        <w:rPr>
          <w:rFonts w:ascii="Times New Roman" w:hAnsi="Times New Roman" w:cs="Times New Roman"/>
        </w:rPr>
        <w:t xml:space="preserve">, a cura di </w:t>
      </w:r>
      <w:r w:rsidRPr="00796A9D">
        <w:rPr>
          <w:rFonts w:ascii="Times New Roman" w:hAnsi="Times New Roman" w:cs="Times New Roman"/>
          <w:smallCaps/>
        </w:rPr>
        <w:t>G. Bora</w:t>
      </w:r>
      <w:r w:rsidRPr="00796A9D">
        <w:rPr>
          <w:rFonts w:ascii="Times New Roman" w:hAnsi="Times New Roman" w:cs="Times New Roman"/>
        </w:rPr>
        <w:t xml:space="preserve">, Milano, Electa, 1993, pp. 397-418. Per la ricezione della pittura di Foppa nell’ambito della miniatura dell’età sforzesca, che a partire dagli anni Settanta riguardò lo stile di de Predis e successivamente quello di Antonio da Monza, vedi inoltre </w:t>
      </w:r>
      <w:r w:rsidRPr="00796A9D">
        <w:rPr>
          <w:rFonts w:ascii="Times New Roman" w:hAnsi="Times New Roman" w:cs="Times New Roman"/>
          <w:smallCaps/>
        </w:rPr>
        <w:t>C. Quattrini</w:t>
      </w:r>
      <w:r w:rsidRPr="00796A9D">
        <w:rPr>
          <w:rFonts w:ascii="Times New Roman" w:hAnsi="Times New Roman" w:cs="Times New Roman"/>
        </w:rPr>
        <w:t xml:space="preserve">, </w:t>
      </w:r>
      <w:r w:rsidRPr="00796A9D">
        <w:rPr>
          <w:rFonts w:ascii="Times New Roman" w:hAnsi="Times New Roman" w:cs="Times New Roman"/>
          <w:i/>
        </w:rPr>
        <w:t>Foppa e i miniatori</w:t>
      </w:r>
      <w:r w:rsidRPr="00796A9D">
        <w:rPr>
          <w:rFonts w:ascii="Times New Roman" w:hAnsi="Times New Roman" w:cs="Times New Roman"/>
        </w:rPr>
        <w:t xml:space="preserve">, in </w:t>
      </w:r>
      <w:r w:rsidRPr="00796A9D">
        <w:rPr>
          <w:rFonts w:ascii="Times New Roman" w:hAnsi="Times New Roman" w:cs="Times New Roman"/>
          <w:i/>
        </w:rPr>
        <w:t>Vincenzo Foppa. Tecniche d’esecuzione, indagini e restauri</w:t>
      </w:r>
      <w:r w:rsidRPr="00796A9D">
        <w:rPr>
          <w:rFonts w:ascii="Times New Roman" w:hAnsi="Times New Roman" w:cs="Times New Roman"/>
        </w:rPr>
        <w:t xml:space="preserve">. Atti del Seminario Internazionale di Studi (Brescia, 26-27 ottobre 2001), a cura di </w:t>
      </w:r>
      <w:r w:rsidRPr="00796A9D">
        <w:rPr>
          <w:rFonts w:ascii="Times New Roman" w:hAnsi="Times New Roman" w:cs="Times New Roman"/>
          <w:smallCaps/>
        </w:rPr>
        <w:t>M. Capella, I. Gianfranceschi, E. Lucchesi Ragni</w:t>
      </w:r>
      <w:r w:rsidRPr="00796A9D">
        <w:rPr>
          <w:rFonts w:ascii="Times New Roman" w:hAnsi="Times New Roman" w:cs="Times New Roman"/>
        </w:rPr>
        <w:t xml:space="preserve">, Milano, Skira, 2002, pp. 249-258. </w:t>
      </w:r>
    </w:p>
  </w:footnote>
  <w:footnote w:id="144">
    <w:p w14:paraId="543107C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Tra i codici realizzati dal Maestro delle ore Birago per il Bolognini si ricordano il Tibullo oggi a Milano, Biblioteca Ambrosiana, ms. I 67 Sup., e i </w:t>
      </w:r>
      <w:r w:rsidRPr="00796A9D">
        <w:rPr>
          <w:rFonts w:ascii="Times New Roman" w:hAnsi="Times New Roman" w:cs="Times New Roman"/>
          <w:i/>
        </w:rPr>
        <w:t>Commentarii</w:t>
      </w:r>
      <w:r w:rsidRPr="00796A9D">
        <w:rPr>
          <w:rFonts w:ascii="Times New Roman" w:hAnsi="Times New Roman" w:cs="Times New Roman"/>
        </w:rPr>
        <w:t xml:space="preserve"> di Cesare di Parigi, Bibliothèque Nationale de France, ms. Lat. 5771. Per essi vedi </w:t>
      </w:r>
      <w:r w:rsidRPr="00796A9D">
        <w:rPr>
          <w:rFonts w:ascii="Times New Roman" w:hAnsi="Times New Roman" w:cs="Times New Roman"/>
          <w:smallCaps/>
        </w:rPr>
        <w:t>P.L. Mulas</w:t>
      </w:r>
      <w:r w:rsidRPr="00796A9D">
        <w:rPr>
          <w:rFonts w:ascii="Times New Roman" w:hAnsi="Times New Roman" w:cs="Times New Roman"/>
        </w:rPr>
        <w:t xml:space="preserve">, </w:t>
      </w:r>
      <w:r w:rsidRPr="00796A9D">
        <w:rPr>
          <w:rFonts w:ascii="Times New Roman" w:hAnsi="Times New Roman" w:cs="Times New Roman"/>
          <w:i/>
        </w:rPr>
        <w:t>Una proposta per la miniatura e la pittura del Rinascimento a Pavia: il Maestro delle Ore Birago, alias Maestro dell’Annunciata Castiglioni?,</w:t>
      </w:r>
      <w:r w:rsidRPr="00796A9D">
        <w:rPr>
          <w:rFonts w:ascii="Times New Roman" w:hAnsi="Times New Roman" w:cs="Times New Roman"/>
        </w:rPr>
        <w:t xml:space="preserve"> in </w:t>
      </w:r>
      <w:r w:rsidRPr="00796A9D">
        <w:rPr>
          <w:rFonts w:ascii="Times New Roman" w:hAnsi="Times New Roman" w:cs="Times New Roman"/>
          <w:i/>
        </w:rPr>
        <w:t>Miniatura. Lo sguardo e la parola</w:t>
      </w:r>
      <w:r w:rsidRPr="00796A9D">
        <w:rPr>
          <w:rFonts w:ascii="Times New Roman" w:hAnsi="Times New Roman" w:cs="Times New Roman"/>
        </w:rPr>
        <w:t xml:space="preserve">. Studi in onore di Giordana Maria Canova, a cura di </w:t>
      </w:r>
      <w:r w:rsidRPr="00796A9D">
        <w:rPr>
          <w:rFonts w:ascii="Times New Roman" w:hAnsi="Times New Roman" w:cs="Times New Roman"/>
          <w:smallCaps/>
        </w:rPr>
        <w:t>F. Toniolo, G. Toscano</w:t>
      </w:r>
      <w:r w:rsidRPr="00796A9D">
        <w:rPr>
          <w:rFonts w:ascii="Times New Roman" w:hAnsi="Times New Roman" w:cs="Times New Roman"/>
        </w:rPr>
        <w:t>, Cinisello Balsamo, Silvana, 2012, pp. 232-236.</w:t>
      </w:r>
    </w:p>
  </w:footnote>
  <w:footnote w:id="145">
    <w:p w14:paraId="7804DF7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primi documenti noti ne legano l’attività a un offiziolo per il quale il conte Vitaliano Borromeo pagò Cristoforo in data 24 dicembre 1471 per l’esecuzione di una figura di Madonna. Il codice non è stato identificato, ma una nota di spese nel libro dei conti della famiglia Borromeo segnala in data 12 febbraio 1472 un pagamento a Giovanni Ambrogio de Predis per sette santi miniati nel medesimo offiziolo per Vitaliano, che attesta come il lavoro fosse stato affidato alla bottega in cui Cristoforo lavorava al fianco del fratellastro. Cfr. </w:t>
      </w:r>
      <w:r w:rsidRPr="00796A9D">
        <w:rPr>
          <w:rFonts w:ascii="Times New Roman" w:hAnsi="Times New Roman" w:cs="Times New Roman"/>
          <w:smallCaps/>
        </w:rPr>
        <w:t>F. Varallo</w:t>
      </w:r>
      <w:r w:rsidRPr="00796A9D">
        <w:rPr>
          <w:rFonts w:ascii="Times New Roman" w:hAnsi="Times New Roman" w:cs="Times New Roman"/>
        </w:rPr>
        <w:t xml:space="preserve">, s.v., </w:t>
      </w:r>
      <w:r w:rsidRPr="00796A9D">
        <w:rPr>
          <w:rFonts w:ascii="Times New Roman" w:hAnsi="Times New Roman" w:cs="Times New Roman"/>
          <w:i/>
        </w:rPr>
        <w:t>De Predis, Cristoforo</w:t>
      </w:r>
      <w:r w:rsidRPr="00796A9D">
        <w:rPr>
          <w:rFonts w:ascii="Times New Roman" w:hAnsi="Times New Roman" w:cs="Times New Roman"/>
        </w:rPr>
        <w:t xml:space="preserve">, DBI, 1991, vol. XXXIX, pp. 60-63.     </w:t>
      </w:r>
    </w:p>
  </w:footnote>
  <w:footnote w:id="146">
    <w:p w14:paraId="6DFEE26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Torino, Biblioteca Reale, ms. Varia 124. Il codice, datato al colophon 6 aprile 1476, è stato recentemente restaurato ed esposto in una mostra dal titolo </w:t>
      </w:r>
      <w:r w:rsidRPr="00796A9D">
        <w:rPr>
          <w:rFonts w:ascii="Times New Roman" w:hAnsi="Times New Roman" w:cs="Times New Roman"/>
          <w:i/>
        </w:rPr>
        <w:t>Il Leggendario Sforza-Savoia Un racconto per immagini del Rinascimento italiano</w:t>
      </w:r>
      <w:r w:rsidRPr="00796A9D">
        <w:rPr>
          <w:rFonts w:ascii="Times New Roman" w:hAnsi="Times New Roman" w:cs="Times New Roman"/>
        </w:rPr>
        <w:t>, Bologna, Palazzo del Podestà, 19-21 settembre 2014.</w:t>
      </w:r>
    </w:p>
  </w:footnote>
  <w:footnote w:id="147">
    <w:p w14:paraId="664160F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Londra, Wallace Collection, M. 342. </w:t>
      </w:r>
    </w:p>
  </w:footnote>
  <w:footnote w:id="148">
    <w:p w14:paraId="7531B6D3" w14:textId="16E33045"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w:t>
      </w:r>
      <w:r w:rsidRPr="00796A9D">
        <w:rPr>
          <w:rFonts w:ascii="Times New Roman" w:hAnsi="Times New Roman" w:cs="Times New Roman"/>
          <w:i/>
        </w:rPr>
        <w:t>Libro d’ore Borromeo</w:t>
      </w:r>
      <w:r w:rsidRPr="00796A9D">
        <w:rPr>
          <w:rFonts w:ascii="Times New Roman" w:hAnsi="Times New Roman" w:cs="Times New Roman"/>
        </w:rPr>
        <w:t xml:space="preserve"> (Milano, Veneranda Biblioteca Ambrosiana, ms. S.P. 42) si rinvia alla scheda descrittiva di </w:t>
      </w:r>
      <w:r w:rsidRPr="00796A9D">
        <w:rPr>
          <w:rFonts w:ascii="Times New Roman" w:hAnsi="Times New Roman" w:cs="Times New Roman"/>
          <w:smallCaps/>
        </w:rPr>
        <w:t>P. Venturelli</w:t>
      </w:r>
      <w:r w:rsidRPr="00796A9D">
        <w:rPr>
          <w:rFonts w:ascii="Times New Roman" w:hAnsi="Times New Roman" w:cs="Times New Roman"/>
        </w:rPr>
        <w:t xml:space="preserve">, </w:t>
      </w:r>
      <w:r w:rsidRPr="00796A9D">
        <w:rPr>
          <w:rFonts w:ascii="Times New Roman" w:hAnsi="Times New Roman" w:cs="Times New Roman"/>
          <w:i/>
        </w:rPr>
        <w:t>Oro dai Visconti agli Sforza. Smalti e oreficeria nel ducato di Milano</w:t>
      </w:r>
      <w:r w:rsidRPr="00796A9D">
        <w:rPr>
          <w:rFonts w:ascii="Times New Roman" w:hAnsi="Times New Roman" w:cs="Times New Roman"/>
        </w:rPr>
        <w:t>, Cinisello Balsamo, Silvana editoriale, 2012, pp. 178-180. La realizzazione del codice si deve probabilmente all’occasione delle nozze del 1478 tra Isabella Borromeo e Francesco Attendolo Bolognini, i cui ritratti comparirebbero oranti sotto l’</w:t>
      </w:r>
      <w:r w:rsidRPr="00796A9D">
        <w:rPr>
          <w:rFonts w:ascii="Times New Roman" w:hAnsi="Times New Roman" w:cs="Times New Roman"/>
          <w:i/>
        </w:rPr>
        <w:t>Annunciazione</w:t>
      </w:r>
      <w:r w:rsidRPr="00796A9D">
        <w:rPr>
          <w:rFonts w:ascii="Times New Roman" w:hAnsi="Times New Roman" w:cs="Times New Roman"/>
        </w:rPr>
        <w:t xml:space="preserve"> del f. 16 r. </w:t>
      </w:r>
    </w:p>
  </w:footnote>
  <w:footnote w:id="149">
    <w:p w14:paraId="0F3FA75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Esempi dell’arte dell’illustrazione fiamminga potrebbero essere stati visti da de Predis nel 1471, in occasione del passaggio a Milano del miniatore Jean Gillemer. Cfr. </w:t>
      </w:r>
      <w:r w:rsidRPr="00796A9D">
        <w:rPr>
          <w:rFonts w:ascii="Times New Roman" w:hAnsi="Times New Roman" w:cs="Times New Roman"/>
          <w:smallCaps/>
        </w:rPr>
        <w:t>R. Passoni</w:t>
      </w:r>
      <w:r w:rsidRPr="00796A9D">
        <w:rPr>
          <w:rFonts w:ascii="Times New Roman" w:hAnsi="Times New Roman" w:cs="Times New Roman"/>
        </w:rPr>
        <w:t xml:space="preserve">, </w:t>
      </w:r>
      <w:r w:rsidRPr="00796A9D">
        <w:rPr>
          <w:rFonts w:ascii="Times New Roman" w:hAnsi="Times New Roman" w:cs="Times New Roman"/>
          <w:i/>
        </w:rPr>
        <w:t>Il Codice Varia 124 della Biblioteca Reale di Torino e Cristoforo de Predis</w:t>
      </w:r>
      <w:r w:rsidRPr="00796A9D">
        <w:rPr>
          <w:rFonts w:ascii="Times New Roman" w:hAnsi="Times New Roman" w:cs="Times New Roman"/>
        </w:rPr>
        <w:t xml:space="preserve">, in </w:t>
      </w:r>
      <w:r w:rsidRPr="00796A9D">
        <w:rPr>
          <w:rFonts w:ascii="Times New Roman" w:hAnsi="Times New Roman" w:cs="Times New Roman"/>
          <w:i/>
        </w:rPr>
        <w:t>Il Codice Varia 124 della Biblioteca Reale di Torino</w:t>
      </w:r>
      <w:r w:rsidRPr="00796A9D">
        <w:rPr>
          <w:rFonts w:ascii="Times New Roman" w:hAnsi="Times New Roman" w:cs="Times New Roman"/>
        </w:rPr>
        <w:t xml:space="preserve">, a cura di </w:t>
      </w:r>
      <w:r w:rsidRPr="00796A9D">
        <w:rPr>
          <w:rFonts w:ascii="Times New Roman" w:hAnsi="Times New Roman" w:cs="Times New Roman"/>
          <w:smallCaps/>
        </w:rPr>
        <w:t>A. Vitale Brovarone</w:t>
      </w:r>
      <w:r w:rsidRPr="00796A9D">
        <w:rPr>
          <w:rFonts w:ascii="Times New Roman" w:hAnsi="Times New Roman" w:cs="Times New Roman"/>
        </w:rPr>
        <w:t xml:space="preserve">, Torino, Istituto bancario San Paolo di Torino, 1987, vol. I, pp. 85-113. </w:t>
      </w:r>
    </w:p>
  </w:footnote>
  <w:footnote w:id="150">
    <w:p w14:paraId="1803F45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Ai de Predis si deve uno tra i capolavori dell’arte orafa lombarda del Quattrocento: il tabernacolo eseguito per l’arcivescovo Carlo Pallavicino e donato nel 1495 alla cattedrale di Lodi, oggi al Museo Diocesano. Per la produzione di suppellettili liturgiche assegnate alla bottega cfr. </w:t>
      </w:r>
      <w:r w:rsidRPr="00796A9D">
        <w:rPr>
          <w:rFonts w:ascii="Times New Roman" w:hAnsi="Times New Roman" w:cs="Times New Roman"/>
          <w:smallCaps/>
        </w:rPr>
        <w:t>P. Venturelli</w:t>
      </w:r>
      <w:r w:rsidRPr="00796A9D">
        <w:rPr>
          <w:rFonts w:ascii="Times New Roman" w:hAnsi="Times New Roman" w:cs="Times New Roman"/>
        </w:rPr>
        <w:t xml:space="preserve">, </w:t>
      </w:r>
      <w:r w:rsidRPr="00796A9D">
        <w:rPr>
          <w:rFonts w:ascii="Times New Roman" w:hAnsi="Times New Roman" w:cs="Times New Roman"/>
          <w:i/>
        </w:rPr>
        <w:t>Il tabernacolo Pallavicino. Considerazioni sulle botteghe orafe di fine Quattrocento tra Milano e Lodi</w:t>
      </w:r>
      <w:r w:rsidRPr="00796A9D">
        <w:rPr>
          <w:rFonts w:ascii="Times New Roman" w:hAnsi="Times New Roman" w:cs="Times New Roman"/>
        </w:rPr>
        <w:t xml:space="preserve">, in </w:t>
      </w:r>
      <w:r w:rsidRPr="00796A9D">
        <w:rPr>
          <w:rFonts w:ascii="Times New Roman" w:hAnsi="Times New Roman" w:cs="Times New Roman"/>
          <w:i/>
        </w:rPr>
        <w:t>L'Oro e la Porpora. Le arti a Lodi nel tempo del vescovo Pallavicino</w:t>
      </w:r>
      <w:r w:rsidRPr="00796A9D">
        <w:rPr>
          <w:rFonts w:ascii="Times New Roman" w:hAnsi="Times New Roman" w:cs="Times New Roman"/>
        </w:rPr>
        <w:t xml:space="preserve">, Catalogo della mostra (Lodi, 9 aprile-5 luglio 1998), a cura di </w:t>
      </w:r>
      <w:r w:rsidRPr="00796A9D">
        <w:rPr>
          <w:rFonts w:ascii="Times New Roman" w:hAnsi="Times New Roman" w:cs="Times New Roman"/>
          <w:smallCaps/>
        </w:rPr>
        <w:t>M. Marubbi</w:t>
      </w:r>
      <w:r w:rsidRPr="00796A9D">
        <w:rPr>
          <w:rFonts w:ascii="Times New Roman" w:hAnsi="Times New Roman" w:cs="Times New Roman"/>
        </w:rPr>
        <w:t>, Cinisello Balsamo, Silvana, 1998, pp. 85-96.</w:t>
      </w:r>
    </w:p>
  </w:footnote>
  <w:footnote w:id="151">
    <w:p w14:paraId="6AC1CD3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w:t>
      </w:r>
      <w:r w:rsidRPr="00796A9D">
        <w:rPr>
          <w:rFonts w:ascii="Times New Roman" w:hAnsi="Times New Roman" w:cs="Times New Roman"/>
          <w:i/>
        </w:rPr>
        <w:t>Rerum gestarum Francisci Sfortiae commentarii</w:t>
      </w:r>
      <w:r w:rsidRPr="00796A9D">
        <w:rPr>
          <w:rFonts w:ascii="Times New Roman" w:hAnsi="Times New Roman" w:cs="Times New Roman"/>
        </w:rPr>
        <w:t xml:space="preserve"> di Simonetta, scritti negli anni Settanta del Quattrocento e dedicati al periodo 1421-1466, furono oggetto di due edizioni, stampate nel 1482 (IGI 9013; BMC VI, 718) e nel 1486 (IGI 9014; BMC VI, 719) da Antonio Zarotto, al quale si deve anche l’impressione della traduzione in volgare di Landino (IGI 9015; BMC VI, 721). L’elevato numero di emissioni del testo, di cui è attestata anche una buona circolazione manoscritta, testimonia lo sforzo dei duchi per la diffusione di una storiografia familiare di riferimento. Cfr. </w:t>
      </w:r>
      <w:r w:rsidRPr="00796A9D">
        <w:rPr>
          <w:rFonts w:ascii="Times New Roman" w:hAnsi="Times New Roman" w:cs="Times New Roman"/>
          <w:smallCaps/>
        </w:rPr>
        <w:t>G. Ianziti</w:t>
      </w:r>
      <w:r w:rsidRPr="00796A9D">
        <w:rPr>
          <w:rFonts w:ascii="Times New Roman" w:hAnsi="Times New Roman" w:cs="Times New Roman"/>
        </w:rPr>
        <w:t xml:space="preserve">, </w:t>
      </w:r>
      <w:r w:rsidRPr="00796A9D">
        <w:rPr>
          <w:rFonts w:ascii="Times New Roman" w:hAnsi="Times New Roman" w:cs="Times New Roman"/>
          <w:i/>
        </w:rPr>
        <w:t>Storici, mandanti, materiali nella Milano Sforzesca, 1450-1480</w:t>
      </w:r>
      <w:r w:rsidRPr="00796A9D">
        <w:rPr>
          <w:rFonts w:ascii="Times New Roman" w:hAnsi="Times New Roman" w:cs="Times New Roman"/>
        </w:rPr>
        <w:t xml:space="preserve">, in </w:t>
      </w:r>
      <w:r w:rsidRPr="00796A9D">
        <w:rPr>
          <w:rFonts w:ascii="Times New Roman" w:hAnsi="Times New Roman" w:cs="Times New Roman"/>
          <w:i/>
        </w:rPr>
        <w:t>Il principe e la Storia</w:t>
      </w:r>
      <w:r w:rsidRPr="00796A9D">
        <w:rPr>
          <w:rFonts w:ascii="Times New Roman" w:hAnsi="Times New Roman" w:cs="Times New Roman"/>
        </w:rPr>
        <w:t xml:space="preserve">, Atti del convegno (Scandiano 18-20 settembre 2003), a cura di </w:t>
      </w:r>
      <w:r w:rsidRPr="00796A9D">
        <w:rPr>
          <w:rFonts w:ascii="Times New Roman" w:hAnsi="Times New Roman" w:cs="Times New Roman"/>
          <w:smallCaps/>
        </w:rPr>
        <w:t>T. Matarrese, C. Montagnani</w:t>
      </w:r>
      <w:r w:rsidRPr="00796A9D">
        <w:rPr>
          <w:rFonts w:ascii="Times New Roman" w:hAnsi="Times New Roman" w:cs="Times New Roman"/>
        </w:rPr>
        <w:t xml:space="preserve">, Novara, Interlinea, 2005, pp. 465-486. </w:t>
      </w:r>
    </w:p>
  </w:footnote>
  <w:footnote w:id="152">
    <w:p w14:paraId="27EA19A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Parigi, Bibliothèque Nationale de France, Rés. Vélins 724. Per l’analisi stilistica di questo e degli altri tre frontespizi miniati da Birago per il Moro rinvio a </w:t>
      </w:r>
      <w:r w:rsidRPr="00796A9D">
        <w:rPr>
          <w:rFonts w:ascii="Times New Roman" w:hAnsi="Times New Roman" w:cs="Times New Roman"/>
          <w:smallCaps/>
        </w:rPr>
        <w:t>P.L. Mulas</w:t>
      </w:r>
      <w:r w:rsidRPr="00796A9D">
        <w:rPr>
          <w:rFonts w:ascii="Times New Roman" w:hAnsi="Times New Roman" w:cs="Times New Roman"/>
        </w:rPr>
        <w:t>, Auctore Mauro filio.</w:t>
      </w:r>
      <w:r w:rsidRPr="00796A9D">
        <w:rPr>
          <w:rFonts w:ascii="Times New Roman" w:hAnsi="Times New Roman" w:cs="Times New Roman"/>
          <w:i/>
        </w:rPr>
        <w:t xml:space="preserve"> Il programma iconografico dei frontespizi miniati dei Commentarii di Giovanni Simonetta</w:t>
      </w:r>
      <w:r w:rsidRPr="00796A9D">
        <w:rPr>
          <w:rFonts w:ascii="Times New Roman" w:hAnsi="Times New Roman" w:cs="Times New Roman"/>
        </w:rPr>
        <w:t xml:space="preserve">, «Bulletin du bibliophile», I, 1996, pp. 9-34, che attribuisce a Bellincioni l’invenzione delle allegorie, per le quali in precedenza fu avanzato il nome di Leonardo da Vinci. Ciò che è certo è il coinvolgimento del duca nella cerchia d’intellettuali che disponevano per lui un coerente sistema di rappresentanza iconografica del potere, come era accaduto nel gennaio del 1490 per l’allestimento della </w:t>
      </w:r>
      <w:r w:rsidRPr="00796A9D">
        <w:rPr>
          <w:rFonts w:ascii="Times New Roman" w:hAnsi="Times New Roman" w:cs="Times New Roman"/>
          <w:i/>
        </w:rPr>
        <w:t>Festa del Paradiso</w:t>
      </w:r>
      <w:r w:rsidRPr="00796A9D">
        <w:rPr>
          <w:rFonts w:ascii="Times New Roman" w:hAnsi="Times New Roman" w:cs="Times New Roman"/>
        </w:rPr>
        <w:t xml:space="preserve"> del da Vinci. Bellincioni stesso affermò, nel sonetto CI delle sue </w:t>
      </w:r>
      <w:r w:rsidRPr="00796A9D">
        <w:rPr>
          <w:rFonts w:ascii="Times New Roman" w:hAnsi="Times New Roman" w:cs="Times New Roman"/>
          <w:i/>
        </w:rPr>
        <w:t>Rime</w:t>
      </w:r>
      <w:r w:rsidRPr="00796A9D">
        <w:rPr>
          <w:rFonts w:ascii="Times New Roman" w:hAnsi="Times New Roman" w:cs="Times New Roman"/>
        </w:rPr>
        <w:t xml:space="preserve">, che la </w:t>
      </w:r>
      <w:r w:rsidRPr="00796A9D">
        <w:rPr>
          <w:rFonts w:ascii="Times New Roman" w:hAnsi="Times New Roman" w:cs="Times New Roman"/>
          <w:i/>
        </w:rPr>
        <w:t>Festa</w:t>
      </w:r>
      <w:r w:rsidRPr="00796A9D">
        <w:rPr>
          <w:rFonts w:ascii="Times New Roman" w:hAnsi="Times New Roman" w:cs="Times New Roman"/>
        </w:rPr>
        <w:t xml:space="preserve"> era stata organizzata dal Moro «a laude della duchessa di Milano», ed era stato Ludovico a suggerire il soggetto della rappresentazione al poeta: «l’alta invenzione e il tuo soggetto degno / nel far che Giove tua nipote onori». Cfr. </w:t>
      </w:r>
      <w:r w:rsidRPr="00796A9D">
        <w:rPr>
          <w:rFonts w:ascii="Times New Roman" w:hAnsi="Times New Roman" w:cs="Times New Roman"/>
          <w:smallCaps/>
        </w:rPr>
        <w:t>B. Bellincioni</w:t>
      </w:r>
      <w:r w:rsidRPr="00796A9D">
        <w:rPr>
          <w:rFonts w:ascii="Times New Roman" w:hAnsi="Times New Roman" w:cs="Times New Roman"/>
          <w:i/>
        </w:rPr>
        <w:t>, Le rime</w:t>
      </w:r>
      <w:r w:rsidRPr="00796A9D">
        <w:rPr>
          <w:rFonts w:ascii="Times New Roman" w:hAnsi="Times New Roman" w:cs="Times New Roman"/>
        </w:rPr>
        <w:t xml:space="preserve">, a cura di </w:t>
      </w:r>
      <w:r w:rsidRPr="00796A9D">
        <w:rPr>
          <w:rFonts w:ascii="Times New Roman" w:hAnsi="Times New Roman" w:cs="Times New Roman"/>
          <w:smallCaps/>
        </w:rPr>
        <w:t>P. Fanfani</w:t>
      </w:r>
      <w:r w:rsidRPr="00796A9D">
        <w:rPr>
          <w:rFonts w:ascii="Times New Roman" w:hAnsi="Times New Roman" w:cs="Times New Roman"/>
        </w:rPr>
        <w:t>, Bologna, Commissione per i testi di lingua, 1968, p. 108, sonetto CI.</w:t>
      </w:r>
    </w:p>
  </w:footnote>
  <w:footnote w:id="153">
    <w:p w14:paraId="5AE82796"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Berlino, Kupferstichkabinett, Staatliche Museen, ms. 78 C 27.</w:t>
      </w:r>
    </w:p>
  </w:footnote>
  <w:footnote w:id="154">
    <w:p w14:paraId="17439D9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tratta rispettivamente dei codici oggi conservati a Milano, Biblioteca Trivulziana, Triv. 2163 e 2167. Per un preciso inquadramento delle loro vicende redazionali e per la figura di Giovan Battista Lorenzi, la cui carriera si svolse nell’ambito della corte a partire dagli anni 1491-1494, quando compì un Libro d’Ore per Francesco Maria Sforza, rinvio a </w:t>
      </w:r>
      <w:r w:rsidRPr="00796A9D">
        <w:rPr>
          <w:rFonts w:ascii="Times New Roman" w:hAnsi="Times New Roman" w:cs="Times New Roman"/>
          <w:smallCaps/>
        </w:rPr>
        <w:t>M. Pontone</w:t>
      </w:r>
      <w:r w:rsidRPr="00796A9D">
        <w:rPr>
          <w:rFonts w:ascii="Times New Roman" w:hAnsi="Times New Roman" w:cs="Times New Roman"/>
          <w:i/>
        </w:rPr>
        <w:t xml:space="preserve">, I manoscritti trivulziani per Massimiliano Sforza e l'attività milanese del copista Giovanni Battista Lorenzi, </w:t>
      </w:r>
      <w:r w:rsidRPr="00796A9D">
        <w:rPr>
          <w:rFonts w:ascii="Times New Roman" w:hAnsi="Times New Roman" w:cs="Times New Roman"/>
        </w:rPr>
        <w:t>«Aevum», 87, 2013, pp. 685-711.</w:t>
      </w:r>
    </w:p>
  </w:footnote>
  <w:footnote w:id="155">
    <w:p w14:paraId="1801FD4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l’importanza della corte catalana di Alfonso il Magnanimo nei primi anni del regno aragonese di Napoli si veda </w:t>
      </w:r>
      <w:r w:rsidRPr="00796A9D">
        <w:rPr>
          <w:rFonts w:ascii="Times New Roman" w:hAnsi="Times New Roman" w:cs="Times New Roman"/>
          <w:smallCaps/>
        </w:rPr>
        <w:t>R. Chilà</w:t>
      </w:r>
      <w:r w:rsidRPr="00796A9D">
        <w:rPr>
          <w:rFonts w:ascii="Times New Roman" w:hAnsi="Times New Roman" w:cs="Times New Roman"/>
        </w:rPr>
        <w:t>,</w:t>
      </w:r>
      <w:r w:rsidRPr="00796A9D">
        <w:rPr>
          <w:rFonts w:ascii="Times New Roman" w:hAnsi="Times New Roman" w:cs="Times New Roman"/>
          <w:i/>
        </w:rPr>
        <w:t xml:space="preserve"> “Il y en a plein la ville!” Eléments pour une histoire des Catalans à Naples à partir du règne d’Alphonse le Magnanime</w:t>
      </w:r>
      <w:r w:rsidRPr="00796A9D">
        <w:rPr>
          <w:rFonts w:ascii="Times New Roman" w:hAnsi="Times New Roman" w:cs="Times New Roman"/>
        </w:rPr>
        <w:t>, in</w:t>
      </w:r>
      <w:r w:rsidRPr="00796A9D">
        <w:rPr>
          <w:rFonts w:ascii="Times New Roman" w:hAnsi="Times New Roman" w:cs="Times New Roman"/>
          <w:i/>
        </w:rPr>
        <w:t xml:space="preserve"> Arriver en ville</w:t>
      </w:r>
      <w:r w:rsidRPr="00796A9D">
        <w:rPr>
          <w:rFonts w:ascii="Times New Roman" w:hAnsi="Times New Roman" w:cs="Times New Roman"/>
        </w:rPr>
        <w:t xml:space="preserve">, sous la direction de </w:t>
      </w:r>
      <w:r w:rsidRPr="00796A9D">
        <w:rPr>
          <w:rFonts w:ascii="Times New Roman" w:hAnsi="Times New Roman" w:cs="Times New Roman"/>
          <w:smallCaps/>
        </w:rPr>
        <w:t>C. Quertier, N. Pluchot</w:t>
      </w:r>
      <w:r w:rsidRPr="00796A9D">
        <w:rPr>
          <w:rFonts w:ascii="Times New Roman" w:hAnsi="Times New Roman" w:cs="Times New Roman"/>
        </w:rPr>
        <w:t>, Paris, Publications de la Sorbonne, 2013, pp. 145-159.</w:t>
      </w:r>
    </w:p>
  </w:footnote>
  <w:footnote w:id="156">
    <w:p w14:paraId="1F5F637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T. de Marinis</w:t>
      </w:r>
      <w:r w:rsidRPr="00796A9D">
        <w:rPr>
          <w:rFonts w:ascii="Times New Roman" w:hAnsi="Times New Roman" w:cs="Times New Roman"/>
        </w:rPr>
        <w:t xml:space="preserve">, </w:t>
      </w:r>
      <w:r w:rsidRPr="00796A9D">
        <w:rPr>
          <w:rFonts w:ascii="Times New Roman" w:hAnsi="Times New Roman" w:cs="Times New Roman"/>
          <w:i/>
        </w:rPr>
        <w:t>La biblioteca napoletana dei re d’Aragona</w:t>
      </w:r>
      <w:r w:rsidRPr="00796A9D">
        <w:rPr>
          <w:rFonts w:ascii="Times New Roman" w:hAnsi="Times New Roman" w:cs="Times New Roman"/>
        </w:rPr>
        <w:t>, cit., pp. 229-230.</w:t>
      </w:r>
    </w:p>
  </w:footnote>
  <w:footnote w:id="157">
    <w:p w14:paraId="2976B22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retribuzione del personale della biblioteca costituiva una voce importante di spesa per la corona aragonese, stimata intorno ai 1200 ducati annui; cifra paragonabile a quella impiegata per il mantenimento della cappella musicale, presso la quale alcuni dei copisti, poiché anche chierici, potevano prestare servizio tanto per i divini offici quanto per l’esecuzione del canto. È noto, ad esempio, che Alfonso affidò a Jaume Torres il compito di reclutare cantori in Catalogna, Aragona e Valencia, ovvero nelle stesse aree dalle quali provenivano i suoi calligrafi e miniatori. Cfr. R. </w:t>
      </w:r>
      <w:r w:rsidRPr="00796A9D">
        <w:rPr>
          <w:rFonts w:ascii="Times New Roman" w:hAnsi="Times New Roman" w:cs="Times New Roman"/>
          <w:smallCaps/>
        </w:rPr>
        <w:t>Chilà</w:t>
      </w:r>
      <w:r w:rsidRPr="00796A9D">
        <w:rPr>
          <w:rFonts w:ascii="Times New Roman" w:hAnsi="Times New Roman" w:cs="Times New Roman"/>
        </w:rPr>
        <w:t xml:space="preserve">, </w:t>
      </w:r>
      <w:r w:rsidRPr="00796A9D">
        <w:rPr>
          <w:rFonts w:ascii="Times New Roman" w:hAnsi="Times New Roman" w:cs="Times New Roman"/>
          <w:i/>
        </w:rPr>
        <w:t>Une cour à l’épreuve de la conquête: la société curiale et Naples, capitale d’Alphonse le Magnanime (1416-1458).</w:t>
      </w:r>
      <w:r w:rsidRPr="00796A9D">
        <w:rPr>
          <w:rFonts w:ascii="Times New Roman" w:hAnsi="Times New Roman" w:cs="Times New Roman"/>
        </w:rPr>
        <w:t xml:space="preserve"> Archéologie et Préhistoire. Université Paul Valéry - Montpellier III, 2014, pp. 202-204. </w:t>
      </w:r>
    </w:p>
  </w:footnote>
  <w:footnote w:id="158">
    <w:p w14:paraId="499E572B"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Pare fosse propria di Alfonso la preoccupazione per la correttezza filologica dei testi. Essa avrebbe concorso alla notorietà della raccolta aragonese e alla composizione del mito del colto monarca suo patrono. Cfr. </w:t>
      </w:r>
      <w:bookmarkStart w:id="97" w:name="_Hlk487796115"/>
      <w:r w:rsidRPr="00796A9D">
        <w:rPr>
          <w:rFonts w:ascii="Times New Roman" w:hAnsi="Times New Roman" w:cs="Times New Roman"/>
          <w:sz w:val="20"/>
          <w:szCs w:val="20"/>
        </w:rPr>
        <w:t xml:space="preserve">E. </w:t>
      </w:r>
      <w:r w:rsidRPr="00796A9D">
        <w:rPr>
          <w:rFonts w:ascii="Times New Roman" w:hAnsi="Times New Roman" w:cs="Times New Roman"/>
          <w:smallCaps/>
          <w:sz w:val="20"/>
          <w:szCs w:val="20"/>
        </w:rPr>
        <w:t>Ambra</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Alfonso e la scrittura. Frammenti della biblioteca aragonese alla Nazionale di Napoli</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Le carte aragonesi</w:t>
      </w:r>
      <w:r w:rsidRPr="00796A9D">
        <w:rPr>
          <w:rFonts w:ascii="Times New Roman" w:hAnsi="Times New Roman" w:cs="Times New Roman"/>
          <w:sz w:val="20"/>
          <w:szCs w:val="20"/>
        </w:rPr>
        <w:t xml:space="preserve">. Atti del convegno Rovello, 3-4 ottobre 2002, a cura di M. </w:t>
      </w:r>
      <w:r w:rsidRPr="00796A9D">
        <w:rPr>
          <w:rFonts w:ascii="Times New Roman" w:hAnsi="Times New Roman" w:cs="Times New Roman"/>
          <w:smallCaps/>
          <w:sz w:val="20"/>
          <w:szCs w:val="20"/>
        </w:rPr>
        <w:t>Santoro,</w:t>
      </w:r>
      <w:r w:rsidRPr="00796A9D">
        <w:rPr>
          <w:rFonts w:ascii="Times New Roman" w:hAnsi="Times New Roman" w:cs="Times New Roman"/>
          <w:sz w:val="20"/>
          <w:szCs w:val="20"/>
        </w:rPr>
        <w:t xml:space="preserve"> Pisa, Istituti editoriali e poligrafici internazionali, 2004, pp. 207-223. </w:t>
      </w:r>
      <w:bookmarkEnd w:id="97"/>
    </w:p>
  </w:footnote>
  <w:footnote w:id="159">
    <w:p w14:paraId="5A82D8E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Londra, British Library, ms. add. 28962. </w:t>
      </w:r>
      <w:r w:rsidRPr="00796A9D">
        <w:rPr>
          <w:rFonts w:ascii="Times New Roman" w:hAnsi="Times New Roman" w:cs="Times New Roman"/>
        </w:rPr>
        <w:t xml:space="preserve">Un’attenta lettura dell’apparato iconografico, la cui ideazione fu fortemente influenzata dal primo committente, cardinale domenicano e confessore del Magnanimo in cerca all’epoca di appoggi per la scalata al soglio pontificio, in </w:t>
      </w:r>
      <w:r w:rsidRPr="00796A9D">
        <w:rPr>
          <w:rFonts w:ascii="Times New Roman" w:hAnsi="Times New Roman" w:cs="Times New Roman"/>
          <w:smallCaps/>
        </w:rPr>
        <w:t>F. Español</w:t>
      </w:r>
      <w:r w:rsidRPr="00796A9D">
        <w:rPr>
          <w:rFonts w:ascii="Times New Roman" w:hAnsi="Times New Roman" w:cs="Times New Roman"/>
        </w:rPr>
        <w:t xml:space="preserve">, </w:t>
      </w:r>
      <w:r w:rsidRPr="00796A9D">
        <w:rPr>
          <w:rFonts w:ascii="Times New Roman" w:hAnsi="Times New Roman" w:cs="Times New Roman"/>
          <w:i/>
        </w:rPr>
        <w:t>El salterio y libro de horas de Alfonso el Magnánimo y el cardenal Joan de Casanova</w:t>
      </w:r>
      <w:r w:rsidRPr="00796A9D">
        <w:rPr>
          <w:rFonts w:ascii="Times New Roman" w:hAnsi="Times New Roman" w:cs="Times New Roman"/>
        </w:rPr>
        <w:t>, «Locus amoenus», VI, 2002-2003, pp. 91-114.</w:t>
      </w:r>
    </w:p>
  </w:footnote>
  <w:footnote w:id="160">
    <w:p w14:paraId="68C7C5F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tratta rispettivamente dei manoscritti: Valencia, Biblioteca Universitaria, ms. 398, e Parigi, Bibliothèque Nationale de France, ms. Lat. 8528. Quanto alla fascinazione del Magnanimo per l’</w:t>
      </w:r>
      <w:r w:rsidRPr="00796A9D">
        <w:rPr>
          <w:rFonts w:ascii="Times New Roman" w:hAnsi="Times New Roman" w:cs="Times New Roman"/>
          <w:i/>
        </w:rPr>
        <w:t>Ouvraige de Lombardie</w:t>
      </w:r>
      <w:r w:rsidRPr="00796A9D">
        <w:rPr>
          <w:rFonts w:ascii="Times New Roman" w:hAnsi="Times New Roman" w:cs="Times New Roman"/>
        </w:rPr>
        <w:t xml:space="preserve"> rimando alle considerazioni di </w:t>
      </w:r>
      <w:r w:rsidRPr="00796A9D">
        <w:rPr>
          <w:rFonts w:ascii="Times New Roman" w:hAnsi="Times New Roman" w:cs="Times New Roman"/>
          <w:smallCaps/>
        </w:rPr>
        <w:t>G. Toscano</w:t>
      </w:r>
      <w:r w:rsidRPr="00796A9D">
        <w:rPr>
          <w:rFonts w:ascii="Times New Roman" w:hAnsi="Times New Roman" w:cs="Times New Roman"/>
        </w:rPr>
        <w:t xml:space="preserve">, </w:t>
      </w:r>
      <w:r w:rsidRPr="00796A9D">
        <w:rPr>
          <w:rFonts w:ascii="Times New Roman" w:hAnsi="Times New Roman" w:cs="Times New Roman"/>
          <w:i/>
        </w:rPr>
        <w:t>La formazione della biblioteca di Alfonso il Magnanimo: fonti, libri, inventari</w:t>
      </w:r>
      <w:r w:rsidRPr="00796A9D">
        <w:rPr>
          <w:rFonts w:ascii="Times New Roman" w:hAnsi="Times New Roman" w:cs="Times New Roman"/>
        </w:rPr>
        <w:t xml:space="preserve">, in </w:t>
      </w:r>
      <w:r w:rsidRPr="00796A9D">
        <w:rPr>
          <w:rFonts w:ascii="Times New Roman" w:hAnsi="Times New Roman" w:cs="Times New Roman"/>
          <w:i/>
        </w:rPr>
        <w:t>La Biblioteca reale di Napoli al tempo della dinastia aragonese</w:t>
      </w:r>
      <w:r w:rsidRPr="00796A9D">
        <w:rPr>
          <w:rFonts w:ascii="Times New Roman" w:hAnsi="Times New Roman" w:cs="Times New Roman"/>
        </w:rPr>
        <w:t xml:space="preserve">, </w:t>
      </w:r>
      <w:r>
        <w:rPr>
          <w:rFonts w:ascii="Times New Roman" w:hAnsi="Times New Roman" w:cs="Times New Roman"/>
        </w:rPr>
        <w:t xml:space="preserve">cit., </w:t>
      </w:r>
      <w:r w:rsidRPr="00796A9D">
        <w:rPr>
          <w:rFonts w:ascii="Times New Roman" w:hAnsi="Times New Roman" w:cs="Times New Roman"/>
        </w:rPr>
        <w:t xml:space="preserve">pp. 192-201. </w:t>
      </w:r>
    </w:p>
  </w:footnote>
  <w:footnote w:id="161">
    <w:p w14:paraId="5301BF5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Dal 1458 al 1498 fu il parmense Giovanni Marco Cinico a promuovere la produzione in loco di codici in stile fiorentino. Allievo di Piero Strozzi, adottò la minuscola all’antica fiorentina, che modificò tuttavia con una fattura più tondeggiante e artificiosa. I registri della tesoreria aragonese attestano pagamenti in suo favore dall’11 luglio 1471 al settembre del 1497, per servizi resi quale scrittore regio, e l’assegnazione di somme considerevoli per l’acquisto di materiali scrittorii e per la retribuzione di professionisti del libro. Queste evidenze ne hanno fatto riconoscere il ruolo di bibliotecario. Cinico intraprese a Napoli un’autentica carriera di commerciante di libri. Dopo aver procurato l’esemplare impiegato da Francesco del Tuppo per l’edizione del </w:t>
      </w:r>
      <w:r w:rsidRPr="00796A9D">
        <w:rPr>
          <w:rFonts w:ascii="Times New Roman" w:hAnsi="Times New Roman" w:cs="Times New Roman"/>
          <w:i/>
        </w:rPr>
        <w:t>Novellino</w:t>
      </w:r>
      <w:r w:rsidRPr="00796A9D">
        <w:rPr>
          <w:rFonts w:ascii="Times New Roman" w:hAnsi="Times New Roman" w:cs="Times New Roman"/>
        </w:rPr>
        <w:t xml:space="preserve"> di Masuccio Salernitano del 1476, nel 1487 strinse una società con Mattia Moravo e Pietro Molino per la stampa del </w:t>
      </w:r>
      <w:r w:rsidRPr="00796A9D">
        <w:rPr>
          <w:rFonts w:ascii="Times New Roman" w:hAnsi="Times New Roman" w:cs="Times New Roman"/>
          <w:i/>
        </w:rPr>
        <w:t>Confessionale</w:t>
      </w:r>
      <w:r w:rsidRPr="00796A9D">
        <w:rPr>
          <w:rFonts w:ascii="Times New Roman" w:hAnsi="Times New Roman" w:cs="Times New Roman"/>
        </w:rPr>
        <w:t xml:space="preserve"> di Antonino Pierozzi (13 maggio 1487) e dei </w:t>
      </w:r>
      <w:r w:rsidRPr="00796A9D">
        <w:rPr>
          <w:rFonts w:ascii="Times New Roman" w:hAnsi="Times New Roman" w:cs="Times New Roman"/>
          <w:i/>
        </w:rPr>
        <w:t>Sermones</w:t>
      </w:r>
      <w:r w:rsidRPr="00796A9D">
        <w:rPr>
          <w:rFonts w:ascii="Times New Roman" w:hAnsi="Times New Roman" w:cs="Times New Roman"/>
        </w:rPr>
        <w:t xml:space="preserve"> di fra Roberto Caracciolo (31 gennaio 1489). Cfr. </w:t>
      </w:r>
      <w:r w:rsidRPr="00796A9D">
        <w:rPr>
          <w:rFonts w:ascii="Times New Roman" w:hAnsi="Times New Roman" w:cs="Times New Roman"/>
          <w:smallCaps/>
        </w:rPr>
        <w:t>M. De Nichilo</w:t>
      </w:r>
      <w:r w:rsidRPr="00796A9D">
        <w:rPr>
          <w:rFonts w:ascii="Times New Roman" w:hAnsi="Times New Roman" w:cs="Times New Roman"/>
        </w:rPr>
        <w:t xml:space="preserve">, s.v. </w:t>
      </w:r>
      <w:r w:rsidRPr="00796A9D">
        <w:rPr>
          <w:rFonts w:ascii="Times New Roman" w:hAnsi="Times New Roman" w:cs="Times New Roman"/>
          <w:i/>
        </w:rPr>
        <w:t>Cinico, Giovan Marco</w:t>
      </w:r>
      <w:r w:rsidRPr="00796A9D">
        <w:rPr>
          <w:rFonts w:ascii="Times New Roman" w:hAnsi="Times New Roman" w:cs="Times New Roman"/>
        </w:rPr>
        <w:t>, DBI, 1981, vol. XXV, pp. 634-636.</w:t>
      </w:r>
    </w:p>
  </w:footnote>
  <w:footnote w:id="162">
    <w:p w14:paraId="0515373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Parigi, Bibliothèque Nationale de France, ms. Lat. 12947. Sebbene vi siano documenti che attestano la presenza di Rapicano a Napoli fin dal 1451, il codice citato è il più antico che gli possa essere attribuito. Nei suoi primi vent’anni di servizio a corte Cola fu forse impiegato in lavori realizzati in gruppo dai maestri dello </w:t>
      </w:r>
      <w:r w:rsidRPr="00796A9D">
        <w:rPr>
          <w:rFonts w:ascii="Times New Roman" w:hAnsi="Times New Roman" w:cs="Times New Roman"/>
          <w:i/>
        </w:rPr>
        <w:t>scriptorium</w:t>
      </w:r>
      <w:r w:rsidRPr="00796A9D">
        <w:rPr>
          <w:rFonts w:ascii="Times New Roman" w:hAnsi="Times New Roman" w:cs="Times New Roman"/>
        </w:rPr>
        <w:t xml:space="preserve"> regio. È l’ipotesi avanzata da </w:t>
      </w:r>
      <w:r w:rsidRPr="00796A9D">
        <w:rPr>
          <w:rFonts w:ascii="Times New Roman" w:hAnsi="Times New Roman" w:cs="Times New Roman"/>
          <w:smallCaps/>
        </w:rPr>
        <w:t>G. Toscano</w:t>
      </w:r>
      <w:r w:rsidRPr="00796A9D">
        <w:rPr>
          <w:rFonts w:ascii="Times New Roman" w:hAnsi="Times New Roman" w:cs="Times New Roman"/>
        </w:rPr>
        <w:t xml:space="preserve">, s.v. </w:t>
      </w:r>
      <w:r w:rsidRPr="00796A9D">
        <w:rPr>
          <w:rFonts w:ascii="Times New Roman" w:hAnsi="Times New Roman" w:cs="Times New Roman"/>
          <w:i/>
        </w:rPr>
        <w:t>Rapicano, Cola</w:t>
      </w:r>
      <w:r w:rsidRPr="00796A9D">
        <w:rPr>
          <w:rFonts w:ascii="Times New Roman" w:hAnsi="Times New Roman" w:cs="Times New Roman"/>
        </w:rPr>
        <w:t xml:space="preserve">, in </w:t>
      </w:r>
      <w:r w:rsidRPr="00796A9D">
        <w:rPr>
          <w:rFonts w:ascii="Times New Roman" w:hAnsi="Times New Roman" w:cs="Times New Roman"/>
          <w:i/>
        </w:rPr>
        <w:t xml:space="preserve">Dizionario biografico dei miniatori italiani, </w:t>
      </w:r>
      <w:r w:rsidRPr="00796A9D">
        <w:rPr>
          <w:rFonts w:ascii="Times New Roman" w:hAnsi="Times New Roman" w:cs="Times New Roman"/>
        </w:rPr>
        <w:t>cit.,</w:t>
      </w:r>
      <w:r w:rsidRPr="00796A9D">
        <w:rPr>
          <w:rFonts w:ascii="Times New Roman" w:hAnsi="Times New Roman" w:cs="Times New Roman"/>
          <w:i/>
        </w:rPr>
        <w:t xml:space="preserve"> </w:t>
      </w:r>
      <w:r w:rsidRPr="00796A9D">
        <w:rPr>
          <w:rFonts w:ascii="Times New Roman" w:hAnsi="Times New Roman" w:cs="Times New Roman"/>
        </w:rPr>
        <w:t>pp. 893-895.</w:t>
      </w:r>
    </w:p>
  </w:footnote>
  <w:footnote w:id="163">
    <w:p w14:paraId="19F3A94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 </w:t>
      </w:r>
      <w:r w:rsidRPr="00796A9D">
        <w:rPr>
          <w:rFonts w:ascii="Times New Roman" w:hAnsi="Times New Roman" w:cs="Times New Roman"/>
          <w:smallCaps/>
        </w:rPr>
        <w:t>Petrucci</w:t>
      </w:r>
      <w:r w:rsidRPr="00796A9D">
        <w:rPr>
          <w:rFonts w:ascii="Times New Roman" w:hAnsi="Times New Roman" w:cs="Times New Roman"/>
        </w:rPr>
        <w:t xml:space="preserve">, </w:t>
      </w:r>
      <w:r w:rsidRPr="00796A9D">
        <w:rPr>
          <w:rFonts w:ascii="Times New Roman" w:hAnsi="Times New Roman" w:cs="Times New Roman"/>
          <w:i/>
        </w:rPr>
        <w:t>Biblioteca, libri, scritture nella Napoli aragonese</w:t>
      </w:r>
      <w:r w:rsidRPr="00796A9D">
        <w:rPr>
          <w:rFonts w:ascii="Times New Roman" w:hAnsi="Times New Roman" w:cs="Times New Roman"/>
        </w:rPr>
        <w:t>, cit., p. 189.</w:t>
      </w:r>
    </w:p>
  </w:footnote>
  <w:footnote w:id="164">
    <w:p w14:paraId="33B0AA2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testo del </w:t>
      </w:r>
      <w:r w:rsidRPr="00796A9D">
        <w:rPr>
          <w:rFonts w:ascii="Times New Roman" w:hAnsi="Times New Roman" w:cs="Times New Roman"/>
          <w:i/>
        </w:rPr>
        <w:t>Memoriale</w:t>
      </w:r>
      <w:r w:rsidRPr="00796A9D">
        <w:rPr>
          <w:rFonts w:ascii="Times New Roman" w:hAnsi="Times New Roman" w:cs="Times New Roman"/>
        </w:rPr>
        <w:t xml:space="preserve"> è trasmesso dal codice 774 della Biblioteca Universitaria di Valencia, ad oggi unico testimone noto delle opere latine del Brancati. Originario di Policastro, l’autore giunse a Napoli nel 1468, probabilmente al seguito di Petrucci, e vi si addottorò in medicina. Di questa cultura scientifica egli cercò di servirsi per aprirsi una strada a corte tra gli umanisti di Ferrante, offrendo al re le traduzioni della </w:t>
      </w:r>
      <w:r w:rsidRPr="00796A9D">
        <w:rPr>
          <w:rFonts w:ascii="Times New Roman" w:hAnsi="Times New Roman" w:cs="Times New Roman"/>
          <w:i/>
        </w:rPr>
        <w:t>Mulomedicina</w:t>
      </w:r>
      <w:r w:rsidRPr="00796A9D">
        <w:rPr>
          <w:rFonts w:ascii="Times New Roman" w:hAnsi="Times New Roman" w:cs="Times New Roman"/>
        </w:rPr>
        <w:t xml:space="preserve"> di Vegezio e della </w:t>
      </w:r>
      <w:r w:rsidRPr="00796A9D">
        <w:rPr>
          <w:rFonts w:ascii="Times New Roman" w:hAnsi="Times New Roman" w:cs="Times New Roman"/>
          <w:i/>
        </w:rPr>
        <w:t>Naturalis Historia</w:t>
      </w:r>
      <w:r w:rsidRPr="00796A9D">
        <w:rPr>
          <w:rFonts w:ascii="Times New Roman" w:hAnsi="Times New Roman" w:cs="Times New Roman"/>
        </w:rPr>
        <w:t xml:space="preserve"> di Plinio, ma raggiunse solo la posizione di bibliotecario, probabilmente a partire dal 1474. Fu presumibilmente coinvolto nella congiura dei baroni e se ne perdono le tracce dopo il 1481. Per un più preciso inquadramento del suo ruolo alla corte di Napoli rimando a </w:t>
      </w:r>
      <w:r w:rsidRPr="00796A9D">
        <w:rPr>
          <w:rFonts w:ascii="Times New Roman" w:hAnsi="Times New Roman" w:cs="Times New Roman"/>
          <w:smallCaps/>
        </w:rPr>
        <w:t>G.M. Cappelli</w:t>
      </w:r>
      <w:r w:rsidRPr="00796A9D">
        <w:rPr>
          <w:rFonts w:ascii="Times New Roman" w:hAnsi="Times New Roman" w:cs="Times New Roman"/>
        </w:rPr>
        <w:t xml:space="preserve">, </w:t>
      </w:r>
      <w:r w:rsidRPr="00796A9D">
        <w:rPr>
          <w:rFonts w:ascii="Times New Roman" w:hAnsi="Times New Roman" w:cs="Times New Roman"/>
          <w:i/>
        </w:rPr>
        <w:t>Giovanni Brancato e una sua inedita orazione politica</w:t>
      </w:r>
      <w:r w:rsidRPr="00796A9D">
        <w:rPr>
          <w:rFonts w:ascii="Times New Roman" w:hAnsi="Times New Roman" w:cs="Times New Roman"/>
        </w:rPr>
        <w:t>, «Filologia e critica», XXVII, 2002, pp. 64-76.</w:t>
      </w:r>
    </w:p>
  </w:footnote>
  <w:footnote w:id="165">
    <w:p w14:paraId="1B7D8DD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Valencia, Biblioteca Universitaria, ms. 758. </w:t>
      </w:r>
    </w:p>
  </w:footnote>
  <w:footnote w:id="166">
    <w:p w14:paraId="3AB63C0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C. Martelli</w:t>
      </w:r>
      <w:r w:rsidRPr="00796A9D">
        <w:rPr>
          <w:rFonts w:ascii="Times New Roman" w:hAnsi="Times New Roman" w:cs="Times New Roman"/>
        </w:rPr>
        <w:t xml:space="preserve">, </w:t>
      </w:r>
      <w:r w:rsidRPr="00796A9D">
        <w:rPr>
          <w:rFonts w:ascii="Times New Roman" w:hAnsi="Times New Roman" w:cs="Times New Roman"/>
          <w:i/>
        </w:rPr>
        <w:t xml:space="preserve">I codici di produzione urbinate e lo </w:t>
      </w:r>
      <w:r w:rsidRPr="00796A9D">
        <w:rPr>
          <w:rFonts w:ascii="Times New Roman" w:hAnsi="Times New Roman" w:cs="Times New Roman"/>
        </w:rPr>
        <w:t>scriptorium</w:t>
      </w:r>
      <w:r w:rsidRPr="00796A9D">
        <w:rPr>
          <w:rFonts w:ascii="Times New Roman" w:hAnsi="Times New Roman" w:cs="Times New Roman"/>
          <w:i/>
        </w:rPr>
        <w:t xml:space="preserve"> di Federico di Montefeltro</w:t>
      </w:r>
      <w:r w:rsidRPr="00796A9D">
        <w:rPr>
          <w:rFonts w:ascii="Times New Roman" w:hAnsi="Times New Roman" w:cs="Times New Roman"/>
        </w:rPr>
        <w:t xml:space="preserve">, in </w:t>
      </w:r>
      <w:r w:rsidRPr="00796A9D">
        <w:rPr>
          <w:rFonts w:ascii="Times New Roman" w:hAnsi="Times New Roman" w:cs="Times New Roman"/>
          <w:i/>
        </w:rPr>
        <w:t>Ornatissimo codice</w:t>
      </w:r>
      <w:r w:rsidRPr="00796A9D">
        <w:rPr>
          <w:rFonts w:ascii="Times New Roman" w:hAnsi="Times New Roman" w:cs="Times New Roman"/>
        </w:rPr>
        <w:t>, cit., pp. 69-77. Dove si nota come dopo l’allentamento dei rapporti con Firenze fu la corte di Mantova a fornire a Urbino copisti e miniatori eccellenti</w:t>
      </w:r>
      <w:r>
        <w:rPr>
          <w:rFonts w:ascii="Times New Roman" w:hAnsi="Times New Roman" w:cs="Times New Roman"/>
        </w:rPr>
        <w:t>. Tale fatto</w:t>
      </w:r>
      <w:r w:rsidRPr="00796A9D">
        <w:rPr>
          <w:rFonts w:ascii="Times New Roman" w:hAnsi="Times New Roman" w:cs="Times New Roman"/>
        </w:rPr>
        <w:t xml:space="preserve"> </w:t>
      </w:r>
      <w:r>
        <w:rPr>
          <w:rFonts w:ascii="Times New Roman" w:hAnsi="Times New Roman" w:cs="Times New Roman"/>
        </w:rPr>
        <w:t xml:space="preserve">conferma </w:t>
      </w:r>
      <w:r w:rsidRPr="00796A9D">
        <w:rPr>
          <w:rFonts w:ascii="Times New Roman" w:hAnsi="Times New Roman" w:cs="Times New Roman"/>
        </w:rPr>
        <w:t xml:space="preserve">la capacità della biblioteca del duca di rappresentare compiutamente lo splendore della sua carriera </w:t>
      </w:r>
      <w:r>
        <w:rPr>
          <w:rFonts w:ascii="Times New Roman" w:hAnsi="Times New Roman" w:cs="Times New Roman"/>
        </w:rPr>
        <w:t>e</w:t>
      </w:r>
      <w:r w:rsidRPr="00796A9D">
        <w:rPr>
          <w:rFonts w:ascii="Times New Roman" w:hAnsi="Times New Roman" w:cs="Times New Roman"/>
        </w:rPr>
        <w:t xml:space="preserve"> l’alternanza cronologica e geografica delle sue alleanze.  </w:t>
      </w:r>
    </w:p>
  </w:footnote>
  <w:footnote w:id="167">
    <w:p w14:paraId="7C28CB3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Roma, Biblioteca Apostolica Vaticana, Urb. Lat. 1024, edito in </w:t>
      </w:r>
      <w:bookmarkStart w:id="109" w:name="_Hlk522797109"/>
      <w:r w:rsidRPr="00796A9D">
        <w:rPr>
          <w:rFonts w:ascii="Times New Roman" w:hAnsi="Times New Roman" w:cs="Times New Roman"/>
          <w:smallCaps/>
        </w:rPr>
        <w:t>G. Zannoni</w:t>
      </w:r>
      <w:r w:rsidRPr="00796A9D">
        <w:rPr>
          <w:rFonts w:ascii="Times New Roman" w:hAnsi="Times New Roman" w:cs="Times New Roman"/>
        </w:rPr>
        <w:t xml:space="preserve">, </w:t>
      </w:r>
      <w:r w:rsidRPr="00796A9D">
        <w:rPr>
          <w:rFonts w:ascii="Times New Roman" w:hAnsi="Times New Roman" w:cs="Times New Roman"/>
          <w:i/>
        </w:rPr>
        <w:t>I due libri della “Martiados” di Giovanni Mario Filelfo</w:t>
      </w:r>
      <w:r w:rsidRPr="00796A9D">
        <w:rPr>
          <w:rFonts w:ascii="Times New Roman" w:hAnsi="Times New Roman" w:cs="Times New Roman"/>
        </w:rPr>
        <w:t xml:space="preserve">, «Rendiconti dell’Accademia dei Lincei», V, 1894, pp. 666-671. </w:t>
      </w:r>
      <w:bookmarkEnd w:id="109"/>
      <w:r w:rsidRPr="00796A9D">
        <w:rPr>
          <w:rFonts w:ascii="Times New Roman" w:hAnsi="Times New Roman" w:cs="Times New Roman"/>
        </w:rPr>
        <w:t>Lo stesso documento ha trasmesso anche i nom</w:t>
      </w:r>
      <w:r>
        <w:rPr>
          <w:rFonts w:ascii="Times New Roman" w:hAnsi="Times New Roman" w:cs="Times New Roman"/>
        </w:rPr>
        <w:t>i</w:t>
      </w:r>
      <w:r w:rsidRPr="00796A9D">
        <w:rPr>
          <w:rFonts w:ascii="Times New Roman" w:hAnsi="Times New Roman" w:cs="Times New Roman"/>
        </w:rPr>
        <w:t xml:space="preserve"> di alcuni lettori «deputati a leggere fin che il Signore mangiava». Vi ricompare il Vagnino, insieme a Ludovico Mercatello, Federico Galli da Urbino, Niccolò da Sant’Angelo in Vado, Gismondo della Pergola. Cfr. </w:t>
      </w:r>
      <w:bookmarkStart w:id="110" w:name="_Hlk522797165"/>
      <w:r w:rsidRPr="00796A9D">
        <w:rPr>
          <w:rFonts w:ascii="Times New Roman" w:hAnsi="Times New Roman" w:cs="Times New Roman"/>
        </w:rPr>
        <w:t xml:space="preserve">F.R. </w:t>
      </w:r>
      <w:r w:rsidRPr="00796A9D">
        <w:rPr>
          <w:rFonts w:ascii="Times New Roman" w:hAnsi="Times New Roman" w:cs="Times New Roman"/>
          <w:smallCaps/>
        </w:rPr>
        <w:t>Buscolini</w:t>
      </w:r>
      <w:r w:rsidRPr="00796A9D">
        <w:rPr>
          <w:rFonts w:ascii="Times New Roman" w:hAnsi="Times New Roman" w:cs="Times New Roman"/>
        </w:rPr>
        <w:t xml:space="preserve">, </w:t>
      </w:r>
      <w:r w:rsidRPr="00796A9D">
        <w:rPr>
          <w:rFonts w:ascii="Times New Roman" w:hAnsi="Times New Roman" w:cs="Times New Roman"/>
          <w:i/>
        </w:rPr>
        <w:t>«Allo Alifante el cor l’Aquila morse». Federico da Montefeltro, la sua librària e la consultazione on line</w:t>
      </w:r>
      <w:r w:rsidRPr="00796A9D">
        <w:rPr>
          <w:rFonts w:ascii="Times New Roman" w:hAnsi="Times New Roman" w:cs="Times New Roman"/>
        </w:rPr>
        <w:t>, Urbino, Montefeltro, 2004</w:t>
      </w:r>
      <w:bookmarkEnd w:id="110"/>
      <w:r w:rsidRPr="00796A9D">
        <w:rPr>
          <w:rFonts w:ascii="Times New Roman" w:hAnsi="Times New Roman" w:cs="Times New Roman"/>
        </w:rPr>
        <w:t xml:space="preserve">, p. 44. </w:t>
      </w:r>
    </w:p>
  </w:footnote>
  <w:footnote w:id="168">
    <w:p w14:paraId="44095A3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 presenza in città del Contugi, che dal 1477 fu firmatario di diverse missive indirizzate a Francesco Gonzaga con informazioni riservate sulla vita politica urbinate, vedi </w:t>
      </w:r>
      <w:bookmarkStart w:id="111" w:name="_Hlk522797226"/>
      <w:r w:rsidRPr="00796A9D">
        <w:rPr>
          <w:rFonts w:ascii="Times New Roman" w:hAnsi="Times New Roman" w:cs="Times New Roman"/>
          <w:smallCaps/>
        </w:rPr>
        <w:t>M. Simonetta</w:t>
      </w:r>
      <w:r w:rsidRPr="00796A9D">
        <w:rPr>
          <w:rFonts w:ascii="Times New Roman" w:hAnsi="Times New Roman" w:cs="Times New Roman"/>
        </w:rPr>
        <w:t>, Guidoubaldus dux Urbini</w:t>
      </w:r>
      <w:r w:rsidRPr="00796A9D">
        <w:rPr>
          <w:rFonts w:ascii="Times New Roman" w:hAnsi="Times New Roman" w:cs="Times New Roman"/>
          <w:i/>
          <w:iCs/>
        </w:rPr>
        <w:t>: Ritratto del principe da giovane</w:t>
      </w:r>
      <w:r w:rsidRPr="00796A9D">
        <w:rPr>
          <w:rFonts w:ascii="Times New Roman" w:hAnsi="Times New Roman" w:cs="Times New Roman"/>
        </w:rPr>
        <w:t>, «Humanistica», IV, 1, 2009, pp. 16-18.</w:t>
      </w:r>
      <w:bookmarkEnd w:id="111"/>
      <w:r w:rsidRPr="00796A9D">
        <w:rPr>
          <w:rFonts w:ascii="Times New Roman" w:hAnsi="Times New Roman" w:cs="Times New Roman"/>
        </w:rPr>
        <w:t xml:space="preserve"> </w:t>
      </w:r>
    </w:p>
  </w:footnote>
  <w:footnote w:id="169">
    <w:p w14:paraId="35D7E53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tratta rispettivamente dei codici: Città del Vaticano, Biblioteca Apostolica Vaticana, Urb. Lat. 365 e Urb. Lat. 10. Per l’apporto di Giraldi e dei Russi all’elaborazione di uno stile urbinate dell’illustrazione libraria rinvio a </w:t>
      </w:r>
      <w:r w:rsidRPr="00796A9D">
        <w:rPr>
          <w:rFonts w:ascii="Times New Roman" w:hAnsi="Times New Roman" w:cs="Times New Roman"/>
          <w:smallCaps/>
        </w:rPr>
        <w:t>F. Toniolo</w:t>
      </w:r>
      <w:r w:rsidRPr="00796A9D">
        <w:rPr>
          <w:rFonts w:ascii="Times New Roman" w:hAnsi="Times New Roman" w:cs="Times New Roman"/>
        </w:rPr>
        <w:t xml:space="preserve">, </w:t>
      </w:r>
      <w:r w:rsidRPr="00796A9D">
        <w:rPr>
          <w:rFonts w:ascii="Times New Roman" w:hAnsi="Times New Roman" w:cs="Times New Roman"/>
          <w:i/>
        </w:rPr>
        <w:t>I miniatori ferraresi e padani alla corte di Federico di Montefeltro</w:t>
      </w:r>
      <w:r w:rsidRPr="00796A9D">
        <w:rPr>
          <w:rFonts w:ascii="Times New Roman" w:hAnsi="Times New Roman" w:cs="Times New Roman"/>
        </w:rPr>
        <w:t xml:space="preserve">, in </w:t>
      </w:r>
      <w:r w:rsidRPr="00796A9D">
        <w:rPr>
          <w:rFonts w:ascii="Times New Roman" w:hAnsi="Times New Roman" w:cs="Times New Roman"/>
          <w:i/>
        </w:rPr>
        <w:t>Ornatissimo codice</w:t>
      </w:r>
      <w:r w:rsidRPr="00796A9D">
        <w:rPr>
          <w:rFonts w:ascii="Times New Roman" w:hAnsi="Times New Roman" w:cs="Times New Roman"/>
        </w:rPr>
        <w:t xml:space="preserve">, cit., pp. 79-89. </w:t>
      </w:r>
    </w:p>
  </w:footnote>
  <w:footnote w:id="170">
    <w:p w14:paraId="3680A5D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è supposto che la partecipazione di della Gatta, Am</w:t>
      </w:r>
      <w:r>
        <w:rPr>
          <w:rFonts w:ascii="Times New Roman" w:hAnsi="Times New Roman" w:cs="Times New Roman"/>
        </w:rPr>
        <w:t>a</w:t>
      </w:r>
      <w:r w:rsidRPr="00796A9D">
        <w:rPr>
          <w:rFonts w:ascii="Times New Roman" w:hAnsi="Times New Roman" w:cs="Times New Roman"/>
        </w:rPr>
        <w:t xml:space="preserve">dei e Giraldi alla decorazione del </w:t>
      </w:r>
      <w:r w:rsidRPr="00796A9D">
        <w:rPr>
          <w:rFonts w:ascii="Times New Roman" w:hAnsi="Times New Roman" w:cs="Times New Roman"/>
          <w:i/>
        </w:rPr>
        <w:t>Corale</w:t>
      </w:r>
      <w:r w:rsidRPr="00796A9D">
        <w:rPr>
          <w:rFonts w:ascii="Times New Roman" w:hAnsi="Times New Roman" w:cs="Times New Roman"/>
        </w:rPr>
        <w:t xml:space="preserve"> D.6, oggi conservato presso il Museo Diocesano Albani di Urbino, fosse stata richiesta intorno al 1480 dallo stesso duca Federico, che avrebbe dunque prestato l’opera dei suoi fidi miniatori al capitolo della Cattedrale. L’edificazione del duomo era del resto iniziata per volere di Federico pochi anni prima, 1477-1478, su progetto di Francesco di Giorgio Martini, architetto capo della fabbrica del palazzo ducale dal 1472, a riprova di una circolazione abbastanza frequente degli artisti presenti in città tra i due cantieri. Cfr. </w:t>
      </w:r>
      <w:bookmarkStart w:id="112" w:name="_Hlk522797284"/>
      <w:r w:rsidRPr="00796A9D">
        <w:rPr>
          <w:rFonts w:ascii="Times New Roman" w:hAnsi="Times New Roman" w:cs="Times New Roman"/>
          <w:smallCaps/>
        </w:rPr>
        <w:t>C. Martelli</w:t>
      </w:r>
      <w:r w:rsidRPr="00796A9D">
        <w:rPr>
          <w:rFonts w:ascii="Times New Roman" w:hAnsi="Times New Roman" w:cs="Times New Roman"/>
        </w:rPr>
        <w:t xml:space="preserve">, </w:t>
      </w:r>
      <w:r w:rsidRPr="00796A9D">
        <w:rPr>
          <w:rFonts w:ascii="Times New Roman" w:hAnsi="Times New Roman" w:cs="Times New Roman"/>
          <w:i/>
        </w:rPr>
        <w:t>Bartolomeo della Gatta pittore e miniatore tra Arezzo, Roma e Urbino</w:t>
      </w:r>
      <w:r w:rsidRPr="00796A9D">
        <w:rPr>
          <w:rFonts w:ascii="Times New Roman" w:hAnsi="Times New Roman" w:cs="Times New Roman"/>
        </w:rPr>
        <w:t>, Firenze, Centro DI, 2013</w:t>
      </w:r>
      <w:bookmarkEnd w:id="112"/>
      <w:r w:rsidRPr="00796A9D">
        <w:rPr>
          <w:rFonts w:ascii="Times New Roman" w:hAnsi="Times New Roman" w:cs="Times New Roman"/>
        </w:rPr>
        <w:t xml:space="preserve">, pp. 252-266.  </w:t>
      </w:r>
    </w:p>
  </w:footnote>
  <w:footnote w:id="171">
    <w:p w14:paraId="00676B4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Madrid, Biblioteca Nacional, ms. Vit. 22-1. Cfr. </w:t>
      </w:r>
      <w:r w:rsidRPr="00796A9D">
        <w:rPr>
          <w:rFonts w:ascii="Times New Roman" w:hAnsi="Times New Roman" w:cs="Times New Roman"/>
          <w:i/>
        </w:rPr>
        <w:t>Ivi</w:t>
      </w:r>
      <w:r w:rsidRPr="00796A9D">
        <w:rPr>
          <w:rFonts w:ascii="Times New Roman" w:hAnsi="Times New Roman" w:cs="Times New Roman"/>
        </w:rPr>
        <w:t>, pp. 267-288.</w:t>
      </w:r>
    </w:p>
  </w:footnote>
  <w:footnote w:id="172">
    <w:p w14:paraId="1A8A1B9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114" w:name="_Hlk528527912"/>
      <w:r w:rsidRPr="00796A9D">
        <w:rPr>
          <w:rFonts w:ascii="Times New Roman" w:hAnsi="Times New Roman" w:cs="Times New Roman"/>
        </w:rPr>
        <w:t>Città del Vaticano, Biblioteca Apostolica Vaticana, ms. Urb. Lat. 427</w:t>
      </w:r>
      <w:bookmarkEnd w:id="114"/>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pp. 340-341. </w:t>
      </w:r>
    </w:p>
  </w:footnote>
  <w:footnote w:id="173">
    <w:p w14:paraId="3F504EB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un’analisi più precisa di questi stilemi ricorrenti nei manoscritti della biblioteca urbinate e per la disponibilità dei miniatori alla citazione del lessico architettonico locale vedi </w:t>
      </w:r>
      <w:r w:rsidRPr="00796A9D">
        <w:rPr>
          <w:rFonts w:ascii="Times New Roman" w:hAnsi="Times New Roman" w:cs="Times New Roman"/>
          <w:smallCaps/>
        </w:rPr>
        <w:t>M. Ceccanti</w:t>
      </w:r>
      <w:r w:rsidRPr="00796A9D">
        <w:rPr>
          <w:rFonts w:ascii="Times New Roman" w:hAnsi="Times New Roman" w:cs="Times New Roman"/>
        </w:rPr>
        <w:t xml:space="preserve">, </w:t>
      </w:r>
      <w:r w:rsidRPr="00796A9D">
        <w:rPr>
          <w:rFonts w:ascii="Times New Roman" w:hAnsi="Times New Roman" w:cs="Times New Roman"/>
          <w:i/>
        </w:rPr>
        <w:t>Con gli occhi di Federico</w:t>
      </w:r>
      <w:r w:rsidRPr="00796A9D">
        <w:rPr>
          <w:rFonts w:ascii="Times New Roman" w:hAnsi="Times New Roman" w:cs="Times New Roman"/>
        </w:rPr>
        <w:t xml:space="preserve">, in </w:t>
      </w:r>
      <w:r w:rsidRPr="00796A9D">
        <w:rPr>
          <w:rFonts w:ascii="Times New Roman" w:hAnsi="Times New Roman" w:cs="Times New Roman"/>
          <w:i/>
        </w:rPr>
        <w:t>Ornatissimo codice</w:t>
      </w:r>
      <w:r w:rsidRPr="00796A9D">
        <w:rPr>
          <w:rFonts w:ascii="Times New Roman" w:hAnsi="Times New Roman" w:cs="Times New Roman"/>
        </w:rPr>
        <w:t xml:space="preserve">, cit., pp. 91-99. </w:t>
      </w:r>
    </w:p>
  </w:footnote>
  <w:footnote w:id="174">
    <w:p w14:paraId="06E782F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Ciò spiegherebbe in parte l’alternanza dei ruoli con cui i documenti registrano la presenza di alcuni membri del personale di curia alla corte pontificia. Per l’importanza del patronato concesso dai papi ai singoli professionisti del libro, che spinse per imitazione anche i cardinali dell’Urbe a munire di calligrafi le proprie </w:t>
      </w:r>
      <w:r w:rsidRPr="00796A9D">
        <w:rPr>
          <w:rFonts w:ascii="Times New Roman" w:hAnsi="Times New Roman" w:cs="Times New Roman"/>
          <w:i/>
        </w:rPr>
        <w:t>familiae</w:t>
      </w:r>
      <w:r w:rsidRPr="00796A9D">
        <w:rPr>
          <w:rFonts w:ascii="Times New Roman" w:hAnsi="Times New Roman" w:cs="Times New Roman"/>
        </w:rPr>
        <w:t xml:space="preserve">, e più in generale per l’autonomia a Roma dei copisti rispetto al volere di un committente esclusivo, vedi </w:t>
      </w:r>
      <w:bookmarkStart w:id="115" w:name="_Hlk522797384"/>
      <w:r w:rsidRPr="00796A9D">
        <w:rPr>
          <w:rFonts w:ascii="Times New Roman" w:hAnsi="Times New Roman" w:cs="Times New Roman"/>
          <w:smallCaps/>
        </w:rPr>
        <w:t>E. Cardelli</w:t>
      </w:r>
      <w:r w:rsidRPr="00796A9D">
        <w:rPr>
          <w:rFonts w:ascii="Times New Roman" w:hAnsi="Times New Roman" w:cs="Times New Roman"/>
        </w:rPr>
        <w:t xml:space="preserve">, </w:t>
      </w:r>
      <w:r w:rsidRPr="00796A9D">
        <w:rPr>
          <w:rFonts w:ascii="Times New Roman" w:hAnsi="Times New Roman" w:cs="Times New Roman"/>
          <w:i/>
        </w:rPr>
        <w:t>Copisti a Roma nel Quattrocento</w:t>
      </w:r>
      <w:r w:rsidRPr="00796A9D">
        <w:rPr>
          <w:rFonts w:ascii="Times New Roman" w:hAnsi="Times New Roman" w:cs="Times New Roman"/>
        </w:rPr>
        <w:t>, Roma, Viella, 2006</w:t>
      </w:r>
      <w:bookmarkEnd w:id="115"/>
      <w:r w:rsidRPr="00796A9D">
        <w:rPr>
          <w:rFonts w:ascii="Times New Roman" w:hAnsi="Times New Roman" w:cs="Times New Roman"/>
        </w:rPr>
        <w:t xml:space="preserve">, pp. 25-47.  </w:t>
      </w:r>
    </w:p>
  </w:footnote>
  <w:footnote w:id="175">
    <w:p w14:paraId="7A97552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Putaturo Donati Murano</w:t>
      </w:r>
      <w:r w:rsidRPr="00796A9D">
        <w:rPr>
          <w:rFonts w:ascii="Times New Roman" w:hAnsi="Times New Roman" w:cs="Times New Roman"/>
        </w:rPr>
        <w:t xml:space="preserve">, </w:t>
      </w:r>
      <w:r w:rsidRPr="00796A9D">
        <w:rPr>
          <w:rFonts w:ascii="Times New Roman" w:hAnsi="Times New Roman" w:cs="Times New Roman"/>
          <w:i/>
        </w:rPr>
        <w:t>La miniatura a Roma</w:t>
      </w:r>
      <w:r w:rsidRPr="00796A9D">
        <w:rPr>
          <w:rFonts w:ascii="Times New Roman" w:hAnsi="Times New Roman" w:cs="Times New Roman"/>
        </w:rPr>
        <w:t xml:space="preserve">, in </w:t>
      </w:r>
      <w:r w:rsidRPr="00796A9D">
        <w:rPr>
          <w:rFonts w:ascii="Times New Roman" w:hAnsi="Times New Roman" w:cs="Times New Roman"/>
          <w:i/>
        </w:rPr>
        <w:t>La miniatura in Italia</w:t>
      </w:r>
      <w:r w:rsidRPr="00796A9D">
        <w:rPr>
          <w:rFonts w:ascii="Times New Roman" w:hAnsi="Times New Roman" w:cs="Times New Roman"/>
        </w:rPr>
        <w:t xml:space="preserve">, cit., pp. 423-425. </w:t>
      </w:r>
    </w:p>
  </w:footnote>
  <w:footnote w:id="176">
    <w:p w14:paraId="1AA9BD5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un quadro orientativo intorno alla miniatura all’antica di Gaspar</w:t>
      </w:r>
      <w:r>
        <w:rPr>
          <w:rFonts w:ascii="Times New Roman" w:hAnsi="Times New Roman" w:cs="Times New Roman"/>
        </w:rPr>
        <w:t>e</w:t>
      </w:r>
      <w:r w:rsidRPr="00796A9D">
        <w:rPr>
          <w:rFonts w:ascii="Times New Roman" w:hAnsi="Times New Roman" w:cs="Times New Roman"/>
        </w:rPr>
        <w:t xml:space="preserve"> da Padova, per il suo debito nei confronti della pittura mantegnesca e per il ruolo di Francesco Gonzaga quale mecenate negli anni del soggiorno romano del maestro vedi </w:t>
      </w:r>
      <w:r w:rsidRPr="00796A9D">
        <w:rPr>
          <w:rFonts w:ascii="Times New Roman" w:hAnsi="Times New Roman" w:cs="Times New Roman"/>
          <w:smallCaps/>
        </w:rPr>
        <w:t>G. Toscano</w:t>
      </w:r>
      <w:r w:rsidRPr="00796A9D">
        <w:rPr>
          <w:rFonts w:ascii="Times New Roman" w:hAnsi="Times New Roman" w:cs="Times New Roman"/>
        </w:rPr>
        <w:t xml:space="preserve">, </w:t>
      </w:r>
      <w:r w:rsidRPr="00796A9D">
        <w:rPr>
          <w:rFonts w:ascii="Times New Roman" w:hAnsi="Times New Roman" w:cs="Times New Roman"/>
          <w:i/>
        </w:rPr>
        <w:t>La miniatura «all’antica» tra Roma e Napoli</w:t>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pp. 426-435.   </w:t>
      </w:r>
    </w:p>
  </w:footnote>
  <w:footnote w:id="177">
    <w:p w14:paraId="7CD0764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Tra il 1464 e il 1465 i due artigiani tedeschi impiantarono una prima stamperia a Subiaco, presso il monastero benedettino di Santa Scolastica, dove stamparono un </w:t>
      </w:r>
      <w:r w:rsidRPr="00796A9D">
        <w:rPr>
          <w:rFonts w:ascii="Times New Roman" w:hAnsi="Times New Roman" w:cs="Times New Roman"/>
          <w:i/>
        </w:rPr>
        <w:t>Donatus pro pueris</w:t>
      </w:r>
      <w:r w:rsidRPr="00796A9D">
        <w:rPr>
          <w:rFonts w:ascii="Times New Roman" w:hAnsi="Times New Roman" w:cs="Times New Roman"/>
        </w:rPr>
        <w:t xml:space="preserve">, il </w:t>
      </w:r>
      <w:r w:rsidRPr="00796A9D">
        <w:rPr>
          <w:rFonts w:ascii="Times New Roman" w:hAnsi="Times New Roman" w:cs="Times New Roman"/>
          <w:i/>
        </w:rPr>
        <w:t>De oratore</w:t>
      </w:r>
      <w:r w:rsidRPr="00796A9D">
        <w:rPr>
          <w:rFonts w:ascii="Times New Roman" w:hAnsi="Times New Roman" w:cs="Times New Roman"/>
        </w:rPr>
        <w:t xml:space="preserve"> di Cicerone, le </w:t>
      </w:r>
      <w:r w:rsidRPr="00796A9D">
        <w:rPr>
          <w:rFonts w:ascii="Times New Roman" w:hAnsi="Times New Roman" w:cs="Times New Roman"/>
          <w:i/>
        </w:rPr>
        <w:t>Istitutiones</w:t>
      </w:r>
      <w:r w:rsidRPr="00796A9D">
        <w:rPr>
          <w:rFonts w:ascii="Times New Roman" w:hAnsi="Times New Roman" w:cs="Times New Roman"/>
        </w:rPr>
        <w:t xml:space="preserve"> di Lattanzio e il </w:t>
      </w:r>
      <w:r w:rsidRPr="00796A9D">
        <w:rPr>
          <w:rFonts w:ascii="Times New Roman" w:hAnsi="Times New Roman" w:cs="Times New Roman"/>
          <w:i/>
        </w:rPr>
        <w:t>De civitate Dei</w:t>
      </w:r>
      <w:r w:rsidRPr="00796A9D">
        <w:rPr>
          <w:rFonts w:ascii="Times New Roman" w:hAnsi="Times New Roman" w:cs="Times New Roman"/>
        </w:rPr>
        <w:t xml:space="preserve"> di sant’Agostino. Nel novembre 1467 essi si spostarono a Roma, ove aprirono un’officina in Campo dei Fiori che li vide operosi insieme sulla scena editoriale romana fino al 1473. A proposito della penetrazione della stampa in Italia dalla Germania si trovano attente e complete osservazioni nel quadro della diffusione della stampa in Europa ricostruito in </w:t>
      </w:r>
      <w:bookmarkStart w:id="116" w:name="_Hlk522797448"/>
      <w:r w:rsidRPr="00796A9D">
        <w:rPr>
          <w:rFonts w:ascii="Times New Roman" w:hAnsi="Times New Roman" w:cs="Times New Roman"/>
          <w:smallCaps/>
        </w:rPr>
        <w:t>L. Febvre, H. Martin</w:t>
      </w:r>
      <w:r w:rsidRPr="00796A9D">
        <w:rPr>
          <w:rFonts w:ascii="Times New Roman" w:hAnsi="Times New Roman" w:cs="Times New Roman"/>
        </w:rPr>
        <w:t xml:space="preserve">, </w:t>
      </w:r>
      <w:r w:rsidRPr="00796A9D">
        <w:rPr>
          <w:rFonts w:ascii="Times New Roman" w:hAnsi="Times New Roman" w:cs="Times New Roman"/>
          <w:i/>
        </w:rPr>
        <w:t>La nascita del libro</w:t>
      </w:r>
      <w:r w:rsidRPr="00796A9D">
        <w:rPr>
          <w:rFonts w:ascii="Times New Roman" w:hAnsi="Times New Roman" w:cs="Times New Roman"/>
        </w:rPr>
        <w:t>, Bari, Laterza, 1985</w:t>
      </w:r>
      <w:bookmarkEnd w:id="116"/>
      <w:r w:rsidRPr="00796A9D">
        <w:rPr>
          <w:rFonts w:ascii="Times New Roman" w:hAnsi="Times New Roman" w:cs="Times New Roman"/>
        </w:rPr>
        <w:t xml:space="preserve">, pp. 224-230. Sulla produzione tipografica di Pannartz e Sweynheim vedi inoltre </w:t>
      </w:r>
      <w:bookmarkStart w:id="117" w:name="_Hlk522797493"/>
      <w:r w:rsidRPr="00796A9D">
        <w:rPr>
          <w:rFonts w:ascii="Times New Roman" w:hAnsi="Times New Roman" w:cs="Times New Roman"/>
          <w:i/>
        </w:rPr>
        <w:t>Da Magonza a Subiaco: per una storia della prototipografia sublacense</w:t>
      </w:r>
      <w:r w:rsidRPr="00796A9D">
        <w:rPr>
          <w:rFonts w:ascii="Times New Roman" w:hAnsi="Times New Roman" w:cs="Times New Roman"/>
        </w:rPr>
        <w:t xml:space="preserve">, a cura di </w:t>
      </w:r>
      <w:r w:rsidRPr="00796A9D">
        <w:rPr>
          <w:rFonts w:ascii="Times New Roman" w:hAnsi="Times New Roman" w:cs="Times New Roman"/>
          <w:smallCaps/>
        </w:rPr>
        <w:t>M. Miglio</w:t>
      </w:r>
      <w:r w:rsidRPr="00796A9D">
        <w:rPr>
          <w:rFonts w:ascii="Times New Roman" w:hAnsi="Times New Roman" w:cs="Times New Roman"/>
        </w:rPr>
        <w:t>, Subiaco, Iter, Tipografia editrice Santa Scolastica, 2006.</w:t>
      </w:r>
      <w:bookmarkEnd w:id="117"/>
    </w:p>
  </w:footnote>
  <w:footnote w:id="178">
    <w:p w14:paraId="6457A324" w14:textId="77777777" w:rsidR="00CF5CFB" w:rsidRPr="00796A9D" w:rsidRDefault="00CF5CFB" w:rsidP="00796A9D">
      <w:pPr>
        <w:pStyle w:val="Testonotaapidipagina"/>
        <w:jc w:val="both"/>
        <w:rPr>
          <w:rFonts w:ascii="Times New Roman" w:hAnsi="Times New Roman" w:cs="Times New Roman"/>
          <w:i/>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L’assenza di un sostegno diretto degli stati italiani all’editoria nel secolo XV è stata analizzata da Brian Richardson, che nota come solo nel secolo successivo i principati si doteranno di proprie stamperie. Cfr. </w:t>
      </w:r>
      <w:bookmarkStart w:id="118" w:name="_Hlk522797547"/>
      <w:r w:rsidRPr="00796A9D">
        <w:rPr>
          <w:rFonts w:ascii="Times New Roman" w:hAnsi="Times New Roman" w:cs="Times New Roman"/>
        </w:rPr>
        <w:t>B</w:t>
      </w:r>
      <w:r w:rsidRPr="00796A9D">
        <w:rPr>
          <w:rFonts w:ascii="Times New Roman" w:hAnsi="Times New Roman" w:cs="Times New Roman"/>
          <w:color w:val="222222"/>
          <w:shd w:val="clear" w:color="auto" w:fill="FFFFFF"/>
        </w:rPr>
        <w:t xml:space="preserve">. </w:t>
      </w:r>
      <w:r w:rsidRPr="00796A9D">
        <w:rPr>
          <w:rFonts w:ascii="Times New Roman" w:hAnsi="Times New Roman" w:cs="Times New Roman"/>
          <w:smallCaps/>
          <w:color w:val="222222"/>
          <w:shd w:val="clear" w:color="auto" w:fill="FFFFFF"/>
        </w:rPr>
        <w:t>Richardson</w:t>
      </w:r>
      <w:r w:rsidRPr="00796A9D">
        <w:rPr>
          <w:rFonts w:ascii="Times New Roman" w:hAnsi="Times New Roman" w:cs="Times New Roman"/>
          <w:b/>
          <w:color w:val="222222"/>
          <w:shd w:val="clear" w:color="auto" w:fill="FFFFFF"/>
        </w:rPr>
        <w:t xml:space="preserve">, </w:t>
      </w:r>
      <w:r w:rsidRPr="00843138">
        <w:rPr>
          <w:rStyle w:val="Enfasigrassetto"/>
          <w:rFonts w:ascii="Times New Roman" w:hAnsi="Times New Roman" w:cs="Times New Roman"/>
          <w:b w:val="0"/>
          <w:i/>
          <w:color w:val="000000"/>
          <w:shd w:val="clear" w:color="auto" w:fill="FFFFFF"/>
        </w:rPr>
        <w:t>Stampatori, autori e lettori nell'Italia del Rinascimento</w:t>
      </w:r>
      <w:r w:rsidRPr="00796A9D">
        <w:rPr>
          <w:rStyle w:val="Enfasicorsivo"/>
          <w:rFonts w:ascii="Times New Roman" w:hAnsi="Times New Roman" w:cs="Times New Roman"/>
          <w:color w:val="000000"/>
          <w:shd w:val="clear" w:color="auto" w:fill="FFFFFF"/>
        </w:rPr>
        <w:t xml:space="preserve">, </w:t>
      </w:r>
      <w:r w:rsidRPr="00796A9D">
        <w:rPr>
          <w:rFonts w:ascii="Times New Roman" w:hAnsi="Times New Roman" w:cs="Times New Roman"/>
          <w:color w:val="000000"/>
          <w:shd w:val="clear" w:color="auto" w:fill="FFFFFF"/>
        </w:rPr>
        <w:t>Milano, S. Bonnard, 2004</w:t>
      </w:r>
      <w:bookmarkEnd w:id="118"/>
      <w:r w:rsidRPr="00796A9D">
        <w:rPr>
          <w:rFonts w:ascii="Times New Roman" w:hAnsi="Times New Roman" w:cs="Times New Roman"/>
          <w:color w:val="000000"/>
          <w:shd w:val="clear" w:color="auto" w:fill="FFFFFF"/>
        </w:rPr>
        <w:t xml:space="preserve">, </w:t>
      </w:r>
      <w:r w:rsidRPr="00796A9D">
        <w:rPr>
          <w:rStyle w:val="Enfasicorsivo"/>
          <w:rFonts w:ascii="Times New Roman" w:hAnsi="Times New Roman" w:cs="Times New Roman"/>
          <w:i w:val="0"/>
          <w:color w:val="000000"/>
          <w:shd w:val="clear" w:color="auto" w:fill="FFFFFF"/>
        </w:rPr>
        <w:t xml:space="preserve">pp. 47-48. </w:t>
      </w:r>
      <w:r>
        <w:rPr>
          <w:rStyle w:val="Enfasicorsivo"/>
          <w:rFonts w:ascii="Times New Roman" w:hAnsi="Times New Roman" w:cs="Times New Roman"/>
          <w:i w:val="0"/>
          <w:color w:val="000000"/>
          <w:shd w:val="clear" w:color="auto" w:fill="FFFFFF"/>
        </w:rPr>
        <w:t>Solo n</w:t>
      </w:r>
      <w:r w:rsidRPr="00796A9D">
        <w:rPr>
          <w:rStyle w:val="Enfasicorsivo"/>
          <w:rFonts w:ascii="Times New Roman" w:hAnsi="Times New Roman" w:cs="Times New Roman"/>
          <w:i w:val="0"/>
          <w:color w:val="000000"/>
          <w:shd w:val="clear" w:color="auto" w:fill="FFFFFF"/>
        </w:rPr>
        <w:t>el 1535 papa Paolo III conferì ad Antonio Blado il titolo di stampatore esclusivo della Camera Apostolica; mentre nel 1547 i duchi di Toscana concessero a Lorenzo Torrentino la carica di impressore ducale. A riguardo cfr.</w:t>
      </w:r>
      <w:r w:rsidRPr="00796A9D">
        <w:rPr>
          <w:rStyle w:val="Enfasicorsivo"/>
          <w:rFonts w:ascii="Times New Roman" w:hAnsi="Times New Roman" w:cs="Times New Roman"/>
          <w:color w:val="000000"/>
          <w:shd w:val="clear" w:color="auto" w:fill="FFFFFF"/>
        </w:rPr>
        <w:t xml:space="preserve"> </w:t>
      </w:r>
      <w:bookmarkStart w:id="119" w:name="_Hlk522797629"/>
      <w:r w:rsidRPr="00796A9D">
        <w:rPr>
          <w:rStyle w:val="Enfasicorsivo"/>
          <w:rFonts w:ascii="Times New Roman" w:hAnsi="Times New Roman" w:cs="Times New Roman"/>
          <w:i w:val="0"/>
          <w:smallCaps/>
          <w:color w:val="000000"/>
          <w:shd w:val="clear" w:color="auto" w:fill="FFFFFF"/>
        </w:rPr>
        <w:t>F. Ascarelli</w:t>
      </w:r>
      <w:r w:rsidRPr="00796A9D">
        <w:rPr>
          <w:rStyle w:val="Enfasicorsivo"/>
          <w:rFonts w:ascii="Times New Roman" w:hAnsi="Times New Roman" w:cs="Times New Roman"/>
          <w:i w:val="0"/>
          <w:color w:val="000000"/>
          <w:shd w:val="clear" w:color="auto" w:fill="FFFFFF"/>
        </w:rPr>
        <w:t xml:space="preserve">, M. </w:t>
      </w:r>
      <w:r w:rsidRPr="00796A9D">
        <w:rPr>
          <w:rStyle w:val="Enfasicorsivo"/>
          <w:rFonts w:ascii="Times New Roman" w:hAnsi="Times New Roman" w:cs="Times New Roman"/>
          <w:i w:val="0"/>
          <w:smallCaps/>
          <w:color w:val="000000"/>
          <w:shd w:val="clear" w:color="auto" w:fill="FFFFFF"/>
        </w:rPr>
        <w:t>Menato</w:t>
      </w:r>
      <w:r w:rsidRPr="00796A9D">
        <w:rPr>
          <w:rStyle w:val="Enfasicorsivo"/>
          <w:rFonts w:ascii="Times New Roman" w:hAnsi="Times New Roman" w:cs="Times New Roman"/>
          <w:i w:val="0"/>
          <w:color w:val="000000"/>
          <w:shd w:val="clear" w:color="auto" w:fill="FFFFFF"/>
        </w:rPr>
        <w:t>,</w:t>
      </w:r>
      <w:r w:rsidRPr="00796A9D">
        <w:rPr>
          <w:rStyle w:val="Enfasicorsivo"/>
          <w:rFonts w:ascii="Times New Roman" w:hAnsi="Times New Roman" w:cs="Times New Roman"/>
          <w:color w:val="000000"/>
          <w:shd w:val="clear" w:color="auto" w:fill="FFFFFF"/>
        </w:rPr>
        <w:t xml:space="preserve"> La tipografia del ´500 in Italia, </w:t>
      </w:r>
      <w:r w:rsidRPr="00796A9D">
        <w:rPr>
          <w:rStyle w:val="Enfasicorsivo"/>
          <w:rFonts w:ascii="Times New Roman" w:hAnsi="Times New Roman" w:cs="Times New Roman"/>
          <w:i w:val="0"/>
          <w:color w:val="000000"/>
          <w:shd w:val="clear" w:color="auto" w:fill="FFFFFF"/>
        </w:rPr>
        <w:t>Firenze, Olschki, 1989, pp. 100-101.</w:t>
      </w:r>
      <w:bookmarkEnd w:id="119"/>
      <w:r w:rsidRPr="00796A9D">
        <w:rPr>
          <w:rStyle w:val="Enfasicorsivo"/>
          <w:rFonts w:ascii="Times New Roman" w:hAnsi="Times New Roman" w:cs="Times New Roman"/>
          <w:i w:val="0"/>
          <w:color w:val="000000"/>
          <w:shd w:val="clear" w:color="auto" w:fill="FFFFFF"/>
        </w:rPr>
        <w:t xml:space="preserve"> </w:t>
      </w:r>
      <w:r w:rsidRPr="00796A9D">
        <w:rPr>
          <w:rStyle w:val="Enfasicorsivo"/>
          <w:rFonts w:ascii="Times New Roman" w:hAnsi="Times New Roman" w:cs="Times New Roman"/>
          <w:i w:val="0"/>
          <w:smallCaps/>
          <w:color w:val="000000"/>
          <w:shd w:val="clear" w:color="auto" w:fill="FFFFFF"/>
        </w:rPr>
        <w:t>B. Maracchi Biagiarelli</w:t>
      </w:r>
      <w:r w:rsidRPr="00796A9D">
        <w:rPr>
          <w:rStyle w:val="Enfasicorsivo"/>
          <w:rFonts w:ascii="Times New Roman" w:hAnsi="Times New Roman" w:cs="Times New Roman"/>
          <w:color w:val="000000"/>
          <w:shd w:val="clear" w:color="auto" w:fill="FFFFFF"/>
        </w:rPr>
        <w:t xml:space="preserve">, Il privilegio di stampatore ducale nella Firenze Medicea, </w:t>
      </w:r>
      <w:r w:rsidRPr="00796A9D">
        <w:rPr>
          <w:rStyle w:val="Enfasicorsivo"/>
          <w:rFonts w:ascii="Times New Roman" w:hAnsi="Times New Roman" w:cs="Times New Roman"/>
          <w:i w:val="0"/>
          <w:color w:val="000000"/>
          <w:shd w:val="clear" w:color="auto" w:fill="FFFFFF"/>
        </w:rPr>
        <w:t>«Archivio Storico Italiano», CCXXIII, 1965, pp. 342-247</w:t>
      </w:r>
      <w:r w:rsidRPr="00796A9D">
        <w:rPr>
          <w:rStyle w:val="Enfasicorsivo"/>
          <w:rFonts w:ascii="Times New Roman" w:hAnsi="Times New Roman" w:cs="Times New Roman"/>
          <w:color w:val="000000"/>
          <w:shd w:val="clear" w:color="auto" w:fill="FFFFFF"/>
        </w:rPr>
        <w:t xml:space="preserve">.  </w:t>
      </w:r>
      <w:r w:rsidRPr="00796A9D">
        <w:rPr>
          <w:rFonts w:ascii="Times New Roman" w:hAnsi="Times New Roman" w:cs="Times New Roman"/>
          <w:i/>
        </w:rPr>
        <w:t xml:space="preserve">  </w:t>
      </w:r>
    </w:p>
  </w:footnote>
  <w:footnote w:id="179">
    <w:p w14:paraId="111A926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BMC IV 27; GW 12420; IGI 4734.</w:t>
      </w:r>
    </w:p>
  </w:footnote>
  <w:footnote w:id="180">
    <w:p w14:paraId="436ED8E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lang w:val="en-US"/>
        </w:rPr>
        <w:t xml:space="preserve">BMC IV 5, XII 1; GW 12421; IGI 4733. </w:t>
      </w:r>
      <w:r w:rsidRPr="00796A9D">
        <w:rPr>
          <w:rFonts w:ascii="Times New Roman" w:hAnsi="Times New Roman" w:cs="Times New Roman"/>
        </w:rPr>
        <w:t xml:space="preserve">L’incunabolo reca la data 13 dicembre 1468. Il testo della prefatoria si legge in </w:t>
      </w:r>
      <w:r w:rsidRPr="00796A9D">
        <w:rPr>
          <w:rFonts w:ascii="Times New Roman" w:hAnsi="Times New Roman" w:cs="Times New Roman"/>
          <w:smallCaps/>
        </w:rPr>
        <w:t>G.A. Bussi</w:t>
      </w:r>
      <w:r w:rsidRPr="00796A9D">
        <w:rPr>
          <w:rFonts w:ascii="Times New Roman" w:hAnsi="Times New Roman" w:cs="Times New Roman"/>
        </w:rPr>
        <w:t xml:space="preserve">, </w:t>
      </w:r>
      <w:r w:rsidRPr="00796A9D">
        <w:rPr>
          <w:rFonts w:ascii="Times New Roman" w:hAnsi="Times New Roman" w:cs="Times New Roman"/>
          <w:i/>
        </w:rPr>
        <w:t>Prefazioni alle edizioni di Sweynheym e Pannartz, prototipografi romani</w:t>
      </w:r>
      <w:r w:rsidRPr="00796A9D">
        <w:rPr>
          <w:rFonts w:ascii="Times New Roman" w:hAnsi="Times New Roman" w:cs="Times New Roman"/>
        </w:rPr>
        <w:t xml:space="preserve">, a cura di </w:t>
      </w:r>
      <w:r w:rsidRPr="00796A9D">
        <w:rPr>
          <w:rFonts w:ascii="Times New Roman" w:hAnsi="Times New Roman" w:cs="Times New Roman"/>
          <w:smallCaps/>
        </w:rPr>
        <w:t>M. Miglio</w:t>
      </w:r>
      <w:r w:rsidRPr="00796A9D">
        <w:rPr>
          <w:rFonts w:ascii="Times New Roman" w:hAnsi="Times New Roman" w:cs="Times New Roman"/>
        </w:rPr>
        <w:t xml:space="preserve">, Milano, Il Polifilo, 1978, prefazione VII, p. 40. Per l’impegno editoriale del Bussi al fianco dei due tipografi tedeschi vedi inoltre </w:t>
      </w:r>
      <w:r w:rsidRPr="00796A9D">
        <w:rPr>
          <w:rFonts w:ascii="Times New Roman" w:hAnsi="Times New Roman" w:cs="Times New Roman"/>
          <w:smallCaps/>
        </w:rPr>
        <w:t>M. Miglio</w:t>
      </w:r>
      <w:r w:rsidRPr="00796A9D">
        <w:rPr>
          <w:rFonts w:ascii="Times New Roman" w:hAnsi="Times New Roman" w:cs="Times New Roman"/>
        </w:rPr>
        <w:t xml:space="preserve">, </w:t>
      </w:r>
      <w:r w:rsidRPr="00796A9D">
        <w:rPr>
          <w:rFonts w:ascii="Times New Roman" w:hAnsi="Times New Roman" w:cs="Times New Roman"/>
          <w:i/>
        </w:rPr>
        <w:t>Saggi di stampa. Tipografi e cultura a Roma nel Quattrocento</w:t>
      </w:r>
      <w:r w:rsidRPr="00796A9D">
        <w:rPr>
          <w:rFonts w:ascii="Times New Roman" w:hAnsi="Times New Roman" w:cs="Times New Roman"/>
        </w:rPr>
        <w:t xml:space="preserve">, a cura di </w:t>
      </w:r>
      <w:r w:rsidRPr="00796A9D">
        <w:rPr>
          <w:rFonts w:ascii="Times New Roman" w:hAnsi="Times New Roman" w:cs="Times New Roman"/>
          <w:smallCaps/>
        </w:rPr>
        <w:t>A. Modigliani</w:t>
      </w:r>
      <w:r w:rsidRPr="00796A9D">
        <w:rPr>
          <w:rFonts w:ascii="Times New Roman" w:hAnsi="Times New Roman" w:cs="Times New Roman"/>
        </w:rPr>
        <w:t xml:space="preserve">, Roma, Roma nel Rinascimento, 2002, pp. 23-86. </w:t>
      </w:r>
    </w:p>
  </w:footnote>
  <w:footnote w:id="181">
    <w:p w14:paraId="0E83CFD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tesi è proposta da Concetta Bianca, che ha puntualmente analizzato l’atteggiamento della Curia romana nei confronti della nascente tipografia in </w:t>
      </w:r>
      <w:r w:rsidRPr="00796A9D">
        <w:rPr>
          <w:rFonts w:ascii="Times New Roman" w:hAnsi="Times New Roman" w:cs="Times New Roman"/>
          <w:smallCaps/>
        </w:rPr>
        <w:t>C. Bianca</w:t>
      </w:r>
      <w:r w:rsidRPr="00796A9D">
        <w:rPr>
          <w:rFonts w:ascii="Times New Roman" w:hAnsi="Times New Roman" w:cs="Times New Roman"/>
        </w:rPr>
        <w:t xml:space="preserve">, </w:t>
      </w:r>
      <w:r w:rsidRPr="00796A9D">
        <w:rPr>
          <w:rFonts w:ascii="Times New Roman" w:hAnsi="Times New Roman" w:cs="Times New Roman"/>
          <w:i/>
        </w:rPr>
        <w:t>Le strade della «Sancta ars»: la stampa e la curia a Roma nel XV secolo</w:t>
      </w:r>
      <w:r w:rsidRPr="00796A9D">
        <w:rPr>
          <w:rFonts w:ascii="Times New Roman" w:hAnsi="Times New Roman" w:cs="Times New Roman"/>
        </w:rPr>
        <w:t>, in</w:t>
      </w:r>
      <w:r w:rsidRPr="00796A9D">
        <w:rPr>
          <w:rFonts w:ascii="Times New Roman" w:hAnsi="Times New Roman" w:cs="Times New Roman"/>
          <w:i/>
        </w:rPr>
        <w:t xml:space="preserve"> La stampa romana nella città dei papi e in Europa</w:t>
      </w:r>
      <w:r w:rsidRPr="00796A9D">
        <w:rPr>
          <w:rFonts w:ascii="Times New Roman" w:hAnsi="Times New Roman" w:cs="Times New Roman"/>
        </w:rPr>
        <w:t xml:space="preserve">, a cura di </w:t>
      </w:r>
      <w:r w:rsidRPr="00796A9D">
        <w:rPr>
          <w:rFonts w:ascii="Times New Roman" w:hAnsi="Times New Roman" w:cs="Times New Roman"/>
          <w:smallCaps/>
        </w:rPr>
        <w:t>C. Dondi, A. Rita, A. Roth, M. Venier</w:t>
      </w:r>
      <w:r w:rsidRPr="00796A9D">
        <w:rPr>
          <w:rFonts w:ascii="Times New Roman" w:hAnsi="Times New Roman" w:cs="Times New Roman"/>
        </w:rPr>
        <w:t>, Città del Vaticano, Biblioteca Apostolica Vaticana, 2016, pp. 1-8.</w:t>
      </w:r>
    </w:p>
  </w:footnote>
  <w:footnote w:id="182">
    <w:p w14:paraId="71C92E3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Negli anni in cui vennero alla luce i libri curati dal Bussi (1470-1472), Paolo II promulgava la bolla </w:t>
      </w:r>
      <w:r w:rsidRPr="00796A9D">
        <w:rPr>
          <w:rFonts w:ascii="Times New Roman" w:hAnsi="Times New Roman" w:cs="Times New Roman"/>
          <w:i/>
        </w:rPr>
        <w:t>Ineffabilis providentia</w:t>
      </w:r>
      <w:r w:rsidRPr="00796A9D">
        <w:rPr>
          <w:rFonts w:ascii="Times New Roman" w:hAnsi="Times New Roman" w:cs="Times New Roman"/>
        </w:rPr>
        <w:t>, con la quale, il 19 aprile 1470, rendeva obbligatoria l’indizione del giubileo ogni venticinque anni. Lo scritto fu pubblicato a Roma da Sisto Riessinger in due edizioni (IGI 7267. BMC VI, 28); da Ulrich Han in altre due edizioni (</w:t>
      </w:r>
      <w:r w:rsidRPr="00796A9D">
        <w:rPr>
          <w:rStyle w:val="istc-shortdisplay-content"/>
          <w:rFonts w:ascii="Times New Roman" w:hAnsi="Times New Roman" w:cs="Times New Roman"/>
        </w:rPr>
        <w:t xml:space="preserve">GW M29914. GW M29915); da Pannartz e </w:t>
      </w:r>
      <w:r w:rsidRPr="00796A9D">
        <w:rPr>
          <w:rFonts w:ascii="Times New Roman" w:hAnsi="Times New Roman" w:cs="Times New Roman"/>
        </w:rPr>
        <w:t xml:space="preserve">Sweynheim (IGI 7268); e da Bartolomeo Guldinbeck (BMC IV, 68). Queste stampe, tutte </w:t>
      </w:r>
      <w:r w:rsidRPr="00796A9D">
        <w:rPr>
          <w:rFonts w:ascii="Times New Roman" w:hAnsi="Times New Roman" w:cs="Times New Roman"/>
          <w:i/>
        </w:rPr>
        <w:t>sine notis,</w:t>
      </w:r>
      <w:r w:rsidRPr="00796A9D">
        <w:rPr>
          <w:rFonts w:ascii="Times New Roman" w:hAnsi="Times New Roman" w:cs="Times New Roman"/>
        </w:rPr>
        <w:t xml:space="preserve"> mi pare provino l’assenza di una committenza diretta della sede pontificia a cui fece fronte un’autonoma iniziativa imprenditoriale degli stampatori nel procedere all’impressione del testo, destinato certamente a una larga diffusione.  </w:t>
      </w:r>
    </w:p>
  </w:footnote>
  <w:footnote w:id="183">
    <w:p w14:paraId="4DFFD0C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Quattro lettere, due di Bussi a Tranchedini e due di Tranchedini a Galeazzo Maria Sforza, documentano le trattative per la cessione della biblioteca. Sono edite in </w:t>
      </w:r>
      <w:r w:rsidRPr="00796A9D">
        <w:rPr>
          <w:rFonts w:ascii="Times New Roman" w:hAnsi="Times New Roman" w:cs="Times New Roman"/>
          <w:smallCaps/>
        </w:rPr>
        <w:t>M. Miglio</w:t>
      </w:r>
      <w:r w:rsidRPr="00796A9D">
        <w:rPr>
          <w:rFonts w:ascii="Times New Roman" w:hAnsi="Times New Roman" w:cs="Times New Roman"/>
        </w:rPr>
        <w:t xml:space="preserve">, </w:t>
      </w:r>
      <w:r w:rsidRPr="00796A9D">
        <w:rPr>
          <w:rFonts w:ascii="Times New Roman" w:hAnsi="Times New Roman" w:cs="Times New Roman"/>
          <w:i/>
        </w:rPr>
        <w:t xml:space="preserve">Saggi di stampa, </w:t>
      </w:r>
      <w:r w:rsidRPr="00796A9D">
        <w:rPr>
          <w:rFonts w:ascii="Times New Roman" w:hAnsi="Times New Roman" w:cs="Times New Roman"/>
        </w:rPr>
        <w:t xml:space="preserve">pp. 78-85, cui si rinvia anche per le vicende dei volumi giunti in eredità ai fratelli del bibliotecario pontificio, Giacomo e Gerardo, che procedettero in parte alla loro vendita provocando la dispersione della raccolta. </w:t>
      </w:r>
    </w:p>
  </w:footnote>
  <w:footnote w:id="184">
    <w:p w14:paraId="69F90415"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testo dell’atto notarile, insieme ad altre notizie sul rapporto tra Galeazzo Crivelli e Antonio Caccia, è reperibile in E. </w:t>
      </w:r>
      <w:r w:rsidRPr="00796A9D">
        <w:rPr>
          <w:rFonts w:ascii="Times New Roman" w:hAnsi="Times New Roman" w:cs="Times New Roman"/>
          <w:smallCaps/>
        </w:rPr>
        <w:t>Motta</w:t>
      </w:r>
      <w:r w:rsidRPr="00796A9D">
        <w:rPr>
          <w:rFonts w:ascii="Times New Roman" w:hAnsi="Times New Roman" w:cs="Times New Roman"/>
        </w:rPr>
        <w:t xml:space="preserve">, </w:t>
      </w:r>
      <w:r w:rsidRPr="00796A9D">
        <w:rPr>
          <w:rFonts w:ascii="Times New Roman" w:hAnsi="Times New Roman" w:cs="Times New Roman"/>
          <w:i/>
        </w:rPr>
        <w:t>Un tipografo a Milano nel 1469</w:t>
      </w:r>
      <w:r w:rsidRPr="00796A9D">
        <w:rPr>
          <w:rFonts w:ascii="Times New Roman" w:hAnsi="Times New Roman" w:cs="Times New Roman"/>
        </w:rPr>
        <w:t xml:space="preserve">, ‹‹Archivio Storico Lombardo››, XXII, 1895, pp. 150-155.  Come ha osservato Victor Scholderer, le clausole dell’atto Crivelli-Caccia non prevedevano restringimenti di campo sul carattere delle pubblicazioni, e la ripartizione dei proventi tra i contraenti indicava il desiderio dell’apertura di un’attività realmente imprenditoriale. </w:t>
      </w:r>
      <w:r w:rsidRPr="00796A9D">
        <w:rPr>
          <w:rFonts w:ascii="Times New Roman" w:hAnsi="Times New Roman" w:cs="Times New Roman"/>
          <w:lang w:val="en-US"/>
        </w:rPr>
        <w:t xml:space="preserve">Cfr.  </w:t>
      </w:r>
      <w:r w:rsidRPr="00796A9D">
        <w:rPr>
          <w:rFonts w:ascii="Times New Roman" w:hAnsi="Times New Roman" w:cs="Times New Roman"/>
          <w:smallCaps/>
          <w:lang w:val="en-US"/>
        </w:rPr>
        <w:t>V. Scholderer</w:t>
      </w:r>
      <w:r w:rsidRPr="00796A9D">
        <w:rPr>
          <w:rFonts w:ascii="Times New Roman" w:hAnsi="Times New Roman" w:cs="Times New Roman"/>
          <w:lang w:val="en-US"/>
        </w:rPr>
        <w:t xml:space="preserve">, </w:t>
      </w:r>
      <w:r w:rsidRPr="00796A9D">
        <w:rPr>
          <w:rFonts w:ascii="Times New Roman" w:hAnsi="Times New Roman" w:cs="Times New Roman"/>
          <w:i/>
          <w:lang w:val="en-US"/>
        </w:rPr>
        <w:t xml:space="preserve">Printing at Milan in the Fifteenth century, </w:t>
      </w:r>
      <w:r w:rsidRPr="00796A9D">
        <w:rPr>
          <w:rFonts w:ascii="Times New Roman" w:hAnsi="Times New Roman" w:cs="Times New Roman"/>
          <w:lang w:val="en-US"/>
        </w:rPr>
        <w:t>in</w:t>
      </w:r>
      <w:r w:rsidRPr="00796A9D">
        <w:rPr>
          <w:rFonts w:ascii="Times New Roman" w:hAnsi="Times New Roman" w:cs="Times New Roman"/>
          <w:smallCaps/>
          <w:lang w:val="en-US"/>
        </w:rPr>
        <w:t xml:space="preserve"> Idem</w:t>
      </w:r>
      <w:r w:rsidRPr="00796A9D">
        <w:rPr>
          <w:rFonts w:ascii="Times New Roman" w:hAnsi="Times New Roman" w:cs="Times New Roman"/>
          <w:lang w:val="en-US"/>
        </w:rPr>
        <w:t>,</w:t>
      </w:r>
      <w:r w:rsidRPr="00796A9D">
        <w:rPr>
          <w:rFonts w:ascii="Times New Roman" w:hAnsi="Times New Roman" w:cs="Times New Roman"/>
          <w:i/>
          <w:lang w:val="en-US"/>
        </w:rPr>
        <w:t xml:space="preserve"> Fifthy Essays in Fifteenth and Sixteenth Century Bibliography</w:t>
      </w:r>
      <w:r w:rsidRPr="00796A9D">
        <w:rPr>
          <w:rFonts w:ascii="Times New Roman" w:hAnsi="Times New Roman" w:cs="Times New Roman"/>
          <w:lang w:val="en-US"/>
        </w:rPr>
        <w:t xml:space="preserve">, Amsterdam, Menno Hertzberger &amp; Co, 1966, p. 96. </w:t>
      </w:r>
    </w:p>
  </w:footnote>
  <w:footnote w:id="185">
    <w:p w14:paraId="111E96C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datata 10 maggio 1470, è edita in E. </w:t>
      </w:r>
      <w:r w:rsidRPr="00796A9D">
        <w:rPr>
          <w:rFonts w:ascii="Times New Roman" w:hAnsi="Times New Roman" w:cs="Times New Roman"/>
          <w:smallCaps/>
        </w:rPr>
        <w:t xml:space="preserve">Motta, </w:t>
      </w:r>
      <w:r w:rsidRPr="00796A9D">
        <w:rPr>
          <w:rFonts w:ascii="Times New Roman" w:hAnsi="Times New Roman" w:cs="Times New Roman"/>
          <w:i/>
          <w:smallCaps/>
        </w:rPr>
        <w:t>P</w:t>
      </w:r>
      <w:r w:rsidRPr="00796A9D">
        <w:rPr>
          <w:rFonts w:ascii="Times New Roman" w:hAnsi="Times New Roman" w:cs="Times New Roman"/>
          <w:i/>
        </w:rPr>
        <w:t xml:space="preserve">anfilo Castaldi, Antonio Planella, Pietro Ugleimer e il vescovo d’Aleria, </w:t>
      </w:r>
      <w:r w:rsidRPr="00796A9D">
        <w:rPr>
          <w:rFonts w:ascii="Times New Roman" w:hAnsi="Times New Roman" w:cs="Times New Roman"/>
        </w:rPr>
        <w:t xml:space="preserve">‹‹Rivista Storica Italiana››, XI, 1884, p. 269. </w:t>
      </w:r>
    </w:p>
  </w:footnote>
  <w:footnote w:id="186">
    <w:p w14:paraId="5D8A775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R. </w:t>
      </w:r>
      <w:r w:rsidRPr="00796A9D">
        <w:rPr>
          <w:rFonts w:ascii="Times New Roman" w:hAnsi="Times New Roman" w:cs="Times New Roman"/>
          <w:smallCaps/>
        </w:rPr>
        <w:t>Sordelli Locatelli</w:t>
      </w:r>
      <w:r w:rsidRPr="00796A9D">
        <w:rPr>
          <w:rFonts w:ascii="Times New Roman" w:hAnsi="Times New Roman" w:cs="Times New Roman"/>
        </w:rPr>
        <w:t xml:space="preserve">, </w:t>
      </w:r>
      <w:r w:rsidRPr="00796A9D">
        <w:rPr>
          <w:rFonts w:ascii="Times New Roman" w:hAnsi="Times New Roman" w:cs="Times New Roman"/>
          <w:i/>
        </w:rPr>
        <w:t>Il primo privilegio milanese in materia di stampa</w:t>
      </w:r>
      <w:r w:rsidRPr="00796A9D">
        <w:rPr>
          <w:rFonts w:ascii="Times New Roman" w:hAnsi="Times New Roman" w:cs="Times New Roman"/>
        </w:rPr>
        <w:t xml:space="preserve">, ‹‹Rivista di Diritto industriale››, VI, 1957, pp. 86-87. La studiosa sottolinea come i termini del contratto di Planella siano attestati da due fonti: la copia del documento trasmessa dai registri della cancelleria ducale e l’originale, mancante dell’impressione del sigillo ducale, ovvero privo di effettiva efficacia giuridica. Il che lascia intendere come forse fossero mancati i termini per un suo effettivo utilizzo.  </w:t>
      </w:r>
    </w:p>
  </w:footnote>
  <w:footnote w:id="187">
    <w:p w14:paraId="2411A09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merito ai rapporti intercorsi tra Zarotto e Castaldi e ai documenti che attestano le prime fasi di avvio della tipografia a Milano si veda l’ottima analisi di A. </w:t>
      </w:r>
      <w:r w:rsidRPr="00796A9D">
        <w:rPr>
          <w:rFonts w:ascii="Times New Roman" w:hAnsi="Times New Roman" w:cs="Times New Roman"/>
          <w:smallCaps/>
        </w:rPr>
        <w:t>Ganda</w:t>
      </w:r>
      <w:r w:rsidRPr="00796A9D">
        <w:rPr>
          <w:rFonts w:ascii="Times New Roman" w:hAnsi="Times New Roman" w:cs="Times New Roman"/>
          <w:i/>
        </w:rPr>
        <w:t>, I primordi della tipografia milanese, Antonio Zarotto da Parma (1471-1507)</w:t>
      </w:r>
      <w:r w:rsidRPr="00796A9D">
        <w:rPr>
          <w:rFonts w:ascii="Times New Roman" w:hAnsi="Times New Roman" w:cs="Times New Roman"/>
        </w:rPr>
        <w:t>, Firenze, Olschki, 1984. Sebbene concorde nel riconoscere che l’officina milanese del Castaldi vide quattro edizioni solo grazie ad Antonio Zarotto, Teresa Rogledi Manni, nel suo inventario, attribuisce al Castaldi la pubblicazione dei primi incunaboli milanesi: Festus</w:t>
      </w:r>
      <w:r w:rsidRPr="00796A9D">
        <w:rPr>
          <w:rFonts w:ascii="Times New Roman" w:hAnsi="Times New Roman" w:cs="Times New Roman"/>
          <w:i/>
        </w:rPr>
        <w:t>, De verborum significatione</w:t>
      </w:r>
      <w:r w:rsidRPr="00796A9D">
        <w:rPr>
          <w:rFonts w:ascii="Times New Roman" w:hAnsi="Times New Roman" w:cs="Times New Roman"/>
        </w:rPr>
        <w:t xml:space="preserve">; Mela, </w:t>
      </w:r>
      <w:r w:rsidRPr="00796A9D">
        <w:rPr>
          <w:rFonts w:ascii="Times New Roman" w:hAnsi="Times New Roman" w:cs="Times New Roman"/>
          <w:i/>
        </w:rPr>
        <w:t>Cosmographia</w:t>
      </w:r>
      <w:r w:rsidRPr="00796A9D">
        <w:rPr>
          <w:rFonts w:ascii="Times New Roman" w:hAnsi="Times New Roman" w:cs="Times New Roman"/>
        </w:rPr>
        <w:t xml:space="preserve">; Cicero, </w:t>
      </w:r>
      <w:r w:rsidRPr="00796A9D">
        <w:rPr>
          <w:rFonts w:ascii="Times New Roman" w:hAnsi="Times New Roman" w:cs="Times New Roman"/>
          <w:i/>
        </w:rPr>
        <w:t>Epistolae ad familiares</w:t>
      </w:r>
      <w:r w:rsidRPr="00796A9D">
        <w:rPr>
          <w:rFonts w:ascii="Times New Roman" w:hAnsi="Times New Roman" w:cs="Times New Roman"/>
        </w:rPr>
        <w:t xml:space="preserve">; Cornazzaro, </w:t>
      </w:r>
      <w:r w:rsidRPr="00796A9D">
        <w:rPr>
          <w:rFonts w:ascii="Times New Roman" w:hAnsi="Times New Roman" w:cs="Times New Roman"/>
          <w:i/>
        </w:rPr>
        <w:t>Vita della Vergine</w:t>
      </w:r>
      <w:r w:rsidRPr="00796A9D">
        <w:rPr>
          <w:rFonts w:ascii="Times New Roman" w:hAnsi="Times New Roman" w:cs="Times New Roman"/>
        </w:rPr>
        <w:t xml:space="preserve">. Cfr. </w:t>
      </w:r>
      <w:bookmarkStart w:id="127" w:name="_Hlk522799518"/>
      <w:r w:rsidRPr="00796A9D">
        <w:rPr>
          <w:rFonts w:ascii="Times New Roman" w:hAnsi="Times New Roman" w:cs="Times New Roman"/>
          <w:smallCaps/>
        </w:rPr>
        <w:t>T. Rogledi Manni</w:t>
      </w:r>
      <w:r w:rsidRPr="00796A9D">
        <w:rPr>
          <w:rFonts w:ascii="Times New Roman" w:hAnsi="Times New Roman" w:cs="Times New Roman"/>
        </w:rPr>
        <w:t xml:space="preserve">, </w:t>
      </w:r>
      <w:r w:rsidRPr="00796A9D">
        <w:rPr>
          <w:rFonts w:ascii="Times New Roman" w:hAnsi="Times New Roman" w:cs="Times New Roman"/>
          <w:i/>
        </w:rPr>
        <w:t>La tipografia a Milano nel XV secolo</w:t>
      </w:r>
      <w:r w:rsidRPr="00796A9D">
        <w:rPr>
          <w:rFonts w:ascii="Times New Roman" w:hAnsi="Times New Roman" w:cs="Times New Roman"/>
        </w:rPr>
        <w:t>, Firenze, Olschki, 1980</w:t>
      </w:r>
      <w:bookmarkEnd w:id="127"/>
      <w:r w:rsidRPr="00796A9D">
        <w:rPr>
          <w:rFonts w:ascii="Times New Roman" w:hAnsi="Times New Roman" w:cs="Times New Roman"/>
        </w:rPr>
        <w:t xml:space="preserve">, schede nn. 1-4. </w:t>
      </w:r>
    </w:p>
  </w:footnote>
  <w:footnote w:id="188">
    <w:p w14:paraId="534ACC7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testo del privilegio, il primo in Italia a tutela dell’esclusività di stampa a beneficio di un tipografo, è edito in </w:t>
      </w:r>
      <w:bookmarkStart w:id="128" w:name="_Hlk522799597"/>
      <w:r w:rsidRPr="00796A9D">
        <w:rPr>
          <w:rFonts w:ascii="Times New Roman" w:hAnsi="Times New Roman" w:cs="Times New Roman"/>
          <w:smallCaps/>
        </w:rPr>
        <w:t>R. Sordelli-L. Sordelli</w:t>
      </w:r>
      <w:r w:rsidRPr="00796A9D">
        <w:rPr>
          <w:rFonts w:ascii="Times New Roman" w:hAnsi="Times New Roman" w:cs="Times New Roman"/>
        </w:rPr>
        <w:t xml:space="preserve">, </w:t>
      </w:r>
      <w:r w:rsidRPr="00796A9D">
        <w:rPr>
          <w:rFonts w:ascii="Times New Roman" w:hAnsi="Times New Roman" w:cs="Times New Roman"/>
          <w:i/>
        </w:rPr>
        <w:t>I privilegi di stampa a Milano nel secolo XV</w:t>
      </w:r>
      <w:r w:rsidRPr="00796A9D">
        <w:rPr>
          <w:rFonts w:ascii="Times New Roman" w:hAnsi="Times New Roman" w:cs="Times New Roman"/>
        </w:rPr>
        <w:t>, ‹‹Rivista di Diritto industriale››, VI, 1957, p. 136</w:t>
      </w:r>
      <w:bookmarkEnd w:id="128"/>
      <w:r w:rsidRPr="00796A9D">
        <w:rPr>
          <w:rFonts w:ascii="Times New Roman" w:hAnsi="Times New Roman" w:cs="Times New Roman"/>
        </w:rPr>
        <w:t xml:space="preserve">, dove si segnala come le copie conservate dell’edizione, datata 23 gennaio 1482, non ne rechino però il testo. Sulla similarità delle modalità di concessione dei privilegi </w:t>
      </w:r>
      <w:r w:rsidRPr="00796A9D">
        <w:rPr>
          <w:rFonts w:ascii="Times New Roman" w:hAnsi="Times New Roman" w:cs="Times New Roman"/>
          <w:i/>
        </w:rPr>
        <w:t>pro arte introducenda</w:t>
      </w:r>
      <w:r w:rsidRPr="00796A9D">
        <w:rPr>
          <w:rFonts w:ascii="Times New Roman" w:hAnsi="Times New Roman" w:cs="Times New Roman"/>
        </w:rPr>
        <w:t xml:space="preserve"> nelle città di Milano e Venezia – dove l’apertura della stamperia di Giovanni da Spira fu favorita dal governo della Serenissima nel 1469 – e per il primato del ducato sforzesco nella tutela attraverso il privilegio di stampa delle opere di celebrazione dinastica vedi </w:t>
      </w:r>
      <w:bookmarkStart w:id="129" w:name="_Hlk522799668"/>
      <w:r w:rsidRPr="00796A9D">
        <w:rPr>
          <w:rFonts w:ascii="Times New Roman" w:hAnsi="Times New Roman" w:cs="Times New Roman"/>
          <w:smallCaps/>
        </w:rPr>
        <w:t>A. Nuovo</w:t>
      </w:r>
      <w:r w:rsidRPr="00796A9D">
        <w:rPr>
          <w:rFonts w:ascii="Times New Roman" w:hAnsi="Times New Roman" w:cs="Times New Roman"/>
        </w:rPr>
        <w:t xml:space="preserve">, </w:t>
      </w:r>
      <w:r w:rsidRPr="00796A9D">
        <w:rPr>
          <w:rFonts w:ascii="Times New Roman" w:hAnsi="Times New Roman" w:cs="Times New Roman"/>
          <w:i/>
        </w:rPr>
        <w:t>Privilegi librari a Milano (sec. XV-XVI</w:t>
      </w:r>
      <w:r w:rsidRPr="00796A9D">
        <w:rPr>
          <w:rFonts w:ascii="Times New Roman" w:hAnsi="Times New Roman" w:cs="Times New Roman"/>
        </w:rPr>
        <w:t xml:space="preserve">), «La Bibliofilia», CXVI, 2014, pp. 193-204. </w:t>
      </w:r>
    </w:p>
    <w:bookmarkEnd w:id="129"/>
  </w:footnote>
  <w:footnote w:id="189">
    <w:p w14:paraId="77921A7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tre edizioni dei </w:t>
      </w:r>
      <w:r w:rsidRPr="00796A9D">
        <w:rPr>
          <w:rFonts w:ascii="Times New Roman" w:hAnsi="Times New Roman" w:cs="Times New Roman"/>
          <w:i/>
        </w:rPr>
        <w:t>Decreta</w:t>
      </w:r>
      <w:r w:rsidRPr="00796A9D">
        <w:rPr>
          <w:rFonts w:ascii="Times New Roman" w:hAnsi="Times New Roman" w:cs="Times New Roman"/>
        </w:rPr>
        <w:t xml:space="preserve"> furono effettuate da Filippo Mantegazza, da Ulrich Scinzenzeler e da Antonio Zarotto. Cfr. </w:t>
      </w:r>
      <w:r w:rsidRPr="00796A9D">
        <w:rPr>
          <w:rFonts w:ascii="Times New Roman" w:hAnsi="Times New Roman" w:cs="Times New Roman"/>
          <w:smallCaps/>
        </w:rPr>
        <w:t>T. Rogledi Manni</w:t>
      </w:r>
      <w:r w:rsidRPr="00796A9D">
        <w:rPr>
          <w:rFonts w:ascii="Times New Roman" w:hAnsi="Times New Roman" w:cs="Times New Roman"/>
        </w:rPr>
        <w:t xml:space="preserve">, </w:t>
      </w:r>
      <w:r w:rsidRPr="00796A9D">
        <w:rPr>
          <w:rFonts w:ascii="Times New Roman" w:hAnsi="Times New Roman" w:cs="Times New Roman"/>
          <w:i/>
        </w:rPr>
        <w:t xml:space="preserve">La tipografia a Milano nel XV secolo, </w:t>
      </w:r>
      <w:r w:rsidRPr="00796A9D">
        <w:rPr>
          <w:rFonts w:ascii="Times New Roman" w:hAnsi="Times New Roman" w:cs="Times New Roman"/>
        </w:rPr>
        <w:t>cit., schede nn. 912-915.</w:t>
      </w:r>
    </w:p>
  </w:footnote>
  <w:footnote w:id="190">
    <w:p w14:paraId="3B0E140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l’importanza del ritrovamento dei codici di Bobbio rinvio a E. </w:t>
      </w:r>
      <w:r w:rsidRPr="00796A9D">
        <w:rPr>
          <w:rFonts w:ascii="Times New Roman" w:hAnsi="Times New Roman" w:cs="Times New Roman"/>
          <w:smallCaps/>
        </w:rPr>
        <w:t>Garin</w:t>
      </w:r>
      <w:r w:rsidRPr="00796A9D">
        <w:rPr>
          <w:rFonts w:ascii="Times New Roman" w:hAnsi="Times New Roman" w:cs="Times New Roman"/>
        </w:rPr>
        <w:t xml:space="preserve">, </w:t>
      </w:r>
      <w:r w:rsidRPr="00796A9D">
        <w:rPr>
          <w:rFonts w:ascii="Times New Roman" w:hAnsi="Times New Roman" w:cs="Times New Roman"/>
          <w:i/>
        </w:rPr>
        <w:t>La cultura milanese nella seconda metà del</w:t>
      </w:r>
      <w:r w:rsidRPr="00796A9D">
        <w:rPr>
          <w:rFonts w:ascii="Times New Roman" w:hAnsi="Times New Roman" w:cs="Times New Roman"/>
        </w:rPr>
        <w:t xml:space="preserve"> </w:t>
      </w:r>
      <w:r w:rsidRPr="00796A9D">
        <w:rPr>
          <w:rFonts w:ascii="Times New Roman" w:hAnsi="Times New Roman" w:cs="Times New Roman"/>
          <w:i/>
        </w:rPr>
        <w:t>XV secolo</w:t>
      </w:r>
      <w:r w:rsidRPr="00796A9D">
        <w:rPr>
          <w:rFonts w:ascii="Times New Roman" w:hAnsi="Times New Roman" w:cs="Times New Roman"/>
        </w:rPr>
        <w:t xml:space="preserve">, in </w:t>
      </w:r>
      <w:r w:rsidRPr="00796A9D">
        <w:rPr>
          <w:rFonts w:ascii="Times New Roman" w:hAnsi="Times New Roman" w:cs="Times New Roman"/>
          <w:i/>
        </w:rPr>
        <w:t>Storia di Milano</w:t>
      </w:r>
      <w:r w:rsidRPr="00796A9D">
        <w:rPr>
          <w:rFonts w:ascii="Times New Roman" w:hAnsi="Times New Roman" w:cs="Times New Roman"/>
        </w:rPr>
        <w:t>, Milano, Treccani, 1956, vol. VII, pp. 578-579.</w:t>
      </w:r>
    </w:p>
  </w:footnote>
  <w:footnote w:id="191">
    <w:p w14:paraId="262357C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privilegio, concesso dalla cancelleria del Moro e recante la firma di Bartolomeo Calco, sono elencati i titoli di sei opere di autori latini: Terenziano, </w:t>
      </w:r>
      <w:r w:rsidRPr="00796A9D">
        <w:rPr>
          <w:rFonts w:ascii="Times New Roman" w:hAnsi="Times New Roman" w:cs="Times New Roman"/>
          <w:i/>
        </w:rPr>
        <w:t>De Metris et Syllabis Horatii</w:t>
      </w:r>
      <w:r w:rsidRPr="00796A9D">
        <w:rPr>
          <w:rFonts w:ascii="Times New Roman" w:hAnsi="Times New Roman" w:cs="Times New Roman"/>
        </w:rPr>
        <w:t xml:space="preserve">; Fortunatiano, </w:t>
      </w:r>
      <w:r w:rsidRPr="00796A9D">
        <w:rPr>
          <w:rFonts w:ascii="Times New Roman" w:hAnsi="Times New Roman" w:cs="Times New Roman"/>
          <w:i/>
        </w:rPr>
        <w:t>De Carminibus Horatii</w:t>
      </w:r>
      <w:r w:rsidRPr="00796A9D">
        <w:rPr>
          <w:rFonts w:ascii="Times New Roman" w:hAnsi="Times New Roman" w:cs="Times New Roman"/>
        </w:rPr>
        <w:t xml:space="preserve">; Velio Longo, </w:t>
      </w:r>
      <w:r w:rsidRPr="00796A9D">
        <w:rPr>
          <w:rFonts w:ascii="Times New Roman" w:hAnsi="Times New Roman" w:cs="Times New Roman"/>
          <w:i/>
        </w:rPr>
        <w:t>De Orthographia</w:t>
      </w:r>
      <w:r w:rsidRPr="00796A9D">
        <w:rPr>
          <w:rFonts w:ascii="Times New Roman" w:hAnsi="Times New Roman" w:cs="Times New Roman"/>
        </w:rPr>
        <w:t xml:space="preserve">; Adamanzio, </w:t>
      </w:r>
      <w:r w:rsidRPr="00796A9D">
        <w:rPr>
          <w:rFonts w:ascii="Times New Roman" w:hAnsi="Times New Roman" w:cs="Times New Roman"/>
          <w:i/>
        </w:rPr>
        <w:t>De Orthographia</w:t>
      </w:r>
      <w:r w:rsidRPr="00796A9D">
        <w:rPr>
          <w:rFonts w:ascii="Times New Roman" w:hAnsi="Times New Roman" w:cs="Times New Roman"/>
        </w:rPr>
        <w:t xml:space="preserve">; </w:t>
      </w:r>
      <w:r w:rsidRPr="00796A9D">
        <w:rPr>
          <w:rFonts w:ascii="Times New Roman" w:hAnsi="Times New Roman" w:cs="Times New Roman"/>
          <w:i/>
        </w:rPr>
        <w:t>Catholica Probi</w:t>
      </w:r>
      <w:r w:rsidRPr="00796A9D">
        <w:rPr>
          <w:rFonts w:ascii="Times New Roman" w:hAnsi="Times New Roman" w:cs="Times New Roman"/>
        </w:rPr>
        <w:t xml:space="preserve">, Cornelio Frontonio, </w:t>
      </w:r>
      <w:r w:rsidRPr="00796A9D">
        <w:rPr>
          <w:rFonts w:ascii="Times New Roman" w:hAnsi="Times New Roman" w:cs="Times New Roman"/>
          <w:i/>
        </w:rPr>
        <w:t>Elegantias</w:t>
      </w:r>
      <w:r w:rsidRPr="00796A9D">
        <w:rPr>
          <w:rFonts w:ascii="Times New Roman" w:hAnsi="Times New Roman" w:cs="Times New Roman"/>
        </w:rPr>
        <w:t xml:space="preserve">. Cfr. </w:t>
      </w:r>
      <w:r w:rsidRPr="00796A9D">
        <w:rPr>
          <w:rFonts w:ascii="Times New Roman" w:hAnsi="Times New Roman" w:cs="Times New Roman"/>
          <w:smallCaps/>
        </w:rPr>
        <w:t>R. Sordelli - L. Sordelli</w:t>
      </w:r>
      <w:r w:rsidRPr="00796A9D">
        <w:rPr>
          <w:rFonts w:ascii="Times New Roman" w:hAnsi="Times New Roman" w:cs="Times New Roman"/>
        </w:rPr>
        <w:t xml:space="preserve">, </w:t>
      </w:r>
      <w:r w:rsidRPr="00796A9D">
        <w:rPr>
          <w:rFonts w:ascii="Times New Roman" w:hAnsi="Times New Roman" w:cs="Times New Roman"/>
          <w:i/>
        </w:rPr>
        <w:t>I privilegi di stampa a Milano nel secolo XV</w:t>
      </w:r>
      <w:r w:rsidRPr="00796A9D">
        <w:rPr>
          <w:rFonts w:ascii="Times New Roman" w:hAnsi="Times New Roman" w:cs="Times New Roman"/>
        </w:rPr>
        <w:t xml:space="preserve">, cit., p.142. </w:t>
      </w:r>
    </w:p>
  </w:footnote>
  <w:footnote w:id="192">
    <w:p w14:paraId="34EBB4E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queste prime reazioni della corte estense all’introduzione della stampa vedi </w:t>
      </w:r>
      <w:bookmarkStart w:id="131" w:name="_Hlk522799737"/>
      <w:r w:rsidRPr="00796A9D">
        <w:rPr>
          <w:rFonts w:ascii="Times New Roman" w:hAnsi="Times New Roman" w:cs="Times New Roman"/>
          <w:smallCaps/>
        </w:rPr>
        <w:t>A. Nuovo</w:t>
      </w:r>
      <w:r w:rsidRPr="00796A9D">
        <w:rPr>
          <w:rFonts w:ascii="Times New Roman" w:hAnsi="Times New Roman" w:cs="Times New Roman"/>
        </w:rPr>
        <w:t xml:space="preserve">, </w:t>
      </w:r>
      <w:r w:rsidRPr="00796A9D">
        <w:rPr>
          <w:rFonts w:ascii="Times New Roman" w:hAnsi="Times New Roman" w:cs="Times New Roman"/>
          <w:i/>
        </w:rPr>
        <w:t>Il commercio librario a Ferrara tra XV e XVI secolo</w:t>
      </w:r>
      <w:r w:rsidRPr="00796A9D">
        <w:rPr>
          <w:rFonts w:ascii="Times New Roman" w:hAnsi="Times New Roman" w:cs="Times New Roman"/>
        </w:rPr>
        <w:t>, Firenze, Olschki, 1998</w:t>
      </w:r>
      <w:bookmarkEnd w:id="131"/>
      <w:r w:rsidRPr="00796A9D">
        <w:rPr>
          <w:rFonts w:ascii="Times New Roman" w:hAnsi="Times New Roman" w:cs="Times New Roman"/>
        </w:rPr>
        <w:t xml:space="preserve">, pp. 13-14. </w:t>
      </w:r>
    </w:p>
  </w:footnote>
  <w:footnote w:id="193">
    <w:p w14:paraId="5187D78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Riguardo alla nota di spese per l’acquisto dell’</w:t>
      </w:r>
      <w:r w:rsidRPr="00796A9D">
        <w:rPr>
          <w:rFonts w:ascii="Times New Roman" w:hAnsi="Times New Roman" w:cs="Times New Roman"/>
          <w:i/>
        </w:rPr>
        <w:t>Officium</w:t>
      </w:r>
      <w:r w:rsidRPr="00796A9D">
        <w:rPr>
          <w:rFonts w:ascii="Times New Roman" w:hAnsi="Times New Roman" w:cs="Times New Roman"/>
        </w:rPr>
        <w:t xml:space="preserve">, in realtà un santorale pensato sia per i chierici che per i laici apparso in data 18 ottobre 1492 (GW 5175, IGI 6964), vedi </w:t>
      </w:r>
      <w:r w:rsidRPr="00796A9D">
        <w:rPr>
          <w:rFonts w:ascii="Times New Roman" w:hAnsi="Times New Roman" w:cs="Times New Roman"/>
          <w:smallCaps/>
        </w:rPr>
        <w:t>A. Franceschini</w:t>
      </w:r>
      <w:r w:rsidRPr="00796A9D">
        <w:rPr>
          <w:rFonts w:ascii="Times New Roman" w:hAnsi="Times New Roman" w:cs="Times New Roman"/>
        </w:rPr>
        <w:t xml:space="preserve">, </w:t>
      </w:r>
      <w:r w:rsidRPr="00796A9D">
        <w:rPr>
          <w:rFonts w:ascii="Times New Roman" w:hAnsi="Times New Roman" w:cs="Times New Roman"/>
          <w:i/>
        </w:rPr>
        <w:t>Artisti a Ferrara in età umanistica e rinascimentale</w:t>
      </w:r>
      <w:r w:rsidRPr="00796A9D">
        <w:rPr>
          <w:rFonts w:ascii="Times New Roman" w:hAnsi="Times New Roman" w:cs="Times New Roman"/>
        </w:rPr>
        <w:t xml:space="preserve">, cit., 585 b, p. 466. Per tutta la vicenda redazionale e per l’edizione del contratto tra Rossi e da Castello, cfr. </w:t>
      </w:r>
      <w:r w:rsidRPr="00796A9D">
        <w:rPr>
          <w:rFonts w:ascii="Times New Roman" w:hAnsi="Times New Roman" w:cs="Times New Roman"/>
          <w:smallCaps/>
        </w:rPr>
        <w:t>A. Nuovo</w:t>
      </w:r>
      <w:r w:rsidRPr="00796A9D">
        <w:rPr>
          <w:rFonts w:ascii="Times New Roman" w:hAnsi="Times New Roman" w:cs="Times New Roman"/>
        </w:rPr>
        <w:t xml:space="preserve">, </w:t>
      </w:r>
      <w:r w:rsidRPr="00796A9D">
        <w:rPr>
          <w:rFonts w:ascii="Times New Roman" w:hAnsi="Times New Roman" w:cs="Times New Roman"/>
          <w:i/>
        </w:rPr>
        <w:t>Il commercio librario a Ferrara tra XV e XVI secolo</w:t>
      </w:r>
      <w:r w:rsidRPr="00796A9D">
        <w:rPr>
          <w:rFonts w:ascii="Times New Roman" w:hAnsi="Times New Roman" w:cs="Times New Roman"/>
        </w:rPr>
        <w:t xml:space="preserve">, pp. 61-68. </w:t>
      </w:r>
    </w:p>
  </w:footnote>
  <w:footnote w:id="194">
    <w:p w14:paraId="63657A6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135" w:name="_Hlk522799796"/>
      <w:r w:rsidRPr="00796A9D">
        <w:rPr>
          <w:rFonts w:ascii="Times New Roman" w:hAnsi="Times New Roman" w:cs="Times New Roman"/>
          <w:smallCaps/>
        </w:rPr>
        <w:t>R. Mazza</w:t>
      </w:r>
      <w:r w:rsidRPr="00796A9D">
        <w:rPr>
          <w:rFonts w:ascii="Times New Roman" w:hAnsi="Times New Roman" w:cs="Times New Roman"/>
        </w:rPr>
        <w:t xml:space="preserve">, </w:t>
      </w:r>
      <w:r w:rsidRPr="00796A9D">
        <w:rPr>
          <w:rFonts w:ascii="Times New Roman" w:hAnsi="Times New Roman" w:cs="Times New Roman"/>
          <w:i/>
        </w:rPr>
        <w:t>Lorenzo Rossi tipografo in Ferrara 1482-1500</w:t>
      </w:r>
      <w:r w:rsidRPr="00796A9D">
        <w:rPr>
          <w:rFonts w:ascii="Times New Roman" w:hAnsi="Times New Roman" w:cs="Times New Roman"/>
        </w:rPr>
        <w:t>, Ferrara, Worbas, 1984</w:t>
      </w:r>
      <w:bookmarkEnd w:id="135"/>
      <w:r w:rsidRPr="00796A9D">
        <w:rPr>
          <w:rFonts w:ascii="Times New Roman" w:hAnsi="Times New Roman" w:cs="Times New Roman"/>
        </w:rPr>
        <w:t xml:space="preserve">, pp. 62-74. </w:t>
      </w:r>
    </w:p>
  </w:footnote>
  <w:footnote w:id="195">
    <w:p w14:paraId="4715285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GW 7578; IGI 3233.</w:t>
      </w:r>
    </w:p>
  </w:footnote>
  <w:footnote w:id="196">
    <w:p w14:paraId="11B88B0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cerimonia è segnalata da Lockwood come uno degli appuntamenti più significativi dell’agenda ducale del 1476, anno nel quale Ercole poteva contare su una cappella musicale composta di venti cantori provenienti dalle Fiandre, dalla Francia, dalla Spagna e dall’Italia, capace di rivaleggiare con quella del duca di Milano e dotata di nove strumentisti, oltre a quattro trombetti, due pifferi e tre tromboni. Cfr. </w:t>
      </w:r>
      <w:bookmarkStart w:id="136" w:name="_Hlk522799844"/>
      <w:r w:rsidRPr="00796A9D">
        <w:rPr>
          <w:rFonts w:ascii="Times New Roman" w:hAnsi="Times New Roman" w:cs="Times New Roman"/>
          <w:smallCaps/>
        </w:rPr>
        <w:t>L. Lockwood</w:t>
      </w:r>
      <w:r w:rsidRPr="00796A9D">
        <w:rPr>
          <w:rFonts w:ascii="Times New Roman" w:hAnsi="Times New Roman" w:cs="Times New Roman"/>
        </w:rPr>
        <w:t xml:space="preserve">, </w:t>
      </w:r>
      <w:r w:rsidRPr="00796A9D">
        <w:rPr>
          <w:rFonts w:ascii="Times New Roman" w:hAnsi="Times New Roman" w:cs="Times New Roman"/>
          <w:i/>
        </w:rPr>
        <w:t>La musica a Ferrara nel Rinascimento</w:t>
      </w:r>
      <w:r w:rsidRPr="00796A9D">
        <w:rPr>
          <w:rFonts w:ascii="Times New Roman" w:hAnsi="Times New Roman" w:cs="Times New Roman"/>
        </w:rPr>
        <w:t>, Bologna, il Mulino, 1987</w:t>
      </w:r>
      <w:bookmarkEnd w:id="136"/>
      <w:r w:rsidRPr="00796A9D">
        <w:rPr>
          <w:rFonts w:ascii="Times New Roman" w:hAnsi="Times New Roman" w:cs="Times New Roman"/>
        </w:rPr>
        <w:t xml:space="preserve">, pp. 186-191. La cappella di Santa Maria in Corte, centro privilegiato del cerimoniale religioso estense, aveva anche ospitato, il 20 aprile 1481, l’allestimento della prima </w:t>
      </w:r>
      <w:r w:rsidRPr="00796A9D">
        <w:rPr>
          <w:rFonts w:ascii="Times New Roman" w:hAnsi="Times New Roman" w:cs="Times New Roman"/>
          <w:i/>
        </w:rPr>
        <w:t>Passione</w:t>
      </w:r>
      <w:r w:rsidRPr="00796A9D">
        <w:rPr>
          <w:rFonts w:ascii="Times New Roman" w:hAnsi="Times New Roman" w:cs="Times New Roman"/>
        </w:rPr>
        <w:t xml:space="preserve"> ferrarese, durante le liturgie del Venerdì Santo e alla presenza del cardinale </w:t>
      </w:r>
      <w:bookmarkStart w:id="137" w:name="_Hlk535846331"/>
      <w:r w:rsidRPr="00796A9D">
        <w:rPr>
          <w:rFonts w:ascii="Times New Roman" w:hAnsi="Times New Roman" w:cs="Times New Roman"/>
        </w:rPr>
        <w:t>Ascanio Sforza</w:t>
      </w:r>
      <w:bookmarkEnd w:id="137"/>
      <w:r w:rsidRPr="00796A9D">
        <w:rPr>
          <w:rFonts w:ascii="Times New Roman" w:hAnsi="Times New Roman" w:cs="Times New Roman"/>
        </w:rPr>
        <w:t xml:space="preserve">. Per il suo impiego quale luogo teatrale rimando a </w:t>
      </w:r>
      <w:r w:rsidRPr="00796A9D">
        <w:rPr>
          <w:rFonts w:ascii="Times New Roman" w:hAnsi="Times New Roman" w:cs="Times New Roman"/>
          <w:smallCaps/>
        </w:rPr>
        <w:t>D.G. Lipani</w:t>
      </w:r>
      <w:r w:rsidRPr="00796A9D">
        <w:rPr>
          <w:rFonts w:ascii="Times New Roman" w:hAnsi="Times New Roman" w:cs="Times New Roman"/>
        </w:rPr>
        <w:t xml:space="preserve">, </w:t>
      </w:r>
      <w:r w:rsidRPr="00796A9D">
        <w:rPr>
          <w:rFonts w:ascii="Times New Roman" w:hAnsi="Times New Roman" w:cs="Times New Roman"/>
          <w:i/>
        </w:rPr>
        <w:t>Devota magnificenza. Lo spettacolo sacro a Ferrara nel secolo XV (1428-1505),</w:t>
      </w:r>
      <w:r w:rsidRPr="00796A9D">
        <w:rPr>
          <w:rFonts w:ascii="Times New Roman" w:hAnsi="Times New Roman" w:cs="Times New Roman"/>
        </w:rPr>
        <w:t xml:space="preserve"> Roma, Bulzoni, 2017, pp. 226-237. </w:t>
      </w:r>
    </w:p>
  </w:footnote>
  <w:footnote w:id="197">
    <w:p w14:paraId="6FBAA96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Mantova, ASMn, Archivio Gonzaga-Ferrara, 1234, b. 491. Parzialmente pubblicata </w:t>
      </w:r>
      <w:r w:rsidRPr="00796A9D">
        <w:rPr>
          <w:rFonts w:ascii="Times New Roman" w:hAnsi="Times New Roman" w:cs="Times New Roman"/>
          <w:i/>
        </w:rPr>
        <w:t>Ivi</w:t>
      </w:r>
      <w:r w:rsidRPr="00796A9D">
        <w:rPr>
          <w:rFonts w:ascii="Times New Roman" w:hAnsi="Times New Roman" w:cs="Times New Roman"/>
        </w:rPr>
        <w:t xml:space="preserve">, p. 243, cui si rinvia anche per la riproduzione delle xilografie alle tavole III-XI. Il letterato di corte </w:t>
      </w:r>
      <w:bookmarkStart w:id="139" w:name="_Hlk535846697"/>
      <w:r w:rsidRPr="00796A9D">
        <w:rPr>
          <w:rFonts w:ascii="Times New Roman" w:hAnsi="Times New Roman" w:cs="Times New Roman"/>
        </w:rPr>
        <w:t xml:space="preserve">Francesco Ariosti </w:t>
      </w:r>
      <w:bookmarkEnd w:id="139"/>
      <w:r w:rsidRPr="00796A9D">
        <w:rPr>
          <w:rFonts w:ascii="Times New Roman" w:hAnsi="Times New Roman" w:cs="Times New Roman"/>
        </w:rPr>
        <w:t xml:space="preserve">dedicò alle vicende inerenti la fondazione della cappella e ai cinquantatre miracoli che in essa ebbero luogo un’operetta latina dal titolo </w:t>
      </w:r>
      <w:r w:rsidRPr="00796A9D">
        <w:rPr>
          <w:rFonts w:ascii="Times New Roman" w:hAnsi="Times New Roman" w:cs="Times New Roman"/>
          <w:i/>
        </w:rPr>
        <w:t>De novi intra ducalem regiam Ferrariensium delubri origine</w:t>
      </w:r>
      <w:r w:rsidRPr="00796A9D">
        <w:rPr>
          <w:rFonts w:ascii="Times New Roman" w:hAnsi="Times New Roman" w:cs="Times New Roman"/>
        </w:rPr>
        <w:t xml:space="preserve">, offerta a Sisto IV. Vedi in merito </w:t>
      </w:r>
      <w:r w:rsidRPr="00796A9D">
        <w:rPr>
          <w:rFonts w:ascii="Times New Roman" w:hAnsi="Times New Roman" w:cs="Times New Roman"/>
          <w:smallCaps/>
        </w:rPr>
        <w:t>M. Quattrucci</w:t>
      </w:r>
      <w:r w:rsidRPr="00796A9D">
        <w:rPr>
          <w:rFonts w:ascii="Times New Roman" w:hAnsi="Times New Roman" w:cs="Times New Roman"/>
        </w:rPr>
        <w:t xml:space="preserve">, s.v. </w:t>
      </w:r>
      <w:r w:rsidRPr="00796A9D">
        <w:rPr>
          <w:rFonts w:ascii="Times New Roman" w:hAnsi="Times New Roman" w:cs="Times New Roman"/>
          <w:i/>
        </w:rPr>
        <w:t>Ariosti, Francesco</w:t>
      </w:r>
      <w:r w:rsidRPr="00796A9D">
        <w:rPr>
          <w:rFonts w:ascii="Times New Roman" w:hAnsi="Times New Roman" w:cs="Times New Roman"/>
        </w:rPr>
        <w:t>, DBI, 1962, vol. IV, pp. 169-171.</w:t>
      </w:r>
    </w:p>
  </w:footnote>
  <w:footnote w:id="198">
    <w:p w14:paraId="67023CD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padre, Paolo de Micheli, era stato segretario-copista della cancelleria gonzaghesca. Cfr. </w:t>
      </w:r>
      <w:bookmarkStart w:id="141" w:name="_Hlk522799893"/>
      <w:r w:rsidRPr="00796A9D">
        <w:rPr>
          <w:rFonts w:ascii="Times New Roman" w:hAnsi="Times New Roman" w:cs="Times New Roman"/>
          <w:smallCaps/>
        </w:rPr>
        <w:t>D. Fattori</w:t>
      </w:r>
      <w:r w:rsidRPr="00796A9D">
        <w:rPr>
          <w:rFonts w:ascii="Times New Roman" w:hAnsi="Times New Roman" w:cs="Times New Roman"/>
        </w:rPr>
        <w:t xml:space="preserve">, </w:t>
      </w:r>
      <w:r w:rsidRPr="00796A9D">
        <w:rPr>
          <w:rFonts w:ascii="Times New Roman" w:hAnsi="Times New Roman" w:cs="Times New Roman"/>
          <w:i/>
        </w:rPr>
        <w:t>La prima tipografia mantovana</w:t>
      </w:r>
      <w:r w:rsidRPr="00796A9D">
        <w:rPr>
          <w:rFonts w:ascii="Times New Roman" w:hAnsi="Times New Roman" w:cs="Times New Roman"/>
        </w:rPr>
        <w:t>, «La Bibliofilia», CVII, 2005, pp. 105-114</w:t>
      </w:r>
      <w:bookmarkEnd w:id="141"/>
      <w:r w:rsidRPr="00796A9D">
        <w:rPr>
          <w:rFonts w:ascii="Times New Roman" w:hAnsi="Times New Roman" w:cs="Times New Roman"/>
        </w:rPr>
        <w:t xml:space="preserve">, che propende però per assegnare il primato nella stampa mantovana alla società contratta, nel dicembre del 1475, dagli artigiani tedeschi </w:t>
      </w:r>
      <w:bookmarkStart w:id="142" w:name="_Hlk535846827"/>
      <w:r w:rsidRPr="00796A9D">
        <w:rPr>
          <w:rFonts w:ascii="Times New Roman" w:hAnsi="Times New Roman" w:cs="Times New Roman"/>
        </w:rPr>
        <w:t xml:space="preserve">Thomas Siebenburg </w:t>
      </w:r>
      <w:bookmarkEnd w:id="142"/>
      <w:r w:rsidRPr="00796A9D">
        <w:rPr>
          <w:rFonts w:ascii="Times New Roman" w:hAnsi="Times New Roman" w:cs="Times New Roman"/>
        </w:rPr>
        <w:t xml:space="preserve">e </w:t>
      </w:r>
      <w:bookmarkStart w:id="143" w:name="_Hlk535846862"/>
      <w:r w:rsidRPr="00796A9D">
        <w:rPr>
          <w:rFonts w:ascii="Times New Roman" w:hAnsi="Times New Roman" w:cs="Times New Roman"/>
        </w:rPr>
        <w:t xml:space="preserve">Johann Vurster </w:t>
      </w:r>
      <w:bookmarkEnd w:id="143"/>
      <w:r w:rsidRPr="00796A9D">
        <w:rPr>
          <w:rFonts w:ascii="Times New Roman" w:hAnsi="Times New Roman" w:cs="Times New Roman"/>
        </w:rPr>
        <w:t xml:space="preserve">con il carmelitano Ludovico Ghezzi da Cremona, che ebbe come esito l’impressione del </w:t>
      </w:r>
      <w:r w:rsidRPr="00796A9D">
        <w:rPr>
          <w:rFonts w:ascii="Times New Roman" w:hAnsi="Times New Roman" w:cs="Times New Roman"/>
          <w:i/>
        </w:rPr>
        <w:t>Conciliator</w:t>
      </w:r>
      <w:r w:rsidRPr="00796A9D">
        <w:rPr>
          <w:rFonts w:ascii="Times New Roman" w:hAnsi="Times New Roman" w:cs="Times New Roman"/>
        </w:rPr>
        <w:t xml:space="preserve"> di Pietro d’Abano datato 1472 (IGI 7596, BMC VII 792). Senza entrare nel merito della questione, mi limito qui a segnalare con l’autrice come anche Ghezzi fosse uomo di fiducia dei Gonzaga, inviato nel 1471 quale osservatore a Ferrara, all’epoca della malattia di Borso d’Este, e nel 1479 a Venezia.</w:t>
      </w:r>
    </w:p>
  </w:footnote>
  <w:footnote w:id="199">
    <w:p w14:paraId="5BE515B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IGI 1761; BMC VII, 927. L’edizione è </w:t>
      </w:r>
      <w:r w:rsidRPr="00796A9D">
        <w:rPr>
          <w:rFonts w:ascii="Times New Roman" w:hAnsi="Times New Roman" w:cs="Times New Roman"/>
          <w:i/>
        </w:rPr>
        <w:t>sine notis</w:t>
      </w:r>
      <w:r w:rsidRPr="00796A9D">
        <w:rPr>
          <w:rFonts w:ascii="Times New Roman" w:hAnsi="Times New Roman" w:cs="Times New Roman"/>
        </w:rPr>
        <w:t xml:space="preserve"> ed è stata ricondotta ai torchi di de Micheli in società con Paul Butzbach e Georg d’Augusta da BMC sulla base delle filigrane presenti sulle carte dell’incunabolo e dei rapporti tra la stamperia e la corte dei Gonzaga. La discendenza del suo testo dal codice della biblioteca marchesana, oggi perduto, è ipotizzata in </w:t>
      </w:r>
      <w:bookmarkStart w:id="148" w:name="_Hlk522799956"/>
      <w:r w:rsidRPr="00796A9D">
        <w:rPr>
          <w:rFonts w:ascii="Times New Roman" w:hAnsi="Times New Roman" w:cs="Times New Roman"/>
        </w:rPr>
        <w:t xml:space="preserve">B. </w:t>
      </w:r>
      <w:r w:rsidRPr="00796A9D">
        <w:rPr>
          <w:rFonts w:ascii="Times New Roman" w:hAnsi="Times New Roman" w:cs="Times New Roman"/>
          <w:smallCaps/>
        </w:rPr>
        <w:t>Flavio</w:t>
      </w:r>
      <w:r w:rsidRPr="00796A9D">
        <w:rPr>
          <w:rFonts w:ascii="Times New Roman" w:hAnsi="Times New Roman" w:cs="Times New Roman"/>
        </w:rPr>
        <w:t xml:space="preserve">, </w:t>
      </w:r>
      <w:r w:rsidRPr="00796A9D">
        <w:rPr>
          <w:rFonts w:ascii="Times New Roman" w:hAnsi="Times New Roman" w:cs="Times New Roman"/>
          <w:i/>
        </w:rPr>
        <w:t>Rome in Triumph</w:t>
      </w:r>
      <w:r w:rsidRPr="00796A9D">
        <w:rPr>
          <w:rFonts w:ascii="Times New Roman" w:hAnsi="Times New Roman" w:cs="Times New Roman"/>
        </w:rPr>
        <w:t xml:space="preserve">, edited by </w:t>
      </w:r>
      <w:r w:rsidRPr="00796A9D">
        <w:rPr>
          <w:rFonts w:ascii="Times New Roman" w:hAnsi="Times New Roman" w:cs="Times New Roman"/>
          <w:smallCaps/>
        </w:rPr>
        <w:t>M.A. Picelli</w:t>
      </w:r>
      <w:r w:rsidRPr="00796A9D">
        <w:rPr>
          <w:rFonts w:ascii="Times New Roman" w:hAnsi="Times New Roman" w:cs="Times New Roman"/>
        </w:rPr>
        <w:t>, Cambridge, Massachusetts, Harward University Press, 2016, vol. I</w:t>
      </w:r>
      <w:bookmarkEnd w:id="148"/>
      <w:r w:rsidRPr="00796A9D">
        <w:rPr>
          <w:rFonts w:ascii="Times New Roman" w:hAnsi="Times New Roman" w:cs="Times New Roman"/>
        </w:rPr>
        <w:t xml:space="preserve">, p. 313. </w:t>
      </w:r>
    </w:p>
  </w:footnote>
  <w:footnote w:id="200">
    <w:p w14:paraId="7E7DFE5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IGI 3762. Per Johann Schall e in generale per la storia della stampa mantovana quattrocentesca vedi </w:t>
      </w:r>
      <w:bookmarkStart w:id="151" w:name="_Hlk522800010"/>
      <w:r w:rsidRPr="00796A9D">
        <w:rPr>
          <w:rFonts w:ascii="Times New Roman" w:hAnsi="Times New Roman" w:cs="Times New Roman"/>
          <w:smallCaps/>
        </w:rPr>
        <w:t>A. Canova</w:t>
      </w:r>
      <w:r w:rsidRPr="00796A9D">
        <w:rPr>
          <w:rFonts w:ascii="Times New Roman" w:hAnsi="Times New Roman" w:cs="Times New Roman"/>
        </w:rPr>
        <w:t xml:space="preserve">, </w:t>
      </w:r>
      <w:r w:rsidRPr="00796A9D">
        <w:rPr>
          <w:rFonts w:ascii="Times New Roman" w:hAnsi="Times New Roman" w:cs="Times New Roman"/>
          <w:i/>
        </w:rPr>
        <w:t>Un taccuino per gli inizi della tipografia mantovana</w:t>
      </w:r>
      <w:r w:rsidRPr="00796A9D">
        <w:rPr>
          <w:rFonts w:ascii="Times New Roman" w:hAnsi="Times New Roman" w:cs="Times New Roman"/>
        </w:rPr>
        <w:t xml:space="preserve">, in </w:t>
      </w:r>
      <w:r w:rsidRPr="00796A9D">
        <w:rPr>
          <w:rFonts w:ascii="Times New Roman" w:hAnsi="Times New Roman" w:cs="Times New Roman"/>
          <w:i/>
        </w:rPr>
        <w:t>Tipografia a Mantova nel Quattrocento</w:t>
      </w:r>
      <w:r w:rsidRPr="00796A9D">
        <w:rPr>
          <w:rFonts w:ascii="Times New Roman" w:hAnsi="Times New Roman" w:cs="Times New Roman"/>
        </w:rPr>
        <w:t xml:space="preserve">, a cura di </w:t>
      </w:r>
      <w:r w:rsidRPr="00796A9D">
        <w:rPr>
          <w:rFonts w:ascii="Times New Roman" w:hAnsi="Times New Roman" w:cs="Times New Roman"/>
          <w:smallCaps/>
        </w:rPr>
        <w:t>Idem, P. Di Viesti</w:t>
      </w:r>
      <w:r w:rsidRPr="00796A9D">
        <w:rPr>
          <w:rFonts w:ascii="Times New Roman" w:hAnsi="Times New Roman" w:cs="Times New Roman"/>
        </w:rPr>
        <w:t xml:space="preserve">, Mantova, Publi Paolini, 2014, pp. 11-28.   </w:t>
      </w:r>
      <w:bookmarkEnd w:id="151"/>
    </w:p>
  </w:footnote>
  <w:footnote w:id="201">
    <w:p w14:paraId="4294388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testamento di Paul Butzbach e per la sua carriera di libraio e organista successiva alla chiusura della tipografia, cfr. </w:t>
      </w:r>
      <w:bookmarkStart w:id="152" w:name="_Hlk522800132"/>
      <w:r w:rsidRPr="00796A9D">
        <w:rPr>
          <w:rFonts w:ascii="Times New Roman" w:hAnsi="Times New Roman" w:cs="Times New Roman"/>
          <w:smallCaps/>
        </w:rPr>
        <w:t>A. Canova</w:t>
      </w:r>
      <w:r w:rsidRPr="00796A9D">
        <w:rPr>
          <w:rFonts w:ascii="Times New Roman" w:hAnsi="Times New Roman" w:cs="Times New Roman"/>
        </w:rPr>
        <w:t xml:space="preserve">, </w:t>
      </w:r>
      <w:r w:rsidRPr="00796A9D">
        <w:rPr>
          <w:rFonts w:ascii="Times New Roman" w:hAnsi="Times New Roman" w:cs="Times New Roman"/>
          <w:i/>
        </w:rPr>
        <w:t>Paul Butzbach organista, Andrea Torresani mercante e le letture del marchese Federico Gonzaga</w:t>
      </w:r>
      <w:r w:rsidRPr="00796A9D">
        <w:rPr>
          <w:rFonts w:ascii="Times New Roman" w:hAnsi="Times New Roman" w:cs="Times New Roman"/>
        </w:rPr>
        <w:t xml:space="preserve">, in </w:t>
      </w:r>
      <w:r w:rsidRPr="00796A9D">
        <w:rPr>
          <w:rFonts w:ascii="Times New Roman" w:hAnsi="Times New Roman" w:cs="Times New Roman"/>
          <w:i/>
        </w:rPr>
        <w:t xml:space="preserve">Mantova e il Rinascimento italiano. Studi in onore di Davis S. Chambers, </w:t>
      </w:r>
      <w:r w:rsidRPr="00796A9D">
        <w:rPr>
          <w:rFonts w:ascii="Times New Roman" w:hAnsi="Times New Roman" w:cs="Times New Roman"/>
        </w:rPr>
        <w:t xml:space="preserve">a cura di </w:t>
      </w:r>
      <w:r w:rsidRPr="00796A9D">
        <w:rPr>
          <w:rFonts w:ascii="Times New Roman" w:hAnsi="Times New Roman" w:cs="Times New Roman"/>
          <w:smallCaps/>
        </w:rPr>
        <w:t>G.</w:t>
      </w:r>
      <w:r w:rsidRPr="00796A9D">
        <w:rPr>
          <w:rFonts w:ascii="Times New Roman" w:hAnsi="Times New Roman" w:cs="Times New Roman"/>
          <w:i/>
          <w:smallCaps/>
        </w:rPr>
        <w:t xml:space="preserve"> </w:t>
      </w:r>
      <w:r w:rsidRPr="00796A9D">
        <w:rPr>
          <w:rFonts w:ascii="Times New Roman" w:hAnsi="Times New Roman" w:cs="Times New Roman"/>
          <w:smallCaps/>
        </w:rPr>
        <w:t>Rebecchini</w:t>
      </w:r>
      <w:r w:rsidRPr="00796A9D">
        <w:rPr>
          <w:rFonts w:ascii="Times New Roman" w:hAnsi="Times New Roman" w:cs="Times New Roman"/>
        </w:rPr>
        <w:t>,</w:t>
      </w:r>
      <w:r w:rsidRPr="00796A9D">
        <w:rPr>
          <w:rFonts w:ascii="Times New Roman" w:hAnsi="Times New Roman" w:cs="Times New Roman"/>
          <w:smallCaps/>
        </w:rPr>
        <w:t xml:space="preserve"> P. Jackson</w:t>
      </w:r>
      <w:r w:rsidRPr="00796A9D">
        <w:rPr>
          <w:rFonts w:ascii="Times New Roman" w:hAnsi="Times New Roman" w:cs="Times New Roman"/>
        </w:rPr>
        <w:t>, Mantova, Sometti, 2011, pp. 25- 36.</w:t>
      </w:r>
      <w:bookmarkEnd w:id="152"/>
    </w:p>
  </w:footnote>
  <w:footnote w:id="202">
    <w:p w14:paraId="4B49B84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w:t>
      </w:r>
      <w:r w:rsidRPr="00796A9D">
        <w:rPr>
          <w:rFonts w:ascii="Times New Roman" w:hAnsi="Times New Roman" w:cs="Times New Roman"/>
          <w:smallCaps/>
        </w:rPr>
        <w:t>. A. Ricca</w:t>
      </w:r>
      <w:r w:rsidRPr="00796A9D">
        <w:rPr>
          <w:rFonts w:ascii="Times New Roman" w:hAnsi="Times New Roman" w:cs="Times New Roman"/>
        </w:rPr>
        <w:t xml:space="preserve">, s.v. </w:t>
      </w:r>
      <w:r w:rsidRPr="00796A9D">
        <w:rPr>
          <w:rFonts w:ascii="Times New Roman" w:hAnsi="Times New Roman" w:cs="Times New Roman"/>
          <w:i/>
        </w:rPr>
        <w:t>del Tuppo, Francesco</w:t>
      </w:r>
      <w:r w:rsidRPr="00796A9D">
        <w:rPr>
          <w:rFonts w:ascii="Times New Roman" w:hAnsi="Times New Roman" w:cs="Times New Roman"/>
        </w:rPr>
        <w:t xml:space="preserve">, in </w:t>
      </w:r>
      <w:bookmarkStart w:id="153" w:name="_Hlk522800200"/>
      <w:r w:rsidRPr="00796A9D">
        <w:rPr>
          <w:rFonts w:ascii="Times New Roman" w:hAnsi="Times New Roman" w:cs="Times New Roman"/>
          <w:i/>
        </w:rPr>
        <w:t>Dizionario degli editori, tipografi, librai itineranti in Italia tra Quattrocento e Seicento</w:t>
      </w:r>
      <w:r w:rsidRPr="00796A9D">
        <w:rPr>
          <w:rFonts w:ascii="Times New Roman" w:hAnsi="Times New Roman" w:cs="Times New Roman"/>
        </w:rPr>
        <w:t xml:space="preserve">, Pisa-Roma, Fabrizio Serra, 2013, </w:t>
      </w:r>
      <w:bookmarkEnd w:id="153"/>
      <w:r w:rsidRPr="00796A9D">
        <w:rPr>
          <w:rFonts w:ascii="Times New Roman" w:hAnsi="Times New Roman" w:cs="Times New Roman"/>
        </w:rPr>
        <w:t xml:space="preserve">pp. 855-857. </w:t>
      </w:r>
    </w:p>
  </w:footnote>
  <w:footnote w:id="203">
    <w:p w14:paraId="662EA9A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Anche il padre di Francesco, il notaio Giacomo del Tuppo, era stato funzionario regio, ai tempi di Giovanna II, e aveva sostenuto il partito aragonese contro gli angioini, meritando la protezione di Alfonso I e la conferma negli uffici al servizio della corte per sé e per i suoi figli Gaspare e Antonio. Per la biografia di Francesco e per più puntuali informazioni sul suo rapporto con la corte di Napoli rinvio a </w:t>
      </w:r>
      <w:r w:rsidRPr="00796A9D">
        <w:rPr>
          <w:rFonts w:ascii="Times New Roman" w:hAnsi="Times New Roman" w:cs="Times New Roman"/>
          <w:smallCaps/>
        </w:rPr>
        <w:t>P. Farenga</w:t>
      </w:r>
      <w:r w:rsidRPr="00796A9D">
        <w:rPr>
          <w:rFonts w:ascii="Times New Roman" w:hAnsi="Times New Roman" w:cs="Times New Roman"/>
        </w:rPr>
        <w:t xml:space="preserve">, s.v. </w:t>
      </w:r>
      <w:r w:rsidRPr="00796A9D">
        <w:rPr>
          <w:rFonts w:ascii="Times New Roman" w:hAnsi="Times New Roman" w:cs="Times New Roman"/>
          <w:i/>
        </w:rPr>
        <w:t>del Tuppo, Francesco</w:t>
      </w:r>
      <w:r w:rsidRPr="00796A9D">
        <w:rPr>
          <w:rFonts w:ascii="Times New Roman" w:hAnsi="Times New Roman" w:cs="Times New Roman"/>
        </w:rPr>
        <w:t>, DBI, 1990, vol. XXXVIII, pp. 317-321.</w:t>
      </w:r>
    </w:p>
  </w:footnote>
  <w:footnote w:id="204">
    <w:p w14:paraId="2730025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w:t>
      </w:r>
      <w:r w:rsidRPr="00796A9D">
        <w:rPr>
          <w:rFonts w:ascii="Times New Roman" w:hAnsi="Times New Roman" w:cs="Times New Roman"/>
          <w:i/>
        </w:rPr>
        <w:t>Filocolo</w:t>
      </w:r>
      <w:r w:rsidRPr="00796A9D">
        <w:rPr>
          <w:rFonts w:ascii="Times New Roman" w:hAnsi="Times New Roman" w:cs="Times New Roman"/>
        </w:rPr>
        <w:t xml:space="preserve"> GW 4466; IGI 1788 presenta quaranta xilografie di fattura molto semplice che costituiscono il primo corredo illustrativo impresso in un incunabolo italiano. Cfr. </w:t>
      </w:r>
      <w:bookmarkStart w:id="155" w:name="_Hlk522800276"/>
      <w:r w:rsidRPr="00796A9D">
        <w:rPr>
          <w:rFonts w:ascii="Times New Roman" w:hAnsi="Times New Roman" w:cs="Times New Roman"/>
        </w:rPr>
        <w:t xml:space="preserve">R. </w:t>
      </w:r>
      <w:r w:rsidRPr="00796A9D">
        <w:rPr>
          <w:rFonts w:ascii="Times New Roman" w:hAnsi="Times New Roman" w:cs="Times New Roman"/>
          <w:smallCaps/>
        </w:rPr>
        <w:t>Frattarolo</w:t>
      </w:r>
      <w:r w:rsidRPr="00796A9D">
        <w:rPr>
          <w:rFonts w:ascii="Times New Roman" w:hAnsi="Times New Roman" w:cs="Times New Roman"/>
        </w:rPr>
        <w:t xml:space="preserve">, </w:t>
      </w:r>
      <w:r w:rsidRPr="00796A9D">
        <w:rPr>
          <w:rFonts w:ascii="Times New Roman" w:hAnsi="Times New Roman" w:cs="Times New Roman"/>
          <w:i/>
        </w:rPr>
        <w:t>I primi anni della stampa a Napoli</w:t>
      </w:r>
      <w:r w:rsidRPr="00796A9D">
        <w:rPr>
          <w:rFonts w:ascii="Times New Roman" w:hAnsi="Times New Roman" w:cs="Times New Roman"/>
        </w:rPr>
        <w:t xml:space="preserve">, in </w:t>
      </w:r>
      <w:r w:rsidRPr="00796A9D">
        <w:rPr>
          <w:rFonts w:ascii="Times New Roman" w:hAnsi="Times New Roman" w:cs="Times New Roman"/>
          <w:i/>
        </w:rPr>
        <w:t>Il libro a stampa. I primordi di Napoli</w:t>
      </w:r>
      <w:r w:rsidRPr="00796A9D">
        <w:rPr>
          <w:rFonts w:ascii="Times New Roman" w:hAnsi="Times New Roman" w:cs="Times New Roman"/>
        </w:rPr>
        <w:t xml:space="preserve">, a cura di M. </w:t>
      </w:r>
      <w:r w:rsidRPr="00796A9D">
        <w:rPr>
          <w:rFonts w:ascii="Times New Roman" w:hAnsi="Times New Roman" w:cs="Times New Roman"/>
          <w:smallCaps/>
        </w:rPr>
        <w:t>Santoro,</w:t>
      </w:r>
      <w:r w:rsidRPr="00796A9D">
        <w:rPr>
          <w:rFonts w:ascii="Times New Roman" w:hAnsi="Times New Roman" w:cs="Times New Roman"/>
        </w:rPr>
        <w:t xml:space="preserve"> Napoli, Società Editrice Napoletana, 1979, pp. 221-226.</w:t>
      </w:r>
      <w:bookmarkEnd w:id="155"/>
    </w:p>
  </w:footnote>
  <w:footnote w:id="205">
    <w:p w14:paraId="77D617FE"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Tra le opere in volgare edite da del Tuppo spiccano, il </w:t>
      </w:r>
      <w:r w:rsidRPr="00796A9D">
        <w:rPr>
          <w:rFonts w:ascii="Times New Roman" w:hAnsi="Times New Roman" w:cs="Times New Roman"/>
          <w:i/>
        </w:rPr>
        <w:t>Filocolo</w:t>
      </w:r>
      <w:r w:rsidRPr="00796A9D">
        <w:rPr>
          <w:rFonts w:ascii="Times New Roman" w:hAnsi="Times New Roman" w:cs="Times New Roman"/>
        </w:rPr>
        <w:t xml:space="preserve"> e il </w:t>
      </w:r>
      <w:r w:rsidRPr="00796A9D">
        <w:rPr>
          <w:rFonts w:ascii="Times New Roman" w:hAnsi="Times New Roman" w:cs="Times New Roman"/>
          <w:i/>
        </w:rPr>
        <w:t>Teseida</w:t>
      </w:r>
      <w:r w:rsidRPr="00796A9D">
        <w:rPr>
          <w:rFonts w:ascii="Times New Roman" w:hAnsi="Times New Roman" w:cs="Times New Roman"/>
        </w:rPr>
        <w:t xml:space="preserve"> di Boccaccio, la </w:t>
      </w:r>
      <w:r w:rsidRPr="00796A9D">
        <w:rPr>
          <w:rFonts w:ascii="Times New Roman" w:hAnsi="Times New Roman" w:cs="Times New Roman"/>
          <w:i/>
        </w:rPr>
        <w:t>Cronaca di Partenope</w:t>
      </w:r>
      <w:r w:rsidRPr="00796A9D">
        <w:rPr>
          <w:rFonts w:ascii="Times New Roman" w:hAnsi="Times New Roman" w:cs="Times New Roman"/>
        </w:rPr>
        <w:t xml:space="preserve"> di Giovanni Villani, la </w:t>
      </w:r>
      <w:r w:rsidRPr="00796A9D">
        <w:rPr>
          <w:rFonts w:ascii="Times New Roman" w:hAnsi="Times New Roman" w:cs="Times New Roman"/>
          <w:i/>
        </w:rPr>
        <w:t>Commedia</w:t>
      </w:r>
      <w:r w:rsidRPr="00796A9D">
        <w:rPr>
          <w:rFonts w:ascii="Times New Roman" w:hAnsi="Times New Roman" w:cs="Times New Roman"/>
        </w:rPr>
        <w:t xml:space="preserve"> di Dante. Dai suoi torchi uscì circa il 30% dei titoli di letteratura volgare apparsi a Napoli nell’età degli incunaboli, destinati presumibilmente ad un pubblico di estrazione borghese. </w:t>
      </w:r>
      <w:r w:rsidRPr="00796A9D">
        <w:rPr>
          <w:rFonts w:ascii="Times New Roman" w:hAnsi="Times New Roman" w:cs="Times New Roman"/>
          <w:lang w:val="en-US"/>
        </w:rPr>
        <w:t xml:space="preserve">Cfr. </w:t>
      </w:r>
      <w:bookmarkStart w:id="157" w:name="_Hlk522800345"/>
      <w:r w:rsidRPr="00796A9D">
        <w:rPr>
          <w:rFonts w:ascii="Times New Roman" w:hAnsi="Times New Roman" w:cs="Times New Roman"/>
          <w:lang w:val="en-US"/>
        </w:rPr>
        <w:t xml:space="preserve">R. </w:t>
      </w:r>
      <w:r w:rsidRPr="00796A9D">
        <w:rPr>
          <w:rFonts w:ascii="Times New Roman" w:hAnsi="Times New Roman" w:cs="Times New Roman"/>
          <w:smallCaps/>
          <w:lang w:val="en-US"/>
        </w:rPr>
        <w:t>Daniels</w:t>
      </w:r>
      <w:r w:rsidRPr="00796A9D">
        <w:rPr>
          <w:rFonts w:ascii="Times New Roman" w:hAnsi="Times New Roman" w:cs="Times New Roman"/>
          <w:lang w:val="en-US"/>
        </w:rPr>
        <w:t xml:space="preserve">, </w:t>
      </w:r>
      <w:r w:rsidRPr="00796A9D">
        <w:rPr>
          <w:rFonts w:ascii="Times New Roman" w:hAnsi="Times New Roman" w:cs="Times New Roman"/>
          <w:i/>
          <w:lang w:val="en-US"/>
        </w:rPr>
        <w:t>Boccaccio and the Book: Production and Reading in Italy 1340-1520</w:t>
      </w:r>
      <w:r w:rsidRPr="00796A9D">
        <w:rPr>
          <w:rFonts w:ascii="Times New Roman" w:hAnsi="Times New Roman" w:cs="Times New Roman"/>
          <w:lang w:val="en-US"/>
        </w:rPr>
        <w:t>, Abingdon, Legenda, 2009</w:t>
      </w:r>
      <w:bookmarkEnd w:id="157"/>
      <w:r w:rsidRPr="00796A9D">
        <w:rPr>
          <w:rFonts w:ascii="Times New Roman" w:hAnsi="Times New Roman" w:cs="Times New Roman"/>
          <w:lang w:val="en-US"/>
        </w:rPr>
        <w:t xml:space="preserve">, pp. 65-68. </w:t>
      </w:r>
    </w:p>
  </w:footnote>
  <w:footnote w:id="206">
    <w:p w14:paraId="6B63766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IGI 8072; BMC VI, 871.</w:t>
      </w:r>
    </w:p>
  </w:footnote>
  <w:footnote w:id="207">
    <w:p w14:paraId="61C2A62F" w14:textId="77777777" w:rsidR="00CF5CFB" w:rsidRPr="00796A9D" w:rsidRDefault="00CF5CFB" w:rsidP="00796A9D">
      <w:pPr>
        <w:pStyle w:val="Testonotaapidipagina"/>
        <w:jc w:val="both"/>
        <w:rPr>
          <w:rFonts w:ascii="Times New Roman" w:hAnsi="Times New Roman" w:cs="Times New Roman"/>
          <w:color w:val="FF0000"/>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Style w:val="ample-display-content"/>
          <w:rFonts w:ascii="Times New Roman" w:hAnsi="Times New Roman" w:cs="Times New Roman"/>
          <w:i/>
        </w:rPr>
        <w:t xml:space="preserve">Processo contro Antonello Petrucci, </w:t>
      </w:r>
      <w:r w:rsidRPr="00796A9D">
        <w:rPr>
          <w:rStyle w:val="ample-display-content"/>
          <w:rFonts w:ascii="Times New Roman" w:hAnsi="Times New Roman" w:cs="Times New Roman"/>
        </w:rPr>
        <w:t xml:space="preserve">c. [47v.]. </w:t>
      </w:r>
    </w:p>
  </w:footnote>
  <w:footnote w:id="208">
    <w:p w14:paraId="036E45A6"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 tesi è esposta in </w:t>
      </w:r>
      <w:bookmarkStart w:id="159" w:name="_Hlk522800405"/>
      <w:r w:rsidRPr="00796A9D">
        <w:rPr>
          <w:rFonts w:ascii="Times New Roman" w:hAnsi="Times New Roman" w:cs="Times New Roman"/>
          <w:sz w:val="20"/>
          <w:szCs w:val="20"/>
        </w:rPr>
        <w:t xml:space="preserve">M. </w:t>
      </w:r>
      <w:r w:rsidRPr="00796A9D">
        <w:rPr>
          <w:rFonts w:ascii="Times New Roman" w:hAnsi="Times New Roman" w:cs="Times New Roman"/>
          <w:smallCaps/>
          <w:sz w:val="20"/>
          <w:szCs w:val="20"/>
        </w:rPr>
        <w:t>Santoro</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La stampa a Napoli nel Quattrocento</w:t>
      </w:r>
      <w:r w:rsidRPr="00796A9D">
        <w:rPr>
          <w:rFonts w:ascii="Times New Roman" w:hAnsi="Times New Roman" w:cs="Times New Roman"/>
          <w:sz w:val="20"/>
          <w:szCs w:val="20"/>
        </w:rPr>
        <w:t>, Napoli, Istituto Nazionale di Studi sul Rinascimento Meridionale, 1984</w:t>
      </w:r>
      <w:bookmarkEnd w:id="159"/>
      <w:r w:rsidRPr="00796A9D">
        <w:rPr>
          <w:rFonts w:ascii="Times New Roman" w:hAnsi="Times New Roman" w:cs="Times New Roman"/>
          <w:sz w:val="20"/>
          <w:szCs w:val="20"/>
        </w:rPr>
        <w:t xml:space="preserve">, pp. 40-43. Per un inquadramento generale del fenomeno della stampa a Napoli nel Quattrocento si veda </w:t>
      </w:r>
      <w:bookmarkStart w:id="160" w:name="_Hlk487806549"/>
      <w:bookmarkStart w:id="161" w:name="_Hlk522800458"/>
      <w:r w:rsidRPr="00796A9D">
        <w:rPr>
          <w:rFonts w:ascii="Times New Roman" w:hAnsi="Times New Roman" w:cs="Times New Roman"/>
          <w:sz w:val="20"/>
          <w:szCs w:val="20"/>
        </w:rPr>
        <w:t xml:space="preserve">anche G. </w:t>
      </w:r>
      <w:r w:rsidRPr="00796A9D">
        <w:rPr>
          <w:rFonts w:ascii="Times New Roman" w:hAnsi="Times New Roman" w:cs="Times New Roman"/>
          <w:smallCaps/>
          <w:sz w:val="20"/>
          <w:szCs w:val="20"/>
        </w:rPr>
        <w:t>Macchiavelli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Dizionario dei librai di Napoli nel Rinascimento</w:t>
      </w:r>
      <w:r w:rsidRPr="00796A9D">
        <w:rPr>
          <w:rFonts w:ascii="Times New Roman" w:hAnsi="Times New Roman" w:cs="Times New Roman"/>
          <w:sz w:val="20"/>
          <w:szCs w:val="20"/>
        </w:rPr>
        <w:t xml:space="preserve">, Napoli, M. D’Auria, 2012. </w:t>
      </w:r>
      <w:bookmarkEnd w:id="160"/>
    </w:p>
    <w:bookmarkEnd w:id="161"/>
  </w:footnote>
  <w:footnote w:id="209">
    <w:p w14:paraId="3872AC5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tratta rispettivamente delle edizioni registrate in IGI VI 4527-A; IGI 9266; GW 5839. Sull’attività in Italia di Enrico da Colonia, formatosi presumibilmente a Venezia alla bottega di Giovanni da Colonia, cfr. </w:t>
      </w:r>
      <w:r w:rsidRPr="00796A9D">
        <w:rPr>
          <w:rFonts w:ascii="Times New Roman" w:hAnsi="Times New Roman" w:cs="Times New Roman"/>
          <w:smallCaps/>
        </w:rPr>
        <w:t>R. Marcatilli</w:t>
      </w:r>
      <w:r w:rsidRPr="00796A9D">
        <w:rPr>
          <w:rFonts w:ascii="Times New Roman" w:hAnsi="Times New Roman" w:cs="Times New Roman"/>
        </w:rPr>
        <w:t xml:space="preserve">, s.v. </w:t>
      </w:r>
      <w:r w:rsidRPr="00796A9D">
        <w:rPr>
          <w:rFonts w:ascii="Times New Roman" w:hAnsi="Times New Roman" w:cs="Times New Roman"/>
          <w:i/>
        </w:rPr>
        <w:t>Von Köln Heinrich</w:t>
      </w:r>
      <w:r w:rsidRPr="00796A9D">
        <w:rPr>
          <w:rFonts w:ascii="Times New Roman" w:hAnsi="Times New Roman" w:cs="Times New Roman"/>
        </w:rPr>
        <w:t xml:space="preserve">, in </w:t>
      </w:r>
      <w:r w:rsidRPr="00796A9D">
        <w:rPr>
          <w:rFonts w:ascii="Times New Roman" w:hAnsi="Times New Roman" w:cs="Times New Roman"/>
          <w:i/>
        </w:rPr>
        <w:t>Dizionario degli editori, tipografi, librai itineranti in Italia tra Quattrocento e Seicento</w:t>
      </w:r>
      <w:r w:rsidRPr="00796A9D">
        <w:rPr>
          <w:rFonts w:ascii="Times New Roman" w:hAnsi="Times New Roman" w:cs="Times New Roman"/>
        </w:rPr>
        <w:t xml:space="preserve">, cit., pp. 558-560; più in generale sugli esordi della tipografia a Urbino: </w:t>
      </w:r>
      <w:bookmarkStart w:id="164" w:name="_Hlk522800522"/>
      <w:r w:rsidRPr="00796A9D">
        <w:rPr>
          <w:rFonts w:ascii="Times New Roman" w:hAnsi="Times New Roman" w:cs="Times New Roman"/>
        </w:rPr>
        <w:t xml:space="preserve">L. </w:t>
      </w:r>
      <w:r w:rsidRPr="00796A9D">
        <w:rPr>
          <w:rFonts w:ascii="Times New Roman" w:hAnsi="Times New Roman" w:cs="Times New Roman"/>
          <w:smallCaps/>
        </w:rPr>
        <w:t>Moranti</w:t>
      </w:r>
      <w:r w:rsidRPr="00796A9D">
        <w:rPr>
          <w:rFonts w:ascii="Times New Roman" w:hAnsi="Times New Roman" w:cs="Times New Roman"/>
        </w:rPr>
        <w:t xml:space="preserve">, </w:t>
      </w:r>
      <w:r w:rsidRPr="00796A9D">
        <w:rPr>
          <w:rFonts w:ascii="Times New Roman" w:hAnsi="Times New Roman" w:cs="Times New Roman"/>
          <w:i/>
        </w:rPr>
        <w:t>L’arte tipografica in Urbino (1493-1800)</w:t>
      </w:r>
      <w:r w:rsidRPr="00796A9D">
        <w:rPr>
          <w:rFonts w:ascii="Times New Roman" w:hAnsi="Times New Roman" w:cs="Times New Roman"/>
        </w:rPr>
        <w:t>, Firenze, Olschki, 1967</w:t>
      </w:r>
      <w:bookmarkEnd w:id="164"/>
      <w:r w:rsidRPr="00796A9D">
        <w:rPr>
          <w:rFonts w:ascii="Times New Roman" w:hAnsi="Times New Roman" w:cs="Times New Roman"/>
        </w:rPr>
        <w:t xml:space="preserve">, pp. 1-10. </w:t>
      </w:r>
    </w:p>
  </w:footnote>
  <w:footnote w:id="210">
    <w:p w14:paraId="224AB14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distinzione tra questi due ordini di fattori interni ed esterni che agirono sulla formazione delle raccolte librarie principesche è proposta in </w:t>
      </w:r>
      <w:bookmarkStart w:id="166" w:name="_Hlk522800711"/>
      <w:r w:rsidRPr="00796A9D">
        <w:rPr>
          <w:rFonts w:ascii="Times New Roman" w:hAnsi="Times New Roman" w:cs="Times New Roman"/>
          <w:smallCaps/>
        </w:rPr>
        <w:t>M. Peruzzi</w:t>
      </w:r>
      <w:r w:rsidRPr="00796A9D">
        <w:rPr>
          <w:rFonts w:ascii="Times New Roman" w:hAnsi="Times New Roman" w:cs="Times New Roman"/>
        </w:rPr>
        <w:t xml:space="preserve">, </w:t>
      </w:r>
      <w:r w:rsidRPr="00796A9D">
        <w:rPr>
          <w:rFonts w:ascii="Times New Roman" w:hAnsi="Times New Roman" w:cs="Times New Roman"/>
          <w:i/>
        </w:rPr>
        <w:t>Biblioteche e politica nel Quattrocento. Alcune considerazioni</w:t>
      </w:r>
      <w:r w:rsidRPr="00796A9D">
        <w:rPr>
          <w:rFonts w:ascii="Times New Roman" w:hAnsi="Times New Roman" w:cs="Times New Roman"/>
        </w:rPr>
        <w:t xml:space="preserve">, «Culture del testo e del documento», 29, maggio-agosto 2009, pp. 15-46. </w:t>
      </w:r>
      <w:bookmarkEnd w:id="166"/>
    </w:p>
  </w:footnote>
  <w:footnote w:id="211">
    <w:p w14:paraId="267F5CD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167" w:name="_Hlk522800790"/>
      <w:r w:rsidRPr="00796A9D">
        <w:rPr>
          <w:rFonts w:ascii="Times New Roman" w:hAnsi="Times New Roman" w:cs="Times New Roman"/>
          <w:smallCaps/>
        </w:rPr>
        <w:t>R. D’Alos</w:t>
      </w:r>
      <w:r w:rsidRPr="00796A9D">
        <w:rPr>
          <w:rFonts w:ascii="Times New Roman" w:hAnsi="Times New Roman" w:cs="Times New Roman"/>
        </w:rPr>
        <w:t xml:space="preserve">, </w:t>
      </w:r>
      <w:r w:rsidRPr="00796A9D">
        <w:rPr>
          <w:rFonts w:ascii="Times New Roman" w:hAnsi="Times New Roman" w:cs="Times New Roman"/>
          <w:i/>
        </w:rPr>
        <w:t>Documenti per la storia della biblioteca di Alfonso il Magnanimo</w:t>
      </w:r>
      <w:r w:rsidRPr="00796A9D">
        <w:rPr>
          <w:rFonts w:ascii="Times New Roman" w:hAnsi="Times New Roman" w:cs="Times New Roman"/>
        </w:rPr>
        <w:t xml:space="preserve">, in </w:t>
      </w:r>
      <w:r w:rsidRPr="00796A9D">
        <w:rPr>
          <w:rFonts w:ascii="Times New Roman" w:hAnsi="Times New Roman" w:cs="Times New Roman"/>
          <w:i/>
        </w:rPr>
        <w:t>Miscellanea Francesco Ehrle</w:t>
      </w:r>
      <w:r w:rsidRPr="00796A9D">
        <w:rPr>
          <w:rFonts w:ascii="Times New Roman" w:hAnsi="Times New Roman" w:cs="Times New Roman"/>
        </w:rPr>
        <w:t>, Roma, Biblioteca Apostolica Vaticana, 1924, vol. IV, pp. 394-406.</w:t>
      </w:r>
      <w:bookmarkEnd w:id="167"/>
    </w:p>
  </w:footnote>
  <w:footnote w:id="212">
    <w:p w14:paraId="7F1A57F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Nell’aprile del 1453 Federico III soggiornò a Napoli e vi celebrò le sue nozze con Eleonora del Portogallo. La descrizione più puntuale della caccia e dei festeggiamenti offerti dal re per tale evento si </w:t>
      </w:r>
      <w:r>
        <w:rPr>
          <w:rFonts w:ascii="Times New Roman" w:hAnsi="Times New Roman" w:cs="Times New Roman"/>
        </w:rPr>
        <w:t>legge nei</w:t>
      </w:r>
      <w:r w:rsidRPr="00796A9D">
        <w:rPr>
          <w:rFonts w:ascii="Times New Roman" w:hAnsi="Times New Roman" w:cs="Times New Roman"/>
        </w:rPr>
        <w:t xml:space="preserve"> </w:t>
      </w:r>
      <w:r w:rsidRPr="00796A9D">
        <w:rPr>
          <w:rFonts w:ascii="Times New Roman" w:hAnsi="Times New Roman" w:cs="Times New Roman"/>
          <w:i/>
        </w:rPr>
        <w:t>Rerum gestarum Alfonsi regis libri</w:t>
      </w:r>
      <w:r w:rsidRPr="00796A9D">
        <w:rPr>
          <w:rFonts w:ascii="Times New Roman" w:hAnsi="Times New Roman" w:cs="Times New Roman"/>
        </w:rPr>
        <w:t xml:space="preserve"> di Bartolomeo Facio. Essa previde una parata di ricchi tendaggi fiamminghi nell’area delle paludi degli Astroni, ove vennero serviti banchetti di carni pregiate e furono montati palchi e gradinate da cui assistere alle battute capeggiate da Ferrante, dal Magnanimo e dall’Imperatore. L’immaginario cortese della caccia esercitava dunque un forte fascino alla corte di Alfonso. Vedi in proposito </w:t>
      </w:r>
      <w:bookmarkStart w:id="168" w:name="_Hlk522800834"/>
      <w:r w:rsidRPr="00796A9D">
        <w:rPr>
          <w:rFonts w:ascii="Times New Roman" w:hAnsi="Times New Roman" w:cs="Times New Roman"/>
          <w:smallCaps/>
        </w:rPr>
        <w:t>C.A. Addesso</w:t>
      </w:r>
      <w:r w:rsidRPr="00796A9D">
        <w:rPr>
          <w:rFonts w:ascii="Times New Roman" w:hAnsi="Times New Roman" w:cs="Times New Roman"/>
        </w:rPr>
        <w:t xml:space="preserve">, </w:t>
      </w:r>
      <w:r w:rsidRPr="00796A9D">
        <w:rPr>
          <w:rFonts w:ascii="Times New Roman" w:hAnsi="Times New Roman" w:cs="Times New Roman"/>
          <w:i/>
        </w:rPr>
        <w:t>Teatro e festività nella Napoli Aragonese</w:t>
      </w:r>
      <w:r w:rsidRPr="00796A9D">
        <w:rPr>
          <w:rFonts w:ascii="Times New Roman" w:hAnsi="Times New Roman" w:cs="Times New Roman"/>
        </w:rPr>
        <w:t>, Firenze, Olschki, 2012</w:t>
      </w:r>
      <w:bookmarkEnd w:id="168"/>
      <w:r w:rsidRPr="00796A9D">
        <w:rPr>
          <w:rFonts w:ascii="Times New Roman" w:hAnsi="Times New Roman" w:cs="Times New Roman"/>
        </w:rPr>
        <w:t xml:space="preserve">, pp. 48-51. </w:t>
      </w:r>
    </w:p>
  </w:footnote>
  <w:footnote w:id="213">
    <w:p w14:paraId="30AE464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M. </w:t>
      </w:r>
      <w:r w:rsidRPr="00796A9D">
        <w:rPr>
          <w:rFonts w:ascii="Times New Roman" w:hAnsi="Times New Roman" w:cs="Times New Roman"/>
          <w:smallCaps/>
        </w:rPr>
        <w:t>Santoro</w:t>
      </w:r>
      <w:r w:rsidRPr="00796A9D">
        <w:rPr>
          <w:rFonts w:ascii="Times New Roman" w:hAnsi="Times New Roman" w:cs="Times New Roman"/>
        </w:rPr>
        <w:t xml:space="preserve">, </w:t>
      </w:r>
      <w:r w:rsidRPr="00796A9D">
        <w:rPr>
          <w:rFonts w:ascii="Times New Roman" w:hAnsi="Times New Roman" w:cs="Times New Roman"/>
          <w:i/>
        </w:rPr>
        <w:t>Stampa e cultura: il contributo aragonese</w:t>
      </w:r>
      <w:r w:rsidRPr="00796A9D">
        <w:rPr>
          <w:rFonts w:ascii="Times New Roman" w:hAnsi="Times New Roman" w:cs="Times New Roman"/>
        </w:rPr>
        <w:t xml:space="preserve">, cit., pp. 193-194. </w:t>
      </w:r>
    </w:p>
  </w:footnote>
  <w:footnote w:id="214">
    <w:p w14:paraId="28C9C7B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Gli scritti di Guarino saranno invece menzionati nell’inventario del 1495. Gli inventari del 1436 e del 1467, che seguono una partizione in lingue (latino, volgare italiano, lingue romanze) non annoverano quasi nessun testo in greco. Per osservazioni più precise sulle tematiche dei libri presenti a Ferrara nella biblioteca della torre cfr.</w:t>
      </w:r>
      <w:r w:rsidRPr="00796A9D">
        <w:rPr>
          <w:rFonts w:ascii="Times New Roman" w:hAnsi="Times New Roman" w:cs="Times New Roman"/>
          <w:smallCaps/>
        </w:rPr>
        <w:t xml:space="preserve"> Mezzetti</w:t>
      </w:r>
      <w:r w:rsidRPr="00796A9D">
        <w:rPr>
          <w:rFonts w:ascii="Times New Roman" w:hAnsi="Times New Roman" w:cs="Times New Roman"/>
        </w:rPr>
        <w:t xml:space="preserve">, </w:t>
      </w:r>
      <w:r w:rsidRPr="00796A9D">
        <w:rPr>
          <w:rFonts w:ascii="Times New Roman" w:hAnsi="Times New Roman" w:cs="Times New Roman"/>
          <w:i/>
        </w:rPr>
        <w:t>La biblioteca degli Estensi,</w:t>
      </w:r>
      <w:r w:rsidRPr="00796A9D">
        <w:rPr>
          <w:rFonts w:ascii="Times New Roman" w:hAnsi="Times New Roman" w:cs="Times New Roman"/>
        </w:rPr>
        <w:t xml:space="preserve"> cit., pp. 72-86. </w:t>
      </w:r>
    </w:p>
  </w:footnote>
  <w:footnote w:id="215">
    <w:p w14:paraId="5FFF6F6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 </w:t>
      </w:r>
      <w:r w:rsidRPr="00796A9D">
        <w:rPr>
          <w:rFonts w:ascii="Times New Roman" w:hAnsi="Times New Roman" w:cs="Times New Roman"/>
          <w:smallCaps/>
        </w:rPr>
        <w:t>Rozzo</w:t>
      </w:r>
      <w:r w:rsidRPr="00796A9D">
        <w:rPr>
          <w:rFonts w:ascii="Times New Roman" w:hAnsi="Times New Roman" w:cs="Times New Roman"/>
        </w:rPr>
        <w:t xml:space="preserve">, </w:t>
      </w:r>
      <w:r w:rsidRPr="00796A9D">
        <w:rPr>
          <w:rFonts w:ascii="Times New Roman" w:hAnsi="Times New Roman" w:cs="Times New Roman"/>
          <w:i/>
        </w:rPr>
        <w:t>La biblioteca Visconteo-sforzesca</w:t>
      </w:r>
      <w:r w:rsidRPr="00796A9D">
        <w:rPr>
          <w:rFonts w:ascii="Times New Roman" w:hAnsi="Times New Roman" w:cs="Times New Roman"/>
        </w:rPr>
        <w:t xml:space="preserve">, in </w:t>
      </w:r>
      <w:r w:rsidRPr="00796A9D">
        <w:rPr>
          <w:rFonts w:ascii="Times New Roman" w:hAnsi="Times New Roman" w:cs="Times New Roman"/>
          <w:i/>
        </w:rPr>
        <w:t>Principi e Signori</w:t>
      </w:r>
      <w:r w:rsidRPr="00796A9D">
        <w:rPr>
          <w:rFonts w:ascii="Times New Roman" w:hAnsi="Times New Roman" w:cs="Times New Roman"/>
        </w:rPr>
        <w:t>, cit., p. 19, assegna efficacemente l’aggettivo “generalista” alla raccolta.</w:t>
      </w:r>
    </w:p>
  </w:footnote>
  <w:footnote w:id="216">
    <w:p w14:paraId="6560A30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G. Gardoni</w:t>
      </w:r>
      <w:r w:rsidRPr="00796A9D">
        <w:rPr>
          <w:rFonts w:ascii="Times New Roman" w:hAnsi="Times New Roman" w:cs="Times New Roman"/>
        </w:rPr>
        <w:t xml:space="preserve">, </w:t>
      </w:r>
      <w:r w:rsidRPr="00796A9D">
        <w:rPr>
          <w:rFonts w:ascii="Times New Roman" w:hAnsi="Times New Roman" w:cs="Times New Roman"/>
          <w:i/>
        </w:rPr>
        <w:t>Libri e Uomini di corte</w:t>
      </w:r>
      <w:r w:rsidRPr="00796A9D">
        <w:rPr>
          <w:rFonts w:ascii="Times New Roman" w:hAnsi="Times New Roman" w:cs="Times New Roman"/>
        </w:rPr>
        <w:t xml:space="preserve">, cit., p. 80. </w:t>
      </w:r>
    </w:p>
  </w:footnote>
  <w:footnote w:id="217">
    <w:p w14:paraId="475BCFC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Intorno al 1440, Pisanello portò a termine la decorazione di una sola delle quattro pareti della sala, quella dedicata al torneo svoltosi presso il Château de la Marche, e lasciò le restanti tre allo stadio di sinopia. Alcuni caratteri peculiari dell’opera ne hanno accentuato lo spirito cortigiano: la costruzione di uno spazio privo di prospettiva popolato di numerose figure che si levano da uno sfondo compatto imiterebbe l’arte degli arazzi fiamminghi, mentre l’uso di inserti in pastiglia dorata sarebbe dovuto al tentativo di riprodurre le armature da parata sfoggiate nei sontuosi tornei delle corti padane. Il caso di questi affreschi attesta bene quanto il repertorio dell’immaginario arturiano fosse radicato nelle aspirazioni rappresentative della corte di Mantova. Cfr. </w:t>
      </w:r>
      <w:bookmarkStart w:id="169" w:name="_Hlk522800948"/>
      <w:r w:rsidRPr="00796A9D">
        <w:rPr>
          <w:rFonts w:ascii="Times New Roman" w:hAnsi="Times New Roman" w:cs="Times New Roman"/>
        </w:rPr>
        <w:t xml:space="preserve">M. </w:t>
      </w:r>
      <w:r w:rsidRPr="00796A9D">
        <w:rPr>
          <w:rFonts w:ascii="Times New Roman" w:hAnsi="Times New Roman" w:cs="Times New Roman"/>
          <w:smallCaps/>
        </w:rPr>
        <w:t>Tomasi</w:t>
      </w:r>
      <w:r w:rsidRPr="00796A9D">
        <w:rPr>
          <w:rFonts w:ascii="Times New Roman" w:hAnsi="Times New Roman" w:cs="Times New Roman"/>
        </w:rPr>
        <w:t xml:space="preserve">, </w:t>
      </w:r>
      <w:r w:rsidRPr="00796A9D">
        <w:rPr>
          <w:rFonts w:ascii="Times New Roman" w:hAnsi="Times New Roman" w:cs="Times New Roman"/>
          <w:i/>
        </w:rPr>
        <w:t>Pittura murale arturiana in Italia</w:t>
      </w:r>
      <w:r w:rsidRPr="00796A9D">
        <w:rPr>
          <w:rFonts w:ascii="Times New Roman" w:hAnsi="Times New Roman" w:cs="Times New Roman"/>
        </w:rPr>
        <w:t xml:space="preserve">, in </w:t>
      </w:r>
      <w:r w:rsidRPr="00796A9D">
        <w:rPr>
          <w:rFonts w:ascii="Times New Roman" w:hAnsi="Times New Roman" w:cs="Times New Roman"/>
          <w:i/>
        </w:rPr>
        <w:t>Modi e forme della fruizione della materia arturiana nell’Italia dei sec. XII-XV</w:t>
      </w:r>
      <w:r w:rsidRPr="00796A9D">
        <w:rPr>
          <w:rFonts w:ascii="Times New Roman" w:hAnsi="Times New Roman" w:cs="Times New Roman"/>
        </w:rPr>
        <w:t xml:space="preserve">, Atti del convegno (Milano, 4-5 febbraio 2005), Milano, Istituto Lombardo di Scienze e Lettere, 2006, pp. 33-66.  </w:t>
      </w:r>
      <w:bookmarkEnd w:id="169"/>
    </w:p>
  </w:footnote>
  <w:footnote w:id="218">
    <w:p w14:paraId="283F365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Luzio, R. Reiner</w:t>
      </w:r>
      <w:r w:rsidRPr="00796A9D">
        <w:rPr>
          <w:rFonts w:ascii="Times New Roman" w:hAnsi="Times New Roman" w:cs="Times New Roman"/>
        </w:rPr>
        <w:t xml:space="preserve">, </w:t>
      </w:r>
      <w:r w:rsidRPr="00796A9D">
        <w:rPr>
          <w:rFonts w:ascii="Times New Roman" w:hAnsi="Times New Roman" w:cs="Times New Roman"/>
          <w:i/>
        </w:rPr>
        <w:t>I Filelfo e l’Umanesimo alla corte dei Gonzaga</w:t>
      </w:r>
      <w:r w:rsidRPr="00796A9D">
        <w:rPr>
          <w:rFonts w:ascii="Times New Roman" w:hAnsi="Times New Roman" w:cs="Times New Roman"/>
        </w:rPr>
        <w:t xml:space="preserve">, «Giornale storico della letteratura italiana», XVI, 1890, p. 160. La lettera è datata 19 dicembre 1468. Nello stesso giorno il marchese Gonzaga scriveva a sua moglie Barbara raccomandandole di consegnare il volume in biblioteca, affinché non andasse perso come «el Curone nostro che fu prestato similmente, né mai s’è possuto rehavere». I prestiti dei testi di questo genere di letteratura tra centri principeschi furono quindi molto frequenti, proprio come avveniva per le opere dei classici. </w:t>
      </w:r>
    </w:p>
  </w:footnote>
  <w:footnote w:id="219">
    <w:p w14:paraId="1C14D67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Bracciolini prese parte, in veste di segretario apostolico di Giovanni XXIII, ai lavori del Concilio di Costanza, apertosi nel 1414. Nel 1416, negli intervalli tra le sedute conciliari, ebbe modo di visitare la biblioteca del monastero di San Gallo, ove rinvenne parte delle </w:t>
      </w:r>
      <w:r w:rsidRPr="00796A9D">
        <w:rPr>
          <w:rFonts w:ascii="Times New Roman" w:hAnsi="Times New Roman" w:cs="Times New Roman"/>
          <w:i/>
        </w:rPr>
        <w:t>Argonautiche</w:t>
      </w:r>
      <w:r w:rsidRPr="00796A9D">
        <w:rPr>
          <w:rFonts w:ascii="Times New Roman" w:hAnsi="Times New Roman" w:cs="Times New Roman"/>
        </w:rPr>
        <w:t xml:space="preserve"> di Valerio Flacco, l</w:t>
      </w:r>
      <w:r w:rsidRPr="00796A9D">
        <w:rPr>
          <w:rFonts w:ascii="Times New Roman" w:hAnsi="Times New Roman" w:cs="Times New Roman"/>
          <w:i/>
        </w:rPr>
        <w:t>’Istitutio oratoria</w:t>
      </w:r>
      <w:r w:rsidRPr="00796A9D">
        <w:rPr>
          <w:rFonts w:ascii="Times New Roman" w:hAnsi="Times New Roman" w:cs="Times New Roman"/>
        </w:rPr>
        <w:t xml:space="preserve"> di Quintiliano e nove orazioni di Cicerone. In altri monasteri ritrovò le </w:t>
      </w:r>
      <w:r w:rsidRPr="00796A9D">
        <w:rPr>
          <w:rFonts w:ascii="Times New Roman" w:hAnsi="Times New Roman" w:cs="Times New Roman"/>
          <w:i/>
        </w:rPr>
        <w:t>Silvae</w:t>
      </w:r>
      <w:r w:rsidRPr="00796A9D">
        <w:rPr>
          <w:rFonts w:ascii="Times New Roman" w:hAnsi="Times New Roman" w:cs="Times New Roman"/>
        </w:rPr>
        <w:t xml:space="preserve"> di Stazio, l’</w:t>
      </w:r>
      <w:r w:rsidRPr="00796A9D">
        <w:rPr>
          <w:rFonts w:ascii="Times New Roman" w:hAnsi="Times New Roman" w:cs="Times New Roman"/>
          <w:i/>
        </w:rPr>
        <w:t>Astronomicon</w:t>
      </w:r>
      <w:r w:rsidRPr="00796A9D">
        <w:rPr>
          <w:rFonts w:ascii="Times New Roman" w:hAnsi="Times New Roman" w:cs="Times New Roman"/>
        </w:rPr>
        <w:t xml:space="preserve"> di Manilio e il </w:t>
      </w:r>
      <w:r w:rsidRPr="00796A9D">
        <w:rPr>
          <w:rFonts w:ascii="Times New Roman" w:hAnsi="Times New Roman" w:cs="Times New Roman"/>
          <w:i/>
        </w:rPr>
        <w:t>De re rustica</w:t>
      </w:r>
      <w:r w:rsidRPr="00796A9D">
        <w:rPr>
          <w:rFonts w:ascii="Times New Roman" w:hAnsi="Times New Roman" w:cs="Times New Roman"/>
        </w:rPr>
        <w:t xml:space="preserve"> di Columella. A Fulda, nel 1417, le </w:t>
      </w:r>
      <w:r w:rsidRPr="00796A9D">
        <w:rPr>
          <w:rFonts w:ascii="Times New Roman" w:hAnsi="Times New Roman" w:cs="Times New Roman"/>
          <w:i/>
        </w:rPr>
        <w:t>Historiae</w:t>
      </w:r>
      <w:r w:rsidRPr="00796A9D">
        <w:rPr>
          <w:rFonts w:ascii="Times New Roman" w:hAnsi="Times New Roman" w:cs="Times New Roman"/>
        </w:rPr>
        <w:t xml:space="preserve"> di Marcellino e il </w:t>
      </w:r>
      <w:r w:rsidRPr="00796A9D">
        <w:rPr>
          <w:rFonts w:ascii="Times New Roman" w:hAnsi="Times New Roman" w:cs="Times New Roman"/>
          <w:i/>
        </w:rPr>
        <w:t>De rerum natura</w:t>
      </w:r>
      <w:r w:rsidRPr="00796A9D">
        <w:rPr>
          <w:rFonts w:ascii="Times New Roman" w:hAnsi="Times New Roman" w:cs="Times New Roman"/>
        </w:rPr>
        <w:t xml:space="preserve"> di Lucrezio. Fu successivamente al servizio di Eugenio IV dal 1423 al 1443, e di Niccolò V, fino al 1453. Quest’ultimo, in contatto con l’umanista negli anni del soggiorno fiorentino della curia di Eugenio IV (giugno 1434-aprile 1436; gennaio 1439-marzo 1443), fu certamente impressionato dal valore di queste scoperte, tanto da includere nel suo canone Columella, Quintiliano, e i nuovi testi di Cicerone. Sull’importanza delle scoperte di Poggio e sulla sua figura negli anni del Concilio di Firenze, cfr. </w:t>
      </w:r>
      <w:bookmarkStart w:id="170" w:name="_Hlk522801067"/>
      <w:r w:rsidRPr="00796A9D">
        <w:rPr>
          <w:rFonts w:ascii="Times New Roman" w:hAnsi="Times New Roman" w:cs="Times New Roman"/>
          <w:smallCaps/>
        </w:rPr>
        <w:t>F. Tateo</w:t>
      </w:r>
      <w:r w:rsidRPr="00796A9D">
        <w:rPr>
          <w:rFonts w:ascii="Times New Roman" w:hAnsi="Times New Roman" w:cs="Times New Roman"/>
        </w:rPr>
        <w:t xml:space="preserve">, </w:t>
      </w:r>
      <w:r w:rsidRPr="00796A9D">
        <w:rPr>
          <w:rFonts w:ascii="Times New Roman" w:hAnsi="Times New Roman" w:cs="Times New Roman"/>
          <w:i/>
        </w:rPr>
        <w:t>I centri culturali dell’Umanesimo</w:t>
      </w:r>
      <w:r w:rsidRPr="00796A9D">
        <w:rPr>
          <w:rFonts w:ascii="Times New Roman" w:hAnsi="Times New Roman" w:cs="Times New Roman"/>
        </w:rPr>
        <w:t>, Bari, Laterza, 1971</w:t>
      </w:r>
      <w:bookmarkEnd w:id="170"/>
      <w:r w:rsidRPr="00796A9D">
        <w:rPr>
          <w:rFonts w:ascii="Times New Roman" w:hAnsi="Times New Roman" w:cs="Times New Roman"/>
        </w:rPr>
        <w:t>, pp. 70-80.</w:t>
      </w:r>
    </w:p>
  </w:footnote>
  <w:footnote w:id="220">
    <w:p w14:paraId="6675514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V. da Bisticci</w:t>
      </w:r>
      <w:r w:rsidRPr="00796A9D">
        <w:rPr>
          <w:rFonts w:ascii="Times New Roman" w:hAnsi="Times New Roman" w:cs="Times New Roman"/>
        </w:rPr>
        <w:t xml:space="preserve">, </w:t>
      </w:r>
      <w:r w:rsidRPr="00796A9D">
        <w:rPr>
          <w:rFonts w:ascii="Times New Roman" w:hAnsi="Times New Roman" w:cs="Times New Roman"/>
          <w:i/>
        </w:rPr>
        <w:t>Le vite</w:t>
      </w:r>
      <w:r w:rsidRPr="00796A9D">
        <w:rPr>
          <w:rFonts w:ascii="Times New Roman" w:hAnsi="Times New Roman" w:cs="Times New Roman"/>
        </w:rPr>
        <w:t>, cit., vol. I, p. 47.</w:t>
      </w:r>
    </w:p>
  </w:footnote>
  <w:footnote w:id="221">
    <w:p w14:paraId="3DBCD349" w14:textId="353D75E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Firenze, Biblioteca Nazionale Centrale, Conventi Soppressi, J, VII, 30, ff. 180r-185v. Introdotto dalla rubrica «</w:t>
      </w:r>
      <w:r w:rsidRPr="00796A9D">
        <w:rPr>
          <w:rFonts w:ascii="Times New Roman" w:hAnsi="Times New Roman" w:cs="Times New Roman"/>
          <w:i/>
        </w:rPr>
        <w:t>Jesus. Inventarium Nicolai pape V, quod ipse composuit ad istantiam Cosme de Medicis, ut ab ipso Cosmo audivi die XII novembris 1463, ego, frater Leonardus Seruberti de Florentia, presente frate Sante de Florentia, priore Sancti Marci Florentie eiusdem ordinis</w:t>
      </w:r>
      <w:r w:rsidRPr="00796A9D">
        <w:rPr>
          <w:rFonts w:ascii="Times New Roman" w:hAnsi="Times New Roman" w:cs="Times New Roman"/>
        </w:rPr>
        <w:t xml:space="preserve">». L’edizione moderna è offerta in </w:t>
      </w:r>
      <w:r w:rsidRPr="00796A9D">
        <w:rPr>
          <w:rFonts w:ascii="Times New Roman" w:hAnsi="Times New Roman" w:cs="Times New Roman"/>
          <w:smallCaps/>
        </w:rPr>
        <w:t>A. Dressen</w:t>
      </w:r>
      <w:r w:rsidRPr="00796A9D">
        <w:rPr>
          <w:rFonts w:ascii="Times New Roman" w:hAnsi="Times New Roman" w:cs="Times New Roman"/>
        </w:rPr>
        <w:t xml:space="preserve">, </w:t>
      </w:r>
      <w:r w:rsidRPr="00796A9D">
        <w:rPr>
          <w:rFonts w:ascii="Times New Roman" w:hAnsi="Times New Roman" w:cs="Times New Roman"/>
          <w:i/>
        </w:rPr>
        <w:t>The Library of the Badia Fiesolana</w:t>
      </w:r>
      <w:r w:rsidRPr="00796A9D">
        <w:rPr>
          <w:rFonts w:ascii="Times New Roman" w:hAnsi="Times New Roman" w:cs="Times New Roman"/>
        </w:rPr>
        <w:t xml:space="preserve">, cit., pp. 147-156. Per più puntuali osservazioni riguardo alla sua stesura e al problema della destinazione dei suoi suggerimenti alla formazione di una biblioteca conventuale, segnata da esigenze diverse rispetto a quelle delle raccolte principesche, rinvio a </w:t>
      </w:r>
      <w:bookmarkStart w:id="171" w:name="_Hlk522801135"/>
      <w:r w:rsidRPr="00796A9D">
        <w:rPr>
          <w:rFonts w:ascii="Times New Roman" w:hAnsi="Times New Roman" w:cs="Times New Roman"/>
          <w:smallCaps/>
        </w:rPr>
        <w:t>M.G. Blasio, C. Lelj, G. Rosselli</w:t>
      </w:r>
      <w:r w:rsidRPr="00796A9D">
        <w:rPr>
          <w:rFonts w:ascii="Times New Roman" w:hAnsi="Times New Roman" w:cs="Times New Roman"/>
          <w:i/>
        </w:rPr>
        <w:t>, Un contributo alla lettura del canone bibliografico di Tommaso Parentuccelli</w:t>
      </w:r>
      <w:r w:rsidRPr="00796A9D">
        <w:rPr>
          <w:rFonts w:ascii="Times New Roman" w:hAnsi="Times New Roman" w:cs="Times New Roman"/>
        </w:rPr>
        <w:t xml:space="preserve">, in </w:t>
      </w:r>
      <w:r w:rsidRPr="00796A9D">
        <w:rPr>
          <w:rFonts w:ascii="Times New Roman" w:hAnsi="Times New Roman" w:cs="Times New Roman"/>
          <w:i/>
        </w:rPr>
        <w:t>Le chiavi della memoria</w:t>
      </w:r>
      <w:r w:rsidRPr="00796A9D">
        <w:rPr>
          <w:rFonts w:ascii="Times New Roman" w:hAnsi="Times New Roman" w:cs="Times New Roman"/>
        </w:rPr>
        <w:t xml:space="preserve">. Miscellanea in omaggio del I Centenario della Scuola Vaticana di Paleografia, a cura di </w:t>
      </w:r>
      <w:r w:rsidRPr="00796A9D">
        <w:rPr>
          <w:rFonts w:ascii="Times New Roman" w:hAnsi="Times New Roman" w:cs="Times New Roman"/>
          <w:smallCaps/>
        </w:rPr>
        <w:t>I. Ait</w:t>
      </w:r>
      <w:r w:rsidRPr="00796A9D">
        <w:rPr>
          <w:rFonts w:ascii="Times New Roman" w:hAnsi="Times New Roman" w:cs="Times New Roman"/>
        </w:rPr>
        <w:t xml:space="preserve">, Città del Vaticano, Biblioteca Apostolica Vaticana, 1984, pp. 125-165. </w:t>
      </w:r>
      <w:bookmarkEnd w:id="171"/>
    </w:p>
  </w:footnote>
  <w:footnote w:id="222">
    <w:p w14:paraId="100268F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172" w:name="_Hlk522801192"/>
      <w:r w:rsidRPr="00796A9D">
        <w:rPr>
          <w:rFonts w:ascii="Times New Roman" w:hAnsi="Times New Roman" w:cs="Times New Roman"/>
          <w:smallCaps/>
        </w:rPr>
        <w:t>C. Vasoli</w:t>
      </w:r>
      <w:r w:rsidRPr="00796A9D">
        <w:rPr>
          <w:rFonts w:ascii="Times New Roman" w:hAnsi="Times New Roman" w:cs="Times New Roman"/>
        </w:rPr>
        <w:t xml:space="preserve">, </w:t>
      </w:r>
      <w:r w:rsidRPr="00796A9D">
        <w:rPr>
          <w:rFonts w:ascii="Times New Roman" w:hAnsi="Times New Roman" w:cs="Times New Roman"/>
          <w:i/>
        </w:rPr>
        <w:t>La biblioteca progettata da un papa: Niccolò V e il 'suo canone'</w:t>
      </w:r>
      <w:r w:rsidRPr="00796A9D">
        <w:rPr>
          <w:rFonts w:ascii="Times New Roman" w:hAnsi="Times New Roman" w:cs="Times New Roman"/>
        </w:rPr>
        <w:t>, «Babel», 6, 2002, pp. 219-239</w:t>
      </w:r>
      <w:bookmarkEnd w:id="172"/>
      <w:r w:rsidRPr="00796A9D">
        <w:rPr>
          <w:rFonts w:ascii="Times New Roman" w:hAnsi="Times New Roman" w:cs="Times New Roman"/>
        </w:rPr>
        <w:t xml:space="preserve">, il quale avanza l’ipotesi che l’autore immaginasse che i domenicani di San Marco avrebbero saputo provvedere autonomamente ai testi giuridici loro necessari. Lo studioso riserva inoltre interessanti osservazioni sulla corrispondenza tra la Biblioteca Vaticana di Niccolò V e quanto da egli proposto nella formulazione del Canone. </w:t>
      </w:r>
    </w:p>
  </w:footnote>
  <w:footnote w:id="223">
    <w:p w14:paraId="4781B69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L’edizione critica del trattato dialogico si legge in </w:t>
      </w:r>
      <w:r w:rsidRPr="00796A9D">
        <w:rPr>
          <w:rFonts w:ascii="Times New Roman" w:hAnsi="Times New Roman" w:cs="Times New Roman"/>
          <w:smallCaps/>
        </w:rPr>
        <w:t>A.C. Decembrio</w:t>
      </w:r>
      <w:r w:rsidRPr="00796A9D">
        <w:rPr>
          <w:rFonts w:ascii="Times New Roman" w:hAnsi="Times New Roman" w:cs="Times New Roman"/>
        </w:rPr>
        <w:t xml:space="preserve">, </w:t>
      </w:r>
      <w:r w:rsidRPr="00796A9D">
        <w:rPr>
          <w:rFonts w:ascii="Times New Roman" w:hAnsi="Times New Roman" w:cs="Times New Roman"/>
          <w:i/>
        </w:rPr>
        <w:t>De politia litteraria</w:t>
      </w:r>
      <w:r w:rsidRPr="00796A9D">
        <w:rPr>
          <w:rFonts w:ascii="Times New Roman" w:hAnsi="Times New Roman" w:cs="Times New Roman"/>
        </w:rPr>
        <w:t xml:space="preserve">, herausgegeben von N. </w:t>
      </w:r>
      <w:r w:rsidRPr="00796A9D">
        <w:rPr>
          <w:rFonts w:ascii="Times New Roman" w:hAnsi="Times New Roman" w:cs="Times New Roman"/>
          <w:smallCaps/>
        </w:rPr>
        <w:t>Witten</w:t>
      </w:r>
      <w:r w:rsidRPr="00796A9D">
        <w:rPr>
          <w:rFonts w:ascii="Times New Roman" w:hAnsi="Times New Roman" w:cs="Times New Roman"/>
        </w:rPr>
        <w:t xml:space="preserve">, München-Leipzig, Saur, 2002. Da una nota di mano del Decembrio datata 1447, apposta al manoscritto Z 184 sup. della Biblioteca Ambrosiana di Milano, sappiamo che nella sua prima versione il trattato aveva tre libri ed era dedicato a Leonello d’Este. Deceduto quest’ultimo nel 1450, l’autore offrì l’opera a Pio II, cui è dedicato il codice Vat. Lat. 1784 di sua mano. L’inventario del 1495 dei libri di Borso d’Este vi conta un esemplare dell’opera. Le rarissime altre testimonianze in merito alla circolazione del dialogo nel secolo XV lasciano supporre che lo scritto avesse riscosso un modesto successo. Cfr. </w:t>
      </w:r>
      <w:r w:rsidRPr="00796A9D">
        <w:rPr>
          <w:rFonts w:ascii="Times New Roman" w:hAnsi="Times New Roman" w:cs="Times New Roman"/>
          <w:smallCaps/>
        </w:rPr>
        <w:t>D. Friggè</w:t>
      </w:r>
      <w:r w:rsidRPr="00796A9D">
        <w:rPr>
          <w:rFonts w:ascii="Times New Roman" w:hAnsi="Times New Roman" w:cs="Times New Roman"/>
        </w:rPr>
        <w:t xml:space="preserve">, </w:t>
      </w:r>
      <w:r w:rsidRPr="00796A9D">
        <w:rPr>
          <w:rFonts w:ascii="Times New Roman" w:hAnsi="Times New Roman" w:cs="Times New Roman"/>
          <w:i/>
        </w:rPr>
        <w:t>Redazioni e tradizione della Politia litteraria di Angelo Decembrio</w:t>
      </w:r>
      <w:r w:rsidRPr="00796A9D">
        <w:rPr>
          <w:rFonts w:ascii="Times New Roman" w:hAnsi="Times New Roman" w:cs="Times New Roman"/>
        </w:rPr>
        <w:t xml:space="preserve">, «Italia medievale e umanistica», XXXVII, 1994, pp. 27-56. </w:t>
      </w:r>
    </w:p>
  </w:footnote>
  <w:footnote w:id="224">
    <w:p w14:paraId="5646265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Dopo aver individuato nella </w:t>
      </w:r>
      <w:r w:rsidRPr="00796A9D">
        <w:rPr>
          <w:rFonts w:ascii="Times New Roman" w:hAnsi="Times New Roman" w:cs="Times New Roman"/>
          <w:i/>
        </w:rPr>
        <w:t>politia</w:t>
      </w:r>
      <w:r w:rsidRPr="00796A9D">
        <w:rPr>
          <w:rFonts w:ascii="Times New Roman" w:hAnsi="Times New Roman" w:cs="Times New Roman"/>
        </w:rPr>
        <w:t xml:space="preserve">, ossia nell’affinamento intellettuale, il fine della discussione, e dopo aver affrontato il tema della giusta collocazione della biblioteca nella residenza del principe, Decembrio, nel capitolo III del libro, I elogia Cicerone, maestro di virtù, Sallustio, castigatore dei vizi, e Virgilio, campione della poesia. Passa poi ai </w:t>
      </w:r>
      <w:r w:rsidRPr="00796A9D">
        <w:rPr>
          <w:rFonts w:ascii="Times New Roman" w:hAnsi="Times New Roman" w:cs="Times New Roman"/>
          <w:i/>
        </w:rPr>
        <w:t>cetera eloquentiae studia</w:t>
      </w:r>
      <w:r w:rsidRPr="00796A9D">
        <w:rPr>
          <w:rFonts w:ascii="Times New Roman" w:hAnsi="Times New Roman" w:cs="Times New Roman"/>
        </w:rPr>
        <w:t xml:space="preserve"> (capitoli IV-VIII) e infine alla lettura dei padri della Chiesa (capitolo IX). L’ultimo capitolo del libro I è dedicato al problema dell’autenticità della </w:t>
      </w:r>
      <w:r w:rsidRPr="00796A9D">
        <w:rPr>
          <w:rFonts w:ascii="Times New Roman" w:hAnsi="Times New Roman" w:cs="Times New Roman"/>
          <w:i/>
        </w:rPr>
        <w:t>Rhetorica ad Herennium.</w:t>
      </w:r>
      <w:r w:rsidRPr="00796A9D">
        <w:rPr>
          <w:rFonts w:ascii="Times New Roman" w:hAnsi="Times New Roman" w:cs="Times New Roman"/>
        </w:rPr>
        <w:t xml:space="preserve"> Per l’importanza di questo scritto nel secolo XV e per i suoi debiti nei riguardi del canone di Parentucelli, vedi </w:t>
      </w:r>
      <w:r w:rsidRPr="00796A9D">
        <w:rPr>
          <w:rFonts w:ascii="Times New Roman" w:hAnsi="Times New Roman" w:cs="Times New Roman"/>
          <w:smallCaps/>
        </w:rPr>
        <w:t>C.S. Celenza</w:t>
      </w:r>
      <w:r w:rsidRPr="00796A9D">
        <w:rPr>
          <w:rFonts w:ascii="Times New Roman" w:hAnsi="Times New Roman" w:cs="Times New Roman"/>
        </w:rPr>
        <w:t xml:space="preserve">, </w:t>
      </w:r>
      <w:r w:rsidRPr="00796A9D">
        <w:rPr>
          <w:rFonts w:ascii="Times New Roman" w:hAnsi="Times New Roman" w:cs="Times New Roman"/>
          <w:i/>
        </w:rPr>
        <w:t>Creating Canons in Fifteenth-Century Ferrara: Angelo Decembrio’s</w:t>
      </w:r>
      <w:r w:rsidRPr="00796A9D">
        <w:rPr>
          <w:rFonts w:ascii="Times New Roman" w:hAnsi="Times New Roman" w:cs="Times New Roman"/>
        </w:rPr>
        <w:t xml:space="preserve"> De Politia litteraria, </w:t>
      </w:r>
      <w:r w:rsidRPr="00796A9D">
        <w:rPr>
          <w:rFonts w:ascii="Times New Roman" w:hAnsi="Times New Roman" w:cs="Times New Roman"/>
          <w:i/>
        </w:rPr>
        <w:t xml:space="preserve">1.10, </w:t>
      </w:r>
      <w:r w:rsidRPr="00796A9D">
        <w:rPr>
          <w:rFonts w:ascii="Times New Roman" w:hAnsi="Times New Roman" w:cs="Times New Roman"/>
        </w:rPr>
        <w:t>«Renaissance Quarterly», LVII, Spring 2004, pp. 43-98.</w:t>
      </w:r>
    </w:p>
  </w:footnote>
  <w:footnote w:id="225">
    <w:p w14:paraId="5C3A3BB0" w14:textId="28E077BD"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M. Peruzzi</w:t>
      </w:r>
      <w:r w:rsidRPr="00796A9D">
        <w:rPr>
          <w:rFonts w:ascii="Times New Roman" w:hAnsi="Times New Roman" w:cs="Times New Roman"/>
        </w:rPr>
        <w:t xml:space="preserve">, </w:t>
      </w:r>
      <w:r w:rsidRPr="00796A9D">
        <w:rPr>
          <w:rFonts w:ascii="Times New Roman" w:hAnsi="Times New Roman" w:cs="Times New Roman"/>
          <w:i/>
        </w:rPr>
        <w:t>Cultura, Potere, immagine</w:t>
      </w:r>
      <w:r w:rsidRPr="00796A9D">
        <w:rPr>
          <w:rFonts w:ascii="Times New Roman" w:hAnsi="Times New Roman" w:cs="Times New Roman"/>
        </w:rPr>
        <w:t>, pp. 35-50</w:t>
      </w:r>
      <w:r w:rsidR="007276D2">
        <w:rPr>
          <w:rFonts w:ascii="Times New Roman" w:hAnsi="Times New Roman" w:cs="Times New Roman"/>
        </w:rPr>
        <w:t>,</w:t>
      </w:r>
      <w:r w:rsidRPr="00796A9D">
        <w:rPr>
          <w:rFonts w:ascii="Times New Roman" w:hAnsi="Times New Roman" w:cs="Times New Roman"/>
        </w:rPr>
        <w:t xml:space="preserve"> </w:t>
      </w:r>
      <w:r w:rsidR="007276D2">
        <w:rPr>
          <w:rFonts w:ascii="Times New Roman" w:hAnsi="Times New Roman" w:cs="Times New Roman"/>
        </w:rPr>
        <w:t>c</w:t>
      </w:r>
      <w:r w:rsidRPr="00796A9D">
        <w:rPr>
          <w:rFonts w:ascii="Times New Roman" w:hAnsi="Times New Roman" w:cs="Times New Roman"/>
        </w:rPr>
        <w:t xml:space="preserve">he identifica come caratteristico del patrimonio librario di Federico uno spiccato interesse per la medicina, che lo portò a includere nella sua biblioteca gli scritti di Frontino, Galeno, Dioscoride, Manilio e Varrone. Curiosa, inoltre, la presenza, nel risicato numero di testi volgari del Montefeltro, di ben quattro esemplari della </w:t>
      </w:r>
      <w:r w:rsidRPr="00796A9D">
        <w:rPr>
          <w:rFonts w:ascii="Times New Roman" w:hAnsi="Times New Roman" w:cs="Times New Roman"/>
          <w:i/>
        </w:rPr>
        <w:t>Commedia</w:t>
      </w:r>
      <w:r w:rsidRPr="00796A9D">
        <w:rPr>
          <w:rFonts w:ascii="Times New Roman" w:hAnsi="Times New Roman" w:cs="Times New Roman"/>
        </w:rPr>
        <w:t xml:space="preserve"> dantesca e di due copie dell’</w:t>
      </w:r>
      <w:r w:rsidRPr="00796A9D">
        <w:rPr>
          <w:rFonts w:ascii="Times New Roman" w:hAnsi="Times New Roman" w:cs="Times New Roman"/>
          <w:i/>
        </w:rPr>
        <w:t>Acerba</w:t>
      </w:r>
      <w:r w:rsidRPr="00796A9D">
        <w:rPr>
          <w:rFonts w:ascii="Times New Roman" w:hAnsi="Times New Roman" w:cs="Times New Roman"/>
        </w:rPr>
        <w:t xml:space="preserve"> di Cecco d’Ascoli.  </w:t>
      </w:r>
    </w:p>
  </w:footnote>
  <w:footnote w:id="226">
    <w:p w14:paraId="4110A57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smallCaps/>
        </w:rPr>
        <w:t>J. De Centelles</w:t>
      </w:r>
      <w:r w:rsidRPr="00796A9D">
        <w:rPr>
          <w:rFonts w:ascii="Times New Roman" w:hAnsi="Times New Roman" w:cs="Times New Roman"/>
        </w:rPr>
        <w:t xml:space="preserve">, </w:t>
      </w:r>
      <w:r w:rsidRPr="00796A9D">
        <w:rPr>
          <w:rFonts w:ascii="Times New Roman" w:hAnsi="Times New Roman" w:cs="Times New Roman"/>
          <w:i/>
        </w:rPr>
        <w:t>Dels fets e dits del gran rey Alfonso</w:t>
      </w:r>
      <w:r w:rsidRPr="00796A9D">
        <w:rPr>
          <w:rFonts w:ascii="Times New Roman" w:hAnsi="Times New Roman" w:cs="Times New Roman"/>
        </w:rPr>
        <w:t>, Barcelona, Barcino, 1990, pp. 250-252. L’opera fu dedicata da Panormita a Cosimo de’ Medici e presenta un carattere principalmente aneddotico nell’abbracciare il racconto biografico di Alfonso dalla sua chiamata in Italia, per opera della regina Giovanna II, fino al trionfo del febbraio 1443. Per il raccordo operato dall’erudito tra Alfonso e gli imperatori romani d’origine ispanica, cfr</w:t>
      </w:r>
      <w:r w:rsidRPr="00796A9D">
        <w:rPr>
          <w:rFonts w:ascii="Times New Roman" w:hAnsi="Times New Roman" w:cs="Times New Roman"/>
          <w:smallCaps/>
        </w:rPr>
        <w:t>. F. delle Donne</w:t>
      </w:r>
      <w:r w:rsidRPr="00796A9D">
        <w:rPr>
          <w:rFonts w:ascii="Times New Roman" w:hAnsi="Times New Roman" w:cs="Times New Roman"/>
        </w:rPr>
        <w:t xml:space="preserve">, </w:t>
      </w:r>
      <w:r w:rsidRPr="00796A9D">
        <w:rPr>
          <w:rFonts w:ascii="Times New Roman" w:hAnsi="Times New Roman" w:cs="Times New Roman"/>
          <w:i/>
        </w:rPr>
        <w:t>Il trionfo, l’incoronazione mancata, la celebrazione letteraria: i paradigmi della propaganda di Alfonso il Magnanimo</w:t>
      </w:r>
      <w:r w:rsidRPr="00796A9D">
        <w:rPr>
          <w:rFonts w:ascii="Times New Roman" w:hAnsi="Times New Roman" w:cs="Times New Roman"/>
        </w:rPr>
        <w:t xml:space="preserve">, «Archivio Storico Italiano», CLIX, 2011, pp. 447-476, al quale si rinvia anche per la discussione intorno all’imitazione della </w:t>
      </w:r>
      <w:r w:rsidRPr="00796A9D">
        <w:rPr>
          <w:rFonts w:ascii="Times New Roman" w:hAnsi="Times New Roman" w:cs="Times New Roman"/>
          <w:i/>
        </w:rPr>
        <w:t>clementia</w:t>
      </w:r>
      <w:r w:rsidRPr="00796A9D">
        <w:rPr>
          <w:rFonts w:ascii="Times New Roman" w:hAnsi="Times New Roman" w:cs="Times New Roman"/>
        </w:rPr>
        <w:t xml:space="preserve"> di Cesare da parte di Alfonso nella celebrazione del trionfo napoletano.</w:t>
      </w:r>
    </w:p>
  </w:footnote>
  <w:footnote w:id="227">
    <w:p w14:paraId="36A931A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173" w:name="_Hlk522801756"/>
      <w:r w:rsidRPr="00796A9D">
        <w:rPr>
          <w:rFonts w:ascii="Times New Roman" w:hAnsi="Times New Roman" w:cs="Times New Roman"/>
          <w:smallCaps/>
        </w:rPr>
        <w:t>B. Facio</w:t>
      </w:r>
      <w:r w:rsidRPr="00796A9D">
        <w:rPr>
          <w:rFonts w:ascii="Times New Roman" w:hAnsi="Times New Roman" w:cs="Times New Roman"/>
        </w:rPr>
        <w:t xml:space="preserve">, </w:t>
      </w:r>
      <w:r w:rsidRPr="00796A9D">
        <w:rPr>
          <w:rFonts w:ascii="Times New Roman" w:hAnsi="Times New Roman" w:cs="Times New Roman"/>
          <w:i/>
        </w:rPr>
        <w:t>Rerum gestarum Alphonsi regis libri</w:t>
      </w:r>
      <w:r w:rsidRPr="00796A9D">
        <w:rPr>
          <w:rFonts w:ascii="Times New Roman" w:hAnsi="Times New Roman" w:cs="Times New Roman"/>
        </w:rPr>
        <w:t xml:space="preserve">, a cura di </w:t>
      </w:r>
      <w:r w:rsidRPr="00796A9D">
        <w:rPr>
          <w:rFonts w:ascii="Times New Roman" w:hAnsi="Times New Roman" w:cs="Times New Roman"/>
          <w:smallCaps/>
        </w:rPr>
        <w:t>D. A. Pietragalla</w:t>
      </w:r>
      <w:r w:rsidRPr="00796A9D">
        <w:rPr>
          <w:rFonts w:ascii="Times New Roman" w:hAnsi="Times New Roman" w:cs="Times New Roman"/>
        </w:rPr>
        <w:t>, Alessandria, Dell’Orso, 2004</w:t>
      </w:r>
      <w:bookmarkEnd w:id="173"/>
      <w:r w:rsidRPr="00796A9D">
        <w:rPr>
          <w:rFonts w:ascii="Times New Roman" w:hAnsi="Times New Roman" w:cs="Times New Roman"/>
        </w:rPr>
        <w:t>, VII, 134, p. 310.</w:t>
      </w:r>
    </w:p>
  </w:footnote>
  <w:footnote w:id="228">
    <w:p w14:paraId="13E2C8E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bookmarkStart w:id="174" w:name="_Hlk522801795"/>
      <w:r w:rsidRPr="00796A9D">
        <w:rPr>
          <w:rFonts w:ascii="Times New Roman" w:hAnsi="Times New Roman" w:cs="Times New Roman"/>
          <w:smallCaps/>
        </w:rPr>
        <w:t>A. Panormita</w:t>
      </w:r>
      <w:r w:rsidRPr="00796A9D">
        <w:rPr>
          <w:rFonts w:ascii="Times New Roman" w:hAnsi="Times New Roman" w:cs="Times New Roman"/>
        </w:rPr>
        <w:t xml:space="preserve">, </w:t>
      </w:r>
      <w:r w:rsidRPr="00796A9D">
        <w:rPr>
          <w:rFonts w:ascii="Times New Roman" w:hAnsi="Times New Roman" w:cs="Times New Roman"/>
          <w:i/>
        </w:rPr>
        <w:t>Alphonsi regis triumphus</w:t>
      </w:r>
      <w:r w:rsidRPr="00796A9D">
        <w:rPr>
          <w:rFonts w:ascii="Times New Roman" w:hAnsi="Times New Roman" w:cs="Times New Roman"/>
        </w:rPr>
        <w:t xml:space="preserve">, in </w:t>
      </w:r>
      <w:r w:rsidRPr="00796A9D">
        <w:rPr>
          <w:rFonts w:ascii="Times New Roman" w:hAnsi="Times New Roman" w:cs="Times New Roman"/>
          <w:smallCaps/>
        </w:rPr>
        <w:t>Idem</w:t>
      </w:r>
      <w:r w:rsidRPr="00796A9D">
        <w:rPr>
          <w:rFonts w:ascii="Times New Roman" w:hAnsi="Times New Roman" w:cs="Times New Roman"/>
        </w:rPr>
        <w:t xml:space="preserve">, </w:t>
      </w:r>
      <w:r w:rsidRPr="00796A9D">
        <w:rPr>
          <w:rFonts w:ascii="Times New Roman" w:hAnsi="Times New Roman" w:cs="Times New Roman"/>
          <w:i/>
        </w:rPr>
        <w:t>De dictis et factis Alphonsi regis Aragonum libri quatuor</w:t>
      </w:r>
      <w:r w:rsidRPr="00796A9D">
        <w:rPr>
          <w:rFonts w:ascii="Times New Roman" w:hAnsi="Times New Roman" w:cs="Times New Roman"/>
        </w:rPr>
        <w:t>, J. Spiegel, Basileae, Officina Hervagiana, 1538</w:t>
      </w:r>
      <w:bookmarkEnd w:id="174"/>
      <w:r w:rsidRPr="00796A9D">
        <w:rPr>
          <w:rFonts w:ascii="Times New Roman" w:hAnsi="Times New Roman" w:cs="Times New Roman"/>
        </w:rPr>
        <w:t xml:space="preserve">, p. 231. Per la discussione di queste citazioni e per una più articolata trattazione intorno alla trasposizione letteraria del trionfo del Magnanimo vedi </w:t>
      </w:r>
      <w:bookmarkStart w:id="175" w:name="_Hlk522801932"/>
      <w:r w:rsidRPr="00796A9D">
        <w:rPr>
          <w:rFonts w:ascii="Times New Roman" w:hAnsi="Times New Roman" w:cs="Times New Roman"/>
          <w:smallCaps/>
        </w:rPr>
        <w:t>F. Delle Donne</w:t>
      </w:r>
      <w:r w:rsidRPr="00796A9D">
        <w:rPr>
          <w:rFonts w:ascii="Times New Roman" w:hAnsi="Times New Roman" w:cs="Times New Roman"/>
        </w:rPr>
        <w:t xml:space="preserve">, </w:t>
      </w:r>
      <w:r w:rsidRPr="00796A9D">
        <w:rPr>
          <w:rFonts w:ascii="Times New Roman" w:hAnsi="Times New Roman" w:cs="Times New Roman"/>
          <w:i/>
        </w:rPr>
        <w:t>Alfonso il Magnanimo e l’invenzione dell’Umanesimo monarchico. Ideologia e strategie di legittimazione alla corte aragonese di Napoli</w:t>
      </w:r>
      <w:r w:rsidRPr="00796A9D">
        <w:rPr>
          <w:rFonts w:ascii="Times New Roman" w:hAnsi="Times New Roman" w:cs="Times New Roman"/>
        </w:rPr>
        <w:t>, Roma, Istituto storico italiano per il medioevo, 2015, pp. 123-128.</w:t>
      </w:r>
      <w:bookmarkEnd w:id="175"/>
    </w:p>
  </w:footnote>
  <w:footnote w:id="229">
    <w:p w14:paraId="7E43369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indicazioni più precise sulla dedica di queste traduzioni al Magnanimo e per la possibile influenza della sua corte sulle letture giovanili di Ercole d’Este al tempo della sua residenza a Napoli, vedi </w:t>
      </w:r>
      <w:r w:rsidRPr="00796A9D">
        <w:rPr>
          <w:rFonts w:ascii="Times New Roman" w:hAnsi="Times New Roman" w:cs="Times New Roman"/>
          <w:smallCaps/>
        </w:rPr>
        <w:t>A. Tissoni Benvenuti</w:t>
      </w:r>
      <w:r w:rsidRPr="00796A9D">
        <w:rPr>
          <w:rFonts w:ascii="Times New Roman" w:hAnsi="Times New Roman" w:cs="Times New Roman"/>
        </w:rPr>
        <w:t xml:space="preserve">, </w:t>
      </w:r>
      <w:r w:rsidRPr="00796A9D">
        <w:rPr>
          <w:rFonts w:ascii="Times New Roman" w:hAnsi="Times New Roman" w:cs="Times New Roman"/>
          <w:i/>
        </w:rPr>
        <w:t>I libri di storia di Ercole d’Este</w:t>
      </w:r>
      <w:r w:rsidRPr="00796A9D">
        <w:rPr>
          <w:rFonts w:ascii="Times New Roman" w:hAnsi="Times New Roman" w:cs="Times New Roman"/>
        </w:rPr>
        <w:t xml:space="preserve">, in </w:t>
      </w:r>
      <w:r w:rsidRPr="00796A9D">
        <w:rPr>
          <w:rFonts w:ascii="Times New Roman" w:hAnsi="Times New Roman" w:cs="Times New Roman"/>
          <w:i/>
        </w:rPr>
        <w:t>Il principe e la storia</w:t>
      </w:r>
      <w:r w:rsidRPr="00796A9D">
        <w:rPr>
          <w:rFonts w:ascii="Times New Roman" w:hAnsi="Times New Roman" w:cs="Times New Roman"/>
        </w:rPr>
        <w:t>, cit., pp. 239-2.</w:t>
      </w:r>
    </w:p>
  </w:footnote>
  <w:footnote w:id="230">
    <w:p w14:paraId="739125E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Modena, Biblioteca Estense Universitaria, It. 416. Fu copiato da Matteo Contugi per ordine d</w:t>
      </w:r>
      <w:r>
        <w:rPr>
          <w:rFonts w:ascii="Times New Roman" w:hAnsi="Times New Roman" w:cs="Times New Roman"/>
        </w:rPr>
        <w:t xml:space="preserve">i </w:t>
      </w:r>
      <w:r w:rsidRPr="00796A9D">
        <w:rPr>
          <w:rFonts w:ascii="Times New Roman" w:hAnsi="Times New Roman" w:cs="Times New Roman"/>
        </w:rPr>
        <w:t xml:space="preserve">Andrea dalle Vieze e puntualmente registrato negli inventari dei libri redatti sotto il ducato di Ercole nel 1477 e nel 1495. Per la redazione del volgarizzamento di Senofonte e per l’impiego della versione di Poggio da parte del Boiardo, si veda </w:t>
      </w:r>
      <w:r w:rsidRPr="00796A9D">
        <w:rPr>
          <w:rFonts w:ascii="Times New Roman" w:hAnsi="Times New Roman" w:cs="Times New Roman"/>
          <w:smallCaps/>
        </w:rPr>
        <w:t>V. Gritti</w:t>
      </w:r>
      <w:r w:rsidRPr="00796A9D">
        <w:rPr>
          <w:rFonts w:ascii="Times New Roman" w:hAnsi="Times New Roman" w:cs="Times New Roman"/>
        </w:rPr>
        <w:t xml:space="preserve">, </w:t>
      </w:r>
      <w:r w:rsidRPr="00796A9D">
        <w:rPr>
          <w:rFonts w:ascii="Times New Roman" w:hAnsi="Times New Roman" w:cs="Times New Roman"/>
          <w:i/>
        </w:rPr>
        <w:t>Ercole d’Este come Ciro: un modello di buon governo</w:t>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pp. 99-122.</w:t>
      </w:r>
    </w:p>
  </w:footnote>
  <w:footnote w:id="231">
    <w:p w14:paraId="2268D96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D. Looney</w:t>
      </w:r>
      <w:r w:rsidRPr="00796A9D">
        <w:rPr>
          <w:rFonts w:ascii="Times New Roman" w:hAnsi="Times New Roman" w:cs="Times New Roman"/>
        </w:rPr>
        <w:t xml:space="preserve">, </w:t>
      </w:r>
      <w:r w:rsidRPr="00796A9D">
        <w:rPr>
          <w:rFonts w:ascii="Times New Roman" w:hAnsi="Times New Roman" w:cs="Times New Roman"/>
          <w:i/>
        </w:rPr>
        <w:t>Fragil arte: tradurre e governare nei volgarizzamenti boiardeschi ad Ercole I d’Este</w:t>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pp. 123-136.</w:t>
      </w:r>
    </w:p>
  </w:footnote>
  <w:footnote w:id="232">
    <w:p w14:paraId="2B6A0CD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primi quattro libri del poema furono completati entro il 1456. I successivi quattro entro il 1460. Dopo la morte del primo duca Sforza, nel 1466, l’autore rallentò di molto la stesura del testo e solo nel 1473 intraprese la composizione del IX libro che, come il X e l’XI, rimase incompleto. Tuttavia, Filelfo stesso operò per una circolazione manoscritta del poema, presumibilmente anche al fine di ricercare ulteriori committenze presso altri signori italiani. Per il metodo di lavoro del Filelfo cantore delle gesta di Francesco Sforza e per un puntuale richiamo ai brani del suo epistolario con le richieste di documentazione sui fatti descritti vedi </w:t>
      </w:r>
      <w:bookmarkStart w:id="176" w:name="_Hlk522802019"/>
      <w:r w:rsidRPr="00796A9D">
        <w:rPr>
          <w:rFonts w:ascii="Times New Roman" w:hAnsi="Times New Roman" w:cs="Times New Roman"/>
          <w:smallCaps/>
        </w:rPr>
        <w:t>J. de Keyser</w:t>
      </w:r>
      <w:r w:rsidRPr="00796A9D">
        <w:rPr>
          <w:rFonts w:ascii="Times New Roman" w:hAnsi="Times New Roman" w:cs="Times New Roman"/>
        </w:rPr>
        <w:t xml:space="preserve">, </w:t>
      </w:r>
      <w:r w:rsidRPr="00796A9D">
        <w:rPr>
          <w:rFonts w:ascii="Times New Roman" w:hAnsi="Times New Roman" w:cs="Times New Roman"/>
          <w:i/>
        </w:rPr>
        <w:t>Francesco Filelfo and Francesco Sforza</w:t>
      </w:r>
      <w:r w:rsidRPr="00796A9D">
        <w:rPr>
          <w:rFonts w:ascii="Times New Roman" w:hAnsi="Times New Roman" w:cs="Times New Roman"/>
        </w:rPr>
        <w:t xml:space="preserve">. </w:t>
      </w:r>
      <w:r w:rsidRPr="00796A9D">
        <w:rPr>
          <w:rFonts w:ascii="Times New Roman" w:hAnsi="Times New Roman" w:cs="Times New Roman"/>
          <w:i/>
          <w:lang w:val="en-US"/>
        </w:rPr>
        <w:t>Critical Edition</w:t>
      </w:r>
      <w:r w:rsidRPr="00796A9D">
        <w:rPr>
          <w:rFonts w:ascii="Times New Roman" w:hAnsi="Times New Roman" w:cs="Times New Roman"/>
          <w:lang w:val="en-US"/>
        </w:rPr>
        <w:t xml:space="preserve"> </w:t>
      </w:r>
      <w:r w:rsidRPr="00796A9D">
        <w:rPr>
          <w:rFonts w:ascii="Times New Roman" w:hAnsi="Times New Roman" w:cs="Times New Roman"/>
          <w:i/>
          <w:lang w:val="en-US"/>
        </w:rPr>
        <w:t>of Filelfo’s</w:t>
      </w:r>
      <w:r w:rsidRPr="00796A9D">
        <w:rPr>
          <w:rFonts w:ascii="Times New Roman" w:hAnsi="Times New Roman" w:cs="Times New Roman"/>
          <w:lang w:val="en-US"/>
        </w:rPr>
        <w:t xml:space="preserve"> Sphortias, De Genuensium deditione, Oratio parentalis, </w:t>
      </w:r>
      <w:r w:rsidRPr="00796A9D">
        <w:rPr>
          <w:rFonts w:ascii="Times New Roman" w:hAnsi="Times New Roman" w:cs="Times New Roman"/>
          <w:i/>
          <w:lang w:val="en-US"/>
        </w:rPr>
        <w:t>and his Polemical Exchange with Galeotto Marzio</w:t>
      </w:r>
      <w:r w:rsidRPr="00796A9D">
        <w:rPr>
          <w:rFonts w:ascii="Times New Roman" w:hAnsi="Times New Roman" w:cs="Times New Roman"/>
          <w:lang w:val="en-US"/>
        </w:rPr>
        <w:t xml:space="preserve">, Hildesheim, Zürich, New York, OLMS, 2015, pp. </w:t>
      </w:r>
      <w:r w:rsidRPr="00796A9D">
        <w:rPr>
          <w:rFonts w:ascii="Times New Roman" w:hAnsi="Times New Roman" w:cs="Times New Roman"/>
        </w:rPr>
        <w:t>XI-XIX.</w:t>
      </w:r>
      <w:bookmarkEnd w:id="176"/>
    </w:p>
  </w:footnote>
  <w:footnote w:id="233">
    <w:p w14:paraId="1E7AFFE1"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Registrato al servizio di Muzio degli Attendoli come </w:t>
      </w:r>
      <w:r w:rsidRPr="00796A9D">
        <w:rPr>
          <w:rFonts w:ascii="Times New Roman" w:hAnsi="Times New Roman" w:cs="Times New Roman"/>
          <w:i/>
        </w:rPr>
        <w:t>cancellarius</w:t>
      </w:r>
      <w:r w:rsidRPr="00796A9D">
        <w:rPr>
          <w:rFonts w:ascii="Times New Roman" w:hAnsi="Times New Roman" w:cs="Times New Roman"/>
        </w:rPr>
        <w:t xml:space="preserve"> fin dal 1423, Antonio de’ Minuti fu regolatore delle entrate ducali dal 1450. Non se ne conosce la data di morte ma si hanno notizie sulla sua presenza alla corte sforzesca fino al 1471. Fu pertanto testimone diretto degli eventi da lui annotati nel </w:t>
      </w:r>
      <w:r w:rsidRPr="00796A9D">
        <w:rPr>
          <w:rFonts w:ascii="Times New Roman" w:hAnsi="Times New Roman" w:cs="Times New Roman"/>
          <w:i/>
        </w:rPr>
        <w:t>Compendio</w:t>
      </w:r>
      <w:r w:rsidRPr="00796A9D">
        <w:rPr>
          <w:rFonts w:ascii="Times New Roman" w:hAnsi="Times New Roman" w:cs="Times New Roman"/>
        </w:rPr>
        <w:t xml:space="preserve"> e nei</w:t>
      </w:r>
      <w:r w:rsidRPr="00796A9D">
        <w:rPr>
          <w:rFonts w:ascii="Times New Roman" w:hAnsi="Times New Roman" w:cs="Times New Roman"/>
          <w:i/>
        </w:rPr>
        <w:t xml:space="preserve"> Gesti</w:t>
      </w:r>
      <w:r w:rsidRPr="00796A9D">
        <w:rPr>
          <w:rFonts w:ascii="Times New Roman" w:hAnsi="Times New Roman" w:cs="Times New Roman"/>
        </w:rPr>
        <w:t xml:space="preserve">, entrambi da considerare probabilmente come semplici annotazioni e non come testi letterari. </w:t>
      </w:r>
      <w:r w:rsidRPr="00796A9D">
        <w:rPr>
          <w:rFonts w:ascii="Times New Roman" w:hAnsi="Times New Roman" w:cs="Times New Roman"/>
          <w:lang w:val="en-US"/>
        </w:rPr>
        <w:t xml:space="preserve">Cfr. </w:t>
      </w:r>
      <w:bookmarkStart w:id="177" w:name="_Hlk522802064"/>
      <w:r w:rsidRPr="00796A9D">
        <w:rPr>
          <w:rFonts w:ascii="Times New Roman" w:hAnsi="Times New Roman" w:cs="Times New Roman"/>
          <w:smallCaps/>
          <w:lang w:val="en-US"/>
        </w:rPr>
        <w:t>G. Ianziti</w:t>
      </w:r>
      <w:r w:rsidRPr="00796A9D">
        <w:rPr>
          <w:rFonts w:ascii="Times New Roman" w:hAnsi="Times New Roman" w:cs="Times New Roman"/>
          <w:lang w:val="en-US"/>
        </w:rPr>
        <w:t xml:space="preserve">, </w:t>
      </w:r>
      <w:r w:rsidRPr="00796A9D">
        <w:rPr>
          <w:rFonts w:ascii="Times New Roman" w:hAnsi="Times New Roman" w:cs="Times New Roman"/>
          <w:i/>
          <w:lang w:val="en-US"/>
        </w:rPr>
        <w:t>Humanistic Historiography under the Sforza. Politics and Propaganda in Fifteenth-Century Milan</w:t>
      </w:r>
      <w:r w:rsidRPr="00796A9D">
        <w:rPr>
          <w:rFonts w:ascii="Times New Roman" w:hAnsi="Times New Roman" w:cs="Times New Roman"/>
          <w:lang w:val="en-US"/>
        </w:rPr>
        <w:t>, Oxford, Clarendon Press, 1988</w:t>
      </w:r>
      <w:bookmarkEnd w:id="177"/>
      <w:r w:rsidRPr="00796A9D">
        <w:rPr>
          <w:rFonts w:ascii="Times New Roman" w:hAnsi="Times New Roman" w:cs="Times New Roman"/>
          <w:lang w:val="en-US"/>
        </w:rPr>
        <w:t>, pp. 82-90.</w:t>
      </w:r>
    </w:p>
  </w:footnote>
  <w:footnote w:id="234">
    <w:p w14:paraId="6FB70C9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w:t>
      </w:r>
      <w:r w:rsidRPr="00796A9D">
        <w:rPr>
          <w:rFonts w:ascii="Times New Roman" w:hAnsi="Times New Roman" w:cs="Times New Roman"/>
          <w:i/>
        </w:rPr>
        <w:t xml:space="preserve">Series triumphorum </w:t>
      </w:r>
      <w:r w:rsidRPr="00796A9D">
        <w:rPr>
          <w:rFonts w:ascii="Times New Roman" w:hAnsi="Times New Roman" w:cs="Times New Roman"/>
        </w:rPr>
        <w:t xml:space="preserve">di Crivelli sono trasmesse da due testimoni: Milano, Biblioteca Nazionale Braidense, AC X 32; Città del Vaticano, Biblioteca Apostolica Vaticana, Chigi I V 175. Sono precedute in entrambi i manoscritti dall’orazione recitata da Crivelli a Monza il 15 marzo 1450 per l’ingresso del futuro duca Francesco. Sempre di Crivelli fu l’orazione di saluto del 26 febbraio 1450, giorno del primo ingresso dello Sforza a Milano. L’autore dimostrò dunque una certa pratica nella gestione e registrazione delle cerimonie ufficiali. Cfr. </w:t>
      </w:r>
      <w:r w:rsidRPr="00796A9D">
        <w:rPr>
          <w:rFonts w:ascii="Times New Roman" w:hAnsi="Times New Roman" w:cs="Times New Roman"/>
          <w:smallCaps/>
        </w:rPr>
        <w:t>G. Ianziti</w:t>
      </w:r>
      <w:r w:rsidRPr="00796A9D">
        <w:rPr>
          <w:rFonts w:ascii="Times New Roman" w:hAnsi="Times New Roman" w:cs="Times New Roman"/>
        </w:rPr>
        <w:t xml:space="preserve">, </w:t>
      </w:r>
      <w:r w:rsidRPr="00796A9D">
        <w:rPr>
          <w:rFonts w:ascii="Times New Roman" w:hAnsi="Times New Roman" w:cs="Times New Roman"/>
          <w:i/>
        </w:rPr>
        <w:t>Storici, mandanti, materiali nella Milano Sforzesca, 1450-1480</w:t>
      </w:r>
      <w:r w:rsidRPr="00796A9D">
        <w:rPr>
          <w:rFonts w:ascii="Times New Roman" w:hAnsi="Times New Roman" w:cs="Times New Roman"/>
        </w:rPr>
        <w:t>, cit., p. 478.</w:t>
      </w:r>
    </w:p>
  </w:footnote>
  <w:footnote w:id="235">
    <w:p w14:paraId="5C69E87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IGI 2017; GW 4952. L’incunabolo, datato 1 marzo 1492, fu impresso a spese dell’autore. Alla carta A1v riporta una </w:t>
      </w:r>
      <w:r w:rsidRPr="00796A9D">
        <w:rPr>
          <w:rFonts w:ascii="Times New Roman" w:hAnsi="Times New Roman" w:cs="Times New Roman"/>
          <w:i/>
        </w:rPr>
        <w:t>Genealogia Vicecomitum Principum Mediolani descendentium de Inuorio Ducatus Mediolani</w:t>
      </w:r>
      <w:r w:rsidRPr="00796A9D">
        <w:rPr>
          <w:rFonts w:ascii="Times New Roman" w:hAnsi="Times New Roman" w:cs="Times New Roman"/>
        </w:rPr>
        <w:t xml:space="preserve"> ed è chiuso da una </w:t>
      </w:r>
      <w:r w:rsidRPr="00796A9D">
        <w:rPr>
          <w:rFonts w:ascii="Times New Roman" w:hAnsi="Times New Roman" w:cs="Times New Roman"/>
          <w:i/>
        </w:rPr>
        <w:t>Series episcoporum et archiepiscoporum Mediolanensium</w:t>
      </w:r>
      <w:r w:rsidRPr="00796A9D">
        <w:rPr>
          <w:rFonts w:ascii="Times New Roman" w:hAnsi="Times New Roman" w:cs="Times New Roman"/>
        </w:rPr>
        <w:t xml:space="preserve"> alla carta Y1v. Nonostante il ricorso poco selettivo al patrimonio di miti e leggende sulle origini di Milano, l’opera, che presentava Francesco Sforza quale restauratore dei diritti dell’aristocrazia locale in opposizione alla Repubblica Ambrosiana, fu apprezzata dal Moro, che riconobbe al Bossi un compenso «in premio delle </w:t>
      </w:r>
      <w:r w:rsidRPr="00EC2F02">
        <w:rPr>
          <w:rFonts w:ascii="Times New Roman" w:hAnsi="Times New Roman" w:cs="Times New Roman"/>
          <w:i/>
        </w:rPr>
        <w:t>Chronache</w:t>
      </w:r>
      <w:r w:rsidRPr="00796A9D">
        <w:rPr>
          <w:rFonts w:ascii="Times New Roman" w:hAnsi="Times New Roman" w:cs="Times New Roman"/>
        </w:rPr>
        <w:t xml:space="preserve"> pubblicate e da pubblicarsi». Cfr. </w:t>
      </w:r>
      <w:r w:rsidRPr="00796A9D">
        <w:rPr>
          <w:rFonts w:ascii="Times New Roman" w:hAnsi="Times New Roman" w:cs="Times New Roman"/>
          <w:smallCaps/>
        </w:rPr>
        <w:t>G. Ianziti</w:t>
      </w:r>
      <w:r w:rsidRPr="00796A9D">
        <w:rPr>
          <w:rFonts w:ascii="Times New Roman" w:hAnsi="Times New Roman" w:cs="Times New Roman"/>
        </w:rPr>
        <w:t xml:space="preserve">, </w:t>
      </w:r>
      <w:r w:rsidRPr="00796A9D">
        <w:rPr>
          <w:rFonts w:ascii="Times New Roman" w:hAnsi="Times New Roman" w:cs="Times New Roman"/>
          <w:i/>
        </w:rPr>
        <w:t xml:space="preserve">Humanistic Historiography under the Sforza, </w:t>
      </w:r>
      <w:r w:rsidRPr="00796A9D">
        <w:rPr>
          <w:rFonts w:ascii="Times New Roman" w:hAnsi="Times New Roman" w:cs="Times New Roman"/>
        </w:rPr>
        <w:t xml:space="preserve">pp. 234-236. Si osservi come anche questo testo, come le due edizioni dei </w:t>
      </w:r>
      <w:r w:rsidRPr="00796A9D">
        <w:rPr>
          <w:rFonts w:ascii="Times New Roman" w:hAnsi="Times New Roman" w:cs="Times New Roman"/>
          <w:i/>
        </w:rPr>
        <w:t>Commentarii</w:t>
      </w:r>
      <w:r w:rsidRPr="00796A9D">
        <w:rPr>
          <w:rFonts w:ascii="Times New Roman" w:hAnsi="Times New Roman" w:cs="Times New Roman"/>
        </w:rPr>
        <w:t xml:space="preserve"> del Simonetta e la loro traduzione del Landino, si debba ai torchi dello Zarotto, che risulta dunque impegnato in maniera ricorrente nella stampa delle opere ufficiali della storiografia ducale, pur non avendone l’esclusiva. </w:t>
      </w:r>
    </w:p>
  </w:footnote>
  <w:footnote w:id="236">
    <w:p w14:paraId="6609377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 carriera di Tristano Calco all’interno dell’</w:t>
      </w:r>
      <w:r w:rsidRPr="00796A9D">
        <w:rPr>
          <w:rFonts w:ascii="Times New Roman" w:hAnsi="Times New Roman" w:cs="Times New Roman"/>
          <w:i/>
        </w:rPr>
        <w:t>entourage</w:t>
      </w:r>
      <w:r w:rsidRPr="00796A9D">
        <w:rPr>
          <w:rFonts w:ascii="Times New Roman" w:hAnsi="Times New Roman" w:cs="Times New Roman"/>
        </w:rPr>
        <w:t xml:space="preserve"> sforzesco vedi F. </w:t>
      </w:r>
      <w:r w:rsidRPr="00796A9D">
        <w:rPr>
          <w:rFonts w:ascii="Times New Roman" w:hAnsi="Times New Roman" w:cs="Times New Roman"/>
          <w:smallCaps/>
        </w:rPr>
        <w:t>Petrucci</w:t>
      </w:r>
      <w:r w:rsidRPr="00796A9D">
        <w:rPr>
          <w:rFonts w:ascii="Times New Roman" w:hAnsi="Times New Roman" w:cs="Times New Roman"/>
        </w:rPr>
        <w:t xml:space="preserve">, s.v. </w:t>
      </w:r>
      <w:r w:rsidRPr="00796A9D">
        <w:rPr>
          <w:rFonts w:ascii="Times New Roman" w:hAnsi="Times New Roman" w:cs="Times New Roman"/>
          <w:i/>
        </w:rPr>
        <w:t>Tristano, Calco</w:t>
      </w:r>
      <w:r w:rsidRPr="00796A9D">
        <w:rPr>
          <w:rFonts w:ascii="Times New Roman" w:hAnsi="Times New Roman" w:cs="Times New Roman"/>
        </w:rPr>
        <w:t xml:space="preserve">, DBI, 1973, vol. XVI, pp. 537-541. Per un inquadramento della sua figura di storiografo rinvio in aggiunta a </w:t>
      </w:r>
      <w:bookmarkStart w:id="181" w:name="_Hlk522802132"/>
      <w:r w:rsidRPr="00796A9D">
        <w:rPr>
          <w:rFonts w:ascii="Times New Roman" w:hAnsi="Times New Roman" w:cs="Times New Roman"/>
        </w:rPr>
        <w:t xml:space="preserve">S. </w:t>
      </w:r>
      <w:r w:rsidRPr="00796A9D">
        <w:rPr>
          <w:rFonts w:ascii="Times New Roman" w:hAnsi="Times New Roman" w:cs="Times New Roman"/>
          <w:smallCaps/>
        </w:rPr>
        <w:t>Meschini</w:t>
      </w:r>
      <w:r w:rsidRPr="00796A9D">
        <w:rPr>
          <w:rFonts w:ascii="Times New Roman" w:hAnsi="Times New Roman" w:cs="Times New Roman"/>
        </w:rPr>
        <w:t xml:space="preserve">, </w:t>
      </w:r>
      <w:r w:rsidRPr="00796A9D">
        <w:rPr>
          <w:rFonts w:ascii="Times New Roman" w:hAnsi="Times New Roman" w:cs="Times New Roman"/>
          <w:i/>
        </w:rPr>
        <w:t>Bernardo Corio e le fonti della Storia di Milano,</w:t>
      </w:r>
      <w:r w:rsidRPr="00796A9D">
        <w:rPr>
          <w:rFonts w:ascii="Times New Roman" w:hAnsi="Times New Roman" w:cs="Times New Roman"/>
        </w:rPr>
        <w:t xml:space="preserve"> in </w:t>
      </w:r>
      <w:r w:rsidRPr="00796A9D">
        <w:rPr>
          <w:rFonts w:ascii="Times New Roman" w:hAnsi="Times New Roman" w:cs="Times New Roman"/>
          <w:i/>
        </w:rPr>
        <w:t>Storia della storiografia</w:t>
      </w:r>
      <w:r w:rsidRPr="00796A9D">
        <w:rPr>
          <w:rFonts w:ascii="Times New Roman" w:hAnsi="Times New Roman" w:cs="Times New Roman"/>
        </w:rPr>
        <w:t>, Milano, Jaca Book, vol. 56 (2009), pp. 29-52.</w:t>
      </w:r>
      <w:bookmarkEnd w:id="181"/>
    </w:p>
  </w:footnote>
  <w:footnote w:id="237">
    <w:p w14:paraId="0AA1963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Panormita</w:t>
      </w:r>
      <w:r w:rsidRPr="00796A9D">
        <w:rPr>
          <w:rFonts w:ascii="Times New Roman" w:hAnsi="Times New Roman" w:cs="Times New Roman"/>
        </w:rPr>
        <w:t>,</w:t>
      </w:r>
      <w:r w:rsidRPr="00796A9D">
        <w:rPr>
          <w:rFonts w:ascii="Times New Roman" w:hAnsi="Times New Roman" w:cs="Times New Roman"/>
          <w:i/>
        </w:rPr>
        <w:t xml:space="preserve"> De dictis et factis Alphonsi regis</w:t>
      </w:r>
      <w:r w:rsidRPr="00796A9D">
        <w:rPr>
          <w:rFonts w:ascii="Times New Roman" w:hAnsi="Times New Roman" w:cs="Times New Roman"/>
        </w:rPr>
        <w:t xml:space="preserve">, cit., II, p. 15.  </w:t>
      </w:r>
    </w:p>
  </w:footnote>
  <w:footnote w:id="238">
    <w:p w14:paraId="740C887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corrispondenza tra gli arredi sacri ritratti da L</w:t>
      </w:r>
      <w:r>
        <w:rPr>
          <w:rFonts w:ascii="Times New Roman" w:hAnsi="Times New Roman" w:cs="Times New Roman"/>
        </w:rPr>
        <w:t>eonardo</w:t>
      </w:r>
      <w:r w:rsidRPr="00796A9D">
        <w:rPr>
          <w:rFonts w:ascii="Times New Roman" w:hAnsi="Times New Roman" w:cs="Times New Roman"/>
        </w:rPr>
        <w:t xml:space="preserve"> Crespi in questa miniatura e la decorazione della cappella del palazzo reale di Valencia è analizzata in </w:t>
      </w:r>
      <w:bookmarkStart w:id="182" w:name="_Hlk522802197"/>
      <w:r w:rsidRPr="00796A9D">
        <w:rPr>
          <w:rFonts w:ascii="Times New Roman" w:hAnsi="Times New Roman" w:cs="Times New Roman"/>
          <w:smallCaps/>
        </w:rPr>
        <w:t>A. Serra Desfili</w:t>
      </w:r>
      <w:r w:rsidRPr="00796A9D">
        <w:rPr>
          <w:rFonts w:ascii="Times New Roman" w:hAnsi="Times New Roman" w:cs="Times New Roman"/>
        </w:rPr>
        <w:t xml:space="preserve">, </w:t>
      </w:r>
      <w:r w:rsidRPr="00796A9D">
        <w:rPr>
          <w:rFonts w:ascii="Times New Roman" w:hAnsi="Times New Roman" w:cs="Times New Roman"/>
          <w:i/>
        </w:rPr>
        <w:t>Historia de dos palacios y una ciudad: Valencia, 1238-1460</w:t>
      </w:r>
      <w:r w:rsidRPr="00796A9D">
        <w:rPr>
          <w:rFonts w:ascii="Times New Roman" w:hAnsi="Times New Roman" w:cs="Times New Roman"/>
        </w:rPr>
        <w:t xml:space="preserve">, «Annales de Historia del Arte», 23, 2013, pp. 333-367. </w:t>
      </w:r>
      <w:bookmarkEnd w:id="182"/>
      <w:r w:rsidRPr="00796A9D">
        <w:rPr>
          <w:rFonts w:ascii="Times New Roman" w:hAnsi="Times New Roman" w:cs="Times New Roman"/>
        </w:rPr>
        <w:t>L’autore propende per questa identificazione tra i due spazi in ragione anche dell’importanza acquisita dalla cappella palatina valenciana quando nel 1424 vi furono traslate la maggior parte delle reliquie di proprietà della famiglia reale, le quali vi venivano esposte nelle feste solenni.</w:t>
      </w:r>
    </w:p>
  </w:footnote>
  <w:footnote w:id="239">
    <w:p w14:paraId="1FDCC1F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F. Español</w:t>
      </w:r>
      <w:r w:rsidRPr="00796A9D">
        <w:rPr>
          <w:rFonts w:ascii="Times New Roman" w:hAnsi="Times New Roman" w:cs="Times New Roman"/>
        </w:rPr>
        <w:t xml:space="preserve">, </w:t>
      </w:r>
      <w:r w:rsidRPr="00796A9D">
        <w:rPr>
          <w:rFonts w:ascii="Times New Roman" w:hAnsi="Times New Roman" w:cs="Times New Roman"/>
          <w:i/>
        </w:rPr>
        <w:t>El salterio y libro de horas de Alfonso el Magnánimo,</w:t>
      </w:r>
      <w:r w:rsidRPr="00796A9D">
        <w:rPr>
          <w:rFonts w:ascii="Times New Roman" w:hAnsi="Times New Roman" w:cs="Times New Roman"/>
        </w:rPr>
        <w:t xml:space="preserve"> cit., p. 100, ricorda come l’Ascensione di Cristo in cielo, scortato dai santi e dai patriarchi sia menzionata da san Vincenzo Ferrer nei </w:t>
      </w:r>
      <w:r w:rsidRPr="00796A9D">
        <w:rPr>
          <w:rFonts w:ascii="Times New Roman" w:hAnsi="Times New Roman" w:cs="Times New Roman"/>
          <w:i/>
        </w:rPr>
        <w:t>Sermones</w:t>
      </w:r>
      <w:r w:rsidRPr="00796A9D">
        <w:rPr>
          <w:rFonts w:ascii="Times New Roman" w:hAnsi="Times New Roman" w:cs="Times New Roman"/>
        </w:rPr>
        <w:t xml:space="preserve"> per il dì dell’Ascensione, per la feria VI e per il sabato dopo l’Ascensione.   </w:t>
      </w:r>
    </w:p>
  </w:footnote>
  <w:footnote w:id="240">
    <w:p w14:paraId="730A9837"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 prima sezione della </w:t>
      </w:r>
      <w:r w:rsidRPr="00796A9D">
        <w:rPr>
          <w:rFonts w:ascii="Times New Roman" w:hAnsi="Times New Roman" w:cs="Times New Roman"/>
          <w:i/>
          <w:sz w:val="20"/>
          <w:szCs w:val="20"/>
        </w:rPr>
        <w:t>Crónica de Juan II</w:t>
      </w:r>
      <w:r w:rsidRPr="00796A9D">
        <w:rPr>
          <w:rFonts w:ascii="Times New Roman" w:hAnsi="Times New Roman" w:cs="Times New Roman"/>
          <w:sz w:val="20"/>
          <w:szCs w:val="20"/>
        </w:rPr>
        <w:t xml:space="preserve">, trasmessa dal manoscritto della Bibliotheque National de France, Esp. 104, si legge in </w:t>
      </w:r>
      <w:bookmarkStart w:id="186" w:name="_Hlk522802332"/>
      <w:r w:rsidRPr="00796A9D">
        <w:rPr>
          <w:rFonts w:ascii="Times New Roman" w:hAnsi="Times New Roman" w:cs="Times New Roman"/>
          <w:smallCaps/>
          <w:sz w:val="20"/>
          <w:szCs w:val="20"/>
        </w:rPr>
        <w:t>Á.G. De Santa Marìa</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Le parti inedite della “Crónica de Juan II” de Álvar García de Santa María</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D. Ferro</w:t>
      </w:r>
      <w:r w:rsidRPr="00796A9D">
        <w:rPr>
          <w:rFonts w:ascii="Times New Roman" w:hAnsi="Times New Roman" w:cs="Times New Roman"/>
          <w:sz w:val="20"/>
          <w:szCs w:val="20"/>
        </w:rPr>
        <w:t>, Venezia, Consiglio Nazionale delle Ricerche, 1972, pp. 113-120</w:t>
      </w:r>
      <w:bookmarkEnd w:id="186"/>
      <w:r w:rsidRPr="00796A9D">
        <w:rPr>
          <w:rFonts w:ascii="Times New Roman" w:hAnsi="Times New Roman" w:cs="Times New Roman"/>
          <w:sz w:val="20"/>
          <w:szCs w:val="20"/>
        </w:rPr>
        <w:t xml:space="preserve">. I versi in catalano riportati, con il saluto dell’angelo al sovrano, sono gli unici noti per essere stati recitati nel corso del banchetto per Fernando de Antequera, e sono stati attribuiti al poeta cortigiano e drammaturgo </w:t>
      </w:r>
      <w:bookmarkStart w:id="187" w:name="_Hlk535853161"/>
      <w:r w:rsidRPr="00796A9D">
        <w:rPr>
          <w:rFonts w:ascii="Times New Roman" w:hAnsi="Times New Roman" w:cs="Times New Roman"/>
          <w:sz w:val="20"/>
          <w:szCs w:val="20"/>
        </w:rPr>
        <w:t>Enrique de Villena</w:t>
      </w:r>
      <w:bookmarkEnd w:id="187"/>
      <w:r w:rsidRPr="00796A9D">
        <w:rPr>
          <w:rFonts w:ascii="Times New Roman" w:hAnsi="Times New Roman" w:cs="Times New Roman"/>
          <w:sz w:val="20"/>
          <w:szCs w:val="20"/>
        </w:rPr>
        <w:t xml:space="preserve">, coinvolto presumibilmente anche nella progettazione del banchetto. Si veda in proposito </w:t>
      </w:r>
      <w:bookmarkStart w:id="188" w:name="_Hlk522802385"/>
      <w:r w:rsidRPr="00796A9D">
        <w:rPr>
          <w:rFonts w:ascii="Times New Roman" w:hAnsi="Times New Roman" w:cs="Times New Roman"/>
          <w:smallCaps/>
          <w:sz w:val="20"/>
          <w:szCs w:val="20"/>
        </w:rPr>
        <w:t>J.K. Walsh, A. Deyermond</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Enrique de Villena como poeta y dramaturgo: bosquejo de una polemica frustrada</w:t>
      </w:r>
      <w:r w:rsidRPr="00796A9D">
        <w:rPr>
          <w:rFonts w:ascii="Times New Roman" w:hAnsi="Times New Roman" w:cs="Times New Roman"/>
          <w:sz w:val="20"/>
          <w:szCs w:val="20"/>
        </w:rPr>
        <w:t xml:space="preserve">, «Nueva Revista de Filologfa Hispdnica», 28, 1979, pp. 57-85 </w:t>
      </w:r>
      <w:bookmarkEnd w:id="188"/>
      <w:r w:rsidRPr="00796A9D">
        <w:rPr>
          <w:rFonts w:ascii="Times New Roman" w:hAnsi="Times New Roman" w:cs="Times New Roman"/>
          <w:sz w:val="20"/>
          <w:szCs w:val="20"/>
        </w:rPr>
        <w:t>dal quale ho tratto la presente citazione.</w:t>
      </w:r>
    </w:p>
  </w:footnote>
  <w:footnote w:id="241">
    <w:p w14:paraId="787E749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Secondo il cronista alla fine del banchetto apparve un secondo angelo, inviato dalla Madonna, con la medesima ambasciata. Quanto al significato politico di questi </w:t>
      </w:r>
      <w:r w:rsidRPr="00796A9D">
        <w:rPr>
          <w:rFonts w:ascii="Times New Roman" w:hAnsi="Times New Roman" w:cs="Times New Roman"/>
          <w:i/>
        </w:rPr>
        <w:t>entremets</w:t>
      </w:r>
      <w:r w:rsidRPr="00796A9D">
        <w:rPr>
          <w:rFonts w:ascii="Times New Roman" w:hAnsi="Times New Roman" w:cs="Times New Roman"/>
        </w:rPr>
        <w:t xml:space="preserve"> cfr. </w:t>
      </w:r>
      <w:r w:rsidRPr="00796A9D">
        <w:rPr>
          <w:rFonts w:ascii="Times New Roman" w:hAnsi="Times New Roman" w:cs="Times New Roman"/>
          <w:smallCaps/>
        </w:rPr>
        <w:t>V. Muñoz Gómez</w:t>
      </w:r>
      <w:r w:rsidRPr="00796A9D">
        <w:rPr>
          <w:rFonts w:ascii="Times New Roman" w:hAnsi="Times New Roman" w:cs="Times New Roman"/>
        </w:rPr>
        <w:t xml:space="preserve">, </w:t>
      </w:r>
      <w:r w:rsidRPr="00796A9D">
        <w:rPr>
          <w:rFonts w:ascii="Times New Roman" w:hAnsi="Times New Roman" w:cs="Times New Roman"/>
          <w:i/>
        </w:rPr>
        <w:t>¿Representar la legitimidad? Objetos, símbolos y comunicación en las ceremonias públicas del reinado de Fernando I de Aragón</w:t>
      </w:r>
      <w:r w:rsidRPr="00796A9D">
        <w:rPr>
          <w:rFonts w:ascii="Times New Roman" w:hAnsi="Times New Roman" w:cs="Times New Roman"/>
        </w:rPr>
        <w:t xml:space="preserve">, «Medievalista», 23, Janeiro – Junho 2018, rivista online, http://www2.fcsh.unl.pt/iem/medievalista/MEDIEVALISTA23/gomez2312.html, visto il 09/02/2018. Un’accurata analisi della strutturazione e del funzionamento degli ingegni impiegati negli </w:t>
      </w:r>
      <w:r w:rsidRPr="00796A9D">
        <w:rPr>
          <w:rFonts w:ascii="Times New Roman" w:hAnsi="Times New Roman" w:cs="Times New Roman"/>
          <w:i/>
        </w:rPr>
        <w:t>entremets</w:t>
      </w:r>
      <w:r w:rsidRPr="00796A9D">
        <w:rPr>
          <w:rFonts w:ascii="Times New Roman" w:hAnsi="Times New Roman" w:cs="Times New Roman"/>
        </w:rPr>
        <w:t xml:space="preserve"> del banchetto per l’incoronazione di Fernando de Antequera è offerta da </w:t>
      </w:r>
      <w:r w:rsidRPr="00796A9D">
        <w:rPr>
          <w:rFonts w:ascii="Times New Roman" w:hAnsi="Times New Roman" w:cs="Times New Roman"/>
          <w:smallCaps/>
        </w:rPr>
        <w:t>J.F. Massip</w:t>
      </w:r>
      <w:r w:rsidRPr="00796A9D">
        <w:rPr>
          <w:rFonts w:ascii="Times New Roman" w:hAnsi="Times New Roman" w:cs="Times New Roman"/>
        </w:rPr>
        <w:t xml:space="preserve">, </w:t>
      </w:r>
      <w:r w:rsidRPr="00796A9D">
        <w:rPr>
          <w:rFonts w:ascii="Times New Roman" w:hAnsi="Times New Roman" w:cs="Times New Roman"/>
          <w:i/>
        </w:rPr>
        <w:t>A cos de rei: festa cívica i espectacle del poder reial a la Corona d'Aragó</w:t>
      </w:r>
      <w:r w:rsidRPr="00796A9D">
        <w:rPr>
          <w:rFonts w:ascii="Times New Roman" w:hAnsi="Times New Roman" w:cs="Times New Roman"/>
        </w:rPr>
        <w:t xml:space="preserve">, Valls, Cossetània, 2010, pp. 97-121. La documentata ricostruzione dello studioso delinea un’ampia struttura collocata sopra la porta d’ingresso della sala del banchetto, alla quale erano inchiavardati tre cerchi sovrapposti che si mettevano in movimento ruotando. I cerchi, popolati di fanciulli vestiti da angeli, erano affiancati da otto gradoni su cui prendevano posto profeti, sibille, angeli e le allegorie dei sette vizi e delle sette virtù. Da questa struttura sarebbe discesa anche la nuvola con l’angelo annunziante, ma le fonti non ne precisano meglio la collocazione.   </w:t>
      </w:r>
    </w:p>
  </w:footnote>
  <w:footnote w:id="242">
    <w:p w14:paraId="264C5D9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1447 Alfonso richiese a Johan Al-Marçi, esperto nella lavorazione della ceramica dorata, di recarsi a Napoli da Valencia per curare l’installazione nella sua reggia dei rivestimenti ordinati alla sua bottega. Nel corso del suo regno, inoltre, furono aperte due fornaci per la produzione di ceramiche in Castel Nuovo e in Castel Capuano. Altro elemento decorativo valenciano importato dal Magnanimo a Napoli fu la legatura in cuoio dei libri con doratura a caldo e motivo ad arabeschi. Per questi tratti distintivi del lusso aragonese introdotti a Napoli dal sovrano cfr. J. </w:t>
      </w:r>
      <w:r w:rsidRPr="00796A9D">
        <w:rPr>
          <w:rFonts w:ascii="Times New Roman" w:hAnsi="Times New Roman" w:cs="Times New Roman"/>
          <w:smallCaps/>
        </w:rPr>
        <w:t>Barreto</w:t>
      </w:r>
      <w:r w:rsidRPr="00796A9D">
        <w:rPr>
          <w:rFonts w:ascii="Times New Roman" w:hAnsi="Times New Roman" w:cs="Times New Roman"/>
        </w:rPr>
        <w:t xml:space="preserve">, </w:t>
      </w:r>
      <w:r w:rsidRPr="00796A9D">
        <w:rPr>
          <w:rFonts w:ascii="Times New Roman" w:hAnsi="Times New Roman" w:cs="Times New Roman"/>
          <w:i/>
        </w:rPr>
        <w:t>La matrice valenciana della politica artistica alfonsiana</w:t>
      </w:r>
      <w:r w:rsidRPr="00796A9D">
        <w:rPr>
          <w:rFonts w:ascii="Times New Roman" w:hAnsi="Times New Roman" w:cs="Times New Roman"/>
        </w:rPr>
        <w:t xml:space="preserve">, in </w:t>
      </w:r>
      <w:r w:rsidRPr="00796A9D">
        <w:rPr>
          <w:rFonts w:ascii="Times New Roman" w:hAnsi="Times New Roman" w:cs="Times New Roman"/>
          <w:i/>
        </w:rPr>
        <w:t>L’immagine di Alfonso il Magnanimo</w:t>
      </w:r>
      <w:r w:rsidRPr="00796A9D">
        <w:rPr>
          <w:rFonts w:ascii="Times New Roman" w:hAnsi="Times New Roman" w:cs="Times New Roman"/>
        </w:rPr>
        <w:t xml:space="preserve">, a cura di </w:t>
      </w:r>
      <w:r w:rsidRPr="00796A9D">
        <w:rPr>
          <w:rFonts w:ascii="Times New Roman" w:hAnsi="Times New Roman" w:cs="Times New Roman"/>
          <w:smallCaps/>
        </w:rPr>
        <w:t>F. delle Donne, J.T. Torrent</w:t>
      </w:r>
      <w:r w:rsidRPr="00796A9D">
        <w:rPr>
          <w:rFonts w:ascii="Times New Roman" w:hAnsi="Times New Roman" w:cs="Times New Roman"/>
        </w:rPr>
        <w:t xml:space="preserve">, Firenze, SISMEL-Galluzzo, 2016, pp. 125-137. </w:t>
      </w:r>
    </w:p>
  </w:footnote>
  <w:footnote w:id="243">
    <w:p w14:paraId="5AB01AE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Città del Vaticano, Biblioteca Apostolica Vaticana, Vat. Lat. 1565. Il codice non reca datazione né nome del miniatore. L’artista ha però dipinto nella fascia inferiore della cornice del foglio 1r lo stemma aragonese sormontato da una corona, che identifica il volume come facente parte della biblioteca del Magnanimo. Inoltre, un ritratto del re figura al recto del foglio 124, di profilo e con i connotati della sua iconografia tradizionale: taglio di capelli a scodella e naso aquilino. Per lo studio delle vicende attributive del manoscritto rinvio alla scheda dedicatagli in </w:t>
      </w:r>
      <w:r w:rsidRPr="00796A9D">
        <w:rPr>
          <w:rFonts w:ascii="Times New Roman" w:hAnsi="Times New Roman" w:cs="Times New Roman"/>
          <w:i/>
        </w:rPr>
        <w:t>La Corona d'Aragó: el poder i la imatge de l'Edat Mitjana a l'Edat Moderna, segles XII-XVIII</w:t>
      </w:r>
      <w:r w:rsidRPr="00796A9D">
        <w:rPr>
          <w:rFonts w:ascii="Times New Roman" w:hAnsi="Times New Roman" w:cs="Times New Roman"/>
        </w:rPr>
        <w:t xml:space="preserve">, Catalogo della mostra, (Valencia, Museu de Belles Arts, Centre del Carme,16 gennaio-17 aprile 2006), Lunwerg, Sociedad Estatal para la Acción Cultural Exterior, 2006, p. 203. </w:t>
      </w:r>
    </w:p>
  </w:footnote>
  <w:footnote w:id="244">
    <w:p w14:paraId="310461E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Napoli, collezione privata. Il </w:t>
      </w:r>
      <w:r w:rsidRPr="00796A9D">
        <w:rPr>
          <w:rFonts w:ascii="Times New Roman" w:hAnsi="Times New Roman" w:cs="Times New Roman"/>
          <w:i/>
        </w:rPr>
        <w:t>trionfo</w:t>
      </w:r>
      <w:r w:rsidRPr="00796A9D">
        <w:rPr>
          <w:rFonts w:ascii="Times New Roman" w:hAnsi="Times New Roman" w:cs="Times New Roman"/>
        </w:rPr>
        <w:t xml:space="preserve"> è assegnato al Maestro del trionfo di Alfonso, cui si deve anche la decorazione del cassone, che fa coppia con questo citato, sul tema dell’assedio di Napoli da parte del Magnanimo, oggi al Ringling Museum di Sarasota. La questione della loro esecuzione per le nozze dei figli di Antonio Ridolfi, Lorenzo e Girolamo, con una delle due giovani di casa Segni, Cosa o Alessandra, è affrontata in </w:t>
      </w:r>
      <w:r w:rsidRPr="00796A9D">
        <w:rPr>
          <w:rFonts w:ascii="Times New Roman" w:hAnsi="Times New Roman" w:cs="Times New Roman"/>
          <w:smallCaps/>
        </w:rPr>
        <w:t>S. Bertelli</w:t>
      </w:r>
      <w:r w:rsidRPr="00796A9D">
        <w:rPr>
          <w:rFonts w:ascii="Times New Roman" w:hAnsi="Times New Roman" w:cs="Times New Roman"/>
        </w:rPr>
        <w:t xml:space="preserve">, </w:t>
      </w:r>
      <w:r w:rsidRPr="00796A9D">
        <w:rPr>
          <w:rFonts w:ascii="Times New Roman" w:hAnsi="Times New Roman" w:cs="Times New Roman"/>
          <w:i/>
        </w:rPr>
        <w:t>Giovanna e Alfonso, Antonio e Ferrante</w:t>
      </w:r>
      <w:r w:rsidRPr="00796A9D">
        <w:rPr>
          <w:rFonts w:ascii="Times New Roman" w:hAnsi="Times New Roman" w:cs="Times New Roman"/>
        </w:rPr>
        <w:t xml:space="preserve">, in </w:t>
      </w:r>
      <w:r w:rsidRPr="00796A9D">
        <w:rPr>
          <w:rFonts w:ascii="Times New Roman" w:hAnsi="Times New Roman" w:cs="Times New Roman"/>
          <w:smallCaps/>
        </w:rPr>
        <w:t>G. Alisio, S. Bertelli, A. Pinelli</w:t>
      </w:r>
      <w:r w:rsidRPr="00796A9D">
        <w:rPr>
          <w:rFonts w:ascii="Times New Roman" w:hAnsi="Times New Roman" w:cs="Times New Roman"/>
        </w:rPr>
        <w:t xml:space="preserve">, </w:t>
      </w:r>
      <w:r w:rsidRPr="00796A9D">
        <w:rPr>
          <w:rFonts w:ascii="Times New Roman" w:hAnsi="Times New Roman" w:cs="Times New Roman"/>
          <w:i/>
        </w:rPr>
        <w:t>Arte e politica tra Napoli e Firenze. Un cassone per il trionfo di Alfonso il Magnanimo</w:t>
      </w:r>
      <w:r w:rsidRPr="00796A9D">
        <w:rPr>
          <w:rFonts w:ascii="Times New Roman" w:hAnsi="Times New Roman" w:cs="Times New Roman"/>
        </w:rPr>
        <w:t xml:space="preserve">, Modena, Franco Cosimo Panini, 2006, pp. 9-32: l’assegnazione a questi sposalizi è data sulla base della presenza in entrambi i cassoni degli stemmi delle case Ridolfi e Segni e del ritratto del padre dello sposo. </w:t>
      </w:r>
    </w:p>
  </w:footnote>
  <w:footnote w:id="245">
    <w:p w14:paraId="102D139F"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 corrispondenza di queste due illustrazioni del trionfo napoletano con le descrizioni umanistiche del trionfo napoletano e l’analisi dell’aspetto delle corone ivi presenti sono proposte in </w:t>
      </w:r>
      <w:r w:rsidRPr="00796A9D">
        <w:rPr>
          <w:rFonts w:ascii="Times New Roman" w:hAnsi="Times New Roman" w:cs="Times New Roman"/>
          <w:smallCaps/>
          <w:sz w:val="20"/>
          <w:szCs w:val="20"/>
        </w:rPr>
        <w:t>J. Domenge Mesquida</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La imatge sumptuària d’Alfons el Magnànim: Joies documentades, representades, imaginades</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L’immagine di Alfonso il Magnanimo tra letteratura e storia, tra corona d’Aragona e Italia</w:t>
      </w:r>
      <w:r w:rsidRPr="00796A9D">
        <w:rPr>
          <w:rFonts w:ascii="Times New Roman" w:hAnsi="Times New Roman" w:cs="Times New Roman"/>
          <w:sz w:val="20"/>
          <w:szCs w:val="20"/>
        </w:rPr>
        <w:t xml:space="preserve">, cit., pp. 164-167.  </w:t>
      </w:r>
    </w:p>
  </w:footnote>
  <w:footnote w:id="246">
    <w:p w14:paraId="2C56646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Con la mano sinistra sul fianco, ad esempio, Donatello scolpì il suo David vincitore su Golia. L’osservazione si deve ad </w:t>
      </w:r>
      <w:r w:rsidRPr="00796A9D">
        <w:rPr>
          <w:rFonts w:ascii="Times New Roman" w:hAnsi="Times New Roman" w:cs="Times New Roman"/>
          <w:smallCaps/>
        </w:rPr>
        <w:t>A. Pinelli</w:t>
      </w:r>
      <w:r w:rsidRPr="00796A9D">
        <w:rPr>
          <w:rFonts w:ascii="Times New Roman" w:hAnsi="Times New Roman" w:cs="Times New Roman"/>
        </w:rPr>
        <w:t xml:space="preserve">, </w:t>
      </w:r>
      <w:r w:rsidRPr="00796A9D">
        <w:rPr>
          <w:rFonts w:ascii="Times New Roman" w:hAnsi="Times New Roman" w:cs="Times New Roman"/>
          <w:i/>
        </w:rPr>
        <w:t>Fatti, parole e immagini. Resoconti scritti e rappresentazioni visive del trionfo napoletano di Alfonso d’Aragona</w:t>
      </w:r>
      <w:r w:rsidRPr="00796A9D">
        <w:rPr>
          <w:rFonts w:ascii="Times New Roman" w:hAnsi="Times New Roman" w:cs="Times New Roman"/>
        </w:rPr>
        <w:t xml:space="preserve">, in </w:t>
      </w:r>
      <w:r w:rsidRPr="00796A9D">
        <w:rPr>
          <w:rFonts w:ascii="Times New Roman" w:hAnsi="Times New Roman" w:cs="Times New Roman"/>
          <w:smallCaps/>
        </w:rPr>
        <w:t>G. Alisio, S. Bertelli, A. Pinelli</w:t>
      </w:r>
      <w:r w:rsidRPr="00796A9D">
        <w:rPr>
          <w:rFonts w:ascii="Times New Roman" w:hAnsi="Times New Roman" w:cs="Times New Roman"/>
        </w:rPr>
        <w:t xml:space="preserve">, </w:t>
      </w:r>
      <w:r w:rsidRPr="00796A9D">
        <w:rPr>
          <w:rFonts w:ascii="Times New Roman" w:hAnsi="Times New Roman" w:cs="Times New Roman"/>
          <w:i/>
        </w:rPr>
        <w:t>Arte e politica tra Napoli e Firenze</w:t>
      </w:r>
      <w:r w:rsidRPr="00796A9D">
        <w:rPr>
          <w:rFonts w:ascii="Times New Roman" w:hAnsi="Times New Roman" w:cs="Times New Roman"/>
        </w:rPr>
        <w:t xml:space="preserve">, cit., pp. 33-76, al quale si rinvia anche per una precisa analisi delle corrispondenze tra le otto fonti scritte con descrizioni dell’evento e le sue testimonianze iconografiche.  </w:t>
      </w:r>
    </w:p>
  </w:footnote>
  <w:footnote w:id="247">
    <w:p w14:paraId="09575CC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J.V. Marsilla</w:t>
      </w:r>
      <w:r w:rsidRPr="00796A9D">
        <w:rPr>
          <w:rFonts w:ascii="Times New Roman" w:hAnsi="Times New Roman" w:cs="Times New Roman"/>
        </w:rPr>
        <w:t xml:space="preserve">, </w:t>
      </w:r>
      <w:r w:rsidRPr="00796A9D">
        <w:rPr>
          <w:rFonts w:ascii="Times New Roman" w:hAnsi="Times New Roman" w:cs="Times New Roman"/>
          <w:i/>
        </w:rPr>
        <w:t>El poder visible: demanda y funciones del arte en la corte de Alfonso el Magnánimo</w:t>
      </w:r>
      <w:r w:rsidRPr="00796A9D">
        <w:rPr>
          <w:rFonts w:ascii="Times New Roman" w:hAnsi="Times New Roman" w:cs="Times New Roman"/>
        </w:rPr>
        <w:t xml:space="preserve">, «Ars longa: cuadernos de arte», 7-8, 1997, pp. 33-47. </w:t>
      </w:r>
    </w:p>
  </w:footnote>
  <w:footnote w:id="248">
    <w:p w14:paraId="778EF41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Parigi, Bibliothèque nationale de France, ms. It. 1711, copiato da Matteo de Russis. È l’unico testimone noto del trattato di Maio, docente di retorica presso lo studio napoletano dal 1465 al 1488. Non si tratta dell’esemplare di dedica ma di una sua copia richiesta direttamente da Ferrante. Il testo fu presumibilmente scritto in onore dei settant’anni di Ferrante, anniversario al quale il trattato alluderebbe ripetutamente. Sulla stretta collaborazione tra l’autore e il Rapicano per la realizzazione delle illustrazioni si veda </w:t>
      </w:r>
      <w:r w:rsidRPr="00796A9D">
        <w:rPr>
          <w:rFonts w:ascii="Times New Roman" w:hAnsi="Times New Roman" w:cs="Times New Roman"/>
          <w:smallCaps/>
        </w:rPr>
        <w:t>J. Barreto</w:t>
      </w:r>
      <w:r w:rsidRPr="00796A9D">
        <w:rPr>
          <w:rFonts w:ascii="Times New Roman" w:hAnsi="Times New Roman" w:cs="Times New Roman"/>
        </w:rPr>
        <w:t xml:space="preserve">, </w:t>
      </w:r>
      <w:r w:rsidRPr="00796A9D">
        <w:rPr>
          <w:rFonts w:ascii="Times New Roman" w:hAnsi="Times New Roman" w:cs="Times New Roman"/>
          <w:i/>
        </w:rPr>
        <w:t xml:space="preserve">La Majesté. </w:t>
      </w:r>
      <w:r w:rsidRPr="00796A9D">
        <w:rPr>
          <w:rFonts w:ascii="Times New Roman" w:hAnsi="Times New Roman" w:cs="Times New Roman"/>
          <w:i/>
          <w:lang w:val="en-US"/>
        </w:rPr>
        <w:t>Portraits du pouvoir dans la Naples des Aragon</w:t>
      </w:r>
      <w:r w:rsidRPr="00796A9D">
        <w:rPr>
          <w:rFonts w:ascii="Times New Roman" w:hAnsi="Times New Roman" w:cs="Times New Roman"/>
          <w:lang w:val="en-US"/>
        </w:rPr>
        <w:t xml:space="preserve">, Collection de l’école française de Rome, 482, 2013, pp. 230-232. </w:t>
      </w:r>
      <w:r w:rsidRPr="00796A9D">
        <w:rPr>
          <w:rFonts w:ascii="Times New Roman" w:hAnsi="Times New Roman" w:cs="Times New Roman"/>
        </w:rPr>
        <w:t>Si rimanda a questo studio anche per la riproduzione integrale delle miniature (figg. 184-204).</w:t>
      </w:r>
    </w:p>
  </w:footnote>
  <w:footnote w:id="249">
    <w:p w14:paraId="4237003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w:t>
      </w:r>
      <w:r w:rsidRPr="00796A9D">
        <w:rPr>
          <w:rFonts w:ascii="Times New Roman" w:hAnsi="Times New Roman" w:cs="Times New Roman"/>
          <w:i/>
        </w:rPr>
        <w:t>De Maiestate</w:t>
      </w:r>
      <w:r w:rsidRPr="00796A9D">
        <w:rPr>
          <w:rFonts w:ascii="Times New Roman" w:hAnsi="Times New Roman" w:cs="Times New Roman"/>
        </w:rPr>
        <w:t xml:space="preserve"> è la sola opera per la quale le cedole della tesoreria aragonese documentino pagamenti direttamente in favore di Nardo Rapicano, nell’aprile 1493. Un’analisi stilistica del manoscritto in </w:t>
      </w:r>
      <w:r w:rsidRPr="00796A9D">
        <w:rPr>
          <w:rFonts w:ascii="Times New Roman" w:hAnsi="Times New Roman" w:cs="Times New Roman"/>
          <w:smallCaps/>
        </w:rPr>
        <w:t>G. Toscano</w:t>
      </w:r>
      <w:r w:rsidRPr="00796A9D">
        <w:rPr>
          <w:rFonts w:ascii="Times New Roman" w:hAnsi="Times New Roman" w:cs="Times New Roman"/>
          <w:i/>
        </w:rPr>
        <w:t>, «À la gloire de Ferdinand d’Aragon, roi de Naples»: le “De Maiestate” de Iuniano Maio</w:t>
      </w:r>
      <w:r w:rsidRPr="00796A9D">
        <w:rPr>
          <w:rFonts w:ascii="Times New Roman" w:hAnsi="Times New Roman" w:cs="Times New Roman"/>
        </w:rPr>
        <w:t xml:space="preserve">, </w:t>
      </w:r>
      <w:r w:rsidRPr="00796A9D">
        <w:rPr>
          <w:rFonts w:ascii="Times New Roman" w:hAnsi="Times New Roman" w:cs="Times New Roman"/>
          <w:i/>
        </w:rPr>
        <w:t>enluminé par Nardo Rapicano</w:t>
      </w:r>
      <w:r w:rsidRPr="00796A9D">
        <w:rPr>
          <w:rFonts w:ascii="Times New Roman" w:hAnsi="Times New Roman" w:cs="Times New Roman"/>
        </w:rPr>
        <w:t xml:space="preserve">, dans </w:t>
      </w:r>
      <w:r w:rsidRPr="00796A9D">
        <w:rPr>
          <w:rFonts w:ascii="Times New Roman" w:hAnsi="Times New Roman" w:cs="Times New Roman"/>
          <w:i/>
        </w:rPr>
        <w:t>L’Illustration. Essais d’iconographie</w:t>
      </w:r>
      <w:r w:rsidRPr="00796A9D">
        <w:rPr>
          <w:rFonts w:ascii="Times New Roman" w:hAnsi="Times New Roman" w:cs="Times New Roman"/>
        </w:rPr>
        <w:t xml:space="preserve">, sous la direction de </w:t>
      </w:r>
      <w:r w:rsidRPr="00796A9D">
        <w:rPr>
          <w:rFonts w:ascii="Times New Roman" w:hAnsi="Times New Roman" w:cs="Times New Roman"/>
          <w:smallCaps/>
        </w:rPr>
        <w:t>M.T. Caracciolo, S. Le Men</w:t>
      </w:r>
      <w:r w:rsidRPr="00796A9D">
        <w:rPr>
          <w:rFonts w:ascii="Times New Roman" w:hAnsi="Times New Roman" w:cs="Times New Roman"/>
        </w:rPr>
        <w:t>, Paris, Klincksieck, 1999, pp. 125-145.</w:t>
      </w:r>
    </w:p>
  </w:footnote>
  <w:footnote w:id="250">
    <w:p w14:paraId="5310A43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Napoli, Biblioteca Nazionale, ms. I.B.57. Su di esso si veda </w:t>
      </w:r>
      <w:r w:rsidRPr="00796A9D">
        <w:rPr>
          <w:rFonts w:ascii="Times New Roman" w:hAnsi="Times New Roman" w:cs="Times New Roman"/>
          <w:smallCaps/>
        </w:rPr>
        <w:t>G. Toscano</w:t>
      </w:r>
      <w:r w:rsidRPr="00796A9D">
        <w:rPr>
          <w:rFonts w:ascii="Times New Roman" w:hAnsi="Times New Roman" w:cs="Times New Roman"/>
        </w:rPr>
        <w:t xml:space="preserve">, </w:t>
      </w:r>
      <w:r w:rsidRPr="00796A9D">
        <w:rPr>
          <w:rFonts w:ascii="Times New Roman" w:hAnsi="Times New Roman" w:cs="Times New Roman"/>
          <w:i/>
        </w:rPr>
        <w:t>Pour Nardo Rapicano enlumineur: le Missel d’Alfonso Strozzi de la Bibliothèque universitaire de Leipzig</w:t>
      </w:r>
      <w:r w:rsidRPr="00796A9D">
        <w:rPr>
          <w:rFonts w:ascii="Times New Roman" w:hAnsi="Times New Roman" w:cs="Times New Roman"/>
        </w:rPr>
        <w:t xml:space="preserve">, dans </w:t>
      </w:r>
      <w:r w:rsidRPr="00796A9D">
        <w:rPr>
          <w:rFonts w:ascii="Times New Roman" w:hAnsi="Times New Roman" w:cs="Times New Roman"/>
          <w:i/>
        </w:rPr>
        <w:t>Quand la peinture était dans les livres</w:t>
      </w:r>
      <w:r w:rsidRPr="00796A9D">
        <w:rPr>
          <w:rFonts w:ascii="Times New Roman" w:hAnsi="Times New Roman" w:cs="Times New Roman"/>
        </w:rPr>
        <w:t xml:space="preserve">, sous la direction de </w:t>
      </w:r>
      <w:r w:rsidRPr="009D5146">
        <w:rPr>
          <w:rFonts w:ascii="Times New Roman" w:hAnsi="Times New Roman" w:cs="Times New Roman"/>
          <w:smallCaps/>
        </w:rPr>
        <w:t>M. Hofmann, C. Zöhl</w:t>
      </w:r>
      <w:r w:rsidRPr="00796A9D">
        <w:rPr>
          <w:rFonts w:ascii="Times New Roman" w:hAnsi="Times New Roman" w:cs="Times New Roman"/>
        </w:rPr>
        <w:t xml:space="preserve">, Paris, Brepols, 2007, pp. 353-366, il quale, nel paesaggio del David in preghiera del foglio 160r, riconosce anche alcune riprese dell’architettura napoletana di San Giovanni a Carbonara; fattore che accentuerebbe l’intento realistico delle illustrazioni. </w:t>
      </w:r>
    </w:p>
  </w:footnote>
  <w:footnote w:id="251">
    <w:p w14:paraId="4079729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192" w:name="_Hlk528578871"/>
      <w:r w:rsidRPr="00796A9D">
        <w:rPr>
          <w:rFonts w:ascii="Times New Roman" w:hAnsi="Times New Roman" w:cs="Times New Roman"/>
        </w:rPr>
        <w:t xml:space="preserve">Venezia, Biblioteca Marciana, Cod. Marc. Lat. XI, 53. </w:t>
      </w:r>
      <w:bookmarkEnd w:id="192"/>
      <w:r w:rsidRPr="00796A9D">
        <w:rPr>
          <w:rFonts w:ascii="Times New Roman" w:hAnsi="Times New Roman" w:cs="Times New Roman"/>
        </w:rPr>
        <w:t xml:space="preserve">Vespasiano da Bisticci dedicò un profilo biografico all’autore dell’orazione, definito «di nazione catalano, grandissimo filosofo e teolago singolarissimo». </w:t>
      </w:r>
      <w:r w:rsidRPr="00796A9D">
        <w:rPr>
          <w:rFonts w:ascii="Times New Roman" w:hAnsi="Times New Roman" w:cs="Times New Roman"/>
          <w:smallCaps/>
        </w:rPr>
        <w:t>V. da Bisticci</w:t>
      </w:r>
      <w:r w:rsidRPr="00796A9D">
        <w:rPr>
          <w:rFonts w:ascii="Times New Roman" w:hAnsi="Times New Roman" w:cs="Times New Roman"/>
        </w:rPr>
        <w:t xml:space="preserve">. </w:t>
      </w:r>
      <w:r w:rsidRPr="00796A9D">
        <w:rPr>
          <w:rFonts w:ascii="Times New Roman" w:hAnsi="Times New Roman" w:cs="Times New Roman"/>
          <w:i/>
        </w:rPr>
        <w:t>Le vite</w:t>
      </w:r>
      <w:r w:rsidRPr="00796A9D">
        <w:rPr>
          <w:rFonts w:ascii="Times New Roman" w:hAnsi="Times New Roman" w:cs="Times New Roman"/>
        </w:rPr>
        <w:t>, cit., vol. I, pp. 343-347. Consigliere di Ferrante, conoscitore di lingue classiche e di dottrine neoplatoniche, Verduno fu in amicizia con Bessarione, al quale dovette buona parte della propria carriera ecclesiastica. Cfr</w:t>
      </w:r>
      <w:r w:rsidRPr="00796A9D">
        <w:rPr>
          <w:rFonts w:ascii="Times New Roman" w:hAnsi="Times New Roman" w:cs="Times New Roman"/>
          <w:smallCaps/>
        </w:rPr>
        <w:t>. G. Pugliese Carratelli</w:t>
      </w:r>
      <w:r w:rsidRPr="00796A9D">
        <w:rPr>
          <w:rFonts w:ascii="Times New Roman" w:hAnsi="Times New Roman" w:cs="Times New Roman"/>
        </w:rPr>
        <w:t xml:space="preserve">, </w:t>
      </w:r>
      <w:r w:rsidRPr="00796A9D">
        <w:rPr>
          <w:rFonts w:ascii="Times New Roman" w:hAnsi="Times New Roman" w:cs="Times New Roman"/>
          <w:i/>
        </w:rPr>
        <w:t>Bessarione, il Cusano e l’Umanesimo meridionale</w:t>
      </w:r>
      <w:r w:rsidRPr="00796A9D">
        <w:rPr>
          <w:rFonts w:ascii="Times New Roman" w:hAnsi="Times New Roman" w:cs="Times New Roman"/>
        </w:rPr>
        <w:t xml:space="preserve">, in </w:t>
      </w:r>
      <w:r w:rsidRPr="00796A9D">
        <w:rPr>
          <w:rFonts w:ascii="Times New Roman" w:hAnsi="Times New Roman" w:cs="Times New Roman"/>
          <w:i/>
        </w:rPr>
        <w:t>L’eredità greca e l’ellenismo veneziano</w:t>
      </w:r>
      <w:r w:rsidRPr="00796A9D">
        <w:rPr>
          <w:rFonts w:ascii="Times New Roman" w:hAnsi="Times New Roman" w:cs="Times New Roman"/>
        </w:rPr>
        <w:t xml:space="preserve">, a cura di </w:t>
      </w:r>
      <w:r w:rsidRPr="00796A9D">
        <w:rPr>
          <w:rFonts w:ascii="Times New Roman" w:hAnsi="Times New Roman" w:cs="Times New Roman"/>
          <w:smallCaps/>
        </w:rPr>
        <w:t>G. Benzoni</w:t>
      </w:r>
      <w:r w:rsidRPr="00796A9D">
        <w:rPr>
          <w:rFonts w:ascii="Times New Roman" w:hAnsi="Times New Roman" w:cs="Times New Roman"/>
        </w:rPr>
        <w:t xml:space="preserve">, Firenze, Olschki, 2002, pp. 1-19. </w:t>
      </w:r>
    </w:p>
  </w:footnote>
  <w:footnote w:id="252">
    <w:p w14:paraId="0E2E71D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Baldi</w:t>
      </w:r>
      <w:r w:rsidRPr="00796A9D">
        <w:rPr>
          <w:rFonts w:ascii="Times New Roman" w:hAnsi="Times New Roman" w:cs="Times New Roman"/>
        </w:rPr>
        <w:t xml:space="preserve">, </w:t>
      </w:r>
      <w:r w:rsidRPr="00796A9D">
        <w:rPr>
          <w:rFonts w:ascii="Times New Roman" w:hAnsi="Times New Roman" w:cs="Times New Roman"/>
          <w:i/>
        </w:rPr>
        <w:t>Vita e fatti di Federico di Montefeltro duca di Urbino</w:t>
      </w:r>
      <w:r w:rsidRPr="00796A9D">
        <w:rPr>
          <w:rFonts w:ascii="Times New Roman" w:hAnsi="Times New Roman" w:cs="Times New Roman"/>
        </w:rPr>
        <w:t xml:space="preserve">, a cura di </w:t>
      </w:r>
      <w:r w:rsidRPr="00796A9D">
        <w:rPr>
          <w:rFonts w:ascii="Times New Roman" w:hAnsi="Times New Roman" w:cs="Times New Roman"/>
          <w:smallCaps/>
        </w:rPr>
        <w:t>A. Ceracchi</w:t>
      </w:r>
      <w:r w:rsidRPr="00796A9D">
        <w:rPr>
          <w:rFonts w:ascii="Times New Roman" w:hAnsi="Times New Roman" w:cs="Times New Roman"/>
        </w:rPr>
        <w:t xml:space="preserve">, Roma, Perego-Salvioni, 1824, pp. 232-233, che descrive anche la vestizione della tunica bianca nella sagrestia da parte di Federico, prima di partecipare alla cerimonia, e il momento conclusivo della funzione con il bacio della Pace. In merito all’ordine dell’ermellino, alle ragioni politiche che portarono Ferrante a conferire il titolo di cavaliere al Montefeltro e all’adozione da parte di quest’ultimo dell’insegna dell’ordine, il collare con l’ermellino pendente e il cartiglio «Decorum», che compare in una delle tarsie del suo studiolo e in più rilievi del palazzo urbinate, vedi </w:t>
      </w:r>
      <w:r w:rsidRPr="00796A9D">
        <w:rPr>
          <w:rFonts w:ascii="Times New Roman" w:hAnsi="Times New Roman" w:cs="Times New Roman"/>
          <w:smallCaps/>
        </w:rPr>
        <w:t>A. Conti</w:t>
      </w:r>
      <w:r w:rsidRPr="00796A9D">
        <w:rPr>
          <w:rFonts w:ascii="Times New Roman" w:hAnsi="Times New Roman" w:cs="Times New Roman"/>
        </w:rPr>
        <w:t xml:space="preserve">, </w:t>
      </w:r>
      <w:r w:rsidRPr="00796A9D">
        <w:rPr>
          <w:rFonts w:ascii="Times New Roman" w:hAnsi="Times New Roman" w:cs="Times New Roman"/>
          <w:i/>
        </w:rPr>
        <w:t>L’ordine napoletano dell’ermellino e l’iconografia di Federico da Montefeltro</w:t>
      </w:r>
      <w:r w:rsidRPr="00796A9D">
        <w:rPr>
          <w:rFonts w:ascii="Times New Roman" w:hAnsi="Times New Roman" w:cs="Times New Roman"/>
        </w:rPr>
        <w:t xml:space="preserve">, «Nobiltà», 89, marzo-aprile 2009, pp. 199-220.   </w:t>
      </w:r>
    </w:p>
  </w:footnote>
  <w:footnote w:id="253">
    <w:p w14:paraId="26D2DEB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G.M. Fusco</w:t>
      </w:r>
      <w:r w:rsidRPr="00796A9D">
        <w:rPr>
          <w:rFonts w:ascii="Times New Roman" w:hAnsi="Times New Roman" w:cs="Times New Roman"/>
        </w:rPr>
        <w:t xml:space="preserve">, </w:t>
      </w:r>
      <w:r w:rsidRPr="00796A9D">
        <w:rPr>
          <w:rFonts w:ascii="Times New Roman" w:hAnsi="Times New Roman" w:cs="Times New Roman"/>
          <w:i/>
        </w:rPr>
        <w:t>I capitoli dell’Ordine dell’Armellino</w:t>
      </w:r>
      <w:r w:rsidRPr="00796A9D">
        <w:rPr>
          <w:rFonts w:ascii="Times New Roman" w:hAnsi="Times New Roman" w:cs="Times New Roman"/>
        </w:rPr>
        <w:t xml:space="preserve">, Napoli, Coster, 1845, p. 16. </w:t>
      </w:r>
    </w:p>
  </w:footnote>
  <w:footnote w:id="254">
    <w:p w14:paraId="02B5D0A5" w14:textId="77777777" w:rsidR="00CF5CFB" w:rsidRPr="00796A9D" w:rsidRDefault="00CF5CFB" w:rsidP="00796A9D">
      <w:pPr>
        <w:pStyle w:val="Testonotaapidipagina"/>
        <w:jc w:val="both"/>
        <w:rPr>
          <w:rFonts w:ascii="Times New Roman" w:hAnsi="Times New Roman" w:cs="Times New Roman"/>
          <w:i/>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M. Peruzzi</w:t>
      </w:r>
      <w:r w:rsidRPr="00796A9D">
        <w:rPr>
          <w:rFonts w:ascii="Times New Roman" w:hAnsi="Times New Roman" w:cs="Times New Roman"/>
        </w:rPr>
        <w:t xml:space="preserve">, </w:t>
      </w:r>
      <w:r w:rsidRPr="00796A9D">
        <w:rPr>
          <w:rFonts w:ascii="Times New Roman" w:hAnsi="Times New Roman" w:cs="Times New Roman"/>
          <w:i/>
        </w:rPr>
        <w:t>Cultura, Potere, immagine</w:t>
      </w:r>
      <w:r w:rsidRPr="00796A9D">
        <w:rPr>
          <w:rFonts w:ascii="Times New Roman" w:hAnsi="Times New Roman" w:cs="Times New Roman"/>
        </w:rPr>
        <w:t xml:space="preserve">, cit., p. 94, dove si segnala che tra i novantasei codici dedicati a Federico solo quattro furono i manoscritti di orazioni inviatigli in omaggio, tra i quali per l’appunto il manoscritto qui considerato. </w:t>
      </w:r>
    </w:p>
  </w:footnote>
  <w:footnote w:id="255">
    <w:p w14:paraId="1412011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Parigi, Bibliothèque Nationale de France, ms. Lat. 4586. Al foglio 54v. il colophon riporta il nome del calligrafo, Jeronimus de Murigiis, ma non la data di esecuzione, che per ragioni stilistiche è fissata intorno al 1475. Lo scritto tratta il problema delle unioni nuziali tra consanguinei ed è menzionato negli inventari della biblioteca di Pavia del 1488 e 1490, che ne ricordano la legatura in velluto morello con cantonali dorati, precisamente come dipinto nella miniatura. Si veda in merito la scheda di Pier Luigi Mulas pubblicata in </w:t>
      </w:r>
      <w:r w:rsidRPr="00796A9D">
        <w:rPr>
          <w:rFonts w:ascii="Times New Roman" w:hAnsi="Times New Roman" w:cs="Times New Roman"/>
          <w:i/>
        </w:rPr>
        <w:t>Arte lombarda dai Visconti agli Sforza. Milano al centro dell’Europa</w:t>
      </w:r>
      <w:r w:rsidRPr="00796A9D">
        <w:rPr>
          <w:rFonts w:ascii="Times New Roman" w:hAnsi="Times New Roman" w:cs="Times New Roman"/>
        </w:rPr>
        <w:t>, cit., p. 290.</w:t>
      </w:r>
    </w:p>
  </w:footnote>
  <w:footnote w:id="256">
    <w:p w14:paraId="11C09D3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P.L. Mulas</w:t>
      </w:r>
      <w:r w:rsidRPr="00796A9D">
        <w:rPr>
          <w:rFonts w:ascii="Times New Roman" w:hAnsi="Times New Roman" w:cs="Times New Roman"/>
        </w:rPr>
        <w:t xml:space="preserve">, </w:t>
      </w:r>
      <w:r w:rsidRPr="00796A9D">
        <w:rPr>
          <w:rFonts w:ascii="Times New Roman" w:hAnsi="Times New Roman" w:cs="Times New Roman"/>
          <w:i/>
        </w:rPr>
        <w:t>Una proposta per la miniatura e la pittura del Rinascimento a Pavia: il Maestro delle Ore Birago, alias Maestro dell’Annunciata Castiglioni?,</w:t>
      </w:r>
      <w:r w:rsidRPr="00796A9D">
        <w:rPr>
          <w:rFonts w:ascii="Times New Roman" w:hAnsi="Times New Roman" w:cs="Times New Roman"/>
        </w:rPr>
        <w:t xml:space="preserve"> cit., pp. 232-234, per il quale le affinità stilistiche dell’artista con la coeva produzione della miniatura ferrarese sarebbero da ricondurre anche a un suo possibile soggiorno nel capoluogo estense.</w:t>
      </w:r>
    </w:p>
  </w:footnote>
  <w:footnote w:id="257">
    <w:p w14:paraId="255BE08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197" w:name="_Hlk528581561"/>
      <w:r w:rsidRPr="00796A9D">
        <w:rPr>
          <w:rFonts w:ascii="Times New Roman" w:hAnsi="Times New Roman" w:cs="Times New Roman"/>
        </w:rPr>
        <w:t xml:space="preserve">Modena, Biblioteca Estense Universitaria, It. 353. </w:t>
      </w:r>
      <w:bookmarkEnd w:id="197"/>
      <w:r w:rsidRPr="00796A9D">
        <w:rPr>
          <w:rFonts w:ascii="Times New Roman" w:hAnsi="Times New Roman" w:cs="Times New Roman"/>
        </w:rPr>
        <w:t xml:space="preserve">Il </w:t>
      </w:r>
      <w:r w:rsidRPr="00796A9D">
        <w:rPr>
          <w:rFonts w:ascii="Times New Roman" w:hAnsi="Times New Roman" w:cs="Times New Roman"/>
          <w:i/>
        </w:rPr>
        <w:t>Libro del Salvatore</w:t>
      </w:r>
      <w:r w:rsidRPr="00796A9D">
        <w:rPr>
          <w:rFonts w:ascii="Times New Roman" w:hAnsi="Times New Roman" w:cs="Times New Roman"/>
        </w:rPr>
        <w:t xml:space="preserve"> è un volgarizzamento in versi degli episodi dei Vangeli, inframmezzati da considerazioni di ordine teologico e morale. Fu terminato, come il codice, nel 1469. Per esso e per un profilo biografico dell’autore vedi </w:t>
      </w:r>
      <w:r w:rsidRPr="00796A9D">
        <w:rPr>
          <w:rFonts w:ascii="Times New Roman" w:hAnsi="Times New Roman" w:cs="Times New Roman"/>
          <w:smallCaps/>
        </w:rPr>
        <w:t>E. Ragni</w:t>
      </w:r>
      <w:r w:rsidRPr="00796A9D">
        <w:rPr>
          <w:rFonts w:ascii="Times New Roman" w:hAnsi="Times New Roman" w:cs="Times New Roman"/>
        </w:rPr>
        <w:t xml:space="preserve">, s.v. </w:t>
      </w:r>
      <w:r w:rsidRPr="00796A9D">
        <w:rPr>
          <w:rFonts w:ascii="Times New Roman" w:hAnsi="Times New Roman" w:cs="Times New Roman"/>
          <w:i/>
        </w:rPr>
        <w:t>Bontempi, Candido Serafino</w:t>
      </w:r>
      <w:r w:rsidRPr="00796A9D">
        <w:rPr>
          <w:rFonts w:ascii="Times New Roman" w:hAnsi="Times New Roman" w:cs="Times New Roman"/>
        </w:rPr>
        <w:t xml:space="preserve">, DBI, 1971, vol. XII, pp. 433-435.  </w:t>
      </w:r>
    </w:p>
  </w:footnote>
  <w:footnote w:id="258">
    <w:p w14:paraId="50C198E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Insieme all’unicorno e al fonte battesimale, il paraduro fu una delle imprese predilette da Borso, frequentemente dipinta anche nelle pagine della sua celebre </w:t>
      </w:r>
      <w:r w:rsidRPr="00796A9D">
        <w:rPr>
          <w:rFonts w:ascii="Times New Roman" w:hAnsi="Times New Roman" w:cs="Times New Roman"/>
          <w:i/>
        </w:rPr>
        <w:t>Bibbia</w:t>
      </w:r>
      <w:r w:rsidRPr="00796A9D">
        <w:rPr>
          <w:rFonts w:ascii="Times New Roman" w:hAnsi="Times New Roman" w:cs="Times New Roman"/>
        </w:rPr>
        <w:t xml:space="preserve">. Si tratta di uno steccato in legno con siepe di graticcio, al quale è appesa una zucca come galleggiante per monitorare l'innalzamento delle acque del Po. L’emblema allude alla bonifica delle paludi del contado estense promossa dal duca per rendere fertile il suo territorio. Alcune considerazioni intorno alle scene d’offerta di opere letterarie presenti nei manoscritti destinati a Borso d’Este si leggono in </w:t>
      </w:r>
      <w:r w:rsidRPr="00796A9D">
        <w:rPr>
          <w:rFonts w:ascii="Times New Roman" w:hAnsi="Times New Roman" w:cs="Times New Roman"/>
          <w:smallCaps/>
        </w:rPr>
        <w:t>F. Brugnolo, R. Benedetti</w:t>
      </w:r>
      <w:r w:rsidRPr="00796A9D">
        <w:rPr>
          <w:rFonts w:ascii="Times New Roman" w:hAnsi="Times New Roman" w:cs="Times New Roman"/>
        </w:rPr>
        <w:t xml:space="preserve">, </w:t>
      </w:r>
      <w:r w:rsidRPr="00796A9D">
        <w:rPr>
          <w:rFonts w:ascii="Times New Roman" w:hAnsi="Times New Roman" w:cs="Times New Roman"/>
          <w:i/>
        </w:rPr>
        <w:t>La dedica tra medioevo e primo rinascimento: testo e immagine</w:t>
      </w:r>
      <w:r w:rsidRPr="00796A9D">
        <w:rPr>
          <w:rFonts w:ascii="Times New Roman" w:hAnsi="Times New Roman" w:cs="Times New Roman"/>
        </w:rPr>
        <w:t xml:space="preserve">, in </w:t>
      </w:r>
      <w:r w:rsidRPr="00796A9D">
        <w:rPr>
          <w:rFonts w:ascii="Times New Roman" w:hAnsi="Times New Roman" w:cs="Times New Roman"/>
          <w:i/>
        </w:rPr>
        <w:t>I margini del Libro. Indagine teorica e storica sui testi di dedica</w:t>
      </w:r>
      <w:r w:rsidRPr="00796A9D">
        <w:rPr>
          <w:rFonts w:ascii="Times New Roman" w:hAnsi="Times New Roman" w:cs="Times New Roman"/>
        </w:rPr>
        <w:t xml:space="preserve">. Atti del Convegno internazionale di studi. (Basilea 21-23 novembre 2002), a cura di </w:t>
      </w:r>
      <w:r w:rsidRPr="00796A9D">
        <w:rPr>
          <w:rFonts w:ascii="Times New Roman" w:hAnsi="Times New Roman" w:cs="Times New Roman"/>
          <w:smallCaps/>
        </w:rPr>
        <w:t>M.A. Terzoli</w:t>
      </w:r>
      <w:r w:rsidRPr="00796A9D">
        <w:rPr>
          <w:rFonts w:ascii="Times New Roman" w:hAnsi="Times New Roman" w:cs="Times New Roman"/>
        </w:rPr>
        <w:t xml:space="preserve">, Padova, Antenore, 2004, pp. 45-52. Per approfondimenti in merito allo stile di Giraldi nel </w:t>
      </w:r>
      <w:r w:rsidRPr="00796A9D">
        <w:rPr>
          <w:rFonts w:ascii="Times New Roman" w:hAnsi="Times New Roman" w:cs="Times New Roman"/>
          <w:i/>
        </w:rPr>
        <w:t>Libro del Salvatore</w:t>
      </w:r>
      <w:r w:rsidRPr="00796A9D">
        <w:rPr>
          <w:rFonts w:ascii="Times New Roman" w:hAnsi="Times New Roman" w:cs="Times New Roman"/>
        </w:rPr>
        <w:t xml:space="preserve">, </w:t>
      </w:r>
      <w:r w:rsidRPr="00796A9D">
        <w:rPr>
          <w:rFonts w:ascii="Times New Roman" w:hAnsi="Times New Roman" w:cs="Times New Roman"/>
          <w:smallCaps/>
        </w:rPr>
        <w:t>G.M. Canova</w:t>
      </w:r>
      <w:r w:rsidRPr="00796A9D">
        <w:rPr>
          <w:rFonts w:ascii="Times New Roman" w:hAnsi="Times New Roman" w:cs="Times New Roman"/>
        </w:rPr>
        <w:t xml:space="preserve">, </w:t>
      </w:r>
      <w:r w:rsidRPr="00796A9D">
        <w:rPr>
          <w:rFonts w:ascii="Times New Roman" w:hAnsi="Times New Roman" w:cs="Times New Roman"/>
          <w:i/>
        </w:rPr>
        <w:t>Guglielmo Giraldi miniatore estense</w:t>
      </w:r>
      <w:r w:rsidRPr="00796A9D">
        <w:rPr>
          <w:rFonts w:ascii="Times New Roman" w:hAnsi="Times New Roman" w:cs="Times New Roman"/>
        </w:rPr>
        <w:t xml:space="preserve">, cit., pp. 11-113. </w:t>
      </w:r>
    </w:p>
  </w:footnote>
  <w:footnote w:id="259">
    <w:p w14:paraId="2E14759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L’accordo spostò per breve tempo l’asse delle alleanze estere del ducato di Milano dalla Francia alla Borgogna. Tuttavia, le disfatte militari inferte all’esercito del Temerario a Grandson e Morat spinsero ben presto Galeazzo Maria a rinnovare gli accordi con il 9 agosto 1476. Cfr</w:t>
      </w:r>
      <w:r w:rsidRPr="00796A9D">
        <w:rPr>
          <w:rFonts w:ascii="Times New Roman" w:hAnsi="Times New Roman" w:cs="Times New Roman"/>
          <w:smallCaps/>
        </w:rPr>
        <w:t>. R. Fubini</w:t>
      </w:r>
      <w:r w:rsidRPr="00796A9D">
        <w:rPr>
          <w:rFonts w:ascii="Times New Roman" w:hAnsi="Times New Roman" w:cs="Times New Roman"/>
        </w:rPr>
        <w:t xml:space="preserve">, </w:t>
      </w:r>
      <w:r w:rsidRPr="00796A9D">
        <w:rPr>
          <w:rFonts w:ascii="Times New Roman" w:hAnsi="Times New Roman" w:cs="Times New Roman"/>
          <w:i/>
        </w:rPr>
        <w:t>I rapporti diplomatici tra Milano e Borgogna con particolare riguardo all’alleanza del 1475-1476</w:t>
      </w:r>
      <w:r w:rsidRPr="00796A9D">
        <w:rPr>
          <w:rFonts w:ascii="Times New Roman" w:hAnsi="Times New Roman" w:cs="Times New Roman"/>
        </w:rPr>
        <w:t xml:space="preserve">, in </w:t>
      </w:r>
      <w:r w:rsidRPr="00796A9D">
        <w:rPr>
          <w:rFonts w:ascii="Times New Roman" w:hAnsi="Times New Roman" w:cs="Times New Roman"/>
          <w:i/>
        </w:rPr>
        <w:t>Milano e Borgogna. Due stati principeschi tra medioevo e rinascimento</w:t>
      </w:r>
      <w:r w:rsidRPr="00796A9D">
        <w:rPr>
          <w:rFonts w:ascii="Times New Roman" w:hAnsi="Times New Roman" w:cs="Times New Roman"/>
        </w:rPr>
        <w:t xml:space="preserve">, a cura di </w:t>
      </w:r>
      <w:r w:rsidRPr="00796A9D">
        <w:rPr>
          <w:rFonts w:ascii="Times New Roman" w:hAnsi="Times New Roman" w:cs="Times New Roman"/>
          <w:smallCaps/>
        </w:rPr>
        <w:t>J.M. Cauchies, G. Chittolini</w:t>
      </w:r>
      <w:r w:rsidRPr="00796A9D">
        <w:rPr>
          <w:rFonts w:ascii="Times New Roman" w:hAnsi="Times New Roman" w:cs="Times New Roman"/>
        </w:rPr>
        <w:t xml:space="preserve">, Roma, Bulzoni, 1990, pp. 95-114. </w:t>
      </w:r>
    </w:p>
  </w:footnote>
  <w:footnote w:id="260">
    <w:p w14:paraId="61EF21B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tratta rispettivamente dei codici </w:t>
      </w:r>
      <w:bookmarkStart w:id="203" w:name="_Hlk528582085"/>
      <w:r w:rsidRPr="00796A9D">
        <w:rPr>
          <w:rFonts w:ascii="Times New Roman" w:hAnsi="Times New Roman" w:cs="Times New Roman"/>
        </w:rPr>
        <w:t>Bruxelles, Bibliothèque Royale de Belgique, ms. 9242</w:t>
      </w:r>
      <w:bookmarkEnd w:id="203"/>
      <w:r w:rsidRPr="00796A9D">
        <w:rPr>
          <w:rFonts w:ascii="Times New Roman" w:hAnsi="Times New Roman" w:cs="Times New Roman"/>
        </w:rPr>
        <w:t xml:space="preserve">; </w:t>
      </w:r>
      <w:bookmarkStart w:id="204" w:name="_Hlk528582625"/>
      <w:r w:rsidRPr="00796A9D">
        <w:rPr>
          <w:rFonts w:ascii="Times New Roman" w:hAnsi="Times New Roman" w:cs="Times New Roman"/>
        </w:rPr>
        <w:t>Vienna, Österreichisce National Bibliothek, ms. 2549</w:t>
      </w:r>
      <w:bookmarkEnd w:id="204"/>
      <w:r w:rsidRPr="00796A9D">
        <w:rPr>
          <w:rFonts w:ascii="Times New Roman" w:hAnsi="Times New Roman" w:cs="Times New Roman"/>
        </w:rPr>
        <w:t xml:space="preserve">; </w:t>
      </w:r>
      <w:bookmarkStart w:id="205" w:name="_Hlk528582898"/>
      <w:r w:rsidRPr="00796A9D">
        <w:rPr>
          <w:rFonts w:ascii="Times New Roman" w:hAnsi="Times New Roman" w:cs="Times New Roman"/>
        </w:rPr>
        <w:t>Paris, Bibliothèque Nationale de France, ms. fr. 9342</w:t>
      </w:r>
      <w:bookmarkEnd w:id="205"/>
      <w:r w:rsidRPr="00796A9D">
        <w:rPr>
          <w:rFonts w:ascii="Times New Roman" w:hAnsi="Times New Roman" w:cs="Times New Roman"/>
        </w:rPr>
        <w:t xml:space="preserve">. L’iconografia dei loro tre frontespizi è analizzata in </w:t>
      </w:r>
      <w:r w:rsidRPr="00796A9D">
        <w:rPr>
          <w:rFonts w:ascii="Times New Roman" w:hAnsi="Times New Roman" w:cs="Times New Roman"/>
          <w:smallCaps/>
        </w:rPr>
        <w:t>P. Schandel</w:t>
      </w:r>
      <w:r w:rsidRPr="00796A9D">
        <w:rPr>
          <w:rFonts w:ascii="Times New Roman" w:hAnsi="Times New Roman" w:cs="Times New Roman"/>
        </w:rPr>
        <w:t xml:space="preserve">, </w:t>
      </w:r>
      <w:r w:rsidRPr="00796A9D">
        <w:rPr>
          <w:rFonts w:ascii="Times New Roman" w:hAnsi="Times New Roman" w:cs="Times New Roman"/>
          <w:i/>
        </w:rPr>
        <w:t xml:space="preserve">Les images de dédicace à la cour de Bourgogne, </w:t>
      </w:r>
      <w:r w:rsidRPr="00796A9D">
        <w:rPr>
          <w:rFonts w:ascii="Times New Roman" w:hAnsi="Times New Roman" w:cs="Times New Roman"/>
        </w:rPr>
        <w:t>in</w:t>
      </w:r>
      <w:r w:rsidRPr="00796A9D">
        <w:rPr>
          <w:rFonts w:ascii="Times New Roman" w:hAnsi="Times New Roman" w:cs="Times New Roman"/>
          <w:i/>
        </w:rPr>
        <w:t xml:space="preserve"> Miniatures flamandes 1404-1482</w:t>
      </w:r>
      <w:r w:rsidRPr="00796A9D">
        <w:rPr>
          <w:rFonts w:ascii="Times New Roman" w:hAnsi="Times New Roman" w:cs="Times New Roman"/>
        </w:rPr>
        <w:t xml:space="preserve">, sous la direction de </w:t>
      </w:r>
      <w:r w:rsidRPr="00796A9D">
        <w:rPr>
          <w:rFonts w:ascii="Times New Roman" w:hAnsi="Times New Roman" w:cs="Times New Roman"/>
          <w:smallCaps/>
        </w:rPr>
        <w:t>B. Bousmanne, T. Delcourt</w:t>
      </w:r>
      <w:r w:rsidRPr="00796A9D">
        <w:rPr>
          <w:rFonts w:ascii="Times New Roman" w:hAnsi="Times New Roman" w:cs="Times New Roman"/>
        </w:rPr>
        <w:t xml:space="preserve">, Paris, Bibliothèque Nationale de France/Bibliotèque royale de Belgique, 2011, pp. 66-80. Si osservi che i codici cui faccio riferimento furono realizzati quasi trent’anni prima del manoscritto del </w:t>
      </w:r>
      <w:r w:rsidRPr="00796A9D">
        <w:rPr>
          <w:rFonts w:ascii="Times New Roman" w:hAnsi="Times New Roman" w:cs="Times New Roman"/>
          <w:i/>
        </w:rPr>
        <w:t>De impedimentis</w:t>
      </w:r>
      <w:r w:rsidRPr="00796A9D">
        <w:rPr>
          <w:rFonts w:ascii="Times New Roman" w:hAnsi="Times New Roman" w:cs="Times New Roman"/>
        </w:rPr>
        <w:t xml:space="preserve">. Un mutato clima politico nel ducato di Borgogna, ereditato da Carlo il Temerario nel 1467, portò successivamente ad un cambiamento nella rappresentazione delle scene di offerta d’opere letterarie che, alleggerite della cerimonialità evidente dei codici per Filippo il Buono, divennero scene di genere, volte ad illustrare quasi esclusivamente gli agi della vita di corte. Tuttavia, al momento della decorazione del trattato di Mangiaria, il modello della rappresentazione della corte di Filippo si dimostrava ancora efficace per le esigenze rappresentative dei duchi di Milano.   </w:t>
      </w:r>
    </w:p>
  </w:footnote>
  <w:footnote w:id="261">
    <w:p w14:paraId="2DEDC58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Posto sotto la protezione della Vergine e di sant’Andrea, l’ordine del Toson d’oro era concesso originariamente a un massimo di ventiquattro cavalieri e aveva per gran maestro lo stesso duca. Suo scopo era la difesa della fede cattolica e del ducato di Borgogna. Il suo patrono era l’eroe Giasone, al quale venne associato, a partire dal primo capitolo dell’ordine, svoltosi a Lille alla fine del 1431, il personaggio biblico di Gedeone. Per quanto pertiene alla sua istituzione e ai progetti per i suoi primi statuti, in larga misura comparabili con quelli dell’ordine della Giarrettiera, vedi </w:t>
      </w:r>
      <w:r w:rsidRPr="00796A9D">
        <w:rPr>
          <w:rFonts w:ascii="Times New Roman" w:hAnsi="Times New Roman" w:cs="Times New Roman"/>
          <w:smallCaps/>
        </w:rPr>
        <w:t>J. Paviot</w:t>
      </w:r>
      <w:r w:rsidRPr="00796A9D">
        <w:rPr>
          <w:rFonts w:ascii="Times New Roman" w:hAnsi="Times New Roman" w:cs="Times New Roman"/>
        </w:rPr>
        <w:t xml:space="preserve">, </w:t>
      </w:r>
      <w:r w:rsidRPr="00796A9D">
        <w:rPr>
          <w:rFonts w:ascii="Times New Roman" w:hAnsi="Times New Roman" w:cs="Times New Roman"/>
          <w:i/>
        </w:rPr>
        <w:t>Du nouveau sur la création de l'ordre de la toison d'or</w:t>
      </w:r>
      <w:r w:rsidRPr="00796A9D">
        <w:rPr>
          <w:rFonts w:ascii="Times New Roman" w:hAnsi="Times New Roman" w:cs="Times New Roman"/>
        </w:rPr>
        <w:t xml:space="preserve">, «Journal des Savants», II, 2002, pp. 279-298. </w:t>
      </w:r>
    </w:p>
  </w:footnote>
  <w:footnote w:id="262">
    <w:p w14:paraId="15C051B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Vienna, Österreichisce National Bibliothek, ms. 1856. Per il Maestro di Antonio di Borgogna, così soprannominato per avere miniato tre manoscritti per Antonio di Borgogna, figlio naturale di Filippo il Buono, e per l’attribuzione a lui di questo manoscritto vedi </w:t>
      </w:r>
      <w:r w:rsidRPr="00796A9D">
        <w:rPr>
          <w:rFonts w:ascii="Times New Roman" w:hAnsi="Times New Roman" w:cs="Times New Roman"/>
          <w:smallCaps/>
        </w:rPr>
        <w:t>P. Schandel</w:t>
      </w:r>
      <w:r w:rsidRPr="00796A9D">
        <w:rPr>
          <w:rFonts w:ascii="Times New Roman" w:hAnsi="Times New Roman" w:cs="Times New Roman"/>
        </w:rPr>
        <w:t xml:space="preserve">, </w:t>
      </w:r>
      <w:r w:rsidRPr="00796A9D">
        <w:rPr>
          <w:rFonts w:ascii="Times New Roman" w:hAnsi="Times New Roman" w:cs="Times New Roman"/>
          <w:i/>
        </w:rPr>
        <w:t xml:space="preserve">Le Maître d’Antoine de Bourgogne, </w:t>
      </w:r>
      <w:r w:rsidRPr="00796A9D">
        <w:rPr>
          <w:rFonts w:ascii="Times New Roman" w:hAnsi="Times New Roman" w:cs="Times New Roman"/>
        </w:rPr>
        <w:t>in</w:t>
      </w:r>
      <w:r w:rsidRPr="00796A9D">
        <w:rPr>
          <w:rFonts w:ascii="Times New Roman" w:hAnsi="Times New Roman" w:cs="Times New Roman"/>
          <w:i/>
        </w:rPr>
        <w:t xml:space="preserve"> Miniatures flamandes 1404-1482</w:t>
      </w:r>
      <w:r w:rsidRPr="00796A9D">
        <w:rPr>
          <w:rFonts w:ascii="Times New Roman" w:hAnsi="Times New Roman" w:cs="Times New Roman"/>
        </w:rPr>
        <w:t xml:space="preserve">, sous la direction de </w:t>
      </w:r>
      <w:r w:rsidRPr="00796A9D">
        <w:rPr>
          <w:rFonts w:ascii="Times New Roman" w:hAnsi="Times New Roman" w:cs="Times New Roman"/>
          <w:smallCaps/>
        </w:rPr>
        <w:t>B. Bousmanne, T. Delcourt</w:t>
      </w:r>
      <w:r w:rsidRPr="00796A9D">
        <w:rPr>
          <w:rFonts w:ascii="Times New Roman" w:hAnsi="Times New Roman" w:cs="Times New Roman"/>
        </w:rPr>
        <w:t xml:space="preserve">, cit., pp. 311-313. Ad oggi sono noti solo una decina di codici miniati su pergamene tinte di nero, tutti di provenienza fiamminga. Per ipotesi sull’acquisizione, da parte dello Sforza, del Libro d’ore di Vienna e per una sua parziale riproduzione fotografica, cfr. </w:t>
      </w:r>
      <w:r w:rsidRPr="00796A9D">
        <w:rPr>
          <w:rFonts w:ascii="Times New Roman" w:hAnsi="Times New Roman" w:cs="Times New Roman"/>
          <w:smallCaps/>
        </w:rPr>
        <w:t>Idem</w:t>
      </w:r>
      <w:r w:rsidRPr="00796A9D">
        <w:rPr>
          <w:rFonts w:ascii="Times New Roman" w:hAnsi="Times New Roman" w:cs="Times New Roman"/>
        </w:rPr>
        <w:t xml:space="preserve">, </w:t>
      </w:r>
      <w:r w:rsidRPr="00796A9D">
        <w:rPr>
          <w:rFonts w:ascii="Times New Roman" w:hAnsi="Times New Roman" w:cs="Times New Roman"/>
          <w:i/>
        </w:rPr>
        <w:t>Il libro d’ore di Vienna</w:t>
      </w:r>
      <w:r w:rsidRPr="00796A9D">
        <w:rPr>
          <w:rFonts w:ascii="Times New Roman" w:hAnsi="Times New Roman" w:cs="Times New Roman"/>
        </w:rPr>
        <w:t xml:space="preserve">, «FMR», </w:t>
      </w:r>
      <w:r w:rsidRPr="00796A9D">
        <w:rPr>
          <w:rStyle w:val="Enfasicorsivo"/>
          <w:rFonts w:ascii="Times New Roman" w:eastAsia="SimSun" w:hAnsi="Times New Roman" w:cs="Times New Roman"/>
          <w:i w:val="0"/>
        </w:rPr>
        <w:t>IX, 2005,</w:t>
      </w:r>
      <w:r w:rsidRPr="00796A9D">
        <w:rPr>
          <w:rStyle w:val="Enfasicorsivo"/>
          <w:rFonts w:ascii="Times New Roman" w:eastAsia="SimSun" w:hAnsi="Times New Roman" w:cs="Times New Roman"/>
        </w:rPr>
        <w:t xml:space="preserve"> </w:t>
      </w:r>
      <w:r w:rsidRPr="00796A9D">
        <w:rPr>
          <w:rFonts w:ascii="Times New Roman" w:hAnsi="Times New Roman" w:cs="Times New Roman"/>
        </w:rPr>
        <w:t>pp. 25-40.</w:t>
      </w:r>
    </w:p>
  </w:footnote>
  <w:footnote w:id="263">
    <w:p w14:paraId="0E0AD83C" w14:textId="77777777" w:rsidR="00CF5CFB" w:rsidRPr="00796A9D" w:rsidRDefault="00CF5CFB" w:rsidP="00796A9D">
      <w:pPr>
        <w:pStyle w:val="Testonotaapidipagina1"/>
        <w:spacing w:after="0"/>
        <w:ind w:left="0" w:firstLine="0"/>
        <w:rPr>
          <w:rFonts w:ascii="Times New Roman" w:hAnsi="Times New Roman" w:cs="Times New Roman"/>
          <w:lang w:val="it-IT"/>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kern w:val="20"/>
          <w:lang w:val="it-IT"/>
        </w:rPr>
        <w:t>G. Gentile</w:t>
      </w:r>
      <w:r w:rsidRPr="00796A9D">
        <w:rPr>
          <w:rFonts w:ascii="Times New Roman" w:hAnsi="Times New Roman" w:cs="Times New Roman"/>
          <w:lang w:val="it-IT"/>
        </w:rPr>
        <w:t xml:space="preserve">, </w:t>
      </w:r>
      <w:r w:rsidRPr="00796A9D">
        <w:rPr>
          <w:rFonts w:ascii="Times New Roman" w:hAnsi="Times New Roman" w:cs="Times New Roman"/>
          <w:i/>
          <w:lang w:val="it-IT"/>
        </w:rPr>
        <w:t>L’apparato iconografico</w:t>
      </w:r>
      <w:r w:rsidRPr="00796A9D">
        <w:rPr>
          <w:rFonts w:ascii="Times New Roman" w:hAnsi="Times New Roman" w:cs="Times New Roman"/>
          <w:lang w:val="it-IT"/>
        </w:rPr>
        <w:t xml:space="preserve">, in </w:t>
      </w:r>
      <w:r w:rsidRPr="00796A9D">
        <w:rPr>
          <w:rFonts w:ascii="Times New Roman" w:hAnsi="Times New Roman" w:cs="Times New Roman"/>
          <w:i/>
          <w:lang w:val="it-IT"/>
        </w:rPr>
        <w:t>Il codice Varia 124 della Biblioteca Reale di Torino miniato da Cristoforo de Predis (Milano, 1476)</w:t>
      </w:r>
      <w:r w:rsidRPr="00796A9D">
        <w:rPr>
          <w:rFonts w:ascii="Times New Roman" w:hAnsi="Times New Roman" w:cs="Times New Roman"/>
          <w:lang w:val="it-IT"/>
        </w:rPr>
        <w:t xml:space="preserve">, a cura di </w:t>
      </w:r>
      <w:r w:rsidRPr="00796A9D">
        <w:rPr>
          <w:rFonts w:ascii="Times New Roman" w:hAnsi="Times New Roman" w:cs="Times New Roman"/>
          <w:smallCaps/>
          <w:lang w:val="it-IT"/>
        </w:rPr>
        <w:t>A. Vitale Brovarone</w:t>
      </w:r>
      <w:r w:rsidRPr="00796A9D">
        <w:rPr>
          <w:rFonts w:ascii="Times New Roman" w:hAnsi="Times New Roman" w:cs="Times New Roman"/>
          <w:lang w:val="it-IT"/>
        </w:rPr>
        <w:t xml:space="preserve">, cit., pp. 43-54, dove, passando in rassegna i titoli della biblioteca di Pavia, si osserva come i duchi di Milano possedessero, all’altezza del 1469, diversi testi di devozione vicini alla sensibilità della meditazione immaginativa, come la </w:t>
      </w:r>
      <w:r w:rsidRPr="00796A9D">
        <w:rPr>
          <w:rFonts w:ascii="Times New Roman" w:hAnsi="Times New Roman" w:cs="Times New Roman"/>
          <w:i/>
          <w:lang w:val="it-IT"/>
        </w:rPr>
        <w:t>Meditatio vite Christi</w:t>
      </w:r>
      <w:r w:rsidRPr="00796A9D">
        <w:rPr>
          <w:rFonts w:ascii="Times New Roman" w:hAnsi="Times New Roman" w:cs="Times New Roman"/>
          <w:lang w:val="it-IT"/>
        </w:rPr>
        <w:t xml:space="preserve"> dello pseudo Bonaventura, la </w:t>
      </w:r>
      <w:r w:rsidRPr="00796A9D">
        <w:rPr>
          <w:rFonts w:ascii="Times New Roman" w:hAnsi="Times New Roman" w:cs="Times New Roman"/>
          <w:i/>
          <w:lang w:val="it-IT"/>
        </w:rPr>
        <w:t xml:space="preserve">Legenda aurea </w:t>
      </w:r>
      <w:r w:rsidRPr="00796A9D">
        <w:rPr>
          <w:rFonts w:ascii="Times New Roman" w:hAnsi="Times New Roman" w:cs="Times New Roman"/>
          <w:lang w:val="it-IT"/>
        </w:rPr>
        <w:t xml:space="preserve">di </w:t>
      </w:r>
      <w:bookmarkStart w:id="214" w:name="_Hlk535856960"/>
      <w:r w:rsidRPr="00796A9D">
        <w:rPr>
          <w:rFonts w:ascii="Times New Roman" w:hAnsi="Times New Roman" w:cs="Times New Roman"/>
          <w:lang w:val="it-IT"/>
        </w:rPr>
        <w:t>Jacopo da Varagine</w:t>
      </w:r>
      <w:bookmarkEnd w:id="214"/>
      <w:r w:rsidRPr="00796A9D">
        <w:rPr>
          <w:rFonts w:ascii="Times New Roman" w:hAnsi="Times New Roman" w:cs="Times New Roman"/>
          <w:lang w:val="it-IT"/>
        </w:rPr>
        <w:t xml:space="preserve">, e i contemporanei </w:t>
      </w:r>
      <w:r w:rsidRPr="00796A9D">
        <w:rPr>
          <w:rFonts w:ascii="Times New Roman" w:hAnsi="Times New Roman" w:cs="Times New Roman"/>
          <w:i/>
          <w:lang w:val="it-IT"/>
        </w:rPr>
        <w:t>De dominica passione</w:t>
      </w:r>
      <w:r w:rsidRPr="00796A9D">
        <w:rPr>
          <w:rFonts w:ascii="Times New Roman" w:hAnsi="Times New Roman" w:cs="Times New Roman"/>
          <w:lang w:val="it-IT"/>
        </w:rPr>
        <w:t xml:space="preserve"> di </w:t>
      </w:r>
      <w:bookmarkStart w:id="215" w:name="_Hlk535856878"/>
      <w:r w:rsidRPr="00796A9D">
        <w:rPr>
          <w:rFonts w:ascii="Times New Roman" w:hAnsi="Times New Roman" w:cs="Times New Roman"/>
          <w:lang w:val="it-IT"/>
        </w:rPr>
        <w:t xml:space="preserve">Bonino Mombrizio </w:t>
      </w:r>
      <w:bookmarkEnd w:id="215"/>
      <w:r w:rsidRPr="00796A9D">
        <w:rPr>
          <w:rFonts w:ascii="Times New Roman" w:hAnsi="Times New Roman" w:cs="Times New Roman"/>
          <w:lang w:val="it-IT"/>
        </w:rPr>
        <w:t xml:space="preserve">e i </w:t>
      </w:r>
      <w:r w:rsidRPr="00796A9D">
        <w:rPr>
          <w:rFonts w:ascii="Times New Roman" w:hAnsi="Times New Roman" w:cs="Times New Roman"/>
          <w:i/>
          <w:lang w:val="it-IT"/>
        </w:rPr>
        <w:t>Sermoni</w:t>
      </w:r>
      <w:r w:rsidRPr="00796A9D">
        <w:rPr>
          <w:rFonts w:ascii="Times New Roman" w:hAnsi="Times New Roman" w:cs="Times New Roman"/>
          <w:lang w:val="it-IT"/>
        </w:rPr>
        <w:t xml:space="preserve"> del francescano </w:t>
      </w:r>
      <w:bookmarkStart w:id="216" w:name="_Hlk535856814"/>
      <w:r w:rsidRPr="00796A9D">
        <w:rPr>
          <w:rFonts w:ascii="Times New Roman" w:hAnsi="Times New Roman" w:cs="Times New Roman"/>
          <w:lang w:val="it-IT"/>
        </w:rPr>
        <w:t>Roberto Caracciolo</w:t>
      </w:r>
      <w:bookmarkEnd w:id="216"/>
      <w:r w:rsidRPr="00796A9D">
        <w:rPr>
          <w:rFonts w:ascii="Times New Roman" w:hAnsi="Times New Roman" w:cs="Times New Roman"/>
          <w:lang w:val="it-IT"/>
        </w:rPr>
        <w:t xml:space="preserve">.  </w:t>
      </w:r>
    </w:p>
  </w:footnote>
  <w:footnote w:id="264">
    <w:p w14:paraId="51161C9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w:t>
      </w:r>
      <w:r w:rsidRPr="00796A9D">
        <w:rPr>
          <w:rFonts w:ascii="Times New Roman" w:hAnsi="Times New Roman" w:cs="Times New Roman"/>
          <w:i/>
        </w:rPr>
        <w:t>editio</w:t>
      </w:r>
      <w:r w:rsidRPr="00796A9D">
        <w:rPr>
          <w:rFonts w:ascii="Times New Roman" w:hAnsi="Times New Roman" w:cs="Times New Roman"/>
        </w:rPr>
        <w:t xml:space="preserve"> </w:t>
      </w:r>
      <w:r w:rsidRPr="00796A9D">
        <w:rPr>
          <w:rFonts w:ascii="Times New Roman" w:hAnsi="Times New Roman" w:cs="Times New Roman"/>
          <w:i/>
        </w:rPr>
        <w:t>princeps</w:t>
      </w:r>
      <w:r w:rsidRPr="00796A9D">
        <w:rPr>
          <w:rFonts w:ascii="Times New Roman" w:hAnsi="Times New Roman" w:cs="Times New Roman"/>
        </w:rPr>
        <w:t xml:space="preserve"> del </w:t>
      </w:r>
      <w:r w:rsidRPr="00796A9D">
        <w:rPr>
          <w:rFonts w:ascii="Times New Roman" w:hAnsi="Times New Roman" w:cs="Times New Roman"/>
          <w:i/>
        </w:rPr>
        <w:t>Zardino de oratione</w:t>
      </w:r>
      <w:r w:rsidRPr="00796A9D">
        <w:rPr>
          <w:rFonts w:ascii="Times New Roman" w:hAnsi="Times New Roman" w:cs="Times New Roman"/>
        </w:rPr>
        <w:t xml:space="preserve"> fu impressa nel 1494, presumibilmente a Venezia, dai torchi di </w:t>
      </w:r>
      <w:bookmarkStart w:id="217" w:name="_Hlk535857112"/>
      <w:r w:rsidRPr="00796A9D">
        <w:rPr>
          <w:rFonts w:ascii="Times New Roman" w:hAnsi="Times New Roman" w:cs="Times New Roman"/>
        </w:rPr>
        <w:t>Bernardino Benalio</w:t>
      </w:r>
      <w:bookmarkEnd w:id="217"/>
      <w:r w:rsidRPr="00796A9D">
        <w:rPr>
          <w:rFonts w:ascii="Times New Roman" w:hAnsi="Times New Roman" w:cs="Times New Roman"/>
        </w:rPr>
        <w:t xml:space="preserve">, BMC V 378; GW M26210; IGI 6862. Da essa è tratta la citazione alla carta X2v. </w:t>
      </w:r>
    </w:p>
  </w:footnote>
  <w:footnote w:id="265">
    <w:p w14:paraId="585469F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L’edizione integrale del testo del </w:t>
      </w:r>
      <w:r w:rsidRPr="00796A9D">
        <w:rPr>
          <w:rFonts w:ascii="Times New Roman" w:hAnsi="Times New Roman" w:cs="Times New Roman"/>
          <w:i/>
        </w:rPr>
        <w:t>Leggendario</w:t>
      </w:r>
      <w:r w:rsidRPr="00796A9D">
        <w:rPr>
          <w:rFonts w:ascii="Times New Roman" w:hAnsi="Times New Roman" w:cs="Times New Roman"/>
        </w:rPr>
        <w:t xml:space="preserve"> è fornita nel volume di commento all’edizione anastatica. Per questa citazione rinvio pertanto a </w:t>
      </w:r>
      <w:r w:rsidRPr="00796A9D">
        <w:rPr>
          <w:rFonts w:ascii="Times New Roman" w:hAnsi="Times New Roman" w:cs="Times New Roman"/>
          <w:i/>
        </w:rPr>
        <w:t>Il Codice Varia 124 della Biblioteca Reale di Torino</w:t>
      </w:r>
      <w:r w:rsidRPr="00796A9D">
        <w:rPr>
          <w:rFonts w:ascii="Times New Roman" w:hAnsi="Times New Roman" w:cs="Times New Roman"/>
        </w:rPr>
        <w:t xml:space="preserve">, a cura di </w:t>
      </w:r>
      <w:r w:rsidRPr="00796A9D">
        <w:rPr>
          <w:rFonts w:ascii="Times New Roman" w:hAnsi="Times New Roman" w:cs="Times New Roman"/>
          <w:smallCaps/>
        </w:rPr>
        <w:t>A. Vitale Brovarone</w:t>
      </w:r>
      <w:r w:rsidRPr="00796A9D">
        <w:rPr>
          <w:rFonts w:ascii="Times New Roman" w:hAnsi="Times New Roman" w:cs="Times New Roman"/>
        </w:rPr>
        <w:t>, cit., p. 153.</w:t>
      </w:r>
    </w:p>
  </w:footnote>
  <w:footnote w:id="266">
    <w:p w14:paraId="3971BB5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l’identificazione nel codice di paesaggi e architetture ispirate ai luoghi emblematici della Milano sforzesca si veda </w:t>
      </w:r>
      <w:r w:rsidRPr="00796A9D">
        <w:rPr>
          <w:rFonts w:ascii="Times New Roman" w:hAnsi="Times New Roman" w:cs="Times New Roman"/>
          <w:i/>
        </w:rPr>
        <w:t>Il Leggendario Sforza-Savoia. Ms. Varia 124 della Biblioteca Reale di Torino</w:t>
      </w:r>
      <w:r w:rsidRPr="00796A9D">
        <w:rPr>
          <w:rFonts w:ascii="Times New Roman" w:hAnsi="Times New Roman" w:cs="Times New Roman"/>
        </w:rPr>
        <w:t xml:space="preserve">, volume di commento al facsimile, a cura di </w:t>
      </w:r>
      <w:r w:rsidRPr="00796A9D">
        <w:rPr>
          <w:rFonts w:ascii="Times New Roman" w:hAnsi="Times New Roman" w:cs="Times New Roman"/>
          <w:smallCaps/>
        </w:rPr>
        <w:t>P.L. Mulas</w:t>
      </w:r>
      <w:r w:rsidRPr="00796A9D">
        <w:rPr>
          <w:rFonts w:ascii="Times New Roman" w:hAnsi="Times New Roman" w:cs="Times New Roman"/>
        </w:rPr>
        <w:t>, Modena, Franco Cosimo Panini, 2013, pp. 70-73, dove si ipotizza che la frequenza dei richiami alle architetture del castello di Porta Giovia potrebbe essere un ulteriore omaggio dell’artista a Galeazzo Maria Sforza, che dal 1467 aveva ripristinato la residenza della corte nella fortezza. Nel manoscritto si colgono inoltre richiami alla chiesa di San Gottardo in corte, di San Lorenzo, di Santa Maria Maggiore e all’area della piazza del Duomo.</w:t>
      </w:r>
    </w:p>
  </w:footnote>
  <w:footnote w:id="267">
    <w:p w14:paraId="5B2BC7B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merito all’organizzazione dello spazio scenico dei </w:t>
      </w:r>
      <w:r w:rsidRPr="00EB19AD">
        <w:rPr>
          <w:rFonts w:ascii="Times New Roman" w:hAnsi="Times New Roman" w:cs="Times New Roman"/>
          <w:i/>
        </w:rPr>
        <w:t>mystères</w:t>
      </w:r>
      <w:r w:rsidRPr="00796A9D">
        <w:rPr>
          <w:rFonts w:ascii="Times New Roman" w:hAnsi="Times New Roman" w:cs="Times New Roman"/>
        </w:rPr>
        <w:t xml:space="preserve"> e all’uso di cartigli per marcare le </w:t>
      </w:r>
      <w:r w:rsidRPr="00796A9D">
        <w:rPr>
          <w:rFonts w:ascii="Times New Roman" w:hAnsi="Times New Roman" w:cs="Times New Roman"/>
          <w:i/>
        </w:rPr>
        <w:t>mansiones</w:t>
      </w:r>
      <w:r w:rsidRPr="00796A9D">
        <w:rPr>
          <w:rFonts w:ascii="Times New Roman" w:hAnsi="Times New Roman" w:cs="Times New Roman"/>
        </w:rPr>
        <w:t xml:space="preserve"> in cui aveva luogo lo spettacolo cfr. </w:t>
      </w:r>
      <w:r w:rsidRPr="00796A9D">
        <w:rPr>
          <w:rFonts w:ascii="Times New Roman" w:hAnsi="Times New Roman" w:cs="Times New Roman"/>
          <w:smallCaps/>
        </w:rPr>
        <w:t>S. Pietrini</w:t>
      </w:r>
      <w:r w:rsidRPr="00796A9D">
        <w:rPr>
          <w:rFonts w:ascii="Times New Roman" w:hAnsi="Times New Roman" w:cs="Times New Roman"/>
        </w:rPr>
        <w:t xml:space="preserve">, </w:t>
      </w:r>
      <w:r w:rsidRPr="00796A9D">
        <w:rPr>
          <w:rFonts w:ascii="Times New Roman" w:hAnsi="Times New Roman" w:cs="Times New Roman"/>
          <w:i/>
        </w:rPr>
        <w:t>Spettacoli e immaginario teatrale nel medioevo</w:t>
      </w:r>
      <w:r w:rsidRPr="00796A9D">
        <w:rPr>
          <w:rFonts w:ascii="Times New Roman" w:hAnsi="Times New Roman" w:cs="Times New Roman"/>
        </w:rPr>
        <w:t xml:space="preserve">, Roma, Bulzoni, 2001, pp. 44-52. </w:t>
      </w:r>
    </w:p>
  </w:footnote>
  <w:footnote w:id="268">
    <w:p w14:paraId="3998FD7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Pensato originariamente come vestimento domestico, nel corso del Quattrocento il guarnello divenne un abito adatto alle danze poiché la sua semplicità, opportunamente ingentilita con l’inserzione di candidi veli, richiamava la veste delle ninfe. Per il suo impiego da parte di artisti del secolo XV per vestire figure di angeli, ancelle, danzatrici vedi </w:t>
      </w:r>
      <w:r w:rsidRPr="00796A9D">
        <w:rPr>
          <w:rFonts w:ascii="Times New Roman" w:hAnsi="Times New Roman" w:cs="Times New Roman"/>
          <w:smallCaps/>
        </w:rPr>
        <w:t>G. Lazzi</w:t>
      </w:r>
      <w:r w:rsidRPr="00796A9D">
        <w:rPr>
          <w:rFonts w:ascii="Times New Roman" w:hAnsi="Times New Roman" w:cs="Times New Roman"/>
        </w:rPr>
        <w:t xml:space="preserve">, </w:t>
      </w:r>
      <w:r w:rsidRPr="00796A9D">
        <w:rPr>
          <w:rFonts w:ascii="Times New Roman" w:hAnsi="Times New Roman" w:cs="Times New Roman"/>
          <w:i/>
        </w:rPr>
        <w:t>Il biondo e l’oro: da Simonetta Vespucci a Eleonora di Toledo</w:t>
      </w:r>
      <w:r w:rsidRPr="00796A9D">
        <w:rPr>
          <w:rFonts w:ascii="Times New Roman" w:hAnsi="Times New Roman" w:cs="Times New Roman"/>
        </w:rPr>
        <w:t xml:space="preserve">, in </w:t>
      </w:r>
      <w:r w:rsidRPr="00796A9D">
        <w:rPr>
          <w:rFonts w:ascii="Times New Roman" w:hAnsi="Times New Roman" w:cs="Times New Roman"/>
          <w:smallCaps/>
        </w:rPr>
        <w:t>Idem</w:t>
      </w:r>
      <w:r w:rsidRPr="00796A9D">
        <w:rPr>
          <w:rFonts w:ascii="Times New Roman" w:hAnsi="Times New Roman" w:cs="Times New Roman"/>
        </w:rPr>
        <w:t xml:space="preserve">, </w:t>
      </w:r>
      <w:r w:rsidRPr="00796A9D">
        <w:rPr>
          <w:rFonts w:ascii="Times New Roman" w:hAnsi="Times New Roman" w:cs="Times New Roman"/>
          <w:smallCaps/>
        </w:rPr>
        <w:t>P. Ventrone</w:t>
      </w:r>
      <w:r w:rsidRPr="00796A9D">
        <w:rPr>
          <w:rFonts w:ascii="Times New Roman" w:hAnsi="Times New Roman" w:cs="Times New Roman"/>
        </w:rPr>
        <w:t xml:space="preserve">, </w:t>
      </w:r>
      <w:r w:rsidRPr="00796A9D">
        <w:rPr>
          <w:rFonts w:ascii="Times New Roman" w:hAnsi="Times New Roman" w:cs="Times New Roman"/>
          <w:i/>
        </w:rPr>
        <w:t>Simonetta Vespucci. La nascita della Venere fiorentina</w:t>
      </w:r>
      <w:r w:rsidRPr="00796A9D">
        <w:rPr>
          <w:rFonts w:ascii="Times New Roman" w:hAnsi="Times New Roman" w:cs="Times New Roman"/>
        </w:rPr>
        <w:t>, Firenze, Polistampa, 2007, pp. 71-72.</w:t>
      </w:r>
    </w:p>
  </w:footnote>
  <w:footnote w:id="269">
    <w:p w14:paraId="3D41679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C. Santarelli</w:t>
      </w:r>
      <w:r w:rsidRPr="00796A9D">
        <w:rPr>
          <w:rFonts w:ascii="Times New Roman" w:hAnsi="Times New Roman" w:cs="Times New Roman"/>
        </w:rPr>
        <w:t xml:space="preserve">, </w:t>
      </w:r>
      <w:r w:rsidRPr="00796A9D">
        <w:rPr>
          <w:rFonts w:ascii="Times New Roman" w:hAnsi="Times New Roman" w:cs="Times New Roman"/>
          <w:i/>
        </w:rPr>
        <w:t>Riflessi della Milano musicale sforzesca nel codice Varia 124 della Biblioteca Reale di Torino</w:t>
      </w:r>
      <w:r w:rsidRPr="00796A9D">
        <w:rPr>
          <w:rFonts w:ascii="Times New Roman" w:hAnsi="Times New Roman" w:cs="Times New Roman"/>
        </w:rPr>
        <w:t>, «Music in art», XXXIII, 2008, pp. 30-37.</w:t>
      </w:r>
    </w:p>
  </w:footnote>
  <w:footnote w:id="270">
    <w:p w14:paraId="113115F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testo degli Ordinati relativo alle spese per il macchinario della gola dell’inferno è pubblicato in </w:t>
      </w:r>
      <w:r w:rsidRPr="00796A9D">
        <w:rPr>
          <w:rFonts w:ascii="Times New Roman" w:hAnsi="Times New Roman" w:cs="Times New Roman"/>
          <w:smallCaps/>
        </w:rPr>
        <w:t>F. Gabotto</w:t>
      </w:r>
      <w:r w:rsidRPr="00796A9D">
        <w:rPr>
          <w:rFonts w:ascii="Times New Roman" w:hAnsi="Times New Roman" w:cs="Times New Roman"/>
        </w:rPr>
        <w:t xml:space="preserve">, </w:t>
      </w:r>
      <w:r w:rsidRPr="00796A9D">
        <w:rPr>
          <w:rFonts w:ascii="Times New Roman" w:hAnsi="Times New Roman" w:cs="Times New Roman"/>
          <w:i/>
        </w:rPr>
        <w:t>Due sacre rappresentazioni in Torino nel secolo XV</w:t>
      </w:r>
      <w:r w:rsidRPr="00796A9D">
        <w:rPr>
          <w:rFonts w:ascii="Times New Roman" w:hAnsi="Times New Roman" w:cs="Times New Roman"/>
        </w:rPr>
        <w:t xml:space="preserve">, «Archivio per lo studio delle tradizioni popolari», IX, 1890, pp. 98-104.  </w:t>
      </w:r>
    </w:p>
  </w:footnote>
  <w:footnote w:id="271">
    <w:p w14:paraId="2325022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Firenze, Biblioteca Nazionale, ms. Laur. Ash. 1190. La composizione del testo revellese dovette procedere in tempi diversi, da prima del 1479 (data di una rappresentazione della Conversione di Maria Maddalena poi compresa nel ciclo) a prima del 15 luglio 1490 (anno dell'explicit del manoscritto fiorentino). L’attivazione dell’ingegno dell’inferno è ricordata dal testo nella I e nella III giornata della recita. Cfr. </w:t>
      </w:r>
      <w:bookmarkStart w:id="219" w:name="_Hlk522953946"/>
      <w:r w:rsidRPr="00796A9D">
        <w:rPr>
          <w:rFonts w:ascii="Times New Roman" w:hAnsi="Times New Roman" w:cs="Times New Roman"/>
          <w:smallCaps/>
        </w:rPr>
        <w:t>A. Cornagliotti</w:t>
      </w:r>
      <w:r w:rsidRPr="00796A9D">
        <w:rPr>
          <w:rFonts w:ascii="Times New Roman" w:hAnsi="Times New Roman" w:cs="Times New Roman"/>
        </w:rPr>
        <w:t xml:space="preserve">, </w:t>
      </w:r>
      <w:r w:rsidRPr="00796A9D">
        <w:rPr>
          <w:rFonts w:ascii="Times New Roman" w:hAnsi="Times New Roman" w:cs="Times New Roman"/>
          <w:i/>
        </w:rPr>
        <w:t>La Passione di Revello. Sacra rappresentazione quattrocentesca di ignoto piemontese</w:t>
      </w:r>
      <w:r w:rsidRPr="00796A9D">
        <w:rPr>
          <w:rFonts w:ascii="Times New Roman" w:hAnsi="Times New Roman" w:cs="Times New Roman"/>
        </w:rPr>
        <w:t>, Torino, Centro studi piemontesi, 1976</w:t>
      </w:r>
      <w:bookmarkEnd w:id="219"/>
      <w:r w:rsidRPr="00796A9D">
        <w:rPr>
          <w:rFonts w:ascii="Times New Roman" w:hAnsi="Times New Roman" w:cs="Times New Roman"/>
        </w:rPr>
        <w:t xml:space="preserve">, p. XXIV; per l'esatta citazione dei passi del testo con le scene infernali, </w:t>
      </w:r>
      <w:r w:rsidRPr="00796A9D">
        <w:rPr>
          <w:rFonts w:ascii="Times New Roman" w:hAnsi="Times New Roman" w:cs="Times New Roman"/>
          <w:i/>
        </w:rPr>
        <w:t>Ibidem</w:t>
      </w:r>
      <w:r w:rsidRPr="00796A9D">
        <w:rPr>
          <w:rFonts w:ascii="Times New Roman" w:hAnsi="Times New Roman" w:cs="Times New Roman"/>
        </w:rPr>
        <w:t xml:space="preserve">, p. LXIV. L’uso di ingegni infernali è documentato molto presto in area francese, dove già nel 1212 l’abbazia di San Marziale di Limòges acquistò un </w:t>
      </w:r>
      <w:r w:rsidRPr="00796A9D">
        <w:rPr>
          <w:rFonts w:ascii="Times New Roman" w:hAnsi="Times New Roman" w:cs="Times New Roman"/>
          <w:i/>
        </w:rPr>
        <w:t>infernus artificiose composite</w:t>
      </w:r>
      <w:r w:rsidRPr="00796A9D">
        <w:rPr>
          <w:rFonts w:ascii="Times New Roman" w:hAnsi="Times New Roman" w:cs="Times New Roman"/>
        </w:rPr>
        <w:t xml:space="preserve"> di forma non meglio precisata. Sappiamo invece dell’impiego di una </w:t>
      </w:r>
      <w:r w:rsidRPr="00796A9D">
        <w:rPr>
          <w:rFonts w:ascii="Times New Roman" w:hAnsi="Times New Roman" w:cs="Times New Roman"/>
          <w:i/>
        </w:rPr>
        <w:t>bouche d’Enfer</w:t>
      </w:r>
      <w:r w:rsidRPr="00796A9D">
        <w:rPr>
          <w:rFonts w:ascii="Times New Roman" w:hAnsi="Times New Roman" w:cs="Times New Roman"/>
        </w:rPr>
        <w:t xml:space="preserve"> nel 1436 per l’allestimento della Passione di Metz, e nel 1474 per la recita dell’</w:t>
      </w:r>
      <w:r w:rsidRPr="00796A9D">
        <w:rPr>
          <w:rFonts w:ascii="Times New Roman" w:hAnsi="Times New Roman" w:cs="Times New Roman"/>
          <w:i/>
        </w:rPr>
        <w:t>Incarnation</w:t>
      </w:r>
      <w:r w:rsidRPr="00796A9D">
        <w:rPr>
          <w:rFonts w:ascii="Times New Roman" w:hAnsi="Times New Roman" w:cs="Times New Roman"/>
        </w:rPr>
        <w:t xml:space="preserve"> </w:t>
      </w:r>
      <w:r w:rsidRPr="00796A9D">
        <w:rPr>
          <w:rFonts w:ascii="Times New Roman" w:hAnsi="Times New Roman" w:cs="Times New Roman"/>
          <w:i/>
        </w:rPr>
        <w:t>et Nativité de Jésus-Christ</w:t>
      </w:r>
      <w:r w:rsidRPr="00796A9D">
        <w:rPr>
          <w:rFonts w:ascii="Times New Roman" w:hAnsi="Times New Roman" w:cs="Times New Roman"/>
        </w:rPr>
        <w:t xml:space="preserve"> di Rouen, e ancora nel 1477 per la Passione di Montferrand. Per informazioni più precise intorno a questa tipologia di apparati e alla loro diffusione in Francia e nella Penisola Iberica nel Quattrocento rinvio a </w:t>
      </w:r>
      <w:bookmarkStart w:id="220" w:name="_Hlk522954070"/>
      <w:r w:rsidRPr="00796A9D">
        <w:rPr>
          <w:rFonts w:ascii="Times New Roman" w:hAnsi="Times New Roman" w:cs="Times New Roman"/>
          <w:smallCaps/>
        </w:rPr>
        <w:t>F. Massip</w:t>
      </w:r>
      <w:r w:rsidRPr="00796A9D">
        <w:rPr>
          <w:rFonts w:ascii="Times New Roman" w:hAnsi="Times New Roman" w:cs="Times New Roman"/>
        </w:rPr>
        <w:t xml:space="preserve">, </w:t>
      </w:r>
      <w:r w:rsidRPr="00796A9D">
        <w:rPr>
          <w:rFonts w:ascii="Times New Roman" w:hAnsi="Times New Roman" w:cs="Times New Roman"/>
          <w:i/>
        </w:rPr>
        <w:t>L’inferno in scena: presenze diaboliche nel teatro catalano medioevale</w:t>
      </w:r>
      <w:r w:rsidRPr="00796A9D">
        <w:rPr>
          <w:rFonts w:ascii="Times New Roman" w:hAnsi="Times New Roman" w:cs="Times New Roman"/>
        </w:rPr>
        <w:t xml:space="preserve">, in </w:t>
      </w:r>
      <w:r w:rsidRPr="00796A9D">
        <w:rPr>
          <w:rFonts w:ascii="Times New Roman" w:hAnsi="Times New Roman" w:cs="Times New Roman"/>
          <w:i/>
        </w:rPr>
        <w:t>Dramma medioevale europeo</w:t>
      </w:r>
      <w:r w:rsidRPr="00796A9D">
        <w:rPr>
          <w:rFonts w:ascii="Times New Roman" w:hAnsi="Times New Roman" w:cs="Times New Roman"/>
        </w:rPr>
        <w:t xml:space="preserve">. Atti della III conferenza internazionale su Aspetti del dramma medievale europeo (Camerino, 3-5 luglio 1998), a cura di </w:t>
      </w:r>
      <w:r w:rsidRPr="00796A9D">
        <w:rPr>
          <w:rFonts w:ascii="Times New Roman" w:hAnsi="Times New Roman" w:cs="Times New Roman"/>
          <w:smallCaps/>
        </w:rPr>
        <w:t>S. Higgins, F. Paino</w:t>
      </w:r>
      <w:r w:rsidRPr="00796A9D">
        <w:rPr>
          <w:rFonts w:ascii="Times New Roman" w:hAnsi="Times New Roman" w:cs="Times New Roman"/>
        </w:rPr>
        <w:t xml:space="preserve">, Camerino, Università degli Studi di Camerino, 1999, pp. 187-214. </w:t>
      </w:r>
      <w:r w:rsidRPr="00796A9D">
        <w:rPr>
          <w:rFonts w:ascii="Times New Roman" w:hAnsi="Times New Roman" w:cs="Times New Roman"/>
          <w:smallCaps/>
        </w:rPr>
        <w:t>A. Vitale Brovarone</w:t>
      </w:r>
      <w:r w:rsidRPr="00796A9D">
        <w:rPr>
          <w:rFonts w:ascii="Times New Roman" w:hAnsi="Times New Roman" w:cs="Times New Roman"/>
        </w:rPr>
        <w:t xml:space="preserve">, </w:t>
      </w:r>
      <w:r w:rsidRPr="00796A9D">
        <w:rPr>
          <w:rFonts w:ascii="Times New Roman" w:hAnsi="Times New Roman" w:cs="Times New Roman"/>
          <w:i/>
        </w:rPr>
        <w:t>Il quaderno di segreti d’un regista provenzale del Medioevo. Note per la messa in scena d’una Passione</w:t>
      </w:r>
      <w:r w:rsidRPr="00796A9D">
        <w:rPr>
          <w:rFonts w:ascii="Times New Roman" w:hAnsi="Times New Roman" w:cs="Times New Roman"/>
        </w:rPr>
        <w:t xml:space="preserve">, Alessandria, Dall’Orso, 1984 fornisce anche l’edizione degli appunti di un maestro apparatore provenzale sulle modalità di realizzazione di ingegni scenici per rappresentare alcuni </w:t>
      </w:r>
      <w:r w:rsidRPr="00796A9D">
        <w:rPr>
          <w:rFonts w:ascii="Times New Roman" w:hAnsi="Times New Roman" w:cs="Times New Roman"/>
          <w:i/>
        </w:rPr>
        <w:t>Mystères</w:t>
      </w:r>
      <w:r w:rsidRPr="00796A9D">
        <w:rPr>
          <w:rFonts w:ascii="Times New Roman" w:hAnsi="Times New Roman" w:cs="Times New Roman"/>
        </w:rPr>
        <w:t>.</w:t>
      </w:r>
    </w:p>
    <w:bookmarkEnd w:id="220"/>
  </w:footnote>
  <w:footnote w:id="272">
    <w:p w14:paraId="5DD0159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 Bona di Savoia e sull’importanza diplomatica delle sue nozze nello scenario della politica estera sforzesca vedi D.M. </w:t>
      </w:r>
      <w:r w:rsidRPr="00796A9D">
        <w:rPr>
          <w:rFonts w:ascii="Times New Roman" w:hAnsi="Times New Roman" w:cs="Times New Roman"/>
          <w:smallCaps/>
        </w:rPr>
        <w:t>Bueno de Mesquita</w:t>
      </w:r>
      <w:r w:rsidRPr="00796A9D">
        <w:rPr>
          <w:rFonts w:ascii="Times New Roman" w:hAnsi="Times New Roman" w:cs="Times New Roman"/>
        </w:rPr>
        <w:t xml:space="preserve">, s.v. </w:t>
      </w:r>
      <w:r w:rsidRPr="00796A9D">
        <w:rPr>
          <w:rFonts w:ascii="Times New Roman" w:hAnsi="Times New Roman" w:cs="Times New Roman"/>
          <w:i/>
        </w:rPr>
        <w:t>Bona di Savoia</w:t>
      </w:r>
      <w:r w:rsidRPr="00796A9D">
        <w:rPr>
          <w:rFonts w:ascii="Times New Roman" w:hAnsi="Times New Roman" w:cs="Times New Roman"/>
        </w:rPr>
        <w:t>, DBI, XI, 1969, pp. 428-430.</w:t>
      </w:r>
    </w:p>
  </w:footnote>
  <w:footnote w:id="273">
    <w:p w14:paraId="12DA0F8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preparazione di questo studiolo occupò Ippolita nei mesi successivi al suo arrivo a Napoli. Per esso richiese alla madre Bianca Maria Visconti l’invio di ritratti dei genitori e dei fratelli, così da creare uno spazio rappresentativo delle proprie origini familiari e culturali milanesi, in cui anche i libri presenti dovettero avere una funzione di richiamo delle buone alleanze intercorrenti tra le famiglie Aragona e Sforza. Tra i volumi della dote di Ippolita vi era, ad esempio, la </w:t>
      </w:r>
      <w:r w:rsidRPr="00796A9D">
        <w:rPr>
          <w:rFonts w:ascii="Times New Roman" w:hAnsi="Times New Roman" w:cs="Times New Roman"/>
          <w:i/>
        </w:rPr>
        <w:t>Vita di San Nicola di Bari</w:t>
      </w:r>
      <w:r w:rsidRPr="00796A9D">
        <w:rPr>
          <w:rFonts w:ascii="Times New Roman" w:hAnsi="Times New Roman" w:cs="Times New Roman"/>
        </w:rPr>
        <w:t xml:space="preserve">, a ricordare la concessione del titolo di duca di Bari a suo fratello, Sforza Maria Sforza, da parte di Ferrante d’Aragona nel 1464. Per un’analisi del progetto dello Studiolo e per considerazioni intorno al valore rappresentativo dei titoli recati a Napoli dalla sposa vedi </w:t>
      </w:r>
      <w:bookmarkStart w:id="221" w:name="_Hlk522954435"/>
      <w:r w:rsidRPr="00796A9D">
        <w:rPr>
          <w:rFonts w:ascii="Times New Roman" w:hAnsi="Times New Roman" w:cs="Times New Roman"/>
          <w:smallCaps/>
        </w:rPr>
        <w:t>J. Bryce</w:t>
      </w:r>
      <w:r w:rsidRPr="00796A9D">
        <w:rPr>
          <w:rFonts w:ascii="Times New Roman" w:hAnsi="Times New Roman" w:cs="Times New Roman"/>
        </w:rPr>
        <w:t xml:space="preserve">, </w:t>
      </w:r>
      <w:r w:rsidRPr="00796A9D">
        <w:rPr>
          <w:rFonts w:ascii="Times New Roman" w:hAnsi="Times New Roman" w:cs="Times New Roman"/>
          <w:i/>
        </w:rPr>
        <w:t>«Fa finire uno bello studio e dice volere studiare». Ippolita Sforza and her Books</w:t>
      </w:r>
      <w:r w:rsidRPr="00796A9D">
        <w:rPr>
          <w:rFonts w:ascii="Times New Roman" w:hAnsi="Times New Roman" w:cs="Times New Roman"/>
        </w:rPr>
        <w:t xml:space="preserve">, «Bibliothèque d’Humanisme et Renaissance», LXIV, 2002, pp. 55-70. </w:t>
      </w:r>
      <w:bookmarkEnd w:id="221"/>
    </w:p>
  </w:footnote>
  <w:footnote w:id="274">
    <w:p w14:paraId="5291E88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222" w:name="_Hlk528591320"/>
      <w:r w:rsidRPr="00796A9D">
        <w:rPr>
          <w:rFonts w:ascii="Times New Roman" w:hAnsi="Times New Roman" w:cs="Times New Roman"/>
        </w:rPr>
        <w:t xml:space="preserve">Valencia, Biblioteca de la Universidad, ms. 780. </w:t>
      </w:r>
      <w:bookmarkEnd w:id="222"/>
      <w:r w:rsidRPr="00796A9D">
        <w:rPr>
          <w:rFonts w:ascii="Times New Roman" w:hAnsi="Times New Roman" w:cs="Times New Roman"/>
        </w:rPr>
        <w:t xml:space="preserve">Per osservazioni stilistiche intorno all’arte del Maestro di Ippolita Sforza e per la discussione delle opere del suo catalogo rinvio a </w:t>
      </w:r>
      <w:r w:rsidRPr="00796A9D">
        <w:rPr>
          <w:rFonts w:ascii="Times New Roman" w:hAnsi="Times New Roman" w:cs="Times New Roman"/>
          <w:smallCaps/>
        </w:rPr>
        <w:t>G.Z. Zanichelli</w:t>
      </w:r>
      <w:r w:rsidRPr="00796A9D">
        <w:rPr>
          <w:rFonts w:ascii="Times New Roman" w:hAnsi="Times New Roman" w:cs="Times New Roman"/>
        </w:rPr>
        <w:t xml:space="preserve">, </w:t>
      </w:r>
      <w:r w:rsidRPr="00796A9D">
        <w:rPr>
          <w:rFonts w:ascii="Times New Roman" w:hAnsi="Times New Roman" w:cs="Times New Roman"/>
          <w:i/>
        </w:rPr>
        <w:t>Il Maestro di Ippolita Sforza e il suo atelier: Ipotesi di un percorso</w:t>
      </w:r>
      <w:r w:rsidRPr="00796A9D">
        <w:rPr>
          <w:rFonts w:ascii="Times New Roman" w:hAnsi="Times New Roman" w:cs="Times New Roman"/>
        </w:rPr>
        <w:t xml:space="preserve">, «Artes», 14, 2008-2009, pp. 5-33. </w:t>
      </w:r>
    </w:p>
  </w:footnote>
  <w:footnote w:id="275">
    <w:p w14:paraId="4291ADD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L’educazione di Ippolita Sforza si era svolta in parallelo a quella di suo fratello Galeazzo Maria e aveva beneficiato degli insegnamenti degli umanisti Baldo Martorelli e di Costantino Lascaris. Da quest’ultimo la Sforza aveva appreso alcuni rudimenti di greco, come attesta nell’elenco dei libri della dote la presenza di una copia dei Vangeli in lingua originale. Per osservazioni riguardo alla formazione della giovane Ippolita in vista del suo ruolo di consorte dell’erede al trono di Napoli si veda </w:t>
      </w:r>
      <w:bookmarkStart w:id="223" w:name="_Hlk522954563"/>
      <w:r w:rsidRPr="00796A9D">
        <w:rPr>
          <w:rFonts w:ascii="Times New Roman" w:hAnsi="Times New Roman" w:cs="Times New Roman"/>
          <w:smallCaps/>
        </w:rPr>
        <w:t>M. Ferrari</w:t>
      </w:r>
      <w:r w:rsidRPr="00796A9D">
        <w:rPr>
          <w:rFonts w:ascii="Times New Roman" w:hAnsi="Times New Roman" w:cs="Times New Roman"/>
        </w:rPr>
        <w:t xml:space="preserve">, </w:t>
      </w:r>
      <w:r w:rsidRPr="00796A9D">
        <w:rPr>
          <w:rFonts w:ascii="Times New Roman" w:hAnsi="Times New Roman" w:cs="Times New Roman"/>
          <w:i/>
        </w:rPr>
        <w:t>“Per non manchare in tutto del debito mio”: l’educazione dei bambini Sforza nel Quattrocento</w:t>
      </w:r>
      <w:r w:rsidRPr="00796A9D">
        <w:rPr>
          <w:rFonts w:ascii="Times New Roman" w:hAnsi="Times New Roman" w:cs="Times New Roman"/>
        </w:rPr>
        <w:t>, Milano, F. Angeli, 2000</w:t>
      </w:r>
      <w:bookmarkEnd w:id="223"/>
      <w:r w:rsidRPr="00796A9D">
        <w:rPr>
          <w:rFonts w:ascii="Times New Roman" w:hAnsi="Times New Roman" w:cs="Times New Roman"/>
        </w:rPr>
        <w:t xml:space="preserve">, pp. 240-242. Si noti inoltre come in occasione delle nozze di Ippolita giungessero a Napoli diversi cortigiani milanesi. Tra quelli rimasti stabilmente al servizio della duchessa di Calabria vi furono Lascaris, che assunse anche la docenza di greco presso lo Studium partenopeo, e Aurelio Bienato, che alternò al compito di precettore dei figli della principessa un lettorato di retorica all’università. L’importazione della cultura umanistica milanese divenne dunque una cifra distintiva della corte napoletana di Ippolita. Cfr. </w:t>
      </w:r>
      <w:bookmarkStart w:id="224" w:name="_Hlk522954650"/>
      <w:r w:rsidRPr="00796A9D">
        <w:rPr>
          <w:rFonts w:ascii="Times New Roman" w:hAnsi="Times New Roman" w:cs="Times New Roman"/>
          <w:smallCaps/>
        </w:rPr>
        <w:t>V. Mele</w:t>
      </w:r>
      <w:r w:rsidRPr="00796A9D">
        <w:rPr>
          <w:rFonts w:ascii="Times New Roman" w:hAnsi="Times New Roman" w:cs="Times New Roman"/>
        </w:rPr>
        <w:t xml:space="preserve">, </w:t>
      </w:r>
      <w:r w:rsidRPr="00796A9D">
        <w:rPr>
          <w:rFonts w:ascii="Times New Roman" w:hAnsi="Times New Roman" w:cs="Times New Roman"/>
          <w:i/>
        </w:rPr>
        <w:t>La corte di Ippolita Sforza, Duchessa di Calabria, nelle corrispondenze diplomatiche tra Napoli e Milano</w:t>
      </w:r>
      <w:r w:rsidRPr="00796A9D">
        <w:rPr>
          <w:rFonts w:ascii="Times New Roman" w:hAnsi="Times New Roman" w:cs="Times New Roman"/>
        </w:rPr>
        <w:t xml:space="preserve">, «Mélanges de la Casa de Velázquez», XLV, 2015, pp. 125-141. </w:t>
      </w:r>
    </w:p>
    <w:bookmarkEnd w:id="224"/>
  </w:footnote>
  <w:footnote w:id="276">
    <w:p w14:paraId="69C749E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 xml:space="preserve">Habuisti, dilecta filia, coram nobis orationem elegantem, tersam et magno oratore dignam. </w:t>
      </w:r>
      <w:r w:rsidRPr="00796A9D">
        <w:rPr>
          <w:rFonts w:ascii="Times New Roman" w:hAnsi="Times New Roman" w:cs="Times New Roman"/>
          <w:i/>
          <w:lang w:val="en-US"/>
        </w:rPr>
        <w:t>Admiramur te, ingenium et virtutem tuam. Gaudeat mater tua praesens et pater tuus absens, qui te talem genuere parentes</w:t>
      </w:r>
      <w:r w:rsidRPr="00796A9D">
        <w:rPr>
          <w:rFonts w:ascii="Times New Roman" w:hAnsi="Times New Roman" w:cs="Times New Roman"/>
          <w:lang w:val="en-US"/>
        </w:rPr>
        <w:t xml:space="preserve">». </w:t>
      </w:r>
      <w:r w:rsidRPr="00796A9D">
        <w:rPr>
          <w:rFonts w:ascii="Times New Roman" w:hAnsi="Times New Roman" w:cs="Times New Roman"/>
        </w:rPr>
        <w:t xml:space="preserve">La risposta del Piccolomini e l'orazione di Ippolita sono editi in </w:t>
      </w:r>
      <w:bookmarkStart w:id="225" w:name="_Hlk522954759"/>
      <w:r w:rsidRPr="00796A9D">
        <w:rPr>
          <w:rFonts w:ascii="Times New Roman" w:hAnsi="Times New Roman" w:cs="Times New Roman"/>
          <w:smallCaps/>
        </w:rPr>
        <w:t>D. Mansi</w:t>
      </w:r>
      <w:r w:rsidRPr="00796A9D">
        <w:rPr>
          <w:rFonts w:ascii="Times New Roman" w:hAnsi="Times New Roman" w:cs="Times New Roman"/>
        </w:rPr>
        <w:t xml:space="preserve">, </w:t>
      </w:r>
      <w:r w:rsidRPr="00796A9D">
        <w:rPr>
          <w:rFonts w:ascii="Times New Roman" w:hAnsi="Times New Roman" w:cs="Times New Roman"/>
          <w:i/>
        </w:rPr>
        <w:t>Pii II Pont. Max. orationes</w:t>
      </w:r>
      <w:r w:rsidRPr="00796A9D">
        <w:rPr>
          <w:rFonts w:ascii="Times New Roman" w:hAnsi="Times New Roman" w:cs="Times New Roman"/>
        </w:rPr>
        <w:t>, Lucca, 1757, vol. II</w:t>
      </w:r>
      <w:bookmarkEnd w:id="225"/>
      <w:r w:rsidRPr="00796A9D">
        <w:rPr>
          <w:rFonts w:ascii="Times New Roman" w:hAnsi="Times New Roman" w:cs="Times New Roman"/>
        </w:rPr>
        <w:t>, pp. 192-194.</w:t>
      </w:r>
    </w:p>
  </w:footnote>
  <w:footnote w:id="277">
    <w:p w14:paraId="1D6A13B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lettera di Luigi Scarampi e in generale per considerazioni intorno all’abilità oratoria di Ippolita Sforza rinvio a </w:t>
      </w:r>
      <w:bookmarkStart w:id="226" w:name="_Hlk522954837"/>
      <w:r w:rsidRPr="00796A9D">
        <w:rPr>
          <w:rFonts w:ascii="Times New Roman" w:hAnsi="Times New Roman" w:cs="Times New Roman"/>
        </w:rPr>
        <w:t xml:space="preserve">B. </w:t>
      </w:r>
      <w:r w:rsidRPr="00796A9D">
        <w:rPr>
          <w:rFonts w:ascii="Times New Roman" w:hAnsi="Times New Roman" w:cs="Times New Roman"/>
          <w:smallCaps/>
        </w:rPr>
        <w:t>da Rende</w:t>
      </w:r>
      <w:r w:rsidRPr="00796A9D">
        <w:rPr>
          <w:rFonts w:ascii="Times New Roman" w:hAnsi="Times New Roman" w:cs="Times New Roman"/>
          <w:i/>
        </w:rPr>
        <w:t>, Trattato della laudanda vita e della profetata morte di Ippolita Sforza d’Aragona</w:t>
      </w:r>
      <w:r w:rsidRPr="00796A9D">
        <w:rPr>
          <w:rFonts w:ascii="Times New Roman" w:hAnsi="Times New Roman" w:cs="Times New Roman"/>
        </w:rPr>
        <w:t xml:space="preserve">, a cura di </w:t>
      </w:r>
      <w:r w:rsidRPr="00796A9D">
        <w:rPr>
          <w:rFonts w:ascii="Times New Roman" w:hAnsi="Times New Roman" w:cs="Times New Roman"/>
          <w:smallCaps/>
        </w:rPr>
        <w:t>F. Sica</w:t>
      </w:r>
      <w:r w:rsidRPr="00796A9D">
        <w:rPr>
          <w:rFonts w:ascii="Times New Roman" w:hAnsi="Times New Roman" w:cs="Times New Roman"/>
        </w:rPr>
        <w:t>, Salerno, Edisud, 2007</w:t>
      </w:r>
      <w:bookmarkEnd w:id="226"/>
      <w:r w:rsidRPr="00796A9D">
        <w:rPr>
          <w:rFonts w:ascii="Times New Roman" w:hAnsi="Times New Roman" w:cs="Times New Roman"/>
        </w:rPr>
        <w:t>, pp. 9-11.</w:t>
      </w:r>
    </w:p>
  </w:footnote>
  <w:footnote w:id="278">
    <w:p w14:paraId="0983C25B"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Torino, Biblioteca Nazionale, ms. Varia 17, cc. 1-25. L’orazione è pubblicata integralmente in </w:t>
      </w:r>
      <w:r w:rsidRPr="00796A9D">
        <w:rPr>
          <w:rFonts w:ascii="Times New Roman" w:hAnsi="Times New Roman" w:cs="Times New Roman"/>
          <w:i/>
        </w:rPr>
        <w:t>Nuovi documenti per la storia del Rinascimento</w:t>
      </w:r>
      <w:r w:rsidRPr="00796A9D">
        <w:rPr>
          <w:rFonts w:ascii="Times New Roman" w:hAnsi="Times New Roman" w:cs="Times New Roman"/>
        </w:rPr>
        <w:t xml:space="preserve">, a cura di </w:t>
      </w:r>
      <w:r w:rsidRPr="00796A9D">
        <w:rPr>
          <w:rFonts w:ascii="Times New Roman" w:hAnsi="Times New Roman" w:cs="Times New Roman"/>
          <w:smallCaps/>
        </w:rPr>
        <w:t>T. de Marinis, A. Perosa</w:t>
      </w:r>
      <w:r w:rsidRPr="00796A9D">
        <w:rPr>
          <w:rFonts w:ascii="Times New Roman" w:hAnsi="Times New Roman" w:cs="Times New Roman"/>
        </w:rPr>
        <w:t xml:space="preserve">, Firenze, Olschki, 1970, pp. 118-129. L’elogio della cultura letteraria di Ippolita è uno dei primi casi di encomio dell’erudizione umanistica di una principessa nel panorama delle orazioni nuziali del Quattrocento. </w:t>
      </w:r>
      <w:r w:rsidRPr="00796A9D">
        <w:rPr>
          <w:rFonts w:ascii="Times New Roman" w:hAnsi="Times New Roman" w:cs="Times New Roman"/>
          <w:lang w:val="en-US"/>
        </w:rPr>
        <w:t xml:space="preserve">Cfr. </w:t>
      </w:r>
      <w:bookmarkStart w:id="227" w:name="_Hlk522955133"/>
      <w:r w:rsidRPr="00796A9D">
        <w:rPr>
          <w:rFonts w:ascii="Times New Roman" w:hAnsi="Times New Roman" w:cs="Times New Roman"/>
          <w:lang w:val="en-US"/>
        </w:rPr>
        <w:t xml:space="preserve">A.F. </w:t>
      </w:r>
      <w:r w:rsidRPr="00796A9D">
        <w:rPr>
          <w:rFonts w:ascii="Times New Roman" w:hAnsi="Times New Roman" w:cs="Times New Roman"/>
          <w:smallCaps/>
          <w:lang w:val="en-US"/>
        </w:rPr>
        <w:t>D’Elia</w:t>
      </w:r>
      <w:r w:rsidRPr="00796A9D">
        <w:rPr>
          <w:rFonts w:ascii="Times New Roman" w:hAnsi="Times New Roman" w:cs="Times New Roman"/>
          <w:lang w:val="en-US"/>
        </w:rPr>
        <w:t xml:space="preserve">, </w:t>
      </w:r>
      <w:r w:rsidRPr="00796A9D">
        <w:rPr>
          <w:rFonts w:ascii="Times New Roman" w:hAnsi="Times New Roman" w:cs="Times New Roman"/>
          <w:i/>
          <w:lang w:val="en-US"/>
        </w:rPr>
        <w:t>Marriage, Sexual Pleasure, and Learned Brides in the Wedding Orations of Fifteenth Century Italy</w:t>
      </w:r>
      <w:r w:rsidRPr="00796A9D">
        <w:rPr>
          <w:rFonts w:ascii="Times New Roman" w:hAnsi="Times New Roman" w:cs="Times New Roman"/>
          <w:lang w:val="en-US"/>
        </w:rPr>
        <w:t xml:space="preserve">, «Renaissance Quarterly», 55, Summer 2002, pp. 379-433. </w:t>
      </w:r>
      <w:bookmarkEnd w:id="227"/>
    </w:p>
  </w:footnote>
  <w:footnote w:id="279">
    <w:p w14:paraId="1EC3D33C"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Per l’analisi iconografica e la riproduzione fotografica dei due ritratti di Ippolita vedi </w:t>
      </w:r>
      <w:bookmarkStart w:id="228" w:name="_Hlk522955183"/>
      <w:r w:rsidRPr="00796A9D">
        <w:rPr>
          <w:rFonts w:ascii="Times New Roman" w:hAnsi="Times New Roman" w:cs="Times New Roman"/>
          <w:lang w:val="en-US"/>
        </w:rPr>
        <w:t xml:space="preserve">J.J.G. </w:t>
      </w:r>
      <w:r w:rsidRPr="00796A9D">
        <w:rPr>
          <w:rFonts w:ascii="Times New Roman" w:hAnsi="Times New Roman" w:cs="Times New Roman"/>
          <w:smallCaps/>
          <w:lang w:val="en-US"/>
        </w:rPr>
        <w:t>Alexander</w:t>
      </w:r>
      <w:r w:rsidRPr="00796A9D">
        <w:rPr>
          <w:rFonts w:ascii="Times New Roman" w:hAnsi="Times New Roman" w:cs="Times New Roman"/>
          <w:lang w:val="en-US"/>
        </w:rPr>
        <w:t xml:space="preserve">, </w:t>
      </w:r>
      <w:r w:rsidRPr="00796A9D">
        <w:rPr>
          <w:rFonts w:ascii="Times New Roman" w:hAnsi="Times New Roman" w:cs="Times New Roman"/>
          <w:i/>
          <w:lang w:val="en-US"/>
        </w:rPr>
        <w:t>The Painted Page: Italian Renaissance Book Illumination: 1450-1550</w:t>
      </w:r>
      <w:r w:rsidRPr="00796A9D">
        <w:rPr>
          <w:rFonts w:ascii="Times New Roman" w:hAnsi="Times New Roman" w:cs="Times New Roman"/>
          <w:lang w:val="en-US"/>
        </w:rPr>
        <w:t>, New York, Pierpont Morgan Library, 1994</w:t>
      </w:r>
      <w:bookmarkEnd w:id="228"/>
      <w:r w:rsidRPr="00796A9D">
        <w:rPr>
          <w:rFonts w:ascii="Times New Roman" w:hAnsi="Times New Roman" w:cs="Times New Roman"/>
          <w:lang w:val="en-US"/>
        </w:rPr>
        <w:t xml:space="preserve">, p. 60. </w:t>
      </w:r>
    </w:p>
  </w:footnote>
  <w:footnote w:id="280">
    <w:p w14:paraId="598B64C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Firenze, Biblioteca Nazionale Centrale, ms. Palatino 211. Adespoto e anepigrafo. Il testo è trasmesso integralmente dall’edizione postuma delle opere dell’autore, edita da suo fratello Gabriele nel 1503 a Roma con il titolo </w:t>
      </w:r>
      <w:r w:rsidRPr="00796A9D">
        <w:rPr>
          <w:rFonts w:ascii="Times New Roman" w:hAnsi="Times New Roman" w:cs="Times New Roman"/>
          <w:i/>
        </w:rPr>
        <w:t>Sonetti, barzellecte et capitoli del claro poeta B. Cingoli</w:t>
      </w:r>
      <w:r w:rsidRPr="00796A9D">
        <w:rPr>
          <w:rFonts w:ascii="Times New Roman" w:hAnsi="Times New Roman" w:cs="Times New Roman"/>
        </w:rPr>
        <w:t xml:space="preserve">. Benedetto da Cingoli, marchigiano, fu lettore di poesia a Siena dal 1483 al 1495. Stilisticamente influenzato da Serafino Aquilano, il suo ruolo nel panorama letterario della Siena del secondo Quattrocento è presentato in </w:t>
      </w:r>
      <w:bookmarkStart w:id="230" w:name="_Hlk522955276"/>
      <w:r w:rsidRPr="00796A9D">
        <w:rPr>
          <w:rFonts w:ascii="Times New Roman" w:hAnsi="Times New Roman" w:cs="Times New Roman"/>
          <w:smallCaps/>
        </w:rPr>
        <w:t>M. Caciorgna</w:t>
      </w:r>
      <w:r w:rsidRPr="00796A9D">
        <w:rPr>
          <w:rFonts w:ascii="Times New Roman" w:hAnsi="Times New Roman" w:cs="Times New Roman"/>
        </w:rPr>
        <w:t xml:space="preserve">, «Mortalis aemulor arte deos». </w:t>
      </w:r>
      <w:r w:rsidRPr="00796A9D">
        <w:rPr>
          <w:rFonts w:ascii="Times New Roman" w:hAnsi="Times New Roman" w:cs="Times New Roman"/>
          <w:i/>
        </w:rPr>
        <w:t>Umanisti e arti figurative a Siena tra Pio II e Pio III</w:t>
      </w:r>
      <w:r w:rsidRPr="00796A9D">
        <w:rPr>
          <w:rFonts w:ascii="Times New Roman" w:hAnsi="Times New Roman" w:cs="Times New Roman"/>
        </w:rPr>
        <w:t xml:space="preserve">, in </w:t>
      </w:r>
      <w:r w:rsidRPr="00796A9D">
        <w:rPr>
          <w:rFonts w:ascii="Times New Roman" w:hAnsi="Times New Roman" w:cs="Times New Roman"/>
          <w:i/>
        </w:rPr>
        <w:t>Pio II e le arti. La riscoperta dell’antico da Federighi a Michelangelo</w:t>
      </w:r>
      <w:r w:rsidRPr="00796A9D">
        <w:rPr>
          <w:rFonts w:ascii="Times New Roman" w:hAnsi="Times New Roman" w:cs="Times New Roman"/>
        </w:rPr>
        <w:t xml:space="preserve">, a cura di </w:t>
      </w:r>
      <w:r w:rsidRPr="00796A9D">
        <w:rPr>
          <w:rFonts w:ascii="Times New Roman" w:hAnsi="Times New Roman" w:cs="Times New Roman"/>
          <w:smallCaps/>
        </w:rPr>
        <w:t>A. Angelini</w:t>
      </w:r>
      <w:r w:rsidRPr="00796A9D">
        <w:rPr>
          <w:rFonts w:ascii="Times New Roman" w:hAnsi="Times New Roman" w:cs="Times New Roman"/>
        </w:rPr>
        <w:t xml:space="preserve">, Cinisello Balsamo, Silvana, 2005, pp. 151-182.  </w:t>
      </w:r>
      <w:bookmarkEnd w:id="230"/>
    </w:p>
  </w:footnote>
  <w:footnote w:id="281">
    <w:p w14:paraId="53A6518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Nella miniatura si distinguono chiaramente i profili del Duomo e del Palazzo Comunale. Notizie su Bianca Saracini e considerazioni intorno al suo rapporto con Siena si trovano in</w:t>
      </w:r>
      <w:r w:rsidRPr="00796A9D">
        <w:rPr>
          <w:rFonts w:ascii="Times New Roman" w:hAnsi="Times New Roman" w:cs="Times New Roman"/>
          <w:i/>
        </w:rPr>
        <w:t xml:space="preserve"> </w:t>
      </w:r>
      <w:bookmarkStart w:id="231" w:name="_Hlk522955347"/>
      <w:r w:rsidRPr="00796A9D">
        <w:rPr>
          <w:rFonts w:ascii="Times New Roman" w:hAnsi="Times New Roman" w:cs="Times New Roman"/>
          <w:i/>
        </w:rPr>
        <w:t>Iconografia di Siena. Rappresentazione della città dal XIII al XIX secolo</w:t>
      </w:r>
      <w:r w:rsidRPr="00796A9D">
        <w:rPr>
          <w:rFonts w:ascii="Times New Roman" w:hAnsi="Times New Roman" w:cs="Times New Roman"/>
        </w:rPr>
        <w:t xml:space="preserve">, a cura di </w:t>
      </w:r>
      <w:r w:rsidRPr="00796A9D">
        <w:rPr>
          <w:rFonts w:ascii="Times New Roman" w:hAnsi="Times New Roman" w:cs="Times New Roman"/>
          <w:smallCaps/>
        </w:rPr>
        <w:t>R. Barzanti, A. Cornice, E. Pellegrini</w:t>
      </w:r>
      <w:r w:rsidRPr="00796A9D">
        <w:rPr>
          <w:rFonts w:ascii="Times New Roman" w:hAnsi="Times New Roman" w:cs="Times New Roman"/>
        </w:rPr>
        <w:t>, Siena, Monte dei Paschi di Siena, 2008</w:t>
      </w:r>
      <w:bookmarkEnd w:id="231"/>
      <w:r w:rsidRPr="00796A9D">
        <w:rPr>
          <w:rFonts w:ascii="Times New Roman" w:hAnsi="Times New Roman" w:cs="Times New Roman"/>
        </w:rPr>
        <w:t xml:space="preserve">, pp. 18-19. </w:t>
      </w:r>
    </w:p>
  </w:footnote>
  <w:footnote w:id="282">
    <w:p w14:paraId="2E919D94" w14:textId="77777777" w:rsidR="00CF5CFB" w:rsidRPr="00796A9D" w:rsidRDefault="00CF5CFB" w:rsidP="00796A9D">
      <w:pPr>
        <w:pStyle w:val="Testonotaapidipagina"/>
        <w:ind w:right="-1"/>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Fecini</w:t>
      </w:r>
      <w:r w:rsidRPr="00796A9D">
        <w:rPr>
          <w:rFonts w:ascii="Times New Roman" w:hAnsi="Times New Roman" w:cs="Times New Roman"/>
        </w:rPr>
        <w:t xml:space="preserve">, </w:t>
      </w:r>
      <w:r w:rsidRPr="00796A9D">
        <w:rPr>
          <w:rFonts w:ascii="Times New Roman" w:hAnsi="Times New Roman" w:cs="Times New Roman"/>
          <w:i/>
        </w:rPr>
        <w:t>Cronaca senese</w:t>
      </w:r>
      <w:r w:rsidRPr="00796A9D">
        <w:rPr>
          <w:rFonts w:ascii="Times New Roman" w:hAnsi="Times New Roman" w:cs="Times New Roman"/>
        </w:rPr>
        <w:t xml:space="preserve">, in </w:t>
      </w:r>
      <w:r w:rsidRPr="00796A9D">
        <w:rPr>
          <w:rFonts w:ascii="Times New Roman" w:hAnsi="Times New Roman" w:cs="Times New Roman"/>
          <w:i/>
        </w:rPr>
        <w:t>Cronache senesi</w:t>
      </w:r>
      <w:r w:rsidRPr="00796A9D">
        <w:rPr>
          <w:rFonts w:ascii="Times New Roman" w:hAnsi="Times New Roman" w:cs="Times New Roman"/>
        </w:rPr>
        <w:t xml:space="preserve">, a cura di </w:t>
      </w:r>
      <w:r w:rsidRPr="00796A9D">
        <w:rPr>
          <w:rFonts w:ascii="Times New Roman" w:hAnsi="Times New Roman" w:cs="Times New Roman"/>
          <w:smallCaps/>
        </w:rPr>
        <w:t>A. Lisini, F. Jacometti</w:t>
      </w:r>
      <w:r w:rsidRPr="00796A9D">
        <w:rPr>
          <w:rFonts w:ascii="Times New Roman" w:hAnsi="Times New Roman" w:cs="Times New Roman"/>
        </w:rPr>
        <w:t xml:space="preserve">, in </w:t>
      </w:r>
      <w:r w:rsidRPr="00796A9D">
        <w:rPr>
          <w:rFonts w:ascii="Times New Roman" w:hAnsi="Times New Roman" w:cs="Times New Roman"/>
          <w:i/>
        </w:rPr>
        <w:t>Rerum Italicarum Scriptores</w:t>
      </w:r>
      <w:r w:rsidRPr="00796A9D">
        <w:rPr>
          <w:rFonts w:ascii="Times New Roman" w:hAnsi="Times New Roman" w:cs="Times New Roman"/>
        </w:rPr>
        <w:t xml:space="preserve">, Bologna, Zanichelli, 1931-1939, tomo XV, parte VI, p. 868. La cronaca abbraccia gli anni 1431-1479. Scarsi i dati biografici intorno all’autore, che pare abbia attinto per la compilazione dell’opera a cronache precedenti e a leggende sulla storia di Siena, città in cui ricoprì modesti incarichi politici. Cfr. </w:t>
      </w:r>
      <w:r w:rsidRPr="00796A9D">
        <w:rPr>
          <w:rFonts w:ascii="Times New Roman" w:hAnsi="Times New Roman" w:cs="Times New Roman"/>
          <w:smallCaps/>
        </w:rPr>
        <w:t>C. Zarrilli</w:t>
      </w:r>
      <w:r w:rsidRPr="00796A9D">
        <w:rPr>
          <w:rFonts w:ascii="Times New Roman" w:hAnsi="Times New Roman" w:cs="Times New Roman"/>
        </w:rPr>
        <w:t>, s.v</w:t>
      </w:r>
      <w:r w:rsidRPr="00796A9D">
        <w:rPr>
          <w:rFonts w:ascii="Times New Roman" w:hAnsi="Times New Roman" w:cs="Times New Roman"/>
          <w:i/>
        </w:rPr>
        <w:t>. Fecini, Tommaso</w:t>
      </w:r>
      <w:r w:rsidRPr="00796A9D">
        <w:rPr>
          <w:rFonts w:ascii="Times New Roman" w:hAnsi="Times New Roman" w:cs="Times New Roman"/>
        </w:rPr>
        <w:t>, DBI, XLV, 1995, pp. 551-553.</w:t>
      </w:r>
    </w:p>
  </w:footnote>
  <w:footnote w:id="283">
    <w:p w14:paraId="2356F6D5"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w:t>
      </w:r>
      <w:r w:rsidRPr="00796A9D">
        <w:rPr>
          <w:rFonts w:ascii="Times New Roman" w:hAnsi="Times New Roman" w:cs="Times New Roman"/>
          <w:smallCaps/>
        </w:rPr>
        <w:t xml:space="preserve">. </w:t>
      </w:r>
      <w:bookmarkStart w:id="232" w:name="_Hlk522955467"/>
      <w:r w:rsidRPr="00796A9D">
        <w:rPr>
          <w:rFonts w:ascii="Times New Roman" w:hAnsi="Times New Roman" w:cs="Times New Roman"/>
          <w:smallCaps/>
        </w:rPr>
        <w:t>A. de Marchi</w:t>
      </w:r>
      <w:r w:rsidRPr="00796A9D">
        <w:rPr>
          <w:rFonts w:ascii="Times New Roman" w:hAnsi="Times New Roman" w:cs="Times New Roman"/>
        </w:rPr>
        <w:t xml:space="preserve">, </w:t>
      </w:r>
      <w:r w:rsidRPr="00796A9D">
        <w:rPr>
          <w:rFonts w:ascii="Times New Roman" w:hAnsi="Times New Roman" w:cs="Times New Roman"/>
          <w:i/>
        </w:rPr>
        <w:t>I miniatori padani a Siena</w:t>
      </w:r>
      <w:r w:rsidRPr="00796A9D">
        <w:rPr>
          <w:rFonts w:ascii="Times New Roman" w:hAnsi="Times New Roman" w:cs="Times New Roman"/>
        </w:rPr>
        <w:t xml:space="preserve">, in </w:t>
      </w:r>
      <w:r w:rsidRPr="00796A9D">
        <w:rPr>
          <w:rFonts w:ascii="Times New Roman" w:hAnsi="Times New Roman" w:cs="Times New Roman"/>
          <w:i/>
        </w:rPr>
        <w:t>Francesco di Giorgio e il Rinascimento a Siena</w:t>
      </w:r>
      <w:r w:rsidRPr="00796A9D">
        <w:rPr>
          <w:rFonts w:ascii="Times New Roman" w:hAnsi="Times New Roman" w:cs="Times New Roman"/>
        </w:rPr>
        <w:t xml:space="preserve">, Catalogo della mostra (Siena, 25 aprile-31 luglio 1993), a cura di </w:t>
      </w:r>
      <w:r w:rsidRPr="00796A9D">
        <w:rPr>
          <w:rFonts w:ascii="Times New Roman" w:hAnsi="Times New Roman" w:cs="Times New Roman"/>
          <w:smallCaps/>
        </w:rPr>
        <w:t>L. Bellosi</w:t>
      </w:r>
      <w:r w:rsidRPr="00796A9D">
        <w:rPr>
          <w:rFonts w:ascii="Times New Roman" w:hAnsi="Times New Roman" w:cs="Times New Roman"/>
        </w:rPr>
        <w:t xml:space="preserve">, Milano, Electa, 1993, pp. 262-265. </w:t>
      </w:r>
      <w:bookmarkStart w:id="233" w:name="_Hlk522955509"/>
      <w:bookmarkEnd w:id="232"/>
      <w:r w:rsidRPr="00796A9D">
        <w:rPr>
          <w:rFonts w:ascii="Times New Roman" w:hAnsi="Times New Roman" w:cs="Times New Roman"/>
          <w:smallCaps/>
          <w:lang w:val="en-US"/>
        </w:rPr>
        <w:t xml:space="preserve">J.J.G. Alexander, </w:t>
      </w:r>
      <w:r w:rsidRPr="00796A9D">
        <w:rPr>
          <w:rFonts w:ascii="Times New Roman" w:hAnsi="Times New Roman" w:cs="Times New Roman"/>
          <w:i/>
          <w:lang w:val="en-US"/>
        </w:rPr>
        <w:t>The Painted Book in Renaissance Italy 1450-1600</w:t>
      </w:r>
      <w:r w:rsidRPr="00796A9D">
        <w:rPr>
          <w:rFonts w:ascii="Times New Roman" w:hAnsi="Times New Roman" w:cs="Times New Roman"/>
          <w:lang w:val="en-US"/>
        </w:rPr>
        <w:t>, New Haven-London, Yale University Press, 2016</w:t>
      </w:r>
      <w:bookmarkEnd w:id="233"/>
      <w:r w:rsidRPr="00796A9D">
        <w:rPr>
          <w:rFonts w:ascii="Times New Roman" w:hAnsi="Times New Roman" w:cs="Times New Roman"/>
          <w:lang w:val="en-US"/>
        </w:rPr>
        <w:t>, p. 224.</w:t>
      </w:r>
    </w:p>
  </w:footnote>
  <w:footnote w:id="284">
    <w:p w14:paraId="5A48087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l’episodio dell’acquisto del Tolomeo da parte di Ippolita durante la sosta fiorentina vedi </w:t>
      </w:r>
      <w:r w:rsidRPr="00796A9D">
        <w:rPr>
          <w:rFonts w:ascii="Times New Roman" w:hAnsi="Times New Roman" w:cs="Times New Roman"/>
          <w:smallCaps/>
        </w:rPr>
        <w:t>J. Bryce</w:t>
      </w:r>
      <w:r w:rsidRPr="00796A9D">
        <w:rPr>
          <w:rFonts w:ascii="Times New Roman" w:hAnsi="Times New Roman" w:cs="Times New Roman"/>
        </w:rPr>
        <w:t xml:space="preserve">, </w:t>
      </w:r>
      <w:r w:rsidRPr="00796A9D">
        <w:rPr>
          <w:rFonts w:ascii="Times New Roman" w:hAnsi="Times New Roman" w:cs="Times New Roman"/>
          <w:i/>
        </w:rPr>
        <w:t xml:space="preserve">«Fa finire uno bello studio e dice volere studiare», </w:t>
      </w:r>
      <w:r w:rsidRPr="00796A9D">
        <w:rPr>
          <w:rFonts w:ascii="Times New Roman" w:hAnsi="Times New Roman" w:cs="Times New Roman"/>
        </w:rPr>
        <w:t>cit., pp. 56-57. Dove si suppone che sia stato Vespasiano da Bisticci a esaudire la richiesta.</w:t>
      </w:r>
    </w:p>
  </w:footnote>
  <w:footnote w:id="285">
    <w:p w14:paraId="1879BB3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A.C. Decembrio</w:t>
      </w:r>
      <w:r w:rsidRPr="00796A9D">
        <w:rPr>
          <w:rFonts w:ascii="Times New Roman" w:hAnsi="Times New Roman" w:cs="Times New Roman"/>
        </w:rPr>
        <w:t xml:space="preserve">, </w:t>
      </w:r>
      <w:r w:rsidRPr="00796A9D">
        <w:rPr>
          <w:rFonts w:ascii="Times New Roman" w:hAnsi="Times New Roman" w:cs="Times New Roman"/>
          <w:i/>
        </w:rPr>
        <w:t xml:space="preserve">De politia litteraria, </w:t>
      </w:r>
      <w:r w:rsidRPr="00796A9D">
        <w:rPr>
          <w:rFonts w:ascii="Times New Roman" w:hAnsi="Times New Roman" w:cs="Times New Roman"/>
        </w:rPr>
        <w:t>cit., VII, 75, p. 459.</w:t>
      </w:r>
    </w:p>
  </w:footnote>
  <w:footnote w:id="286">
    <w:p w14:paraId="110EE0E1"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Dell’ampia bibliografia sulla riforma grafica </w:t>
      </w:r>
      <w:r>
        <w:rPr>
          <w:rFonts w:ascii="Times New Roman" w:hAnsi="Times New Roman" w:cs="Times New Roman"/>
        </w:rPr>
        <w:t>umanistica</w:t>
      </w:r>
      <w:r w:rsidRPr="00796A9D">
        <w:rPr>
          <w:rFonts w:ascii="Times New Roman" w:hAnsi="Times New Roman" w:cs="Times New Roman"/>
        </w:rPr>
        <w:t xml:space="preserve"> mi limito a citare, per le modalità di recupero e selezione delle forme reputate antiche: </w:t>
      </w:r>
      <w:r w:rsidRPr="00796A9D">
        <w:rPr>
          <w:rFonts w:ascii="Times New Roman" w:hAnsi="Times New Roman" w:cs="Times New Roman"/>
          <w:smallCaps/>
        </w:rPr>
        <w:t>E. Casamassima</w:t>
      </w:r>
      <w:r w:rsidRPr="00796A9D">
        <w:rPr>
          <w:rFonts w:ascii="Times New Roman" w:hAnsi="Times New Roman" w:cs="Times New Roman"/>
        </w:rPr>
        <w:t xml:space="preserve">, </w:t>
      </w:r>
      <w:r w:rsidRPr="00796A9D">
        <w:rPr>
          <w:rFonts w:ascii="Times New Roman" w:hAnsi="Times New Roman" w:cs="Times New Roman"/>
          <w:i/>
        </w:rPr>
        <w:t>Per una storia delle dottrine paleograﬁche dall’Umanesimo a Jean Mabillon</w:t>
      </w:r>
      <w:r w:rsidRPr="00796A9D">
        <w:rPr>
          <w:rFonts w:ascii="Times New Roman" w:hAnsi="Times New Roman" w:cs="Times New Roman"/>
        </w:rPr>
        <w:t xml:space="preserve">, «Studi medievali», V, 1964, pp. 525–578. Per la limitazione degli estremi cronologici della prima fase del fenomeno, cfr. </w:t>
      </w:r>
      <w:r w:rsidRPr="00796A9D">
        <w:rPr>
          <w:rFonts w:ascii="Times New Roman" w:hAnsi="Times New Roman" w:cs="Times New Roman"/>
          <w:smallCaps/>
        </w:rPr>
        <w:t>A.C. de la Mare</w:t>
      </w:r>
      <w:r w:rsidRPr="00796A9D">
        <w:rPr>
          <w:rFonts w:ascii="Times New Roman" w:hAnsi="Times New Roman" w:cs="Times New Roman"/>
        </w:rPr>
        <w:t xml:space="preserve">, </w:t>
      </w:r>
      <w:r w:rsidRPr="00796A9D">
        <w:rPr>
          <w:rFonts w:ascii="Times New Roman" w:hAnsi="Times New Roman" w:cs="Times New Roman"/>
          <w:i/>
        </w:rPr>
        <w:t>Humanistic Script: the First Ten Years</w:t>
      </w:r>
      <w:r w:rsidRPr="00796A9D">
        <w:rPr>
          <w:rFonts w:ascii="Times New Roman" w:hAnsi="Times New Roman" w:cs="Times New Roman"/>
        </w:rPr>
        <w:t xml:space="preserve">, in </w:t>
      </w:r>
      <w:r w:rsidRPr="00796A9D">
        <w:rPr>
          <w:rFonts w:ascii="Times New Roman" w:hAnsi="Times New Roman" w:cs="Times New Roman"/>
          <w:i/>
        </w:rPr>
        <w:t>Das Verhältnis der Humanisten zum Buch</w:t>
      </w:r>
      <w:r w:rsidRPr="00796A9D">
        <w:rPr>
          <w:rFonts w:ascii="Times New Roman" w:hAnsi="Times New Roman" w:cs="Times New Roman"/>
        </w:rPr>
        <w:t xml:space="preserve">, herausgegeben von </w:t>
      </w:r>
      <w:r w:rsidRPr="00796A9D">
        <w:rPr>
          <w:rFonts w:ascii="Times New Roman" w:hAnsi="Times New Roman" w:cs="Times New Roman"/>
          <w:smallCaps/>
        </w:rPr>
        <w:t>F. Kraft</w:t>
      </w:r>
      <w:r w:rsidRPr="00796A9D">
        <w:rPr>
          <w:rFonts w:ascii="Times New Roman" w:hAnsi="Times New Roman" w:cs="Times New Roman"/>
        </w:rPr>
        <w:t>, D</w:t>
      </w:r>
      <w:r w:rsidRPr="00796A9D">
        <w:rPr>
          <w:rFonts w:ascii="Times New Roman" w:hAnsi="Times New Roman" w:cs="Times New Roman"/>
          <w:smallCaps/>
        </w:rPr>
        <w:t>. Wuttke</w:t>
      </w:r>
      <w:r w:rsidRPr="00796A9D">
        <w:rPr>
          <w:rFonts w:ascii="Times New Roman" w:hAnsi="Times New Roman" w:cs="Times New Roman"/>
        </w:rPr>
        <w:t xml:space="preserve">, Boppard, 1977, pp. 89-110. Oggi, la nascita della scrittura umanistica si retrodata al 1397, anno in cui Niccoli ne fornì le prime prove nel ms. 264 della Riccardiana di Firenze. Nel periodo 1397-1413 i manoscritti copiati in umanistica furono circa ottanta ed è stata riconosciuta l’attività di copisti di provenienza settentrionale accanto a quella dei due umanisti fiorentini. Per un quadro aggiornato di questi argomenti vedi </w:t>
      </w:r>
      <w:r w:rsidRPr="00796A9D">
        <w:rPr>
          <w:rFonts w:ascii="Times New Roman" w:hAnsi="Times New Roman" w:cs="Times New Roman"/>
          <w:smallCaps/>
        </w:rPr>
        <w:t>T. de Robertis</w:t>
      </w:r>
      <w:r w:rsidRPr="00796A9D">
        <w:rPr>
          <w:rFonts w:ascii="Times New Roman" w:hAnsi="Times New Roman" w:cs="Times New Roman"/>
        </w:rPr>
        <w:t xml:space="preserve">, </w:t>
      </w:r>
      <w:r w:rsidRPr="00796A9D">
        <w:rPr>
          <w:rFonts w:ascii="Times New Roman" w:hAnsi="Times New Roman" w:cs="Times New Roman"/>
          <w:i/>
        </w:rPr>
        <w:t xml:space="preserve">I primi anni della scrittura umanistica. </w:t>
      </w:r>
      <w:r w:rsidRPr="00796A9D">
        <w:rPr>
          <w:rFonts w:ascii="Times New Roman" w:hAnsi="Times New Roman" w:cs="Times New Roman"/>
          <w:i/>
          <w:lang w:val="en-US"/>
        </w:rPr>
        <w:t>Materiali per un aggiornamento</w:t>
      </w:r>
      <w:r w:rsidRPr="00796A9D">
        <w:rPr>
          <w:rFonts w:ascii="Times New Roman" w:hAnsi="Times New Roman" w:cs="Times New Roman"/>
          <w:lang w:val="en-US"/>
        </w:rPr>
        <w:t xml:space="preserve">, in </w:t>
      </w:r>
      <w:r w:rsidRPr="00796A9D">
        <w:rPr>
          <w:rFonts w:ascii="Times New Roman" w:hAnsi="Times New Roman" w:cs="Times New Roman"/>
          <w:i/>
          <w:lang w:val="en-US"/>
        </w:rPr>
        <w:t>Palaeography, Manuscript Illumination and Humanism</w:t>
      </w:r>
      <w:r w:rsidRPr="00796A9D">
        <w:rPr>
          <w:rFonts w:ascii="Times New Roman" w:hAnsi="Times New Roman" w:cs="Times New Roman"/>
          <w:lang w:val="en-US"/>
        </w:rPr>
        <w:t xml:space="preserve">, in </w:t>
      </w:r>
      <w:r w:rsidRPr="00796A9D">
        <w:rPr>
          <w:rFonts w:ascii="Times New Roman" w:hAnsi="Times New Roman" w:cs="Times New Roman"/>
          <w:i/>
          <w:lang w:val="en-US"/>
        </w:rPr>
        <w:t>Renaissance Italy: Studies in Memory of A.C. de la Mare</w:t>
      </w:r>
      <w:r w:rsidRPr="00796A9D">
        <w:rPr>
          <w:rFonts w:ascii="Times New Roman" w:hAnsi="Times New Roman" w:cs="Times New Roman"/>
          <w:lang w:val="en-US"/>
        </w:rPr>
        <w:t xml:space="preserve">, edited by </w:t>
      </w:r>
      <w:r w:rsidRPr="00796A9D">
        <w:rPr>
          <w:rFonts w:ascii="Times New Roman" w:hAnsi="Times New Roman" w:cs="Times New Roman"/>
          <w:smallCaps/>
          <w:lang w:val="en-US"/>
        </w:rPr>
        <w:t>R. Black, J. Kraye, L. Nuvoloni</w:t>
      </w:r>
      <w:r w:rsidRPr="00796A9D">
        <w:rPr>
          <w:rFonts w:ascii="Times New Roman" w:hAnsi="Times New Roman" w:cs="Times New Roman"/>
          <w:lang w:val="en-US"/>
        </w:rPr>
        <w:t xml:space="preserve">, London, The Warburg Institute, 2016, pp. 55-74.  </w:t>
      </w:r>
    </w:p>
  </w:footnote>
  <w:footnote w:id="287">
    <w:p w14:paraId="02D5D34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M. Levi d’Ancona</w:t>
      </w:r>
      <w:r w:rsidRPr="00796A9D">
        <w:rPr>
          <w:rFonts w:ascii="Times New Roman" w:hAnsi="Times New Roman" w:cs="Times New Roman"/>
        </w:rPr>
        <w:t xml:space="preserve">, </w:t>
      </w:r>
      <w:r w:rsidRPr="00796A9D">
        <w:rPr>
          <w:rFonts w:ascii="Times New Roman" w:hAnsi="Times New Roman" w:cs="Times New Roman"/>
          <w:i/>
        </w:rPr>
        <w:t>La miniatura fiorentina tra Gotico e Rinascimento</w:t>
      </w:r>
      <w:r w:rsidRPr="00796A9D">
        <w:rPr>
          <w:rFonts w:ascii="Times New Roman" w:hAnsi="Times New Roman" w:cs="Times New Roman"/>
        </w:rPr>
        <w:t xml:space="preserve">, in </w:t>
      </w:r>
      <w:r w:rsidRPr="00796A9D">
        <w:rPr>
          <w:rFonts w:ascii="Times New Roman" w:hAnsi="Times New Roman" w:cs="Times New Roman"/>
          <w:i/>
        </w:rPr>
        <w:t>La miniatura italiana tra Gotico e Rinascimento</w:t>
      </w:r>
      <w:r w:rsidRPr="00796A9D">
        <w:rPr>
          <w:rFonts w:ascii="Times New Roman" w:hAnsi="Times New Roman" w:cs="Times New Roman"/>
        </w:rPr>
        <w:t xml:space="preserve">, Atti del II Congresso di Storia della Miniatura Italiana. (Cortona 24-26 settembre 1982), a cura di </w:t>
      </w:r>
      <w:r w:rsidRPr="00796A9D">
        <w:rPr>
          <w:rFonts w:ascii="Times New Roman" w:hAnsi="Times New Roman" w:cs="Times New Roman"/>
          <w:smallCaps/>
        </w:rPr>
        <w:t>E. Sesti</w:t>
      </w:r>
      <w:r w:rsidRPr="00796A9D">
        <w:rPr>
          <w:rFonts w:ascii="Times New Roman" w:hAnsi="Times New Roman" w:cs="Times New Roman"/>
        </w:rPr>
        <w:t xml:space="preserve">, Firenze, Olschki, 1985, pp. 451-463. Per la studiosa l’affermazione definitiva dei bianchi girari, abbandonate le decorazioni a racemi corposi dei libri liturgici degli anni 1380-1390 e a racemi sottili del periodo 1420-1430, è il carattere più innovativo del libro fiorentino negli anni 1430-1475 insieme all’impiego della prospettiva. </w:t>
      </w:r>
    </w:p>
  </w:footnote>
  <w:footnote w:id="288">
    <w:p w14:paraId="601840AF"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Cfr.</w:t>
      </w:r>
      <w:r w:rsidRPr="00796A9D">
        <w:rPr>
          <w:rFonts w:ascii="Times New Roman" w:hAnsi="Times New Roman" w:cs="Times New Roman"/>
          <w:smallCaps/>
          <w:lang w:val="en-US"/>
        </w:rPr>
        <w:t xml:space="preserve"> J.J.G. Alexander</w:t>
      </w:r>
      <w:r w:rsidRPr="00796A9D">
        <w:rPr>
          <w:rFonts w:ascii="Times New Roman" w:hAnsi="Times New Roman" w:cs="Times New Roman"/>
          <w:lang w:val="en-US"/>
        </w:rPr>
        <w:t xml:space="preserve">, </w:t>
      </w:r>
      <w:r w:rsidRPr="00796A9D">
        <w:rPr>
          <w:rFonts w:ascii="Times New Roman" w:hAnsi="Times New Roman" w:cs="Times New Roman"/>
          <w:i/>
          <w:lang w:val="en-US"/>
        </w:rPr>
        <w:t>The Painted Book in Renaissance Italy 1450-1600</w:t>
      </w:r>
      <w:r w:rsidRPr="00796A9D">
        <w:rPr>
          <w:rFonts w:ascii="Times New Roman" w:hAnsi="Times New Roman" w:cs="Times New Roman"/>
          <w:lang w:val="en-US"/>
        </w:rPr>
        <w:t xml:space="preserve">, cit., p. 8.  </w:t>
      </w:r>
    </w:p>
  </w:footnote>
  <w:footnote w:id="289">
    <w:p w14:paraId="1D76624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234" w:name="_Hlk528593961"/>
      <w:r w:rsidRPr="00796A9D">
        <w:rPr>
          <w:rFonts w:ascii="Times New Roman" w:hAnsi="Times New Roman" w:cs="Times New Roman"/>
        </w:rPr>
        <w:t>Firenze, Museo di San Marco, ms. 558</w:t>
      </w:r>
      <w:bookmarkEnd w:id="234"/>
      <w:r w:rsidRPr="00796A9D">
        <w:rPr>
          <w:rFonts w:ascii="Times New Roman" w:hAnsi="Times New Roman" w:cs="Times New Roman"/>
        </w:rPr>
        <w:t xml:space="preserve">. Per l’attenta analisi di questa miniatura, per una valutazione del contributo di Beato Angelico all’arte della miniatura fiorentina del suo tempo, e per un raffronto sistematico tra le affinità delle figure del </w:t>
      </w:r>
      <w:r w:rsidRPr="00796A9D">
        <w:rPr>
          <w:rFonts w:ascii="Times New Roman" w:hAnsi="Times New Roman" w:cs="Times New Roman"/>
          <w:i/>
        </w:rPr>
        <w:t>Graduale</w:t>
      </w:r>
      <w:r w:rsidRPr="00796A9D">
        <w:rPr>
          <w:rFonts w:ascii="Times New Roman" w:hAnsi="Times New Roman" w:cs="Times New Roman"/>
        </w:rPr>
        <w:t xml:space="preserve"> e quelle delle opere su tavola del pittore vedi </w:t>
      </w:r>
      <w:r w:rsidRPr="00796A9D">
        <w:rPr>
          <w:rFonts w:ascii="Times New Roman" w:hAnsi="Times New Roman" w:cs="Times New Roman"/>
          <w:smallCaps/>
        </w:rPr>
        <w:t>M. Scudieri</w:t>
      </w:r>
      <w:r w:rsidRPr="00796A9D">
        <w:rPr>
          <w:rFonts w:ascii="Times New Roman" w:hAnsi="Times New Roman" w:cs="Times New Roman"/>
        </w:rPr>
        <w:t xml:space="preserve">, </w:t>
      </w:r>
      <w:r w:rsidRPr="00796A9D">
        <w:rPr>
          <w:rFonts w:ascii="Times New Roman" w:hAnsi="Times New Roman" w:cs="Times New Roman"/>
          <w:i/>
        </w:rPr>
        <w:t>Sfogliando il Graduale 558</w:t>
      </w:r>
      <w:r w:rsidRPr="00796A9D">
        <w:rPr>
          <w:rFonts w:ascii="Times New Roman" w:hAnsi="Times New Roman" w:cs="Times New Roman"/>
        </w:rPr>
        <w:t xml:space="preserve">, in </w:t>
      </w:r>
      <w:r w:rsidRPr="00796A9D">
        <w:rPr>
          <w:rFonts w:ascii="Times New Roman" w:hAnsi="Times New Roman" w:cs="Times New Roman"/>
          <w:i/>
        </w:rPr>
        <w:t>Fra Giovanni Angelico. Pittore e miniatore o miniatore e pittore?,</w:t>
      </w:r>
      <w:r w:rsidRPr="00796A9D">
        <w:rPr>
          <w:rFonts w:ascii="Times New Roman" w:hAnsi="Times New Roman" w:cs="Times New Roman"/>
        </w:rPr>
        <w:t xml:space="preserve"> a cura di </w:t>
      </w:r>
      <w:r w:rsidRPr="00796A9D">
        <w:rPr>
          <w:rFonts w:ascii="Times New Roman" w:hAnsi="Times New Roman" w:cs="Times New Roman"/>
          <w:smallCaps/>
        </w:rPr>
        <w:t>Idem, S. Giacomelli</w:t>
      </w:r>
      <w:r w:rsidRPr="00796A9D">
        <w:rPr>
          <w:rFonts w:ascii="Times New Roman" w:hAnsi="Times New Roman" w:cs="Times New Roman"/>
        </w:rPr>
        <w:t xml:space="preserve">, Firenze, Giunti, 2007, pp. 26-58, dove si avanza l’ipotesi che gli interventi dell’Angelico nel manoscritto siano da collocarsi cronologicamente poco dopo il completamento della Pala di San Domenico per il monastero di Fiesole (1419-1421). Nel Graduale sarebbe, infatti, visibile un’influenza delle opere fiorentine di Gentile da Fabriano, che nella Pala si coglierebbe invece in maniera minore.  </w:t>
      </w:r>
    </w:p>
  </w:footnote>
  <w:footnote w:id="290">
    <w:p w14:paraId="61A4189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l’apporto di Zanobi Strozzi al rinnovamento dell’arte del minio e per l’affrancamento progressivo del suo stile da quello dell’Angelico vedi </w:t>
      </w:r>
      <w:r w:rsidRPr="00796A9D">
        <w:rPr>
          <w:rFonts w:ascii="Times New Roman" w:hAnsi="Times New Roman" w:cs="Times New Roman"/>
          <w:smallCaps/>
        </w:rPr>
        <w:t>A. Garzelli</w:t>
      </w:r>
      <w:r w:rsidRPr="00796A9D">
        <w:rPr>
          <w:rFonts w:ascii="Times New Roman" w:hAnsi="Times New Roman" w:cs="Times New Roman"/>
        </w:rPr>
        <w:t xml:space="preserve">, </w:t>
      </w:r>
      <w:r w:rsidRPr="00796A9D">
        <w:rPr>
          <w:rFonts w:ascii="Times New Roman" w:hAnsi="Times New Roman" w:cs="Times New Roman"/>
          <w:i/>
        </w:rPr>
        <w:t>Le immagini, gli autori, i destinatari</w:t>
      </w:r>
      <w:r w:rsidRPr="00796A9D">
        <w:rPr>
          <w:rFonts w:ascii="Times New Roman" w:hAnsi="Times New Roman" w:cs="Times New Roman"/>
        </w:rPr>
        <w:t xml:space="preserve">, in </w:t>
      </w:r>
      <w:r w:rsidRPr="00796A9D">
        <w:rPr>
          <w:rFonts w:ascii="Times New Roman" w:hAnsi="Times New Roman" w:cs="Times New Roman"/>
          <w:i/>
        </w:rPr>
        <w:t>Miniatura fiorentina del rinascimento 1440-1525. Un primo censimento</w:t>
      </w:r>
      <w:r w:rsidRPr="00796A9D">
        <w:rPr>
          <w:rFonts w:ascii="Times New Roman" w:hAnsi="Times New Roman" w:cs="Times New Roman"/>
        </w:rPr>
        <w:t xml:space="preserve">, a cura di </w:t>
      </w:r>
      <w:r w:rsidRPr="00796A9D">
        <w:rPr>
          <w:rFonts w:ascii="Times New Roman" w:hAnsi="Times New Roman" w:cs="Times New Roman"/>
          <w:smallCaps/>
        </w:rPr>
        <w:t>Idem</w:t>
      </w:r>
      <w:r w:rsidRPr="00796A9D">
        <w:rPr>
          <w:rFonts w:ascii="Times New Roman" w:hAnsi="Times New Roman" w:cs="Times New Roman"/>
        </w:rPr>
        <w:t>, Firenze, La Nuova Italia, 1985.</w:t>
      </w:r>
    </w:p>
  </w:footnote>
  <w:footnote w:id="291">
    <w:p w14:paraId="6F4FABB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suo contributo alla storia della miniatura fiorentina vedi </w:t>
      </w:r>
      <w:r w:rsidRPr="00796A9D">
        <w:rPr>
          <w:rFonts w:ascii="Times New Roman" w:hAnsi="Times New Roman" w:cs="Times New Roman"/>
          <w:smallCaps/>
        </w:rPr>
        <w:t>D. Galizzi</w:t>
      </w:r>
      <w:r w:rsidRPr="00796A9D">
        <w:rPr>
          <w:rFonts w:ascii="Times New Roman" w:hAnsi="Times New Roman" w:cs="Times New Roman"/>
        </w:rPr>
        <w:t xml:space="preserve">, s.v. </w:t>
      </w:r>
      <w:r w:rsidRPr="00796A9D">
        <w:rPr>
          <w:rFonts w:ascii="Times New Roman" w:hAnsi="Times New Roman" w:cs="Times New Roman"/>
          <w:i/>
        </w:rPr>
        <w:t>Matteo di Filippo Torelli</w:t>
      </w:r>
      <w:r w:rsidRPr="00796A9D">
        <w:rPr>
          <w:rFonts w:ascii="Times New Roman" w:hAnsi="Times New Roman" w:cs="Times New Roman"/>
        </w:rPr>
        <w:t xml:space="preserve">, in </w:t>
      </w:r>
      <w:r w:rsidRPr="00796A9D">
        <w:rPr>
          <w:rFonts w:ascii="Times New Roman" w:hAnsi="Times New Roman" w:cs="Times New Roman"/>
          <w:i/>
        </w:rPr>
        <w:t xml:space="preserve">Dizionario biografico dei miniatori italiani, </w:t>
      </w:r>
      <w:r w:rsidRPr="00796A9D">
        <w:rPr>
          <w:rFonts w:ascii="Times New Roman" w:hAnsi="Times New Roman" w:cs="Times New Roman"/>
        </w:rPr>
        <w:t>cit., pp. 956-958.</w:t>
      </w:r>
    </w:p>
  </w:footnote>
  <w:footnote w:id="292">
    <w:p w14:paraId="5E7CB14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Firenze, Biblioteca Medicea Laurenziana, Plut. 82.4. Per questo codice e per l’attività di Ricciardo di Nanni, bene inserita nella cerchia delle frequentazioni medicee, rinvio alle considerazioni di </w:t>
      </w:r>
      <w:r w:rsidRPr="00796A9D">
        <w:rPr>
          <w:rFonts w:ascii="Times New Roman" w:hAnsi="Times New Roman" w:cs="Times New Roman"/>
          <w:smallCaps/>
        </w:rPr>
        <w:t>M. Scudieri</w:t>
      </w:r>
      <w:r w:rsidRPr="00796A9D">
        <w:rPr>
          <w:rFonts w:ascii="Times New Roman" w:hAnsi="Times New Roman" w:cs="Times New Roman"/>
        </w:rPr>
        <w:t xml:space="preserve">, </w:t>
      </w:r>
      <w:r w:rsidRPr="00796A9D">
        <w:rPr>
          <w:rFonts w:ascii="Times New Roman" w:hAnsi="Times New Roman" w:cs="Times New Roman"/>
          <w:i/>
        </w:rPr>
        <w:t>La miniatura a Firenze nell’età di Lorenzo de’ Medici e di Mattia Corvino</w:t>
      </w:r>
      <w:r w:rsidRPr="00796A9D">
        <w:rPr>
          <w:rFonts w:ascii="Times New Roman" w:hAnsi="Times New Roman" w:cs="Times New Roman"/>
        </w:rPr>
        <w:t xml:space="preserve">, in </w:t>
      </w:r>
      <w:r w:rsidRPr="00796A9D">
        <w:rPr>
          <w:rFonts w:ascii="Times New Roman" w:hAnsi="Times New Roman" w:cs="Times New Roman"/>
          <w:i/>
        </w:rPr>
        <w:t>Mattia Corvino e Firenze. Arte e umanesimo alla corte del re di Ungheria</w:t>
      </w:r>
      <w:r w:rsidRPr="00796A9D">
        <w:rPr>
          <w:rFonts w:ascii="Times New Roman" w:hAnsi="Times New Roman" w:cs="Times New Roman"/>
        </w:rPr>
        <w:t xml:space="preserve">, Catalogo della mostra (Firenze 10 ottobre 2013 – 6 gennaio 2014), a cura di </w:t>
      </w:r>
      <w:r w:rsidRPr="00796A9D">
        <w:rPr>
          <w:rFonts w:ascii="Times New Roman" w:hAnsi="Times New Roman" w:cs="Times New Roman"/>
          <w:smallCaps/>
        </w:rPr>
        <w:t>P. Farbaky, D. Pocs, M. Scudieri</w:t>
      </w:r>
      <w:r w:rsidRPr="00796A9D">
        <w:rPr>
          <w:rFonts w:ascii="Times New Roman" w:hAnsi="Times New Roman" w:cs="Times New Roman"/>
        </w:rPr>
        <w:t xml:space="preserve">, Firenze, Giunti, 2013, pp. 250-261. </w:t>
      </w:r>
    </w:p>
  </w:footnote>
  <w:footnote w:id="293">
    <w:p w14:paraId="70A8CF9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commercio di libri a Firenze ai tempi del Concilio e della residenza della curia di Eugenio rinvio a </w:t>
      </w:r>
      <w:r w:rsidRPr="00796A9D">
        <w:rPr>
          <w:rFonts w:ascii="Times New Roman" w:hAnsi="Times New Roman" w:cs="Times New Roman"/>
          <w:smallCaps/>
        </w:rPr>
        <w:t>L. Boschetto</w:t>
      </w:r>
      <w:r w:rsidRPr="00796A9D">
        <w:rPr>
          <w:rFonts w:ascii="Times New Roman" w:hAnsi="Times New Roman" w:cs="Times New Roman"/>
        </w:rPr>
        <w:t xml:space="preserve">, </w:t>
      </w:r>
      <w:r w:rsidRPr="00796A9D">
        <w:rPr>
          <w:rFonts w:ascii="Times New Roman" w:hAnsi="Times New Roman" w:cs="Times New Roman"/>
          <w:i/>
        </w:rPr>
        <w:t>Società e cultura a Firenze al tempo del Concilio. Papa Eugenio IV tra curiali, mercanti e umanisti</w:t>
      </w:r>
      <w:r w:rsidRPr="00796A9D">
        <w:rPr>
          <w:rFonts w:ascii="Times New Roman" w:hAnsi="Times New Roman" w:cs="Times New Roman"/>
        </w:rPr>
        <w:t>, Roma, Edizioni di storia e letteratura, 2012, pp. 417-439.</w:t>
      </w:r>
    </w:p>
  </w:footnote>
  <w:footnote w:id="294">
    <w:p w14:paraId="1731EBC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biografia artistica e i richiami bibliografici alle principali opere di del Chierico, il quale fornì manoscritti illustrati a Cosimo, a Piero e a Lorenzo de’ Medici, vedi </w:t>
      </w:r>
      <w:r w:rsidRPr="00796A9D">
        <w:rPr>
          <w:rFonts w:ascii="Times New Roman" w:hAnsi="Times New Roman" w:cs="Times New Roman"/>
          <w:smallCaps/>
        </w:rPr>
        <w:t>M. Bollati</w:t>
      </w:r>
      <w:r w:rsidRPr="00796A9D">
        <w:rPr>
          <w:rFonts w:ascii="Times New Roman" w:hAnsi="Times New Roman" w:cs="Times New Roman"/>
        </w:rPr>
        <w:t xml:space="preserve">, s.v. </w:t>
      </w:r>
      <w:r w:rsidRPr="00796A9D">
        <w:rPr>
          <w:rFonts w:ascii="Times New Roman" w:hAnsi="Times New Roman" w:cs="Times New Roman"/>
          <w:i/>
        </w:rPr>
        <w:t>Francesco di Antonio del Chierico</w:t>
      </w:r>
      <w:r w:rsidRPr="00796A9D">
        <w:rPr>
          <w:rFonts w:ascii="Times New Roman" w:hAnsi="Times New Roman" w:cs="Times New Roman"/>
        </w:rPr>
        <w:t xml:space="preserve">, in </w:t>
      </w:r>
      <w:r w:rsidRPr="00796A9D">
        <w:rPr>
          <w:rFonts w:ascii="Times New Roman" w:hAnsi="Times New Roman" w:cs="Times New Roman"/>
          <w:i/>
        </w:rPr>
        <w:t xml:space="preserve">Dizionario biografico dei miniatori italiani, </w:t>
      </w:r>
      <w:r w:rsidRPr="00796A9D">
        <w:rPr>
          <w:rFonts w:ascii="Times New Roman" w:hAnsi="Times New Roman" w:cs="Times New Roman"/>
        </w:rPr>
        <w:t xml:space="preserve">cit., pp. 228-230. </w:t>
      </w:r>
    </w:p>
  </w:footnote>
  <w:footnote w:id="295">
    <w:p w14:paraId="712E925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Cambridge, Fitzwilliam Museum, ms. 180. Copiato da Piero di Benedetto Strozzi, venne presentato a Luigi XI dall’autore stesso, che prese parte all’ambasceria insieme a Filippo de’ Medici, arcivescovo di Pisa, </w:t>
      </w:r>
      <w:bookmarkStart w:id="235" w:name="_Hlk535870908"/>
      <w:r w:rsidRPr="00796A9D">
        <w:rPr>
          <w:rFonts w:ascii="Times New Roman" w:hAnsi="Times New Roman" w:cs="Times New Roman"/>
        </w:rPr>
        <w:t xml:space="preserve">Piero de’ Pazzi </w:t>
      </w:r>
      <w:bookmarkEnd w:id="235"/>
      <w:r w:rsidRPr="00796A9D">
        <w:rPr>
          <w:rFonts w:ascii="Times New Roman" w:hAnsi="Times New Roman" w:cs="Times New Roman"/>
        </w:rPr>
        <w:t xml:space="preserve">e Bonaccorso Pitti. Cfr. </w:t>
      </w:r>
      <w:r w:rsidRPr="00796A9D">
        <w:rPr>
          <w:rFonts w:ascii="Times New Roman" w:hAnsi="Times New Roman" w:cs="Times New Roman"/>
          <w:smallCaps/>
        </w:rPr>
        <w:t>A. Garzelli</w:t>
      </w:r>
      <w:r w:rsidRPr="00796A9D">
        <w:rPr>
          <w:rFonts w:ascii="Times New Roman" w:hAnsi="Times New Roman" w:cs="Times New Roman"/>
        </w:rPr>
        <w:t xml:space="preserve">, </w:t>
      </w:r>
      <w:r w:rsidRPr="00796A9D">
        <w:rPr>
          <w:rFonts w:ascii="Times New Roman" w:hAnsi="Times New Roman" w:cs="Times New Roman"/>
          <w:i/>
        </w:rPr>
        <w:t xml:space="preserve">Le immagini, gli autori, i destinatari, </w:t>
      </w:r>
      <w:r w:rsidRPr="00796A9D">
        <w:rPr>
          <w:rFonts w:ascii="Times New Roman" w:hAnsi="Times New Roman" w:cs="Times New Roman"/>
        </w:rPr>
        <w:t>cit., pp. 139-140.</w:t>
      </w:r>
    </w:p>
  </w:footnote>
  <w:footnote w:id="296">
    <w:p w14:paraId="22B1398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Già il Salutati, nelle lettere inviate a Carlo VI nel 1384, aveva ricordato la benevolenza dell’imperatore nei confronti di Firenze. Nell’età di Cosimo il Vecchio l’alleanza con la Francia si consolidò e, qualche tempo dopo l’invio dell’ambasceria a Luigi XI, a Piero de’ Medici fu concesso l’onore di abbellire il suo stemma con i gigli di Francia, nel 1465. L’appoggio di questo monarca sarà di fondamentale importanza per il Magnifico dopo la congiura dei Pazzi, l’aggravarsi delle ostilità con Ferrante d’Aragona e l’interdetto sulla città scagliato da Sisto IV. Per l’impiego negli scritti dei letterati fiorentini del mito di Carlo Magno rifondatore di Firenze cfr. Cfr. </w:t>
      </w:r>
      <w:r w:rsidRPr="00796A9D">
        <w:rPr>
          <w:rFonts w:ascii="Times New Roman" w:hAnsi="Times New Roman" w:cs="Times New Roman"/>
          <w:smallCaps/>
        </w:rPr>
        <w:t>M. Villoresi</w:t>
      </w:r>
      <w:r w:rsidRPr="00796A9D">
        <w:rPr>
          <w:rFonts w:ascii="Times New Roman" w:hAnsi="Times New Roman" w:cs="Times New Roman"/>
        </w:rPr>
        <w:t xml:space="preserve">, </w:t>
      </w:r>
      <w:r w:rsidRPr="00796A9D">
        <w:rPr>
          <w:rFonts w:ascii="Times New Roman" w:hAnsi="Times New Roman" w:cs="Times New Roman"/>
          <w:i/>
        </w:rPr>
        <w:t>La fabbrica dei cavalieri</w:t>
      </w:r>
      <w:r w:rsidRPr="00796A9D">
        <w:rPr>
          <w:rFonts w:ascii="Times New Roman" w:hAnsi="Times New Roman" w:cs="Times New Roman"/>
        </w:rPr>
        <w:t xml:space="preserve">, cit., pp. 213-220. </w:t>
      </w:r>
    </w:p>
  </w:footnote>
  <w:footnote w:id="297">
    <w:p w14:paraId="03F79CF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Città del Vaticano, Biblioteca Apostolica Vaticana, Urb. Lat. 1-2. Per una discussione puntuale degli interventi dei singoli artisti vedi </w:t>
      </w:r>
      <w:r w:rsidRPr="00796A9D">
        <w:rPr>
          <w:rFonts w:ascii="Times New Roman" w:hAnsi="Times New Roman" w:cs="Times New Roman"/>
          <w:smallCaps/>
        </w:rPr>
        <w:t>G. Morello</w:t>
      </w:r>
      <w:r w:rsidRPr="00796A9D">
        <w:rPr>
          <w:rFonts w:ascii="Times New Roman" w:hAnsi="Times New Roman" w:cs="Times New Roman"/>
        </w:rPr>
        <w:t xml:space="preserve">, </w:t>
      </w:r>
      <w:r w:rsidRPr="00796A9D">
        <w:rPr>
          <w:rFonts w:ascii="Times New Roman" w:hAnsi="Times New Roman" w:cs="Times New Roman"/>
          <w:i/>
        </w:rPr>
        <w:t>Pittori e miniatori per la Bibbia Urbinate</w:t>
      </w:r>
      <w:r w:rsidRPr="00796A9D">
        <w:rPr>
          <w:rFonts w:ascii="Times New Roman" w:hAnsi="Times New Roman" w:cs="Times New Roman"/>
        </w:rPr>
        <w:t xml:space="preserve">, in </w:t>
      </w:r>
      <w:r w:rsidRPr="00796A9D">
        <w:rPr>
          <w:rFonts w:ascii="Times New Roman" w:hAnsi="Times New Roman" w:cs="Times New Roman"/>
          <w:i/>
        </w:rPr>
        <w:t>La Bibbia di Federico da Montefeltro. Commentario al codice</w:t>
      </w:r>
      <w:r w:rsidRPr="00796A9D">
        <w:rPr>
          <w:rFonts w:ascii="Times New Roman" w:hAnsi="Times New Roman" w:cs="Times New Roman"/>
        </w:rPr>
        <w:t>, a cura di A</w:t>
      </w:r>
      <w:r w:rsidRPr="00796A9D">
        <w:rPr>
          <w:rFonts w:ascii="Times New Roman" w:hAnsi="Times New Roman" w:cs="Times New Roman"/>
          <w:smallCaps/>
        </w:rPr>
        <w:t>.M. Piazzoni</w:t>
      </w:r>
      <w:r w:rsidRPr="00796A9D">
        <w:rPr>
          <w:rFonts w:ascii="Times New Roman" w:hAnsi="Times New Roman" w:cs="Times New Roman"/>
        </w:rPr>
        <w:t xml:space="preserve">, Modena, Franco Cosimo Panini, 2005, vol. I, pp. 93-118, al quale si rinvia anche per osservazioni relative alle citazioni di opere d’arte contemporanee nelle pagine della </w:t>
      </w:r>
      <w:r w:rsidRPr="00796A9D">
        <w:rPr>
          <w:rFonts w:ascii="Times New Roman" w:hAnsi="Times New Roman" w:cs="Times New Roman"/>
          <w:i/>
        </w:rPr>
        <w:t>Bibbia</w:t>
      </w:r>
      <w:r w:rsidRPr="00796A9D">
        <w:rPr>
          <w:rFonts w:ascii="Times New Roman" w:hAnsi="Times New Roman" w:cs="Times New Roman"/>
        </w:rPr>
        <w:t xml:space="preserve">, come quella, pressoché letterale, del </w:t>
      </w:r>
      <w:r w:rsidRPr="00796A9D">
        <w:rPr>
          <w:rFonts w:ascii="Times New Roman" w:hAnsi="Times New Roman" w:cs="Times New Roman"/>
          <w:i/>
        </w:rPr>
        <w:t>Battesimo di Cristo</w:t>
      </w:r>
      <w:r w:rsidRPr="00796A9D">
        <w:rPr>
          <w:rFonts w:ascii="Times New Roman" w:hAnsi="Times New Roman" w:cs="Times New Roman"/>
        </w:rPr>
        <w:t xml:space="preserve"> di Verrocchio nel tondo miniato da Francesco Rosselli al foglio 215r. dell’Urb. Lat. 2. </w:t>
      </w:r>
    </w:p>
  </w:footnote>
  <w:footnote w:id="298">
    <w:p w14:paraId="4D4DBC2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miniatura compare sul foglio 174v dell’Urb. Lat. 2. Se ne veda l’attenta descrizione di </w:t>
      </w:r>
      <w:r w:rsidRPr="00796A9D">
        <w:rPr>
          <w:rFonts w:ascii="Times New Roman" w:hAnsi="Times New Roman" w:cs="Times New Roman"/>
          <w:smallCaps/>
        </w:rPr>
        <w:t>F. Manzari</w:t>
      </w:r>
      <w:r w:rsidRPr="00796A9D">
        <w:rPr>
          <w:rFonts w:ascii="Times New Roman" w:hAnsi="Times New Roman" w:cs="Times New Roman"/>
        </w:rPr>
        <w:t xml:space="preserve">, </w:t>
      </w:r>
      <w:r w:rsidRPr="00796A9D">
        <w:rPr>
          <w:rFonts w:ascii="Times New Roman" w:hAnsi="Times New Roman" w:cs="Times New Roman"/>
          <w:i/>
        </w:rPr>
        <w:t>Descrizione delle miniature della Bibbia di Federico da Montefeltro</w:t>
      </w:r>
      <w:r w:rsidRPr="00796A9D">
        <w:rPr>
          <w:rFonts w:ascii="Times New Roman" w:hAnsi="Times New Roman" w:cs="Times New Roman"/>
        </w:rPr>
        <w:t xml:space="preserve">, in </w:t>
      </w:r>
      <w:r w:rsidRPr="00796A9D">
        <w:rPr>
          <w:rFonts w:ascii="Times New Roman" w:hAnsi="Times New Roman" w:cs="Times New Roman"/>
          <w:i/>
        </w:rPr>
        <w:t>La Bibbia di Federico da Montefeltro</w:t>
      </w:r>
      <w:r w:rsidRPr="00796A9D">
        <w:rPr>
          <w:rFonts w:ascii="Times New Roman" w:hAnsi="Times New Roman" w:cs="Times New Roman"/>
        </w:rPr>
        <w:t xml:space="preserve">, cit., vol. II, p. 106. </w:t>
      </w:r>
    </w:p>
  </w:footnote>
  <w:footnote w:id="299">
    <w:p w14:paraId="3A37C06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Pare che il Rosselli svolgesse in gioventù un’attività d’incisore, il cui riflesso si coglierebbe nella puntualità con cui ornò di cammei e gemme antiche le cornici dei libri umanistici commissionatigli. La sua predilezione per la ritrattistica e la trattazione delle singole figure piuttosto che per le scene è messa a fuoco in </w:t>
      </w:r>
      <w:r w:rsidRPr="00796A9D">
        <w:rPr>
          <w:rFonts w:ascii="Times New Roman" w:hAnsi="Times New Roman" w:cs="Times New Roman"/>
          <w:smallCaps/>
        </w:rPr>
        <w:t>A. Labriola</w:t>
      </w:r>
      <w:r w:rsidRPr="00796A9D">
        <w:rPr>
          <w:rFonts w:ascii="Times New Roman" w:hAnsi="Times New Roman" w:cs="Times New Roman"/>
        </w:rPr>
        <w:t xml:space="preserve">, </w:t>
      </w:r>
      <w:r w:rsidRPr="00796A9D">
        <w:rPr>
          <w:rFonts w:ascii="Times New Roman" w:hAnsi="Times New Roman" w:cs="Times New Roman"/>
          <w:i/>
        </w:rPr>
        <w:t>I miniatori fiorentini</w:t>
      </w:r>
      <w:r w:rsidRPr="00796A9D">
        <w:rPr>
          <w:rFonts w:ascii="Times New Roman" w:hAnsi="Times New Roman" w:cs="Times New Roman"/>
        </w:rPr>
        <w:t xml:space="preserve">, in </w:t>
      </w:r>
      <w:r w:rsidRPr="00796A9D">
        <w:rPr>
          <w:rFonts w:ascii="Times New Roman" w:hAnsi="Times New Roman" w:cs="Times New Roman"/>
          <w:i/>
        </w:rPr>
        <w:t>Ornatissimo codice</w:t>
      </w:r>
      <w:r w:rsidRPr="00796A9D">
        <w:rPr>
          <w:rFonts w:ascii="Times New Roman" w:hAnsi="Times New Roman" w:cs="Times New Roman"/>
        </w:rPr>
        <w:t xml:space="preserve">, cit., pp. 60-61. </w:t>
      </w:r>
    </w:p>
  </w:footnote>
  <w:footnote w:id="300">
    <w:p w14:paraId="07DD8EB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Parigi, Bibliothèque Nationale de France, Lat. 4802. Il codice, riconosciuto come uno dei capolavori della miniatura fiorentina del secondo Quattrocento, fu tra i libri della biblioteca reale di Napoli acquistati dal cardinale d’Amboise dopo il trasferimento in Francia di Federico d’Aragona. Una scheda bibliografica aggiornata si trova in </w:t>
      </w:r>
      <w:r w:rsidRPr="00796A9D">
        <w:rPr>
          <w:rFonts w:ascii="Times New Roman" w:hAnsi="Times New Roman" w:cs="Times New Roman"/>
          <w:i/>
        </w:rPr>
        <w:t>Une Renaissance en Normandie. Le cardinal Georges d’Amboise bibliophile et mécène</w:t>
      </w:r>
      <w:r w:rsidRPr="00796A9D">
        <w:rPr>
          <w:rFonts w:ascii="Times New Roman" w:hAnsi="Times New Roman" w:cs="Times New Roman"/>
        </w:rPr>
        <w:t xml:space="preserve">, sous la direction de </w:t>
      </w:r>
      <w:r w:rsidRPr="00796A9D">
        <w:rPr>
          <w:rFonts w:ascii="Times New Roman" w:hAnsi="Times New Roman" w:cs="Times New Roman"/>
          <w:smallCaps/>
        </w:rPr>
        <w:t>F. Calame-Lavert, M. Hermant, G. Toscano</w:t>
      </w:r>
      <w:r w:rsidRPr="00796A9D">
        <w:rPr>
          <w:rFonts w:ascii="Times New Roman" w:hAnsi="Times New Roman" w:cs="Times New Roman"/>
        </w:rPr>
        <w:t xml:space="preserve">, Catalogue de l’exposition (Évreux, 8 juillet au 22 octobre 2017), Stipa, Gourcuff Gradenigo, 2017, pp. 185-187. </w:t>
      </w:r>
    </w:p>
  </w:footnote>
  <w:footnote w:id="301">
    <w:p w14:paraId="59B8745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Labriola</w:t>
      </w:r>
      <w:r w:rsidRPr="00796A9D">
        <w:rPr>
          <w:rFonts w:ascii="Times New Roman" w:hAnsi="Times New Roman" w:cs="Times New Roman"/>
        </w:rPr>
        <w:t xml:space="preserve">, </w:t>
      </w:r>
      <w:r w:rsidRPr="00796A9D">
        <w:rPr>
          <w:rFonts w:ascii="Times New Roman" w:hAnsi="Times New Roman" w:cs="Times New Roman"/>
          <w:i/>
        </w:rPr>
        <w:t>I miniatori fiorentini</w:t>
      </w:r>
      <w:r w:rsidRPr="00796A9D">
        <w:rPr>
          <w:rFonts w:ascii="Times New Roman" w:hAnsi="Times New Roman" w:cs="Times New Roman"/>
        </w:rPr>
        <w:t>, cit.,</w:t>
      </w:r>
      <w:r w:rsidRPr="00796A9D">
        <w:rPr>
          <w:rFonts w:ascii="Times New Roman" w:hAnsi="Times New Roman" w:cs="Times New Roman"/>
          <w:i/>
        </w:rPr>
        <w:t xml:space="preserve"> </w:t>
      </w:r>
      <w:r w:rsidRPr="00796A9D">
        <w:rPr>
          <w:rFonts w:ascii="Times New Roman" w:hAnsi="Times New Roman" w:cs="Times New Roman"/>
        </w:rPr>
        <w:t xml:space="preserve">p. 61.  Oltre al Rosselli, prestarono servizio presso lo </w:t>
      </w:r>
      <w:r w:rsidRPr="00796A9D">
        <w:rPr>
          <w:rFonts w:ascii="Times New Roman" w:hAnsi="Times New Roman" w:cs="Times New Roman"/>
          <w:i/>
        </w:rPr>
        <w:t>scriptorium</w:t>
      </w:r>
      <w:r w:rsidRPr="00796A9D">
        <w:rPr>
          <w:rFonts w:ascii="Times New Roman" w:hAnsi="Times New Roman" w:cs="Times New Roman"/>
        </w:rPr>
        <w:t xml:space="preserve"> della corte di Buda il miniatore lombardo Francesco da Castello, che influenzò l’arte del cosìddetto maestro del Cassiano, e l’esperto legatore </w:t>
      </w:r>
      <w:bookmarkStart w:id="239" w:name="_Hlk535871245"/>
      <w:r w:rsidRPr="00796A9D">
        <w:rPr>
          <w:rFonts w:ascii="Times New Roman" w:hAnsi="Times New Roman" w:cs="Times New Roman"/>
        </w:rPr>
        <w:t>Felice Feliciano</w:t>
      </w:r>
      <w:bookmarkEnd w:id="239"/>
      <w:r w:rsidRPr="00796A9D">
        <w:rPr>
          <w:rFonts w:ascii="Times New Roman" w:hAnsi="Times New Roman" w:cs="Times New Roman"/>
        </w:rPr>
        <w:t xml:space="preserve">, giunto in Ungheria al seguito del cardinale Giovanni d’Aragona nel 1479. Difficile invece rendere conto dei calligrafi al soldo del Corvino. La sua biblioteca pare comunque che offrisse lavoro a circa trenta operatori del settore librario. Cfr. </w:t>
      </w:r>
      <w:r w:rsidRPr="00796A9D">
        <w:rPr>
          <w:rFonts w:ascii="Times New Roman" w:hAnsi="Times New Roman" w:cs="Times New Roman"/>
          <w:smallCaps/>
        </w:rPr>
        <w:t>Á. Mikó</w:t>
      </w:r>
      <w:r w:rsidRPr="00796A9D">
        <w:rPr>
          <w:rFonts w:ascii="Times New Roman" w:hAnsi="Times New Roman" w:cs="Times New Roman"/>
        </w:rPr>
        <w:t xml:space="preserve">, </w:t>
      </w:r>
      <w:r w:rsidRPr="00796A9D">
        <w:rPr>
          <w:rFonts w:ascii="Times New Roman" w:hAnsi="Times New Roman" w:cs="Times New Roman"/>
          <w:i/>
        </w:rPr>
        <w:t>Amanuensi, miniatori e legatori alla corte di Buda. Note sui problemi della Biblioteca Corviniana</w:t>
      </w:r>
      <w:r w:rsidRPr="00796A9D">
        <w:rPr>
          <w:rFonts w:ascii="Times New Roman" w:hAnsi="Times New Roman" w:cs="Times New Roman"/>
        </w:rPr>
        <w:t xml:space="preserve">, in </w:t>
      </w:r>
      <w:r w:rsidRPr="00796A9D">
        <w:rPr>
          <w:rFonts w:ascii="Times New Roman" w:hAnsi="Times New Roman" w:cs="Times New Roman"/>
          <w:i/>
        </w:rPr>
        <w:t>Mattia Corvino e Firenze</w:t>
      </w:r>
      <w:r w:rsidRPr="00796A9D">
        <w:rPr>
          <w:rFonts w:ascii="Times New Roman" w:hAnsi="Times New Roman" w:cs="Times New Roman"/>
        </w:rPr>
        <w:t>, cit., pp. 308-313.</w:t>
      </w:r>
    </w:p>
  </w:footnote>
  <w:footnote w:id="302">
    <w:p w14:paraId="14533AF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 loro volta, i mercanti toscani presenti a Buda e nei territori del regno godettero di agevolazioni fiscali e Mattia Corvino favorì la carriera alla sua corte dei fiorentini </w:t>
      </w:r>
      <w:bookmarkStart w:id="240" w:name="_Hlk535871299"/>
      <w:r w:rsidRPr="00796A9D">
        <w:rPr>
          <w:rFonts w:ascii="Times New Roman" w:hAnsi="Times New Roman" w:cs="Times New Roman"/>
        </w:rPr>
        <w:t>Domenico Giugni</w:t>
      </w:r>
      <w:bookmarkEnd w:id="240"/>
      <w:r w:rsidRPr="00796A9D">
        <w:rPr>
          <w:rFonts w:ascii="Times New Roman" w:hAnsi="Times New Roman" w:cs="Times New Roman"/>
        </w:rPr>
        <w:t xml:space="preserve">, che vi svolse anche funzioni di ambasciatore della Signoria, e Francesco Bandini Baroncelli, poeta e umanista. Per le relazioni tra il Corvino e Firenze, più frequenti dopo le sue nozze con Beatrice d’Aragona, figlia di Ferrante di Napoli (settembre 1476) e dopo l’opera di mediazione svolta per riallacciare i rapporti tra Firenze e Napoli in seguito alla congiura dei Pazzi del 1478, si veda </w:t>
      </w:r>
      <w:r w:rsidRPr="00796A9D">
        <w:rPr>
          <w:rFonts w:ascii="Times New Roman" w:hAnsi="Times New Roman" w:cs="Times New Roman"/>
          <w:smallCaps/>
        </w:rPr>
        <w:t>Z. Teke</w:t>
      </w:r>
      <w:r w:rsidRPr="00796A9D">
        <w:rPr>
          <w:rFonts w:ascii="Times New Roman" w:hAnsi="Times New Roman" w:cs="Times New Roman"/>
        </w:rPr>
        <w:t xml:space="preserve">, </w:t>
      </w:r>
      <w:r w:rsidRPr="00796A9D">
        <w:rPr>
          <w:rFonts w:ascii="Times New Roman" w:hAnsi="Times New Roman" w:cs="Times New Roman"/>
          <w:i/>
        </w:rPr>
        <w:t>Economia e Politica nei rapporti tra Firenze e Ungheria durante il Quattrocento</w:t>
      </w:r>
      <w:r w:rsidRPr="00796A9D">
        <w:rPr>
          <w:rFonts w:ascii="Times New Roman" w:hAnsi="Times New Roman" w:cs="Times New Roman"/>
        </w:rPr>
        <w:t xml:space="preserve">, in </w:t>
      </w:r>
      <w:r w:rsidRPr="00796A9D">
        <w:rPr>
          <w:rFonts w:ascii="Times New Roman" w:hAnsi="Times New Roman" w:cs="Times New Roman"/>
          <w:i/>
        </w:rPr>
        <w:t>Mattia Corvino e Firenze</w:t>
      </w:r>
      <w:r w:rsidRPr="00796A9D">
        <w:rPr>
          <w:rFonts w:ascii="Times New Roman" w:hAnsi="Times New Roman" w:cs="Times New Roman"/>
        </w:rPr>
        <w:t xml:space="preserve">, cit., pp. 68-75. </w:t>
      </w:r>
    </w:p>
  </w:footnote>
  <w:footnote w:id="303">
    <w:p w14:paraId="5809F30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Firenze, Museo Nazionale del Bargello, ms. 67. Su questo codice e sull’ammirazione del Corvino per l’arte di Gherardo e Monte di Giovanni vedi </w:t>
      </w:r>
      <w:r w:rsidRPr="00796A9D">
        <w:rPr>
          <w:rFonts w:ascii="Times New Roman" w:hAnsi="Times New Roman" w:cs="Times New Roman"/>
          <w:smallCaps/>
        </w:rPr>
        <w:t>M. Scudieri</w:t>
      </w:r>
      <w:r w:rsidRPr="00796A9D">
        <w:rPr>
          <w:rFonts w:ascii="Times New Roman" w:hAnsi="Times New Roman" w:cs="Times New Roman"/>
        </w:rPr>
        <w:t xml:space="preserve">, </w:t>
      </w:r>
      <w:r w:rsidRPr="00796A9D">
        <w:rPr>
          <w:rFonts w:ascii="Times New Roman" w:hAnsi="Times New Roman" w:cs="Times New Roman"/>
          <w:i/>
        </w:rPr>
        <w:t>La miniatura a Firenze nell’età di Lorenzo de’ Medici e di Mattia Corvino</w:t>
      </w:r>
      <w:r w:rsidRPr="00796A9D">
        <w:rPr>
          <w:rFonts w:ascii="Times New Roman" w:hAnsi="Times New Roman" w:cs="Times New Roman"/>
        </w:rPr>
        <w:t xml:space="preserve">, cit., p. 257. </w:t>
      </w:r>
    </w:p>
  </w:footnote>
  <w:footnote w:id="304">
    <w:p w14:paraId="10BCBFC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Firenze, Biblioteca Medicea Laurenziana, Pluteo 15, 15-17. I tre volumi furono scritti da Antonio Sinibaldi. L’illustrazione dei primi due, anch’essa incompleta, si deve ad Attavante degli Attavanti. Alla morte del Corvino i volumi rimasero a Firenze insieme ad altri circa 150 manoscritti di committenza regia, confluiti tra le proprietà di Lorenzo de’ Medici a ragione dei crediti da lui maturati presso il sovrano. Per la descrizione codicologia dei volumi della Bibbia corviniana si veda la scheda dedicata in </w:t>
      </w:r>
      <w:bookmarkStart w:id="242" w:name="_Hlk523064055"/>
      <w:r w:rsidRPr="00796A9D">
        <w:rPr>
          <w:rFonts w:ascii="Times New Roman" w:hAnsi="Times New Roman" w:cs="Times New Roman"/>
          <w:i/>
        </w:rPr>
        <w:t>Nel segno del corvo. Libri e miniature della biblioteca di Mattia Corvino (1443-1490)</w:t>
      </w:r>
      <w:r w:rsidRPr="00796A9D">
        <w:rPr>
          <w:rFonts w:ascii="Times New Roman" w:hAnsi="Times New Roman" w:cs="Times New Roman"/>
        </w:rPr>
        <w:t xml:space="preserve">, Catalogo della mostra (Modena 15 novembre 2002 – 15 febbraio 2003), a cura di </w:t>
      </w:r>
      <w:r w:rsidRPr="00796A9D">
        <w:rPr>
          <w:rFonts w:ascii="Times New Roman" w:hAnsi="Times New Roman" w:cs="Times New Roman"/>
          <w:smallCaps/>
        </w:rPr>
        <w:t>N. Bono</w:t>
      </w:r>
      <w:r w:rsidRPr="00796A9D">
        <w:rPr>
          <w:rFonts w:ascii="Times New Roman" w:hAnsi="Times New Roman" w:cs="Times New Roman"/>
        </w:rPr>
        <w:t>, Modena, Il Bulino, 2002</w:t>
      </w:r>
      <w:bookmarkEnd w:id="242"/>
      <w:r w:rsidRPr="00796A9D">
        <w:rPr>
          <w:rFonts w:ascii="Times New Roman" w:hAnsi="Times New Roman" w:cs="Times New Roman"/>
        </w:rPr>
        <w:t>, pp. 217-220.</w:t>
      </w:r>
    </w:p>
  </w:footnote>
  <w:footnote w:id="305">
    <w:p w14:paraId="3415777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Per la lettura iconografica di questa miniatura rinvio alla scheda dedicatale in </w:t>
      </w:r>
      <w:r w:rsidRPr="00796A9D">
        <w:rPr>
          <w:rFonts w:ascii="Times New Roman" w:hAnsi="Times New Roman" w:cs="Times New Roman"/>
          <w:i/>
        </w:rPr>
        <w:t>Mattia Corvino e Firenze</w:t>
      </w:r>
      <w:r w:rsidRPr="00796A9D">
        <w:rPr>
          <w:rFonts w:ascii="Times New Roman" w:hAnsi="Times New Roman" w:cs="Times New Roman"/>
        </w:rPr>
        <w:t>, cit., pp. 281-285.</w:t>
      </w:r>
    </w:p>
  </w:footnote>
  <w:footnote w:id="306">
    <w:p w14:paraId="369562C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trattative per l’acquisizione, da parte dei Medici, dei volumi destinati al re d’Ungheria iniziarono circa un mese dopo la morte del Corvino, come attestano due lettere dell’8 e 10 maggio 1490 indirizzate da Piero de’ Medici a suo padre Lorenzo su tale argomento: Firenze, Archivio di Stato, Archivio Mediceo Avanti il Principato, XLII, 57 e 59. L’esame degli inventari cinquecenteschi della biblioteca medicea ha permesso d’evidenziare come alcuni dei libri corviniani fossero entrati nelle proprietà del Magnifico e altri in quelle di suo figlio Giovanni. Cfr. </w:t>
      </w:r>
      <w:bookmarkStart w:id="243" w:name="_Hlk523064162"/>
      <w:r w:rsidRPr="00796A9D">
        <w:rPr>
          <w:rFonts w:ascii="Times New Roman" w:hAnsi="Times New Roman" w:cs="Times New Roman"/>
          <w:smallCaps/>
        </w:rPr>
        <w:t>A. Dillon Bussi</w:t>
      </w:r>
      <w:r w:rsidRPr="00796A9D">
        <w:rPr>
          <w:rFonts w:ascii="Times New Roman" w:hAnsi="Times New Roman" w:cs="Times New Roman"/>
        </w:rPr>
        <w:t xml:space="preserve">, </w:t>
      </w:r>
      <w:r w:rsidRPr="00796A9D">
        <w:rPr>
          <w:rFonts w:ascii="Times New Roman" w:hAnsi="Times New Roman" w:cs="Times New Roman"/>
          <w:i/>
        </w:rPr>
        <w:t>Ancora sulla biblioteca corviniana a Firenze</w:t>
      </w:r>
      <w:r w:rsidRPr="00796A9D">
        <w:rPr>
          <w:rFonts w:ascii="Times New Roman" w:hAnsi="Times New Roman" w:cs="Times New Roman"/>
        </w:rPr>
        <w:t xml:space="preserve">, in </w:t>
      </w:r>
      <w:r w:rsidRPr="00796A9D">
        <w:rPr>
          <w:rFonts w:ascii="Times New Roman" w:hAnsi="Times New Roman" w:cs="Times New Roman"/>
          <w:i/>
        </w:rPr>
        <w:t>Primo incontro italo-ungherese di bibliotecari</w:t>
      </w:r>
      <w:r w:rsidRPr="00796A9D">
        <w:rPr>
          <w:rFonts w:ascii="Times New Roman" w:hAnsi="Times New Roman" w:cs="Times New Roman"/>
        </w:rPr>
        <w:t xml:space="preserve"> (Budapest, 9-10 novembre 2000). </w:t>
      </w:r>
      <w:r w:rsidRPr="00796A9D">
        <w:rPr>
          <w:rFonts w:ascii="Times New Roman" w:hAnsi="Times New Roman" w:cs="Times New Roman"/>
          <w:i/>
        </w:rPr>
        <w:t>Problematiche e prospettive della ricerca sul materiale librario ungherese presente in Italia e sul materiale librario italiano presente in Ungheria</w:t>
      </w:r>
      <w:r w:rsidRPr="00796A9D">
        <w:rPr>
          <w:rFonts w:ascii="Times New Roman" w:hAnsi="Times New Roman" w:cs="Times New Roman"/>
        </w:rPr>
        <w:t xml:space="preserve">, a cura di </w:t>
      </w:r>
      <w:r w:rsidRPr="00796A9D">
        <w:rPr>
          <w:rFonts w:ascii="Times New Roman" w:hAnsi="Times New Roman" w:cs="Times New Roman"/>
          <w:smallCaps/>
        </w:rPr>
        <w:t>M.R. Sciglitano</w:t>
      </w:r>
      <w:r w:rsidRPr="00796A9D">
        <w:rPr>
          <w:rFonts w:ascii="Times New Roman" w:hAnsi="Times New Roman" w:cs="Times New Roman"/>
        </w:rPr>
        <w:t>, Budapest, Stádium Nyomda, 2001, vol. I, pp. 48-79</w:t>
      </w:r>
      <w:bookmarkEnd w:id="243"/>
      <w:r w:rsidRPr="00796A9D">
        <w:rPr>
          <w:rFonts w:ascii="Times New Roman" w:hAnsi="Times New Roman" w:cs="Times New Roman"/>
        </w:rPr>
        <w:t xml:space="preserve">, dove l’autrice ipotizza che Attavante, al fine di marcare la destinazione alla biblioteca regia di diversi suoi manoscritti, li avesse firmati, sperando così d’evitare che essi fossero reimmessi sul mercato a un costo ridotto.  </w:t>
      </w:r>
    </w:p>
  </w:footnote>
  <w:footnote w:id="307">
    <w:p w14:paraId="1BFB55DF" w14:textId="77777777" w:rsidR="00CF5CFB" w:rsidRPr="00796A9D" w:rsidRDefault="00CF5CFB" w:rsidP="00796A9D">
      <w:pPr>
        <w:pStyle w:val="Testonotaapidipagina"/>
        <w:tabs>
          <w:tab w:val="left" w:pos="142"/>
        </w:tabs>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Lione, Bibliothèque Municipale, ms. 5123. Un foglio staccato con una crocifissione si conserva presso il Musée des Beaux Arts di Le Havre. Per un inquadramento di questo manoscritto nel panorama della produzione dell’Attavanti e per più puntuali osservazioni sulla sua biografia artistica vedi </w:t>
      </w:r>
      <w:r w:rsidRPr="00796A9D">
        <w:rPr>
          <w:rFonts w:ascii="Times New Roman" w:hAnsi="Times New Roman" w:cs="Times New Roman"/>
          <w:smallCaps/>
        </w:rPr>
        <w:t>D. Galizzi</w:t>
      </w:r>
      <w:r w:rsidRPr="00796A9D">
        <w:rPr>
          <w:rFonts w:ascii="Times New Roman" w:hAnsi="Times New Roman" w:cs="Times New Roman"/>
        </w:rPr>
        <w:t xml:space="preserve">, s.v. </w:t>
      </w:r>
      <w:r w:rsidRPr="00796A9D">
        <w:rPr>
          <w:rFonts w:ascii="Times New Roman" w:hAnsi="Times New Roman" w:cs="Times New Roman"/>
          <w:i/>
        </w:rPr>
        <w:t>Vante di Gabriello di Vante Attavanti</w:t>
      </w:r>
      <w:r w:rsidRPr="00796A9D">
        <w:rPr>
          <w:rFonts w:ascii="Times New Roman" w:hAnsi="Times New Roman" w:cs="Times New Roman"/>
        </w:rPr>
        <w:t xml:space="preserve">, </w:t>
      </w:r>
      <w:bookmarkStart w:id="245" w:name="_Hlk508018414"/>
      <w:r w:rsidRPr="00796A9D">
        <w:rPr>
          <w:rFonts w:ascii="Times New Roman" w:hAnsi="Times New Roman" w:cs="Times New Roman"/>
        </w:rPr>
        <w:t xml:space="preserve">in </w:t>
      </w:r>
      <w:r w:rsidRPr="00796A9D">
        <w:rPr>
          <w:rFonts w:ascii="Times New Roman" w:hAnsi="Times New Roman" w:cs="Times New Roman"/>
          <w:i/>
        </w:rPr>
        <w:t xml:space="preserve">Dizionario biografico dei miniatori italiani, </w:t>
      </w:r>
      <w:r w:rsidRPr="00796A9D">
        <w:rPr>
          <w:rFonts w:ascii="Times New Roman" w:hAnsi="Times New Roman" w:cs="Times New Roman"/>
        </w:rPr>
        <w:t xml:space="preserve">cit., pp. </w:t>
      </w:r>
      <w:bookmarkEnd w:id="245"/>
      <w:r w:rsidRPr="00796A9D">
        <w:rPr>
          <w:rFonts w:ascii="Times New Roman" w:hAnsi="Times New Roman" w:cs="Times New Roman"/>
        </w:rPr>
        <w:t xml:space="preserve">975-979. </w:t>
      </w:r>
    </w:p>
  </w:footnote>
  <w:footnote w:id="308">
    <w:p w14:paraId="1419FCD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Lisbona, Arquivo Nacional da Torre do Tombo, mss. CF 161, 1-7. I termini del contratto per il minio dei volumi della Bibbia del sovrano portoghese sono esaminati in </w:t>
      </w:r>
      <w:bookmarkStart w:id="248" w:name="_Hlk523064226"/>
      <w:r w:rsidRPr="00796A9D">
        <w:rPr>
          <w:rFonts w:ascii="Times New Roman" w:hAnsi="Times New Roman" w:cs="Times New Roman"/>
          <w:smallCaps/>
        </w:rPr>
        <w:t>A. Melograni</w:t>
      </w:r>
      <w:r w:rsidRPr="00796A9D">
        <w:rPr>
          <w:rFonts w:ascii="Times New Roman" w:hAnsi="Times New Roman" w:cs="Times New Roman"/>
        </w:rPr>
        <w:t xml:space="preserve">, </w:t>
      </w:r>
      <w:r w:rsidRPr="00796A9D">
        <w:rPr>
          <w:rFonts w:ascii="Times New Roman" w:hAnsi="Times New Roman" w:cs="Times New Roman"/>
          <w:i/>
        </w:rPr>
        <w:t>Tipologie e costi della miniatura fiorentina di fine Quattrocento: un riesame della Bibbia di Attavante per il re di Portogallo</w:t>
      </w:r>
      <w:r w:rsidRPr="00796A9D">
        <w:rPr>
          <w:rFonts w:ascii="Times New Roman" w:hAnsi="Times New Roman" w:cs="Times New Roman"/>
        </w:rPr>
        <w:t>, «Bollettino d’Arte», serie VII, 2011, fascicolo 10, pp. 111-124.</w:t>
      </w:r>
    </w:p>
    <w:bookmarkEnd w:id="248"/>
  </w:footnote>
  <w:footnote w:id="309">
    <w:p w14:paraId="4406949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Garzelli</w:t>
      </w:r>
      <w:r w:rsidRPr="00796A9D">
        <w:rPr>
          <w:rFonts w:ascii="Times New Roman" w:hAnsi="Times New Roman" w:cs="Times New Roman"/>
        </w:rPr>
        <w:t xml:space="preserve">, </w:t>
      </w:r>
      <w:r w:rsidRPr="00796A9D">
        <w:rPr>
          <w:rFonts w:ascii="Times New Roman" w:hAnsi="Times New Roman" w:cs="Times New Roman"/>
          <w:i/>
        </w:rPr>
        <w:t>Le immagini, gli autori, i destinatari</w:t>
      </w:r>
      <w:r w:rsidRPr="00796A9D">
        <w:rPr>
          <w:rFonts w:ascii="Times New Roman" w:hAnsi="Times New Roman" w:cs="Times New Roman"/>
        </w:rPr>
        <w:t>, cit., pp. 234-235.</w:t>
      </w:r>
    </w:p>
  </w:footnote>
  <w:footnote w:id="310">
    <w:p w14:paraId="4B7FF4D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V. da Bisticci</w:t>
      </w:r>
      <w:r w:rsidRPr="00796A9D">
        <w:rPr>
          <w:rFonts w:ascii="Times New Roman" w:hAnsi="Times New Roman" w:cs="Times New Roman"/>
        </w:rPr>
        <w:t xml:space="preserve">, </w:t>
      </w:r>
      <w:r w:rsidRPr="00796A9D">
        <w:rPr>
          <w:rFonts w:ascii="Times New Roman" w:hAnsi="Times New Roman" w:cs="Times New Roman"/>
          <w:i/>
        </w:rPr>
        <w:t>Le vite</w:t>
      </w:r>
      <w:r w:rsidRPr="00796A9D">
        <w:rPr>
          <w:rFonts w:ascii="Times New Roman" w:hAnsi="Times New Roman" w:cs="Times New Roman"/>
        </w:rPr>
        <w:t>, cit., vol. I, pp. 193-199; vol. I, pp. 349-351; vol. II, pp. 83-89.</w:t>
      </w:r>
    </w:p>
  </w:footnote>
  <w:footnote w:id="311">
    <w:p w14:paraId="06E0E9F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Intorno alla clientela di origine portoghese di Vespasiano da Bisticci rinvio alle considerazioni di </w:t>
      </w:r>
      <w:bookmarkStart w:id="252" w:name="_Hlk523064327"/>
      <w:r w:rsidRPr="00796A9D">
        <w:rPr>
          <w:rFonts w:ascii="Times New Roman" w:hAnsi="Times New Roman" w:cs="Times New Roman"/>
          <w:smallCaps/>
        </w:rPr>
        <w:t>A. de la Mare</w:t>
      </w:r>
      <w:r w:rsidRPr="00796A9D">
        <w:rPr>
          <w:rFonts w:ascii="Times New Roman" w:hAnsi="Times New Roman" w:cs="Times New Roman"/>
        </w:rPr>
        <w:t xml:space="preserve">, </w:t>
      </w:r>
      <w:r w:rsidRPr="00796A9D">
        <w:rPr>
          <w:rFonts w:ascii="Times New Roman" w:hAnsi="Times New Roman" w:cs="Times New Roman"/>
          <w:i/>
        </w:rPr>
        <w:t>Notes on Portuguese Patrons of the Florentine Book Trade in the Fifteenth Century</w:t>
      </w:r>
      <w:r w:rsidRPr="00796A9D">
        <w:rPr>
          <w:rFonts w:ascii="Times New Roman" w:hAnsi="Times New Roman" w:cs="Times New Roman"/>
        </w:rPr>
        <w:t xml:space="preserve">, in </w:t>
      </w:r>
      <w:r w:rsidRPr="00796A9D">
        <w:rPr>
          <w:rFonts w:ascii="Times New Roman" w:hAnsi="Times New Roman" w:cs="Times New Roman"/>
          <w:smallCaps/>
        </w:rPr>
        <w:t>K.J.P. Lowe</w:t>
      </w:r>
      <w:r w:rsidRPr="00796A9D">
        <w:rPr>
          <w:rFonts w:ascii="Times New Roman" w:hAnsi="Times New Roman" w:cs="Times New Roman"/>
        </w:rPr>
        <w:t xml:space="preserve">, </w:t>
      </w:r>
      <w:r w:rsidRPr="00796A9D">
        <w:rPr>
          <w:rFonts w:ascii="Times New Roman" w:hAnsi="Times New Roman" w:cs="Times New Roman"/>
          <w:i/>
        </w:rPr>
        <w:t>Cultural Links between Portugal and Italy in the Renaissance</w:t>
      </w:r>
      <w:r w:rsidRPr="00796A9D">
        <w:rPr>
          <w:rFonts w:ascii="Times New Roman" w:hAnsi="Times New Roman" w:cs="Times New Roman"/>
        </w:rPr>
        <w:t xml:space="preserve">, Oxford, Oxford University Press, 2000, pp. 167-181. </w:t>
      </w:r>
      <w:bookmarkEnd w:id="252"/>
    </w:p>
  </w:footnote>
  <w:footnote w:id="312">
    <w:p w14:paraId="7D7BBCD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R. Ridolfi</w:t>
      </w:r>
      <w:r w:rsidRPr="00796A9D">
        <w:rPr>
          <w:rFonts w:ascii="Times New Roman" w:hAnsi="Times New Roman" w:cs="Times New Roman"/>
        </w:rPr>
        <w:t xml:space="preserve">, </w:t>
      </w:r>
      <w:r w:rsidRPr="00796A9D">
        <w:rPr>
          <w:rFonts w:ascii="Times New Roman" w:hAnsi="Times New Roman" w:cs="Times New Roman"/>
          <w:i/>
        </w:rPr>
        <w:t>La stampa in Firenze nel secolo XV</w:t>
      </w:r>
      <w:r w:rsidRPr="00796A9D">
        <w:rPr>
          <w:rFonts w:ascii="Times New Roman" w:hAnsi="Times New Roman" w:cs="Times New Roman"/>
        </w:rPr>
        <w:t xml:space="preserve">, Firenze, Olschki, 1958, pp. 20-21. Nel suo fondamentale studio Ridolfi riconobbe a Naldi, a Poliziano e a Lascaris una discreta familiarità con il mondo dell’editoria. L’interesse di questi letterati per la tipografia, introdotta a Firenze dall’orafo Bernardo Cennini nel novembre 1471, fu stimolato dall’esempio di Ficino, che nel 1474 si rivolse allo stampatore Niccolò Tedesco per pubblicare un’edizione in volgare del suo </w:t>
      </w:r>
      <w:r w:rsidRPr="00796A9D">
        <w:rPr>
          <w:rFonts w:ascii="Times New Roman" w:hAnsi="Times New Roman" w:cs="Times New Roman"/>
          <w:i/>
        </w:rPr>
        <w:t>De Christiana religione</w:t>
      </w:r>
      <w:r w:rsidRPr="00796A9D">
        <w:rPr>
          <w:rFonts w:ascii="Times New Roman" w:hAnsi="Times New Roman" w:cs="Times New Roman"/>
        </w:rPr>
        <w:t xml:space="preserve">, primo scritto di un umanista edito a Firenze. Nelle fasi iniziali dell’editoria cittadina non si notò alcuna attenzione per la stampa da parte dei Medici, i quali, dopo la congiura dei Pazzi del 26 aprile 1478, beneficiarono tuttavia di una pubblicistica propagandistica volta ad affermare il ruolo dell’autorità esercitata dalla famiglia per il bene del governo repubblicano e a riabilitare la loro immagine dopo la scomunica emessa contro di loro da Sisto IV nel giugno di quell’anno. Infatti, pochi mesi dopo la congiura furono editi la </w:t>
      </w:r>
      <w:r w:rsidRPr="00796A9D">
        <w:rPr>
          <w:rFonts w:ascii="Times New Roman" w:hAnsi="Times New Roman" w:cs="Times New Roman"/>
          <w:i/>
        </w:rPr>
        <w:t>Florentina synodus</w:t>
      </w:r>
      <w:r w:rsidRPr="00796A9D">
        <w:rPr>
          <w:rFonts w:ascii="Times New Roman" w:hAnsi="Times New Roman" w:cs="Times New Roman"/>
        </w:rPr>
        <w:t xml:space="preserve"> di Gentile Becchi, l’</w:t>
      </w:r>
      <w:r w:rsidRPr="00796A9D">
        <w:rPr>
          <w:rFonts w:ascii="Times New Roman" w:hAnsi="Times New Roman" w:cs="Times New Roman"/>
          <w:i/>
        </w:rPr>
        <w:t>Excusatio Florentinorum</w:t>
      </w:r>
      <w:r w:rsidRPr="00796A9D">
        <w:rPr>
          <w:rFonts w:ascii="Times New Roman" w:hAnsi="Times New Roman" w:cs="Times New Roman"/>
        </w:rPr>
        <w:t xml:space="preserve"> del cancelliere Bartolomeo Scala, il </w:t>
      </w:r>
      <w:r w:rsidRPr="00796A9D">
        <w:rPr>
          <w:rFonts w:ascii="Times New Roman" w:hAnsi="Times New Roman" w:cs="Times New Roman"/>
          <w:i/>
        </w:rPr>
        <w:t>Coniurationis commentarium</w:t>
      </w:r>
      <w:r w:rsidRPr="00796A9D">
        <w:rPr>
          <w:rFonts w:ascii="Times New Roman" w:hAnsi="Times New Roman" w:cs="Times New Roman"/>
        </w:rPr>
        <w:t xml:space="preserve"> di Poliziano, tutti impressi da Niccolò Tedesco, cui si può aggiungere l’anonimo </w:t>
      </w:r>
      <w:r w:rsidRPr="00796A9D">
        <w:rPr>
          <w:rFonts w:ascii="Times New Roman" w:hAnsi="Times New Roman" w:cs="Times New Roman"/>
          <w:i/>
        </w:rPr>
        <w:t>Lamento in morte di Giuliano</w:t>
      </w:r>
      <w:r w:rsidRPr="00796A9D">
        <w:rPr>
          <w:rFonts w:ascii="Times New Roman" w:hAnsi="Times New Roman" w:cs="Times New Roman"/>
        </w:rPr>
        <w:t xml:space="preserve"> edito da Bartolomeo Fonzio e impresso dalla tipografia di San Jacopo di Ripoli. Cfr. </w:t>
      </w:r>
      <w:r w:rsidRPr="00796A9D">
        <w:rPr>
          <w:rFonts w:ascii="Times New Roman" w:hAnsi="Times New Roman" w:cs="Times New Roman"/>
          <w:smallCaps/>
        </w:rPr>
        <w:t>A. Poliziano</w:t>
      </w:r>
      <w:r w:rsidRPr="00796A9D">
        <w:rPr>
          <w:rFonts w:ascii="Times New Roman" w:hAnsi="Times New Roman" w:cs="Times New Roman"/>
        </w:rPr>
        <w:t xml:space="preserve">, </w:t>
      </w:r>
      <w:r w:rsidRPr="00796A9D">
        <w:rPr>
          <w:rFonts w:ascii="Times New Roman" w:hAnsi="Times New Roman" w:cs="Times New Roman"/>
          <w:i/>
        </w:rPr>
        <w:t>Coniurationis commentarium</w:t>
      </w:r>
      <w:r w:rsidRPr="00796A9D">
        <w:rPr>
          <w:rFonts w:ascii="Times New Roman" w:hAnsi="Times New Roman" w:cs="Times New Roman"/>
        </w:rPr>
        <w:t xml:space="preserve"> a cura di </w:t>
      </w:r>
      <w:r w:rsidRPr="00796A9D">
        <w:rPr>
          <w:rFonts w:ascii="Times New Roman" w:hAnsi="Times New Roman" w:cs="Times New Roman"/>
          <w:smallCaps/>
        </w:rPr>
        <w:t>M. Celati</w:t>
      </w:r>
      <w:r w:rsidRPr="00796A9D">
        <w:rPr>
          <w:rFonts w:ascii="Times New Roman" w:hAnsi="Times New Roman" w:cs="Times New Roman"/>
        </w:rPr>
        <w:t xml:space="preserve">, Alessandria, Edizioni dell’Orso, 2015, pp. 3-6.  </w:t>
      </w:r>
    </w:p>
  </w:footnote>
  <w:footnote w:id="313">
    <w:p w14:paraId="0F08220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Scarsi gli studi sulla figura di Taddeo Ugoletti o Ugoletto. Erudito di non secondaria importanza nella Parma della fine del Quattrocento, egli rientrò nella sua città dopo la morte del Corvino e prestò opera di revisore dei testi e di editore presso la stamperia di suo fratello Angelo, per il quale attese nel 1493 all’edizione delle opere poetiche di Claudiano, IGI 3004; e nel 1494 a quella delle </w:t>
      </w:r>
      <w:r w:rsidRPr="00796A9D">
        <w:rPr>
          <w:rFonts w:ascii="Times New Roman" w:hAnsi="Times New Roman" w:cs="Times New Roman"/>
          <w:i/>
        </w:rPr>
        <w:t>Declamationes minores</w:t>
      </w:r>
      <w:r w:rsidRPr="00796A9D">
        <w:rPr>
          <w:rFonts w:ascii="Times New Roman" w:hAnsi="Times New Roman" w:cs="Times New Roman"/>
        </w:rPr>
        <w:t xml:space="preserve"> dello Pseudo Quintiliano, IGI 8257. Per un profilo biografico cfr. </w:t>
      </w:r>
      <w:bookmarkStart w:id="253" w:name="_Hlk523064420"/>
      <w:r w:rsidRPr="00796A9D">
        <w:rPr>
          <w:rFonts w:ascii="Times New Roman" w:hAnsi="Times New Roman" w:cs="Times New Roman"/>
          <w:smallCaps/>
        </w:rPr>
        <w:t>F. Rizzi</w:t>
      </w:r>
      <w:r w:rsidRPr="00796A9D">
        <w:rPr>
          <w:rFonts w:ascii="Times New Roman" w:hAnsi="Times New Roman" w:cs="Times New Roman"/>
        </w:rPr>
        <w:t xml:space="preserve">, </w:t>
      </w:r>
      <w:r w:rsidRPr="00796A9D">
        <w:rPr>
          <w:rFonts w:ascii="Times New Roman" w:hAnsi="Times New Roman" w:cs="Times New Roman"/>
          <w:i/>
        </w:rPr>
        <w:t>Un umanista ignorato, Taddeo Ugoleto</w:t>
      </w:r>
      <w:r w:rsidRPr="00796A9D">
        <w:rPr>
          <w:rFonts w:ascii="Times New Roman" w:hAnsi="Times New Roman" w:cs="Times New Roman"/>
        </w:rPr>
        <w:t>, «Aurea Parma», XXXVII, gennaio-marzo 1953, pp. 3-17.</w:t>
      </w:r>
    </w:p>
    <w:bookmarkEnd w:id="253"/>
  </w:footnote>
  <w:footnote w:id="314">
    <w:p w14:paraId="460D461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Un’importante occasione di contatto tra l’Ungheria e il mercato librario fiorentino si era avuta in precedenza in occasione del passaggio in città dell’ambasceria inviata dal Corvino al neoeletto pontefice Paolo II. Vi era preposto Giano Pannonio, anch’egli dotto bibliofilo, che ne approfittò per raccogliere manoscritti nei centri di Roma e Firenze e per invitare alla corte di Buda Galeotto Marzio da Narni, che da quell’anno fino alla fine del 1471 vi svolse il compito di </w:t>
      </w:r>
      <w:r w:rsidRPr="00796A9D">
        <w:rPr>
          <w:rFonts w:ascii="Times New Roman" w:hAnsi="Times New Roman" w:cs="Times New Roman"/>
          <w:i/>
        </w:rPr>
        <w:t>prefectus Bibliothecae</w:t>
      </w:r>
      <w:r w:rsidRPr="00796A9D">
        <w:rPr>
          <w:rFonts w:ascii="Times New Roman" w:hAnsi="Times New Roman" w:cs="Times New Roman"/>
        </w:rPr>
        <w:t xml:space="preserve">. Ugoletti gli subentrò quindi nell’incarico e la sua presenza a corte attesta l’importanza del confronto con l’umanesimo italiano per l’elaborazione di una cultura cortese d’elevato profilo. Cfr. </w:t>
      </w:r>
      <w:r w:rsidRPr="00796A9D">
        <w:rPr>
          <w:rFonts w:ascii="Times New Roman" w:hAnsi="Times New Roman" w:cs="Times New Roman"/>
          <w:smallCaps/>
        </w:rPr>
        <w:t>E. Berkovits</w:t>
      </w:r>
      <w:r w:rsidRPr="00796A9D">
        <w:rPr>
          <w:rFonts w:ascii="Times New Roman" w:hAnsi="Times New Roman" w:cs="Times New Roman"/>
        </w:rPr>
        <w:t xml:space="preserve">, </w:t>
      </w:r>
      <w:r w:rsidRPr="00796A9D">
        <w:rPr>
          <w:rFonts w:ascii="Times New Roman" w:hAnsi="Times New Roman" w:cs="Times New Roman"/>
          <w:i/>
        </w:rPr>
        <w:t>Miniature del Rinascimento nella biblioteca di Mattia Corvino</w:t>
      </w:r>
      <w:r w:rsidRPr="00796A9D">
        <w:rPr>
          <w:rFonts w:ascii="Times New Roman" w:hAnsi="Times New Roman" w:cs="Times New Roman"/>
        </w:rPr>
        <w:t xml:space="preserve">, Milano, Silvana, 1964, pp. 13-16.  </w:t>
      </w:r>
    </w:p>
  </w:footnote>
  <w:footnote w:id="315">
    <w:p w14:paraId="0647F13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di presentazione del </w:t>
      </w:r>
      <w:r w:rsidRPr="00796A9D">
        <w:rPr>
          <w:rFonts w:ascii="Times New Roman" w:hAnsi="Times New Roman" w:cs="Times New Roman"/>
          <w:i/>
        </w:rPr>
        <w:t>libellus</w:t>
      </w:r>
      <w:r w:rsidRPr="00796A9D">
        <w:rPr>
          <w:rFonts w:ascii="Times New Roman" w:hAnsi="Times New Roman" w:cs="Times New Roman"/>
        </w:rPr>
        <w:t xml:space="preserve"> di Fonzio è edita in </w:t>
      </w:r>
      <w:r w:rsidRPr="00796A9D">
        <w:rPr>
          <w:rFonts w:ascii="Times New Roman" w:hAnsi="Times New Roman" w:cs="Times New Roman"/>
          <w:i/>
        </w:rPr>
        <w:t>Bartholomaei Fontii Epistolarum libri</w:t>
      </w:r>
      <w:r w:rsidRPr="00796A9D">
        <w:rPr>
          <w:rFonts w:ascii="Times New Roman" w:hAnsi="Times New Roman" w:cs="Times New Roman"/>
        </w:rPr>
        <w:t xml:space="preserve">, a cura di </w:t>
      </w:r>
      <w:r w:rsidRPr="00796A9D">
        <w:rPr>
          <w:rFonts w:ascii="Times New Roman" w:hAnsi="Times New Roman" w:cs="Times New Roman"/>
          <w:smallCaps/>
        </w:rPr>
        <w:t>A. Daneloni</w:t>
      </w:r>
      <w:r w:rsidRPr="00796A9D">
        <w:rPr>
          <w:rFonts w:ascii="Times New Roman" w:hAnsi="Times New Roman" w:cs="Times New Roman"/>
        </w:rPr>
        <w:t xml:space="preserve">, Messina, Centro interdipartimentale di studi umanistici, 2008, vol. I, pp. 82-85. Per l’apporto di Ugoletti al consolidarsi delle relazioni tra la corte di Buda e l’élite intellettuale dell’età laurenziana si veda </w:t>
      </w:r>
      <w:r w:rsidRPr="00796A9D">
        <w:rPr>
          <w:rFonts w:ascii="Times New Roman" w:hAnsi="Times New Roman" w:cs="Times New Roman"/>
          <w:smallCaps/>
        </w:rPr>
        <w:t>Idem</w:t>
      </w:r>
      <w:r w:rsidRPr="00796A9D">
        <w:rPr>
          <w:rFonts w:ascii="Times New Roman" w:hAnsi="Times New Roman" w:cs="Times New Roman"/>
        </w:rPr>
        <w:t xml:space="preserve">, </w:t>
      </w:r>
      <w:r w:rsidRPr="00796A9D">
        <w:rPr>
          <w:rFonts w:ascii="Times New Roman" w:hAnsi="Times New Roman" w:cs="Times New Roman"/>
          <w:i/>
        </w:rPr>
        <w:t>Gli umanisti fiorentini e la Biblioteca di Mattia Corvino</w:t>
      </w:r>
      <w:r w:rsidRPr="00796A9D">
        <w:rPr>
          <w:rFonts w:ascii="Times New Roman" w:hAnsi="Times New Roman" w:cs="Times New Roman"/>
        </w:rPr>
        <w:t xml:space="preserve">, in </w:t>
      </w:r>
      <w:r w:rsidRPr="00796A9D">
        <w:rPr>
          <w:rFonts w:ascii="Times New Roman" w:hAnsi="Times New Roman" w:cs="Times New Roman"/>
          <w:i/>
        </w:rPr>
        <w:t>Mattia Corvino e Firenze</w:t>
      </w:r>
      <w:r w:rsidRPr="00796A9D">
        <w:rPr>
          <w:rFonts w:ascii="Times New Roman" w:hAnsi="Times New Roman" w:cs="Times New Roman"/>
        </w:rPr>
        <w:t xml:space="preserve">, cit., pp. 186-191.  </w:t>
      </w:r>
    </w:p>
  </w:footnote>
  <w:footnote w:id="316">
    <w:p w14:paraId="10FDE90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componimento è trasmesso da un unico testimone manoscritto: Toruń, Wojewódzka Biblioteka Publiczna, KM Rps 107; è consultabile online presso il sito della Kujawsko-Pomorska Digital Library all’indirizzo http://kpbc.umk.pl/dlibra, visitato il 21/03/2018. Non è ad oggi disponibile un’edizione moderna. Fu pubblicato una prima volta nel 1594 da Andrzej Koteniusz, nel 1726 da Peter Jaenichen e nel 1737 da Mátiás Bél. Si veda in merito la scheda bibliografica del manoscritto curata da </w:t>
      </w:r>
      <w:r w:rsidRPr="00796A9D">
        <w:rPr>
          <w:rFonts w:ascii="Times New Roman" w:hAnsi="Times New Roman" w:cs="Times New Roman"/>
          <w:smallCaps/>
        </w:rPr>
        <w:t>G. Bolonyai</w:t>
      </w:r>
      <w:r w:rsidRPr="00796A9D">
        <w:rPr>
          <w:rFonts w:ascii="Times New Roman" w:hAnsi="Times New Roman" w:cs="Times New Roman"/>
        </w:rPr>
        <w:t xml:space="preserve"> in </w:t>
      </w:r>
      <w:r w:rsidRPr="00796A9D">
        <w:rPr>
          <w:rFonts w:ascii="Times New Roman" w:hAnsi="Times New Roman" w:cs="Times New Roman"/>
          <w:i/>
        </w:rPr>
        <w:t>Mattia Corvino e Firenze</w:t>
      </w:r>
      <w:r w:rsidRPr="00796A9D">
        <w:rPr>
          <w:rFonts w:ascii="Times New Roman" w:hAnsi="Times New Roman" w:cs="Times New Roman"/>
        </w:rPr>
        <w:t xml:space="preserve">, cit., pp. 202-203; e quella di </w:t>
      </w:r>
      <w:r w:rsidRPr="00796A9D">
        <w:rPr>
          <w:rFonts w:ascii="Times New Roman" w:hAnsi="Times New Roman" w:cs="Times New Roman"/>
          <w:smallCaps/>
        </w:rPr>
        <w:t>T. Wehli</w:t>
      </w:r>
      <w:r w:rsidRPr="00796A9D">
        <w:rPr>
          <w:rFonts w:ascii="Times New Roman" w:hAnsi="Times New Roman" w:cs="Times New Roman"/>
        </w:rPr>
        <w:t xml:space="preserve"> in </w:t>
      </w:r>
      <w:r w:rsidRPr="00796A9D">
        <w:rPr>
          <w:rFonts w:ascii="Times New Roman" w:hAnsi="Times New Roman" w:cs="Times New Roman"/>
          <w:i/>
        </w:rPr>
        <w:t xml:space="preserve">Nel segno del corvo, </w:t>
      </w:r>
      <w:r w:rsidRPr="00796A9D">
        <w:rPr>
          <w:rFonts w:ascii="Times New Roman" w:hAnsi="Times New Roman" w:cs="Times New Roman"/>
        </w:rPr>
        <w:t>cit., p. 299.</w:t>
      </w:r>
    </w:p>
  </w:footnote>
  <w:footnote w:id="317">
    <w:p w14:paraId="77E0A84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K. Pajorin</w:t>
      </w:r>
      <w:r w:rsidRPr="00796A9D">
        <w:rPr>
          <w:rFonts w:ascii="Times New Roman" w:hAnsi="Times New Roman" w:cs="Times New Roman"/>
        </w:rPr>
        <w:t xml:space="preserve">, </w:t>
      </w:r>
      <w:r w:rsidRPr="00796A9D">
        <w:rPr>
          <w:rFonts w:ascii="Times New Roman" w:hAnsi="Times New Roman" w:cs="Times New Roman"/>
          <w:i/>
        </w:rPr>
        <w:t>L’opera di Naldo Naldi sulla biblioteca di Mattia Corvino e la biblioteca umanista ideale</w:t>
      </w:r>
      <w:r w:rsidRPr="00796A9D">
        <w:rPr>
          <w:rFonts w:ascii="Times New Roman" w:hAnsi="Times New Roman" w:cs="Times New Roman"/>
        </w:rPr>
        <w:t xml:space="preserve">, in </w:t>
      </w:r>
      <w:r w:rsidRPr="00796A9D">
        <w:rPr>
          <w:rFonts w:ascii="Times New Roman" w:hAnsi="Times New Roman" w:cs="Times New Roman"/>
          <w:i/>
        </w:rPr>
        <w:t>L’Europa del libro nell’età dell’Umanesimo</w:t>
      </w:r>
      <w:r w:rsidRPr="00796A9D">
        <w:rPr>
          <w:rFonts w:ascii="Times New Roman" w:hAnsi="Times New Roman" w:cs="Times New Roman"/>
        </w:rPr>
        <w:t xml:space="preserve">. Atti del XIV Convegno Internazionale (Chianciano, Firenze, Pienza 16-19 luglio 2002), a cura di </w:t>
      </w:r>
      <w:r w:rsidRPr="00796A9D">
        <w:rPr>
          <w:rFonts w:ascii="Times New Roman" w:hAnsi="Times New Roman" w:cs="Times New Roman"/>
          <w:smallCaps/>
        </w:rPr>
        <w:t>L. Secchi Tarugi</w:t>
      </w:r>
      <w:r w:rsidRPr="00796A9D">
        <w:rPr>
          <w:rFonts w:ascii="Times New Roman" w:hAnsi="Times New Roman" w:cs="Times New Roman"/>
        </w:rPr>
        <w:t>, Firenze, Cesati, pp. 317-331.</w:t>
      </w:r>
    </w:p>
  </w:footnote>
  <w:footnote w:id="318">
    <w:p w14:paraId="00A4684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Cfr. </w:t>
      </w:r>
      <w:r w:rsidRPr="00796A9D">
        <w:rPr>
          <w:rFonts w:ascii="Times New Roman" w:hAnsi="Times New Roman" w:cs="Times New Roman"/>
          <w:smallCaps/>
          <w:lang w:val="en-US"/>
        </w:rPr>
        <w:t>O. Karsay</w:t>
      </w:r>
      <w:r w:rsidRPr="00796A9D">
        <w:rPr>
          <w:rFonts w:ascii="Times New Roman" w:hAnsi="Times New Roman" w:cs="Times New Roman"/>
          <w:lang w:val="en-US"/>
        </w:rPr>
        <w:t xml:space="preserve">, </w:t>
      </w:r>
      <w:r w:rsidRPr="00796A9D">
        <w:rPr>
          <w:rFonts w:ascii="Times New Roman" w:hAnsi="Times New Roman" w:cs="Times New Roman"/>
          <w:i/>
          <w:lang w:val="en-US"/>
        </w:rPr>
        <w:t>De laudibus augustae Bibliothecae</w:t>
      </w:r>
      <w:r w:rsidRPr="00796A9D">
        <w:rPr>
          <w:rFonts w:ascii="Times New Roman" w:hAnsi="Times New Roman" w:cs="Times New Roman"/>
          <w:lang w:val="en-US"/>
        </w:rPr>
        <w:t xml:space="preserve">, «The New Hungarian Quarterly», XXXII, 1991, pp. 139-145. </w:t>
      </w:r>
      <w:r w:rsidRPr="00796A9D">
        <w:rPr>
          <w:rFonts w:ascii="Times New Roman" w:hAnsi="Times New Roman" w:cs="Times New Roman"/>
        </w:rPr>
        <w:t xml:space="preserve">Sull’attendibilità della notizia della presenza a Buda dei testi di Saffo, la cui tradizione era stata interrotta nel XII secolo, e per l’elaborazione del testo di Naldi, sospeso tra la definizione di una raccolta umanistica ideale e la reale riproduzione in poesia del catalogo della collezione, cfr </w:t>
      </w:r>
      <w:bookmarkStart w:id="254" w:name="_Hlk523066768"/>
      <w:r w:rsidRPr="00796A9D">
        <w:rPr>
          <w:rFonts w:ascii="Times New Roman" w:hAnsi="Times New Roman" w:cs="Times New Roman"/>
          <w:smallCaps/>
        </w:rPr>
        <w:t>G. Bolonyai</w:t>
      </w:r>
      <w:r w:rsidRPr="00796A9D">
        <w:rPr>
          <w:rFonts w:ascii="Times New Roman" w:hAnsi="Times New Roman" w:cs="Times New Roman"/>
        </w:rPr>
        <w:t xml:space="preserve">, </w:t>
      </w:r>
      <w:r w:rsidRPr="00796A9D">
        <w:rPr>
          <w:rFonts w:ascii="Times New Roman" w:hAnsi="Times New Roman" w:cs="Times New Roman"/>
          <w:i/>
        </w:rPr>
        <w:t>Das Rätsel der Sappho-Corvina. Zur Interpretation des Lobgedichts von Naldo Naldi auf die Bibliothek von Matthias Corvinus</w:t>
      </w:r>
      <w:r w:rsidRPr="00796A9D">
        <w:rPr>
          <w:rFonts w:ascii="Times New Roman" w:hAnsi="Times New Roman" w:cs="Times New Roman"/>
        </w:rPr>
        <w:t xml:space="preserve">, «Wiener Studien», 125, 2012, pp. 145-163. </w:t>
      </w:r>
      <w:bookmarkEnd w:id="254"/>
    </w:p>
  </w:footnote>
  <w:footnote w:id="319">
    <w:p w14:paraId="3E409C4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Anche questo elenco polizianeo di </w:t>
      </w:r>
      <w:r w:rsidRPr="00796A9D">
        <w:rPr>
          <w:rFonts w:ascii="Times New Roman" w:hAnsi="Times New Roman" w:cs="Times New Roman"/>
          <w:i/>
        </w:rPr>
        <w:t>desiderata</w:t>
      </w:r>
      <w:r w:rsidRPr="00796A9D">
        <w:rPr>
          <w:rFonts w:ascii="Times New Roman" w:hAnsi="Times New Roman" w:cs="Times New Roman"/>
        </w:rPr>
        <w:t xml:space="preserve"> si distingueva per l’aggiornamento filologico e l’eclettismo erudito dell’estensore, che ammetteva tra gli scaffali anche scritti di autori medievali come Pietro Ispano, Zonara, Giorgio Protertisio, le lettere di Teodoro I Lascari. Per l’elenco esatto dei diciotto testi proposti dall’Ambrogini vedi </w:t>
      </w:r>
      <w:r w:rsidRPr="00796A9D">
        <w:rPr>
          <w:rFonts w:ascii="Times New Roman" w:hAnsi="Times New Roman" w:cs="Times New Roman"/>
          <w:smallCaps/>
        </w:rPr>
        <w:t>A. Daneloni</w:t>
      </w:r>
      <w:r w:rsidRPr="00796A9D">
        <w:rPr>
          <w:rFonts w:ascii="Times New Roman" w:hAnsi="Times New Roman" w:cs="Times New Roman"/>
        </w:rPr>
        <w:t xml:space="preserve">, </w:t>
      </w:r>
      <w:r w:rsidRPr="00796A9D">
        <w:rPr>
          <w:rFonts w:ascii="Times New Roman" w:hAnsi="Times New Roman" w:cs="Times New Roman"/>
          <w:i/>
        </w:rPr>
        <w:t>Gli umanisti fiorentini e la Biblioteca di Mattia Corvino</w:t>
      </w:r>
      <w:r w:rsidRPr="00796A9D">
        <w:rPr>
          <w:rFonts w:ascii="Times New Roman" w:hAnsi="Times New Roman" w:cs="Times New Roman"/>
        </w:rPr>
        <w:t xml:space="preserve">, cit., p. 188. </w:t>
      </w:r>
    </w:p>
  </w:footnote>
  <w:footnote w:id="320">
    <w:p w14:paraId="4FB8CDC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P. Di Pietro Lombardi</w:t>
      </w:r>
      <w:r w:rsidRPr="00796A9D">
        <w:rPr>
          <w:rFonts w:ascii="Times New Roman" w:hAnsi="Times New Roman" w:cs="Times New Roman"/>
        </w:rPr>
        <w:t xml:space="preserve">, </w:t>
      </w:r>
      <w:r w:rsidRPr="00796A9D">
        <w:rPr>
          <w:rFonts w:ascii="Times New Roman" w:hAnsi="Times New Roman" w:cs="Times New Roman"/>
          <w:i/>
        </w:rPr>
        <w:t>Mattia Corvino e i suoi emblemi</w:t>
      </w:r>
      <w:r w:rsidRPr="00796A9D">
        <w:rPr>
          <w:rFonts w:ascii="Times New Roman" w:hAnsi="Times New Roman" w:cs="Times New Roman"/>
        </w:rPr>
        <w:t xml:space="preserve">, in </w:t>
      </w:r>
      <w:r w:rsidRPr="00796A9D">
        <w:rPr>
          <w:rFonts w:ascii="Times New Roman" w:hAnsi="Times New Roman" w:cs="Times New Roman"/>
          <w:i/>
        </w:rPr>
        <w:t>Nel segno del corvo</w:t>
      </w:r>
      <w:r w:rsidRPr="00796A9D">
        <w:rPr>
          <w:rFonts w:ascii="Times New Roman" w:hAnsi="Times New Roman" w:cs="Times New Roman"/>
        </w:rPr>
        <w:t>, cit., pp. 117-128,</w:t>
      </w:r>
      <w:r w:rsidRPr="00796A9D">
        <w:rPr>
          <w:rFonts w:ascii="Times New Roman" w:hAnsi="Times New Roman" w:cs="Times New Roman"/>
          <w:i/>
        </w:rPr>
        <w:t xml:space="preserve"> </w:t>
      </w:r>
      <w:r w:rsidRPr="00796A9D">
        <w:rPr>
          <w:rFonts w:ascii="Times New Roman" w:hAnsi="Times New Roman" w:cs="Times New Roman"/>
        </w:rPr>
        <w:t xml:space="preserve">dove l’autrice procede all’analisi dei tredici emblemi del re ungherese presenti nei quindici codici della sua biblioteca pervenuti al Fondo Estense della Biblioteca Universitaria di Modena. </w:t>
      </w:r>
    </w:p>
  </w:footnote>
  <w:footnote w:id="321">
    <w:p w14:paraId="7FBC0DA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Intorno al 1477 Naldi ottenne dal Magnifico l’incarico di esattore delle pubbliche imposte a Figline. Nell’aprile </w:t>
      </w:r>
      <w:r>
        <w:rPr>
          <w:rFonts w:ascii="Times New Roman" w:hAnsi="Times New Roman" w:cs="Times New Roman"/>
        </w:rPr>
        <w:t xml:space="preserve">del </w:t>
      </w:r>
      <w:r w:rsidRPr="00796A9D">
        <w:rPr>
          <w:rFonts w:ascii="Times New Roman" w:hAnsi="Times New Roman" w:cs="Times New Roman"/>
        </w:rPr>
        <w:t xml:space="preserve">1478 richiese </w:t>
      </w:r>
      <w:r>
        <w:rPr>
          <w:rFonts w:ascii="Times New Roman" w:hAnsi="Times New Roman" w:cs="Times New Roman"/>
        </w:rPr>
        <w:t xml:space="preserve">anche </w:t>
      </w:r>
      <w:r w:rsidRPr="00796A9D">
        <w:rPr>
          <w:rFonts w:ascii="Times New Roman" w:hAnsi="Times New Roman" w:cs="Times New Roman"/>
        </w:rPr>
        <w:t xml:space="preserve">la custodia della rocca di Corzerana, probabilmente a causa della modestia dei proventi dei suoi uffici. Cfr. </w:t>
      </w:r>
      <w:r w:rsidRPr="00796A9D">
        <w:rPr>
          <w:rFonts w:ascii="Times New Roman" w:hAnsi="Times New Roman" w:cs="Times New Roman"/>
          <w:smallCaps/>
        </w:rPr>
        <w:t>G. Crimi</w:t>
      </w:r>
      <w:r w:rsidRPr="00796A9D">
        <w:rPr>
          <w:rFonts w:ascii="Times New Roman" w:hAnsi="Times New Roman" w:cs="Times New Roman"/>
        </w:rPr>
        <w:t xml:space="preserve">, s.v. </w:t>
      </w:r>
      <w:r w:rsidRPr="00796A9D">
        <w:rPr>
          <w:rFonts w:ascii="Times New Roman" w:hAnsi="Times New Roman" w:cs="Times New Roman"/>
          <w:i/>
        </w:rPr>
        <w:t>Naldi, Naldo</w:t>
      </w:r>
      <w:r w:rsidRPr="00796A9D">
        <w:rPr>
          <w:rFonts w:ascii="Times New Roman" w:hAnsi="Times New Roman" w:cs="Times New Roman"/>
        </w:rPr>
        <w:t xml:space="preserve">, DBI, LXXVII, 2012, pp. 669-671. Con Marsilio Ficino Naldi ebbe un’amicizia duratura, testimoniata dai </w:t>
      </w:r>
      <w:r w:rsidRPr="00796A9D">
        <w:rPr>
          <w:rFonts w:ascii="Times New Roman" w:hAnsi="Times New Roman" w:cs="Times New Roman"/>
          <w:i/>
        </w:rPr>
        <w:t>Disticha in laudem operis</w:t>
      </w:r>
      <w:r w:rsidRPr="00796A9D">
        <w:rPr>
          <w:rFonts w:ascii="Times New Roman" w:hAnsi="Times New Roman" w:cs="Times New Roman"/>
        </w:rPr>
        <w:t xml:space="preserve"> pubblicati nel volume con le traduzioni latine ficiniane delle opere di Platone impresso a Firenze intorno al 1485 da Lorenzo d’Alopa, BMC, VI, 666; IGI 7860. Essi, insieme all’epigramma latino del Poliziano (</w:t>
      </w:r>
      <w:r w:rsidRPr="00796A9D">
        <w:rPr>
          <w:rFonts w:ascii="Times New Roman" w:hAnsi="Times New Roman" w:cs="Times New Roman"/>
          <w:i/>
        </w:rPr>
        <w:t>Dum celebrat Medicen Naldus, dum laudat amicam</w:t>
      </w:r>
      <w:r w:rsidRPr="00796A9D">
        <w:rPr>
          <w:rFonts w:ascii="Times New Roman" w:hAnsi="Times New Roman" w:cs="Times New Roman"/>
        </w:rPr>
        <w:t xml:space="preserve"> / </w:t>
      </w:r>
      <w:r w:rsidRPr="00796A9D">
        <w:rPr>
          <w:rFonts w:ascii="Times New Roman" w:hAnsi="Times New Roman" w:cs="Times New Roman"/>
          <w:i/>
        </w:rPr>
        <w:t>et pariter gemino raptus amore canit</w:t>
      </w:r>
      <w:r w:rsidRPr="00796A9D">
        <w:rPr>
          <w:rFonts w:ascii="Times New Roman" w:hAnsi="Times New Roman" w:cs="Times New Roman"/>
        </w:rPr>
        <w:t xml:space="preserve"> / </w:t>
      </w:r>
      <w:r w:rsidRPr="00796A9D">
        <w:rPr>
          <w:rFonts w:ascii="Times New Roman" w:hAnsi="Times New Roman" w:cs="Times New Roman"/>
          <w:i/>
        </w:rPr>
        <w:t>tam lepidum unanimes illi ornavere libellum</w:t>
      </w:r>
      <w:r w:rsidRPr="00796A9D">
        <w:rPr>
          <w:rFonts w:ascii="Times New Roman" w:hAnsi="Times New Roman" w:cs="Times New Roman"/>
        </w:rPr>
        <w:t xml:space="preserve"> / </w:t>
      </w:r>
      <w:r w:rsidRPr="00796A9D">
        <w:rPr>
          <w:rFonts w:ascii="Times New Roman" w:hAnsi="Times New Roman" w:cs="Times New Roman"/>
          <w:i/>
        </w:rPr>
        <w:t>Phoebus, Amor, Pallas, Gratia, Musa, Fides!</w:t>
      </w:r>
      <w:r w:rsidRPr="00796A9D">
        <w:rPr>
          <w:rFonts w:ascii="Times New Roman" w:hAnsi="Times New Roman" w:cs="Times New Roman"/>
        </w:rPr>
        <w:t xml:space="preserve">), attestano l’apprezzamento di cui il poeta godette nei circoli medicei. </w:t>
      </w:r>
    </w:p>
  </w:footnote>
  <w:footnote w:id="322">
    <w:p w14:paraId="6C63E9B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Purtroppo, larga parte dell’opera del poeta è attualmente inedita. Disponiamo però di </w:t>
      </w:r>
      <w:bookmarkStart w:id="255" w:name="_Hlk523067158"/>
      <w:r w:rsidRPr="00796A9D">
        <w:rPr>
          <w:rFonts w:ascii="Times New Roman" w:hAnsi="Times New Roman" w:cs="Times New Roman"/>
          <w:smallCaps/>
        </w:rPr>
        <w:t>N. de Naldis</w:t>
      </w:r>
      <w:r w:rsidRPr="00796A9D">
        <w:rPr>
          <w:rFonts w:ascii="Times New Roman" w:hAnsi="Times New Roman" w:cs="Times New Roman"/>
        </w:rPr>
        <w:t xml:space="preserve">, </w:t>
      </w:r>
      <w:r w:rsidRPr="00796A9D">
        <w:rPr>
          <w:rFonts w:ascii="Times New Roman" w:hAnsi="Times New Roman" w:cs="Times New Roman"/>
          <w:i/>
        </w:rPr>
        <w:t>Elegiarum libri III ad Laurentium Medicem</w:t>
      </w:r>
      <w:r w:rsidRPr="00796A9D">
        <w:rPr>
          <w:rFonts w:ascii="Times New Roman" w:hAnsi="Times New Roman" w:cs="Times New Roman"/>
        </w:rPr>
        <w:t xml:space="preserve">, edidit </w:t>
      </w:r>
      <w:r w:rsidRPr="00796A9D">
        <w:rPr>
          <w:rFonts w:ascii="Times New Roman" w:hAnsi="Times New Roman" w:cs="Times New Roman"/>
          <w:smallCaps/>
        </w:rPr>
        <w:t>L. Juhász</w:t>
      </w:r>
      <w:r w:rsidRPr="00796A9D">
        <w:rPr>
          <w:rFonts w:ascii="Times New Roman" w:hAnsi="Times New Roman" w:cs="Times New Roman"/>
        </w:rPr>
        <w:t>, Leipzig, 1934</w:t>
      </w:r>
      <w:bookmarkEnd w:id="255"/>
      <w:r w:rsidRPr="00796A9D">
        <w:rPr>
          <w:rFonts w:ascii="Times New Roman" w:hAnsi="Times New Roman" w:cs="Times New Roman"/>
        </w:rPr>
        <w:t xml:space="preserve">; e della raccolta </w:t>
      </w:r>
      <w:bookmarkStart w:id="256" w:name="_Hlk523067072"/>
      <w:r w:rsidRPr="00796A9D">
        <w:rPr>
          <w:rFonts w:ascii="Times New Roman" w:hAnsi="Times New Roman" w:cs="Times New Roman"/>
          <w:smallCaps/>
        </w:rPr>
        <w:t>Naldi Naldii Florentini</w:t>
      </w:r>
      <w:r w:rsidRPr="00796A9D">
        <w:rPr>
          <w:rFonts w:ascii="Times New Roman" w:hAnsi="Times New Roman" w:cs="Times New Roman"/>
        </w:rPr>
        <w:t xml:space="preserve">, </w:t>
      </w:r>
      <w:r w:rsidRPr="00796A9D">
        <w:rPr>
          <w:rFonts w:ascii="Times New Roman" w:hAnsi="Times New Roman" w:cs="Times New Roman"/>
          <w:i/>
        </w:rPr>
        <w:t>Bucolica, Volaterrais, Hastiludium, Carmina varia</w:t>
      </w:r>
      <w:r w:rsidRPr="00796A9D">
        <w:rPr>
          <w:rFonts w:ascii="Times New Roman" w:hAnsi="Times New Roman" w:cs="Times New Roman"/>
        </w:rPr>
        <w:t xml:space="preserve">, Edidit </w:t>
      </w:r>
      <w:r w:rsidRPr="00796A9D">
        <w:rPr>
          <w:rFonts w:ascii="Times New Roman" w:hAnsi="Times New Roman" w:cs="Times New Roman"/>
          <w:smallCaps/>
        </w:rPr>
        <w:t>W.L. Grant</w:t>
      </w:r>
      <w:r w:rsidRPr="00796A9D">
        <w:rPr>
          <w:rFonts w:ascii="Times New Roman" w:hAnsi="Times New Roman" w:cs="Times New Roman"/>
        </w:rPr>
        <w:t>, Firenze, Olschki, 1974</w:t>
      </w:r>
      <w:bookmarkEnd w:id="256"/>
      <w:r w:rsidRPr="00796A9D">
        <w:rPr>
          <w:rFonts w:ascii="Times New Roman" w:hAnsi="Times New Roman" w:cs="Times New Roman"/>
        </w:rPr>
        <w:t>. A quest’ultima si rinvia per una sintetica trattazione delle questioni relative alla tradizione testuale degli scritti del letterato. Da essa saranno tratte inoltre le citazioni del testo dell’</w:t>
      </w:r>
      <w:r w:rsidRPr="00796A9D">
        <w:rPr>
          <w:rFonts w:ascii="Times New Roman" w:hAnsi="Times New Roman" w:cs="Times New Roman"/>
          <w:i/>
        </w:rPr>
        <w:t>Hastiludium</w:t>
      </w:r>
      <w:r w:rsidRPr="00796A9D">
        <w:rPr>
          <w:rFonts w:ascii="Times New Roman" w:hAnsi="Times New Roman" w:cs="Times New Roman"/>
        </w:rPr>
        <w:t xml:space="preserve"> che seguiranno. Il </w:t>
      </w:r>
      <w:r w:rsidRPr="00796A9D">
        <w:rPr>
          <w:rFonts w:ascii="Times New Roman" w:hAnsi="Times New Roman" w:cs="Times New Roman"/>
          <w:i/>
        </w:rPr>
        <w:t>Nuptiale Carmen</w:t>
      </w:r>
      <w:r w:rsidRPr="00796A9D">
        <w:rPr>
          <w:rFonts w:ascii="Times New Roman" w:hAnsi="Times New Roman" w:cs="Times New Roman"/>
        </w:rPr>
        <w:t xml:space="preserve"> per le nozze Tornabuoni-Albizi, di cui tratteremo nel capitolo II, è trasmesso da un testimone unico manoscritto conservato in collezione privata. Il testo è inedito e conta 336 versi. Una loro selezione è pubblicata in </w:t>
      </w:r>
      <w:bookmarkStart w:id="257" w:name="_Hlk523067255"/>
      <w:r w:rsidRPr="00796A9D">
        <w:rPr>
          <w:rFonts w:ascii="Times New Roman" w:hAnsi="Times New Roman" w:cs="Times New Roman"/>
          <w:smallCaps/>
        </w:rPr>
        <w:t>G.J. Van der Sman</w:t>
      </w:r>
      <w:r w:rsidRPr="00796A9D">
        <w:rPr>
          <w:rFonts w:ascii="Times New Roman" w:hAnsi="Times New Roman" w:cs="Times New Roman"/>
        </w:rPr>
        <w:t xml:space="preserve">, </w:t>
      </w:r>
      <w:r w:rsidRPr="00796A9D">
        <w:rPr>
          <w:rFonts w:ascii="Times New Roman" w:hAnsi="Times New Roman" w:cs="Times New Roman"/>
          <w:i/>
        </w:rPr>
        <w:t>Lorenzo e Giovanna. Vita e arte nella Firenze del Quattrocento</w:t>
      </w:r>
      <w:r w:rsidRPr="00796A9D">
        <w:rPr>
          <w:rFonts w:ascii="Times New Roman" w:hAnsi="Times New Roman" w:cs="Times New Roman"/>
        </w:rPr>
        <w:t>, Firenze, Mandragola, 2010</w:t>
      </w:r>
      <w:bookmarkEnd w:id="257"/>
      <w:r w:rsidRPr="00796A9D">
        <w:rPr>
          <w:rFonts w:ascii="Times New Roman" w:hAnsi="Times New Roman" w:cs="Times New Roman"/>
        </w:rPr>
        <w:t xml:space="preserve">, pp. 173-174. </w:t>
      </w:r>
    </w:p>
  </w:footnote>
  <w:footnote w:id="323">
    <w:p w14:paraId="500A515F"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 quadro complessivo della storia dello spettacolo fiorentino in relazione ai mutamenti politici dovuti all’affermazione dell’oligarchia medicea è offerto in </w:t>
      </w:r>
      <w:bookmarkStart w:id="258" w:name="_Hlk523067368"/>
      <w:r w:rsidRPr="00796A9D">
        <w:rPr>
          <w:rFonts w:ascii="Times New Roman" w:hAnsi="Times New Roman" w:cs="Times New Roman"/>
          <w:smallCaps/>
        </w:rPr>
        <w:t>P. Ventrone</w:t>
      </w:r>
      <w:r w:rsidRPr="00796A9D">
        <w:rPr>
          <w:rFonts w:ascii="Times New Roman" w:hAnsi="Times New Roman" w:cs="Times New Roman"/>
        </w:rPr>
        <w:t xml:space="preserve">, </w:t>
      </w:r>
      <w:r w:rsidRPr="00796A9D">
        <w:rPr>
          <w:rFonts w:ascii="Times New Roman" w:hAnsi="Times New Roman" w:cs="Times New Roman"/>
          <w:i/>
        </w:rPr>
        <w:t>Feste e spettacoli nella Firenze di Lorenzo il Magnifico</w:t>
      </w:r>
      <w:r w:rsidRPr="00796A9D">
        <w:rPr>
          <w:rFonts w:ascii="Times New Roman" w:hAnsi="Times New Roman" w:cs="Times New Roman"/>
        </w:rPr>
        <w:t xml:space="preserve">, in </w:t>
      </w:r>
      <w:r w:rsidRPr="00796A9D">
        <w:rPr>
          <w:rFonts w:ascii="Times New Roman" w:hAnsi="Times New Roman" w:cs="Times New Roman"/>
          <w:i/>
        </w:rPr>
        <w:t>“Le tems revient. ’L tempo si rinuova”: feste e spettacoli nella Firenze di Lorenzo il Magnifico</w:t>
      </w:r>
      <w:r w:rsidRPr="00796A9D">
        <w:rPr>
          <w:rFonts w:ascii="Times New Roman" w:hAnsi="Times New Roman" w:cs="Times New Roman"/>
        </w:rPr>
        <w:t xml:space="preserve">, a cura di </w:t>
      </w:r>
      <w:r w:rsidRPr="00796A9D">
        <w:rPr>
          <w:rFonts w:ascii="Times New Roman" w:hAnsi="Times New Roman" w:cs="Times New Roman"/>
          <w:smallCaps/>
        </w:rPr>
        <w:t>Idem</w:t>
      </w:r>
      <w:r w:rsidRPr="00796A9D">
        <w:rPr>
          <w:rFonts w:ascii="Times New Roman" w:hAnsi="Times New Roman" w:cs="Times New Roman"/>
        </w:rPr>
        <w:t xml:space="preserve">, Milano, Silvana, 1992, pp. 21-53. </w:t>
      </w:r>
      <w:bookmarkEnd w:id="258"/>
      <w:r w:rsidRPr="00796A9D">
        <w:rPr>
          <w:rFonts w:ascii="Times New Roman" w:hAnsi="Times New Roman" w:cs="Times New Roman"/>
        </w:rPr>
        <w:t>La studiosa fornisce inoltre un’attenta analisi delle cautele</w:t>
      </w:r>
      <w:r>
        <w:rPr>
          <w:rFonts w:ascii="Times New Roman" w:hAnsi="Times New Roman" w:cs="Times New Roman"/>
        </w:rPr>
        <w:t xml:space="preserve"> assunte</w:t>
      </w:r>
      <w:r w:rsidRPr="00796A9D">
        <w:rPr>
          <w:rFonts w:ascii="Times New Roman" w:hAnsi="Times New Roman" w:cs="Times New Roman"/>
        </w:rPr>
        <w:t xml:space="preserve"> d</w:t>
      </w:r>
      <w:r>
        <w:rPr>
          <w:rFonts w:ascii="Times New Roman" w:hAnsi="Times New Roman" w:cs="Times New Roman"/>
        </w:rPr>
        <w:t>a</w:t>
      </w:r>
      <w:r w:rsidRPr="00796A9D">
        <w:rPr>
          <w:rFonts w:ascii="Times New Roman" w:hAnsi="Times New Roman" w:cs="Times New Roman"/>
        </w:rPr>
        <w:t xml:space="preserve"> Lorenzo nell’uso delle feste come strumento di formazione della propria immagine di p</w:t>
      </w:r>
      <w:r>
        <w:rPr>
          <w:rFonts w:ascii="Times New Roman" w:hAnsi="Times New Roman" w:cs="Times New Roman"/>
        </w:rPr>
        <w:t>ubblica</w:t>
      </w:r>
      <w:r w:rsidRPr="00796A9D">
        <w:rPr>
          <w:rFonts w:ascii="Times New Roman" w:hAnsi="Times New Roman" w:cs="Times New Roman"/>
        </w:rPr>
        <w:t xml:space="preserve"> in </w:t>
      </w:r>
      <w:r w:rsidRPr="00796A9D">
        <w:rPr>
          <w:rFonts w:ascii="Times New Roman" w:hAnsi="Times New Roman" w:cs="Times New Roman"/>
          <w:smallCaps/>
        </w:rPr>
        <w:t xml:space="preserve">P. </w:t>
      </w:r>
      <w:bookmarkStart w:id="259" w:name="_Hlk523067397"/>
      <w:r w:rsidRPr="00796A9D">
        <w:rPr>
          <w:rFonts w:ascii="Times New Roman" w:hAnsi="Times New Roman" w:cs="Times New Roman"/>
          <w:smallCaps/>
        </w:rPr>
        <w:t>Ventrone</w:t>
      </w:r>
      <w:r w:rsidRPr="00796A9D">
        <w:rPr>
          <w:rFonts w:ascii="Times New Roman" w:hAnsi="Times New Roman" w:cs="Times New Roman"/>
        </w:rPr>
        <w:t xml:space="preserve">, </w:t>
      </w:r>
      <w:r w:rsidRPr="00796A9D">
        <w:rPr>
          <w:rFonts w:ascii="Times New Roman" w:hAnsi="Times New Roman" w:cs="Times New Roman"/>
          <w:i/>
        </w:rPr>
        <w:t xml:space="preserve">Medicean Theater. </w:t>
      </w:r>
      <w:r w:rsidRPr="00796A9D">
        <w:rPr>
          <w:rFonts w:ascii="Times New Roman" w:hAnsi="Times New Roman" w:cs="Times New Roman"/>
          <w:i/>
          <w:lang w:val="en-US"/>
        </w:rPr>
        <w:t>Image and Message</w:t>
      </w:r>
      <w:r w:rsidRPr="00796A9D">
        <w:rPr>
          <w:rFonts w:ascii="Times New Roman" w:hAnsi="Times New Roman" w:cs="Times New Roman"/>
          <w:lang w:val="en-US"/>
        </w:rPr>
        <w:t xml:space="preserve">, in </w:t>
      </w:r>
      <w:r w:rsidRPr="00796A9D">
        <w:rPr>
          <w:rFonts w:ascii="Times New Roman" w:hAnsi="Times New Roman" w:cs="Times New Roman"/>
          <w:i/>
          <w:lang w:val="en-US"/>
        </w:rPr>
        <w:t>The Medici. Citizens and Masters</w:t>
      </w:r>
      <w:r w:rsidRPr="00796A9D">
        <w:rPr>
          <w:rFonts w:ascii="Times New Roman" w:hAnsi="Times New Roman" w:cs="Times New Roman"/>
          <w:lang w:val="en-US"/>
        </w:rPr>
        <w:t xml:space="preserve">, edited by </w:t>
      </w:r>
      <w:r w:rsidRPr="00796A9D">
        <w:rPr>
          <w:rFonts w:ascii="Times New Roman" w:hAnsi="Times New Roman" w:cs="Times New Roman"/>
          <w:smallCaps/>
          <w:lang w:val="en-US"/>
        </w:rPr>
        <w:t>R. Black, J. E. Law</w:t>
      </w:r>
      <w:r w:rsidRPr="00796A9D">
        <w:rPr>
          <w:rFonts w:ascii="Times New Roman" w:hAnsi="Times New Roman" w:cs="Times New Roman"/>
          <w:lang w:val="en-US"/>
        </w:rPr>
        <w:t xml:space="preserve">, Villa I Tatti series, XXXII, 2015, pp. 253-265. </w:t>
      </w:r>
    </w:p>
    <w:bookmarkEnd w:id="259"/>
  </w:footnote>
  <w:footnote w:id="324">
    <w:p w14:paraId="36E08A6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lettura iconografica dello stendardo attribuito al Botticelli, per l’indicazione delle cronache che registrarono lo svolgimento della giostra, e per la complessità allegorica dello spettacolo del 1475 rispetto ai precedenti di tradizione fiorentina cfr. </w:t>
      </w:r>
      <w:r w:rsidRPr="00796A9D">
        <w:rPr>
          <w:rFonts w:ascii="Times New Roman" w:hAnsi="Times New Roman" w:cs="Times New Roman"/>
          <w:smallCaps/>
        </w:rPr>
        <w:t>P. Ventrone</w:t>
      </w:r>
      <w:r w:rsidRPr="00796A9D">
        <w:rPr>
          <w:rFonts w:ascii="Times New Roman" w:hAnsi="Times New Roman" w:cs="Times New Roman"/>
          <w:i/>
        </w:rPr>
        <w:t>, La giostra classica di Giuliano del 1475</w:t>
      </w:r>
      <w:r w:rsidRPr="00796A9D">
        <w:rPr>
          <w:rFonts w:ascii="Times New Roman" w:hAnsi="Times New Roman" w:cs="Times New Roman"/>
        </w:rPr>
        <w:t xml:space="preserve">, in </w:t>
      </w:r>
      <w:r w:rsidRPr="00796A9D">
        <w:rPr>
          <w:rFonts w:ascii="Times New Roman" w:hAnsi="Times New Roman" w:cs="Times New Roman"/>
          <w:i/>
        </w:rPr>
        <w:t>“Le tems revient”</w:t>
      </w:r>
      <w:r w:rsidRPr="00796A9D">
        <w:rPr>
          <w:rFonts w:ascii="Times New Roman" w:hAnsi="Times New Roman" w:cs="Times New Roman"/>
        </w:rPr>
        <w:t>,</w:t>
      </w:r>
      <w:r w:rsidRPr="00796A9D">
        <w:rPr>
          <w:rFonts w:ascii="Times New Roman" w:hAnsi="Times New Roman" w:cs="Times New Roman"/>
          <w:i/>
        </w:rPr>
        <w:t xml:space="preserve"> </w:t>
      </w:r>
      <w:r w:rsidRPr="00796A9D">
        <w:rPr>
          <w:rFonts w:ascii="Times New Roman" w:hAnsi="Times New Roman" w:cs="Times New Roman"/>
        </w:rPr>
        <w:t>cit., pp. 189-190.</w:t>
      </w:r>
    </w:p>
  </w:footnote>
  <w:footnote w:id="325">
    <w:p w14:paraId="5F2A193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260" w:name="_Hlk523067485"/>
      <w:r w:rsidRPr="00796A9D">
        <w:rPr>
          <w:rFonts w:ascii="Times New Roman" w:hAnsi="Times New Roman" w:cs="Times New Roman"/>
        </w:rPr>
        <w:t xml:space="preserve">A. </w:t>
      </w:r>
      <w:r w:rsidRPr="00796A9D">
        <w:rPr>
          <w:rFonts w:ascii="Times New Roman" w:hAnsi="Times New Roman" w:cs="Times New Roman"/>
          <w:smallCaps/>
        </w:rPr>
        <w:t>Poliziano</w:t>
      </w:r>
      <w:r w:rsidRPr="00796A9D">
        <w:rPr>
          <w:rFonts w:ascii="Times New Roman" w:hAnsi="Times New Roman" w:cs="Times New Roman"/>
        </w:rPr>
        <w:t xml:space="preserve">, </w:t>
      </w:r>
      <w:r w:rsidRPr="00796A9D">
        <w:rPr>
          <w:rFonts w:ascii="Times New Roman" w:hAnsi="Times New Roman" w:cs="Times New Roman"/>
          <w:i/>
        </w:rPr>
        <w:t>Stanze per la giostra</w:t>
      </w:r>
      <w:r w:rsidRPr="00796A9D">
        <w:rPr>
          <w:rFonts w:ascii="Times New Roman" w:hAnsi="Times New Roman" w:cs="Times New Roman"/>
        </w:rPr>
        <w:t xml:space="preserve">, a cura di </w:t>
      </w:r>
      <w:r w:rsidRPr="00796A9D">
        <w:rPr>
          <w:rFonts w:ascii="Times New Roman" w:hAnsi="Times New Roman" w:cs="Times New Roman"/>
          <w:smallCaps/>
        </w:rPr>
        <w:t>F. Bausi</w:t>
      </w:r>
      <w:r w:rsidRPr="00796A9D">
        <w:rPr>
          <w:rFonts w:ascii="Times New Roman" w:hAnsi="Times New Roman" w:cs="Times New Roman"/>
        </w:rPr>
        <w:t>, Messina, Dipartimento di studi umanistici Università della Calabria, 2016</w:t>
      </w:r>
      <w:bookmarkEnd w:id="260"/>
      <w:r w:rsidRPr="00796A9D">
        <w:rPr>
          <w:rFonts w:ascii="Times New Roman" w:hAnsi="Times New Roman" w:cs="Times New Roman"/>
        </w:rPr>
        <w:t xml:space="preserve">, pp. 66-70.     </w:t>
      </w:r>
    </w:p>
  </w:footnote>
  <w:footnote w:id="326">
    <w:p w14:paraId="6D16024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codice miscellaneo Parigi, Bibliothèque Nationale de France, Nuov. Acq. Lat 476 presenta ai fogli 43r-54r il testo dell’</w:t>
      </w:r>
      <w:r w:rsidRPr="00796A9D">
        <w:rPr>
          <w:rFonts w:ascii="Times New Roman" w:hAnsi="Times New Roman" w:cs="Times New Roman"/>
          <w:i/>
        </w:rPr>
        <w:t>Hastiludium</w:t>
      </w:r>
      <w:r w:rsidRPr="00796A9D">
        <w:rPr>
          <w:rFonts w:ascii="Times New Roman" w:hAnsi="Times New Roman" w:cs="Times New Roman"/>
        </w:rPr>
        <w:t xml:space="preserve"> copiato “ex originali ipsius Naldi” ed è datato 6 novembre 1475. L’archetipo naldiano venne dunque completato in un tempo anteriore e molto prossimo alla giostra. </w:t>
      </w:r>
    </w:p>
  </w:footnote>
  <w:footnote w:id="327">
    <w:p w14:paraId="00618F6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Naldi Naldii Florentini</w:t>
      </w:r>
      <w:r w:rsidRPr="00796A9D">
        <w:rPr>
          <w:rFonts w:ascii="Times New Roman" w:hAnsi="Times New Roman" w:cs="Times New Roman"/>
          <w:i/>
        </w:rPr>
        <w:t xml:space="preserve">, Hastiludium, </w:t>
      </w:r>
      <w:r w:rsidRPr="00796A9D">
        <w:rPr>
          <w:rFonts w:ascii="Times New Roman" w:hAnsi="Times New Roman" w:cs="Times New Roman"/>
        </w:rPr>
        <w:t>pp. 119-120, vv. 9-30.</w:t>
      </w:r>
    </w:p>
  </w:footnote>
  <w:footnote w:id="328">
    <w:p w14:paraId="39C7D60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pp. 121-130, vv. 55-324.</w:t>
      </w:r>
    </w:p>
  </w:footnote>
  <w:footnote w:id="329">
    <w:p w14:paraId="4269F84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l’analisi bibliografica di questi due incunaboli, caratterizzati da una veste editoriale estremamente semplice, vedi ultra le schede I e II del </w:t>
      </w:r>
      <w:r w:rsidRPr="00796A9D">
        <w:rPr>
          <w:rFonts w:ascii="Times New Roman" w:hAnsi="Times New Roman" w:cs="Times New Roman"/>
          <w:i/>
        </w:rPr>
        <w:t>Catalogo degli incunaboli italiani editi per nozze</w:t>
      </w:r>
      <w:r w:rsidRPr="00796A9D">
        <w:rPr>
          <w:rFonts w:ascii="Times New Roman" w:hAnsi="Times New Roman" w:cs="Times New Roman"/>
        </w:rPr>
        <w:t xml:space="preserve"> qui pubblicato in </w:t>
      </w:r>
      <w:r w:rsidRPr="00796A9D">
        <w:rPr>
          <w:rFonts w:ascii="Times New Roman" w:hAnsi="Times New Roman" w:cs="Times New Roman"/>
          <w:i/>
        </w:rPr>
        <w:t>Appendice I</w:t>
      </w:r>
      <w:r w:rsidRPr="00796A9D">
        <w:rPr>
          <w:rFonts w:ascii="Times New Roman" w:hAnsi="Times New Roman" w:cs="Times New Roman"/>
        </w:rPr>
        <w:t>.</w:t>
      </w:r>
    </w:p>
  </w:footnote>
  <w:footnote w:id="330">
    <w:p w14:paraId="76666CB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261" w:name="_Hlk523073725"/>
      <w:r w:rsidRPr="00796A9D">
        <w:rPr>
          <w:rFonts w:ascii="Times New Roman" w:hAnsi="Times New Roman" w:cs="Times New Roman"/>
          <w:smallCaps/>
        </w:rPr>
        <w:t>P. Ventrone</w:t>
      </w:r>
      <w:r w:rsidRPr="00796A9D">
        <w:rPr>
          <w:rFonts w:ascii="Times New Roman" w:hAnsi="Times New Roman" w:cs="Times New Roman"/>
        </w:rPr>
        <w:t xml:space="preserve">, </w:t>
      </w:r>
      <w:r w:rsidRPr="00796A9D">
        <w:rPr>
          <w:rFonts w:ascii="Times New Roman" w:hAnsi="Times New Roman" w:cs="Times New Roman"/>
          <w:i/>
        </w:rPr>
        <w:t>Note sul Carnevale fiorentino di età laurenziana</w:t>
      </w:r>
      <w:r w:rsidRPr="00796A9D">
        <w:rPr>
          <w:rFonts w:ascii="Times New Roman" w:hAnsi="Times New Roman" w:cs="Times New Roman"/>
        </w:rPr>
        <w:t xml:space="preserve">, in </w:t>
      </w:r>
      <w:r w:rsidRPr="00796A9D">
        <w:rPr>
          <w:rFonts w:ascii="Times New Roman" w:hAnsi="Times New Roman" w:cs="Times New Roman"/>
          <w:i/>
        </w:rPr>
        <w:t>Il Carnevale: dalla tradizione arcaica alla traduzione colta del Rinascimento</w:t>
      </w:r>
      <w:r w:rsidRPr="00796A9D">
        <w:rPr>
          <w:rFonts w:ascii="Times New Roman" w:hAnsi="Times New Roman" w:cs="Times New Roman"/>
        </w:rPr>
        <w:t xml:space="preserve">. Atti del XIII Convegno di studi (Roma, 31 maggio-4 giugno 1990), a cura di </w:t>
      </w:r>
      <w:r w:rsidRPr="00796A9D">
        <w:rPr>
          <w:rFonts w:ascii="Times New Roman" w:hAnsi="Times New Roman" w:cs="Times New Roman"/>
          <w:smallCaps/>
        </w:rPr>
        <w:t>M. Chiab</w:t>
      </w:r>
      <w:r>
        <w:rPr>
          <w:rFonts w:ascii="Times New Roman" w:hAnsi="Times New Roman" w:cs="Times New Roman"/>
          <w:smallCaps/>
        </w:rPr>
        <w:t>ò</w:t>
      </w:r>
      <w:r w:rsidRPr="00796A9D">
        <w:rPr>
          <w:rFonts w:ascii="Times New Roman" w:hAnsi="Times New Roman" w:cs="Times New Roman"/>
          <w:smallCaps/>
        </w:rPr>
        <w:t>, F. Doglio</w:t>
      </w:r>
      <w:r w:rsidRPr="00796A9D">
        <w:rPr>
          <w:rFonts w:ascii="Times New Roman" w:hAnsi="Times New Roman" w:cs="Times New Roman"/>
        </w:rPr>
        <w:t>, Viterbo, Centro studi sul teatro medievale e rinascimentale, 1990, pp. 321-366</w:t>
      </w:r>
      <w:bookmarkEnd w:id="261"/>
      <w:r w:rsidRPr="00796A9D">
        <w:rPr>
          <w:rFonts w:ascii="Times New Roman" w:hAnsi="Times New Roman" w:cs="Times New Roman"/>
        </w:rPr>
        <w:t>, dove, alle pp. 357-360 viene pubblicata un’ampia sezione dell’</w:t>
      </w:r>
      <w:r w:rsidRPr="00796A9D">
        <w:rPr>
          <w:rFonts w:ascii="Times New Roman" w:hAnsi="Times New Roman" w:cs="Times New Roman"/>
          <w:i/>
        </w:rPr>
        <w:t>Elegia</w:t>
      </w:r>
      <w:r w:rsidRPr="00796A9D">
        <w:rPr>
          <w:rFonts w:ascii="Times New Roman" w:hAnsi="Times New Roman" w:cs="Times New Roman"/>
        </w:rPr>
        <w:t xml:space="preserve"> di Naldi (della quale ci serviamo per le citazioni), attualmente inedita che, messa a paragone con le lettere di Filippo da Gagliano (20 febbraio 1490) e di Piero da Bibbiena (24 febbraio 1490)  a Niccolò Michelozzi ivi citate, </w:t>
      </w:r>
      <w:r>
        <w:rPr>
          <w:rFonts w:ascii="Times New Roman" w:hAnsi="Times New Roman" w:cs="Times New Roman"/>
        </w:rPr>
        <w:t xml:space="preserve">ha </w:t>
      </w:r>
      <w:r w:rsidRPr="00796A9D">
        <w:rPr>
          <w:rFonts w:ascii="Times New Roman" w:hAnsi="Times New Roman" w:cs="Times New Roman"/>
        </w:rPr>
        <w:t>perme</w:t>
      </w:r>
      <w:r>
        <w:rPr>
          <w:rFonts w:ascii="Times New Roman" w:hAnsi="Times New Roman" w:cs="Times New Roman"/>
        </w:rPr>
        <w:t>sso alla studiosa</w:t>
      </w:r>
      <w:r w:rsidRPr="00796A9D">
        <w:rPr>
          <w:rFonts w:ascii="Times New Roman" w:hAnsi="Times New Roman" w:cs="Times New Roman"/>
        </w:rPr>
        <w:t xml:space="preserve"> di ricostruire lo svolgimento dello spettacolo e il suo intento comunicativo.</w:t>
      </w:r>
    </w:p>
  </w:footnote>
  <w:footnote w:id="331">
    <w:p w14:paraId="5265C02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Ivi</w:t>
      </w:r>
      <w:r w:rsidRPr="00796A9D">
        <w:rPr>
          <w:rFonts w:ascii="Times New Roman" w:hAnsi="Times New Roman" w:cs="Times New Roman"/>
        </w:rPr>
        <w:t>, pp. 362-366.</w:t>
      </w:r>
    </w:p>
  </w:footnote>
  <w:footnote w:id="332">
    <w:p w14:paraId="2488CAC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di Piero da Bibbiena, edita </w:t>
      </w:r>
      <w:r w:rsidRPr="00796A9D">
        <w:rPr>
          <w:rFonts w:ascii="Times New Roman" w:hAnsi="Times New Roman" w:cs="Times New Roman"/>
          <w:i/>
        </w:rPr>
        <w:t>Ivi</w:t>
      </w:r>
      <w:r w:rsidRPr="00796A9D">
        <w:rPr>
          <w:rFonts w:ascii="Times New Roman" w:hAnsi="Times New Roman" w:cs="Times New Roman"/>
        </w:rPr>
        <w:t xml:space="preserve">, p. 343, così sintetizza la successione dei momenti di festa del carnevale 1490: «Abbiamo fatto maschere, </w:t>
      </w:r>
      <w:r w:rsidRPr="00796A9D">
        <w:rPr>
          <w:rFonts w:ascii="Times New Roman" w:hAnsi="Times New Roman" w:cs="Times New Roman"/>
          <w:i/>
        </w:rPr>
        <w:t>duce patrono</w:t>
      </w:r>
      <w:r w:rsidRPr="00796A9D">
        <w:rPr>
          <w:rFonts w:ascii="Times New Roman" w:hAnsi="Times New Roman" w:cs="Times New Roman"/>
        </w:rPr>
        <w:t>, e statici rinchiusi in casa con parecchie belle dame, come intenderete alla tornata vostra». Nel congedo dal piacevole tempo trascorso</w:t>
      </w:r>
      <w:r>
        <w:rPr>
          <w:rFonts w:ascii="Times New Roman" w:hAnsi="Times New Roman" w:cs="Times New Roman"/>
        </w:rPr>
        <w:t xml:space="preserve"> in festeggiamenti</w:t>
      </w:r>
      <w:r w:rsidRPr="00796A9D">
        <w:rPr>
          <w:rFonts w:ascii="Times New Roman" w:hAnsi="Times New Roman" w:cs="Times New Roman"/>
        </w:rPr>
        <w:t xml:space="preserve"> i libretti saranno stati forse donati agli ospiti “rinchiusi in casa”</w:t>
      </w:r>
      <w:r>
        <w:rPr>
          <w:rFonts w:ascii="Times New Roman" w:hAnsi="Times New Roman" w:cs="Times New Roman"/>
        </w:rPr>
        <w:t>, come</w:t>
      </w:r>
      <w:r w:rsidRPr="00796A9D">
        <w:rPr>
          <w:rFonts w:ascii="Times New Roman" w:hAnsi="Times New Roman" w:cs="Times New Roman"/>
        </w:rPr>
        <w:t xml:space="preserve"> ricordo della giornata. Se così fossero andate le cose sarebbe stato facile per l’editore dell’opuscolo determinare il quantitativo di copie da imprimere, calibrandolo in base al numero di invitati alla festa privata in palazzo Medici</w:t>
      </w:r>
      <w:r>
        <w:rPr>
          <w:rFonts w:ascii="Times New Roman" w:hAnsi="Times New Roman" w:cs="Times New Roman"/>
        </w:rPr>
        <w:t>.</w:t>
      </w:r>
      <w:r w:rsidRPr="00796A9D">
        <w:rPr>
          <w:rFonts w:ascii="Times New Roman" w:hAnsi="Times New Roman" w:cs="Times New Roman"/>
        </w:rPr>
        <w:t xml:space="preserve"> </w:t>
      </w:r>
      <w:r>
        <w:rPr>
          <w:rFonts w:ascii="Times New Roman" w:hAnsi="Times New Roman" w:cs="Times New Roman"/>
        </w:rPr>
        <w:t>E</w:t>
      </w:r>
      <w:r w:rsidRPr="00796A9D">
        <w:rPr>
          <w:rFonts w:ascii="Times New Roman" w:hAnsi="Times New Roman" w:cs="Times New Roman"/>
        </w:rPr>
        <w:t>gli avrebbe intercettato</w:t>
      </w:r>
      <w:r>
        <w:rPr>
          <w:rFonts w:ascii="Times New Roman" w:hAnsi="Times New Roman" w:cs="Times New Roman"/>
        </w:rPr>
        <w:t xml:space="preserve"> inoltre</w:t>
      </w:r>
      <w:r w:rsidRPr="00796A9D">
        <w:rPr>
          <w:rFonts w:ascii="Times New Roman" w:hAnsi="Times New Roman" w:cs="Times New Roman"/>
        </w:rPr>
        <w:t xml:space="preserve"> con facilità il pubblico cui voleva rivolgersi.</w:t>
      </w:r>
    </w:p>
  </w:footnote>
  <w:footnote w:id="333">
    <w:p w14:paraId="2ED7A90E"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L’inventario delli libri lassati per la q. felice memoria della Ill.ma S. Isabella d’Este marchesana di Mantova</w:t>
      </w:r>
      <w:r w:rsidRPr="00796A9D">
        <w:rPr>
          <w:rFonts w:ascii="Times New Roman" w:hAnsi="Times New Roman" w:cs="Times New Roman"/>
        </w:rPr>
        <w:t>, steso poco dopo la morte di Isabella (1539), enumera 133 volumi di sua proprietà. Quantitativo simile a quello di un letterato di professione come Gasparo Visconti, che ne possedette 147, o come il Castiglione, che ne ebbe 145, piuttosto che a quello delle raccolte di altre principesse contemporanee, rispetto alle qu</w:t>
      </w:r>
      <w:r>
        <w:rPr>
          <w:rFonts w:ascii="Times New Roman" w:hAnsi="Times New Roman" w:cs="Times New Roman"/>
        </w:rPr>
        <w:t>a</w:t>
      </w:r>
      <w:r w:rsidRPr="00796A9D">
        <w:rPr>
          <w:rFonts w:ascii="Times New Roman" w:hAnsi="Times New Roman" w:cs="Times New Roman"/>
        </w:rPr>
        <w:t xml:space="preserve">lli Isabella privilegiò le opere di letteratura classica e romanza ai testi di devozione, che costituivano invece le letture più comuni nei cataloghi pervenuti delle collezioni delle aristocratiche italiane dell’epoca. </w:t>
      </w:r>
      <w:r w:rsidRPr="00796A9D">
        <w:rPr>
          <w:rFonts w:ascii="Times New Roman" w:hAnsi="Times New Roman" w:cs="Times New Roman"/>
          <w:lang w:val="en-US"/>
        </w:rPr>
        <w:t xml:space="preserve">Cfr. </w:t>
      </w:r>
      <w:bookmarkStart w:id="262" w:name="_Hlk523073836"/>
      <w:r w:rsidRPr="00796A9D">
        <w:rPr>
          <w:rFonts w:ascii="Times New Roman" w:hAnsi="Times New Roman" w:cs="Times New Roman"/>
          <w:lang w:val="en-US"/>
        </w:rPr>
        <w:t xml:space="preserve">B. </w:t>
      </w:r>
      <w:r w:rsidRPr="00796A9D">
        <w:rPr>
          <w:rFonts w:ascii="Times New Roman" w:hAnsi="Times New Roman" w:cs="Times New Roman"/>
          <w:smallCaps/>
          <w:lang w:val="en-US"/>
        </w:rPr>
        <w:t>Richardson</w:t>
      </w:r>
      <w:r w:rsidRPr="00796A9D">
        <w:rPr>
          <w:rFonts w:ascii="Times New Roman" w:hAnsi="Times New Roman" w:cs="Times New Roman"/>
          <w:lang w:val="en-US"/>
        </w:rPr>
        <w:t xml:space="preserve">, </w:t>
      </w:r>
      <w:r w:rsidRPr="00796A9D">
        <w:rPr>
          <w:rFonts w:ascii="Times New Roman" w:hAnsi="Times New Roman" w:cs="Times New Roman"/>
          <w:i/>
          <w:lang w:val="en-US"/>
        </w:rPr>
        <w:t>Isabella d’Este and the Social Use of Books</w:t>
      </w:r>
      <w:r w:rsidRPr="00796A9D">
        <w:rPr>
          <w:rFonts w:ascii="Times New Roman" w:hAnsi="Times New Roman" w:cs="Times New Roman"/>
          <w:lang w:val="en-US"/>
        </w:rPr>
        <w:t xml:space="preserve">, «La Bibliofilia», CXIV, 2012, pp. 293-326.  </w:t>
      </w:r>
    </w:p>
    <w:bookmarkEnd w:id="262"/>
  </w:footnote>
  <w:footnote w:id="334">
    <w:p w14:paraId="227D4E7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263" w:name="_Hlk523073897"/>
      <w:r w:rsidRPr="00796A9D">
        <w:rPr>
          <w:rFonts w:ascii="Times New Roman" w:hAnsi="Times New Roman" w:cs="Times New Roman"/>
          <w:smallCaps/>
        </w:rPr>
        <w:t>A. Luzio, R. Renier</w:t>
      </w:r>
      <w:r w:rsidRPr="00796A9D">
        <w:rPr>
          <w:rFonts w:ascii="Times New Roman" w:hAnsi="Times New Roman" w:cs="Times New Roman"/>
          <w:i/>
        </w:rPr>
        <w:t>, La coltura e le relazioni letterarie di Isabella d’Este Gonzaga</w:t>
      </w:r>
      <w:r w:rsidRPr="00796A9D">
        <w:rPr>
          <w:rFonts w:ascii="Times New Roman" w:hAnsi="Times New Roman" w:cs="Times New Roman"/>
        </w:rPr>
        <w:t xml:space="preserve">, a cura di </w:t>
      </w:r>
      <w:r w:rsidRPr="00796A9D">
        <w:rPr>
          <w:rFonts w:ascii="Times New Roman" w:hAnsi="Times New Roman" w:cs="Times New Roman"/>
          <w:smallCaps/>
        </w:rPr>
        <w:t>S. Albonico</w:t>
      </w:r>
      <w:r w:rsidRPr="00796A9D">
        <w:rPr>
          <w:rFonts w:ascii="Times New Roman" w:hAnsi="Times New Roman" w:cs="Times New Roman"/>
        </w:rPr>
        <w:t>, Milano, Sylvestre Bonnard, 2005</w:t>
      </w:r>
      <w:bookmarkEnd w:id="263"/>
      <w:r w:rsidRPr="00796A9D">
        <w:rPr>
          <w:rFonts w:ascii="Times New Roman" w:hAnsi="Times New Roman" w:cs="Times New Roman"/>
        </w:rPr>
        <w:t xml:space="preserve">, p. 210. </w:t>
      </w:r>
    </w:p>
  </w:footnote>
  <w:footnote w:id="335">
    <w:p w14:paraId="3C38C11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264" w:name="_Hlk523073960"/>
      <w:r w:rsidRPr="00796A9D">
        <w:rPr>
          <w:rFonts w:ascii="Times New Roman" w:hAnsi="Times New Roman" w:cs="Times New Roman"/>
          <w:smallCaps/>
        </w:rPr>
        <w:t>G. D’Adda</w:t>
      </w:r>
      <w:r w:rsidRPr="00796A9D">
        <w:rPr>
          <w:rFonts w:ascii="Times New Roman" w:hAnsi="Times New Roman" w:cs="Times New Roman"/>
        </w:rPr>
        <w:t xml:space="preserve">, </w:t>
      </w:r>
      <w:r w:rsidRPr="00796A9D">
        <w:rPr>
          <w:rFonts w:ascii="Times New Roman" w:hAnsi="Times New Roman" w:cs="Times New Roman"/>
          <w:i/>
        </w:rPr>
        <w:t>Indagini storiche, artistiche e bibliografiche sulla Libreria Visconteo-Sforzesca del castello di Pavia compilate ed illustrate con documenti inediti</w:t>
      </w:r>
      <w:r w:rsidRPr="00796A9D">
        <w:rPr>
          <w:rFonts w:ascii="Times New Roman" w:hAnsi="Times New Roman" w:cs="Times New Roman"/>
        </w:rPr>
        <w:t>, Milano, Brigola, 1875</w:t>
      </w:r>
      <w:bookmarkEnd w:id="264"/>
      <w:r w:rsidRPr="00796A9D">
        <w:rPr>
          <w:rFonts w:ascii="Times New Roman" w:hAnsi="Times New Roman" w:cs="Times New Roman"/>
        </w:rPr>
        <w:t xml:space="preserve">, doc. 16, p. 107. </w:t>
      </w:r>
    </w:p>
  </w:footnote>
  <w:footnote w:id="336">
    <w:p w14:paraId="685370B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Nuti</w:t>
      </w:r>
      <w:r w:rsidRPr="00796A9D">
        <w:rPr>
          <w:rFonts w:ascii="Times New Roman" w:hAnsi="Times New Roman" w:cs="Times New Roman"/>
        </w:rPr>
        <w:t xml:space="preserve">, </w:t>
      </w:r>
      <w:r w:rsidRPr="00796A9D">
        <w:rPr>
          <w:rFonts w:ascii="Times New Roman" w:hAnsi="Times New Roman" w:cs="Times New Roman"/>
          <w:i/>
        </w:rPr>
        <w:t>Feltresco Mercatello</w:t>
      </w:r>
      <w:r w:rsidRPr="00796A9D">
        <w:rPr>
          <w:rFonts w:ascii="Times New Roman" w:hAnsi="Times New Roman" w:cs="Times New Roman"/>
        </w:rPr>
        <w:t xml:space="preserve">, ott. 27-28. Edito integralmente in </w:t>
      </w:r>
      <w:bookmarkStart w:id="265" w:name="_Hlk523074093"/>
      <w:r w:rsidRPr="00796A9D">
        <w:rPr>
          <w:rFonts w:ascii="Times New Roman" w:hAnsi="Times New Roman" w:cs="Times New Roman"/>
          <w:smallCaps/>
        </w:rPr>
        <w:t>G. Cerboni Baiardi</w:t>
      </w:r>
      <w:r w:rsidRPr="00796A9D">
        <w:rPr>
          <w:rFonts w:ascii="Times New Roman" w:hAnsi="Times New Roman" w:cs="Times New Roman"/>
        </w:rPr>
        <w:t xml:space="preserve">, </w:t>
      </w:r>
      <w:r w:rsidRPr="00796A9D">
        <w:rPr>
          <w:rFonts w:ascii="Times New Roman" w:hAnsi="Times New Roman" w:cs="Times New Roman"/>
          <w:i/>
        </w:rPr>
        <w:t>Letture</w:t>
      </w:r>
      <w:r w:rsidRPr="00796A9D">
        <w:rPr>
          <w:rFonts w:ascii="Times New Roman" w:hAnsi="Times New Roman" w:cs="Times New Roman"/>
        </w:rPr>
        <w:t xml:space="preserve">, a cura di </w:t>
      </w:r>
      <w:r w:rsidRPr="00796A9D">
        <w:rPr>
          <w:rFonts w:ascii="Times New Roman" w:hAnsi="Times New Roman" w:cs="Times New Roman"/>
          <w:smallCaps/>
        </w:rPr>
        <w:t>G. Arbizzoni, T. Mattioli, A.T. Ossani</w:t>
      </w:r>
      <w:r w:rsidRPr="00796A9D">
        <w:rPr>
          <w:rFonts w:ascii="Times New Roman" w:hAnsi="Times New Roman" w:cs="Times New Roman"/>
        </w:rPr>
        <w:t>, Manziana, Vecchiarelli, 2002</w:t>
      </w:r>
      <w:bookmarkEnd w:id="265"/>
      <w:r w:rsidRPr="00796A9D">
        <w:rPr>
          <w:rFonts w:ascii="Times New Roman" w:hAnsi="Times New Roman" w:cs="Times New Roman"/>
        </w:rPr>
        <w:t xml:space="preserve">, pp. 7-36. Il testo è trasmesso dal codice Urb. Lat. 785, esemplare di dedica al duca Federico. Opera di scarso valore artistico, nel panorama della produzione letteraria della corte urbinate si distinse per la scelta metrica dell’ottava, scarsamente praticata in precedenza dai letterati del Montefeltro. L’ingresso di Giuliano della Rovere a Urbino fu ricordato anche da </w:t>
      </w:r>
      <w:bookmarkStart w:id="266" w:name="_Hlk523074196"/>
      <w:r w:rsidRPr="00796A9D">
        <w:rPr>
          <w:rFonts w:ascii="Times New Roman" w:hAnsi="Times New Roman" w:cs="Times New Roman"/>
          <w:smallCaps/>
        </w:rPr>
        <w:t>G. Santi</w:t>
      </w:r>
      <w:r w:rsidRPr="00796A9D">
        <w:rPr>
          <w:rFonts w:ascii="Times New Roman" w:hAnsi="Times New Roman" w:cs="Times New Roman"/>
        </w:rPr>
        <w:t xml:space="preserve">, </w:t>
      </w:r>
      <w:r w:rsidRPr="00796A9D">
        <w:rPr>
          <w:rFonts w:ascii="Times New Roman" w:hAnsi="Times New Roman" w:cs="Times New Roman"/>
          <w:i/>
        </w:rPr>
        <w:t>La vita e le gesta di Federico Duca d’Urbino</w:t>
      </w:r>
      <w:r w:rsidRPr="00796A9D">
        <w:rPr>
          <w:rFonts w:ascii="Times New Roman" w:hAnsi="Times New Roman" w:cs="Times New Roman"/>
        </w:rPr>
        <w:t xml:space="preserve">, a cura di </w:t>
      </w:r>
      <w:r w:rsidRPr="00796A9D">
        <w:rPr>
          <w:rFonts w:ascii="Times New Roman" w:hAnsi="Times New Roman" w:cs="Times New Roman"/>
          <w:smallCaps/>
        </w:rPr>
        <w:t>L. Michelini Tocci</w:t>
      </w:r>
      <w:r w:rsidRPr="00796A9D">
        <w:rPr>
          <w:rFonts w:ascii="Times New Roman" w:hAnsi="Times New Roman" w:cs="Times New Roman"/>
        </w:rPr>
        <w:t>, Città del Vaticano, Biblioteca Apostolica Vaticana, 1985,</w:t>
      </w:r>
      <w:bookmarkEnd w:id="266"/>
      <w:r w:rsidRPr="00796A9D">
        <w:rPr>
          <w:rFonts w:ascii="Times New Roman" w:hAnsi="Times New Roman" w:cs="Times New Roman"/>
        </w:rPr>
        <w:t xml:space="preserve"> XX, cap. LXXXV. </w:t>
      </w:r>
    </w:p>
  </w:footnote>
  <w:footnote w:id="337">
    <w:p w14:paraId="6418A1A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passaggio per Firenze di Giovanni d’Aragona è annotato sinteticamente anche nel </w:t>
      </w:r>
      <w:r w:rsidRPr="00796A9D">
        <w:rPr>
          <w:rFonts w:ascii="Times New Roman" w:hAnsi="Times New Roman" w:cs="Times New Roman"/>
          <w:i/>
        </w:rPr>
        <w:t>Diario</w:t>
      </w:r>
      <w:r w:rsidRPr="00796A9D">
        <w:rPr>
          <w:rFonts w:ascii="Times New Roman" w:hAnsi="Times New Roman" w:cs="Times New Roman"/>
        </w:rPr>
        <w:t xml:space="preserve"> di Luca Landucci: «E a dì 18 d’agosto giunse in Firenze un cardinale, figlio del Re, che veniva d’Ungheria, andava a Roma» (</w:t>
      </w:r>
      <w:bookmarkStart w:id="267" w:name="_Hlk523074302"/>
      <w:r w:rsidRPr="00796A9D">
        <w:rPr>
          <w:rFonts w:ascii="Times New Roman" w:hAnsi="Times New Roman" w:cs="Times New Roman"/>
        </w:rPr>
        <w:t xml:space="preserve">L. </w:t>
      </w:r>
      <w:r w:rsidRPr="00796A9D">
        <w:rPr>
          <w:rFonts w:ascii="Times New Roman" w:hAnsi="Times New Roman" w:cs="Times New Roman"/>
          <w:smallCaps/>
        </w:rPr>
        <w:t>Landucci</w:t>
      </w:r>
      <w:r w:rsidRPr="00796A9D">
        <w:rPr>
          <w:rFonts w:ascii="Times New Roman" w:hAnsi="Times New Roman" w:cs="Times New Roman"/>
        </w:rPr>
        <w:t xml:space="preserve">, </w:t>
      </w:r>
      <w:r w:rsidRPr="00796A9D">
        <w:rPr>
          <w:rFonts w:ascii="Times New Roman" w:hAnsi="Times New Roman" w:cs="Times New Roman"/>
          <w:i/>
        </w:rPr>
        <w:t>Diario fiorentino dal 1450 al 1516</w:t>
      </w:r>
      <w:r w:rsidRPr="00796A9D">
        <w:rPr>
          <w:rFonts w:ascii="Times New Roman" w:hAnsi="Times New Roman" w:cs="Times New Roman"/>
        </w:rPr>
        <w:t xml:space="preserve">, a cura di I. </w:t>
      </w:r>
      <w:r w:rsidRPr="00796A9D">
        <w:rPr>
          <w:rFonts w:ascii="Times New Roman" w:hAnsi="Times New Roman" w:cs="Times New Roman"/>
          <w:smallCaps/>
        </w:rPr>
        <w:t>del Badia</w:t>
      </w:r>
      <w:r w:rsidRPr="00796A9D">
        <w:rPr>
          <w:rFonts w:ascii="Times New Roman" w:hAnsi="Times New Roman" w:cs="Times New Roman"/>
        </w:rPr>
        <w:t>, Firenze, Sansoni, 1883</w:t>
      </w:r>
      <w:bookmarkEnd w:id="267"/>
      <w:r w:rsidRPr="00796A9D">
        <w:rPr>
          <w:rFonts w:ascii="Times New Roman" w:hAnsi="Times New Roman" w:cs="Times New Roman"/>
        </w:rPr>
        <w:t xml:space="preserve">, p. 36).  Per considerazioni sull’importanza diplomatica di questa visita e per il suo contributo alla circolazione presso la corte di Buda delle notizie intorno alle collezioni d’arte medicee vedi D. </w:t>
      </w:r>
      <w:r w:rsidRPr="00796A9D">
        <w:rPr>
          <w:rFonts w:ascii="Times New Roman" w:hAnsi="Times New Roman" w:cs="Times New Roman"/>
          <w:smallCaps/>
        </w:rPr>
        <w:t>Pócs</w:t>
      </w:r>
      <w:r w:rsidRPr="00796A9D">
        <w:rPr>
          <w:rFonts w:ascii="Times New Roman" w:hAnsi="Times New Roman" w:cs="Times New Roman"/>
        </w:rPr>
        <w:t xml:space="preserve">, </w:t>
      </w:r>
      <w:r w:rsidRPr="00796A9D">
        <w:rPr>
          <w:rFonts w:ascii="Times New Roman" w:hAnsi="Times New Roman" w:cs="Times New Roman"/>
          <w:i/>
        </w:rPr>
        <w:t>Dal palazzo di via Larga al castello di Buda: gli oggetti dello scrittoio di Lorenzo e il collezionismo di Mattia Corvino</w:t>
      </w:r>
      <w:r w:rsidRPr="00796A9D">
        <w:rPr>
          <w:rFonts w:ascii="Times New Roman" w:hAnsi="Times New Roman" w:cs="Times New Roman"/>
        </w:rPr>
        <w:t xml:space="preserve">, in </w:t>
      </w:r>
      <w:r w:rsidRPr="00796A9D">
        <w:rPr>
          <w:rFonts w:ascii="Times New Roman" w:hAnsi="Times New Roman" w:cs="Times New Roman"/>
          <w:i/>
        </w:rPr>
        <w:t>Mattia Corvino e Firenze</w:t>
      </w:r>
      <w:r w:rsidRPr="00796A9D">
        <w:rPr>
          <w:rFonts w:ascii="Times New Roman" w:hAnsi="Times New Roman" w:cs="Times New Roman"/>
        </w:rPr>
        <w:t xml:space="preserve">, cit., pp. 206-209. </w:t>
      </w:r>
    </w:p>
  </w:footnote>
  <w:footnote w:id="338">
    <w:p w14:paraId="1FFF71B2"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Modena, ASMo, Archivio segreto estense, Carteggio degli ambasciatori, Firenze 2/A, si cita dall’edizione fornitane in </w:t>
      </w:r>
      <w:bookmarkStart w:id="268" w:name="_Hlk523074383"/>
      <w:r w:rsidRPr="00796A9D">
        <w:rPr>
          <w:rFonts w:ascii="Times New Roman" w:hAnsi="Times New Roman" w:cs="Times New Roman"/>
          <w:smallCaps/>
          <w:sz w:val="20"/>
          <w:szCs w:val="20"/>
        </w:rPr>
        <w:t>L. Fusco, G. Corti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Lorenzo de’ Medici Collector and Antiquarian</w:t>
      </w:r>
      <w:r w:rsidRPr="00796A9D">
        <w:rPr>
          <w:rFonts w:ascii="Times New Roman" w:hAnsi="Times New Roman" w:cs="Times New Roman"/>
          <w:sz w:val="20"/>
          <w:szCs w:val="20"/>
        </w:rPr>
        <w:t>, Cambridge, Cambridge University Press, 2006</w:t>
      </w:r>
      <w:bookmarkEnd w:id="268"/>
      <w:r w:rsidRPr="00796A9D">
        <w:rPr>
          <w:rFonts w:ascii="Times New Roman" w:hAnsi="Times New Roman" w:cs="Times New Roman"/>
          <w:sz w:val="20"/>
          <w:szCs w:val="20"/>
        </w:rPr>
        <w:t xml:space="preserve">, pp. 322-323. A questo studio si rinvia per una puntuale trattazione del collezionismo laurenziano di antichità romane e di oggetti d’arte finalizzato a promuovere la propria immagine tramite il lusso. </w:t>
      </w:r>
    </w:p>
  </w:footnote>
  <w:footnote w:id="339">
    <w:p w14:paraId="25B9793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data di acquisto del giardino da parte di Lorenzo è incerta, ma collocabile tra il 1472 e il 1475. Secondo quanto riferito da Vasari nella </w:t>
      </w:r>
      <w:r w:rsidRPr="00796A9D">
        <w:rPr>
          <w:rFonts w:ascii="Times New Roman" w:hAnsi="Times New Roman" w:cs="Times New Roman"/>
          <w:i/>
        </w:rPr>
        <w:t>Vita di Michelangelo Buonarroti</w:t>
      </w:r>
      <w:r w:rsidRPr="00796A9D">
        <w:rPr>
          <w:rFonts w:ascii="Times New Roman" w:hAnsi="Times New Roman" w:cs="Times New Roman"/>
        </w:rPr>
        <w:t xml:space="preserve"> si radunò in questo luogo una vera scuola di artisti interessati alla copia dei resti antichi, alla custodia dei quali era preposto lo scultore e medaglista fiorentino Bertoldo di Giovanni. La registrazione di un pagamento in data 22 febbraio 1477 da parte della Confraternita della Purificazione «Per rimendatura d’un panno rovescio che si stracciò nel giardino di Lorenzo a la festa di Santo Stagio» e un sonetto di Bernardo Bellincioni «Per una certa festa che si fece al giardino di Lorenzo de’ Medici da una certa compagnia» inducono a pensare che in questi orti si svolgessero periodicamente recite di sacre rappresentazioni. Cfr. </w:t>
      </w:r>
      <w:bookmarkStart w:id="269" w:name="_Hlk523074455"/>
      <w:r w:rsidRPr="00796A9D">
        <w:rPr>
          <w:rFonts w:ascii="Times New Roman" w:hAnsi="Times New Roman" w:cs="Times New Roman"/>
          <w:smallCaps/>
        </w:rPr>
        <w:t>C. Elam</w:t>
      </w:r>
      <w:r w:rsidRPr="00796A9D">
        <w:rPr>
          <w:rFonts w:ascii="Times New Roman" w:hAnsi="Times New Roman" w:cs="Times New Roman"/>
          <w:i/>
        </w:rPr>
        <w:t>, Il giardino delle sculture di Lorenzo de’ Medici</w:t>
      </w:r>
      <w:r w:rsidRPr="00796A9D">
        <w:rPr>
          <w:rFonts w:ascii="Times New Roman" w:hAnsi="Times New Roman" w:cs="Times New Roman"/>
        </w:rPr>
        <w:t xml:space="preserve">, in </w:t>
      </w:r>
      <w:r w:rsidRPr="00796A9D">
        <w:rPr>
          <w:rFonts w:ascii="Times New Roman" w:hAnsi="Times New Roman" w:cs="Times New Roman"/>
          <w:i/>
        </w:rPr>
        <w:t>Il giardino di San Marco. Maestri e compagni del giovane Michelangelo</w:t>
      </w:r>
      <w:r w:rsidRPr="00796A9D">
        <w:rPr>
          <w:rFonts w:ascii="Times New Roman" w:hAnsi="Times New Roman" w:cs="Times New Roman"/>
        </w:rPr>
        <w:t xml:space="preserve">, a cura di </w:t>
      </w:r>
      <w:r w:rsidRPr="003E7C9E">
        <w:rPr>
          <w:rFonts w:ascii="Times New Roman" w:hAnsi="Times New Roman" w:cs="Times New Roman"/>
          <w:smallCaps/>
        </w:rPr>
        <w:t>P. Barocchi</w:t>
      </w:r>
      <w:r w:rsidRPr="00796A9D">
        <w:rPr>
          <w:rFonts w:ascii="Times New Roman" w:hAnsi="Times New Roman" w:cs="Times New Roman"/>
        </w:rPr>
        <w:t>, Catalogo della Mostra (Firenze, 30 giugno-19 ottobre 1992), Cinisello Balsamo, Silvana, 1992, pp. 157-172.</w:t>
      </w:r>
      <w:bookmarkEnd w:id="269"/>
    </w:p>
  </w:footnote>
  <w:footnote w:id="340">
    <w:p w14:paraId="576B9AE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Modena, AdSMo, Archivio segreto estense, Carteggio degli ambasciatori, Firenze 2/A, 173-175. Edita in </w:t>
      </w:r>
      <w:r w:rsidRPr="00796A9D">
        <w:rPr>
          <w:rFonts w:ascii="Times New Roman" w:hAnsi="Times New Roman" w:cs="Times New Roman"/>
          <w:smallCaps/>
        </w:rPr>
        <w:t>L. Fusco, G. Corti</w:t>
      </w:r>
      <w:r w:rsidRPr="00796A9D">
        <w:rPr>
          <w:rFonts w:ascii="Times New Roman" w:hAnsi="Times New Roman" w:cs="Times New Roman"/>
        </w:rPr>
        <w:t xml:space="preserve">, </w:t>
      </w:r>
      <w:r w:rsidRPr="00796A9D">
        <w:rPr>
          <w:rFonts w:ascii="Times New Roman" w:hAnsi="Times New Roman" w:cs="Times New Roman"/>
          <w:i/>
        </w:rPr>
        <w:t xml:space="preserve">Lorenzo de’ Medici Collector and Antiquarian, </w:t>
      </w:r>
      <w:r w:rsidRPr="00796A9D">
        <w:rPr>
          <w:rFonts w:ascii="Times New Roman" w:hAnsi="Times New Roman" w:cs="Times New Roman"/>
        </w:rPr>
        <w:t xml:space="preserve">cit., p. 323. </w:t>
      </w:r>
    </w:p>
  </w:footnote>
  <w:footnote w:id="341">
    <w:p w14:paraId="56236A8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V. da Bisticci</w:t>
      </w:r>
      <w:r w:rsidRPr="00796A9D">
        <w:rPr>
          <w:rFonts w:ascii="Times New Roman" w:hAnsi="Times New Roman" w:cs="Times New Roman"/>
        </w:rPr>
        <w:t xml:space="preserve">, </w:t>
      </w:r>
      <w:r w:rsidRPr="00796A9D">
        <w:rPr>
          <w:rFonts w:ascii="Times New Roman" w:hAnsi="Times New Roman" w:cs="Times New Roman"/>
          <w:i/>
        </w:rPr>
        <w:t>Le vite</w:t>
      </w:r>
      <w:r w:rsidRPr="00796A9D">
        <w:rPr>
          <w:rFonts w:ascii="Times New Roman" w:hAnsi="Times New Roman" w:cs="Times New Roman"/>
        </w:rPr>
        <w:t xml:space="preserve">, cit., vol. I, pp. 116-117. Un incendio divampato il 15 dicembre 1514 distrusse quasi integralmente la biblioteca. L’inventario dei volumi appartenuti a Giovanni Sforza, figlio di Costanzo e signore di Pesaro, datato 20 ottobre 1500, documenta però l’estensione della collezione libraria al momento dell’ingresso in città delle truppe del Valentino. Per questo documento e per le vicende dei libri superstiti, forse venduti dagli eredi di Costanzo per fare fronte alle alterne fortune della famiglia, vedi </w:t>
      </w:r>
      <w:bookmarkStart w:id="270" w:name="_Hlk523074543"/>
      <w:r w:rsidRPr="00796A9D">
        <w:rPr>
          <w:rFonts w:ascii="Times New Roman" w:hAnsi="Times New Roman" w:cs="Times New Roman"/>
        </w:rPr>
        <w:t xml:space="preserve">L. </w:t>
      </w:r>
      <w:r w:rsidRPr="00796A9D">
        <w:rPr>
          <w:rFonts w:ascii="Times New Roman" w:hAnsi="Times New Roman" w:cs="Times New Roman"/>
          <w:smallCaps/>
        </w:rPr>
        <w:t>Baffioni Venturi</w:t>
      </w:r>
      <w:r w:rsidRPr="00796A9D">
        <w:rPr>
          <w:rFonts w:ascii="Times New Roman" w:hAnsi="Times New Roman" w:cs="Times New Roman"/>
        </w:rPr>
        <w:t xml:space="preserve">, </w:t>
      </w:r>
      <w:r w:rsidRPr="00796A9D">
        <w:rPr>
          <w:rFonts w:ascii="Times New Roman" w:hAnsi="Times New Roman" w:cs="Times New Roman"/>
          <w:i/>
        </w:rPr>
        <w:t>Alla ricerca della libreria perduta. La biblioteca di Giovanni Sforza Signore di Pesaro</w:t>
      </w:r>
      <w:r w:rsidRPr="00796A9D">
        <w:rPr>
          <w:rFonts w:ascii="Times New Roman" w:hAnsi="Times New Roman" w:cs="Times New Roman"/>
        </w:rPr>
        <w:t xml:space="preserve">, Pesaro, Metauro, 2013. </w:t>
      </w:r>
      <w:bookmarkEnd w:id="270"/>
    </w:p>
  </w:footnote>
  <w:footnote w:id="342">
    <w:p w14:paraId="27BAEDF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indicazioni più precise riguardo a questi oggetti misteriosi appartenuti alla biblioteca Visconti-Sforza si vedano le note di </w:t>
      </w:r>
      <w:r w:rsidRPr="00796A9D">
        <w:rPr>
          <w:rFonts w:ascii="Times New Roman" w:hAnsi="Times New Roman" w:cs="Times New Roman"/>
          <w:smallCaps/>
        </w:rPr>
        <w:t>G. D’Adda</w:t>
      </w:r>
      <w:r w:rsidRPr="00796A9D">
        <w:rPr>
          <w:rFonts w:ascii="Times New Roman" w:hAnsi="Times New Roman" w:cs="Times New Roman"/>
        </w:rPr>
        <w:t xml:space="preserve">, </w:t>
      </w:r>
      <w:r w:rsidRPr="00796A9D">
        <w:rPr>
          <w:rFonts w:ascii="Times New Roman" w:hAnsi="Times New Roman" w:cs="Times New Roman"/>
          <w:i/>
        </w:rPr>
        <w:t>Indagini storiche, artistiche e bibliografiche</w:t>
      </w:r>
      <w:r w:rsidRPr="00796A9D">
        <w:rPr>
          <w:rFonts w:ascii="Times New Roman" w:hAnsi="Times New Roman" w:cs="Times New Roman"/>
        </w:rPr>
        <w:t xml:space="preserve">, cit., pp. LXV-LXVIII. </w:t>
      </w:r>
    </w:p>
  </w:footnote>
  <w:footnote w:id="343">
    <w:p w14:paraId="4947577F" w14:textId="77777777" w:rsidR="00CF5CFB" w:rsidRPr="00796A9D" w:rsidRDefault="00CF5CFB" w:rsidP="00796A9D">
      <w:pPr>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Adae de Montaldo genuensis: ad Calistum tertium summum Romanorum Pontificem: de clara vita divi regis Alphonsi oratio</w:t>
      </w:r>
      <w:r w:rsidRPr="00796A9D">
        <w:rPr>
          <w:rFonts w:ascii="Times New Roman" w:hAnsi="Times New Roman" w:cs="Times New Roman"/>
          <w:sz w:val="20"/>
          <w:szCs w:val="20"/>
        </w:rPr>
        <w:t xml:space="preserve">. L’orazione è trasmessa dal codice, Città del Vaticano, Biblioteca Apostolica Vaticana, Vat. Lat. 3567. Edita integralmente in </w:t>
      </w:r>
      <w:r w:rsidRPr="00796A9D">
        <w:rPr>
          <w:rFonts w:ascii="Times New Roman" w:hAnsi="Times New Roman" w:cs="Times New Roman"/>
          <w:smallCaps/>
          <w:sz w:val="20"/>
          <w:szCs w:val="20"/>
        </w:rPr>
        <w:t>T. de Marinis</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La biblioteca napoletana dei re d’Aragona</w:t>
      </w:r>
      <w:r w:rsidRPr="00796A9D">
        <w:rPr>
          <w:rFonts w:ascii="Times New Roman" w:hAnsi="Times New Roman" w:cs="Times New Roman"/>
          <w:sz w:val="20"/>
          <w:szCs w:val="20"/>
        </w:rPr>
        <w:t xml:space="preserve">, cit., vol. I, pp. 225-227. La composizione si colloca presumibilmente intorno al 1458, anno della morte del Magnanimo. Per Adamo di Montaldo, le cui prime notizie biografiche si datano al 1457, quando soggiornò alla corte di Napoli, vedi </w:t>
      </w:r>
      <w:r w:rsidRPr="00796A9D">
        <w:rPr>
          <w:rFonts w:ascii="Times New Roman" w:hAnsi="Times New Roman" w:cs="Times New Roman"/>
          <w:smallCaps/>
          <w:sz w:val="20"/>
          <w:szCs w:val="20"/>
        </w:rPr>
        <w:t>G. de Blasi</w:t>
      </w:r>
      <w:r w:rsidRPr="00796A9D">
        <w:rPr>
          <w:rFonts w:ascii="Times New Roman" w:hAnsi="Times New Roman" w:cs="Times New Roman"/>
          <w:sz w:val="20"/>
          <w:szCs w:val="20"/>
        </w:rPr>
        <w:t xml:space="preserve">, s.v. </w:t>
      </w:r>
      <w:r w:rsidRPr="00796A9D">
        <w:rPr>
          <w:rFonts w:ascii="Times New Roman" w:hAnsi="Times New Roman" w:cs="Times New Roman"/>
          <w:i/>
          <w:sz w:val="20"/>
          <w:szCs w:val="20"/>
        </w:rPr>
        <w:t>Montaldo, Adamo</w:t>
      </w:r>
      <w:r w:rsidRPr="00796A9D">
        <w:rPr>
          <w:rFonts w:ascii="Times New Roman" w:hAnsi="Times New Roman" w:cs="Times New Roman"/>
          <w:sz w:val="20"/>
          <w:szCs w:val="20"/>
        </w:rPr>
        <w:t>, DBI, LXXV, 2011, pp. 763-765.</w:t>
      </w:r>
    </w:p>
    <w:p w14:paraId="50F48345" w14:textId="77777777" w:rsidR="00CF5CFB" w:rsidRPr="00796A9D" w:rsidRDefault="00CF5CFB" w:rsidP="00796A9D">
      <w:pPr>
        <w:pStyle w:val="Testonotaapidipagina"/>
        <w:jc w:val="both"/>
        <w:rPr>
          <w:rFonts w:ascii="Times New Roman" w:hAnsi="Times New Roman" w:cs="Times New Roman"/>
        </w:rPr>
      </w:pPr>
    </w:p>
  </w:footnote>
  <w:footnote w:id="344">
    <w:p w14:paraId="4F5CC9A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consacrazione di Carlo VIII apparvero due edizioni </w:t>
      </w:r>
      <w:r w:rsidRPr="00796A9D">
        <w:rPr>
          <w:rFonts w:ascii="Times New Roman" w:hAnsi="Times New Roman" w:cs="Times New Roman"/>
          <w:i/>
        </w:rPr>
        <w:t>sine notis</w:t>
      </w:r>
      <w:r w:rsidRPr="00796A9D">
        <w:rPr>
          <w:rFonts w:ascii="Times New Roman" w:hAnsi="Times New Roman" w:cs="Times New Roman"/>
        </w:rPr>
        <w:t xml:space="preserve"> di una cronaca anonima intitolata </w:t>
      </w:r>
      <w:r w:rsidRPr="00796A9D">
        <w:rPr>
          <w:rFonts w:ascii="Times New Roman" w:hAnsi="Times New Roman" w:cs="Times New Roman"/>
          <w:i/>
        </w:rPr>
        <w:t>L' Entrée du roi Charles VIII à Paris, le 8 juillet 1484, et son sacre à Reims</w:t>
      </w:r>
      <w:r w:rsidRPr="00796A9D">
        <w:rPr>
          <w:rFonts w:ascii="Times New Roman" w:hAnsi="Times New Roman" w:cs="Times New Roman"/>
        </w:rPr>
        <w:t xml:space="preserve"> (GW M39313; GW 0931820N), assegnate ai torchi parigini di </w:t>
      </w:r>
      <w:bookmarkStart w:id="271" w:name="_Hlk535914897"/>
      <w:r w:rsidRPr="00796A9D">
        <w:rPr>
          <w:rFonts w:ascii="Times New Roman" w:hAnsi="Times New Roman" w:cs="Times New Roman"/>
        </w:rPr>
        <w:t>Antoine Caillaut</w:t>
      </w:r>
      <w:bookmarkEnd w:id="271"/>
      <w:r w:rsidRPr="00796A9D">
        <w:rPr>
          <w:rFonts w:ascii="Times New Roman" w:hAnsi="Times New Roman" w:cs="Times New Roman"/>
        </w:rPr>
        <w:t xml:space="preserve">, stampatore operante in città a partire dal 1482. Sempre </w:t>
      </w:r>
      <w:r w:rsidRPr="00796A9D">
        <w:rPr>
          <w:rFonts w:ascii="Times New Roman" w:hAnsi="Times New Roman" w:cs="Times New Roman"/>
          <w:i/>
        </w:rPr>
        <w:t>sine notis</w:t>
      </w:r>
      <w:r w:rsidRPr="00796A9D">
        <w:rPr>
          <w:rFonts w:ascii="Times New Roman" w:hAnsi="Times New Roman" w:cs="Times New Roman"/>
        </w:rPr>
        <w:t xml:space="preserve">, dopo il 27 maggio 1498, vennero impresse quattro edizioni de </w:t>
      </w:r>
      <w:r w:rsidRPr="00796A9D">
        <w:rPr>
          <w:rFonts w:ascii="Times New Roman" w:hAnsi="Times New Roman" w:cs="Times New Roman"/>
          <w:i/>
        </w:rPr>
        <w:t>Le Sacre du roi très chrétien fait à Reims l'an 1498</w:t>
      </w:r>
      <w:r w:rsidRPr="00796A9D">
        <w:rPr>
          <w:rFonts w:ascii="Times New Roman" w:hAnsi="Times New Roman" w:cs="Times New Roman"/>
        </w:rPr>
        <w:t xml:space="preserve"> in onore dell’incoronazione di Luigi XII. Due di esse sono state ricondotte ai tipi parigini di </w:t>
      </w:r>
      <w:bookmarkStart w:id="272" w:name="_Hlk535914940"/>
      <w:r w:rsidRPr="00796A9D">
        <w:rPr>
          <w:rFonts w:ascii="Times New Roman" w:hAnsi="Times New Roman" w:cs="Times New Roman"/>
        </w:rPr>
        <w:t xml:space="preserve">Pierre Le Caron </w:t>
      </w:r>
      <w:bookmarkEnd w:id="272"/>
      <w:r w:rsidRPr="00796A9D">
        <w:rPr>
          <w:rFonts w:ascii="Times New Roman" w:hAnsi="Times New Roman" w:cs="Times New Roman"/>
        </w:rPr>
        <w:t xml:space="preserve">(GW M39320; GW M39318); una a quelli di </w:t>
      </w:r>
      <w:bookmarkStart w:id="273" w:name="_Hlk535915020"/>
      <w:r w:rsidRPr="00796A9D">
        <w:rPr>
          <w:rFonts w:ascii="Times New Roman" w:hAnsi="Times New Roman" w:cs="Times New Roman"/>
        </w:rPr>
        <w:t xml:space="preserve">Jean Tréperel </w:t>
      </w:r>
      <w:bookmarkEnd w:id="273"/>
      <w:r w:rsidRPr="00796A9D">
        <w:rPr>
          <w:rFonts w:ascii="Times New Roman" w:hAnsi="Times New Roman" w:cs="Times New Roman"/>
        </w:rPr>
        <w:t xml:space="preserve">o di </w:t>
      </w:r>
      <w:bookmarkStart w:id="274" w:name="_Hlk535914984"/>
      <w:r w:rsidRPr="00796A9D">
        <w:rPr>
          <w:rFonts w:ascii="Times New Roman" w:hAnsi="Times New Roman" w:cs="Times New Roman"/>
        </w:rPr>
        <w:t xml:space="preserve">Michel Le Noir </w:t>
      </w:r>
      <w:bookmarkEnd w:id="274"/>
      <w:r w:rsidRPr="00796A9D">
        <w:rPr>
          <w:rFonts w:ascii="Times New Roman" w:hAnsi="Times New Roman" w:cs="Times New Roman"/>
        </w:rPr>
        <w:t xml:space="preserve">sempre a Parigi (GW M39322); e una al torchio di </w:t>
      </w:r>
      <w:bookmarkStart w:id="275" w:name="_Hlk535915054"/>
      <w:r w:rsidRPr="00796A9D">
        <w:rPr>
          <w:rFonts w:ascii="Times New Roman" w:hAnsi="Times New Roman" w:cs="Times New Roman"/>
        </w:rPr>
        <w:t xml:space="preserve">Jacques Le Forestier </w:t>
      </w:r>
      <w:bookmarkEnd w:id="275"/>
      <w:r w:rsidRPr="00796A9D">
        <w:rPr>
          <w:rFonts w:ascii="Times New Roman" w:hAnsi="Times New Roman" w:cs="Times New Roman"/>
        </w:rPr>
        <w:t>(GW M3931710), attivo a Rouen. Non ho trovato notizia, invece, di libretti a stampa per i matrimoni dei monarchi europei celebrati nel secolo XV. La mia ricerca si è avvalsa, oltre che dei repertori di incunaboli premessi alla bibliografia di questa tesi, dell’USTC, dell’</w:t>
      </w:r>
      <w:r w:rsidRPr="00796A9D">
        <w:rPr>
          <w:rFonts w:ascii="Times New Roman" w:hAnsi="Times New Roman" w:cs="Times New Roman"/>
          <w:i/>
        </w:rPr>
        <w:t>Incunabola</w:t>
      </w:r>
      <w:r w:rsidRPr="00796A9D">
        <w:rPr>
          <w:rFonts w:ascii="Times New Roman" w:hAnsi="Times New Roman" w:cs="Times New Roman"/>
        </w:rPr>
        <w:t xml:space="preserve"> </w:t>
      </w:r>
      <w:r w:rsidRPr="00796A9D">
        <w:rPr>
          <w:rFonts w:ascii="Times New Roman" w:hAnsi="Times New Roman" w:cs="Times New Roman"/>
          <w:i/>
        </w:rPr>
        <w:t>Short Title Catalogue</w:t>
      </w:r>
      <w:r w:rsidRPr="00796A9D">
        <w:rPr>
          <w:rFonts w:ascii="Times New Roman" w:hAnsi="Times New Roman" w:cs="Times New Roman"/>
        </w:rPr>
        <w:t xml:space="preserve"> (d’ora in poi ISTC) e della banca dati </w:t>
      </w:r>
      <w:r w:rsidRPr="00796A9D">
        <w:rPr>
          <w:rFonts w:ascii="Times New Roman" w:hAnsi="Times New Roman" w:cs="Times New Roman"/>
          <w:i/>
        </w:rPr>
        <w:t>Renaissance Festival Book</w:t>
      </w:r>
      <w:r w:rsidRPr="00796A9D">
        <w:rPr>
          <w:rFonts w:ascii="Times New Roman" w:hAnsi="Times New Roman" w:cs="Times New Roman"/>
        </w:rPr>
        <w:t xml:space="preserve">, messa a disposizione dalla British Library di Londra, che ha reso accessibili online le digitalizzazioni dei libri antichi pubblicati per feste negli anni dal 1475 al 1700 posseduti dalla biblioteca. www.bl.uk/treasures/festivalbooks/expert.html, visitato il 06/04/2017.   </w:t>
      </w:r>
    </w:p>
  </w:footnote>
  <w:footnote w:id="345">
    <w:p w14:paraId="35AFFDFB"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lang w:val="en-US"/>
        </w:rPr>
        <w:t xml:space="preserve"> Cfr. </w:t>
      </w:r>
      <w:r w:rsidRPr="00796A9D">
        <w:rPr>
          <w:rFonts w:ascii="Times New Roman" w:hAnsi="Times New Roman" w:cs="Times New Roman"/>
          <w:smallCaps/>
          <w:sz w:val="20"/>
          <w:szCs w:val="20"/>
          <w:lang w:val="en-US"/>
        </w:rPr>
        <w:t>T. Brero</w:t>
      </w:r>
      <w:r w:rsidRPr="00796A9D">
        <w:rPr>
          <w:rFonts w:ascii="Times New Roman" w:hAnsi="Times New Roman" w:cs="Times New Roman"/>
          <w:sz w:val="20"/>
          <w:szCs w:val="20"/>
          <w:lang w:val="en-US"/>
        </w:rPr>
        <w:t xml:space="preserve">, </w:t>
      </w:r>
      <w:r w:rsidRPr="00796A9D">
        <w:rPr>
          <w:rFonts w:ascii="Times New Roman" w:hAnsi="Times New Roman" w:cs="Times New Roman"/>
          <w:i/>
          <w:sz w:val="20"/>
          <w:szCs w:val="20"/>
          <w:lang w:val="en-US"/>
        </w:rPr>
        <w:t xml:space="preserve">Rituels dynastiques et mises en scène du pouvoir. </w:t>
      </w:r>
      <w:r w:rsidRPr="00796A9D">
        <w:rPr>
          <w:rFonts w:ascii="Times New Roman" w:hAnsi="Times New Roman" w:cs="Times New Roman"/>
          <w:i/>
          <w:sz w:val="20"/>
          <w:szCs w:val="20"/>
        </w:rPr>
        <w:t>Le cérémonial princier à la cour de Savoie (1450-1550),</w:t>
      </w:r>
      <w:r w:rsidRPr="00796A9D">
        <w:rPr>
          <w:rFonts w:ascii="Times New Roman" w:hAnsi="Times New Roman" w:cs="Times New Roman"/>
          <w:sz w:val="20"/>
          <w:szCs w:val="20"/>
        </w:rPr>
        <w:t xml:space="preserve"> Firenze, SISMEL-Galluzzo, 2017, p. 104. </w:t>
      </w:r>
    </w:p>
  </w:footnote>
  <w:footnote w:id="346">
    <w:p w14:paraId="3BAF4D8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Non considero in questa sede l’abbondante produzione di orazioni tenute da letterati insigni nel corso degli sposalizi dei principi italiani del Rinascimento e successivamente pubblicate a stampa. Per il fiorire di questo genere retorico nel corso del Quattrocento italiano, su modelli e fonti classiche, e per un inventario orientativo delle stampe e dei manoscritti che ne hanno tramandato i testi si veda </w:t>
      </w:r>
      <w:r w:rsidRPr="00796A9D">
        <w:rPr>
          <w:rFonts w:ascii="Times New Roman" w:hAnsi="Times New Roman" w:cs="Times New Roman"/>
          <w:smallCaps/>
        </w:rPr>
        <w:t>A.F. d’Elia</w:t>
      </w:r>
      <w:r w:rsidRPr="00796A9D">
        <w:rPr>
          <w:rFonts w:ascii="Times New Roman" w:hAnsi="Times New Roman" w:cs="Times New Roman"/>
        </w:rPr>
        <w:t xml:space="preserve">, </w:t>
      </w:r>
      <w:r w:rsidRPr="00796A9D">
        <w:rPr>
          <w:rFonts w:ascii="Times New Roman" w:hAnsi="Times New Roman" w:cs="Times New Roman"/>
          <w:i/>
        </w:rPr>
        <w:t>The Renaissance of Marriage in Fifteenth-Century Italy</w:t>
      </w:r>
      <w:r w:rsidRPr="00796A9D">
        <w:rPr>
          <w:rFonts w:ascii="Times New Roman" w:hAnsi="Times New Roman" w:cs="Times New Roman"/>
        </w:rPr>
        <w:t xml:space="preserve">, Cambridge-London-Massachusetts, Harvard University Press, 2004. </w:t>
      </w:r>
    </w:p>
  </w:footnote>
  <w:footnote w:id="347">
    <w:p w14:paraId="4F3D97C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Quanto alla diffusione di una pubblicistica d’occasione nel secolo XVI, con propri canoni e tipologie editoriali, offre ottimi ragguagli </w:t>
      </w:r>
      <w:r w:rsidRPr="00796A9D">
        <w:rPr>
          <w:rFonts w:ascii="Times New Roman" w:hAnsi="Times New Roman" w:cs="Times New Roman"/>
          <w:smallCaps/>
        </w:rPr>
        <w:t>B. Mitchell</w:t>
      </w:r>
      <w:r w:rsidRPr="00796A9D">
        <w:rPr>
          <w:rFonts w:ascii="Times New Roman" w:hAnsi="Times New Roman" w:cs="Times New Roman"/>
        </w:rPr>
        <w:t xml:space="preserve">, </w:t>
      </w:r>
      <w:r w:rsidRPr="00796A9D">
        <w:rPr>
          <w:rFonts w:ascii="Times New Roman" w:hAnsi="Times New Roman" w:cs="Times New Roman"/>
          <w:i/>
        </w:rPr>
        <w:t>Italian Civic Pageantry in the High Renaissance. A Descriptive Bibliography of Triumphal Entries and Selected Other Festivals for State Occasions</w:t>
      </w:r>
      <w:r w:rsidRPr="00796A9D">
        <w:rPr>
          <w:rFonts w:ascii="Times New Roman" w:hAnsi="Times New Roman" w:cs="Times New Roman"/>
        </w:rPr>
        <w:t xml:space="preserve">, Firenze, Olschki, 1979, che inizia la sua inventariazione delle fonti a stampa sulle feste per gli ingressi trionfali del Rinascimento da quelle edite per le entrate di Carlo VIII durante la sua spedizione in Italia del 1494. Interessante anche la recente esposizione monografica dedicata alle pubblicazioni per occasioni dinastiche dei granduchi di Toscana: </w:t>
      </w:r>
      <w:r w:rsidRPr="00796A9D">
        <w:rPr>
          <w:rFonts w:ascii="Times New Roman" w:hAnsi="Times New Roman" w:cs="Times New Roman"/>
          <w:i/>
        </w:rPr>
        <w:t>Le Pompe dei Medici. Guerre, nozze, battesimi e funerali nella Toscana dei primi tre Granduchi (1550-1600)</w:t>
      </w:r>
      <w:r w:rsidRPr="00796A9D">
        <w:rPr>
          <w:rFonts w:ascii="Times New Roman" w:hAnsi="Times New Roman" w:cs="Times New Roman"/>
        </w:rPr>
        <w:t>, Catalogo della mostra (Firenze 5-12 maggio 2017), Torrita di Siena, Società Bibliografica Toscana, 2017.</w:t>
      </w:r>
    </w:p>
  </w:footnote>
  <w:footnote w:id="348">
    <w:p w14:paraId="08F53498"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smallCaps/>
        </w:rPr>
        <w:footnoteRef/>
      </w:r>
      <w:r w:rsidRPr="00796A9D">
        <w:rPr>
          <w:rFonts w:ascii="Times New Roman" w:hAnsi="Times New Roman" w:cs="Times New Roman"/>
          <w:smallCaps/>
          <w:lang w:val="en-US"/>
        </w:rPr>
        <w:t xml:space="preserve"> </w:t>
      </w:r>
      <w:r w:rsidRPr="00796A9D">
        <w:rPr>
          <w:rFonts w:ascii="Times New Roman" w:hAnsi="Times New Roman" w:cs="Times New Roman"/>
          <w:lang w:val="en-US"/>
        </w:rPr>
        <w:t>Cfr.</w:t>
      </w:r>
      <w:r w:rsidRPr="00796A9D">
        <w:rPr>
          <w:rFonts w:ascii="Times New Roman" w:hAnsi="Times New Roman" w:cs="Times New Roman"/>
          <w:smallCaps/>
          <w:lang w:val="en-US"/>
        </w:rPr>
        <w:t xml:space="preserve"> J. Green, F. McIntyre, P. Needham</w:t>
      </w:r>
      <w:r w:rsidRPr="00796A9D">
        <w:rPr>
          <w:rFonts w:ascii="Times New Roman" w:hAnsi="Times New Roman" w:cs="Times New Roman"/>
          <w:lang w:val="en-US"/>
        </w:rPr>
        <w:t xml:space="preserve">, </w:t>
      </w:r>
      <w:r w:rsidRPr="00796A9D">
        <w:rPr>
          <w:rFonts w:ascii="Times New Roman" w:hAnsi="Times New Roman" w:cs="Times New Roman"/>
          <w:i/>
          <w:lang w:val="en-US"/>
        </w:rPr>
        <w:t>The Shape of Incunable Survival and Statistical Estimation of Lost Editions</w:t>
      </w:r>
      <w:r w:rsidRPr="00796A9D">
        <w:rPr>
          <w:rFonts w:ascii="Times New Roman" w:hAnsi="Times New Roman" w:cs="Times New Roman"/>
          <w:lang w:val="en-US"/>
        </w:rPr>
        <w:t xml:space="preserve">, «Papers of the Bibliographical Society of America», CV, 2012, pp. 141-175. Un aggiornamento di questa ricerca con un’attenta disamina delle variabili da considerare nell’analisi delle statistiche inerenti la scomparsa degli incunaboli in </w:t>
      </w:r>
      <w:r w:rsidRPr="00796A9D">
        <w:rPr>
          <w:rFonts w:ascii="Times New Roman" w:hAnsi="Times New Roman" w:cs="Times New Roman"/>
          <w:smallCaps/>
          <w:lang w:val="en-US"/>
        </w:rPr>
        <w:t>Iidem</w:t>
      </w:r>
      <w:r w:rsidRPr="00796A9D">
        <w:rPr>
          <w:rFonts w:ascii="Times New Roman" w:hAnsi="Times New Roman" w:cs="Times New Roman"/>
          <w:lang w:val="en-US"/>
        </w:rPr>
        <w:t xml:space="preserve">, </w:t>
      </w:r>
      <w:r w:rsidRPr="00796A9D">
        <w:rPr>
          <w:rFonts w:ascii="Times New Roman" w:hAnsi="Times New Roman" w:cs="Times New Roman"/>
          <w:i/>
          <w:lang w:val="en-US"/>
        </w:rPr>
        <w:t>Lost Incunable Editions: Closing in on an Estimate</w:t>
      </w:r>
      <w:r w:rsidRPr="00796A9D">
        <w:rPr>
          <w:rFonts w:ascii="Times New Roman" w:hAnsi="Times New Roman" w:cs="Times New Roman"/>
          <w:lang w:val="en-US"/>
        </w:rPr>
        <w:t xml:space="preserve">, in </w:t>
      </w:r>
      <w:r w:rsidRPr="00796A9D">
        <w:rPr>
          <w:rFonts w:ascii="Times New Roman" w:hAnsi="Times New Roman" w:cs="Times New Roman"/>
          <w:i/>
          <w:lang w:val="en-US"/>
        </w:rPr>
        <w:t>Lost Books: Reconstructing the Print World of Pre-Industrial Europe</w:t>
      </w:r>
      <w:r w:rsidRPr="00796A9D">
        <w:rPr>
          <w:rFonts w:ascii="Times New Roman" w:hAnsi="Times New Roman" w:cs="Times New Roman"/>
          <w:lang w:val="en-US"/>
        </w:rPr>
        <w:t xml:space="preserve">, edited by </w:t>
      </w:r>
      <w:r w:rsidRPr="00796A9D">
        <w:rPr>
          <w:rFonts w:ascii="Times New Roman" w:hAnsi="Times New Roman" w:cs="Times New Roman"/>
          <w:smallCaps/>
          <w:lang w:val="en-US"/>
        </w:rPr>
        <w:t>F. Bruni, ‎A. Pettegree</w:t>
      </w:r>
      <w:r w:rsidRPr="00796A9D">
        <w:rPr>
          <w:rFonts w:ascii="Times New Roman" w:hAnsi="Times New Roman" w:cs="Times New Roman"/>
          <w:lang w:val="en-US"/>
        </w:rPr>
        <w:t xml:space="preserve">, London, Brill, 2016, pp. 55-72. </w:t>
      </w:r>
    </w:p>
  </w:footnote>
  <w:footnote w:id="349">
    <w:p w14:paraId="41EF69A2" w14:textId="77777777" w:rsidR="00CF5CFB" w:rsidRPr="00796A9D" w:rsidRDefault="00CF5CFB" w:rsidP="00796A9D">
      <w:pPr>
        <w:spacing w:after="0"/>
        <w:jc w:val="both"/>
        <w:rPr>
          <w:rFonts w:ascii="Times New Roman" w:hAnsi="Times New Roman" w:cs="Times New Roman"/>
          <w:sz w:val="20"/>
          <w:szCs w:val="20"/>
          <w:lang w:val="en-US"/>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Il passaggio dal torchio fisso a un solo colpo a quello con carro mobile a doppio colpo, introdotto a Roma </w:t>
      </w:r>
      <w:r>
        <w:rPr>
          <w:rFonts w:ascii="Times New Roman" w:hAnsi="Times New Roman" w:cs="Times New Roman"/>
          <w:sz w:val="20"/>
          <w:szCs w:val="20"/>
        </w:rPr>
        <w:t>intorno a</w:t>
      </w:r>
      <w:r w:rsidRPr="00796A9D">
        <w:rPr>
          <w:rFonts w:ascii="Times New Roman" w:hAnsi="Times New Roman" w:cs="Times New Roman"/>
          <w:sz w:val="20"/>
          <w:szCs w:val="20"/>
        </w:rPr>
        <w:t>l 1472, rese il processo d’impressione più rapido e aumentò il quantitativo di copie prodotte per ogni edizione. Cfr. B</w:t>
      </w:r>
      <w:r w:rsidRPr="00796A9D">
        <w:rPr>
          <w:rFonts w:ascii="Times New Roman" w:hAnsi="Times New Roman" w:cs="Times New Roman"/>
          <w:color w:val="222222"/>
          <w:sz w:val="20"/>
          <w:szCs w:val="20"/>
          <w:shd w:val="clear" w:color="auto" w:fill="FFFFFF"/>
        </w:rPr>
        <w:t xml:space="preserve">. </w:t>
      </w:r>
      <w:r w:rsidRPr="00796A9D">
        <w:rPr>
          <w:rFonts w:ascii="Times New Roman" w:hAnsi="Times New Roman" w:cs="Times New Roman"/>
          <w:smallCaps/>
          <w:color w:val="222222"/>
          <w:sz w:val="20"/>
          <w:szCs w:val="20"/>
          <w:shd w:val="clear" w:color="auto" w:fill="FFFFFF"/>
        </w:rPr>
        <w:t>Richardson</w:t>
      </w:r>
      <w:r w:rsidRPr="00796A9D">
        <w:rPr>
          <w:rFonts w:ascii="Times New Roman" w:hAnsi="Times New Roman" w:cs="Times New Roman"/>
          <w:b/>
          <w:color w:val="222222"/>
          <w:sz w:val="20"/>
          <w:szCs w:val="20"/>
          <w:shd w:val="clear" w:color="auto" w:fill="FFFFFF"/>
        </w:rPr>
        <w:t xml:space="preserve">, </w:t>
      </w:r>
      <w:r w:rsidRPr="00796A9D">
        <w:rPr>
          <w:rStyle w:val="Enfasigrassetto"/>
          <w:rFonts w:ascii="Times New Roman" w:hAnsi="Times New Roman" w:cs="Times New Roman"/>
          <w:b w:val="0"/>
          <w:i/>
          <w:color w:val="000000"/>
          <w:sz w:val="20"/>
          <w:szCs w:val="20"/>
          <w:shd w:val="clear" w:color="auto" w:fill="FFFFFF"/>
        </w:rPr>
        <w:t>Stampatori, autori e lettori nell'Italia del Rinascimento</w:t>
      </w:r>
      <w:r w:rsidRPr="00796A9D">
        <w:rPr>
          <w:rFonts w:ascii="Times New Roman" w:hAnsi="Times New Roman" w:cs="Times New Roman"/>
          <w:sz w:val="20"/>
          <w:szCs w:val="20"/>
        </w:rPr>
        <w:t xml:space="preserve">, cit., pp. 41-43. È opinione condivisa che negli anni Settanta del Quattrocento il numero di copie stampate si aggirasse intorno ai 400-500 esemplari, per poi giungere a mille nei due decenni successivi. Eccezioni si ebbero presto, specie a Venezia: nel 1471 Vindelino da Spira stampò 1025 esemplari delle </w:t>
      </w:r>
      <w:r w:rsidRPr="00796A9D">
        <w:rPr>
          <w:rFonts w:ascii="Times New Roman" w:hAnsi="Times New Roman" w:cs="Times New Roman"/>
          <w:i/>
          <w:sz w:val="20"/>
          <w:szCs w:val="20"/>
        </w:rPr>
        <w:t>Naturalis Historiae</w:t>
      </w:r>
      <w:r w:rsidRPr="00796A9D">
        <w:rPr>
          <w:rFonts w:ascii="Times New Roman" w:hAnsi="Times New Roman" w:cs="Times New Roman"/>
          <w:sz w:val="20"/>
          <w:szCs w:val="20"/>
        </w:rPr>
        <w:t xml:space="preserve"> di Plinio per il banchiere fiorentino Girolamo Strozzi. Nel biennio 1490-1491, la società Codecà-Benali produsse, sempre a Venezia, edizioni oscillanti tra le 500 e le 1500 copie. Martin Lowry, analizzando il </w:t>
      </w:r>
      <w:r w:rsidRPr="00796A9D">
        <w:rPr>
          <w:rFonts w:ascii="Times New Roman" w:hAnsi="Times New Roman" w:cs="Times New Roman"/>
          <w:i/>
          <w:sz w:val="20"/>
          <w:szCs w:val="20"/>
        </w:rPr>
        <w:t>Zornale</w:t>
      </w:r>
      <w:r w:rsidRPr="00796A9D">
        <w:rPr>
          <w:rFonts w:ascii="Times New Roman" w:hAnsi="Times New Roman" w:cs="Times New Roman"/>
          <w:sz w:val="20"/>
          <w:szCs w:val="20"/>
        </w:rPr>
        <w:t xml:space="preserve"> del libraio veneziano Francesco de’ Madi, ha supposto che dagli anni Ottanta del Quattrocento la media delle tirature raggiungesse le 2000 copie; ma le eccellenti relazioni commerciali intessute dallo stampatore fecero di lui un caso eccezionale nella storia della stampa incunabola. A Milano, ad esempio, Zarotto impresse 1000 volumi per edizione, e poco dopo, Niccolò da Gorgonzola, avveduto editore di titoli di sicuro smercio, non incrementò le tirature. In presenza di un finanziatore interessato ad avere un maggior numero di libri a disposizione l’ampiezza della tiratura poteva variare. È il caso dell’</w:t>
      </w:r>
      <w:r w:rsidRPr="00796A9D">
        <w:rPr>
          <w:rFonts w:ascii="Times New Roman" w:hAnsi="Times New Roman" w:cs="Times New Roman"/>
          <w:i/>
          <w:sz w:val="20"/>
          <w:szCs w:val="20"/>
        </w:rPr>
        <w:t>editio</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princeps</w:t>
      </w:r>
      <w:r w:rsidRPr="00796A9D">
        <w:rPr>
          <w:rFonts w:ascii="Times New Roman" w:hAnsi="Times New Roman" w:cs="Times New Roman"/>
          <w:sz w:val="20"/>
          <w:szCs w:val="20"/>
        </w:rPr>
        <w:t xml:space="preserve"> dell’</w:t>
      </w:r>
      <w:r w:rsidRPr="00796A9D">
        <w:rPr>
          <w:rFonts w:ascii="Times New Roman" w:hAnsi="Times New Roman" w:cs="Times New Roman"/>
          <w:i/>
          <w:sz w:val="20"/>
          <w:szCs w:val="20"/>
        </w:rPr>
        <w:t>Orlando innamorato</w:t>
      </w:r>
      <w:r w:rsidRPr="00796A9D">
        <w:rPr>
          <w:rFonts w:ascii="Times New Roman" w:hAnsi="Times New Roman" w:cs="Times New Roman"/>
          <w:sz w:val="20"/>
          <w:szCs w:val="20"/>
        </w:rPr>
        <w:t xml:space="preserve">, in 1250 copie, sostenuta economicamente dalla vedova del Boiardo. </w:t>
      </w:r>
      <w:r w:rsidRPr="00796A9D">
        <w:rPr>
          <w:rFonts w:ascii="Times New Roman" w:hAnsi="Times New Roman" w:cs="Times New Roman"/>
          <w:sz w:val="20"/>
          <w:szCs w:val="20"/>
          <w:lang w:val="en-US"/>
        </w:rPr>
        <w:t xml:space="preserve">Cfr. </w:t>
      </w:r>
      <w:r w:rsidRPr="00796A9D">
        <w:rPr>
          <w:rFonts w:ascii="Times New Roman" w:hAnsi="Times New Roman" w:cs="Times New Roman"/>
          <w:smallCaps/>
          <w:sz w:val="20"/>
          <w:szCs w:val="20"/>
          <w:lang w:val="en-US"/>
        </w:rPr>
        <w:t>J.L. Flood</w:t>
      </w:r>
      <w:r w:rsidRPr="00796A9D">
        <w:rPr>
          <w:rFonts w:ascii="Times New Roman" w:hAnsi="Times New Roman" w:cs="Times New Roman"/>
          <w:sz w:val="20"/>
          <w:szCs w:val="20"/>
          <w:lang w:val="en-US"/>
        </w:rPr>
        <w:t xml:space="preserve">, </w:t>
      </w:r>
      <w:r w:rsidRPr="00796A9D">
        <w:rPr>
          <w:rFonts w:ascii="Times New Roman" w:hAnsi="Times New Roman" w:cs="Times New Roman"/>
          <w:i/>
          <w:sz w:val="20"/>
          <w:szCs w:val="20"/>
          <w:lang w:val="en-US"/>
        </w:rPr>
        <w:t>“Volentes sibi comparare infrascriptos libros impressos…”. Printed Books as a Commercial Commodity in the Fifteenth Century</w:t>
      </w:r>
      <w:r w:rsidRPr="00796A9D">
        <w:rPr>
          <w:rFonts w:ascii="Times New Roman" w:hAnsi="Times New Roman" w:cs="Times New Roman"/>
          <w:sz w:val="20"/>
          <w:szCs w:val="20"/>
          <w:lang w:val="en-US"/>
        </w:rPr>
        <w:t xml:space="preserve">, in </w:t>
      </w:r>
      <w:r w:rsidRPr="00796A9D">
        <w:rPr>
          <w:rFonts w:ascii="Times New Roman" w:hAnsi="Times New Roman" w:cs="Times New Roman"/>
          <w:smallCaps/>
          <w:sz w:val="20"/>
          <w:szCs w:val="20"/>
          <w:lang w:val="en-US"/>
        </w:rPr>
        <w:t>K. Jensen</w:t>
      </w:r>
      <w:r w:rsidRPr="00796A9D">
        <w:rPr>
          <w:rFonts w:ascii="Times New Roman" w:hAnsi="Times New Roman" w:cs="Times New Roman"/>
          <w:sz w:val="20"/>
          <w:szCs w:val="20"/>
          <w:lang w:val="en-US"/>
        </w:rPr>
        <w:t xml:space="preserve">, </w:t>
      </w:r>
      <w:r w:rsidRPr="00796A9D">
        <w:rPr>
          <w:rFonts w:ascii="Times New Roman" w:hAnsi="Times New Roman" w:cs="Times New Roman"/>
          <w:i/>
          <w:sz w:val="20"/>
          <w:szCs w:val="20"/>
          <w:lang w:val="en-US"/>
        </w:rPr>
        <w:t>Incunabula and their readers. Printing, Selling and Using Books in the Fifteenth Century</w:t>
      </w:r>
      <w:r w:rsidRPr="00796A9D">
        <w:rPr>
          <w:rFonts w:ascii="Times New Roman" w:hAnsi="Times New Roman" w:cs="Times New Roman"/>
          <w:sz w:val="20"/>
          <w:szCs w:val="20"/>
          <w:lang w:val="en-US"/>
        </w:rPr>
        <w:t>, London, The British Library, 2003, pp. 139-152.</w:t>
      </w:r>
    </w:p>
  </w:footnote>
  <w:footnote w:id="350">
    <w:p w14:paraId="18B4517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smallCaps/>
        </w:rPr>
        <w:t xml:space="preserve"> N. Harris</w:t>
      </w:r>
      <w:r w:rsidRPr="00796A9D">
        <w:rPr>
          <w:rFonts w:ascii="Times New Roman" w:hAnsi="Times New Roman" w:cs="Times New Roman"/>
          <w:i/>
        </w:rPr>
        <w:t>, La sopravvivenza del libro ossia appunti per una lista della lavandaia</w:t>
      </w:r>
      <w:r w:rsidRPr="00796A9D">
        <w:rPr>
          <w:rFonts w:ascii="Times New Roman" w:hAnsi="Times New Roman" w:cs="Times New Roman"/>
        </w:rPr>
        <w:t xml:space="preserve">, «Ecdotica», IV, 2007, pp. 24-65. </w:t>
      </w:r>
    </w:p>
  </w:footnote>
  <w:footnote w:id="351">
    <w:p w14:paraId="58A5B4A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L’osservazione è chiaramente espressa da </w:t>
      </w:r>
      <w:bookmarkStart w:id="277" w:name="_Hlk525476180"/>
      <w:r w:rsidRPr="00796A9D">
        <w:rPr>
          <w:rFonts w:ascii="Times New Roman" w:hAnsi="Times New Roman" w:cs="Times New Roman"/>
          <w:smallCaps/>
        </w:rPr>
        <w:t>P. Needham</w:t>
      </w:r>
      <w:r w:rsidRPr="00796A9D">
        <w:rPr>
          <w:rFonts w:ascii="Times New Roman" w:hAnsi="Times New Roman" w:cs="Times New Roman"/>
        </w:rPr>
        <w:t xml:space="preserve">, </w:t>
      </w:r>
      <w:r w:rsidRPr="00796A9D">
        <w:rPr>
          <w:rFonts w:ascii="Times New Roman" w:hAnsi="Times New Roman" w:cs="Times New Roman"/>
          <w:i/>
        </w:rPr>
        <w:t>The late use of incunables and the paths of book survival</w:t>
      </w:r>
      <w:r w:rsidRPr="00796A9D">
        <w:rPr>
          <w:rFonts w:ascii="Times New Roman" w:hAnsi="Times New Roman" w:cs="Times New Roman"/>
        </w:rPr>
        <w:t>, «Wolfenbütteler Notizen zur Buchgeschichte», 29, 2004, p. 36</w:t>
      </w:r>
      <w:bookmarkEnd w:id="277"/>
      <w:r w:rsidRPr="00796A9D">
        <w:rPr>
          <w:rFonts w:ascii="Times New Roman" w:hAnsi="Times New Roman" w:cs="Times New Roman"/>
        </w:rPr>
        <w:t xml:space="preserve">, che fu tra i primi a proporre un’analisi dei fattori che incisero sulla conservazione degli stampati del secolo XV.  </w:t>
      </w:r>
    </w:p>
  </w:footnote>
  <w:footnote w:id="352">
    <w:p w14:paraId="6810E2A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Faccio riferimento per questi quantitativi agli esemplari segnalati in ISTC. Non si esclude che altre copie degli incunaboli di cui trattiamo possano trovarsi in collezioni private. Il sito, sebbene in costante aggiornamento, pubblica schede bibliografiche redatte principalmente entro il marzo 2014, condizione che invita ad una ulteriore cautela nell’elaborare i dati.      </w:t>
      </w:r>
    </w:p>
  </w:footnote>
  <w:footnote w:id="353">
    <w:p w14:paraId="6AD50FE4" w14:textId="76DA08E0"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N. Harris</w:t>
      </w:r>
      <w:r w:rsidRPr="00796A9D">
        <w:rPr>
          <w:rFonts w:ascii="Times New Roman" w:hAnsi="Times New Roman" w:cs="Times New Roman"/>
          <w:i/>
        </w:rPr>
        <w:t>, La sopravvivenza del libro ossia appunti per una lista della lavandaia</w:t>
      </w:r>
      <w:r w:rsidRPr="00796A9D">
        <w:rPr>
          <w:rFonts w:ascii="Times New Roman" w:hAnsi="Times New Roman" w:cs="Times New Roman"/>
        </w:rPr>
        <w:t xml:space="preserve">, cit., pp. 44-65. L’autore classifica a loro volta i fattori interni alle singole pubblicazioni che ne determinarono la conservazione in: </w:t>
      </w:r>
      <w:r w:rsidRPr="00796A9D">
        <w:rPr>
          <w:rFonts w:ascii="Times New Roman" w:hAnsi="Times New Roman" w:cs="Times New Roman"/>
          <w:i/>
        </w:rPr>
        <w:t>generali</w:t>
      </w:r>
      <w:r w:rsidRPr="00796A9D">
        <w:rPr>
          <w:rFonts w:ascii="Times New Roman" w:hAnsi="Times New Roman" w:cs="Times New Roman"/>
        </w:rPr>
        <w:t xml:space="preserve"> (lingua, dimensioni, tempo) e </w:t>
      </w:r>
      <w:r w:rsidRPr="00796A9D">
        <w:rPr>
          <w:rFonts w:ascii="Times New Roman" w:hAnsi="Times New Roman" w:cs="Times New Roman"/>
          <w:i/>
        </w:rPr>
        <w:t>specifici</w:t>
      </w:r>
      <w:r w:rsidRPr="00796A9D">
        <w:rPr>
          <w:rFonts w:ascii="Times New Roman" w:hAnsi="Times New Roman" w:cs="Times New Roman"/>
        </w:rPr>
        <w:t xml:space="preserve"> (materia e destino di biblioteca, censura e soppressione, </w:t>
      </w:r>
      <w:r w:rsidRPr="00796A9D">
        <w:rPr>
          <w:rFonts w:ascii="Times New Roman" w:hAnsi="Times New Roman" w:cs="Times New Roman"/>
          <w:i/>
        </w:rPr>
        <w:t>ephemera</w:t>
      </w:r>
      <w:r w:rsidRPr="00796A9D">
        <w:rPr>
          <w:rFonts w:ascii="Times New Roman" w:hAnsi="Times New Roman" w:cs="Times New Roman"/>
        </w:rPr>
        <w:t>, obsolescenza e rinnovo, importanza e prestigio dell’editore, natura dell’edizione, supporto, tiratura, prezzo, diffusione all’epoca</w:t>
      </w:r>
      <w:r w:rsidR="007E46BA">
        <w:rPr>
          <w:rFonts w:ascii="Times New Roman" w:hAnsi="Times New Roman" w:cs="Times New Roman"/>
        </w:rPr>
        <w:t>,</w:t>
      </w:r>
      <w:r w:rsidRPr="00796A9D">
        <w:rPr>
          <w:rFonts w:ascii="Times New Roman" w:hAnsi="Times New Roman" w:cs="Times New Roman"/>
        </w:rPr>
        <w:t xml:space="preserve"> luogo di conservazione).</w:t>
      </w:r>
    </w:p>
  </w:footnote>
  <w:footnote w:id="354">
    <w:p w14:paraId="0ACF802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smallCaps/>
        </w:rPr>
        <w:footnoteRef/>
      </w:r>
      <w:r w:rsidRPr="00796A9D">
        <w:rPr>
          <w:rFonts w:ascii="Times New Roman" w:hAnsi="Times New Roman" w:cs="Times New Roman"/>
          <w:smallCaps/>
        </w:rPr>
        <w:t xml:space="preserve"> </w:t>
      </w:r>
      <w:bookmarkStart w:id="278" w:name="_Hlk525476329"/>
      <w:r w:rsidRPr="00796A9D">
        <w:rPr>
          <w:rFonts w:ascii="Times New Roman" w:hAnsi="Times New Roman" w:cs="Times New Roman"/>
          <w:smallCaps/>
        </w:rPr>
        <w:t>U. Rozzo</w:t>
      </w:r>
      <w:r w:rsidRPr="00796A9D">
        <w:rPr>
          <w:rFonts w:ascii="Times New Roman" w:hAnsi="Times New Roman" w:cs="Times New Roman"/>
        </w:rPr>
        <w:t xml:space="preserve">, </w:t>
      </w:r>
      <w:r w:rsidRPr="00796A9D">
        <w:rPr>
          <w:rFonts w:ascii="Times New Roman" w:hAnsi="Times New Roman" w:cs="Times New Roman"/>
          <w:i/>
        </w:rPr>
        <w:t>La strage ignorata: i fogli volanti a stampa nell'Italia dei secoli XV e XVI</w:t>
      </w:r>
      <w:r w:rsidRPr="00796A9D">
        <w:rPr>
          <w:rFonts w:ascii="Times New Roman" w:hAnsi="Times New Roman" w:cs="Times New Roman"/>
        </w:rPr>
        <w:t>, Udine, Forum, 2008</w:t>
      </w:r>
      <w:bookmarkEnd w:id="278"/>
      <w:r w:rsidRPr="00796A9D">
        <w:rPr>
          <w:rFonts w:ascii="Times New Roman" w:hAnsi="Times New Roman" w:cs="Times New Roman"/>
        </w:rPr>
        <w:t>, p. 89. Secondo le stime dell’autore sarebbero 98 i fogli volanti edi</w:t>
      </w:r>
      <w:r>
        <w:rPr>
          <w:rFonts w:ascii="Times New Roman" w:hAnsi="Times New Roman" w:cs="Times New Roman"/>
        </w:rPr>
        <w:t>ti</w:t>
      </w:r>
      <w:r w:rsidRPr="00796A9D">
        <w:rPr>
          <w:rFonts w:ascii="Times New Roman" w:hAnsi="Times New Roman" w:cs="Times New Roman"/>
        </w:rPr>
        <w:t xml:space="preserve"> nel nostro paese nel corso del Quattrocento. I primi due apparvero</w:t>
      </w:r>
      <w:r>
        <w:rPr>
          <w:rFonts w:ascii="Times New Roman" w:hAnsi="Times New Roman" w:cs="Times New Roman"/>
        </w:rPr>
        <w:t xml:space="preserve"> rispettivamente</w:t>
      </w:r>
      <w:r w:rsidRPr="00796A9D">
        <w:rPr>
          <w:rFonts w:ascii="Times New Roman" w:hAnsi="Times New Roman" w:cs="Times New Roman"/>
        </w:rPr>
        <w:t xml:space="preserve"> nel 1473 per i tipi di </w:t>
      </w:r>
      <w:bookmarkStart w:id="279" w:name="_Hlk535915685"/>
      <w:r w:rsidRPr="00796A9D">
        <w:rPr>
          <w:rFonts w:ascii="Times New Roman" w:hAnsi="Times New Roman" w:cs="Times New Roman"/>
        </w:rPr>
        <w:t xml:space="preserve">Filippo Lavagna </w:t>
      </w:r>
      <w:bookmarkEnd w:id="279"/>
      <w:r w:rsidRPr="00796A9D">
        <w:rPr>
          <w:rFonts w:ascii="Times New Roman" w:hAnsi="Times New Roman" w:cs="Times New Roman"/>
        </w:rPr>
        <w:t xml:space="preserve">e Ulrich Han, ed entro il 1475, anno della stampa della prima cronaca nuziale, se ne conterebbero solo altri tre o quattro. La natura di queste fragilissime edizioni – impresse su una sola facciata di un singolo foglio non piegato, oppure su entrambe le facciate poi piegate così da ottenere un in folio – è molto varia. Essa comprende, per l’ambito sacro: lettere di indulgenza, documenti ecclesiastici, preghiere e fogli illustrati popolari, testi profetici e apocalittici; per l’ambito profano: cataloghi e avvisi editoriali, prove tipografiche, documenti medici, rilevazioni astrologiche e astronomiche, brevi testi letterari, documenti politico-amministrativi, documenti economici, testi cronistici, testi didattici. Cfr. </w:t>
      </w:r>
      <w:r w:rsidRPr="00796A9D">
        <w:rPr>
          <w:rFonts w:ascii="Times New Roman" w:hAnsi="Times New Roman" w:cs="Times New Roman"/>
          <w:i/>
        </w:rPr>
        <w:t>Ivi</w:t>
      </w:r>
      <w:r w:rsidRPr="00796A9D">
        <w:rPr>
          <w:rFonts w:ascii="Times New Roman" w:hAnsi="Times New Roman" w:cs="Times New Roman"/>
        </w:rPr>
        <w:t>, pp. 44-94.</w:t>
      </w:r>
    </w:p>
  </w:footnote>
  <w:footnote w:id="355">
    <w:p w14:paraId="55737E2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un efficace inquadramento del fenomeno delle stampe popolari in Italia e per una selezione di esempi esplicativa del carattere di queste pubblicazioni, che presto accolsero anche xilografie molto semplici per illustrare i loro testi, si rinvia a </w:t>
      </w:r>
      <w:bookmarkStart w:id="280" w:name="_Hlk525476463"/>
      <w:r w:rsidRPr="00796A9D">
        <w:rPr>
          <w:rFonts w:ascii="Times New Roman" w:hAnsi="Times New Roman" w:cs="Times New Roman"/>
          <w:smallCaps/>
        </w:rPr>
        <w:t>G. Petrella</w:t>
      </w:r>
      <w:r w:rsidRPr="00796A9D">
        <w:rPr>
          <w:rFonts w:ascii="Times New Roman" w:hAnsi="Times New Roman" w:cs="Times New Roman"/>
        </w:rPr>
        <w:t xml:space="preserve">, </w:t>
      </w:r>
      <w:r w:rsidRPr="00796A9D">
        <w:rPr>
          <w:rFonts w:ascii="Times New Roman" w:hAnsi="Times New Roman" w:cs="Times New Roman"/>
          <w:i/>
        </w:rPr>
        <w:t>Fra testo e immagine: edizioni popolari del Rinascimento in una miscellanea ottocentesca</w:t>
      </w:r>
      <w:r w:rsidRPr="00796A9D">
        <w:rPr>
          <w:rFonts w:ascii="Times New Roman" w:hAnsi="Times New Roman" w:cs="Times New Roman"/>
        </w:rPr>
        <w:t xml:space="preserve">, Udine, Forum, 2009. </w:t>
      </w:r>
      <w:bookmarkEnd w:id="280"/>
      <w:r w:rsidRPr="00796A9D">
        <w:rPr>
          <w:rFonts w:ascii="Times New Roman" w:hAnsi="Times New Roman" w:cs="Times New Roman"/>
        </w:rPr>
        <w:t xml:space="preserve">Ancora di grande utilità le considerazioni sull’argomento espresse da Francesco Novati a partire dal 1907 e raccolte in </w:t>
      </w:r>
      <w:bookmarkStart w:id="281" w:name="_Hlk525476521"/>
      <w:r w:rsidRPr="00796A9D">
        <w:rPr>
          <w:rFonts w:ascii="Times New Roman" w:hAnsi="Times New Roman" w:cs="Times New Roman"/>
          <w:smallCaps/>
        </w:rPr>
        <w:t>F. Novati</w:t>
      </w:r>
      <w:r w:rsidRPr="00796A9D">
        <w:rPr>
          <w:rFonts w:ascii="Times New Roman" w:hAnsi="Times New Roman" w:cs="Times New Roman"/>
        </w:rPr>
        <w:t xml:space="preserve">, </w:t>
      </w:r>
      <w:r w:rsidRPr="00796A9D">
        <w:rPr>
          <w:rFonts w:ascii="Times New Roman" w:hAnsi="Times New Roman" w:cs="Times New Roman"/>
          <w:i/>
        </w:rPr>
        <w:t>Scritti sull’editoria popolare nell’Italia di Antico Regime</w:t>
      </w:r>
      <w:r w:rsidRPr="00796A9D">
        <w:rPr>
          <w:rFonts w:ascii="Times New Roman" w:hAnsi="Times New Roman" w:cs="Times New Roman"/>
        </w:rPr>
        <w:t xml:space="preserve">, a cura di </w:t>
      </w:r>
      <w:r w:rsidRPr="00796A9D">
        <w:rPr>
          <w:rFonts w:ascii="Times New Roman" w:hAnsi="Times New Roman" w:cs="Times New Roman"/>
          <w:smallCaps/>
        </w:rPr>
        <w:t>E. Barbieri, A. Brambilla</w:t>
      </w:r>
      <w:r w:rsidRPr="00796A9D">
        <w:rPr>
          <w:rFonts w:ascii="Times New Roman" w:hAnsi="Times New Roman" w:cs="Times New Roman"/>
        </w:rPr>
        <w:t xml:space="preserve">, Roma, Archivio Guido Izzi, 2004. </w:t>
      </w:r>
      <w:bookmarkEnd w:id="281"/>
    </w:p>
  </w:footnote>
  <w:footnote w:id="356">
    <w:p w14:paraId="4ABC7EC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283" w:name="_Hlk525476588"/>
      <w:r w:rsidRPr="00796A9D">
        <w:rPr>
          <w:rFonts w:ascii="Times New Roman" w:hAnsi="Times New Roman" w:cs="Times New Roman"/>
          <w:smallCaps/>
        </w:rPr>
        <w:t>L. Alberti</w:t>
      </w:r>
      <w:r w:rsidRPr="00796A9D">
        <w:rPr>
          <w:rFonts w:ascii="Times New Roman" w:hAnsi="Times New Roman" w:cs="Times New Roman"/>
        </w:rPr>
        <w:t xml:space="preserve">, </w:t>
      </w:r>
      <w:r w:rsidRPr="00796A9D">
        <w:rPr>
          <w:rFonts w:ascii="Times New Roman" w:hAnsi="Times New Roman" w:cs="Times New Roman"/>
          <w:i/>
        </w:rPr>
        <w:t>Descrittione di tutta Italia, nella quale si contiene il sito di essa, l'origine, et le Signorie delle Città et delle Castella</w:t>
      </w:r>
      <w:r w:rsidRPr="00796A9D">
        <w:rPr>
          <w:rFonts w:ascii="Times New Roman" w:hAnsi="Times New Roman" w:cs="Times New Roman"/>
        </w:rPr>
        <w:t>, Bologna, Anselmo Giaccarelli, 1550</w:t>
      </w:r>
      <w:bookmarkEnd w:id="283"/>
      <w:r w:rsidRPr="00796A9D">
        <w:rPr>
          <w:rFonts w:ascii="Times New Roman" w:hAnsi="Times New Roman" w:cs="Times New Roman"/>
        </w:rPr>
        <w:t xml:space="preserve">, cc. 260v-261r. Alberti (1479-1552) intraprese la composizione della </w:t>
      </w:r>
      <w:r w:rsidRPr="00796A9D">
        <w:rPr>
          <w:rFonts w:ascii="Times New Roman" w:hAnsi="Times New Roman" w:cs="Times New Roman"/>
          <w:i/>
        </w:rPr>
        <w:t>Descrittione</w:t>
      </w:r>
      <w:r w:rsidRPr="00796A9D">
        <w:rPr>
          <w:rFonts w:ascii="Times New Roman" w:hAnsi="Times New Roman" w:cs="Times New Roman"/>
        </w:rPr>
        <w:t xml:space="preserve"> dopo aver compiuto un viaggio attraverso le regioni italiane in compagnia del generale dell’Ordine dei Predicatori </w:t>
      </w:r>
      <w:bookmarkStart w:id="284" w:name="_Hlk535915741"/>
      <w:r w:rsidRPr="00796A9D">
        <w:rPr>
          <w:rFonts w:ascii="Times New Roman" w:hAnsi="Times New Roman" w:cs="Times New Roman"/>
        </w:rPr>
        <w:t xml:space="preserve">Francesco Silvestri </w:t>
      </w:r>
      <w:bookmarkEnd w:id="284"/>
      <w:r w:rsidRPr="00796A9D">
        <w:rPr>
          <w:rFonts w:ascii="Times New Roman" w:hAnsi="Times New Roman" w:cs="Times New Roman"/>
        </w:rPr>
        <w:t>da Ferrara, il quale nel 1525 aveva deciso di fare visita a tutti i conventi domenicani sparsi per la Penisola. Il trattato, che godette di dieci edizioni tra il 1550 e il 1596, unisce testimonianze dirette a notizie reperite dall’autore nelle opere geografiche ed erudite composte nel corso del Quattrocento, come l’</w:t>
      </w:r>
      <w:r w:rsidRPr="00796A9D">
        <w:rPr>
          <w:rFonts w:ascii="Times New Roman" w:hAnsi="Times New Roman" w:cs="Times New Roman"/>
          <w:i/>
        </w:rPr>
        <w:t>Italia illustrata</w:t>
      </w:r>
      <w:r w:rsidRPr="00796A9D">
        <w:rPr>
          <w:rFonts w:ascii="Times New Roman" w:hAnsi="Times New Roman" w:cs="Times New Roman"/>
        </w:rPr>
        <w:t xml:space="preserve"> di Biondo e i </w:t>
      </w:r>
      <w:r w:rsidRPr="00796A9D">
        <w:rPr>
          <w:rFonts w:ascii="Times New Roman" w:hAnsi="Times New Roman" w:cs="Times New Roman"/>
          <w:i/>
        </w:rPr>
        <w:t>Commentaria urbana</w:t>
      </w:r>
      <w:r w:rsidRPr="00796A9D">
        <w:rPr>
          <w:rFonts w:ascii="Times New Roman" w:hAnsi="Times New Roman" w:cs="Times New Roman"/>
        </w:rPr>
        <w:t xml:space="preserve"> di </w:t>
      </w:r>
      <w:bookmarkStart w:id="285" w:name="_Hlk535915974"/>
      <w:r w:rsidRPr="00796A9D">
        <w:rPr>
          <w:rFonts w:ascii="Times New Roman" w:hAnsi="Times New Roman" w:cs="Times New Roman"/>
        </w:rPr>
        <w:t xml:space="preserve">Raffaele Maffei </w:t>
      </w:r>
      <w:bookmarkEnd w:id="285"/>
      <w:r w:rsidRPr="00796A9D">
        <w:rPr>
          <w:rFonts w:ascii="Times New Roman" w:hAnsi="Times New Roman" w:cs="Times New Roman"/>
        </w:rPr>
        <w:t xml:space="preserve">da Volterra. Si veda in merito </w:t>
      </w:r>
      <w:bookmarkStart w:id="286" w:name="_Hlk525476762"/>
      <w:r w:rsidRPr="00796A9D">
        <w:rPr>
          <w:rFonts w:ascii="Times New Roman" w:hAnsi="Times New Roman" w:cs="Times New Roman"/>
          <w:smallCaps/>
        </w:rPr>
        <w:t>G. Petrella</w:t>
      </w:r>
      <w:r w:rsidRPr="00796A9D">
        <w:rPr>
          <w:rFonts w:ascii="Times New Roman" w:hAnsi="Times New Roman" w:cs="Times New Roman"/>
        </w:rPr>
        <w:t xml:space="preserve">, </w:t>
      </w:r>
      <w:r w:rsidRPr="00796A9D">
        <w:rPr>
          <w:rFonts w:ascii="Times New Roman" w:hAnsi="Times New Roman" w:cs="Times New Roman"/>
          <w:i/>
        </w:rPr>
        <w:t>L’officina del geografo</w:t>
      </w:r>
      <w:r w:rsidRPr="00796A9D">
        <w:rPr>
          <w:rFonts w:ascii="Times New Roman" w:hAnsi="Times New Roman" w:cs="Times New Roman"/>
        </w:rPr>
        <w:t xml:space="preserve">. La Descrittione di tutta Italia </w:t>
      </w:r>
      <w:r w:rsidRPr="00796A9D">
        <w:rPr>
          <w:rFonts w:ascii="Times New Roman" w:hAnsi="Times New Roman" w:cs="Times New Roman"/>
          <w:i/>
        </w:rPr>
        <w:t>di Leandro Alberti e gli studi geografico-antiquari tra Quattro e Cinquecento</w:t>
      </w:r>
      <w:r w:rsidRPr="00796A9D">
        <w:rPr>
          <w:rFonts w:ascii="Times New Roman" w:hAnsi="Times New Roman" w:cs="Times New Roman"/>
        </w:rPr>
        <w:t xml:space="preserve">. Con un saggio di edizione (Lombardia-Toscana), Milano, Vita e Pensiero, 2004.    </w:t>
      </w:r>
      <w:bookmarkEnd w:id="286"/>
    </w:p>
  </w:footnote>
  <w:footnote w:id="357">
    <w:p w14:paraId="3C5890D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U. Rozzo, </w:t>
      </w:r>
      <w:r w:rsidRPr="00796A9D">
        <w:rPr>
          <w:rFonts w:ascii="Times New Roman" w:hAnsi="Times New Roman" w:cs="Times New Roman"/>
          <w:i/>
        </w:rPr>
        <w:t xml:space="preserve">La strage ignorata, </w:t>
      </w:r>
      <w:r w:rsidRPr="00796A9D">
        <w:rPr>
          <w:rFonts w:ascii="Times New Roman" w:hAnsi="Times New Roman" w:cs="Times New Roman"/>
        </w:rPr>
        <w:t>cit., p. 86.</w:t>
      </w:r>
      <w:r w:rsidRPr="00796A9D">
        <w:rPr>
          <w:rFonts w:ascii="Times New Roman" w:hAnsi="Times New Roman" w:cs="Times New Roman"/>
          <w:i/>
        </w:rPr>
        <w:t xml:space="preserve"> </w:t>
      </w:r>
    </w:p>
  </w:footnote>
  <w:footnote w:id="358">
    <w:p w14:paraId="2CB9DF0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https://data.cerl.org/mei/_search. Ultima visita 04/07/2018. </w:t>
      </w:r>
    </w:p>
  </w:footnote>
  <w:footnote w:id="359">
    <w:p w14:paraId="71ACDAB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Venezia, Biblioteca Nazionale Marciana, Inc. 0801. L’appartenenza a Giuseppe Morosini è assegnata dall’estensore della scheda sulla base dell’uguaglianza della scrittura dei marginalia al testo rispetto a quelli dell’Inc. 0802 con cui la descrizione era originariamente legata in un solo volume.  </w:t>
      </w:r>
    </w:p>
  </w:footnote>
  <w:footnote w:id="360">
    <w:p w14:paraId="0F50796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Modalità e finalità di questa “propaganda celebrativa” in relazione alle stampe per occasioni dinastiche nel Cinquecento e Seicento sono stati indaganti da </w:t>
      </w:r>
      <w:bookmarkStart w:id="288" w:name="_Hlk525476892"/>
      <w:r w:rsidRPr="00796A9D">
        <w:rPr>
          <w:rFonts w:ascii="Times New Roman" w:hAnsi="Times New Roman" w:cs="Times New Roman"/>
          <w:smallCaps/>
        </w:rPr>
        <w:t>M.A. Petta</w:t>
      </w:r>
      <w:r w:rsidRPr="00796A9D">
        <w:rPr>
          <w:rFonts w:ascii="Times New Roman" w:hAnsi="Times New Roman" w:cs="Times New Roman"/>
        </w:rPr>
        <w:t xml:space="preserve">, </w:t>
      </w:r>
      <w:r w:rsidRPr="00796A9D">
        <w:rPr>
          <w:rFonts w:ascii="Times New Roman" w:hAnsi="Times New Roman" w:cs="Times New Roman"/>
          <w:i/>
        </w:rPr>
        <w:t>Printed Funerals in 16th-17th Century Milan</w:t>
      </w:r>
      <w:r w:rsidRPr="00796A9D">
        <w:rPr>
          <w:rFonts w:ascii="Times New Roman" w:hAnsi="Times New Roman" w:cs="Times New Roman"/>
        </w:rPr>
        <w:t xml:space="preserve">, in </w:t>
      </w:r>
      <w:r w:rsidRPr="00796A9D">
        <w:rPr>
          <w:rFonts w:ascii="Times New Roman" w:hAnsi="Times New Roman" w:cs="Times New Roman"/>
          <w:i/>
        </w:rPr>
        <w:t>Routines of Existence: Time, Life and After Life in Society and Religion</w:t>
      </w:r>
      <w:r w:rsidRPr="00796A9D">
        <w:rPr>
          <w:rFonts w:ascii="Times New Roman" w:hAnsi="Times New Roman" w:cs="Times New Roman"/>
        </w:rPr>
        <w:t xml:space="preserve">, edited by </w:t>
      </w:r>
      <w:r w:rsidRPr="00796A9D">
        <w:rPr>
          <w:rFonts w:ascii="Times New Roman" w:hAnsi="Times New Roman" w:cs="Times New Roman"/>
          <w:smallCaps/>
        </w:rPr>
        <w:t>E. Brambilla</w:t>
      </w:r>
      <w:r w:rsidRPr="00796A9D">
        <w:rPr>
          <w:rFonts w:ascii="Times New Roman" w:hAnsi="Times New Roman" w:cs="Times New Roman"/>
        </w:rPr>
        <w:t>, Pisa, Plus-Pisa University Press, 2009, pp. 106-137</w:t>
      </w:r>
      <w:bookmarkEnd w:id="288"/>
      <w:r w:rsidRPr="00796A9D">
        <w:rPr>
          <w:rFonts w:ascii="Times New Roman" w:hAnsi="Times New Roman" w:cs="Times New Roman"/>
        </w:rPr>
        <w:t xml:space="preserve">, che apre la sua ricerca partendo dalle pubblicazione apparse per i tipi di Gottardo da Ponte in onore degli ingressi milanesi di Carlo V (1533) e di Cristina di Danimarca (1534), descritti rispettivamente da Alessandro e Giovan Battista Verini. L’autore sostiene che in precedenza non sarebbero stati editi a Milano resoconti simili in volgare su festeggiamenti principeschi, ma solo in latino. Vedremo, tuttavia, in seguito, che il poemetto di Taccone sulle nozze di Bianca Maria Sforza (1493) è precedente </w:t>
      </w:r>
      <w:r>
        <w:rPr>
          <w:rFonts w:ascii="Times New Roman" w:hAnsi="Times New Roman" w:cs="Times New Roman"/>
        </w:rPr>
        <w:t xml:space="preserve">rispetto a </w:t>
      </w:r>
      <w:r w:rsidRPr="00796A9D">
        <w:rPr>
          <w:rFonts w:ascii="Times New Roman" w:hAnsi="Times New Roman" w:cs="Times New Roman"/>
        </w:rPr>
        <w:t xml:space="preserve">questi due libretti. Le osservazioni avanzate dallo studioso si dimostrano però di grande utilità per la comprensione del fenomeno editoriale di cui trattiamo e credo che diverse sue considerazioni sull’uso propagandistico della stampa nel secolo XVI possano essere estese anche ai testi dei nostri incunaboli.  </w:t>
      </w:r>
    </w:p>
  </w:footnote>
  <w:footnote w:id="361">
    <w:p w14:paraId="1D4E17E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poemetto di Emilio Boccabella, intitolato </w:t>
      </w:r>
      <w:r w:rsidRPr="00796A9D">
        <w:rPr>
          <w:rFonts w:ascii="Times New Roman" w:hAnsi="Times New Roman" w:cs="Times New Roman"/>
          <w:i/>
        </w:rPr>
        <w:t>De convivio habito cum Leonora Ferdinandi regis filia eunte ad nuptias Herculis ducis Mutinae</w:t>
      </w:r>
      <w:r w:rsidRPr="00796A9D">
        <w:rPr>
          <w:rFonts w:ascii="Times New Roman" w:hAnsi="Times New Roman" w:cs="Times New Roman"/>
        </w:rPr>
        <w:t xml:space="preserve">, è trasmesso nella raccolta dei suoi </w:t>
      </w:r>
      <w:r w:rsidRPr="00796A9D">
        <w:rPr>
          <w:rFonts w:ascii="Times New Roman" w:hAnsi="Times New Roman" w:cs="Times New Roman"/>
          <w:i/>
        </w:rPr>
        <w:t>Carmina,</w:t>
      </w:r>
      <w:r w:rsidRPr="00796A9D">
        <w:rPr>
          <w:rFonts w:ascii="Times New Roman" w:hAnsi="Times New Roman" w:cs="Times New Roman"/>
        </w:rPr>
        <w:t xml:space="preserve"> con lettera di dedica a Bartolomeo Platina, conservata nel codice Città del Vaticano, Biblioteca Apostolica Vaticana, Ott. Lat. 2280, ff. 129 r.-148 r. L’</w:t>
      </w:r>
      <w:r w:rsidRPr="00796A9D">
        <w:rPr>
          <w:rFonts w:ascii="Times New Roman" w:hAnsi="Times New Roman" w:cs="Times New Roman"/>
          <w:i/>
        </w:rPr>
        <w:t>Admirabile convivium</w:t>
      </w:r>
      <w:r w:rsidRPr="00796A9D">
        <w:rPr>
          <w:rFonts w:ascii="Times New Roman" w:hAnsi="Times New Roman" w:cs="Times New Roman"/>
        </w:rPr>
        <w:t xml:space="preserve"> di de’ Pandoni è invece presente in due testimoni: Città del Vaticano, Biblioteca Apostolica Vaticana, Urb. Lat. 707, ff. 14r- 23v; Vat. Lat. 2856, cc. 27v- 36v. Un’edizione di entrambi i testi si legge in </w:t>
      </w:r>
      <w:bookmarkStart w:id="290" w:name="_Hlk525476994"/>
      <w:r w:rsidRPr="00796A9D">
        <w:rPr>
          <w:rFonts w:ascii="Times New Roman" w:hAnsi="Times New Roman" w:cs="Times New Roman"/>
          <w:smallCaps/>
        </w:rPr>
        <w:t>C. Corvisieri</w:t>
      </w:r>
      <w:r w:rsidRPr="00796A9D">
        <w:rPr>
          <w:rFonts w:ascii="Times New Roman" w:hAnsi="Times New Roman" w:cs="Times New Roman"/>
        </w:rPr>
        <w:t xml:space="preserve">, </w:t>
      </w:r>
      <w:r w:rsidRPr="00796A9D">
        <w:rPr>
          <w:rFonts w:ascii="Times New Roman" w:hAnsi="Times New Roman" w:cs="Times New Roman"/>
          <w:i/>
        </w:rPr>
        <w:t>Il trionfo romano di Eleonora d’Aragona nel giugno del 1473</w:t>
      </w:r>
      <w:r w:rsidRPr="00796A9D">
        <w:rPr>
          <w:rFonts w:ascii="Times New Roman" w:hAnsi="Times New Roman" w:cs="Times New Roman"/>
        </w:rPr>
        <w:t>, «Archivio della Società Romana di Storia Patria», 1887, X, pp. 663-684.</w:t>
      </w:r>
      <w:bookmarkEnd w:id="290"/>
      <w:r w:rsidRPr="00796A9D">
        <w:rPr>
          <w:rFonts w:ascii="Times New Roman" w:hAnsi="Times New Roman" w:cs="Times New Roman"/>
        </w:rPr>
        <w:t xml:space="preserve"> </w:t>
      </w:r>
    </w:p>
  </w:footnote>
  <w:footnote w:id="362">
    <w:p w14:paraId="57F77DD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Come visto nel capitolo precedente, l’investitura ducale fu concessa da Paolo II a Borso d’Este solo nel 1471. Già dal 1327 la famiglia godette però del vicariato imperiale su Ferrara, assegnato da </w:t>
      </w:r>
      <w:bookmarkStart w:id="291" w:name="_Hlk535916258"/>
      <w:r w:rsidRPr="00796A9D">
        <w:rPr>
          <w:rFonts w:ascii="Times New Roman" w:hAnsi="Times New Roman" w:cs="Times New Roman"/>
        </w:rPr>
        <w:t xml:space="preserve">Ludovico il Bavaro </w:t>
      </w:r>
      <w:bookmarkEnd w:id="291"/>
      <w:r w:rsidRPr="00796A9D">
        <w:rPr>
          <w:rFonts w:ascii="Times New Roman" w:hAnsi="Times New Roman" w:cs="Times New Roman"/>
        </w:rPr>
        <w:t xml:space="preserve">in pegno di riconoscenza per avere appoggiato le sue campagne in Italia. Nel 1329 </w:t>
      </w:r>
      <w:bookmarkStart w:id="292" w:name="_Hlk535916335"/>
      <w:r w:rsidRPr="00796A9D">
        <w:rPr>
          <w:rFonts w:ascii="Times New Roman" w:hAnsi="Times New Roman" w:cs="Times New Roman"/>
        </w:rPr>
        <w:t>Rinaldo II d’Este</w:t>
      </w:r>
      <w:bookmarkEnd w:id="292"/>
      <w:r w:rsidRPr="00796A9D">
        <w:rPr>
          <w:rFonts w:ascii="Times New Roman" w:hAnsi="Times New Roman" w:cs="Times New Roman"/>
        </w:rPr>
        <w:t xml:space="preserve">, abbandonato il partito filoimperiale, conseguì il vicariato apostolico da Giovanni XXII, che sancì la definitiva legittimità dell’autorità della famiglia all’interno delle terre pontificie: cfr. </w:t>
      </w:r>
      <w:bookmarkStart w:id="293" w:name="_Hlk525477114"/>
      <w:r w:rsidRPr="00796A9D">
        <w:rPr>
          <w:rFonts w:ascii="Times New Roman" w:hAnsi="Times New Roman" w:cs="Times New Roman"/>
          <w:smallCaps/>
        </w:rPr>
        <w:t>A. Zorzi</w:t>
      </w:r>
      <w:r w:rsidRPr="00796A9D">
        <w:rPr>
          <w:rFonts w:ascii="Times New Roman" w:hAnsi="Times New Roman" w:cs="Times New Roman"/>
        </w:rPr>
        <w:t xml:space="preserve">, </w:t>
      </w:r>
      <w:r w:rsidRPr="00796A9D">
        <w:rPr>
          <w:rFonts w:ascii="Times New Roman" w:hAnsi="Times New Roman" w:cs="Times New Roman"/>
          <w:i/>
        </w:rPr>
        <w:t>Ripensando i vicariati imperiali e apostolici</w:t>
      </w:r>
      <w:r w:rsidRPr="00796A9D">
        <w:rPr>
          <w:rFonts w:ascii="Times New Roman" w:hAnsi="Times New Roman" w:cs="Times New Roman"/>
        </w:rPr>
        <w:t xml:space="preserve">, in </w:t>
      </w:r>
      <w:r w:rsidRPr="00796A9D">
        <w:rPr>
          <w:rFonts w:ascii="Times New Roman" w:hAnsi="Times New Roman" w:cs="Times New Roman"/>
          <w:i/>
        </w:rPr>
        <w:t>Signorie italiane e modelli monarchici. Secoli XIII-XIV</w:t>
      </w:r>
      <w:r w:rsidRPr="00796A9D">
        <w:rPr>
          <w:rFonts w:ascii="Times New Roman" w:hAnsi="Times New Roman" w:cs="Times New Roman"/>
        </w:rPr>
        <w:t xml:space="preserve">, a cura di </w:t>
      </w:r>
      <w:r w:rsidRPr="00796A9D">
        <w:rPr>
          <w:rFonts w:ascii="Times New Roman" w:hAnsi="Times New Roman" w:cs="Times New Roman"/>
          <w:smallCaps/>
        </w:rPr>
        <w:t>P. Grillo</w:t>
      </w:r>
      <w:r w:rsidRPr="00796A9D">
        <w:rPr>
          <w:rFonts w:ascii="Times New Roman" w:hAnsi="Times New Roman" w:cs="Times New Roman"/>
        </w:rPr>
        <w:t>, Roma, Viella, 2013, pp. 30-31.</w:t>
      </w:r>
    </w:p>
    <w:bookmarkEnd w:id="293"/>
  </w:footnote>
  <w:footnote w:id="363">
    <w:p w14:paraId="4CA460A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Vorrei far notare come delle sette descrizioni a stampa che mi accingo ad analizzare quattro siano datate mentre le tre pubblicazioni per le nozze bolognesi del 1487 siano tutte prive di data d’edizione. La presenza della datazione negli opuscoli mi pare interessante, poiché, secondi gli studi di Marco Palma, solo il 41% degli incunaboli europei in caratteri latini reca l’anno d’edizione. In pubblicazioni d’attualità come queste in esame, reputo dunque che la preoccupazione d’indicare la data di stampa si dovesse al desiderio di attestare la vicinanza cronologica della cronaca ai fatti</w:t>
      </w:r>
      <w:r>
        <w:rPr>
          <w:rFonts w:ascii="Times New Roman" w:hAnsi="Times New Roman" w:cs="Times New Roman"/>
        </w:rPr>
        <w:t xml:space="preserve"> narrati</w:t>
      </w:r>
      <w:r w:rsidRPr="00796A9D">
        <w:rPr>
          <w:rFonts w:ascii="Times New Roman" w:hAnsi="Times New Roman" w:cs="Times New Roman"/>
        </w:rPr>
        <w:t xml:space="preserve">. Sulla datazione di manoscritti e stampati nel Quattrocento vedi </w:t>
      </w:r>
      <w:bookmarkStart w:id="294" w:name="_Hlk525477207"/>
      <w:r w:rsidRPr="00796A9D">
        <w:rPr>
          <w:rFonts w:ascii="Times New Roman" w:hAnsi="Times New Roman" w:cs="Times New Roman"/>
          <w:smallCaps/>
        </w:rPr>
        <w:t>M. Palma</w:t>
      </w:r>
      <w:r w:rsidRPr="00796A9D">
        <w:rPr>
          <w:rFonts w:ascii="Times New Roman" w:hAnsi="Times New Roman" w:cs="Times New Roman"/>
        </w:rPr>
        <w:t xml:space="preserve">, </w:t>
      </w:r>
      <w:r w:rsidRPr="00796A9D">
        <w:rPr>
          <w:rFonts w:ascii="Times New Roman" w:hAnsi="Times New Roman" w:cs="Times New Roman"/>
          <w:i/>
        </w:rPr>
        <w:t>Aspetti quantitativi della produzione libraria manoscritta e a stampa nel Quattrocento</w:t>
      </w:r>
      <w:r w:rsidRPr="00796A9D">
        <w:rPr>
          <w:rFonts w:ascii="Times New Roman" w:hAnsi="Times New Roman" w:cs="Times New Roman"/>
        </w:rPr>
        <w:t>, «La Bibliofilia», CXVI, 2014, pp. 165-178</w:t>
      </w:r>
      <w:bookmarkEnd w:id="294"/>
      <w:r w:rsidRPr="00796A9D">
        <w:rPr>
          <w:rFonts w:ascii="Times New Roman" w:hAnsi="Times New Roman" w:cs="Times New Roman"/>
        </w:rPr>
        <w:t>, che nota come nel 1475, anno in cui fu impresso l’</w:t>
      </w:r>
      <w:r w:rsidRPr="00796A9D">
        <w:rPr>
          <w:rFonts w:ascii="Times New Roman" w:hAnsi="Times New Roman" w:cs="Times New Roman"/>
          <w:i/>
        </w:rPr>
        <w:t xml:space="preserve">Ordine de le noze </w:t>
      </w:r>
      <w:r w:rsidRPr="00796A9D">
        <w:rPr>
          <w:rFonts w:ascii="Times New Roman" w:hAnsi="Times New Roman" w:cs="Times New Roman"/>
        </w:rPr>
        <w:t>di Costanzo Sforza, solo l’1,97</w:t>
      </w:r>
      <w:r>
        <w:rPr>
          <w:rFonts w:ascii="Times New Roman" w:hAnsi="Times New Roman" w:cs="Times New Roman"/>
        </w:rPr>
        <w:t xml:space="preserve"> %</w:t>
      </w:r>
      <w:r w:rsidRPr="00796A9D">
        <w:rPr>
          <w:rFonts w:ascii="Times New Roman" w:hAnsi="Times New Roman" w:cs="Times New Roman"/>
        </w:rPr>
        <w:t xml:space="preserve"> dei libri a stampa europei fosse datato.   </w:t>
      </w:r>
    </w:p>
  </w:footnote>
  <w:footnote w:id="364">
    <w:p w14:paraId="591D9B12" w14:textId="77777777" w:rsidR="00CF5CFB" w:rsidRPr="00796A9D" w:rsidRDefault="00CF5CFB" w:rsidP="00796A9D">
      <w:pPr>
        <w:pStyle w:val="Nessunaspaziatura"/>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w:t>
      </w:r>
      <w:r w:rsidRPr="00796A9D">
        <w:rPr>
          <w:rFonts w:ascii="Times New Roman" w:hAnsi="Times New Roman" w:cs="Times New Roman"/>
          <w:smallCaps/>
          <w:sz w:val="20"/>
          <w:szCs w:val="20"/>
        </w:rPr>
        <w:t xml:space="preserve">Anonimo, </w:t>
      </w:r>
      <w:r w:rsidRPr="00796A9D">
        <w:rPr>
          <w:rFonts w:ascii="Times New Roman" w:hAnsi="Times New Roman" w:cs="Times New Roman"/>
          <w:i/>
          <w:sz w:val="20"/>
          <w:szCs w:val="20"/>
        </w:rPr>
        <w:t>Ordine de le noze de lo Illustrissimo Signor misir Costantio Sfortia de Aragonia et de la Illustrissima Madona Camilla de Aragonia sua consorte nel anno 1475</w:t>
      </w:r>
      <w:r w:rsidRPr="00796A9D">
        <w:rPr>
          <w:rFonts w:ascii="Times New Roman" w:hAnsi="Times New Roman" w:cs="Times New Roman"/>
          <w:sz w:val="20"/>
          <w:szCs w:val="20"/>
        </w:rPr>
        <w:t>, Vicenza, Hermannus Liechtenstein, 9 novembre 1475. Se ne veda la scheda bibliografica 3 nell’</w:t>
      </w:r>
      <w:r w:rsidRPr="00796A9D">
        <w:rPr>
          <w:rFonts w:ascii="Times New Roman" w:hAnsi="Times New Roman" w:cs="Times New Roman"/>
          <w:i/>
          <w:sz w:val="20"/>
          <w:szCs w:val="20"/>
        </w:rPr>
        <w:t>Appendice I</w:t>
      </w:r>
      <w:r w:rsidRPr="00796A9D">
        <w:rPr>
          <w:rFonts w:ascii="Times New Roman" w:hAnsi="Times New Roman" w:cs="Times New Roman"/>
          <w:sz w:val="20"/>
          <w:szCs w:val="20"/>
        </w:rPr>
        <w:t>.</w:t>
      </w:r>
    </w:p>
  </w:footnote>
  <w:footnote w:id="365">
    <w:p w14:paraId="5FD2F3A7" w14:textId="5E6EC9EA"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Marino Marzano aveva sposato Eleonora d’Aragona, figlia naturale di Alfonso V, il 3 maggio 1444. Nonostante l’importante parentado, a partire dal 1458 il duca di Sessa aveva iniziato a tramare contro Ferrante d’Aragona ed era divenuto uno dei maggiori sostenitori della congiura dei baroni. Imprigionato con l’inganno da Ferrante nel 1464, prima a Capua, poi a Castelnuovo, finì i suoi giorni in prigione, presumibilmente nel 1489. Il re di Napoli accolse invece ad Aversa le sue figlie e le dotò di una prebenda di 3000 ducati l’anno</w:t>
      </w:r>
      <w:r w:rsidR="00E64A26">
        <w:rPr>
          <w:rFonts w:ascii="Times New Roman" w:hAnsi="Times New Roman" w:cs="Times New Roman"/>
        </w:rPr>
        <w:t>.</w:t>
      </w:r>
      <w:r w:rsidRPr="00796A9D">
        <w:rPr>
          <w:rFonts w:ascii="Times New Roman" w:hAnsi="Times New Roman" w:cs="Times New Roman"/>
        </w:rPr>
        <w:t xml:space="preserve"> </w:t>
      </w:r>
      <w:r w:rsidR="00E64A26">
        <w:rPr>
          <w:rFonts w:ascii="Times New Roman" w:hAnsi="Times New Roman" w:cs="Times New Roman"/>
        </w:rPr>
        <w:t>C</w:t>
      </w:r>
      <w:r w:rsidRPr="00796A9D">
        <w:rPr>
          <w:rFonts w:ascii="Times New Roman" w:hAnsi="Times New Roman" w:cs="Times New Roman"/>
        </w:rPr>
        <w:t xml:space="preserve">fr. </w:t>
      </w:r>
      <w:r w:rsidRPr="00796A9D">
        <w:rPr>
          <w:rFonts w:ascii="Times New Roman" w:hAnsi="Times New Roman" w:cs="Times New Roman"/>
          <w:smallCaps/>
        </w:rPr>
        <w:t>P. Sardina</w:t>
      </w:r>
      <w:r w:rsidRPr="00796A9D">
        <w:rPr>
          <w:rFonts w:ascii="Times New Roman" w:hAnsi="Times New Roman" w:cs="Times New Roman"/>
        </w:rPr>
        <w:t>, s.v</w:t>
      </w:r>
      <w:r w:rsidRPr="00796A9D">
        <w:rPr>
          <w:rFonts w:ascii="Times New Roman" w:hAnsi="Times New Roman" w:cs="Times New Roman"/>
          <w:i/>
        </w:rPr>
        <w:t>. Marzano, Marino</w:t>
      </w:r>
      <w:r w:rsidRPr="00796A9D">
        <w:rPr>
          <w:rFonts w:ascii="Times New Roman" w:hAnsi="Times New Roman" w:cs="Times New Roman"/>
        </w:rPr>
        <w:t>, DBI, 2008, vol. LXXI, pp. 446-450.</w:t>
      </w:r>
    </w:p>
  </w:footnote>
  <w:footnote w:id="366">
    <w:p w14:paraId="3ADA400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L’operazione militare ebbe un’importanza primaria nell’ascesa politica del Montefeltro. Grazie al successo dell’impresa egli ottenne da Sisto IV l’investitura ducale e la promessa che sua figlia, Giovanna, avrebbe sposato Giovanni della Rovere, nipote del pontefice. Per un’analisi dettagliata del contesto politico in cui si inserì lo sposalizio di Costanzo Sforza vedi </w:t>
      </w:r>
      <w:bookmarkStart w:id="299" w:name="_Hlk525477310"/>
      <w:r w:rsidRPr="00796A9D">
        <w:rPr>
          <w:rFonts w:ascii="Times New Roman" w:hAnsi="Times New Roman" w:cs="Times New Roman"/>
          <w:smallCaps/>
        </w:rPr>
        <w:t>F. Ambrogiani</w:t>
      </w:r>
      <w:r w:rsidRPr="00796A9D">
        <w:rPr>
          <w:rFonts w:ascii="Times New Roman" w:hAnsi="Times New Roman" w:cs="Times New Roman"/>
        </w:rPr>
        <w:t xml:space="preserve">, </w:t>
      </w:r>
      <w:r w:rsidRPr="00796A9D">
        <w:rPr>
          <w:rFonts w:ascii="Times New Roman" w:hAnsi="Times New Roman" w:cs="Times New Roman"/>
          <w:i/>
        </w:rPr>
        <w:t>Vita di Costanzo Sforza (1447-1483)</w:t>
      </w:r>
      <w:r w:rsidRPr="00796A9D">
        <w:rPr>
          <w:rFonts w:ascii="Times New Roman" w:hAnsi="Times New Roman" w:cs="Times New Roman"/>
        </w:rPr>
        <w:t>, «Pesaro città e contà», Link 3, 2003</w:t>
      </w:r>
      <w:bookmarkEnd w:id="299"/>
      <w:r w:rsidRPr="00796A9D">
        <w:rPr>
          <w:rFonts w:ascii="Times New Roman" w:hAnsi="Times New Roman" w:cs="Times New Roman"/>
        </w:rPr>
        <w:t xml:space="preserve">, pp. 74-81, dove si pubblica anche la lettera d’invito a Lorenzo de’ Medici mandata da Costanzo il 26 febbraio 1475. </w:t>
      </w:r>
    </w:p>
  </w:footnote>
  <w:footnote w:id="367">
    <w:p w14:paraId="61D66D9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Ivi</w:t>
      </w:r>
      <w:r w:rsidRPr="00796A9D">
        <w:rPr>
          <w:rFonts w:ascii="Times New Roman" w:hAnsi="Times New Roman" w:cs="Times New Roman"/>
        </w:rPr>
        <w:t xml:space="preserve">, p. 81.  </w:t>
      </w:r>
    </w:p>
  </w:footnote>
  <w:footnote w:id="368">
    <w:p w14:paraId="7A37CE3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Firenze, Biblioteca Riccardiana, ms. 2256, ff. 65r-94v. Il codice, in scrittura umanistica cancelleresca, ricca di abbreviazioni, è di mano di Niccolò di Antonio degli Alberti (1454-1512). Se ne veda la scheda bibliografica in </w:t>
      </w:r>
      <w:bookmarkStart w:id="300" w:name="_Hlk525477456"/>
      <w:r w:rsidRPr="00796A9D">
        <w:rPr>
          <w:rFonts w:ascii="Times New Roman" w:hAnsi="Times New Roman" w:cs="Times New Roman"/>
          <w:i/>
        </w:rPr>
        <w:t>I manoscritti della Biblioteca Riccardiana di Firenze</w:t>
      </w:r>
      <w:r w:rsidRPr="00796A9D">
        <w:rPr>
          <w:rFonts w:ascii="Times New Roman" w:hAnsi="Times New Roman" w:cs="Times New Roman"/>
        </w:rPr>
        <w:t xml:space="preserve">, a cura di </w:t>
      </w:r>
      <w:r w:rsidRPr="00796A9D">
        <w:rPr>
          <w:rFonts w:ascii="Times New Roman" w:hAnsi="Times New Roman" w:cs="Times New Roman"/>
          <w:smallCaps/>
        </w:rPr>
        <w:t>T. De Robertis, R. Miriello</w:t>
      </w:r>
      <w:r w:rsidRPr="00796A9D">
        <w:rPr>
          <w:rFonts w:ascii="Times New Roman" w:hAnsi="Times New Roman" w:cs="Times New Roman"/>
        </w:rPr>
        <w:t>, Firenze, SISMEL-Galluzzo, 2013</w:t>
      </w:r>
      <w:bookmarkEnd w:id="300"/>
      <w:r w:rsidRPr="00796A9D">
        <w:rPr>
          <w:rFonts w:ascii="Times New Roman" w:hAnsi="Times New Roman" w:cs="Times New Roman"/>
        </w:rPr>
        <w:t xml:space="preserve">, vol. IV (MSS. 2001-4270), pp. 14-15. </w:t>
      </w:r>
    </w:p>
  </w:footnote>
  <w:footnote w:id="369">
    <w:p w14:paraId="49EE037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Città del Vaticano, Biblioteca Apostolica Vaticana, ms. Urb. Lat. 899. Le miniature sono state ampiamente studiate come esempio di fonte iconografica intenzionale di uno spettacolo rinascimentale. Aby Warburg vi dedicò la tavola n. 36 dell’</w:t>
      </w:r>
      <w:r w:rsidRPr="00796A9D">
        <w:rPr>
          <w:rFonts w:ascii="Times New Roman" w:hAnsi="Times New Roman" w:cs="Times New Roman"/>
          <w:i/>
        </w:rPr>
        <w:t>Atlas Mnemosyne</w:t>
      </w:r>
      <w:r w:rsidRPr="00796A9D">
        <w:rPr>
          <w:rFonts w:ascii="Times New Roman" w:hAnsi="Times New Roman" w:cs="Times New Roman"/>
        </w:rPr>
        <w:t xml:space="preserve">. Esse documentano il tentativo di ricreare, nel contesto festivo quattrocentesco, un Olimpo classico capace d’influenzare con il suo potere di significazione l’armonia del cosmo: cfr. </w:t>
      </w:r>
      <w:bookmarkStart w:id="301" w:name="_Hlk525477536"/>
      <w:r w:rsidRPr="00796A9D">
        <w:rPr>
          <w:rFonts w:ascii="Times New Roman" w:hAnsi="Times New Roman" w:cs="Times New Roman"/>
        </w:rPr>
        <w:t xml:space="preserve">R. </w:t>
      </w:r>
      <w:r w:rsidRPr="00796A9D">
        <w:rPr>
          <w:rFonts w:ascii="Times New Roman" w:hAnsi="Times New Roman" w:cs="Times New Roman"/>
          <w:smallCaps/>
        </w:rPr>
        <w:t>Guarino</w:t>
      </w:r>
      <w:r w:rsidRPr="00796A9D">
        <w:rPr>
          <w:rFonts w:ascii="Times New Roman" w:hAnsi="Times New Roman" w:cs="Times New Roman"/>
        </w:rPr>
        <w:t xml:space="preserve">, </w:t>
      </w:r>
      <w:r w:rsidRPr="00796A9D">
        <w:rPr>
          <w:rFonts w:ascii="Times New Roman" w:hAnsi="Times New Roman" w:cs="Times New Roman"/>
          <w:i/>
        </w:rPr>
        <w:t>La presenza degli dei</w:t>
      </w:r>
      <w:r w:rsidRPr="00796A9D">
        <w:rPr>
          <w:rFonts w:ascii="Times New Roman" w:hAnsi="Times New Roman" w:cs="Times New Roman"/>
        </w:rPr>
        <w:t>, ‹‹Teatro e Storia››, XIX, 2005, pp. 15-31.</w:t>
      </w:r>
      <w:bookmarkEnd w:id="301"/>
    </w:p>
  </w:footnote>
  <w:footnote w:id="370">
    <w:p w14:paraId="4B06F791"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 ricostruzione della tradizione testuale dell’opera, proposta in </w:t>
      </w:r>
      <w:r w:rsidRPr="00796A9D">
        <w:rPr>
          <w:rFonts w:ascii="Times New Roman" w:hAnsi="Times New Roman" w:cs="Times New Roman"/>
          <w:smallCaps/>
          <w:sz w:val="20"/>
          <w:szCs w:val="20"/>
        </w:rPr>
        <w:t>G. Albizzoni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Note sull’Ordine de le nozze di Costanzo Sforza e Camilla d’Aragona</w:t>
      </w:r>
      <w:r w:rsidRPr="00796A9D">
        <w:rPr>
          <w:rFonts w:ascii="Times New Roman" w:hAnsi="Times New Roman" w:cs="Times New Roman"/>
          <w:sz w:val="20"/>
          <w:szCs w:val="20"/>
        </w:rPr>
        <w:t xml:space="preserve">, «Studi Umanistici Piceni», XV, 1995, pp. 9-18, è stata confermata dall’apparato dell’edizione critica fornita da </w:t>
      </w:r>
      <w:r w:rsidRPr="00796A9D">
        <w:rPr>
          <w:rFonts w:ascii="Times New Roman" w:hAnsi="Times New Roman" w:cs="Times New Roman"/>
          <w:smallCaps/>
          <w:sz w:val="20"/>
          <w:szCs w:val="20"/>
        </w:rPr>
        <w:t>G. Meloni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Mitologia, astrologia e arte della cucina: L’Ordine delle nozze di Costanzo Sforza e Camilla d’Aragona</w:t>
      </w:r>
      <w:r w:rsidRPr="00796A9D">
        <w:rPr>
          <w:rFonts w:ascii="Times New Roman" w:hAnsi="Times New Roman" w:cs="Times New Roman"/>
          <w:sz w:val="20"/>
          <w:szCs w:val="20"/>
        </w:rPr>
        <w:t xml:space="preserve">, Tesi di dottorato sotto la direzione di </w:t>
      </w:r>
      <w:r w:rsidRPr="00796A9D">
        <w:rPr>
          <w:rFonts w:ascii="Times New Roman" w:hAnsi="Times New Roman" w:cs="Times New Roman"/>
          <w:smallCaps/>
          <w:sz w:val="20"/>
          <w:szCs w:val="20"/>
        </w:rPr>
        <w:t>G. Albizzoni</w:t>
      </w:r>
      <w:r w:rsidRPr="00796A9D">
        <w:rPr>
          <w:rFonts w:ascii="Times New Roman" w:hAnsi="Times New Roman" w:cs="Times New Roman"/>
          <w:sz w:val="20"/>
          <w:szCs w:val="20"/>
        </w:rPr>
        <w:t xml:space="preserve">, Urbino, Università degli Studi Carlo Bo, a.a. 2003-2004, pp. 55-127, che segue principalmente la lezione dell’Urb. Lat. 899. La traduzione integrale del resoconto in inglese, completa della riproduzione a colori delle miniature del codice della Vaticana, si legge in J. BRIDGEMAN, </w:t>
      </w:r>
      <w:r w:rsidRPr="00796A9D">
        <w:rPr>
          <w:rFonts w:ascii="Times New Roman" w:hAnsi="Times New Roman" w:cs="Times New Roman"/>
          <w:i/>
          <w:sz w:val="20"/>
          <w:szCs w:val="20"/>
        </w:rPr>
        <w:t>A Renaissance wedding: the celebrations at Pesaro for the marriage of Costanzo Sforza &amp; Camilla Marzano d’Aragona, 26-30 May 1475</w:t>
      </w:r>
      <w:r w:rsidRPr="00796A9D">
        <w:rPr>
          <w:rFonts w:ascii="Times New Roman" w:hAnsi="Times New Roman" w:cs="Times New Roman"/>
          <w:sz w:val="20"/>
          <w:szCs w:val="20"/>
        </w:rPr>
        <w:t>, London, Harvey Miller Publishers, 2013.</w:t>
      </w:r>
    </w:p>
  </w:footnote>
  <w:footnote w:id="371">
    <w:p w14:paraId="655456A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302" w:name="_Hlk525477703"/>
      <w:r w:rsidRPr="00796A9D">
        <w:rPr>
          <w:rFonts w:ascii="Times New Roman" w:hAnsi="Times New Roman" w:cs="Times New Roman"/>
          <w:smallCaps/>
        </w:rPr>
        <w:t>G.F. Foresti,</w:t>
      </w:r>
      <w:r w:rsidRPr="00796A9D">
        <w:rPr>
          <w:rFonts w:ascii="Times New Roman" w:hAnsi="Times New Roman" w:cs="Times New Roman"/>
        </w:rPr>
        <w:t xml:space="preserve"> </w:t>
      </w:r>
      <w:r w:rsidRPr="00796A9D">
        <w:rPr>
          <w:rFonts w:ascii="Times New Roman" w:hAnsi="Times New Roman" w:cs="Times New Roman"/>
          <w:i/>
        </w:rPr>
        <w:t>Supplementum chronicarum</w:t>
      </w:r>
      <w:r w:rsidRPr="00796A9D">
        <w:rPr>
          <w:rFonts w:ascii="Times New Roman" w:hAnsi="Times New Roman" w:cs="Times New Roman"/>
        </w:rPr>
        <w:t>, Venezia, Bernardino de’ Benaliis, 1486</w:t>
      </w:r>
      <w:bookmarkEnd w:id="302"/>
      <w:r w:rsidRPr="00796A9D">
        <w:rPr>
          <w:rFonts w:ascii="Times New Roman" w:hAnsi="Times New Roman" w:cs="Times New Roman"/>
        </w:rPr>
        <w:t xml:space="preserve">, c. V5r. Foresti (1434-1520) fu priore a Imola dell’Ordine degli Eremitani di sant’Agostino nel 1494 e a Forlì nel 1496. Il suo </w:t>
      </w:r>
      <w:r w:rsidRPr="00796A9D">
        <w:rPr>
          <w:rFonts w:ascii="Times New Roman" w:hAnsi="Times New Roman" w:cs="Times New Roman"/>
          <w:i/>
        </w:rPr>
        <w:t>Supplementum</w:t>
      </w:r>
      <w:r w:rsidRPr="00796A9D">
        <w:rPr>
          <w:rFonts w:ascii="Times New Roman" w:hAnsi="Times New Roman" w:cs="Times New Roman"/>
        </w:rPr>
        <w:t xml:space="preserve">, opera enciclopedica e storiografica estesa fino all’epoca contemporanea allo scrittore, godette di discreto successo nel Rinascimento e, dopo la </w:t>
      </w:r>
      <w:r w:rsidRPr="00796A9D">
        <w:rPr>
          <w:rFonts w:ascii="Times New Roman" w:hAnsi="Times New Roman" w:cs="Times New Roman"/>
          <w:i/>
        </w:rPr>
        <w:t>princeps</w:t>
      </w:r>
      <w:r w:rsidRPr="00796A9D">
        <w:rPr>
          <w:rFonts w:ascii="Times New Roman" w:hAnsi="Times New Roman" w:cs="Times New Roman"/>
        </w:rPr>
        <w:t xml:space="preserve"> veneziana del 1483, fu ristampato ben cinque volte prima del 1503, quando l’autore congedò un </w:t>
      </w:r>
      <w:r w:rsidRPr="00796A9D">
        <w:rPr>
          <w:rFonts w:ascii="Times New Roman" w:hAnsi="Times New Roman" w:cs="Times New Roman"/>
          <w:i/>
        </w:rPr>
        <w:t>Supplementum Supplementi chronicarum</w:t>
      </w:r>
      <w:r w:rsidRPr="00796A9D">
        <w:rPr>
          <w:rFonts w:ascii="Times New Roman" w:hAnsi="Times New Roman" w:cs="Times New Roman"/>
        </w:rPr>
        <w:t xml:space="preserve">: cfr. </w:t>
      </w:r>
      <w:r w:rsidRPr="00796A9D">
        <w:rPr>
          <w:rFonts w:ascii="Times New Roman" w:hAnsi="Times New Roman" w:cs="Times New Roman"/>
          <w:smallCaps/>
        </w:rPr>
        <w:t>L. Megli Frattini</w:t>
      </w:r>
      <w:r w:rsidRPr="00796A9D">
        <w:rPr>
          <w:rFonts w:ascii="Times New Roman" w:hAnsi="Times New Roman" w:cs="Times New Roman"/>
        </w:rPr>
        <w:t xml:space="preserve">, s.v. </w:t>
      </w:r>
      <w:r w:rsidRPr="00796A9D">
        <w:rPr>
          <w:rFonts w:ascii="Times New Roman" w:hAnsi="Times New Roman" w:cs="Times New Roman"/>
          <w:i/>
        </w:rPr>
        <w:t>Foresti, Giacomo Filippo</w:t>
      </w:r>
      <w:r w:rsidRPr="00796A9D">
        <w:rPr>
          <w:rFonts w:ascii="Times New Roman" w:hAnsi="Times New Roman" w:cs="Times New Roman"/>
        </w:rPr>
        <w:t xml:space="preserve">, DBI, 1997, vol. XLVIII, pp. 801-803. </w:t>
      </w:r>
    </w:p>
  </w:footnote>
  <w:footnote w:id="372">
    <w:p w14:paraId="6F8C605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BMC VII 1035; IGI 8180. Hermann Liechtenstein fu stampatore ed editore a Vicenza dal 1475 al 1476; a Treviso nel 1477; nuovamente a Vicenza dal 1478 al 1481; e infine a Venezia dal 1482 al 1494. Non ne è conosciuta la data di morte, ma sappiamo che, concordemente alle sue volontà testamentarie, a ereditare la sua officina fu il nipote Pietro. La famiglia proseguì l’attività nel campo dell’editoria veneziana fino al 1588, distinguendosi per la pubblicazione molto varia di scritti scientifici e musicali: cfr. </w:t>
      </w:r>
      <w:r w:rsidRPr="00796A9D">
        <w:rPr>
          <w:rFonts w:ascii="Times New Roman" w:hAnsi="Times New Roman" w:cs="Times New Roman"/>
          <w:smallCaps/>
        </w:rPr>
        <w:t>G. Caldana</w:t>
      </w:r>
      <w:r w:rsidRPr="00796A9D">
        <w:rPr>
          <w:rFonts w:ascii="Times New Roman" w:hAnsi="Times New Roman" w:cs="Times New Roman"/>
        </w:rPr>
        <w:t xml:space="preserve">, s.v. </w:t>
      </w:r>
      <w:r w:rsidRPr="00796A9D">
        <w:rPr>
          <w:rFonts w:ascii="Times New Roman" w:hAnsi="Times New Roman" w:cs="Times New Roman"/>
          <w:i/>
        </w:rPr>
        <w:t>Liechtenstein, Hermann</w:t>
      </w:r>
      <w:r w:rsidRPr="00796A9D">
        <w:rPr>
          <w:rFonts w:ascii="Times New Roman" w:hAnsi="Times New Roman" w:cs="Times New Roman"/>
        </w:rPr>
        <w:t xml:space="preserve">, in </w:t>
      </w:r>
      <w:r w:rsidRPr="00796A9D">
        <w:rPr>
          <w:rFonts w:ascii="Times New Roman" w:hAnsi="Times New Roman" w:cs="Times New Roman"/>
          <w:i/>
        </w:rPr>
        <w:t>Dizionario degli editori, tipografi, librai itineranti in Italia tra Quattrocento e Seicento</w:t>
      </w:r>
      <w:r w:rsidRPr="00796A9D">
        <w:rPr>
          <w:rFonts w:ascii="Times New Roman" w:hAnsi="Times New Roman" w:cs="Times New Roman"/>
        </w:rPr>
        <w:t xml:space="preserve">, cit., pp. 604-605.  </w:t>
      </w:r>
    </w:p>
  </w:footnote>
  <w:footnote w:id="373">
    <w:p w14:paraId="7758BB2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303" w:name="_Hlk525477839"/>
      <w:r w:rsidRPr="00796A9D">
        <w:rPr>
          <w:rFonts w:ascii="Times New Roman" w:hAnsi="Times New Roman" w:cs="Times New Roman"/>
          <w:smallCaps/>
        </w:rPr>
        <w:t>E. Sandal</w:t>
      </w:r>
      <w:r w:rsidRPr="00796A9D">
        <w:rPr>
          <w:rFonts w:ascii="Times New Roman" w:hAnsi="Times New Roman" w:cs="Times New Roman"/>
        </w:rPr>
        <w:t xml:space="preserve">, </w:t>
      </w:r>
      <w:r w:rsidRPr="00796A9D">
        <w:rPr>
          <w:rFonts w:ascii="Times New Roman" w:hAnsi="Times New Roman" w:cs="Times New Roman"/>
          <w:i/>
        </w:rPr>
        <w:t>La tipografia e il commercio dei libri nei domini della Serenissima</w:t>
      </w:r>
      <w:r w:rsidRPr="00796A9D">
        <w:rPr>
          <w:rFonts w:ascii="Times New Roman" w:hAnsi="Times New Roman" w:cs="Times New Roman"/>
        </w:rPr>
        <w:t xml:space="preserve">, in </w:t>
      </w:r>
      <w:r w:rsidRPr="00796A9D">
        <w:rPr>
          <w:rFonts w:ascii="Times New Roman" w:hAnsi="Times New Roman" w:cs="Times New Roman"/>
          <w:i/>
        </w:rPr>
        <w:t>Cartai e stampatori in Veneto</w:t>
      </w:r>
      <w:r w:rsidRPr="00796A9D">
        <w:rPr>
          <w:rFonts w:ascii="Times New Roman" w:hAnsi="Times New Roman" w:cs="Times New Roman"/>
        </w:rPr>
        <w:t xml:space="preserve">, a cura di </w:t>
      </w:r>
      <w:r w:rsidRPr="00796A9D">
        <w:rPr>
          <w:rFonts w:ascii="Times New Roman" w:hAnsi="Times New Roman" w:cs="Times New Roman"/>
          <w:smallCaps/>
        </w:rPr>
        <w:t>G.L. Fontana, E. Sandal</w:t>
      </w:r>
      <w:r w:rsidRPr="00796A9D">
        <w:rPr>
          <w:rFonts w:ascii="Times New Roman" w:hAnsi="Times New Roman" w:cs="Times New Roman"/>
        </w:rPr>
        <w:t>, Brescia, Grafo, 2001</w:t>
      </w:r>
      <w:bookmarkEnd w:id="303"/>
      <w:r w:rsidRPr="00796A9D">
        <w:rPr>
          <w:rFonts w:ascii="Times New Roman" w:hAnsi="Times New Roman" w:cs="Times New Roman"/>
        </w:rPr>
        <w:t xml:space="preserve">, pp. 159-161, dove si avanza l’ipotesi della destinazione a un pubblico extracittadino delle prime edizioni prodotte da Liechtenstein a Vicenza.  </w:t>
      </w:r>
    </w:p>
  </w:footnote>
  <w:footnote w:id="374">
    <w:p w14:paraId="220FAC7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IGI 10017; BMC VII 1030; GW M48786. Quanto alle ragioni della scelta di questo titolo di poesia volgare, di cui si conta questa unica edizione a stampa per tutto il Quattrocento vedi </w:t>
      </w:r>
      <w:bookmarkStart w:id="304" w:name="_Hlk525478028"/>
      <w:r w:rsidRPr="00796A9D">
        <w:rPr>
          <w:rFonts w:ascii="Times New Roman" w:hAnsi="Times New Roman" w:cs="Times New Roman"/>
          <w:smallCaps/>
        </w:rPr>
        <w:t>F. Bandini</w:t>
      </w:r>
      <w:r w:rsidRPr="00796A9D">
        <w:rPr>
          <w:rFonts w:ascii="Times New Roman" w:hAnsi="Times New Roman" w:cs="Times New Roman"/>
        </w:rPr>
        <w:t xml:space="preserve">, </w:t>
      </w:r>
      <w:r w:rsidRPr="00796A9D">
        <w:rPr>
          <w:rFonts w:ascii="Times New Roman" w:hAnsi="Times New Roman" w:cs="Times New Roman"/>
          <w:i/>
        </w:rPr>
        <w:t xml:space="preserve">Il </w:t>
      </w:r>
      <w:r w:rsidRPr="00796A9D">
        <w:rPr>
          <w:rFonts w:ascii="Times New Roman" w:hAnsi="Times New Roman" w:cs="Times New Roman"/>
        </w:rPr>
        <w:t xml:space="preserve">Dittamondo </w:t>
      </w:r>
      <w:r w:rsidRPr="00796A9D">
        <w:rPr>
          <w:rFonts w:ascii="Times New Roman" w:hAnsi="Times New Roman" w:cs="Times New Roman"/>
          <w:i/>
        </w:rPr>
        <w:t>e la cultura veneta del Trecento e del Quattrocento</w:t>
      </w:r>
      <w:r w:rsidRPr="00796A9D">
        <w:rPr>
          <w:rFonts w:ascii="Times New Roman" w:hAnsi="Times New Roman" w:cs="Times New Roman"/>
        </w:rPr>
        <w:t xml:space="preserve">, in </w:t>
      </w:r>
      <w:r w:rsidRPr="00796A9D">
        <w:rPr>
          <w:rFonts w:ascii="Times New Roman" w:hAnsi="Times New Roman" w:cs="Times New Roman"/>
          <w:i/>
        </w:rPr>
        <w:t>1474. Le origini della stampa a Vicenza</w:t>
      </w:r>
      <w:r w:rsidRPr="00796A9D">
        <w:rPr>
          <w:rFonts w:ascii="Times New Roman" w:hAnsi="Times New Roman" w:cs="Times New Roman"/>
        </w:rPr>
        <w:t xml:space="preserve">, a cura di </w:t>
      </w:r>
      <w:r w:rsidRPr="00796A9D">
        <w:rPr>
          <w:rFonts w:ascii="Times New Roman" w:hAnsi="Times New Roman" w:cs="Times New Roman"/>
          <w:smallCaps/>
        </w:rPr>
        <w:t>Idem</w:t>
      </w:r>
      <w:r w:rsidRPr="00796A9D">
        <w:rPr>
          <w:rFonts w:ascii="Times New Roman" w:hAnsi="Times New Roman" w:cs="Times New Roman"/>
        </w:rPr>
        <w:t>, Vicenza, Neri Pozza, 1975, pp. 111-124.</w:t>
      </w:r>
      <w:bookmarkEnd w:id="304"/>
      <w:r w:rsidRPr="00796A9D">
        <w:rPr>
          <w:rFonts w:ascii="Times New Roman" w:hAnsi="Times New Roman" w:cs="Times New Roman"/>
        </w:rPr>
        <w:t xml:space="preserve"> </w:t>
      </w:r>
    </w:p>
  </w:footnote>
  <w:footnote w:id="375">
    <w:p w14:paraId="4E57419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catalogo vicentino di Liectenstein e per un suo inquadramento nell’ambito della stampa quattrocentesca locale si rinvia a </w:t>
      </w:r>
      <w:bookmarkStart w:id="305" w:name="_Hlk525478131"/>
      <w:r w:rsidRPr="00796A9D">
        <w:rPr>
          <w:rFonts w:ascii="Times New Roman" w:hAnsi="Times New Roman" w:cs="Times New Roman"/>
          <w:smallCaps/>
        </w:rPr>
        <w:t>D.E. Rhodes</w:t>
      </w:r>
      <w:r w:rsidRPr="00796A9D">
        <w:rPr>
          <w:rFonts w:ascii="Times New Roman" w:hAnsi="Times New Roman" w:cs="Times New Roman"/>
        </w:rPr>
        <w:t xml:space="preserve">, </w:t>
      </w:r>
      <w:r w:rsidRPr="00796A9D">
        <w:rPr>
          <w:rFonts w:ascii="Times New Roman" w:hAnsi="Times New Roman" w:cs="Times New Roman"/>
          <w:i/>
        </w:rPr>
        <w:t>La tipografia nel secolo XV a Vicenza, Santorso e Torrebelvicino</w:t>
      </w:r>
      <w:r w:rsidRPr="00796A9D">
        <w:rPr>
          <w:rFonts w:ascii="Times New Roman" w:hAnsi="Times New Roman" w:cs="Times New Roman"/>
        </w:rPr>
        <w:t>, «Odeo Olimpico», XIX, 1983-1986, pp. 181-228.</w:t>
      </w:r>
      <w:bookmarkEnd w:id="305"/>
    </w:p>
  </w:footnote>
  <w:footnote w:id="376">
    <w:p w14:paraId="047C3632"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BMC VII 1036; GW M43764; IGI 10247.</w:t>
      </w:r>
    </w:p>
  </w:footnote>
  <w:footnote w:id="377">
    <w:p w14:paraId="2C37C4B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Nella terraferma veneta, Vicenza produsse un numero maggiore di stampati rispetto a Treviso e a Verona ed eguagliò quasi Padova, nota sede universitaria, per numero di edizioni. Il nitore dei loro caratteri e il loro modesto decoro provano l’avanzamento tecnico raggiunto dalle tipografie vicentine nel secolo XV. Contemporaneamente, la presenza in città di Ognibene da Lonigo, Barnaba da Celso e Bartolomeo Pagello stimolò lo studio del greco e offrì occasioni per contatti culturali con l’umanesimo veneziano e per significativi progetti editoriali, come la stampa delle </w:t>
      </w:r>
      <w:r w:rsidRPr="00796A9D">
        <w:rPr>
          <w:rFonts w:ascii="Times New Roman" w:hAnsi="Times New Roman" w:cs="Times New Roman"/>
          <w:i/>
        </w:rPr>
        <w:t>Historiae</w:t>
      </w:r>
      <w:r w:rsidRPr="00796A9D">
        <w:rPr>
          <w:rFonts w:ascii="Times New Roman" w:hAnsi="Times New Roman" w:cs="Times New Roman"/>
        </w:rPr>
        <w:t xml:space="preserve"> di Orosio compiuta da Liechtenstein intorno al 1475. Si veda in proposito </w:t>
      </w:r>
      <w:bookmarkStart w:id="306" w:name="_Hlk525478253"/>
      <w:r w:rsidRPr="00796A9D">
        <w:rPr>
          <w:rFonts w:ascii="Times New Roman" w:hAnsi="Times New Roman" w:cs="Times New Roman"/>
          <w:smallCaps/>
        </w:rPr>
        <w:t>A. Colla</w:t>
      </w:r>
      <w:r w:rsidRPr="00796A9D">
        <w:rPr>
          <w:rFonts w:ascii="Times New Roman" w:hAnsi="Times New Roman" w:cs="Times New Roman"/>
        </w:rPr>
        <w:t xml:space="preserve">, </w:t>
      </w:r>
      <w:r w:rsidRPr="00796A9D">
        <w:rPr>
          <w:rFonts w:ascii="Times New Roman" w:hAnsi="Times New Roman" w:cs="Times New Roman"/>
          <w:i/>
        </w:rPr>
        <w:t>Tipografi, editori e librai a Padova, Treviso, Vicenza, Verona, Trento</w:t>
      </w:r>
      <w:r w:rsidRPr="00796A9D">
        <w:rPr>
          <w:rFonts w:ascii="Times New Roman" w:hAnsi="Times New Roman" w:cs="Times New Roman"/>
        </w:rPr>
        <w:t xml:space="preserve">, in </w:t>
      </w:r>
      <w:r w:rsidRPr="00796A9D">
        <w:rPr>
          <w:rFonts w:ascii="Times New Roman" w:hAnsi="Times New Roman" w:cs="Times New Roman"/>
          <w:i/>
        </w:rPr>
        <w:t>La stampa degli incunaboli nel Veneto</w:t>
      </w:r>
      <w:r w:rsidRPr="00796A9D">
        <w:rPr>
          <w:rFonts w:ascii="Times New Roman" w:hAnsi="Times New Roman" w:cs="Times New Roman"/>
        </w:rPr>
        <w:t>, Vicenza, Neri Pozza, 1984, pp. 67-75.</w:t>
      </w:r>
      <w:bookmarkEnd w:id="306"/>
    </w:p>
  </w:footnote>
  <w:footnote w:id="378">
    <w:p w14:paraId="7281EB2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M.N. Simeone</w:t>
      </w:r>
      <w:r w:rsidRPr="00796A9D">
        <w:rPr>
          <w:rFonts w:ascii="Times New Roman" w:hAnsi="Times New Roman" w:cs="Times New Roman"/>
        </w:rPr>
        <w:t xml:space="preserve">, </w:t>
      </w:r>
      <w:r w:rsidRPr="00796A9D">
        <w:rPr>
          <w:rFonts w:ascii="Times New Roman" w:hAnsi="Times New Roman" w:cs="Times New Roman"/>
          <w:i/>
        </w:rPr>
        <w:t>Le origini della produzione cartaria nel Vicentino</w:t>
      </w:r>
      <w:r w:rsidRPr="00796A9D">
        <w:rPr>
          <w:rFonts w:ascii="Times New Roman" w:hAnsi="Times New Roman" w:cs="Times New Roman"/>
        </w:rPr>
        <w:t xml:space="preserve">, in </w:t>
      </w:r>
      <w:r w:rsidRPr="00796A9D">
        <w:rPr>
          <w:rFonts w:ascii="Times New Roman" w:hAnsi="Times New Roman" w:cs="Times New Roman"/>
          <w:i/>
        </w:rPr>
        <w:t>Cartai e stampatori in Veneto</w:t>
      </w:r>
      <w:r w:rsidRPr="00796A9D">
        <w:rPr>
          <w:rFonts w:ascii="Times New Roman" w:hAnsi="Times New Roman" w:cs="Times New Roman"/>
        </w:rPr>
        <w:t>, cit., pp. 7-11.</w:t>
      </w:r>
    </w:p>
  </w:footnote>
  <w:footnote w:id="379">
    <w:p w14:paraId="7D26449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1473 le città marchigiane di Jesi e di Matelica contavano stamperie avviate per opera di Federico de’ Conti e di Bartolomeo de Colunnis di Chio. Cagli, dal 1475, visse una breve stagione editoriale grazie alle pubblicazioni di Roberto da Fano e Bernardino da Bergamo. Solo nel 1507 anche Pesaro ebbe la sua prima tipografia. In merito all’avvio di queste stamperie si veda </w:t>
      </w:r>
      <w:bookmarkStart w:id="307" w:name="_Hlk525478406"/>
      <w:r w:rsidRPr="00796A9D">
        <w:rPr>
          <w:rFonts w:ascii="Times New Roman" w:hAnsi="Times New Roman" w:cs="Times New Roman"/>
          <w:smallCaps/>
        </w:rPr>
        <w:t>R.M. Borraccini Verducci</w:t>
      </w:r>
      <w:r w:rsidRPr="00796A9D">
        <w:rPr>
          <w:rFonts w:ascii="Times New Roman" w:hAnsi="Times New Roman" w:cs="Times New Roman"/>
        </w:rPr>
        <w:t xml:space="preserve">, </w:t>
      </w:r>
      <w:r w:rsidRPr="00796A9D">
        <w:rPr>
          <w:rFonts w:ascii="Times New Roman" w:hAnsi="Times New Roman" w:cs="Times New Roman"/>
          <w:i/>
        </w:rPr>
        <w:t>La tipografia nelle Marche. Tessere per un mosaico da comporre</w:t>
      </w:r>
      <w:r w:rsidRPr="00796A9D">
        <w:rPr>
          <w:rFonts w:ascii="Times New Roman" w:hAnsi="Times New Roman" w:cs="Times New Roman"/>
        </w:rPr>
        <w:t xml:space="preserve">, in </w:t>
      </w:r>
      <w:r w:rsidRPr="00796A9D">
        <w:rPr>
          <w:rFonts w:ascii="Times New Roman" w:hAnsi="Times New Roman" w:cs="Times New Roman"/>
          <w:i/>
        </w:rPr>
        <w:t>La cultura nelle Marche in età moderna</w:t>
      </w:r>
      <w:r w:rsidRPr="00796A9D">
        <w:rPr>
          <w:rFonts w:ascii="Times New Roman" w:hAnsi="Times New Roman" w:cs="Times New Roman"/>
        </w:rPr>
        <w:t xml:space="preserve">, a cura di </w:t>
      </w:r>
      <w:r w:rsidRPr="00796A9D">
        <w:rPr>
          <w:rFonts w:ascii="Times New Roman" w:hAnsi="Times New Roman" w:cs="Times New Roman"/>
          <w:smallCaps/>
        </w:rPr>
        <w:t>W. Angelini, G. Piccinini</w:t>
      </w:r>
      <w:r w:rsidRPr="00796A9D">
        <w:rPr>
          <w:rFonts w:ascii="Times New Roman" w:hAnsi="Times New Roman" w:cs="Times New Roman"/>
        </w:rPr>
        <w:t xml:space="preserve">, Milano, Federico Motta, 1996, pp. 68-81. </w:t>
      </w:r>
      <w:bookmarkEnd w:id="307"/>
    </w:p>
  </w:footnote>
  <w:footnote w:id="380">
    <w:p w14:paraId="4022AC46"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w:t>
      </w:r>
      <w:r w:rsidRPr="00796A9D">
        <w:rPr>
          <w:rFonts w:ascii="Times New Roman" w:hAnsi="Times New Roman" w:cs="Times New Roman"/>
          <w:smallCaps/>
          <w:lang w:val="en-US"/>
        </w:rPr>
        <w:t>J. Bridgeman</w:t>
      </w:r>
      <w:r w:rsidRPr="00796A9D">
        <w:rPr>
          <w:rFonts w:ascii="Times New Roman" w:hAnsi="Times New Roman" w:cs="Times New Roman"/>
          <w:lang w:val="en-US"/>
        </w:rPr>
        <w:t xml:space="preserve">, </w:t>
      </w:r>
      <w:r w:rsidRPr="00796A9D">
        <w:rPr>
          <w:rFonts w:ascii="Times New Roman" w:hAnsi="Times New Roman" w:cs="Times New Roman"/>
          <w:i/>
          <w:lang w:val="en-US"/>
        </w:rPr>
        <w:t>A Renaissance wedding</w:t>
      </w:r>
      <w:r w:rsidRPr="00796A9D">
        <w:rPr>
          <w:rFonts w:ascii="Times New Roman" w:hAnsi="Times New Roman" w:cs="Times New Roman"/>
          <w:lang w:val="en-US"/>
        </w:rPr>
        <w:t>, cit., pp. 11-12.</w:t>
      </w:r>
    </w:p>
  </w:footnote>
  <w:footnote w:id="381">
    <w:p w14:paraId="0D37DBA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testamento dello stampatore è edito in </w:t>
      </w:r>
      <w:bookmarkStart w:id="308" w:name="_Hlk525478621"/>
      <w:r w:rsidRPr="00796A9D">
        <w:rPr>
          <w:rFonts w:ascii="Times New Roman" w:hAnsi="Times New Roman" w:cs="Times New Roman"/>
          <w:smallCaps/>
        </w:rPr>
        <w:t>A. Contò</w:t>
      </w:r>
      <w:r w:rsidRPr="00796A9D">
        <w:rPr>
          <w:rFonts w:ascii="Times New Roman" w:hAnsi="Times New Roman" w:cs="Times New Roman"/>
        </w:rPr>
        <w:t xml:space="preserve">, </w:t>
      </w:r>
      <w:r w:rsidRPr="00796A9D">
        <w:rPr>
          <w:rFonts w:ascii="Times New Roman" w:hAnsi="Times New Roman" w:cs="Times New Roman"/>
          <w:i/>
        </w:rPr>
        <w:t>Calamai e torchi. Documenti per la storia del libro nel territorio della Repubblica di Venezia (sec. XV)</w:t>
      </w:r>
      <w:r w:rsidRPr="00796A9D">
        <w:rPr>
          <w:rFonts w:ascii="Times New Roman" w:hAnsi="Times New Roman" w:cs="Times New Roman"/>
        </w:rPr>
        <w:t>, Verona, della Scala, 2003</w:t>
      </w:r>
      <w:bookmarkEnd w:id="308"/>
      <w:r w:rsidRPr="00796A9D">
        <w:rPr>
          <w:rFonts w:ascii="Times New Roman" w:hAnsi="Times New Roman" w:cs="Times New Roman"/>
        </w:rPr>
        <w:t xml:space="preserve">, pp. 109-112. Si noti come Liechtenstein, lasciando ai frati un quantitativo di libri corrispondente alla somma di duecento ducati, richiedesse loro di essere sepolto in San Francesco della Vigna rivestito del saio francescano; e come egli si preoccupasse persino di beneficiare i fanciulli poveri della parrocchia di San Giovanni a Colonia di venticinque fiorini affinché pregassero per la sua anima. Questo dato mi pare indichi che la fede cattolica dell’artigiano fosse già fervida prima del suo arrivo nel Veneto e deponga a sfavore della sua supposta origine ebraica, per altro mai accennata nei documenti che lo riguardano.   </w:t>
      </w:r>
    </w:p>
  </w:footnote>
  <w:footnote w:id="382">
    <w:p w14:paraId="32F2C14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un sintetico inquadramento del fenomeno di pubblicistica antisemita sorto in seguito al caso di Simonino da Trento in area veneta rimando a </w:t>
      </w:r>
      <w:r w:rsidRPr="00796A9D">
        <w:rPr>
          <w:rFonts w:ascii="Times New Roman" w:hAnsi="Times New Roman" w:cs="Times New Roman"/>
          <w:smallCaps/>
        </w:rPr>
        <w:t>E. Sandal</w:t>
      </w:r>
      <w:r w:rsidRPr="00796A9D">
        <w:rPr>
          <w:rFonts w:ascii="Times New Roman" w:hAnsi="Times New Roman" w:cs="Times New Roman"/>
        </w:rPr>
        <w:t xml:space="preserve">, </w:t>
      </w:r>
      <w:r w:rsidRPr="00796A9D">
        <w:rPr>
          <w:rFonts w:ascii="Times New Roman" w:hAnsi="Times New Roman" w:cs="Times New Roman"/>
          <w:i/>
        </w:rPr>
        <w:t xml:space="preserve">La tipografia e il commercio dei libri nei domini della Serenissima, </w:t>
      </w:r>
      <w:r w:rsidRPr="00796A9D">
        <w:rPr>
          <w:rFonts w:ascii="Times New Roman" w:hAnsi="Times New Roman" w:cs="Times New Roman"/>
        </w:rPr>
        <w:t>cit., pp. 149-151.</w:t>
      </w:r>
    </w:p>
  </w:footnote>
  <w:footnote w:id="383">
    <w:p w14:paraId="25ECB2C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le prime testimonianze sulla stampa di incunaboli in caratteri ebraici vedi </w:t>
      </w:r>
      <w:bookmarkStart w:id="309" w:name="_Hlk525478731"/>
      <w:r w:rsidRPr="00796A9D">
        <w:rPr>
          <w:rFonts w:ascii="Times New Roman" w:hAnsi="Times New Roman" w:cs="Times New Roman"/>
          <w:smallCaps/>
        </w:rPr>
        <w:t>M.J. Heller</w:t>
      </w:r>
      <w:r w:rsidRPr="00796A9D">
        <w:rPr>
          <w:rFonts w:ascii="Times New Roman" w:hAnsi="Times New Roman" w:cs="Times New Roman"/>
        </w:rPr>
        <w:t xml:space="preserve">, </w:t>
      </w:r>
      <w:r w:rsidRPr="00796A9D">
        <w:rPr>
          <w:rFonts w:ascii="Times New Roman" w:hAnsi="Times New Roman" w:cs="Times New Roman"/>
          <w:i/>
        </w:rPr>
        <w:t>Studies in the Making of the Early Hebrew Book</w:t>
      </w:r>
      <w:r w:rsidRPr="00796A9D">
        <w:rPr>
          <w:rFonts w:ascii="Times New Roman" w:hAnsi="Times New Roman" w:cs="Times New Roman"/>
        </w:rPr>
        <w:t>, Leiden-Boston, Brill, 2008,</w:t>
      </w:r>
      <w:bookmarkEnd w:id="309"/>
      <w:r w:rsidRPr="00796A9D">
        <w:rPr>
          <w:rFonts w:ascii="Times New Roman" w:hAnsi="Times New Roman" w:cs="Times New Roman"/>
        </w:rPr>
        <w:t xml:space="preserve"> p. 123.</w:t>
      </w:r>
    </w:p>
  </w:footnote>
  <w:footnote w:id="384">
    <w:p w14:paraId="04945AA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Questa funzione collettanea di tutti i testi della festa è segnalata da </w:t>
      </w:r>
      <w:bookmarkStart w:id="310" w:name="_Hlk525478845"/>
      <w:r w:rsidRPr="00796A9D">
        <w:rPr>
          <w:rFonts w:ascii="Times New Roman" w:hAnsi="Times New Roman" w:cs="Times New Roman"/>
          <w:smallCaps/>
        </w:rPr>
        <w:t>G. Arbizzoni</w:t>
      </w:r>
      <w:r w:rsidRPr="00796A9D">
        <w:rPr>
          <w:rFonts w:ascii="Times New Roman" w:hAnsi="Times New Roman" w:cs="Times New Roman"/>
        </w:rPr>
        <w:t xml:space="preserve">, </w:t>
      </w:r>
      <w:r w:rsidRPr="00796A9D">
        <w:rPr>
          <w:rFonts w:ascii="Times New Roman" w:hAnsi="Times New Roman" w:cs="Times New Roman"/>
          <w:i/>
        </w:rPr>
        <w:t>La saffica di Antonio Costanzi per le nozze di Costanzo Sforza e Camilla d’Aragona</w:t>
      </w:r>
      <w:r w:rsidRPr="00796A9D">
        <w:rPr>
          <w:rFonts w:ascii="Times New Roman" w:hAnsi="Times New Roman" w:cs="Times New Roman"/>
        </w:rPr>
        <w:t xml:space="preserve">, in </w:t>
      </w:r>
      <w:r w:rsidRPr="00796A9D">
        <w:rPr>
          <w:rFonts w:ascii="Times New Roman" w:hAnsi="Times New Roman" w:cs="Times New Roman"/>
          <w:i/>
        </w:rPr>
        <w:t>Studi latini in ricordo di Rita Cappelletto</w:t>
      </w:r>
      <w:r w:rsidRPr="00796A9D">
        <w:rPr>
          <w:rFonts w:ascii="Times New Roman" w:hAnsi="Times New Roman" w:cs="Times New Roman"/>
        </w:rPr>
        <w:t xml:space="preserve">, a cura di </w:t>
      </w:r>
      <w:r w:rsidRPr="00796A9D">
        <w:rPr>
          <w:rFonts w:ascii="Times New Roman" w:hAnsi="Times New Roman" w:cs="Times New Roman"/>
          <w:smallCaps/>
        </w:rPr>
        <w:t>S. Lanciotti, M. Peruzzi, M.G. Sassi, A. Tontini</w:t>
      </w:r>
      <w:r w:rsidRPr="00796A9D">
        <w:rPr>
          <w:rFonts w:ascii="Times New Roman" w:hAnsi="Times New Roman" w:cs="Times New Roman"/>
        </w:rPr>
        <w:t>, Urbino</w:t>
      </w:r>
      <w:r w:rsidRPr="00796A9D">
        <w:rPr>
          <w:rFonts w:ascii="Times New Roman" w:hAnsi="Times New Roman" w:cs="Times New Roman"/>
          <w:color w:val="FF0000"/>
        </w:rPr>
        <w:t xml:space="preserve">, </w:t>
      </w:r>
      <w:r w:rsidRPr="00796A9D">
        <w:rPr>
          <w:rFonts w:ascii="Times New Roman" w:hAnsi="Times New Roman" w:cs="Times New Roman"/>
        </w:rPr>
        <w:t>Quattro Venti, 1996, pp. 253-269</w:t>
      </w:r>
      <w:bookmarkEnd w:id="310"/>
      <w:r w:rsidRPr="00796A9D">
        <w:rPr>
          <w:rFonts w:ascii="Times New Roman" w:hAnsi="Times New Roman" w:cs="Times New Roman"/>
        </w:rPr>
        <w:t xml:space="preserve">. A tale edizione, che pubblica il testo della saffica, si fa riferimento per le citazioni che seguiranno.  </w:t>
      </w:r>
    </w:p>
  </w:footnote>
  <w:footnote w:id="385">
    <w:p w14:paraId="4A66C65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Figlia illegittima di Alessandro Sforza e Mattea Samperoli, sorellastra, quindi, di Costanzo, Ginevra Sforza, per volere dello zio Francesco, duca di Milano, il 2 marzo 1452 sposò Sante Bentivoglio, signore di Bologna, e alla morte di quest’ultimo, nel marzo del 1464, Giovanni I. Fu quindi la cognata di Camilla.  </w:t>
      </w:r>
    </w:p>
  </w:footnote>
  <w:footnote w:id="386">
    <w:p w14:paraId="63D47D6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 xml:space="preserve">Anonimo, </w:t>
      </w:r>
      <w:r w:rsidRPr="00796A9D">
        <w:rPr>
          <w:rFonts w:ascii="Times New Roman" w:hAnsi="Times New Roman" w:cs="Times New Roman"/>
          <w:i/>
        </w:rPr>
        <w:t>Ordine de le noze de lo Illustrissimo Signor misir Costantio Sfortia</w:t>
      </w:r>
      <w:r w:rsidRPr="00796A9D">
        <w:rPr>
          <w:rFonts w:ascii="Times New Roman" w:hAnsi="Times New Roman" w:cs="Times New Roman"/>
        </w:rPr>
        <w:t xml:space="preserve">, cit. La descrizione della prima giornata di festa occupa le carte a2r. – a3v; i versi citati si leggono alla carta a3r.  </w:t>
      </w:r>
    </w:p>
  </w:footnote>
  <w:footnote w:id="387">
    <w:p w14:paraId="69DBCB4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Raniero II Almerici (Pesaro 1430-1500) giureconsulto e letterato, fedele cortigiano e comandante al servizio di Alessandro Sforza, fu un discreto poeta petrarchesco. Nel 1461 fu podestà di Mantova e nel 1468 fu creato conte palatino dall’imperatore Federico III. Se ne veda la biografia in </w:t>
      </w:r>
      <w:bookmarkStart w:id="311" w:name="_Hlk525478956"/>
      <w:r w:rsidRPr="00796A9D">
        <w:rPr>
          <w:rFonts w:ascii="Times New Roman" w:hAnsi="Times New Roman" w:cs="Times New Roman"/>
          <w:smallCaps/>
        </w:rPr>
        <w:t>A. Raniero da Pesaro</w:t>
      </w:r>
      <w:r w:rsidRPr="00796A9D">
        <w:rPr>
          <w:rFonts w:ascii="Times New Roman" w:hAnsi="Times New Roman" w:cs="Times New Roman"/>
        </w:rPr>
        <w:t xml:space="preserve">, </w:t>
      </w:r>
      <w:r w:rsidRPr="00796A9D">
        <w:rPr>
          <w:rFonts w:ascii="Times New Roman" w:hAnsi="Times New Roman" w:cs="Times New Roman"/>
          <w:i/>
        </w:rPr>
        <w:t>Rime</w:t>
      </w:r>
      <w:r w:rsidRPr="00796A9D">
        <w:rPr>
          <w:rFonts w:ascii="Times New Roman" w:hAnsi="Times New Roman" w:cs="Times New Roman"/>
        </w:rPr>
        <w:t xml:space="preserve">: </w:t>
      </w:r>
      <w:r w:rsidRPr="00796A9D">
        <w:rPr>
          <w:rFonts w:ascii="Times New Roman" w:hAnsi="Times New Roman" w:cs="Times New Roman"/>
          <w:i/>
        </w:rPr>
        <w:t>Ravenna, Biblioteca Classense, Cod. 240</w:t>
      </w:r>
      <w:r w:rsidRPr="00796A9D">
        <w:rPr>
          <w:rFonts w:ascii="Times New Roman" w:hAnsi="Times New Roman" w:cs="Times New Roman"/>
        </w:rPr>
        <w:t xml:space="preserve">, a cura di </w:t>
      </w:r>
      <w:r w:rsidRPr="00796A9D">
        <w:rPr>
          <w:rFonts w:ascii="Times New Roman" w:hAnsi="Times New Roman" w:cs="Times New Roman"/>
          <w:smallCaps/>
        </w:rPr>
        <w:t>N. Cacace Saxby</w:t>
      </w:r>
      <w:r w:rsidRPr="00796A9D">
        <w:rPr>
          <w:rFonts w:ascii="Times New Roman" w:hAnsi="Times New Roman" w:cs="Times New Roman"/>
        </w:rPr>
        <w:t>, Bologna, Commissione per i testi di lingua, 2003</w:t>
      </w:r>
      <w:bookmarkEnd w:id="311"/>
      <w:r w:rsidRPr="00796A9D">
        <w:rPr>
          <w:rFonts w:ascii="Times New Roman" w:hAnsi="Times New Roman" w:cs="Times New Roman"/>
        </w:rPr>
        <w:t xml:space="preserve">, pp. 3-14. Niccolò da Barignano si era invece distinto quale comandante delle truppe pesaresi che Alessandro Sforza aveva inviato ai veneziani nel 1467. Dopo la morte di quest’ultimo, passò al servizio di Costanzo che gli affidò diverse missioni diplomatiche tra le corti di Milano e Napoli e che lo volle supervisore dei lavori di costruzione della Rocca Costanza nel 1474. Sulla sua carriera vedi </w:t>
      </w:r>
      <w:r w:rsidRPr="00796A9D">
        <w:rPr>
          <w:rFonts w:ascii="Times New Roman" w:hAnsi="Times New Roman" w:cs="Times New Roman"/>
          <w:smallCaps/>
        </w:rPr>
        <w:t>E. Catone</w:t>
      </w:r>
      <w:r w:rsidRPr="00796A9D">
        <w:rPr>
          <w:rFonts w:ascii="Times New Roman" w:hAnsi="Times New Roman" w:cs="Times New Roman"/>
        </w:rPr>
        <w:t xml:space="preserve">, </w:t>
      </w:r>
      <w:r w:rsidRPr="00796A9D">
        <w:rPr>
          <w:rFonts w:ascii="Times New Roman" w:hAnsi="Times New Roman" w:cs="Times New Roman"/>
          <w:i/>
        </w:rPr>
        <w:t>L’apporto prosopografico dei Dispacci sforzeschi: il caso di Nicolò da Berignano</w:t>
      </w:r>
      <w:r w:rsidRPr="00796A9D">
        <w:rPr>
          <w:rFonts w:ascii="Times New Roman" w:hAnsi="Times New Roman" w:cs="Times New Roman"/>
        </w:rPr>
        <w:t xml:space="preserve">, in </w:t>
      </w:r>
      <w:r w:rsidRPr="00796A9D">
        <w:rPr>
          <w:rFonts w:ascii="Times New Roman" w:hAnsi="Times New Roman" w:cs="Times New Roman"/>
          <w:i/>
        </w:rPr>
        <w:t xml:space="preserve">Poteri, relazioni, guerra nel regno di Ferrante d'Aragona. Studi sulle corrispondenze diplomatiche, </w:t>
      </w:r>
      <w:r w:rsidRPr="00796A9D">
        <w:rPr>
          <w:rFonts w:ascii="Times New Roman" w:hAnsi="Times New Roman" w:cs="Times New Roman"/>
        </w:rPr>
        <w:t xml:space="preserve">cit., pp. 41-66. </w:t>
      </w:r>
    </w:p>
  </w:footnote>
  <w:footnote w:id="388">
    <w:p w14:paraId="3012747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 xml:space="preserve">Anonimo, </w:t>
      </w:r>
      <w:r w:rsidRPr="00796A9D">
        <w:rPr>
          <w:rFonts w:ascii="Times New Roman" w:hAnsi="Times New Roman" w:cs="Times New Roman"/>
          <w:i/>
        </w:rPr>
        <w:t xml:space="preserve">Ordine de le noze de lo Illustrissimo Signor misir Costantio Sfortia, </w:t>
      </w:r>
      <w:r w:rsidRPr="00796A9D">
        <w:rPr>
          <w:rFonts w:ascii="Times New Roman" w:hAnsi="Times New Roman" w:cs="Times New Roman"/>
        </w:rPr>
        <w:t xml:space="preserve">cit., c. a4v. </w:t>
      </w:r>
    </w:p>
  </w:footnote>
  <w:footnote w:id="389">
    <w:p w14:paraId="4F0A642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1 piede romano: 29.789576 cm. Cfr. </w:t>
      </w:r>
      <w:bookmarkStart w:id="312" w:name="_Hlk525479084"/>
      <w:r w:rsidRPr="00796A9D">
        <w:rPr>
          <w:rFonts w:ascii="Times New Roman" w:hAnsi="Times New Roman" w:cs="Times New Roman"/>
        </w:rPr>
        <w:t xml:space="preserve">R. </w:t>
      </w:r>
      <w:r w:rsidRPr="00796A9D">
        <w:rPr>
          <w:rFonts w:ascii="Times New Roman" w:hAnsi="Times New Roman" w:cs="Times New Roman"/>
          <w:smallCaps/>
        </w:rPr>
        <w:t>Chiovelli</w:t>
      </w:r>
      <w:r w:rsidRPr="00796A9D">
        <w:rPr>
          <w:rFonts w:ascii="Times New Roman" w:hAnsi="Times New Roman" w:cs="Times New Roman"/>
        </w:rPr>
        <w:t xml:space="preserve">, </w:t>
      </w:r>
      <w:r w:rsidRPr="00796A9D">
        <w:rPr>
          <w:rFonts w:ascii="Times New Roman" w:hAnsi="Times New Roman" w:cs="Times New Roman"/>
          <w:i/>
        </w:rPr>
        <w:t>Tecniche costruttive murarie medievali: la Tuscia. Storia della tecnica edilizia e restauro dei monumenti</w:t>
      </w:r>
      <w:r w:rsidRPr="00796A9D">
        <w:rPr>
          <w:rFonts w:ascii="Times New Roman" w:hAnsi="Times New Roman" w:cs="Times New Roman"/>
        </w:rPr>
        <w:t>, Roma, L'Erma di Bretschneider, 2007</w:t>
      </w:r>
      <w:bookmarkEnd w:id="312"/>
      <w:r w:rsidRPr="00796A9D">
        <w:rPr>
          <w:rFonts w:ascii="Times New Roman" w:hAnsi="Times New Roman" w:cs="Times New Roman"/>
        </w:rPr>
        <w:t>, p. 139.</w:t>
      </w:r>
    </w:p>
  </w:footnote>
  <w:footnote w:id="390">
    <w:p w14:paraId="5CB1EA9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trattò di </w:t>
      </w:r>
      <w:bookmarkStart w:id="313" w:name="_Hlk535919094"/>
      <w:r w:rsidRPr="00796A9D">
        <w:rPr>
          <w:rFonts w:ascii="Times New Roman" w:hAnsi="Times New Roman" w:cs="Times New Roman"/>
        </w:rPr>
        <w:t>Tommaso Vincenzi Giacobelli</w:t>
      </w:r>
      <w:bookmarkEnd w:id="313"/>
      <w:r w:rsidRPr="00796A9D">
        <w:rPr>
          <w:rFonts w:ascii="Times New Roman" w:hAnsi="Times New Roman" w:cs="Times New Roman"/>
        </w:rPr>
        <w:t xml:space="preserve">, tesoriere di Sisto IV. Assegnato nel maggio 1475 alla sede vescovile pesarese, la mantenne fino al 1479, subentrando a </w:t>
      </w:r>
      <w:bookmarkStart w:id="314" w:name="_Hlk535919148"/>
      <w:r w:rsidRPr="00796A9D">
        <w:rPr>
          <w:rFonts w:ascii="Times New Roman" w:hAnsi="Times New Roman" w:cs="Times New Roman"/>
        </w:rPr>
        <w:t>Barnaba Merloni</w:t>
      </w:r>
      <w:bookmarkEnd w:id="314"/>
      <w:r w:rsidRPr="00796A9D">
        <w:rPr>
          <w:rFonts w:ascii="Times New Roman" w:hAnsi="Times New Roman" w:cs="Times New Roman"/>
        </w:rPr>
        <w:t xml:space="preserve">, il quale, alla morte di Alessandro Sforza, aveva tramato contro Costanzo perché la città passasse sotto il potere dei Malatesta di Rimini. Cfr. </w:t>
      </w:r>
      <w:r w:rsidRPr="00796A9D">
        <w:rPr>
          <w:rFonts w:ascii="Times New Roman" w:hAnsi="Times New Roman" w:cs="Times New Roman"/>
          <w:smallCaps/>
        </w:rPr>
        <w:t>F. Ambrogiani</w:t>
      </w:r>
      <w:r w:rsidRPr="00796A9D">
        <w:rPr>
          <w:rFonts w:ascii="Times New Roman" w:hAnsi="Times New Roman" w:cs="Times New Roman"/>
        </w:rPr>
        <w:t xml:space="preserve">, </w:t>
      </w:r>
      <w:r w:rsidRPr="00796A9D">
        <w:rPr>
          <w:rFonts w:ascii="Times New Roman" w:hAnsi="Times New Roman" w:cs="Times New Roman"/>
          <w:i/>
        </w:rPr>
        <w:t>Vita di Costanzo Sforza (1447-1483)</w:t>
      </w:r>
      <w:r w:rsidRPr="00796A9D">
        <w:rPr>
          <w:rFonts w:ascii="Times New Roman" w:hAnsi="Times New Roman" w:cs="Times New Roman"/>
        </w:rPr>
        <w:t>, cit., p. 68.</w:t>
      </w:r>
    </w:p>
  </w:footnote>
  <w:footnote w:id="391">
    <w:p w14:paraId="308261D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L’esametro è tratto da un carme di Guarino Veronese che chiude una lettera inviata il 5 novembre 1447 a Leonello d’Este. Il duca, in vista della decorazione del suo studiolo nella residenza di Belfiore, aveva richiesto all’erudito indicazioni sull’iconografia delle muse, che Guarino aveva incluso nell’epistola allegandovi un carme di nove esametri dedicati alle virtù di ciascuna delle figlie di Zeus e di Mnemosýne. Il testo ebbe discreto successo nell’Italia del secolo XV e si legge in </w:t>
      </w:r>
      <w:bookmarkStart w:id="316" w:name="_Hlk526014836"/>
      <w:r w:rsidRPr="00796A9D">
        <w:rPr>
          <w:rFonts w:ascii="Times New Roman" w:hAnsi="Times New Roman" w:cs="Times New Roman"/>
          <w:smallCaps/>
        </w:rPr>
        <w:t>M. Baxandall</w:t>
      </w:r>
      <w:r w:rsidRPr="00796A9D">
        <w:rPr>
          <w:rFonts w:ascii="Times New Roman" w:hAnsi="Times New Roman" w:cs="Times New Roman"/>
        </w:rPr>
        <w:t xml:space="preserve">, </w:t>
      </w:r>
      <w:r w:rsidRPr="00796A9D">
        <w:rPr>
          <w:rFonts w:ascii="Times New Roman" w:hAnsi="Times New Roman" w:cs="Times New Roman"/>
          <w:i/>
        </w:rPr>
        <w:t>Giotto e gli umanisti</w:t>
      </w:r>
      <w:r w:rsidRPr="00796A9D">
        <w:rPr>
          <w:rFonts w:ascii="Times New Roman" w:hAnsi="Times New Roman" w:cs="Times New Roman"/>
        </w:rPr>
        <w:t>, Milano, Jaca Book, 1994</w:t>
      </w:r>
      <w:bookmarkEnd w:id="316"/>
      <w:r w:rsidRPr="00796A9D">
        <w:rPr>
          <w:rFonts w:ascii="Times New Roman" w:hAnsi="Times New Roman" w:cs="Times New Roman"/>
        </w:rPr>
        <w:t xml:space="preserve">, pp. 204-205. </w:t>
      </w:r>
    </w:p>
  </w:footnote>
  <w:footnote w:id="392">
    <w:p w14:paraId="14EFBED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smallCaps/>
        </w:rPr>
        <w:t xml:space="preserve">Anonimo, </w:t>
      </w:r>
      <w:r w:rsidRPr="00796A9D">
        <w:rPr>
          <w:rFonts w:ascii="Times New Roman" w:hAnsi="Times New Roman" w:cs="Times New Roman"/>
          <w:i/>
        </w:rPr>
        <w:t xml:space="preserve">Ordine de le noze de lo Illustrissimo Signor misir Costantio Sfortia, </w:t>
      </w:r>
      <w:r w:rsidRPr="00796A9D">
        <w:rPr>
          <w:rFonts w:ascii="Times New Roman" w:hAnsi="Times New Roman" w:cs="Times New Roman"/>
        </w:rPr>
        <w:t>cit, c. e3r.</w:t>
      </w:r>
    </w:p>
  </w:footnote>
  <w:footnote w:id="393">
    <w:p w14:paraId="4C79C447" w14:textId="77777777" w:rsidR="00CF5CFB" w:rsidRPr="0037420B" w:rsidRDefault="00CF5CFB" w:rsidP="0037420B">
      <w:pPr>
        <w:spacing w:after="0" w:line="240" w:lineRule="auto"/>
        <w:jc w:val="both"/>
        <w:rPr>
          <w:rFonts w:ascii="Times New Roman" w:hAnsi="Times New Roman" w:cs="Times New Roman"/>
          <w:sz w:val="20"/>
          <w:szCs w:val="20"/>
        </w:rPr>
      </w:pPr>
      <w:r w:rsidRPr="0037420B">
        <w:rPr>
          <w:rStyle w:val="Rimandonotaapidipagina"/>
          <w:rFonts w:ascii="Times New Roman" w:hAnsi="Times New Roman" w:cs="Times New Roman"/>
          <w:sz w:val="20"/>
          <w:szCs w:val="20"/>
        </w:rPr>
        <w:footnoteRef/>
      </w:r>
      <w:r w:rsidRPr="0037420B">
        <w:rPr>
          <w:rFonts w:ascii="Times New Roman" w:hAnsi="Times New Roman" w:cs="Times New Roman"/>
          <w:sz w:val="20"/>
          <w:szCs w:val="20"/>
        </w:rPr>
        <w:t xml:space="preserve"> Di queste monete non è pervenuto alcun esemplare.</w:t>
      </w:r>
      <w:r>
        <w:rPr>
          <w:rFonts w:ascii="Times New Roman" w:hAnsi="Times New Roman" w:cs="Times New Roman"/>
          <w:sz w:val="20"/>
          <w:szCs w:val="20"/>
        </w:rPr>
        <w:t xml:space="preserve"> </w:t>
      </w:r>
      <w:r w:rsidRPr="0037420B">
        <w:rPr>
          <w:rFonts w:ascii="Times New Roman" w:hAnsi="Times New Roman" w:cs="Times New Roman"/>
          <w:sz w:val="20"/>
          <w:szCs w:val="20"/>
        </w:rPr>
        <w:t xml:space="preserve">È notevole il fatto che proprio nella primavera del 1475 Costanzo avesse ottenuto il permesso di battere moneta d’argento e di rame; permesso del quale, in precedenza, aveva goduto anche suo padre Alessandro. Cfr. </w:t>
      </w:r>
      <w:r w:rsidRPr="0037420B">
        <w:rPr>
          <w:rFonts w:ascii="Times New Roman" w:hAnsi="Times New Roman" w:cs="Times New Roman"/>
          <w:smallCaps/>
          <w:sz w:val="20"/>
          <w:szCs w:val="20"/>
        </w:rPr>
        <w:t>F. Ambrogiani</w:t>
      </w:r>
      <w:r w:rsidRPr="0037420B">
        <w:rPr>
          <w:rFonts w:ascii="Times New Roman" w:hAnsi="Times New Roman" w:cs="Times New Roman"/>
          <w:sz w:val="20"/>
          <w:szCs w:val="20"/>
        </w:rPr>
        <w:t xml:space="preserve">, </w:t>
      </w:r>
      <w:r w:rsidRPr="0037420B">
        <w:rPr>
          <w:rFonts w:ascii="Times New Roman" w:hAnsi="Times New Roman" w:cs="Times New Roman"/>
          <w:i/>
          <w:sz w:val="20"/>
          <w:szCs w:val="20"/>
        </w:rPr>
        <w:t>Vita di Costanzo Sforza (1447-1483)</w:t>
      </w:r>
      <w:r w:rsidRPr="0037420B">
        <w:rPr>
          <w:rFonts w:ascii="Times New Roman" w:hAnsi="Times New Roman" w:cs="Times New Roman"/>
          <w:sz w:val="20"/>
          <w:szCs w:val="20"/>
        </w:rPr>
        <w:t xml:space="preserve">, cit., p. 80, che riproduce tutte le monete superstiti dell’epoca della signoria di Costanzo. </w:t>
      </w:r>
    </w:p>
  </w:footnote>
  <w:footnote w:id="394">
    <w:p w14:paraId="766BC72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L’incunabolo registra soltanto i nomi di Ludovico da Barteo, che offrì le sculture di zucchero della colazione di lunedì 29 maggio, e di Antonio Costanzi da Fano, autore della saffica recitata nella medesima giornata di festa.</w:t>
      </w:r>
    </w:p>
  </w:footnote>
  <w:footnote w:id="395">
    <w:p w14:paraId="1FC3606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matrimonio di Battista Sforza fu celebrato l’8 febbraio 1460 a Pesaro. Le feste proseguirono a Urbino fino al 12 del mese, quando Federico dovette recarsi a Siena per rispondere alla chiamata alle armi di papa Pio II. Descrizioni dei festeggiamenti, cui prese parte il celebre maestro di danza </w:t>
      </w:r>
      <w:bookmarkStart w:id="319" w:name="_Hlk535919555"/>
      <w:r w:rsidRPr="00796A9D">
        <w:rPr>
          <w:rFonts w:ascii="Times New Roman" w:hAnsi="Times New Roman" w:cs="Times New Roman"/>
        </w:rPr>
        <w:t>Guglielmo Ebreo da Pesaro</w:t>
      </w:r>
      <w:bookmarkEnd w:id="319"/>
      <w:r w:rsidRPr="00796A9D">
        <w:rPr>
          <w:rFonts w:ascii="Times New Roman" w:hAnsi="Times New Roman" w:cs="Times New Roman"/>
        </w:rPr>
        <w:t xml:space="preserve">, furono scritte in versi da ser Gaugello de la Pergola ne </w:t>
      </w:r>
      <w:r w:rsidRPr="00796A9D">
        <w:rPr>
          <w:rFonts w:ascii="Times New Roman" w:hAnsi="Times New Roman" w:cs="Times New Roman"/>
          <w:i/>
        </w:rPr>
        <w:t>Il Pellegrino</w:t>
      </w:r>
      <w:r w:rsidRPr="00796A9D">
        <w:rPr>
          <w:rFonts w:ascii="Times New Roman" w:hAnsi="Times New Roman" w:cs="Times New Roman"/>
        </w:rPr>
        <w:t xml:space="preserve"> (1464) e nel </w:t>
      </w:r>
      <w:r w:rsidRPr="00796A9D">
        <w:rPr>
          <w:rFonts w:ascii="Times New Roman" w:hAnsi="Times New Roman" w:cs="Times New Roman"/>
          <w:i/>
        </w:rPr>
        <w:t>De vita et morte illustris dominae Baptistae Sfortiae</w:t>
      </w:r>
      <w:r w:rsidRPr="00796A9D">
        <w:rPr>
          <w:rFonts w:ascii="Times New Roman" w:hAnsi="Times New Roman" w:cs="Times New Roman"/>
        </w:rPr>
        <w:t xml:space="preserve"> (1472). Per esse e per la documentazione sullo sposalizio rinvio a </w:t>
      </w:r>
      <w:bookmarkStart w:id="320" w:name="_Hlk526015161"/>
      <w:r w:rsidRPr="00796A9D">
        <w:rPr>
          <w:rFonts w:ascii="Times New Roman" w:hAnsi="Times New Roman" w:cs="Times New Roman"/>
          <w:smallCaps/>
        </w:rPr>
        <w:t>M. Bonvini Mazzanti</w:t>
      </w:r>
      <w:r w:rsidRPr="00796A9D">
        <w:rPr>
          <w:rFonts w:ascii="Times New Roman" w:hAnsi="Times New Roman" w:cs="Times New Roman"/>
        </w:rPr>
        <w:t xml:space="preserve">, </w:t>
      </w:r>
      <w:r w:rsidRPr="00796A9D">
        <w:rPr>
          <w:rFonts w:ascii="Times New Roman" w:hAnsi="Times New Roman" w:cs="Times New Roman"/>
          <w:i/>
        </w:rPr>
        <w:t>Battista Sforza Montefeltro. Una principessa nel Rinascimento italiano</w:t>
      </w:r>
      <w:r w:rsidRPr="00796A9D">
        <w:rPr>
          <w:rFonts w:ascii="Times New Roman" w:hAnsi="Times New Roman" w:cs="Times New Roman"/>
        </w:rPr>
        <w:t>, Urbino, Quattro Venti, 1993</w:t>
      </w:r>
      <w:bookmarkEnd w:id="320"/>
      <w:r w:rsidRPr="00796A9D">
        <w:rPr>
          <w:rFonts w:ascii="Times New Roman" w:hAnsi="Times New Roman" w:cs="Times New Roman"/>
        </w:rPr>
        <w:t xml:space="preserve">, pp. 63-71. </w:t>
      </w:r>
    </w:p>
  </w:footnote>
  <w:footnote w:id="396">
    <w:p w14:paraId="255655C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Città del Vaticano, Biblioteca Apostolica Vaticana, mss. Urb. Lat. 716 e 717. Per i tempi di realizzazione dei due codici, per le loro varianti e per un profilo biografico dell’autore rimando a </w:t>
      </w:r>
      <w:r w:rsidRPr="00796A9D">
        <w:rPr>
          <w:rFonts w:ascii="Times New Roman" w:hAnsi="Times New Roman" w:cs="Times New Roman"/>
          <w:smallCaps/>
        </w:rPr>
        <w:t>G. Arbizzoni</w:t>
      </w:r>
      <w:r w:rsidRPr="00796A9D">
        <w:rPr>
          <w:rFonts w:ascii="Times New Roman" w:hAnsi="Times New Roman" w:cs="Times New Roman"/>
        </w:rPr>
        <w:t xml:space="preserve">, s.v. </w:t>
      </w:r>
      <w:r w:rsidRPr="00796A9D">
        <w:rPr>
          <w:rFonts w:ascii="Times New Roman" w:hAnsi="Times New Roman" w:cs="Times New Roman"/>
          <w:i/>
        </w:rPr>
        <w:t>Lazzarelli, Ludovico</w:t>
      </w:r>
      <w:r w:rsidRPr="00796A9D">
        <w:rPr>
          <w:rFonts w:ascii="Times New Roman" w:hAnsi="Times New Roman" w:cs="Times New Roman"/>
        </w:rPr>
        <w:t xml:space="preserve">, DBI, 2005, vol. LXIV, pp. 180-184. Per l’edizione moderna del testo si veda </w:t>
      </w:r>
      <w:bookmarkStart w:id="322" w:name="_Hlk526015271"/>
      <w:r w:rsidRPr="00796A9D">
        <w:rPr>
          <w:rFonts w:ascii="Times New Roman" w:hAnsi="Times New Roman" w:cs="Times New Roman"/>
          <w:smallCaps/>
        </w:rPr>
        <w:t>L. Lazzarelli</w:t>
      </w:r>
      <w:r w:rsidRPr="00796A9D">
        <w:rPr>
          <w:rFonts w:ascii="Times New Roman" w:hAnsi="Times New Roman" w:cs="Times New Roman"/>
        </w:rPr>
        <w:t xml:space="preserve">, </w:t>
      </w:r>
      <w:r w:rsidRPr="00796A9D">
        <w:rPr>
          <w:rFonts w:ascii="Times New Roman" w:hAnsi="Times New Roman" w:cs="Times New Roman"/>
          <w:i/>
        </w:rPr>
        <w:t>De gentilium deorum imaginibus</w:t>
      </w:r>
      <w:r w:rsidRPr="00796A9D">
        <w:rPr>
          <w:rFonts w:ascii="Times New Roman" w:hAnsi="Times New Roman" w:cs="Times New Roman"/>
        </w:rPr>
        <w:t xml:space="preserve">, a cura di </w:t>
      </w:r>
      <w:r w:rsidRPr="00796A9D">
        <w:rPr>
          <w:rFonts w:ascii="Times New Roman" w:hAnsi="Times New Roman" w:cs="Times New Roman"/>
          <w:smallCaps/>
        </w:rPr>
        <w:t>C. Corfiati</w:t>
      </w:r>
      <w:r w:rsidRPr="00796A9D">
        <w:rPr>
          <w:rFonts w:ascii="Times New Roman" w:hAnsi="Times New Roman" w:cs="Times New Roman"/>
        </w:rPr>
        <w:t xml:space="preserve">, Messina, Centro interdipartimentale di studi umanistici, 2006.   </w:t>
      </w:r>
      <w:bookmarkEnd w:id="322"/>
    </w:p>
  </w:footnote>
  <w:footnote w:id="397">
    <w:p w14:paraId="7C250DD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contributo dell’autore alla definizione dei programmi iconografici dei due codici urbinati è ricostruito in </w:t>
      </w:r>
      <w:bookmarkStart w:id="323" w:name="_Hlk526015353"/>
      <w:r w:rsidRPr="00796A9D">
        <w:rPr>
          <w:rFonts w:ascii="Times New Roman" w:hAnsi="Times New Roman" w:cs="Times New Roman"/>
          <w:smallCaps/>
        </w:rPr>
        <w:t>L. Lazzarelli</w:t>
      </w:r>
      <w:r w:rsidRPr="00796A9D">
        <w:rPr>
          <w:rFonts w:ascii="Times New Roman" w:hAnsi="Times New Roman" w:cs="Times New Roman"/>
        </w:rPr>
        <w:t xml:space="preserve">, </w:t>
      </w:r>
      <w:r w:rsidRPr="00796A9D">
        <w:rPr>
          <w:rFonts w:ascii="Times New Roman" w:hAnsi="Times New Roman" w:cs="Times New Roman"/>
          <w:i/>
        </w:rPr>
        <w:t>Opere ermetiche</w:t>
      </w:r>
      <w:r w:rsidRPr="00796A9D">
        <w:rPr>
          <w:rFonts w:ascii="Times New Roman" w:hAnsi="Times New Roman" w:cs="Times New Roman"/>
        </w:rPr>
        <w:t xml:space="preserve">, a cura di </w:t>
      </w:r>
      <w:r w:rsidRPr="00796A9D">
        <w:rPr>
          <w:rFonts w:ascii="Times New Roman" w:hAnsi="Times New Roman" w:cs="Times New Roman"/>
          <w:smallCaps/>
        </w:rPr>
        <w:t>C. Moreschini, M.P. Saci, F. Troncarelli</w:t>
      </w:r>
      <w:r w:rsidRPr="00796A9D">
        <w:rPr>
          <w:rFonts w:ascii="Times New Roman" w:hAnsi="Times New Roman" w:cs="Times New Roman"/>
        </w:rPr>
        <w:t>, Pisa, Fabrizio Serra, 2009</w:t>
      </w:r>
      <w:bookmarkEnd w:id="323"/>
      <w:r w:rsidRPr="00796A9D">
        <w:rPr>
          <w:rFonts w:ascii="Times New Roman" w:hAnsi="Times New Roman" w:cs="Times New Roman"/>
        </w:rPr>
        <w:t xml:space="preserve">, p. 14. </w:t>
      </w:r>
    </w:p>
  </w:footnote>
  <w:footnote w:id="398">
    <w:p w14:paraId="34905EC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L. Lazzarelli</w:t>
      </w:r>
      <w:r w:rsidRPr="00796A9D">
        <w:rPr>
          <w:rFonts w:ascii="Times New Roman" w:hAnsi="Times New Roman" w:cs="Times New Roman"/>
        </w:rPr>
        <w:t xml:space="preserve">, </w:t>
      </w:r>
      <w:r w:rsidRPr="00796A9D">
        <w:rPr>
          <w:rFonts w:ascii="Times New Roman" w:hAnsi="Times New Roman" w:cs="Times New Roman"/>
          <w:i/>
        </w:rPr>
        <w:t>De gentilium deorum imaginibus</w:t>
      </w:r>
      <w:r w:rsidRPr="00796A9D">
        <w:rPr>
          <w:rFonts w:ascii="Times New Roman" w:hAnsi="Times New Roman" w:cs="Times New Roman"/>
        </w:rPr>
        <w:t>, cit., I, 1, v. 7-10.</w:t>
      </w:r>
    </w:p>
  </w:footnote>
  <w:footnote w:id="399">
    <w:p w14:paraId="218FB26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cosiddetti </w:t>
      </w:r>
      <w:r w:rsidRPr="00796A9D">
        <w:rPr>
          <w:rFonts w:ascii="Times New Roman" w:hAnsi="Times New Roman" w:cs="Times New Roman"/>
          <w:i/>
        </w:rPr>
        <w:t>Tarocchi del Mantegna</w:t>
      </w:r>
      <w:r w:rsidRPr="00796A9D">
        <w:rPr>
          <w:rFonts w:ascii="Times New Roman" w:hAnsi="Times New Roman" w:cs="Times New Roman"/>
        </w:rPr>
        <w:t xml:space="preserve">, una serie di cinquanta stampe incise a bulino tra il 1460 e il 1470, presentano cinque sequenze di immagini suddivisibili in gruppi di dieci carte: le classi sociali dal povero al pontefice; Apollo e le Muse; le Arti Liberali; le Virtù e le figure astronomiche; i Pianeti e i cerchi celesti. Godettero di larghissima diffusione per tutto il secolo XV. Per la loro influenza sui miniatori dei codici di cui trattiamo, colta </w:t>
      </w:r>
      <w:r w:rsidRPr="00796A9D">
        <w:rPr>
          <w:rFonts w:ascii="Times New Roman" w:hAnsi="Times New Roman" w:cs="Times New Roman"/>
          <w:i/>
        </w:rPr>
        <w:t>in primis</w:t>
      </w:r>
      <w:r w:rsidRPr="00796A9D">
        <w:rPr>
          <w:rFonts w:ascii="Times New Roman" w:hAnsi="Times New Roman" w:cs="Times New Roman"/>
        </w:rPr>
        <w:t xml:space="preserve"> da Kristeller e poi da Saxl, e sulla pittura urbinate coeva si veda </w:t>
      </w:r>
      <w:bookmarkStart w:id="324" w:name="_Hlk526015490"/>
      <w:r w:rsidRPr="00796A9D">
        <w:rPr>
          <w:rFonts w:ascii="Times New Roman" w:hAnsi="Times New Roman" w:cs="Times New Roman"/>
          <w:smallCaps/>
        </w:rPr>
        <w:t>L. Donati</w:t>
      </w:r>
      <w:r w:rsidRPr="00796A9D">
        <w:rPr>
          <w:rFonts w:ascii="Times New Roman" w:hAnsi="Times New Roman" w:cs="Times New Roman"/>
        </w:rPr>
        <w:t xml:space="preserve">, </w:t>
      </w:r>
      <w:r w:rsidRPr="00796A9D">
        <w:rPr>
          <w:rFonts w:ascii="Times New Roman" w:hAnsi="Times New Roman" w:cs="Times New Roman"/>
          <w:i/>
        </w:rPr>
        <w:t>Le fonti iconografiche di alcuni manoscritti urbinati della Biblioteca Vaticana. Osservazioni intorno ai cosiddetti Tarocchi del Mantegna</w:t>
      </w:r>
      <w:r w:rsidRPr="00796A9D">
        <w:rPr>
          <w:rFonts w:ascii="Times New Roman" w:hAnsi="Times New Roman" w:cs="Times New Roman"/>
        </w:rPr>
        <w:t>, «La Bibliofilia», LXI, 1959, pp. 48-129.</w:t>
      </w:r>
      <w:bookmarkEnd w:id="324"/>
    </w:p>
  </w:footnote>
  <w:footnote w:id="400">
    <w:p w14:paraId="20BC24A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Questa referenza iconografica è segnalata da R. </w:t>
      </w:r>
      <w:r w:rsidRPr="00796A9D">
        <w:rPr>
          <w:rFonts w:ascii="Times New Roman" w:hAnsi="Times New Roman" w:cs="Times New Roman"/>
          <w:smallCaps/>
        </w:rPr>
        <w:t>Guarino</w:t>
      </w:r>
      <w:r w:rsidRPr="00796A9D">
        <w:rPr>
          <w:rFonts w:ascii="Times New Roman" w:hAnsi="Times New Roman" w:cs="Times New Roman"/>
        </w:rPr>
        <w:t xml:space="preserve">, </w:t>
      </w:r>
      <w:r w:rsidRPr="00796A9D">
        <w:rPr>
          <w:rFonts w:ascii="Times New Roman" w:hAnsi="Times New Roman" w:cs="Times New Roman"/>
          <w:i/>
        </w:rPr>
        <w:t>La presenza degli dei</w:t>
      </w:r>
      <w:r w:rsidRPr="00796A9D">
        <w:rPr>
          <w:rFonts w:ascii="Times New Roman" w:hAnsi="Times New Roman" w:cs="Times New Roman"/>
        </w:rPr>
        <w:t xml:space="preserve">, cit., p. 26.  Già nel 1465-1466 dai </w:t>
      </w:r>
      <w:r w:rsidRPr="00796A9D">
        <w:rPr>
          <w:rFonts w:ascii="Times New Roman" w:hAnsi="Times New Roman" w:cs="Times New Roman"/>
          <w:i/>
        </w:rPr>
        <w:t>Sette Pianeti</w:t>
      </w:r>
      <w:r w:rsidRPr="00796A9D">
        <w:rPr>
          <w:rFonts w:ascii="Times New Roman" w:hAnsi="Times New Roman" w:cs="Times New Roman"/>
        </w:rPr>
        <w:t xml:space="preserve"> di Baccio Baldini venne tratta una seconda serie, compiuta da un incisore di minore abilità. L’ingresso di questo repertorio iconografico nel patrimonio delle immagini degli artisti italiani della seconda metà del Quattrocento è esemplificato dalle allegorie planetarie dipinte da Pinturicchio nel soffitto della Sala delle Sibille dell’appartamento Borgia in Vaticano (1492-1494) e in quello della Sala delle Udienze del Collegio del Cambio a Perugia (1495-1500). Cfr. </w:t>
      </w:r>
      <w:bookmarkStart w:id="326" w:name="_Hlk526015592"/>
      <w:r w:rsidRPr="00796A9D">
        <w:rPr>
          <w:rFonts w:ascii="Times New Roman" w:hAnsi="Times New Roman" w:cs="Times New Roman"/>
          <w:smallCaps/>
        </w:rPr>
        <w:t>L. Pezzuto</w:t>
      </w:r>
      <w:r w:rsidRPr="00796A9D">
        <w:rPr>
          <w:rFonts w:ascii="Times New Roman" w:hAnsi="Times New Roman" w:cs="Times New Roman"/>
        </w:rPr>
        <w:t xml:space="preserve">, </w:t>
      </w:r>
      <w:r w:rsidRPr="00796A9D">
        <w:rPr>
          <w:rFonts w:ascii="Times New Roman" w:hAnsi="Times New Roman" w:cs="Times New Roman"/>
          <w:i/>
        </w:rPr>
        <w:t>“I Pianeti Finiguerra”, Il recupero della Fortuna di un modello iconografico noto tra la fine del Quattrocento e gli inizi del Cinquecento</w:t>
      </w:r>
      <w:r w:rsidRPr="00796A9D">
        <w:rPr>
          <w:rFonts w:ascii="Times New Roman" w:hAnsi="Times New Roman" w:cs="Times New Roman"/>
        </w:rPr>
        <w:t xml:space="preserve">, «Iconographica», XIV, 2015,141-152. </w:t>
      </w:r>
      <w:bookmarkEnd w:id="326"/>
    </w:p>
  </w:footnote>
  <w:footnote w:id="401">
    <w:p w14:paraId="6CD6476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 xml:space="preserve">Anonimo, </w:t>
      </w:r>
      <w:r w:rsidRPr="00796A9D">
        <w:rPr>
          <w:rFonts w:ascii="Times New Roman" w:hAnsi="Times New Roman" w:cs="Times New Roman"/>
          <w:i/>
        </w:rPr>
        <w:t xml:space="preserve">Ordine de le noze de lo Illustrissimo Signor misir Costantio Sfortia, </w:t>
      </w:r>
      <w:r w:rsidRPr="00796A9D">
        <w:rPr>
          <w:rFonts w:ascii="Times New Roman" w:hAnsi="Times New Roman" w:cs="Times New Roman"/>
        </w:rPr>
        <w:t>cit., c. d3r.</w:t>
      </w:r>
    </w:p>
  </w:footnote>
  <w:footnote w:id="402">
    <w:p w14:paraId="737EDBA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Città del Vaticano, Biblioteca Apostolica Vaticana, Urb. Lat. 329. </w:t>
      </w:r>
    </w:p>
  </w:footnote>
  <w:footnote w:id="403">
    <w:p w14:paraId="64BD018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Dell’ampia bibliografia dedicata al processo di restituzione dell’antico si vedano i pionieristici studi di </w:t>
      </w:r>
      <w:bookmarkStart w:id="328" w:name="_Hlk526015691"/>
      <w:r w:rsidRPr="00796A9D">
        <w:rPr>
          <w:rFonts w:ascii="Times New Roman" w:hAnsi="Times New Roman" w:cs="Times New Roman"/>
          <w:smallCaps/>
        </w:rPr>
        <w:t>E. Panofsky, F. Saxl</w:t>
      </w:r>
      <w:r w:rsidRPr="00796A9D">
        <w:rPr>
          <w:rFonts w:ascii="Times New Roman" w:hAnsi="Times New Roman" w:cs="Times New Roman"/>
        </w:rPr>
        <w:t xml:space="preserve">, </w:t>
      </w:r>
      <w:r w:rsidRPr="00796A9D">
        <w:rPr>
          <w:rFonts w:ascii="Times New Roman" w:hAnsi="Times New Roman" w:cs="Times New Roman"/>
          <w:i/>
        </w:rPr>
        <w:t>Classical Mythology in Medieval Art</w:t>
      </w:r>
      <w:r w:rsidRPr="00796A9D">
        <w:rPr>
          <w:rFonts w:ascii="Times New Roman" w:hAnsi="Times New Roman" w:cs="Times New Roman"/>
        </w:rPr>
        <w:t>, «Metropolitan Museum Studies», IV, 1933, pp. 228-279</w:t>
      </w:r>
      <w:bookmarkEnd w:id="328"/>
      <w:r w:rsidRPr="00796A9D">
        <w:rPr>
          <w:rFonts w:ascii="Times New Roman" w:hAnsi="Times New Roman" w:cs="Times New Roman"/>
        </w:rPr>
        <w:t xml:space="preserve">, ripresi da </w:t>
      </w:r>
      <w:bookmarkStart w:id="329" w:name="_Hlk526015756"/>
      <w:r w:rsidRPr="00796A9D">
        <w:rPr>
          <w:rFonts w:ascii="Times New Roman" w:hAnsi="Times New Roman" w:cs="Times New Roman"/>
          <w:smallCaps/>
        </w:rPr>
        <w:t>E.H. Gombrich</w:t>
      </w:r>
      <w:r w:rsidRPr="00796A9D">
        <w:rPr>
          <w:rFonts w:ascii="Times New Roman" w:hAnsi="Times New Roman" w:cs="Times New Roman"/>
        </w:rPr>
        <w:t xml:space="preserve">, </w:t>
      </w:r>
      <w:r w:rsidRPr="00796A9D">
        <w:rPr>
          <w:rFonts w:ascii="Times New Roman" w:hAnsi="Times New Roman" w:cs="Times New Roman"/>
          <w:i/>
        </w:rPr>
        <w:t>Immagini simboliche: studi sull'arte nel Rinascimento</w:t>
      </w:r>
      <w:r w:rsidRPr="00796A9D">
        <w:rPr>
          <w:rFonts w:ascii="Times New Roman" w:hAnsi="Times New Roman" w:cs="Times New Roman"/>
        </w:rPr>
        <w:t>, Torino, Einaudi, 1978</w:t>
      </w:r>
      <w:bookmarkEnd w:id="329"/>
      <w:r w:rsidRPr="00796A9D">
        <w:rPr>
          <w:rFonts w:ascii="Times New Roman" w:hAnsi="Times New Roman" w:cs="Times New Roman"/>
        </w:rPr>
        <w:t xml:space="preserve">, che considera il problema dell’efficacia simbolica delle immagini degli dèi pagani in rapporto alle possibili suggestioni emotive prodotte sugli spettatori tanto nel campo delle arti pittoriche quanto in quello delle azioni performative. </w:t>
      </w:r>
    </w:p>
  </w:footnote>
  <w:footnote w:id="404">
    <w:p w14:paraId="41EFDDD3" w14:textId="77777777" w:rsidR="00CF5CFB" w:rsidRPr="00796A9D" w:rsidRDefault="00CF5CFB" w:rsidP="00796A9D">
      <w:pPr>
        <w:spacing w:after="0" w:line="240" w:lineRule="auto"/>
        <w:ind w:right="-1"/>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Claudia Cieri Via avanzò, ad esempio, una suggestiva ipotesi secondo la quale le immagini e il testo dell’Urb. Lat. 899 celerebbero un misterioso rituale alchemico. La proposta si fondò sull’errata lettura del nome del copista del testimone fiorentino della cronaca, che la studiosa identificò con Niccolò d’Antonio degli Agli, accademico platonico e amico del Ficino, elevandolo ad autore del testo. Tale dato la spinse a dimostrare come la scelta dei colori di alcune delle vesti dei figuranti della festa avrebbero alluso alle fasi dei processi alchemici, mettendo il testo a paragone con referenti letterari di epoche successive. Cfr. </w:t>
      </w:r>
      <w:bookmarkStart w:id="330" w:name="_Hlk526015894"/>
      <w:r w:rsidRPr="00796A9D">
        <w:rPr>
          <w:rFonts w:ascii="Times New Roman" w:hAnsi="Times New Roman" w:cs="Times New Roman"/>
          <w:sz w:val="20"/>
          <w:szCs w:val="20"/>
        </w:rPr>
        <w:t xml:space="preserve">C. </w:t>
      </w:r>
      <w:r w:rsidRPr="00796A9D">
        <w:rPr>
          <w:rFonts w:ascii="Times New Roman" w:hAnsi="Times New Roman" w:cs="Times New Roman"/>
          <w:smallCaps/>
          <w:sz w:val="20"/>
          <w:szCs w:val="20"/>
        </w:rPr>
        <w:t>Cieri Via</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L’«ordine delle nozze» di Costanzo Sforza e Camilla d’Aragona nel ms. Urb.Lat. 899</w:t>
      </w:r>
      <w:r w:rsidRPr="00796A9D">
        <w:rPr>
          <w:rFonts w:ascii="Times New Roman" w:hAnsi="Times New Roman" w:cs="Times New Roman"/>
          <w:sz w:val="20"/>
          <w:szCs w:val="20"/>
        </w:rPr>
        <w:t>, in</w:t>
      </w:r>
      <w:r w:rsidRPr="00796A9D">
        <w:rPr>
          <w:rFonts w:ascii="Times New Roman" w:hAnsi="Times New Roman" w:cs="Times New Roman"/>
          <w:i/>
          <w:sz w:val="20"/>
          <w:szCs w:val="20"/>
        </w:rPr>
        <w:t xml:space="preserve"> La città dei segreti. Magia, astrologia e cultura esoterica a Roma (XV-XVIII sec.)</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F. Troncarelli</w:t>
      </w:r>
      <w:r w:rsidRPr="00796A9D">
        <w:rPr>
          <w:rFonts w:ascii="Times New Roman" w:hAnsi="Times New Roman" w:cs="Times New Roman"/>
          <w:sz w:val="20"/>
          <w:szCs w:val="20"/>
        </w:rPr>
        <w:t xml:space="preserve">, Milano, Franco Angeli, 1985, pp. 185-197. </w:t>
      </w:r>
      <w:bookmarkEnd w:id="330"/>
      <w:r w:rsidRPr="00796A9D">
        <w:rPr>
          <w:rFonts w:ascii="Times New Roman" w:hAnsi="Times New Roman" w:cs="Times New Roman"/>
          <w:sz w:val="20"/>
          <w:szCs w:val="20"/>
        </w:rPr>
        <w:t xml:space="preserve">Un’attenta confutazione delle tesi della studiosa, che esclude un rapporto tra la cronaca pesarese e le scienze alchemiche per ricondurla invece all’ambito degli studi sulla mitologia del secolo XV, è offerta da </w:t>
      </w:r>
      <w:bookmarkStart w:id="331" w:name="_Hlk526015960"/>
      <w:r w:rsidRPr="00796A9D">
        <w:rPr>
          <w:rFonts w:ascii="Times New Roman" w:hAnsi="Times New Roman" w:cs="Times New Roman"/>
          <w:smallCaps/>
          <w:sz w:val="20"/>
          <w:szCs w:val="20"/>
        </w:rPr>
        <w:t>M. Gabriele</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Alchimia e storia dell’arte</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Il fuoco che non brucia. Studi sull’alchimia</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M. Marra</w:t>
      </w:r>
      <w:r w:rsidRPr="00796A9D">
        <w:rPr>
          <w:rFonts w:ascii="Times New Roman" w:hAnsi="Times New Roman" w:cs="Times New Roman"/>
          <w:sz w:val="20"/>
          <w:szCs w:val="20"/>
        </w:rPr>
        <w:t>, Milano, Mimesis, 2009, pp. 129-150.</w:t>
      </w:r>
      <w:bookmarkEnd w:id="331"/>
    </w:p>
  </w:footnote>
  <w:footnote w:id="405">
    <w:p w14:paraId="2A1DBC5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veda </w:t>
      </w:r>
      <w:bookmarkStart w:id="333" w:name="_Hlk526016115"/>
      <w:r w:rsidRPr="00796A9D">
        <w:rPr>
          <w:rFonts w:ascii="Times New Roman" w:hAnsi="Times New Roman" w:cs="Times New Roman"/>
          <w:smallCaps/>
        </w:rPr>
        <w:t>M.G. Ciardi Dupré Dal Poggetto</w:t>
      </w:r>
      <w:r w:rsidRPr="00796A9D">
        <w:rPr>
          <w:rFonts w:ascii="Times New Roman" w:hAnsi="Times New Roman" w:cs="Times New Roman"/>
        </w:rPr>
        <w:t xml:space="preserve">, </w:t>
      </w:r>
      <w:r w:rsidRPr="00796A9D">
        <w:rPr>
          <w:rFonts w:ascii="Times New Roman" w:hAnsi="Times New Roman" w:cs="Times New Roman"/>
          <w:i/>
        </w:rPr>
        <w:t>Un problema di coerenza: memoria e realizzazione nella pittura di Giovanni Santi. Nuove prospettive cronologiche e attributive</w:t>
      </w:r>
      <w:r w:rsidRPr="00796A9D">
        <w:rPr>
          <w:rFonts w:ascii="Times New Roman" w:hAnsi="Times New Roman" w:cs="Times New Roman"/>
        </w:rPr>
        <w:t xml:space="preserve">, in </w:t>
      </w:r>
      <w:r w:rsidRPr="00796A9D">
        <w:rPr>
          <w:rFonts w:ascii="Times New Roman" w:hAnsi="Times New Roman" w:cs="Times New Roman"/>
          <w:i/>
        </w:rPr>
        <w:t>Giovanni Santi</w:t>
      </w:r>
      <w:r w:rsidRPr="00796A9D">
        <w:rPr>
          <w:rFonts w:ascii="Times New Roman" w:hAnsi="Times New Roman" w:cs="Times New Roman"/>
        </w:rPr>
        <w:t xml:space="preserve">, Atti del convegno internazionale di Studi (Urbino 17-19 marzo 1995), a cura di </w:t>
      </w:r>
      <w:r w:rsidRPr="00796A9D">
        <w:rPr>
          <w:rFonts w:ascii="Times New Roman" w:hAnsi="Times New Roman" w:cs="Times New Roman"/>
          <w:smallCaps/>
        </w:rPr>
        <w:t>R. Varese</w:t>
      </w:r>
      <w:r w:rsidRPr="00796A9D">
        <w:rPr>
          <w:rFonts w:ascii="Times New Roman" w:hAnsi="Times New Roman" w:cs="Times New Roman"/>
        </w:rPr>
        <w:t>, Milano, Electa, 1999, pp. 105-114</w:t>
      </w:r>
      <w:bookmarkEnd w:id="333"/>
      <w:r w:rsidRPr="00796A9D">
        <w:rPr>
          <w:rFonts w:ascii="Times New Roman" w:hAnsi="Times New Roman" w:cs="Times New Roman"/>
        </w:rPr>
        <w:t xml:space="preserve">, che sottolinea le similarità tra la tavolozza dei colori impiegati dal Santi nelle miniature e quella delle sue prime opere su tela, proponendo di attribuire all’artista pure il codice Ottob. Lat. 1417 della Biblioteca Apostolica Vaticana: un compendio della </w:t>
      </w:r>
      <w:r w:rsidRPr="00796A9D">
        <w:rPr>
          <w:rFonts w:ascii="Times New Roman" w:hAnsi="Times New Roman" w:cs="Times New Roman"/>
          <w:i/>
        </w:rPr>
        <w:t>Historia Philippica</w:t>
      </w:r>
      <w:r w:rsidRPr="00796A9D">
        <w:rPr>
          <w:rFonts w:ascii="Times New Roman" w:hAnsi="Times New Roman" w:cs="Times New Roman"/>
        </w:rPr>
        <w:t xml:space="preserve"> di Giustino datato 1460. </w:t>
      </w:r>
    </w:p>
  </w:footnote>
  <w:footnote w:id="406">
    <w:p w14:paraId="51CE795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334" w:name="_Hlk526016247"/>
      <w:r w:rsidRPr="00796A9D">
        <w:rPr>
          <w:rFonts w:ascii="Times New Roman" w:hAnsi="Times New Roman" w:cs="Times New Roman"/>
          <w:smallCaps/>
        </w:rPr>
        <w:t>A. Saviotti</w:t>
      </w:r>
      <w:r w:rsidRPr="00796A9D">
        <w:rPr>
          <w:rFonts w:ascii="Times New Roman" w:hAnsi="Times New Roman" w:cs="Times New Roman"/>
        </w:rPr>
        <w:t xml:space="preserve">, </w:t>
      </w:r>
      <w:r w:rsidRPr="00796A9D">
        <w:rPr>
          <w:rFonts w:ascii="Times New Roman" w:hAnsi="Times New Roman" w:cs="Times New Roman"/>
          <w:i/>
        </w:rPr>
        <w:t>Una rappresentazione allegorica in Urbino nel 1474</w:t>
      </w:r>
      <w:r w:rsidRPr="00796A9D">
        <w:rPr>
          <w:rFonts w:ascii="Times New Roman" w:hAnsi="Times New Roman" w:cs="Times New Roman"/>
        </w:rPr>
        <w:t xml:space="preserve">, «Atti e Memorie della Real Accademica Petrarca di Scienze, Lettere ed Arti in Arezzo», I, 1920, pp. 180-236. La visita di Federico d’Aragona alla corte Napoli si svolse durante il viaggio da lui intrapreso per recarsi da Carlo il Temerario per chiederne in moglie la figlia Maria di Borgogna. Considerazioni sullo svolgimento della recita e sulle sue componenti musicali si leggono in </w:t>
      </w:r>
      <w:r w:rsidRPr="00796A9D">
        <w:rPr>
          <w:rFonts w:ascii="Times New Roman" w:hAnsi="Times New Roman" w:cs="Times New Roman"/>
          <w:smallCaps/>
        </w:rPr>
        <w:t>N. Guidobaldi</w:t>
      </w:r>
      <w:r w:rsidRPr="00796A9D">
        <w:rPr>
          <w:rFonts w:ascii="Times New Roman" w:hAnsi="Times New Roman" w:cs="Times New Roman"/>
        </w:rPr>
        <w:t xml:space="preserve">, </w:t>
      </w:r>
      <w:r w:rsidRPr="00796A9D">
        <w:rPr>
          <w:rFonts w:ascii="Times New Roman" w:hAnsi="Times New Roman" w:cs="Times New Roman"/>
          <w:i/>
        </w:rPr>
        <w:t>La musica di Federico di Montefeltro. Immagini e suoni alla corte di Urbino</w:t>
      </w:r>
      <w:r w:rsidRPr="00796A9D">
        <w:rPr>
          <w:rFonts w:ascii="Times New Roman" w:hAnsi="Times New Roman" w:cs="Times New Roman"/>
        </w:rPr>
        <w:t xml:space="preserve">, Firenze Olschki, 1995, pp. 52-61. </w:t>
      </w:r>
      <w:bookmarkEnd w:id="334"/>
    </w:p>
  </w:footnote>
  <w:footnote w:id="407">
    <w:p w14:paraId="7912F45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si legge in </w:t>
      </w:r>
      <w:bookmarkStart w:id="335" w:name="_Hlk526016809"/>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Mantova e Urbino (1471-1539). Isabella d’Este ed Elisabetta Gonzaga nelle relazioni famigliari e nelle vicende politiche</w:t>
      </w:r>
      <w:r w:rsidRPr="00796A9D">
        <w:rPr>
          <w:rFonts w:ascii="Times New Roman" w:hAnsi="Times New Roman" w:cs="Times New Roman"/>
        </w:rPr>
        <w:t>, Torino, Roux, 1893</w:t>
      </w:r>
      <w:bookmarkEnd w:id="335"/>
      <w:r w:rsidRPr="00796A9D">
        <w:rPr>
          <w:rFonts w:ascii="Times New Roman" w:hAnsi="Times New Roman" w:cs="Times New Roman"/>
        </w:rPr>
        <w:t xml:space="preserve">, pp. 18-21. Una discussione attenta della documentazione pervenuta sull’attività del Santi quale organizzatore di feste e spettacoli alla corte urbinate è offerta in </w:t>
      </w:r>
      <w:r w:rsidRPr="00796A9D">
        <w:rPr>
          <w:rFonts w:ascii="Times New Roman" w:hAnsi="Times New Roman" w:cs="Times New Roman"/>
          <w:smallCaps/>
        </w:rPr>
        <w:t>D. Seragnoli</w:t>
      </w:r>
      <w:r w:rsidRPr="00796A9D">
        <w:rPr>
          <w:rFonts w:ascii="Times New Roman" w:hAnsi="Times New Roman" w:cs="Times New Roman"/>
        </w:rPr>
        <w:t xml:space="preserve">, </w:t>
      </w:r>
      <w:r w:rsidRPr="00796A9D">
        <w:rPr>
          <w:rFonts w:ascii="Times New Roman" w:hAnsi="Times New Roman" w:cs="Times New Roman"/>
          <w:i/>
        </w:rPr>
        <w:t>Immaginazione e significati. Giovanni Santi e le culture della rappresentazione</w:t>
      </w:r>
      <w:r w:rsidRPr="00796A9D">
        <w:rPr>
          <w:rFonts w:ascii="Times New Roman" w:hAnsi="Times New Roman" w:cs="Times New Roman"/>
        </w:rPr>
        <w:t xml:space="preserve">, in </w:t>
      </w:r>
      <w:r w:rsidRPr="00796A9D">
        <w:rPr>
          <w:rFonts w:ascii="Times New Roman" w:hAnsi="Times New Roman" w:cs="Times New Roman"/>
          <w:i/>
        </w:rPr>
        <w:t>Giovanni Santi</w:t>
      </w:r>
      <w:r w:rsidRPr="00796A9D">
        <w:rPr>
          <w:rFonts w:ascii="Times New Roman" w:hAnsi="Times New Roman" w:cs="Times New Roman"/>
        </w:rPr>
        <w:t>, cit., pp. 119-140.</w:t>
      </w:r>
    </w:p>
  </w:footnote>
  <w:footnote w:id="408">
    <w:p w14:paraId="6734D51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Fondamentali, in relazione alla ricerca di continuità tra figurazioni teatrali e pittoriche nell’arte di Giovanni Santi, sono le osservazioni di </w:t>
      </w:r>
      <w:r w:rsidRPr="00796A9D">
        <w:rPr>
          <w:rFonts w:ascii="Times New Roman" w:hAnsi="Times New Roman" w:cs="Times New Roman"/>
          <w:smallCaps/>
        </w:rPr>
        <w:t>R. Varese</w:t>
      </w:r>
      <w:r w:rsidRPr="00796A9D">
        <w:rPr>
          <w:rFonts w:ascii="Times New Roman" w:hAnsi="Times New Roman" w:cs="Times New Roman"/>
        </w:rPr>
        <w:t xml:space="preserve">, </w:t>
      </w:r>
      <w:r w:rsidRPr="00796A9D">
        <w:rPr>
          <w:rFonts w:ascii="Times New Roman" w:hAnsi="Times New Roman" w:cs="Times New Roman"/>
          <w:i/>
        </w:rPr>
        <w:t>Giovanni Santi</w:t>
      </w:r>
      <w:r w:rsidRPr="00796A9D">
        <w:rPr>
          <w:rFonts w:ascii="Times New Roman" w:hAnsi="Times New Roman" w:cs="Times New Roman"/>
        </w:rPr>
        <w:t>, Fiesole, Nardini, 1994, pp. 183-227.</w:t>
      </w:r>
    </w:p>
  </w:footnote>
  <w:footnote w:id="409">
    <w:p w14:paraId="70DEEC2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l’attribuzione delle miniature del Urb. Lat. 899 a Franco dei Russi si veda </w:t>
      </w:r>
      <w:r w:rsidRPr="00796A9D">
        <w:rPr>
          <w:rFonts w:ascii="Times New Roman" w:hAnsi="Times New Roman" w:cs="Times New Roman"/>
          <w:smallCaps/>
        </w:rPr>
        <w:t>M.R. Valazzi</w:t>
      </w:r>
      <w:r w:rsidRPr="00796A9D">
        <w:rPr>
          <w:rFonts w:ascii="Times New Roman" w:hAnsi="Times New Roman" w:cs="Times New Roman"/>
        </w:rPr>
        <w:t xml:space="preserve">, </w:t>
      </w:r>
      <w:r w:rsidRPr="00796A9D">
        <w:rPr>
          <w:rFonts w:ascii="Times New Roman" w:hAnsi="Times New Roman" w:cs="Times New Roman"/>
          <w:i/>
        </w:rPr>
        <w:t>Pittori e pitture a Pesaro nel Quattrocento</w:t>
      </w:r>
      <w:r w:rsidRPr="00796A9D">
        <w:rPr>
          <w:rFonts w:ascii="Times New Roman" w:hAnsi="Times New Roman" w:cs="Times New Roman"/>
        </w:rPr>
        <w:t xml:space="preserve">, in </w:t>
      </w:r>
      <w:r w:rsidRPr="00796A9D">
        <w:rPr>
          <w:rFonts w:ascii="Times New Roman" w:hAnsi="Times New Roman" w:cs="Times New Roman"/>
          <w:i/>
        </w:rPr>
        <w:t>Pesaro tra Medioevo e Rinascimento</w:t>
      </w:r>
      <w:r w:rsidRPr="00796A9D">
        <w:rPr>
          <w:rFonts w:ascii="Times New Roman" w:hAnsi="Times New Roman" w:cs="Times New Roman"/>
        </w:rPr>
        <w:t xml:space="preserve">, Venezia, Marsilio, 1989, p. 327. </w:t>
      </w:r>
    </w:p>
  </w:footnote>
  <w:footnote w:id="410">
    <w:p w14:paraId="331775F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l’impatto sull’urbanistica medievale pesarese di questo edificio, ammirato gioiello di ingegneria civile e militare, si veda </w:t>
      </w:r>
      <w:r w:rsidRPr="00796A9D">
        <w:rPr>
          <w:rFonts w:ascii="Times New Roman" w:hAnsi="Times New Roman" w:cs="Times New Roman"/>
          <w:smallCaps/>
        </w:rPr>
        <w:t>M. Frenquellucci</w:t>
      </w:r>
      <w:r w:rsidRPr="00796A9D">
        <w:rPr>
          <w:rFonts w:ascii="Times New Roman" w:hAnsi="Times New Roman" w:cs="Times New Roman"/>
        </w:rPr>
        <w:t xml:space="preserve">, </w:t>
      </w:r>
      <w:r w:rsidRPr="00796A9D">
        <w:rPr>
          <w:rFonts w:ascii="Times New Roman" w:hAnsi="Times New Roman" w:cs="Times New Roman"/>
          <w:i/>
        </w:rPr>
        <w:t>La storia urbana di Pesaro nel Medioevo: mille anni di trasformazioni</w:t>
      </w:r>
      <w:r w:rsidRPr="00796A9D">
        <w:rPr>
          <w:rFonts w:ascii="Times New Roman" w:hAnsi="Times New Roman" w:cs="Times New Roman"/>
        </w:rPr>
        <w:t xml:space="preserve">, in </w:t>
      </w:r>
      <w:r w:rsidRPr="00796A9D">
        <w:rPr>
          <w:rFonts w:ascii="Times New Roman" w:hAnsi="Times New Roman" w:cs="Times New Roman"/>
          <w:i/>
        </w:rPr>
        <w:t>Pesaro tra Medioevo e Rinascimento</w:t>
      </w:r>
      <w:r w:rsidRPr="00796A9D">
        <w:rPr>
          <w:rFonts w:ascii="Times New Roman" w:hAnsi="Times New Roman" w:cs="Times New Roman"/>
        </w:rPr>
        <w:t>, cit., pp.166-168</w:t>
      </w:r>
      <w:r w:rsidRPr="00796A9D">
        <w:rPr>
          <w:rFonts w:ascii="Times New Roman" w:hAnsi="Times New Roman" w:cs="Times New Roman"/>
          <w:i/>
        </w:rPr>
        <w:t>.</w:t>
      </w:r>
    </w:p>
  </w:footnote>
  <w:footnote w:id="411">
    <w:p w14:paraId="2615ECE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lavori per la costruzione della Rocca furono seguiti dagli architetti Giorgio e Antonio Marchesi da Settignano, ma dai registri di spesa del cantiere apprendiamo che nel 1476 all’adeguamento residenziale di alcune sale della Rocca collaborò Luciano Laurana, maestro già attivo per il Montefeltro nel palazzo ducale di Urbino, così come lo scultore Domenico Rosselli, forse autore dei fregi per la residenza di Costanzo. Il passaggio di artisti tra le due corti vicine era dunque fatto usuale all’altezza degli anni dello sposalizio e, all’interno di questo quadro di relazioni, l’intervento del Santi per la preparazione degli spettacoli nuziali risulterebbe abbastanza ordinario. Si veda in merito </w:t>
      </w:r>
      <w:r w:rsidRPr="00796A9D">
        <w:rPr>
          <w:rFonts w:ascii="Times New Roman" w:hAnsi="Times New Roman" w:cs="Times New Roman"/>
          <w:smallCaps/>
        </w:rPr>
        <w:t>S. Eiche</w:t>
      </w:r>
      <w:r w:rsidRPr="00796A9D">
        <w:rPr>
          <w:rFonts w:ascii="Times New Roman" w:hAnsi="Times New Roman" w:cs="Times New Roman"/>
        </w:rPr>
        <w:t xml:space="preserve">, </w:t>
      </w:r>
      <w:r w:rsidRPr="00796A9D">
        <w:rPr>
          <w:rFonts w:ascii="Times New Roman" w:hAnsi="Times New Roman" w:cs="Times New Roman"/>
          <w:i/>
        </w:rPr>
        <w:t>Architetture sforzesche</w:t>
      </w:r>
      <w:r w:rsidRPr="00796A9D">
        <w:rPr>
          <w:rFonts w:ascii="Times New Roman" w:hAnsi="Times New Roman" w:cs="Times New Roman"/>
        </w:rPr>
        <w:t xml:space="preserve">, in </w:t>
      </w:r>
      <w:r w:rsidRPr="00796A9D">
        <w:rPr>
          <w:rFonts w:ascii="Times New Roman" w:hAnsi="Times New Roman" w:cs="Times New Roman"/>
          <w:i/>
        </w:rPr>
        <w:t>Pesaro tra Medioevo e Rinascimento</w:t>
      </w:r>
      <w:r w:rsidRPr="00796A9D">
        <w:rPr>
          <w:rFonts w:ascii="Times New Roman" w:hAnsi="Times New Roman" w:cs="Times New Roman"/>
        </w:rPr>
        <w:t>, cit., pp.269-303.</w:t>
      </w:r>
    </w:p>
  </w:footnote>
  <w:footnote w:id="412">
    <w:p w14:paraId="322F62F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Lo sposalizio, celebrato a Innsbruck il 22 febbraio 1484, fu preceduto da un lungo viaggio della sposa, scandito da soste presso le cittadine di Werd, Norimberga, Augusta, Landsberg, Schongau, Partenkirchen, Mittelward, dove le furono tributate sontuose accoglienze. La gestione della componente musicale della festa fu affidata al compositore sassone Leopold von Spieẞ, mentre la municipalità di Innsbruck curò la realizzazione della decorazione delle vie cittadine e predispose un sistema antincendio che prevedeva il posizionamento di cisterne d’acqua sui tetti delle case. Rare purtroppo le testimonianze sullo svolgimento del matrimonio e pare che gli sposi non avessero richiesto la scrittura di alcun resoconto ufficiale. Per una valutazione di queste feste nel quadro dello sviluppo della vita spettacolare del ducato di Sassonia del secolo XV rinvio a </w:t>
      </w:r>
      <w:r w:rsidRPr="00796A9D">
        <w:rPr>
          <w:rFonts w:ascii="Times New Roman" w:hAnsi="Times New Roman" w:cs="Times New Roman"/>
          <w:smallCaps/>
        </w:rPr>
        <w:t>M. Bertoldi</w:t>
      </w:r>
      <w:r w:rsidRPr="00796A9D">
        <w:rPr>
          <w:rFonts w:ascii="Times New Roman" w:hAnsi="Times New Roman" w:cs="Times New Roman"/>
        </w:rPr>
        <w:t xml:space="preserve">, </w:t>
      </w:r>
      <w:r w:rsidRPr="00796A9D">
        <w:rPr>
          <w:rFonts w:ascii="Times New Roman" w:hAnsi="Times New Roman" w:cs="Times New Roman"/>
          <w:i/>
        </w:rPr>
        <w:t>Lungo la via del Brennero. Viaggio nello spettacolo dal Tardo Medioevo al Rinascimento</w:t>
      </w:r>
      <w:r w:rsidRPr="00796A9D">
        <w:rPr>
          <w:rFonts w:ascii="Times New Roman" w:hAnsi="Times New Roman" w:cs="Times New Roman"/>
        </w:rPr>
        <w:t xml:space="preserve">, Firenze, Le Lettere, 2007, pp. 76-78.  </w:t>
      </w:r>
    </w:p>
  </w:footnote>
  <w:footnote w:id="413">
    <w:p w14:paraId="5EF57FC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vedano H 11855; IGI 6907; BMC VII 922; GW M27069. Cfr. inoltre </w:t>
      </w:r>
      <w:bookmarkStart w:id="336" w:name="_Hlk526110320"/>
      <w:r w:rsidRPr="00796A9D">
        <w:rPr>
          <w:rFonts w:ascii="Times New Roman" w:hAnsi="Times New Roman" w:cs="Times New Roman"/>
        </w:rPr>
        <w:t xml:space="preserve">O. </w:t>
      </w:r>
      <w:r w:rsidRPr="00796A9D">
        <w:rPr>
          <w:rFonts w:ascii="Times New Roman" w:hAnsi="Times New Roman" w:cs="Times New Roman"/>
          <w:smallCaps/>
        </w:rPr>
        <w:t>Pinto</w:t>
      </w:r>
      <w:r w:rsidRPr="00796A9D">
        <w:rPr>
          <w:rFonts w:ascii="Times New Roman" w:hAnsi="Times New Roman" w:cs="Times New Roman"/>
        </w:rPr>
        <w:t xml:space="preserve">, </w:t>
      </w:r>
      <w:r w:rsidRPr="00796A9D">
        <w:rPr>
          <w:rFonts w:ascii="Times New Roman" w:hAnsi="Times New Roman" w:cs="Times New Roman"/>
          <w:i/>
        </w:rPr>
        <w:t>Nuptialia, saggio di bibliografia di scritti italiani pubblicati per nozze dal 1484 al 1799</w:t>
      </w:r>
      <w:r w:rsidRPr="00796A9D">
        <w:rPr>
          <w:rFonts w:ascii="Times New Roman" w:hAnsi="Times New Roman" w:cs="Times New Roman"/>
        </w:rPr>
        <w:t>, Firenze, Olschki, 1971.</w:t>
      </w:r>
      <w:bookmarkEnd w:id="336"/>
      <w:r w:rsidRPr="00796A9D">
        <w:rPr>
          <w:rFonts w:ascii="Times New Roman" w:hAnsi="Times New Roman" w:cs="Times New Roman"/>
        </w:rPr>
        <w:t xml:space="preserve"> Il catalogo scheda solo cinque incunaboli, di cui il primo è proprio l’epitalamio di Negri. La ricerca si muove solo sugli opuscoli lasciati in eredità dal padre collezionista all’autrice, e non ha pretese di completezza. Tuttavia, vi è bene illustrata la differenza fra i generi di testi impressi come dono per gli sposi dal Quattrocento alla metà del Novecento, quando la pubblicazione di </w:t>
      </w:r>
      <w:r w:rsidRPr="00796A9D">
        <w:rPr>
          <w:rFonts w:ascii="Times New Roman" w:hAnsi="Times New Roman" w:cs="Times New Roman"/>
          <w:i/>
        </w:rPr>
        <w:t>Nuptialia</w:t>
      </w:r>
      <w:r w:rsidRPr="00796A9D">
        <w:rPr>
          <w:rFonts w:ascii="Times New Roman" w:hAnsi="Times New Roman" w:cs="Times New Roman"/>
        </w:rPr>
        <w:t xml:space="preserve"> subì una decisiva battuta d’arresto.  </w:t>
      </w:r>
    </w:p>
  </w:footnote>
  <w:footnote w:id="414">
    <w:p w14:paraId="0B3365B6" w14:textId="26286526"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biografia e per le opere di questo letterato cfr. </w:t>
      </w:r>
      <w:r w:rsidRPr="00796A9D">
        <w:rPr>
          <w:rFonts w:ascii="Times New Roman" w:hAnsi="Times New Roman" w:cs="Times New Roman"/>
          <w:bCs/>
          <w:color w:val="000000"/>
          <w:shd w:val="clear" w:color="auto" w:fill="FFFFFF"/>
        </w:rPr>
        <w:t xml:space="preserve">D. </w:t>
      </w:r>
      <w:r w:rsidRPr="00796A9D">
        <w:rPr>
          <w:rFonts w:ascii="Times New Roman" w:hAnsi="Times New Roman" w:cs="Times New Roman"/>
          <w:bCs/>
          <w:smallCaps/>
          <w:color w:val="000000"/>
          <w:shd w:val="clear" w:color="auto" w:fill="FFFFFF"/>
        </w:rPr>
        <w:t>Pattini</w:t>
      </w:r>
      <w:r w:rsidRPr="00796A9D">
        <w:rPr>
          <w:rFonts w:ascii="Times New Roman" w:hAnsi="Times New Roman" w:cs="Times New Roman"/>
          <w:bCs/>
          <w:color w:val="000000"/>
          <w:shd w:val="clear" w:color="auto" w:fill="FFFFFF"/>
        </w:rPr>
        <w:t xml:space="preserve">, s.v. </w:t>
      </w:r>
      <w:r w:rsidR="00652E02" w:rsidRPr="00796A9D">
        <w:rPr>
          <w:rFonts w:ascii="Times New Roman" w:hAnsi="Times New Roman" w:cs="Times New Roman"/>
          <w:bCs/>
          <w:i/>
          <w:color w:val="000000"/>
          <w:shd w:val="clear" w:color="auto" w:fill="FFFFFF"/>
        </w:rPr>
        <w:t>Negri</w:t>
      </w:r>
      <w:r w:rsidR="00652E02">
        <w:rPr>
          <w:rFonts w:ascii="Times New Roman" w:hAnsi="Times New Roman" w:cs="Times New Roman"/>
          <w:bCs/>
          <w:i/>
          <w:color w:val="000000"/>
          <w:shd w:val="clear" w:color="auto" w:fill="FFFFFF"/>
        </w:rPr>
        <w:t>,</w:t>
      </w:r>
      <w:r w:rsidR="00652E02" w:rsidRPr="00796A9D">
        <w:rPr>
          <w:rFonts w:ascii="Times New Roman" w:hAnsi="Times New Roman" w:cs="Times New Roman"/>
          <w:bCs/>
          <w:i/>
          <w:color w:val="000000"/>
          <w:shd w:val="clear" w:color="auto" w:fill="FFFFFF"/>
        </w:rPr>
        <w:t xml:space="preserve"> </w:t>
      </w:r>
      <w:r w:rsidRPr="00796A9D">
        <w:rPr>
          <w:rFonts w:ascii="Times New Roman" w:hAnsi="Times New Roman" w:cs="Times New Roman"/>
          <w:bCs/>
          <w:i/>
          <w:color w:val="000000"/>
          <w:shd w:val="clear" w:color="auto" w:fill="FFFFFF"/>
        </w:rPr>
        <w:t>Francesco</w:t>
      </w:r>
      <w:r w:rsidRPr="00796A9D">
        <w:rPr>
          <w:rFonts w:ascii="Times New Roman" w:hAnsi="Times New Roman" w:cs="Times New Roman"/>
          <w:bCs/>
          <w:color w:val="000000"/>
          <w:shd w:val="clear" w:color="auto" w:fill="FFFFFF"/>
        </w:rPr>
        <w:t xml:space="preserve">, in DBI, 2013, vol. LXXVIII, pp. 116-120. Ipotesi sulle ragioni dell’offerta cortigiana dell’epitalamio del Negri sono proposte inoltre in </w:t>
      </w:r>
      <w:bookmarkStart w:id="337" w:name="_Hlk526110563"/>
      <w:r w:rsidRPr="00796A9D">
        <w:rPr>
          <w:rFonts w:ascii="Times New Roman" w:hAnsi="Times New Roman" w:cs="Times New Roman"/>
          <w:bCs/>
          <w:i/>
          <w:color w:val="000000"/>
          <w:shd w:val="clear" w:color="auto" w:fill="FFFFFF"/>
        </w:rPr>
        <w:t>Elisabetta d’Austria e l’Italia</w:t>
      </w:r>
      <w:r w:rsidRPr="00796A9D">
        <w:rPr>
          <w:rFonts w:ascii="Times New Roman" w:hAnsi="Times New Roman" w:cs="Times New Roman"/>
          <w:bCs/>
          <w:color w:val="000000"/>
          <w:shd w:val="clear" w:color="auto" w:fill="FFFFFF"/>
        </w:rPr>
        <w:t xml:space="preserve">, a cura di M. </w:t>
      </w:r>
      <w:r w:rsidRPr="00796A9D">
        <w:rPr>
          <w:rFonts w:ascii="Times New Roman" w:hAnsi="Times New Roman" w:cs="Times New Roman"/>
          <w:bCs/>
          <w:smallCaps/>
          <w:color w:val="000000"/>
          <w:shd w:val="clear" w:color="auto" w:fill="FFFFFF"/>
        </w:rPr>
        <w:t>Bressan</w:t>
      </w:r>
      <w:r w:rsidRPr="00796A9D">
        <w:rPr>
          <w:rFonts w:ascii="Times New Roman" w:hAnsi="Times New Roman" w:cs="Times New Roman"/>
          <w:bCs/>
          <w:color w:val="000000"/>
          <w:shd w:val="clear" w:color="auto" w:fill="FFFFFF"/>
        </w:rPr>
        <w:t>, Mariano del Friuli, Edizioni della Laguna, 2001</w:t>
      </w:r>
      <w:bookmarkEnd w:id="337"/>
      <w:r w:rsidRPr="00796A9D">
        <w:rPr>
          <w:rFonts w:ascii="Times New Roman" w:hAnsi="Times New Roman" w:cs="Times New Roman"/>
          <w:bCs/>
          <w:color w:val="000000"/>
          <w:shd w:val="clear" w:color="auto" w:fill="FFFFFF"/>
        </w:rPr>
        <w:t xml:space="preserve">, pp. 4-5, dove si riconosce al letterato veneziano di essere stato il primo a scrivere una pubblicazione per matrimoni. Ciò è corretto solo se si fa eccezione per l’anonimo relatore delle nozze pesaresi del 1475.  </w:t>
      </w:r>
    </w:p>
  </w:footnote>
  <w:footnote w:id="415">
    <w:p w14:paraId="4DD1B2F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Matteo Cerdonis da Wiudiscligratz fu stampatore operante solo a Padova, dove firmò 49 edizioni, principalmente opuscoli d’occasione, stampe popolari e trattati di medicina, tutte di facile commercio: cfr. </w:t>
      </w:r>
      <w:r w:rsidRPr="00796A9D">
        <w:rPr>
          <w:rFonts w:ascii="Times New Roman" w:hAnsi="Times New Roman" w:cs="Times New Roman"/>
          <w:smallCaps/>
        </w:rPr>
        <w:t>M. Palma</w:t>
      </w:r>
      <w:r w:rsidRPr="00796A9D">
        <w:rPr>
          <w:rFonts w:ascii="Times New Roman" w:hAnsi="Times New Roman" w:cs="Times New Roman"/>
        </w:rPr>
        <w:t xml:space="preserve">, s.v. </w:t>
      </w:r>
      <w:r w:rsidRPr="00796A9D">
        <w:rPr>
          <w:rFonts w:ascii="Times New Roman" w:hAnsi="Times New Roman" w:cs="Times New Roman"/>
          <w:i/>
        </w:rPr>
        <w:t>Matteo</w:t>
      </w:r>
      <w:r w:rsidRPr="00796A9D">
        <w:rPr>
          <w:rFonts w:ascii="Times New Roman" w:hAnsi="Times New Roman" w:cs="Times New Roman"/>
        </w:rPr>
        <w:t xml:space="preserve"> </w:t>
      </w:r>
      <w:r w:rsidRPr="00796A9D">
        <w:rPr>
          <w:rFonts w:ascii="Times New Roman" w:hAnsi="Times New Roman" w:cs="Times New Roman"/>
          <w:i/>
        </w:rPr>
        <w:t>Cerdonis</w:t>
      </w:r>
      <w:r w:rsidRPr="00796A9D">
        <w:rPr>
          <w:rFonts w:ascii="Times New Roman" w:hAnsi="Times New Roman" w:cs="Times New Roman"/>
        </w:rPr>
        <w:t>, DBI, 1979, vol. XXIII, pp. 706-708.</w:t>
      </w:r>
    </w:p>
  </w:footnote>
  <w:footnote w:id="416">
    <w:p w14:paraId="00CC4C6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Tra i primi letterati a riconoscere la vocazione performativa del genere bucolico vi fu Leon Battista Alberti, che ne riportò alla vita tanto la dimensione recitativa quanto quella agonistica organizzando il Certame coronario del 1441, al quale egli stesso partecipò con un testo ispirato all’ecloga III delle </w:t>
      </w:r>
      <w:r w:rsidRPr="00796A9D">
        <w:rPr>
          <w:rFonts w:ascii="Times New Roman" w:hAnsi="Times New Roman" w:cs="Times New Roman"/>
          <w:i/>
        </w:rPr>
        <w:t>Bucolicae</w:t>
      </w:r>
      <w:r w:rsidRPr="00796A9D">
        <w:rPr>
          <w:rFonts w:ascii="Times New Roman" w:hAnsi="Times New Roman" w:cs="Times New Roman"/>
        </w:rPr>
        <w:t xml:space="preserve"> sottoposto al giudizio di dieci segretari di Eugenio IV eletti nella giuria del concorso. </w:t>
      </w:r>
      <w:bookmarkStart w:id="338" w:name="_Hlk526110905"/>
      <w:r w:rsidRPr="00796A9D">
        <w:rPr>
          <w:rFonts w:ascii="Times New Roman" w:hAnsi="Times New Roman" w:cs="Times New Roman"/>
        </w:rPr>
        <w:t xml:space="preserve">Cfr. </w:t>
      </w:r>
      <w:r w:rsidRPr="00796A9D">
        <w:rPr>
          <w:rFonts w:ascii="Times New Roman" w:hAnsi="Times New Roman" w:cs="Times New Roman"/>
          <w:smallCaps/>
        </w:rPr>
        <w:t>F. Bortoletti</w:t>
      </w:r>
      <w:r w:rsidRPr="00796A9D">
        <w:rPr>
          <w:rFonts w:ascii="Times New Roman" w:hAnsi="Times New Roman" w:cs="Times New Roman"/>
        </w:rPr>
        <w:t xml:space="preserve">, </w:t>
      </w:r>
      <w:r w:rsidRPr="00796A9D">
        <w:rPr>
          <w:rFonts w:ascii="Times New Roman" w:hAnsi="Times New Roman" w:cs="Times New Roman"/>
          <w:i/>
        </w:rPr>
        <w:t>Per una nuova drammaturgia. L’egloga nel Quattrocento italiano: dall’idea dell’esecuzione alla pratica scenica</w:t>
      </w:r>
      <w:r w:rsidRPr="00796A9D">
        <w:rPr>
          <w:rFonts w:ascii="Times New Roman" w:hAnsi="Times New Roman" w:cs="Times New Roman"/>
        </w:rPr>
        <w:t>, «Quaderni d’italianistica», I, 2009, pp. 1-42.</w:t>
      </w:r>
      <w:bookmarkEnd w:id="338"/>
      <w:r w:rsidRPr="00796A9D">
        <w:rPr>
          <w:rFonts w:ascii="Times New Roman" w:hAnsi="Times New Roman" w:cs="Times New Roman"/>
        </w:rPr>
        <w:t xml:space="preserve"> Più in generale, sul successo spettato alla bucolica nel secolo XV e sulla percezione che di questo genere letterario ebbero i poeti e il pubblico del Rinascimento si veda </w:t>
      </w:r>
      <w:bookmarkStart w:id="339" w:name="_Hlk526110958"/>
      <w:r w:rsidRPr="00796A9D">
        <w:rPr>
          <w:rFonts w:ascii="Times New Roman" w:hAnsi="Times New Roman" w:cs="Times New Roman"/>
          <w:smallCaps/>
        </w:rPr>
        <w:t>Eadem</w:t>
      </w:r>
      <w:r w:rsidRPr="00796A9D">
        <w:rPr>
          <w:rFonts w:ascii="Times New Roman" w:hAnsi="Times New Roman" w:cs="Times New Roman"/>
        </w:rPr>
        <w:t xml:space="preserve">, </w:t>
      </w:r>
      <w:r w:rsidRPr="00796A9D">
        <w:rPr>
          <w:rFonts w:ascii="Times New Roman" w:hAnsi="Times New Roman" w:cs="Times New Roman"/>
          <w:i/>
        </w:rPr>
        <w:t>Egloga e spettacolo nel primo Rinascimento: da Firenze alle corti</w:t>
      </w:r>
      <w:r w:rsidRPr="00796A9D">
        <w:rPr>
          <w:rFonts w:ascii="Times New Roman" w:hAnsi="Times New Roman" w:cs="Times New Roman"/>
        </w:rPr>
        <w:t>, Roma, Bulzoni, 2008.</w:t>
      </w:r>
      <w:bookmarkEnd w:id="339"/>
    </w:p>
  </w:footnote>
  <w:footnote w:id="417">
    <w:p w14:paraId="389C09F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contesto politico bolognese, contraddistinto dal 1447 da una formula di governo misto </w:t>
      </w:r>
      <w:r w:rsidRPr="00796A9D">
        <w:rPr>
          <w:rFonts w:ascii="Times New Roman" w:hAnsi="Times New Roman" w:cs="Times New Roman"/>
          <w:i/>
        </w:rPr>
        <w:t>simul cum legato</w:t>
      </w:r>
      <w:r w:rsidRPr="00796A9D">
        <w:rPr>
          <w:rFonts w:ascii="Times New Roman" w:hAnsi="Times New Roman" w:cs="Times New Roman"/>
        </w:rPr>
        <w:t xml:space="preserve"> concessa da papa Niccolò V, la preminenza dei Bentivoglio fu ufficializzata da Paolo II nel 1466 attraverso dei capitoli che stabilivano, a fronte della rotazione periodica delle magistrature cittadine – riunite nel collegio dei ventuno Riformatori – l’immutabilità del ruolo di </w:t>
      </w:r>
      <w:r w:rsidRPr="00796A9D">
        <w:rPr>
          <w:rFonts w:ascii="Times New Roman" w:hAnsi="Times New Roman" w:cs="Times New Roman"/>
          <w:i/>
        </w:rPr>
        <w:t>primus civis</w:t>
      </w:r>
      <w:r w:rsidRPr="00796A9D">
        <w:rPr>
          <w:rFonts w:ascii="Times New Roman" w:hAnsi="Times New Roman" w:cs="Times New Roman"/>
        </w:rPr>
        <w:t xml:space="preserve"> di Giovanni II. Per la disamina puntuale delle fasi di ascesa della famiglia al potere e per l’importanza della loro </w:t>
      </w:r>
      <w:r w:rsidRPr="00796A9D">
        <w:rPr>
          <w:rFonts w:ascii="Times New Roman" w:hAnsi="Times New Roman" w:cs="Times New Roman"/>
          <w:i/>
        </w:rPr>
        <w:t>leadership</w:t>
      </w:r>
      <w:r w:rsidRPr="00796A9D">
        <w:rPr>
          <w:rFonts w:ascii="Times New Roman" w:hAnsi="Times New Roman" w:cs="Times New Roman"/>
        </w:rPr>
        <w:t xml:space="preserve"> nella conquista di spazi d’autonomia giuridica e amministrativa per Bologna rispetto all’autorità pontificia, vedi </w:t>
      </w:r>
      <w:bookmarkStart w:id="340" w:name="_Hlk526111162"/>
      <w:r w:rsidRPr="00796A9D">
        <w:rPr>
          <w:rFonts w:ascii="Times New Roman" w:hAnsi="Times New Roman" w:cs="Times New Roman"/>
          <w:smallCaps/>
        </w:rPr>
        <w:t>T. Duranti</w:t>
      </w:r>
      <w:r w:rsidRPr="00796A9D">
        <w:rPr>
          <w:rFonts w:ascii="Times New Roman" w:hAnsi="Times New Roman" w:cs="Times New Roman"/>
        </w:rPr>
        <w:t xml:space="preserve">, </w:t>
      </w:r>
      <w:r w:rsidRPr="00796A9D">
        <w:rPr>
          <w:rFonts w:ascii="Times New Roman" w:hAnsi="Times New Roman" w:cs="Times New Roman"/>
          <w:i/>
        </w:rPr>
        <w:t>Diplomazia e autogoverno a Bologna nel Quattrocento (1392-1466). Fonti per la storia delle istituzioni</w:t>
      </w:r>
      <w:r w:rsidRPr="00796A9D">
        <w:rPr>
          <w:rFonts w:ascii="Times New Roman" w:hAnsi="Times New Roman" w:cs="Times New Roman"/>
        </w:rPr>
        <w:t>, Bologna, CLUEB, 2009</w:t>
      </w:r>
      <w:bookmarkEnd w:id="340"/>
      <w:r w:rsidRPr="00796A9D">
        <w:rPr>
          <w:rFonts w:ascii="Times New Roman" w:hAnsi="Times New Roman" w:cs="Times New Roman"/>
        </w:rPr>
        <w:t xml:space="preserve">, pp. 51-65. Sulla politica delle alleanze matrimoniali orchestrata da Giovanni II per i suoi sedici figli si veda </w:t>
      </w:r>
      <w:bookmarkStart w:id="341" w:name="_Hlk526111286"/>
      <w:r w:rsidRPr="00796A9D">
        <w:rPr>
          <w:rFonts w:ascii="Times New Roman" w:hAnsi="Times New Roman" w:cs="Times New Roman"/>
          <w:smallCaps/>
        </w:rPr>
        <w:t>E.L. Bernhardt</w:t>
      </w:r>
      <w:r w:rsidRPr="00796A9D">
        <w:rPr>
          <w:rFonts w:ascii="Times New Roman" w:hAnsi="Times New Roman" w:cs="Times New Roman"/>
        </w:rPr>
        <w:t xml:space="preserve">, </w:t>
      </w:r>
      <w:r w:rsidRPr="00796A9D">
        <w:rPr>
          <w:rFonts w:ascii="Times New Roman" w:hAnsi="Times New Roman" w:cs="Times New Roman"/>
          <w:i/>
        </w:rPr>
        <w:t>Behind the Scene of Fifteenth-Century Marriage Schemes: Forced Marriages, Family Alliances and Power Politics in Bentivoglio Bologna</w:t>
      </w:r>
      <w:r w:rsidRPr="00796A9D">
        <w:rPr>
          <w:rFonts w:ascii="Times New Roman" w:hAnsi="Times New Roman" w:cs="Times New Roman"/>
        </w:rPr>
        <w:t xml:space="preserve">, in </w:t>
      </w:r>
      <w:r w:rsidRPr="00796A9D">
        <w:rPr>
          <w:rFonts w:ascii="Times New Roman" w:hAnsi="Times New Roman" w:cs="Times New Roman"/>
          <w:i/>
        </w:rPr>
        <w:t>Bologna. Cultural Crossroads from the Medieval to the Baroque</w:t>
      </w:r>
      <w:r w:rsidRPr="00796A9D">
        <w:rPr>
          <w:rFonts w:ascii="Times New Roman" w:hAnsi="Times New Roman" w:cs="Times New Roman"/>
        </w:rPr>
        <w:t xml:space="preserve">, edited by </w:t>
      </w:r>
      <w:r w:rsidRPr="00796A9D">
        <w:rPr>
          <w:rFonts w:ascii="Times New Roman" w:hAnsi="Times New Roman" w:cs="Times New Roman"/>
          <w:smallCaps/>
        </w:rPr>
        <w:t>G.M. Anselmi</w:t>
      </w:r>
      <w:r w:rsidRPr="00796A9D">
        <w:rPr>
          <w:rFonts w:ascii="Times New Roman" w:hAnsi="Times New Roman" w:cs="Times New Roman"/>
        </w:rPr>
        <w:t xml:space="preserve">, A. </w:t>
      </w:r>
      <w:r w:rsidRPr="00796A9D">
        <w:rPr>
          <w:rFonts w:ascii="Times New Roman" w:hAnsi="Times New Roman" w:cs="Times New Roman"/>
          <w:smallCaps/>
        </w:rPr>
        <w:t>De Benedictis, N. Terpstra</w:t>
      </w:r>
      <w:r w:rsidRPr="00796A9D">
        <w:rPr>
          <w:rFonts w:ascii="Times New Roman" w:hAnsi="Times New Roman" w:cs="Times New Roman"/>
        </w:rPr>
        <w:t>, Bologna, Bononia University Press, 2013, pp.161-172</w:t>
      </w:r>
      <w:bookmarkEnd w:id="341"/>
      <w:r w:rsidRPr="00796A9D">
        <w:rPr>
          <w:rFonts w:ascii="Times New Roman" w:hAnsi="Times New Roman" w:cs="Times New Roman"/>
        </w:rPr>
        <w:t>, dove si osserva come le figlie legittime di Giovanni furono latrici di alleanze dinastiche con eminenti capitani di ventura i cui domini si trovavano nell’area padana, come Anton Pico della Mirandola, Galeotto Manfredi da Faenza, Pandolfo Malatesta, Giovanni Gonzaga, Niccolò Rangoni da Spilamberto e Giberto Pio da Carpi. I numerosi figli illegittimi garantirono invece alleanze con le famiglie più abbienti di Bologna, quali i Bargellini, i Guidotti, i Manzoli e i Fantuzzi.</w:t>
      </w:r>
    </w:p>
  </w:footnote>
  <w:footnote w:id="418">
    <w:p w14:paraId="5537674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Sull’importanza di questo matrimonio, architettato da Francesco Sforza per mantenere il proprio patronato su Bologna e per evitare possibili turbolenze nella successione a Sante attirando le ambizioni delle famiglie dell’oligarchia cfr. </w:t>
      </w:r>
      <w:bookmarkStart w:id="342" w:name="_Hlk526111420"/>
      <w:r w:rsidRPr="00796A9D">
        <w:rPr>
          <w:rFonts w:ascii="Times New Roman" w:hAnsi="Times New Roman" w:cs="Times New Roman"/>
          <w:smallCaps/>
        </w:rPr>
        <w:t>M.N. Covini</w:t>
      </w:r>
      <w:r w:rsidRPr="00796A9D">
        <w:rPr>
          <w:rFonts w:ascii="Times New Roman" w:hAnsi="Times New Roman" w:cs="Times New Roman"/>
        </w:rPr>
        <w:t xml:space="preserve">, </w:t>
      </w:r>
      <w:r w:rsidRPr="00796A9D">
        <w:rPr>
          <w:rFonts w:ascii="Times New Roman" w:hAnsi="Times New Roman" w:cs="Times New Roman"/>
          <w:i/>
        </w:rPr>
        <w:t>Milano e Bologna dopo il 1445. Scambi militari, condotte e diplomazia</w:t>
      </w:r>
      <w:r w:rsidRPr="00796A9D">
        <w:rPr>
          <w:rFonts w:ascii="Times New Roman" w:hAnsi="Times New Roman" w:cs="Times New Roman"/>
        </w:rPr>
        <w:t xml:space="preserve">, in </w:t>
      </w:r>
      <w:r w:rsidRPr="00796A9D">
        <w:rPr>
          <w:rFonts w:ascii="Times New Roman" w:hAnsi="Times New Roman" w:cs="Times New Roman"/>
          <w:i/>
        </w:rPr>
        <w:t>Condottieri e uomini d’arme nell’Italia del Rinascimento</w:t>
      </w:r>
      <w:r w:rsidRPr="00796A9D">
        <w:rPr>
          <w:rFonts w:ascii="Times New Roman" w:hAnsi="Times New Roman" w:cs="Times New Roman"/>
        </w:rPr>
        <w:t xml:space="preserve">, a cura di </w:t>
      </w:r>
      <w:r w:rsidRPr="00796A9D">
        <w:rPr>
          <w:rFonts w:ascii="Times New Roman" w:hAnsi="Times New Roman" w:cs="Times New Roman"/>
          <w:smallCaps/>
        </w:rPr>
        <w:t>M. Del Treppo</w:t>
      </w:r>
      <w:r w:rsidRPr="00796A9D">
        <w:rPr>
          <w:rFonts w:ascii="Times New Roman" w:hAnsi="Times New Roman" w:cs="Times New Roman"/>
        </w:rPr>
        <w:t>, Napoli, Liguori, 2001, pp. 165-214</w:t>
      </w:r>
      <w:bookmarkEnd w:id="342"/>
      <w:r w:rsidRPr="00796A9D">
        <w:rPr>
          <w:rFonts w:ascii="Times New Roman" w:hAnsi="Times New Roman" w:cs="Times New Roman"/>
        </w:rPr>
        <w:t>. A questo lavoro si rimanda anche per il ruolo diplomatico giocato alla corte di Niccolò V e di Paolo II dai legati di Francesco Sforza, essenziale per la concessione dei capitoli che legittimarono la preminenza dei Bentivoglio nel governo di Bologna.</w:t>
      </w:r>
    </w:p>
  </w:footnote>
  <w:footnote w:id="419">
    <w:p w14:paraId="4982019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trattative per la condotta furono in realtà discusse con Giovanni II, e il comando generale dell’esercito fiorentino fu affidato a Niccolò Orsini, conte di Pitigliano. Il merito del Bentivoglio nelle operazioni militari fu però altamente stimato. Cfr</w:t>
      </w:r>
      <w:r w:rsidRPr="00796A9D">
        <w:rPr>
          <w:rFonts w:ascii="Times New Roman" w:hAnsi="Times New Roman" w:cs="Times New Roman"/>
          <w:smallCaps/>
        </w:rPr>
        <w:t xml:space="preserve">. </w:t>
      </w:r>
      <w:bookmarkStart w:id="343" w:name="_Hlk526111742"/>
      <w:r w:rsidRPr="00796A9D">
        <w:rPr>
          <w:rFonts w:ascii="Times New Roman" w:hAnsi="Times New Roman" w:cs="Times New Roman"/>
          <w:smallCaps/>
        </w:rPr>
        <w:t>L. de’ Medici</w:t>
      </w:r>
      <w:r w:rsidRPr="00796A9D">
        <w:rPr>
          <w:rFonts w:ascii="Times New Roman" w:hAnsi="Times New Roman" w:cs="Times New Roman"/>
          <w:i/>
        </w:rPr>
        <w:t>, Lettere</w:t>
      </w:r>
      <w:r w:rsidRPr="00796A9D">
        <w:rPr>
          <w:rFonts w:ascii="Times New Roman" w:hAnsi="Times New Roman" w:cs="Times New Roman"/>
        </w:rPr>
        <w:t xml:space="preserve">, a cura di </w:t>
      </w:r>
      <w:r w:rsidRPr="00796A9D">
        <w:rPr>
          <w:rFonts w:ascii="Times New Roman" w:hAnsi="Times New Roman" w:cs="Times New Roman"/>
          <w:smallCaps/>
        </w:rPr>
        <w:t>M.M. Bullard</w:t>
      </w:r>
      <w:r w:rsidRPr="00796A9D">
        <w:rPr>
          <w:rFonts w:ascii="Times New Roman" w:hAnsi="Times New Roman" w:cs="Times New Roman"/>
        </w:rPr>
        <w:t xml:space="preserve">, Firenze, INSR, 2003, vol, X (1486-1487), </w:t>
      </w:r>
      <w:bookmarkEnd w:id="343"/>
      <w:r w:rsidRPr="00796A9D">
        <w:rPr>
          <w:rFonts w:ascii="Times New Roman" w:hAnsi="Times New Roman" w:cs="Times New Roman"/>
        </w:rPr>
        <w:t xml:space="preserve">pp. 190-191. </w:t>
      </w:r>
    </w:p>
  </w:footnote>
  <w:footnote w:id="420">
    <w:p w14:paraId="1B83957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spese sostenute per il matrimonio di Giovanna sono annotate nel </w:t>
      </w:r>
      <w:r w:rsidRPr="00796A9D">
        <w:rPr>
          <w:rFonts w:ascii="Times New Roman" w:hAnsi="Times New Roman" w:cs="Times New Roman"/>
          <w:i/>
        </w:rPr>
        <w:t>Libro debitori e creditori di Maso di Luca di Messer Maso degli Albizi</w:t>
      </w:r>
      <w:r w:rsidRPr="00796A9D">
        <w:rPr>
          <w:rFonts w:ascii="Times New Roman" w:hAnsi="Times New Roman" w:cs="Times New Roman"/>
        </w:rPr>
        <w:t xml:space="preserve">, padre della sposa, conservato presso l’Archivio Frescobaldi di Poggio a Remole. Sulla base di questo documento e del carme di Naldi, il programma delle tre giornate di festeggiamenti può essere così sintetizzato: 3 settembre, </w:t>
      </w:r>
      <w:r w:rsidRPr="00796A9D">
        <w:rPr>
          <w:rFonts w:ascii="Times New Roman" w:hAnsi="Times New Roman" w:cs="Times New Roman"/>
          <w:i/>
        </w:rPr>
        <w:t>ductio ad domum</w:t>
      </w:r>
      <w:r w:rsidRPr="00796A9D">
        <w:rPr>
          <w:rFonts w:ascii="Times New Roman" w:hAnsi="Times New Roman" w:cs="Times New Roman"/>
        </w:rPr>
        <w:t xml:space="preserve"> della giovane, dal palazzo gentilizio di Borgo Albizi alla residenza dei Tornabuoni, sita nei pressi di Santa Maria Novella; banchetto d’onore, al quale presenziarono i patrizi fiorentini e l’ambasciatore spagnolo Don Iñigo; un secondo banchetto seguito da un ballo innanzi alla chiesa di San Michele Berteldi. 4 settembre, benedizione degli sposi e rinfresco, al quale presenziò Lorenzo il Magnifico. 5 settembre, giostre e tornei in onore degli sposi. In merito a queste feste rinvio a </w:t>
      </w:r>
      <w:r w:rsidRPr="00796A9D">
        <w:rPr>
          <w:rFonts w:ascii="Times New Roman" w:hAnsi="Times New Roman" w:cs="Times New Roman"/>
          <w:smallCaps/>
        </w:rPr>
        <w:t>G.J. Van der Sman</w:t>
      </w:r>
      <w:r w:rsidRPr="00796A9D">
        <w:rPr>
          <w:rFonts w:ascii="Times New Roman" w:hAnsi="Times New Roman" w:cs="Times New Roman"/>
        </w:rPr>
        <w:t xml:space="preserve">, </w:t>
      </w:r>
      <w:r w:rsidRPr="00796A9D">
        <w:rPr>
          <w:rFonts w:ascii="Times New Roman" w:hAnsi="Times New Roman" w:cs="Times New Roman"/>
          <w:i/>
        </w:rPr>
        <w:t xml:space="preserve">Lorenzo e Giovanna, </w:t>
      </w:r>
      <w:r w:rsidRPr="00796A9D">
        <w:rPr>
          <w:rFonts w:ascii="Times New Roman" w:hAnsi="Times New Roman" w:cs="Times New Roman"/>
        </w:rPr>
        <w:t>cit., pp. 37-44.</w:t>
      </w:r>
    </w:p>
  </w:footnote>
  <w:footnote w:id="421">
    <w:p w14:paraId="22098BA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descrizione del banchetto per le nozze di Clarice Orsini è trasmessa da una </w:t>
      </w:r>
      <w:r w:rsidRPr="00796A9D">
        <w:rPr>
          <w:rFonts w:ascii="Times New Roman" w:hAnsi="Times New Roman" w:cs="Times New Roman"/>
          <w:i/>
        </w:rPr>
        <w:t>Informazione delle noze di Lorenzo di Piero di Cosimo</w:t>
      </w:r>
      <w:r w:rsidRPr="00796A9D">
        <w:rPr>
          <w:rFonts w:ascii="Times New Roman" w:hAnsi="Times New Roman" w:cs="Times New Roman"/>
        </w:rPr>
        <w:t xml:space="preserve"> redatta dal mercante e politico fiorentino Marco Parenti, edita in </w:t>
      </w:r>
      <w:bookmarkStart w:id="344" w:name="_Hlk526111891"/>
      <w:r w:rsidRPr="00796A9D">
        <w:rPr>
          <w:rFonts w:ascii="Times New Roman" w:hAnsi="Times New Roman" w:cs="Times New Roman"/>
          <w:smallCaps/>
        </w:rPr>
        <w:t>M. Parenti</w:t>
      </w:r>
      <w:r w:rsidRPr="00796A9D">
        <w:rPr>
          <w:rFonts w:ascii="Times New Roman" w:hAnsi="Times New Roman" w:cs="Times New Roman"/>
        </w:rPr>
        <w:t xml:space="preserve">, </w:t>
      </w:r>
      <w:r w:rsidRPr="00796A9D">
        <w:rPr>
          <w:rFonts w:ascii="Times New Roman" w:hAnsi="Times New Roman" w:cs="Times New Roman"/>
          <w:i/>
        </w:rPr>
        <w:t>Lettere</w:t>
      </w:r>
      <w:r w:rsidRPr="00796A9D">
        <w:rPr>
          <w:rFonts w:ascii="Times New Roman" w:hAnsi="Times New Roman" w:cs="Times New Roman"/>
        </w:rPr>
        <w:t xml:space="preserve">, a cura di </w:t>
      </w:r>
      <w:r w:rsidRPr="00796A9D">
        <w:rPr>
          <w:rFonts w:ascii="Times New Roman" w:hAnsi="Times New Roman" w:cs="Times New Roman"/>
          <w:smallCaps/>
        </w:rPr>
        <w:t>M. Marrese</w:t>
      </w:r>
      <w:r w:rsidRPr="00796A9D">
        <w:rPr>
          <w:rFonts w:ascii="Times New Roman" w:hAnsi="Times New Roman" w:cs="Times New Roman"/>
        </w:rPr>
        <w:t>, Firenze, Olschki, 1996</w:t>
      </w:r>
      <w:bookmarkEnd w:id="344"/>
      <w:r w:rsidRPr="00796A9D">
        <w:rPr>
          <w:rFonts w:ascii="Times New Roman" w:hAnsi="Times New Roman" w:cs="Times New Roman"/>
        </w:rPr>
        <w:t xml:space="preserve">, pp. 247-250. </w:t>
      </w:r>
    </w:p>
  </w:footnote>
  <w:footnote w:id="422">
    <w:p w14:paraId="633FAA49"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Cfr. </w:t>
      </w:r>
      <w:bookmarkStart w:id="345" w:name="_Hlk526111992"/>
      <w:r w:rsidRPr="00796A9D">
        <w:rPr>
          <w:rFonts w:ascii="Times New Roman" w:hAnsi="Times New Roman" w:cs="Times New Roman"/>
          <w:smallCaps/>
          <w:lang w:val="en-US"/>
        </w:rPr>
        <w:t>P. Ventrone</w:t>
      </w:r>
      <w:r w:rsidRPr="00796A9D">
        <w:rPr>
          <w:rFonts w:ascii="Times New Roman" w:hAnsi="Times New Roman" w:cs="Times New Roman"/>
          <w:i/>
          <w:lang w:val="en-US"/>
        </w:rPr>
        <w:t>, Medicean Theater. Image and Message</w:t>
      </w:r>
      <w:r w:rsidRPr="00796A9D">
        <w:rPr>
          <w:rFonts w:ascii="Times New Roman" w:hAnsi="Times New Roman" w:cs="Times New Roman"/>
          <w:lang w:val="en-US"/>
        </w:rPr>
        <w:t xml:space="preserve">, in </w:t>
      </w:r>
      <w:r w:rsidRPr="00796A9D">
        <w:rPr>
          <w:rFonts w:ascii="Times New Roman" w:hAnsi="Times New Roman" w:cs="Times New Roman"/>
          <w:i/>
          <w:lang w:val="en-US"/>
        </w:rPr>
        <w:t>The Medici: Citizens and Masters</w:t>
      </w:r>
      <w:r w:rsidRPr="00796A9D">
        <w:rPr>
          <w:rFonts w:ascii="Times New Roman" w:hAnsi="Times New Roman" w:cs="Times New Roman"/>
          <w:lang w:val="en-US"/>
        </w:rPr>
        <w:t xml:space="preserve">, edited by </w:t>
      </w:r>
      <w:r w:rsidRPr="00796A9D">
        <w:rPr>
          <w:rFonts w:ascii="Times New Roman" w:hAnsi="Times New Roman" w:cs="Times New Roman"/>
          <w:smallCaps/>
          <w:lang w:val="en-US"/>
        </w:rPr>
        <w:t>R. Black</w:t>
      </w:r>
      <w:r w:rsidRPr="00796A9D">
        <w:rPr>
          <w:rFonts w:ascii="Times New Roman" w:hAnsi="Times New Roman" w:cs="Times New Roman"/>
          <w:lang w:val="en-US"/>
        </w:rPr>
        <w:t xml:space="preserve">, </w:t>
      </w:r>
      <w:r w:rsidRPr="00796A9D">
        <w:rPr>
          <w:rFonts w:ascii="Times New Roman" w:hAnsi="Times New Roman" w:cs="Times New Roman"/>
          <w:smallCaps/>
          <w:lang w:val="en-US"/>
        </w:rPr>
        <w:t>J. E. Law</w:t>
      </w:r>
      <w:r w:rsidRPr="00796A9D">
        <w:rPr>
          <w:rFonts w:ascii="Times New Roman" w:hAnsi="Times New Roman" w:cs="Times New Roman"/>
          <w:lang w:val="en-US"/>
        </w:rPr>
        <w:t>, Villa I Tatti - Harvard University Press, 2015, pp. 253-265</w:t>
      </w:r>
      <w:bookmarkEnd w:id="345"/>
      <w:r w:rsidRPr="00796A9D">
        <w:rPr>
          <w:rFonts w:ascii="Times New Roman" w:hAnsi="Times New Roman" w:cs="Times New Roman"/>
          <w:lang w:val="en-US"/>
        </w:rPr>
        <w:t>: 263.</w:t>
      </w:r>
    </w:p>
  </w:footnote>
  <w:footnote w:id="423">
    <w:p w14:paraId="1C748ED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bCs/>
          <w:color w:val="000000"/>
          <w:shd w:val="clear" w:color="auto" w:fill="FFFFFF"/>
        </w:rPr>
        <w:t xml:space="preserve">F. </w:t>
      </w:r>
      <w:r w:rsidRPr="00796A9D">
        <w:rPr>
          <w:rFonts w:ascii="Times New Roman" w:hAnsi="Times New Roman" w:cs="Times New Roman"/>
          <w:bCs/>
          <w:smallCaps/>
          <w:color w:val="000000"/>
          <w:shd w:val="clear" w:color="auto" w:fill="FFFFFF"/>
        </w:rPr>
        <w:t>Pezzarossa</w:t>
      </w:r>
      <w:r w:rsidRPr="00796A9D">
        <w:rPr>
          <w:rFonts w:ascii="Times New Roman" w:hAnsi="Times New Roman" w:cs="Times New Roman"/>
          <w:bCs/>
          <w:color w:val="000000"/>
          <w:shd w:val="clear" w:color="auto" w:fill="FFFFFF"/>
        </w:rPr>
        <w:t xml:space="preserve">, </w:t>
      </w:r>
      <w:r w:rsidRPr="00796A9D">
        <w:rPr>
          <w:rFonts w:ascii="Times New Roman" w:hAnsi="Times New Roman" w:cs="Times New Roman"/>
          <w:bCs/>
          <w:i/>
          <w:color w:val="000000"/>
          <w:shd w:val="clear" w:color="auto" w:fill="FFFFFF"/>
        </w:rPr>
        <w:t>‹‹Ad honorem et laude del nome Bentivoglio››. La letteratura della festa nel secondo Quattrocento</w:t>
      </w:r>
      <w:r w:rsidRPr="00796A9D">
        <w:rPr>
          <w:rFonts w:ascii="Times New Roman" w:hAnsi="Times New Roman" w:cs="Times New Roman"/>
          <w:bCs/>
          <w:color w:val="000000"/>
          <w:shd w:val="clear" w:color="auto" w:fill="FFFFFF"/>
        </w:rPr>
        <w:t xml:space="preserve">, in </w:t>
      </w:r>
      <w:r w:rsidRPr="00796A9D">
        <w:rPr>
          <w:rFonts w:ascii="Times New Roman" w:hAnsi="Times New Roman" w:cs="Times New Roman"/>
          <w:bCs/>
          <w:i/>
          <w:color w:val="000000"/>
          <w:shd w:val="clear" w:color="auto" w:fill="FFFFFF"/>
        </w:rPr>
        <w:t>Bentivolorum magnificentia. Principe e cultura a Bologna nel Rinascimento</w:t>
      </w:r>
      <w:r w:rsidRPr="00796A9D">
        <w:rPr>
          <w:rFonts w:ascii="Times New Roman" w:hAnsi="Times New Roman" w:cs="Times New Roman"/>
          <w:bCs/>
          <w:color w:val="000000"/>
          <w:shd w:val="clear" w:color="auto" w:fill="FFFFFF"/>
        </w:rPr>
        <w:t xml:space="preserve">, a cura di </w:t>
      </w:r>
      <w:r w:rsidRPr="00796A9D">
        <w:rPr>
          <w:rFonts w:ascii="Times New Roman" w:hAnsi="Times New Roman" w:cs="Times New Roman"/>
          <w:bCs/>
          <w:smallCaps/>
          <w:color w:val="000000"/>
          <w:shd w:val="clear" w:color="auto" w:fill="FFFFFF"/>
        </w:rPr>
        <w:t>B. Basile</w:t>
      </w:r>
      <w:r w:rsidRPr="00796A9D">
        <w:rPr>
          <w:rFonts w:ascii="Times New Roman" w:hAnsi="Times New Roman" w:cs="Times New Roman"/>
          <w:bCs/>
          <w:color w:val="000000"/>
          <w:shd w:val="clear" w:color="auto" w:fill="FFFFFF"/>
        </w:rPr>
        <w:t>, Roma, Bulzoni, 1984, pp. 35-113. L</w:t>
      </w:r>
      <w:r>
        <w:rPr>
          <w:rFonts w:ascii="Times New Roman" w:hAnsi="Times New Roman" w:cs="Times New Roman"/>
          <w:bCs/>
          <w:color w:val="000000"/>
          <w:shd w:val="clear" w:color="auto" w:fill="FFFFFF"/>
        </w:rPr>
        <w:t>o studioso</w:t>
      </w:r>
      <w:r w:rsidRPr="00796A9D">
        <w:rPr>
          <w:rFonts w:ascii="Times New Roman" w:hAnsi="Times New Roman" w:cs="Times New Roman"/>
          <w:bCs/>
          <w:color w:val="000000"/>
          <w:shd w:val="clear" w:color="auto" w:fill="FFFFFF"/>
        </w:rPr>
        <w:t xml:space="preserve"> dichiara espressamente la committenza medicea del poemetto e segnala come questo sia il componimento in cui maggiormente si riconoscono le virtù di Annibale, oscurate negli altri resoconti sullo sposalizio dalla figura eminente del padre Giovanni II.</w:t>
      </w:r>
    </w:p>
  </w:footnote>
  <w:footnote w:id="424">
    <w:p w14:paraId="3E9852D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Per l’analisi bibliografica dei due incunaboli si veda ultra </w:t>
      </w:r>
      <w:r w:rsidRPr="00796A9D">
        <w:rPr>
          <w:rFonts w:ascii="Times New Roman" w:hAnsi="Times New Roman" w:cs="Times New Roman"/>
          <w:i/>
        </w:rPr>
        <w:t>Appendice I</w:t>
      </w:r>
      <w:r w:rsidRPr="00796A9D">
        <w:rPr>
          <w:rFonts w:ascii="Times New Roman" w:hAnsi="Times New Roman" w:cs="Times New Roman"/>
        </w:rPr>
        <w:t xml:space="preserve">, schede 4 e 5. </w:t>
      </w:r>
      <w:r>
        <w:rPr>
          <w:rFonts w:ascii="Times New Roman" w:hAnsi="Times New Roman" w:cs="Times New Roman"/>
        </w:rPr>
        <w:t xml:space="preserve">Del testo si </w:t>
      </w:r>
      <w:r w:rsidRPr="00796A9D">
        <w:rPr>
          <w:rFonts w:ascii="Times New Roman" w:hAnsi="Times New Roman" w:cs="Times New Roman"/>
          <w:color w:val="000000"/>
          <w:shd w:val="clear" w:color="auto" w:fill="FFFFFF"/>
        </w:rPr>
        <w:t>veda</w:t>
      </w:r>
      <w:r>
        <w:rPr>
          <w:rFonts w:ascii="Times New Roman" w:hAnsi="Times New Roman" w:cs="Times New Roman"/>
          <w:color w:val="000000"/>
          <w:shd w:val="clear" w:color="auto" w:fill="FFFFFF"/>
        </w:rPr>
        <w:t>no</w:t>
      </w:r>
      <w:r w:rsidRPr="00796A9D">
        <w:rPr>
          <w:rFonts w:ascii="Times New Roman" w:hAnsi="Times New Roman" w:cs="Times New Roman"/>
          <w:color w:val="000000"/>
          <w:shd w:val="clear" w:color="auto" w:fill="FFFFFF"/>
        </w:rPr>
        <w:t xml:space="preserve"> l</w:t>
      </w:r>
      <w:r w:rsidRPr="00796A9D">
        <w:rPr>
          <w:rFonts w:ascii="Times New Roman" w:hAnsi="Times New Roman" w:cs="Times New Roman"/>
        </w:rPr>
        <w:t xml:space="preserve">’edizione anastatica </w:t>
      </w:r>
      <w:r w:rsidRPr="00796A9D">
        <w:rPr>
          <w:rFonts w:ascii="Times New Roman" w:hAnsi="Times New Roman" w:cs="Times New Roman"/>
          <w:smallCaps/>
        </w:rPr>
        <w:t>F. Beroaldo</w:t>
      </w:r>
      <w:r w:rsidRPr="00796A9D">
        <w:rPr>
          <w:rFonts w:ascii="Times New Roman" w:hAnsi="Times New Roman" w:cs="Times New Roman"/>
        </w:rPr>
        <w:t xml:space="preserve">, </w:t>
      </w:r>
      <w:r w:rsidRPr="00796A9D">
        <w:rPr>
          <w:rFonts w:ascii="Times New Roman" w:hAnsi="Times New Roman" w:cs="Times New Roman"/>
          <w:i/>
        </w:rPr>
        <w:t>Le nozze dei Bentivoglio. Nuptiae Bentivolorum</w:t>
      </w:r>
      <w:r w:rsidRPr="00796A9D">
        <w:rPr>
          <w:rFonts w:ascii="Times New Roman" w:hAnsi="Times New Roman" w:cs="Times New Roman"/>
        </w:rPr>
        <w:t xml:space="preserve">, a cura di </w:t>
      </w:r>
      <w:r w:rsidRPr="00796A9D">
        <w:rPr>
          <w:rFonts w:ascii="Times New Roman" w:hAnsi="Times New Roman" w:cs="Times New Roman"/>
          <w:smallCaps/>
        </w:rPr>
        <w:t>M. Calore</w:t>
      </w:r>
      <w:r w:rsidRPr="00796A9D">
        <w:rPr>
          <w:rFonts w:ascii="Times New Roman" w:hAnsi="Times New Roman" w:cs="Times New Roman"/>
        </w:rPr>
        <w:t xml:space="preserve">, A.M.I.S, Bologna, 1977, e l’edizione critica in </w:t>
      </w:r>
      <w:r w:rsidRPr="00796A9D">
        <w:rPr>
          <w:rFonts w:ascii="Times New Roman" w:hAnsi="Times New Roman" w:cs="Times New Roman"/>
          <w:i/>
        </w:rPr>
        <w:t>Le nozze dei Bentivoglio (1487). Cronisti e poeti</w:t>
      </w:r>
      <w:r w:rsidRPr="00796A9D">
        <w:rPr>
          <w:rFonts w:ascii="Times New Roman" w:hAnsi="Times New Roman" w:cs="Times New Roman"/>
        </w:rPr>
        <w:t xml:space="preserve">, a cura di </w:t>
      </w:r>
      <w:r w:rsidRPr="00796A9D">
        <w:rPr>
          <w:rFonts w:ascii="Times New Roman" w:hAnsi="Times New Roman" w:cs="Times New Roman"/>
          <w:smallCaps/>
        </w:rPr>
        <w:t>B. Basile, S. Scioli</w:t>
      </w:r>
      <w:r w:rsidRPr="00796A9D">
        <w:rPr>
          <w:rFonts w:ascii="Times New Roman" w:hAnsi="Times New Roman" w:cs="Times New Roman"/>
        </w:rPr>
        <w:t xml:space="preserve">, Napoli, La scuola di Pitagora, 2014, pp. 147-191. Da quest’ultima sono tratte le citazioni impiegate in questo studio. </w:t>
      </w:r>
    </w:p>
  </w:footnote>
  <w:footnote w:id="425">
    <w:p w14:paraId="74AE537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Severi</w:t>
      </w:r>
      <w:r w:rsidRPr="00796A9D">
        <w:rPr>
          <w:rFonts w:ascii="Times New Roman" w:hAnsi="Times New Roman" w:cs="Times New Roman"/>
        </w:rPr>
        <w:t xml:space="preserve">, </w:t>
      </w:r>
      <w:r w:rsidRPr="00796A9D">
        <w:rPr>
          <w:rFonts w:ascii="Times New Roman" w:hAnsi="Times New Roman" w:cs="Times New Roman"/>
          <w:i/>
        </w:rPr>
        <w:t>Filippo Beroaldo il Vecchio un maestro per l’Europa. Da commentatore di classici a classico moderno (1481-1550</w:t>
      </w:r>
      <w:r w:rsidRPr="00796A9D">
        <w:rPr>
          <w:rFonts w:ascii="Times New Roman" w:hAnsi="Times New Roman" w:cs="Times New Roman"/>
        </w:rPr>
        <w:t xml:space="preserve">), Bologna, il Mulino, 2015, pp. 267-272, dove si osserva come dall’analisi della tradizione manoscritta l’opera del Beroaldo cortigiano possa essere circoscritta alla sola offerta delle </w:t>
      </w:r>
      <w:r w:rsidRPr="00796A9D">
        <w:rPr>
          <w:rFonts w:ascii="Times New Roman" w:hAnsi="Times New Roman" w:cs="Times New Roman"/>
          <w:i/>
        </w:rPr>
        <w:t>Nuptiae</w:t>
      </w:r>
      <w:r w:rsidRPr="00796A9D">
        <w:rPr>
          <w:rFonts w:ascii="Times New Roman" w:hAnsi="Times New Roman" w:cs="Times New Roman"/>
        </w:rPr>
        <w:t xml:space="preserve"> e di un </w:t>
      </w:r>
      <w:r w:rsidRPr="00796A9D">
        <w:rPr>
          <w:rFonts w:ascii="Times New Roman" w:hAnsi="Times New Roman" w:cs="Times New Roman"/>
          <w:i/>
        </w:rPr>
        <w:t>Panegyricus</w:t>
      </w:r>
      <w:r w:rsidRPr="00796A9D">
        <w:rPr>
          <w:rFonts w:ascii="Times New Roman" w:hAnsi="Times New Roman" w:cs="Times New Roman"/>
        </w:rPr>
        <w:t xml:space="preserve"> in lode di Ludovico il Moro, contenuto nel codice miniato di dedica non datato conservato alla Biblioteca Ambrosiana di Milano, ms. V 15 Sup. Si veda in aggiunta </w:t>
      </w:r>
      <w:r w:rsidRPr="00796A9D">
        <w:rPr>
          <w:rFonts w:ascii="Times New Roman" w:hAnsi="Times New Roman" w:cs="Times New Roman"/>
          <w:smallCaps/>
        </w:rPr>
        <w:t>R. Bertani, P. Tinti</w:t>
      </w:r>
      <w:r w:rsidRPr="00796A9D">
        <w:rPr>
          <w:rFonts w:ascii="Times New Roman" w:hAnsi="Times New Roman" w:cs="Times New Roman"/>
        </w:rPr>
        <w:t xml:space="preserve">, </w:t>
      </w:r>
      <w:r w:rsidRPr="00796A9D">
        <w:rPr>
          <w:rFonts w:ascii="Times New Roman" w:hAnsi="Times New Roman" w:cs="Times New Roman"/>
          <w:i/>
        </w:rPr>
        <w:t>Filippo Beroaldo il Vecchio e le dediche. Sondaggi e problemi nelle edizioni a stampa (secc. XV-XVI)</w:t>
      </w:r>
      <w:r w:rsidRPr="00796A9D">
        <w:rPr>
          <w:rFonts w:ascii="Times New Roman" w:hAnsi="Times New Roman" w:cs="Times New Roman"/>
        </w:rPr>
        <w:t xml:space="preserve">, «TECA», 9-10, marzo-settembre 2016, pp. 9-38. </w:t>
      </w:r>
    </w:p>
  </w:footnote>
  <w:footnote w:id="426">
    <w:p w14:paraId="5EC63016" w14:textId="77777777" w:rsidR="00CF5CFB" w:rsidRPr="00796A9D" w:rsidRDefault="00CF5CFB" w:rsidP="00796A9D">
      <w:pPr>
        <w:spacing w:after="0"/>
        <w:jc w:val="both"/>
        <w:rPr>
          <w:rFonts w:ascii="Times New Roman" w:hAnsi="Times New Roman" w:cs="Times New Roman"/>
          <w:bCs/>
          <w:color w:val="000000"/>
          <w:sz w:val="20"/>
          <w:szCs w:val="20"/>
          <w:shd w:val="clear" w:color="auto" w:fill="FFFFFF"/>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Il valore letterario dell’</w:t>
      </w:r>
      <w:r w:rsidRPr="00796A9D">
        <w:rPr>
          <w:rFonts w:ascii="Times New Roman" w:hAnsi="Times New Roman" w:cs="Times New Roman"/>
          <w:i/>
          <w:sz w:val="20"/>
          <w:szCs w:val="20"/>
        </w:rPr>
        <w:t>opusculum</w:t>
      </w:r>
      <w:r w:rsidRPr="00796A9D">
        <w:rPr>
          <w:rFonts w:ascii="Times New Roman" w:hAnsi="Times New Roman" w:cs="Times New Roman"/>
          <w:sz w:val="20"/>
          <w:szCs w:val="20"/>
        </w:rPr>
        <w:t xml:space="preserve"> di Beroaldo è messo in risalto da P. </w:t>
      </w:r>
      <w:r w:rsidRPr="00796A9D">
        <w:rPr>
          <w:rFonts w:ascii="Times New Roman" w:hAnsi="Times New Roman" w:cs="Times New Roman"/>
          <w:smallCaps/>
          <w:sz w:val="20"/>
          <w:szCs w:val="20"/>
        </w:rPr>
        <w:t>Fazion</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«Nuptiae Bentivolorum». La città in festa nel commento di Filippo Beroaldo</w:t>
      </w:r>
      <w:r w:rsidRPr="00796A9D">
        <w:rPr>
          <w:rFonts w:ascii="Times New Roman" w:hAnsi="Times New Roman" w:cs="Times New Roman"/>
          <w:sz w:val="20"/>
          <w:szCs w:val="20"/>
        </w:rPr>
        <w:t xml:space="preserve">, </w:t>
      </w:r>
      <w:r w:rsidRPr="00796A9D">
        <w:rPr>
          <w:rFonts w:ascii="Times New Roman" w:hAnsi="Times New Roman" w:cs="Times New Roman"/>
          <w:bCs/>
          <w:color w:val="000000"/>
          <w:sz w:val="20"/>
          <w:szCs w:val="20"/>
          <w:shd w:val="clear" w:color="auto" w:fill="FFFFFF"/>
        </w:rPr>
        <w:t xml:space="preserve">in </w:t>
      </w:r>
      <w:r w:rsidRPr="00796A9D">
        <w:rPr>
          <w:rFonts w:ascii="Times New Roman" w:hAnsi="Times New Roman" w:cs="Times New Roman"/>
          <w:bCs/>
          <w:i/>
          <w:color w:val="000000"/>
          <w:sz w:val="20"/>
          <w:szCs w:val="20"/>
          <w:shd w:val="clear" w:color="auto" w:fill="FFFFFF"/>
        </w:rPr>
        <w:t>Bentivolorum magnificentia. Principe e cultura a Bologna nel Rinascimento</w:t>
      </w:r>
      <w:r w:rsidRPr="00796A9D">
        <w:rPr>
          <w:rFonts w:ascii="Times New Roman" w:hAnsi="Times New Roman" w:cs="Times New Roman"/>
          <w:bCs/>
          <w:color w:val="000000"/>
          <w:sz w:val="20"/>
          <w:szCs w:val="20"/>
          <w:shd w:val="clear" w:color="auto" w:fill="FFFFFF"/>
        </w:rPr>
        <w:t xml:space="preserve">, Bulzoni, 1984, pp. 115-132.   </w:t>
      </w:r>
      <w:r w:rsidRPr="00796A9D">
        <w:rPr>
          <w:rFonts w:ascii="Times New Roman" w:hAnsi="Times New Roman" w:cs="Times New Roman"/>
          <w:sz w:val="20"/>
          <w:szCs w:val="20"/>
        </w:rPr>
        <w:t xml:space="preserve"> </w:t>
      </w:r>
    </w:p>
  </w:footnote>
  <w:footnote w:id="427">
    <w:p w14:paraId="742FAD0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L’analisi della corrispondenza tra Beroaldo e Niccolò Antiquari ha rivelato come, intorno alla metà degli anni Ottanta del Quattrocento, il retore, in cerca d’indipendenza dai Bentivoglio, avesse soppesato la possibilità di trasferirsi a Milano. Cfr. </w:t>
      </w:r>
      <w:bookmarkStart w:id="346" w:name="_Hlk526112805"/>
      <w:r w:rsidRPr="00796A9D">
        <w:rPr>
          <w:rFonts w:ascii="Times New Roman" w:hAnsi="Times New Roman" w:cs="Times New Roman"/>
          <w:smallCaps/>
        </w:rPr>
        <w:t>S. F. Costa, F. La Brasca</w:t>
      </w:r>
      <w:r w:rsidRPr="00796A9D">
        <w:rPr>
          <w:rFonts w:ascii="Times New Roman" w:hAnsi="Times New Roman" w:cs="Times New Roman"/>
        </w:rPr>
        <w:t xml:space="preserve">, </w:t>
      </w:r>
      <w:r w:rsidRPr="00796A9D">
        <w:rPr>
          <w:rFonts w:ascii="Times New Roman" w:hAnsi="Times New Roman" w:cs="Times New Roman"/>
          <w:i/>
        </w:rPr>
        <w:t>Filippo Beroaldo l’Ancien. Filippo Beroaldo il Vecchio. Un passeur d’humanités. Un umanista ad limina</w:t>
      </w:r>
      <w:r w:rsidRPr="00796A9D">
        <w:rPr>
          <w:rFonts w:ascii="Times New Roman" w:hAnsi="Times New Roman" w:cs="Times New Roman"/>
        </w:rPr>
        <w:t>, Bern, Peter Lang, 2005</w:t>
      </w:r>
      <w:bookmarkEnd w:id="346"/>
      <w:r w:rsidRPr="00796A9D">
        <w:rPr>
          <w:rFonts w:ascii="Times New Roman" w:hAnsi="Times New Roman" w:cs="Times New Roman"/>
        </w:rPr>
        <w:t xml:space="preserve">, pp. 49-50. </w:t>
      </w:r>
    </w:p>
  </w:footnote>
  <w:footnote w:id="428">
    <w:p w14:paraId="640EF5F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Style w:val="ample-display-content"/>
          <w:rFonts w:ascii="Times New Roman" w:hAnsi="Times New Roman" w:cs="Times New Roman"/>
        </w:rPr>
        <w:t xml:space="preserve">BMC VI 825; </w:t>
      </w:r>
      <w:r w:rsidRPr="00796A9D">
        <w:rPr>
          <w:rFonts w:ascii="Times New Roman" w:hAnsi="Times New Roman" w:cs="Times New Roman"/>
        </w:rPr>
        <w:t>IGI 1602</w:t>
      </w:r>
      <w:r w:rsidRPr="00796A9D">
        <w:rPr>
          <w:rStyle w:val="ample-display-content"/>
          <w:rFonts w:ascii="Times New Roman" w:hAnsi="Times New Roman" w:cs="Times New Roman"/>
        </w:rPr>
        <w:t xml:space="preserve">. </w:t>
      </w:r>
    </w:p>
  </w:footnote>
  <w:footnote w:id="429">
    <w:p w14:paraId="2CFEAC3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GW 4145; IGI 1603. Per l’importanza delle stampe degli scritti di Beroaldo per la diffusione della sua fama europea rinvio ad </w:t>
      </w:r>
      <w:r w:rsidRPr="00796A9D">
        <w:rPr>
          <w:rFonts w:ascii="Times New Roman" w:hAnsi="Times New Roman" w:cs="Times New Roman"/>
          <w:smallCaps/>
        </w:rPr>
        <w:t>A. Severi</w:t>
      </w:r>
      <w:r w:rsidRPr="00796A9D">
        <w:rPr>
          <w:rFonts w:ascii="Times New Roman" w:hAnsi="Times New Roman" w:cs="Times New Roman"/>
        </w:rPr>
        <w:t xml:space="preserve">, </w:t>
      </w:r>
      <w:r w:rsidRPr="00796A9D">
        <w:rPr>
          <w:rFonts w:ascii="Times New Roman" w:hAnsi="Times New Roman" w:cs="Times New Roman"/>
          <w:i/>
        </w:rPr>
        <w:t>Filippo Beroaldo il Vecchio un maestro per l’Europa</w:t>
      </w:r>
      <w:r w:rsidRPr="00796A9D">
        <w:rPr>
          <w:rFonts w:ascii="Times New Roman" w:hAnsi="Times New Roman" w:cs="Times New Roman"/>
        </w:rPr>
        <w:t xml:space="preserve">, cit., pp. 60-67.  </w:t>
      </w:r>
    </w:p>
  </w:footnote>
  <w:footnote w:id="430">
    <w:p w14:paraId="4121AF9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color w:val="000000"/>
          <w:shd w:val="clear" w:color="auto" w:fill="FFFFFF"/>
        </w:rPr>
        <w:t xml:space="preserve">IGI 8523 e </w:t>
      </w:r>
      <w:r w:rsidRPr="00796A9D">
        <w:rPr>
          <w:rFonts w:ascii="Times New Roman" w:hAnsi="Times New Roman" w:cs="Times New Roman"/>
          <w:smallCaps/>
        </w:rPr>
        <w:t xml:space="preserve">Manni </w:t>
      </w:r>
      <w:r w:rsidRPr="00796A9D">
        <w:rPr>
          <w:rFonts w:ascii="Times New Roman" w:hAnsi="Times New Roman" w:cs="Times New Roman"/>
          <w:color w:val="000000"/>
          <w:shd w:val="clear" w:color="auto" w:fill="FFFFFF"/>
        </w:rPr>
        <w:t xml:space="preserve">n. 868 attribuiscono il libretto agli stampatori </w:t>
      </w:r>
      <w:r w:rsidRPr="00796A9D">
        <w:rPr>
          <w:rFonts w:ascii="Times New Roman" w:hAnsi="Times New Roman" w:cs="Times New Roman"/>
        </w:rPr>
        <w:t>tedeschi Pachel e Scinzenzeler.</w:t>
      </w:r>
      <w:r w:rsidRPr="00796A9D">
        <w:rPr>
          <w:rFonts w:ascii="Times New Roman" w:hAnsi="Times New Roman" w:cs="Times New Roman"/>
          <w:color w:val="000000"/>
          <w:shd w:val="clear" w:color="auto" w:fill="FFFFFF"/>
        </w:rPr>
        <w:t xml:space="preserve"> </w:t>
      </w:r>
      <w:r w:rsidRPr="00796A9D">
        <w:rPr>
          <w:rFonts w:ascii="Times New Roman" w:hAnsi="Times New Roman" w:cs="Times New Roman"/>
          <w:shd w:val="clear" w:color="auto" w:fill="FFFFFF"/>
        </w:rPr>
        <w:t xml:space="preserve">GW M41201 e </w:t>
      </w:r>
      <w:r w:rsidRPr="00796A9D">
        <w:rPr>
          <w:rFonts w:ascii="Times New Roman" w:hAnsi="Times New Roman" w:cs="Times New Roman"/>
          <w:color w:val="000000"/>
          <w:shd w:val="clear" w:color="auto" w:fill="FFFFFF"/>
        </w:rPr>
        <w:t>R 1624 lo assegnano invece al bolognese Francesco de Benedictis. Se ne veda la mia analisi bibliografica nell’</w:t>
      </w:r>
      <w:r w:rsidRPr="00796A9D">
        <w:rPr>
          <w:rFonts w:ascii="Times New Roman" w:hAnsi="Times New Roman" w:cs="Times New Roman"/>
          <w:i/>
        </w:rPr>
        <w:t>Appendice I</w:t>
      </w:r>
      <w:r w:rsidRPr="00796A9D">
        <w:rPr>
          <w:rFonts w:ascii="Times New Roman" w:hAnsi="Times New Roman" w:cs="Times New Roman"/>
          <w:color w:val="000000"/>
          <w:shd w:val="clear" w:color="auto" w:fill="FFFFFF"/>
        </w:rPr>
        <w:t>, scheda 6</w:t>
      </w:r>
      <w:r w:rsidRPr="00796A9D">
        <w:rPr>
          <w:rFonts w:ascii="Times New Roman" w:hAnsi="Times New Roman" w:cs="Times New Roman"/>
        </w:rPr>
        <w:t>.</w:t>
      </w:r>
    </w:p>
  </w:footnote>
  <w:footnote w:id="431">
    <w:p w14:paraId="445B20F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Non ne è nota la data di nascita, che dovrebbe aggirarsi intorno al 1454 secondo quanto riferiscono alcuni biografi bolognesi. Poco altro si sa del Salimbeni, discendente di una famiglia di tradizione artigiana. I suoi esordi poetici si collocano nel 1477 e gli valsero la stima e l’amicizia di Cesare Nappi e Sebastiano Aldrovandi. Con quest’ultimo egli compose un prosimetro in forma epistolare intitolato </w:t>
      </w:r>
      <w:r w:rsidRPr="00796A9D">
        <w:rPr>
          <w:rFonts w:ascii="Times New Roman" w:hAnsi="Times New Roman" w:cs="Times New Roman"/>
          <w:i/>
        </w:rPr>
        <w:t>Philomathia</w:t>
      </w:r>
      <w:r w:rsidRPr="00796A9D">
        <w:rPr>
          <w:rFonts w:ascii="Times New Roman" w:hAnsi="Times New Roman" w:cs="Times New Roman"/>
        </w:rPr>
        <w:t xml:space="preserve">. Nel 1506 ricoprì la carica di Cancelliere del Senato bolognese. Cfr. </w:t>
      </w:r>
      <w:r w:rsidRPr="00796A9D">
        <w:rPr>
          <w:rFonts w:ascii="Times New Roman" w:hAnsi="Times New Roman" w:cs="Times New Roman"/>
          <w:i/>
        </w:rPr>
        <w:t>Le nozze dei Bentivoglio (1487). Cronisti e poeti</w:t>
      </w:r>
      <w:r w:rsidRPr="00796A9D">
        <w:rPr>
          <w:rFonts w:ascii="Times New Roman" w:hAnsi="Times New Roman" w:cs="Times New Roman"/>
        </w:rPr>
        <w:t>, cit., pp. 139-146, dove si pubblicano anche le ottave 220-232; 225-230; 372-376 dell’</w:t>
      </w:r>
      <w:r w:rsidRPr="00796A9D">
        <w:rPr>
          <w:rFonts w:ascii="Times New Roman" w:hAnsi="Times New Roman" w:cs="Times New Roman"/>
          <w:i/>
        </w:rPr>
        <w:t>Epithalamium</w:t>
      </w:r>
      <w:r w:rsidRPr="00796A9D">
        <w:rPr>
          <w:rFonts w:ascii="Times New Roman" w:hAnsi="Times New Roman" w:cs="Times New Roman"/>
        </w:rPr>
        <w:t xml:space="preserve">. Osservazioni sulla </w:t>
      </w:r>
      <w:r w:rsidRPr="00796A9D">
        <w:rPr>
          <w:rFonts w:ascii="Times New Roman" w:hAnsi="Times New Roman" w:cs="Times New Roman"/>
          <w:i/>
        </w:rPr>
        <w:t>Philomathia</w:t>
      </w:r>
      <w:r w:rsidRPr="00796A9D">
        <w:rPr>
          <w:rFonts w:ascii="Times New Roman" w:hAnsi="Times New Roman" w:cs="Times New Roman"/>
        </w:rPr>
        <w:t xml:space="preserve">, che comprende la parte più larga della produzione del poeta e che è attualmente inedita, si leggono in </w:t>
      </w:r>
      <w:bookmarkStart w:id="347" w:name="_Hlk526113238"/>
      <w:r w:rsidRPr="00796A9D">
        <w:rPr>
          <w:rFonts w:ascii="Times New Roman" w:hAnsi="Times New Roman" w:cs="Times New Roman"/>
          <w:smallCaps/>
        </w:rPr>
        <w:t>N. Groja</w:t>
      </w:r>
      <w:r w:rsidRPr="00796A9D">
        <w:rPr>
          <w:rFonts w:ascii="Times New Roman" w:hAnsi="Times New Roman" w:cs="Times New Roman"/>
        </w:rPr>
        <w:t xml:space="preserve">, </w:t>
      </w:r>
      <w:r w:rsidRPr="00796A9D">
        <w:rPr>
          <w:rFonts w:ascii="Times New Roman" w:hAnsi="Times New Roman" w:cs="Times New Roman"/>
          <w:i/>
        </w:rPr>
        <w:t>La</w:t>
      </w:r>
      <w:r w:rsidRPr="00796A9D">
        <w:rPr>
          <w:rFonts w:ascii="Times New Roman" w:hAnsi="Times New Roman" w:cs="Times New Roman"/>
        </w:rPr>
        <w:t xml:space="preserve"> Philomathia </w:t>
      </w:r>
      <w:r w:rsidRPr="00796A9D">
        <w:rPr>
          <w:rFonts w:ascii="Times New Roman" w:hAnsi="Times New Roman" w:cs="Times New Roman"/>
          <w:i/>
        </w:rPr>
        <w:t>di Angelo Michele Salimbeni e Sebastiano Aldrovandi: cenni di analisi</w:t>
      </w:r>
      <w:r w:rsidRPr="00796A9D">
        <w:rPr>
          <w:rFonts w:ascii="Times New Roman" w:hAnsi="Times New Roman" w:cs="Times New Roman"/>
        </w:rPr>
        <w:t xml:space="preserve">, in </w:t>
      </w:r>
      <w:r w:rsidRPr="00796A9D">
        <w:rPr>
          <w:rFonts w:ascii="Times New Roman" w:hAnsi="Times New Roman" w:cs="Times New Roman"/>
          <w:i/>
        </w:rPr>
        <w:t>Tales of Unfulfilled Times. Saggi critici in onore di Dario Calimani offerti dai suoi allievi</w:t>
      </w:r>
      <w:r w:rsidRPr="00796A9D">
        <w:rPr>
          <w:rFonts w:ascii="Times New Roman" w:hAnsi="Times New Roman" w:cs="Times New Roman"/>
        </w:rPr>
        <w:t xml:space="preserve">, a cura di </w:t>
      </w:r>
      <w:r w:rsidRPr="00796A9D">
        <w:rPr>
          <w:rFonts w:ascii="Times New Roman" w:hAnsi="Times New Roman" w:cs="Times New Roman"/>
          <w:smallCaps/>
        </w:rPr>
        <w:t>F. Fantuzzi</w:t>
      </w:r>
      <w:r w:rsidRPr="00796A9D">
        <w:rPr>
          <w:rFonts w:ascii="Times New Roman" w:hAnsi="Times New Roman" w:cs="Times New Roman"/>
        </w:rPr>
        <w:t>, «Studi e ricerche», 9, 2017, pp. 79-88.</w:t>
      </w:r>
      <w:bookmarkEnd w:id="347"/>
    </w:p>
  </w:footnote>
  <w:footnote w:id="432">
    <w:p w14:paraId="770D1C3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bCs/>
          <w:color w:val="000000"/>
          <w:shd w:val="clear" w:color="auto" w:fill="FFFFFF"/>
        </w:rPr>
        <w:t xml:space="preserve">F. </w:t>
      </w:r>
      <w:r w:rsidRPr="00796A9D">
        <w:rPr>
          <w:rFonts w:ascii="Times New Roman" w:hAnsi="Times New Roman" w:cs="Times New Roman"/>
          <w:bCs/>
          <w:smallCaps/>
          <w:color w:val="000000"/>
          <w:shd w:val="clear" w:color="auto" w:fill="FFFFFF"/>
        </w:rPr>
        <w:t>Pezzarossa</w:t>
      </w:r>
      <w:r w:rsidRPr="00796A9D">
        <w:rPr>
          <w:rFonts w:ascii="Times New Roman" w:hAnsi="Times New Roman" w:cs="Times New Roman"/>
          <w:bCs/>
          <w:color w:val="000000"/>
          <w:shd w:val="clear" w:color="auto" w:fill="FFFFFF"/>
        </w:rPr>
        <w:t xml:space="preserve">, </w:t>
      </w:r>
      <w:r w:rsidRPr="00796A9D">
        <w:rPr>
          <w:rFonts w:ascii="Times New Roman" w:hAnsi="Times New Roman" w:cs="Times New Roman"/>
          <w:bCs/>
          <w:i/>
          <w:color w:val="000000"/>
          <w:shd w:val="clear" w:color="auto" w:fill="FFFFFF"/>
        </w:rPr>
        <w:t xml:space="preserve">‹‹Ad honorem et laude del nome Bentivoglio››, </w:t>
      </w:r>
      <w:r w:rsidRPr="00796A9D">
        <w:rPr>
          <w:rFonts w:ascii="Times New Roman" w:hAnsi="Times New Roman" w:cs="Times New Roman"/>
          <w:bCs/>
          <w:color w:val="000000"/>
          <w:shd w:val="clear" w:color="auto" w:fill="FFFFFF"/>
        </w:rPr>
        <w:t>cit.,</w:t>
      </w:r>
      <w:r w:rsidRPr="00796A9D">
        <w:rPr>
          <w:rFonts w:ascii="Times New Roman" w:hAnsi="Times New Roman" w:cs="Times New Roman"/>
          <w:bCs/>
          <w:i/>
          <w:color w:val="000000"/>
          <w:shd w:val="clear" w:color="auto" w:fill="FFFFFF"/>
        </w:rPr>
        <w:t xml:space="preserve"> </w:t>
      </w:r>
      <w:r w:rsidRPr="00796A9D">
        <w:rPr>
          <w:rFonts w:ascii="Times New Roman" w:hAnsi="Times New Roman" w:cs="Times New Roman"/>
          <w:bCs/>
          <w:color w:val="000000"/>
          <w:shd w:val="clear" w:color="auto" w:fill="FFFFFF"/>
        </w:rPr>
        <w:t>pp. 68-76.</w:t>
      </w:r>
    </w:p>
  </w:footnote>
  <w:footnote w:id="433">
    <w:p w14:paraId="4CFF69E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smallCaps/>
        </w:rPr>
        <w:t>A.M. Salimbeni</w:t>
      </w:r>
      <w:r w:rsidRPr="00796A9D">
        <w:rPr>
          <w:rFonts w:ascii="Times New Roman" w:hAnsi="Times New Roman" w:cs="Times New Roman"/>
        </w:rPr>
        <w:t xml:space="preserve">, </w:t>
      </w:r>
      <w:r w:rsidRPr="00796A9D">
        <w:rPr>
          <w:rFonts w:ascii="Times New Roman" w:hAnsi="Times New Roman" w:cs="Times New Roman"/>
          <w:i/>
        </w:rPr>
        <w:t>Epithalamium</w:t>
      </w:r>
      <w:r w:rsidRPr="00796A9D">
        <w:rPr>
          <w:rFonts w:ascii="Times New Roman" w:hAnsi="Times New Roman" w:cs="Times New Roman"/>
        </w:rPr>
        <w:t xml:space="preserve">, ott. 36. </w:t>
      </w:r>
    </w:p>
  </w:footnote>
  <w:footnote w:id="434">
    <w:p w14:paraId="7D8F991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ott. 32-71. </w:t>
      </w:r>
    </w:p>
  </w:footnote>
  <w:footnote w:id="435">
    <w:p w14:paraId="08F1DC9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Tra il 1467 e il 1468 Arienti attese alla stesura della sua prima opera: il </w:t>
      </w:r>
      <w:r w:rsidRPr="00796A9D">
        <w:rPr>
          <w:rFonts w:ascii="Times New Roman" w:hAnsi="Times New Roman" w:cs="Times New Roman"/>
          <w:i/>
        </w:rPr>
        <w:t>De civica salute</w:t>
      </w:r>
      <w:r w:rsidRPr="00796A9D">
        <w:rPr>
          <w:rFonts w:ascii="Times New Roman" w:hAnsi="Times New Roman" w:cs="Times New Roman"/>
        </w:rPr>
        <w:t xml:space="preserve">, riguardante la presa del potere da parte dell’oligarchia cittadina a Bologna sotto la guida dei Bentivoglio. Dal marzo 1471 l’autore fu registrato come notaio a Bologna. Dal medesimo ambiente notarile, connesso alla locale Università, proveniva anche Salimbeni, ed è probabile che i due si fossero incontrati. Entrambi ebbero accesso, infatti, al circolo di intellettuali e scrittori incoraggiato da Andrea Bentivoglio, che accoglieva, tra gli altri, Cesare Nappi, Giovanni Battista Refrigerio, Sebastiano Aldrovandi. Cfr. </w:t>
      </w:r>
      <w:bookmarkStart w:id="348" w:name="_Hlk526113598"/>
      <w:r w:rsidRPr="00796A9D">
        <w:rPr>
          <w:rFonts w:ascii="Times New Roman" w:hAnsi="Times New Roman" w:cs="Times New Roman"/>
          <w:smallCaps/>
        </w:rPr>
        <w:t>C. James</w:t>
      </w:r>
      <w:r w:rsidRPr="00796A9D">
        <w:rPr>
          <w:rFonts w:ascii="Times New Roman" w:hAnsi="Times New Roman" w:cs="Times New Roman"/>
        </w:rPr>
        <w:t xml:space="preserve">, </w:t>
      </w:r>
      <w:r w:rsidRPr="00796A9D">
        <w:rPr>
          <w:rFonts w:ascii="Times New Roman" w:hAnsi="Times New Roman" w:cs="Times New Roman"/>
          <w:i/>
        </w:rPr>
        <w:t>Giovanni Sabadino degli Arienti. A Literary Career</w:t>
      </w:r>
      <w:r w:rsidRPr="00796A9D">
        <w:rPr>
          <w:rFonts w:ascii="Times New Roman" w:hAnsi="Times New Roman" w:cs="Times New Roman"/>
        </w:rPr>
        <w:t>, Firenze, Olschki, 1996</w:t>
      </w:r>
      <w:bookmarkEnd w:id="348"/>
      <w:r w:rsidRPr="00796A9D">
        <w:rPr>
          <w:rFonts w:ascii="Times New Roman" w:hAnsi="Times New Roman" w:cs="Times New Roman"/>
        </w:rPr>
        <w:t xml:space="preserve">, pp. 6-7, per il quale, la dedica a Giovanni II delle cronache dell’Arienti sarebbe dovuta al clientelismo dettato dalla riconoscenza dell’autore piuttosto che al mecenatismo del Bentivoglio. Per un quadro sintetico della produzione letteraria e della carriera cortigiana dell’intellettuale, giocata tra Bologna e la corte di Ercole I d’Este, si veda </w:t>
      </w:r>
      <w:r w:rsidRPr="00796A9D">
        <w:rPr>
          <w:rFonts w:ascii="Times New Roman" w:hAnsi="Times New Roman" w:cs="Times New Roman"/>
          <w:smallCaps/>
        </w:rPr>
        <w:t>Idem</w:t>
      </w:r>
      <w:r w:rsidRPr="00796A9D">
        <w:rPr>
          <w:rFonts w:ascii="Times New Roman" w:hAnsi="Times New Roman" w:cs="Times New Roman"/>
        </w:rPr>
        <w:t xml:space="preserve">, </w:t>
      </w:r>
      <w:bookmarkStart w:id="349" w:name="_Hlk526113661"/>
      <w:r w:rsidRPr="00796A9D">
        <w:rPr>
          <w:rFonts w:ascii="Times New Roman" w:hAnsi="Times New Roman" w:cs="Times New Roman"/>
          <w:i/>
        </w:rPr>
        <w:t>The Letters of Giovanni Sabadino degli Arienti</w:t>
      </w:r>
      <w:r w:rsidRPr="00796A9D">
        <w:rPr>
          <w:rFonts w:ascii="Times New Roman" w:hAnsi="Times New Roman" w:cs="Times New Roman"/>
        </w:rPr>
        <w:t>, Firenze, Olschki, 2002, pp. 13-24.</w:t>
      </w:r>
    </w:p>
    <w:bookmarkEnd w:id="349"/>
  </w:footnote>
  <w:footnote w:id="436">
    <w:p w14:paraId="41A7FB1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Parma, Biblioteca Palatina, ms. 283, cartaceo di 40 ff. L’edizione moderna in </w:t>
      </w:r>
      <w:r w:rsidRPr="00796A9D">
        <w:rPr>
          <w:rFonts w:ascii="Times New Roman" w:hAnsi="Times New Roman" w:cs="Times New Roman"/>
          <w:i/>
        </w:rPr>
        <w:t>Il Torneo fatto in Bologna il IV ottobre MCCCCLXX</w:t>
      </w:r>
      <w:r w:rsidRPr="00796A9D">
        <w:rPr>
          <w:rFonts w:ascii="Times New Roman" w:hAnsi="Times New Roman" w:cs="Times New Roman"/>
        </w:rPr>
        <w:t xml:space="preserve">, a cura di </w:t>
      </w:r>
      <w:r w:rsidRPr="00796A9D">
        <w:rPr>
          <w:rFonts w:ascii="Times New Roman" w:hAnsi="Times New Roman" w:cs="Times New Roman"/>
          <w:smallCaps/>
        </w:rPr>
        <w:t>A. Zambiagi</w:t>
      </w:r>
      <w:r w:rsidRPr="00796A9D">
        <w:rPr>
          <w:rFonts w:ascii="Times New Roman" w:hAnsi="Times New Roman" w:cs="Times New Roman"/>
        </w:rPr>
        <w:t>, Parma, Battei, 1988. L’indizione del torneo aveva permesso al Bentivoglio di mostrarsi capace di offrire uno spettacolo degno di rivaleggiare con i lussuosi giochi equestri dei principi italiani. Nella sua descrizione Arienti presentò Giovanni II quale signore giusto e savio, il cui reggimento, in dialogo con l’oligarchia cittadina, si rendeva necessario per la fioritura economica e il benessere di Bologna. Nell’</w:t>
      </w:r>
      <w:r w:rsidRPr="00796A9D">
        <w:rPr>
          <w:rFonts w:ascii="Times New Roman" w:hAnsi="Times New Roman" w:cs="Times New Roman"/>
          <w:i/>
        </w:rPr>
        <w:t>Hymeneo</w:t>
      </w:r>
      <w:r w:rsidRPr="00796A9D">
        <w:rPr>
          <w:rFonts w:ascii="Times New Roman" w:hAnsi="Times New Roman" w:cs="Times New Roman"/>
        </w:rPr>
        <w:t xml:space="preserve"> questo appoggio naturale e spontaneo dell’autore parrebbe alquanto raffreddato. Si rinvia al riguardo all’analisi proposta in </w:t>
      </w:r>
      <w:r w:rsidRPr="00796A9D">
        <w:rPr>
          <w:rFonts w:ascii="Times New Roman" w:hAnsi="Times New Roman" w:cs="Times New Roman"/>
          <w:smallCaps/>
        </w:rPr>
        <w:t>C. James</w:t>
      </w:r>
      <w:r w:rsidRPr="00796A9D">
        <w:rPr>
          <w:rFonts w:ascii="Times New Roman" w:hAnsi="Times New Roman" w:cs="Times New Roman"/>
        </w:rPr>
        <w:t xml:space="preserve">, </w:t>
      </w:r>
      <w:r w:rsidRPr="00796A9D">
        <w:rPr>
          <w:rFonts w:ascii="Times New Roman" w:hAnsi="Times New Roman" w:cs="Times New Roman"/>
          <w:i/>
        </w:rPr>
        <w:t>Giovannni Sabadino degli Arienti. A Literary Career</w:t>
      </w:r>
      <w:r w:rsidRPr="00796A9D">
        <w:rPr>
          <w:rFonts w:ascii="Times New Roman" w:hAnsi="Times New Roman" w:cs="Times New Roman"/>
        </w:rPr>
        <w:t xml:space="preserve">, cit., pp. 44-52. </w:t>
      </w:r>
    </w:p>
  </w:footnote>
  <w:footnote w:id="437">
    <w:p w14:paraId="6458C60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Bologna, Biblioteca dell’Archiginnasio, B. 40602, membranaceo di 76 ff. È il codice donato dall’autore a Giovanni II. Conserva la legatura originale con piatti di legno rivestiti di seta rossa e con piccole borchie in ottone. Al recto del primo foglio la cornice, abbellita da perle e imprese, presenta lo stemma dei Bentivoglio nei fregi superiore ed inferiore. Se ne veda la scheda bibliografica pubblicata in </w:t>
      </w:r>
      <w:bookmarkStart w:id="350" w:name="_Hlk526114076"/>
      <w:r w:rsidRPr="00796A9D">
        <w:rPr>
          <w:rFonts w:ascii="Times New Roman" w:hAnsi="Times New Roman" w:cs="Times New Roman"/>
          <w:smallCaps/>
        </w:rPr>
        <w:t>M. Fanti</w:t>
      </w:r>
      <w:r w:rsidRPr="00796A9D">
        <w:rPr>
          <w:rFonts w:ascii="Times New Roman" w:hAnsi="Times New Roman" w:cs="Times New Roman"/>
        </w:rPr>
        <w:t xml:space="preserve">, </w:t>
      </w:r>
      <w:r w:rsidRPr="00796A9D">
        <w:rPr>
          <w:rFonts w:ascii="Times New Roman" w:hAnsi="Times New Roman" w:cs="Times New Roman"/>
          <w:i/>
        </w:rPr>
        <w:t xml:space="preserve">Inventari dei manoscritti delle Biblioteche d’Italia. </w:t>
      </w:r>
      <w:r w:rsidRPr="000A4F9E">
        <w:rPr>
          <w:rFonts w:ascii="Times New Roman" w:hAnsi="Times New Roman" w:cs="Times New Roman"/>
        </w:rPr>
        <w:t>Volume CXVI, Bologna, Biblioteca dell’Archiginnasio</w:t>
      </w:r>
      <w:r w:rsidRPr="00796A9D">
        <w:rPr>
          <w:rFonts w:ascii="Times New Roman" w:hAnsi="Times New Roman" w:cs="Times New Roman"/>
        </w:rPr>
        <w:t>, Firenze, Olschki, 2013</w:t>
      </w:r>
      <w:bookmarkEnd w:id="350"/>
      <w:r w:rsidRPr="00796A9D">
        <w:rPr>
          <w:rFonts w:ascii="Times New Roman" w:hAnsi="Times New Roman" w:cs="Times New Roman"/>
        </w:rPr>
        <w:t xml:space="preserve">, pp. 175-176. Un secondo testimone dell’opera – autografo, anepigrafo e mutilo delle ultime carte – si conserva a Parma, Biblioteca Palatina, ms. 1294, ed è identificato dal Bernard Chandler con il «Gioani Sabadino a misser Zoane bentiuogli in vulgare coperto de corame verde» elencato al numero 216 dell’inventario dei libri appartenuti ad Ercole I d’Este del 1495. Cfr. </w:t>
      </w:r>
      <w:bookmarkStart w:id="351" w:name="_Hlk526114181"/>
      <w:r w:rsidRPr="00796A9D">
        <w:rPr>
          <w:rFonts w:ascii="Times New Roman" w:hAnsi="Times New Roman" w:cs="Times New Roman"/>
          <w:smallCaps/>
        </w:rPr>
        <w:t>B. Chandler</w:t>
      </w:r>
      <w:r w:rsidRPr="00796A9D">
        <w:rPr>
          <w:rFonts w:ascii="Times New Roman" w:hAnsi="Times New Roman" w:cs="Times New Roman"/>
        </w:rPr>
        <w:t xml:space="preserve">, </w:t>
      </w:r>
      <w:r w:rsidRPr="00796A9D">
        <w:rPr>
          <w:rFonts w:ascii="Times New Roman" w:hAnsi="Times New Roman" w:cs="Times New Roman"/>
          <w:i/>
        </w:rPr>
        <w:t>Il</w:t>
      </w:r>
      <w:r w:rsidRPr="00796A9D">
        <w:rPr>
          <w:rFonts w:ascii="Times New Roman" w:hAnsi="Times New Roman" w:cs="Times New Roman"/>
        </w:rPr>
        <w:t xml:space="preserve"> «Torneo» </w:t>
      </w:r>
      <w:r w:rsidRPr="00796A9D">
        <w:rPr>
          <w:rFonts w:ascii="Times New Roman" w:hAnsi="Times New Roman" w:cs="Times New Roman"/>
          <w:i/>
        </w:rPr>
        <w:t>di Sabadino degli Arienti</w:t>
      </w:r>
      <w:r w:rsidRPr="00796A9D">
        <w:rPr>
          <w:rFonts w:ascii="Times New Roman" w:hAnsi="Times New Roman" w:cs="Times New Roman"/>
        </w:rPr>
        <w:t>, «Esperienze letterarie», XI, 1986, pp. 21-22.</w:t>
      </w:r>
      <w:bookmarkEnd w:id="351"/>
    </w:p>
  </w:footnote>
  <w:footnote w:id="438">
    <w:p w14:paraId="3CB29DA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funzione dell’</w:t>
      </w:r>
      <w:r w:rsidRPr="00796A9D">
        <w:rPr>
          <w:rFonts w:ascii="Times New Roman" w:hAnsi="Times New Roman" w:cs="Times New Roman"/>
          <w:i/>
        </w:rPr>
        <w:t>Hymeneus</w:t>
      </w:r>
      <w:r w:rsidRPr="00796A9D">
        <w:rPr>
          <w:rFonts w:ascii="Times New Roman" w:hAnsi="Times New Roman" w:cs="Times New Roman"/>
        </w:rPr>
        <w:t xml:space="preserve"> di raccoglitore dei testi agìti durante la festa è messa in luce da </w:t>
      </w:r>
      <w:r w:rsidRPr="00796A9D">
        <w:rPr>
          <w:rFonts w:ascii="Times New Roman" w:hAnsi="Times New Roman" w:cs="Times New Roman"/>
          <w:bCs/>
          <w:color w:val="000000"/>
          <w:shd w:val="clear" w:color="auto" w:fill="FFFFFF"/>
        </w:rPr>
        <w:t xml:space="preserve">F. </w:t>
      </w:r>
      <w:r w:rsidRPr="00796A9D">
        <w:rPr>
          <w:rFonts w:ascii="Times New Roman" w:hAnsi="Times New Roman" w:cs="Times New Roman"/>
          <w:bCs/>
          <w:smallCaps/>
          <w:color w:val="000000"/>
          <w:shd w:val="clear" w:color="auto" w:fill="FFFFFF"/>
        </w:rPr>
        <w:t>Pezzarossa</w:t>
      </w:r>
      <w:r w:rsidRPr="00796A9D">
        <w:rPr>
          <w:rFonts w:ascii="Times New Roman" w:hAnsi="Times New Roman" w:cs="Times New Roman"/>
          <w:bCs/>
          <w:color w:val="000000"/>
          <w:shd w:val="clear" w:color="auto" w:fill="FFFFFF"/>
        </w:rPr>
        <w:t xml:space="preserve">, </w:t>
      </w:r>
      <w:r w:rsidRPr="00796A9D">
        <w:rPr>
          <w:rFonts w:ascii="Times New Roman" w:hAnsi="Times New Roman" w:cs="Times New Roman"/>
          <w:bCs/>
          <w:i/>
          <w:color w:val="000000"/>
          <w:shd w:val="clear" w:color="auto" w:fill="FFFFFF"/>
        </w:rPr>
        <w:t xml:space="preserve">‹‹Ad honorem et laude del nome Bentivoglio››, </w:t>
      </w:r>
      <w:r w:rsidRPr="00796A9D">
        <w:rPr>
          <w:rFonts w:ascii="Times New Roman" w:hAnsi="Times New Roman" w:cs="Times New Roman"/>
          <w:bCs/>
          <w:color w:val="000000"/>
          <w:shd w:val="clear" w:color="auto" w:fill="FFFFFF"/>
        </w:rPr>
        <w:t xml:space="preserve">cit., pp. 65-66. Dei poeti menzionati solo il Foschi, discepolo del Beroaldo e in contatto epistolare con Poliziano, raggiunse una discreta notorietà tra i letterati bolognesi, dimostrata dalla dedica a lui del </w:t>
      </w:r>
      <w:r w:rsidRPr="00796A9D">
        <w:rPr>
          <w:rFonts w:ascii="Times New Roman" w:hAnsi="Times New Roman" w:cs="Times New Roman"/>
          <w:bCs/>
          <w:i/>
          <w:color w:val="000000"/>
          <w:shd w:val="clear" w:color="auto" w:fill="FFFFFF"/>
        </w:rPr>
        <w:t>De Alexandro Magno an cum Romanis si collatis signis dimicasset victoriam reportasset</w:t>
      </w:r>
      <w:r w:rsidRPr="00796A9D">
        <w:rPr>
          <w:rFonts w:ascii="Times New Roman" w:hAnsi="Times New Roman" w:cs="Times New Roman"/>
          <w:bCs/>
          <w:color w:val="000000"/>
          <w:shd w:val="clear" w:color="auto" w:fill="FFFFFF"/>
        </w:rPr>
        <w:t xml:space="preserve"> di Giovanni Garzoni, docente dello Studio felsineo, e dall’inclusione di alcuni suoi componimenti nelle </w:t>
      </w:r>
      <w:r w:rsidRPr="00796A9D">
        <w:rPr>
          <w:rFonts w:ascii="Times New Roman" w:hAnsi="Times New Roman" w:cs="Times New Roman"/>
          <w:bCs/>
          <w:i/>
          <w:color w:val="000000"/>
          <w:shd w:val="clear" w:color="auto" w:fill="FFFFFF"/>
        </w:rPr>
        <w:t>Collettanee</w:t>
      </w:r>
      <w:r w:rsidRPr="00796A9D">
        <w:rPr>
          <w:rFonts w:ascii="Times New Roman" w:hAnsi="Times New Roman" w:cs="Times New Roman"/>
          <w:bCs/>
          <w:color w:val="000000"/>
          <w:shd w:val="clear" w:color="auto" w:fill="FFFFFF"/>
        </w:rPr>
        <w:t xml:space="preserve"> riunite da Giovanni Filoteo Achillini, edite nel luglio 1504 da Caligola Bazalieri in ricordo della scomparsa di Serafino Aquilano. Cfr. </w:t>
      </w:r>
      <w:r w:rsidRPr="00796A9D">
        <w:rPr>
          <w:rFonts w:ascii="Times New Roman" w:hAnsi="Times New Roman" w:cs="Times New Roman"/>
          <w:bCs/>
          <w:smallCaps/>
          <w:color w:val="000000"/>
          <w:shd w:val="clear" w:color="auto" w:fill="FFFFFF"/>
        </w:rPr>
        <w:t>G. Arbizzoni</w:t>
      </w:r>
      <w:r w:rsidRPr="00796A9D">
        <w:rPr>
          <w:rFonts w:ascii="Times New Roman" w:hAnsi="Times New Roman" w:cs="Times New Roman"/>
          <w:bCs/>
          <w:color w:val="000000"/>
          <w:shd w:val="clear" w:color="auto" w:fill="FFFFFF"/>
        </w:rPr>
        <w:t xml:space="preserve">, sv. </w:t>
      </w:r>
      <w:r w:rsidRPr="00796A9D">
        <w:rPr>
          <w:rFonts w:ascii="Times New Roman" w:hAnsi="Times New Roman" w:cs="Times New Roman"/>
          <w:bCs/>
          <w:i/>
          <w:color w:val="000000"/>
          <w:shd w:val="clear" w:color="auto" w:fill="FFFFFF"/>
        </w:rPr>
        <w:t>Foschi, Domenico</w:t>
      </w:r>
      <w:r w:rsidRPr="00796A9D">
        <w:rPr>
          <w:rFonts w:ascii="Times New Roman" w:hAnsi="Times New Roman" w:cs="Times New Roman"/>
          <w:bCs/>
          <w:color w:val="000000"/>
          <w:shd w:val="clear" w:color="auto" w:fill="FFFFFF"/>
        </w:rPr>
        <w:t xml:space="preserve">, DBI, 1997, vol. XLIX, pp. 434-435. Andrea Magnani ebbe invece modo di mostrare al Poliziano la propria collezione di monete e oggetti antichi, che gli valse la stima dell’umanista, il quale si servì della sua collaborazione nel 1493 per pubblicare a Bologna, presso Francesco de Benedictis, la traduzione latina degli scritti di Erodiano. Cfr. </w:t>
      </w:r>
      <w:bookmarkStart w:id="354" w:name="_Hlk526114282"/>
      <w:r w:rsidRPr="00796A9D">
        <w:rPr>
          <w:rFonts w:ascii="Times New Roman" w:hAnsi="Times New Roman" w:cs="Times New Roman"/>
          <w:bCs/>
          <w:color w:val="000000"/>
          <w:shd w:val="clear" w:color="auto" w:fill="FFFFFF"/>
        </w:rPr>
        <w:t xml:space="preserve">S. </w:t>
      </w:r>
      <w:r w:rsidRPr="00796A9D">
        <w:rPr>
          <w:rFonts w:ascii="Times New Roman" w:hAnsi="Times New Roman" w:cs="Times New Roman"/>
          <w:bCs/>
          <w:smallCaps/>
          <w:color w:val="000000"/>
          <w:shd w:val="clear" w:color="auto" w:fill="FFFFFF"/>
        </w:rPr>
        <w:t>De Maria</w:t>
      </w:r>
      <w:r w:rsidRPr="00796A9D">
        <w:rPr>
          <w:rFonts w:ascii="Times New Roman" w:hAnsi="Times New Roman" w:cs="Times New Roman"/>
          <w:bCs/>
          <w:color w:val="000000"/>
          <w:shd w:val="clear" w:color="auto" w:fill="FFFFFF"/>
        </w:rPr>
        <w:t xml:space="preserve">, </w:t>
      </w:r>
      <w:r w:rsidRPr="00796A9D">
        <w:rPr>
          <w:rFonts w:ascii="Times New Roman" w:hAnsi="Times New Roman" w:cs="Times New Roman"/>
          <w:bCs/>
          <w:i/>
          <w:color w:val="000000"/>
          <w:shd w:val="clear" w:color="auto" w:fill="FFFFFF"/>
        </w:rPr>
        <w:t>Artisti, antiquari e collezionisti di antichità a Bologna fra XV e XVI secolo</w:t>
      </w:r>
      <w:r w:rsidRPr="00796A9D">
        <w:rPr>
          <w:rFonts w:ascii="Times New Roman" w:hAnsi="Times New Roman" w:cs="Times New Roman"/>
          <w:bCs/>
          <w:color w:val="000000"/>
          <w:shd w:val="clear" w:color="auto" w:fill="FFFFFF"/>
        </w:rPr>
        <w:t xml:space="preserve">, in </w:t>
      </w:r>
      <w:r w:rsidRPr="00796A9D">
        <w:rPr>
          <w:rFonts w:ascii="Times New Roman" w:hAnsi="Times New Roman" w:cs="Times New Roman"/>
          <w:bCs/>
          <w:i/>
          <w:color w:val="000000"/>
          <w:shd w:val="clear" w:color="auto" w:fill="FFFFFF"/>
        </w:rPr>
        <w:t>Bologna e l’Umanesimo 1490-1510</w:t>
      </w:r>
      <w:r w:rsidRPr="00796A9D">
        <w:rPr>
          <w:rFonts w:ascii="Times New Roman" w:hAnsi="Times New Roman" w:cs="Times New Roman"/>
          <w:bCs/>
          <w:color w:val="000000"/>
          <w:shd w:val="clear" w:color="auto" w:fill="FFFFFF"/>
        </w:rPr>
        <w:t xml:space="preserve">, Catalogo della Mostra, Bologna 6 marzo–24 aprile 1988, a cura di </w:t>
      </w:r>
      <w:r w:rsidRPr="00796A9D">
        <w:rPr>
          <w:rFonts w:ascii="Times New Roman" w:hAnsi="Times New Roman" w:cs="Times New Roman"/>
          <w:bCs/>
          <w:smallCaps/>
          <w:color w:val="000000"/>
          <w:shd w:val="clear" w:color="auto" w:fill="FFFFFF"/>
        </w:rPr>
        <w:t>M. Faietti, K. Oberhuber</w:t>
      </w:r>
      <w:r w:rsidRPr="00796A9D">
        <w:rPr>
          <w:rFonts w:ascii="Times New Roman" w:hAnsi="Times New Roman" w:cs="Times New Roman"/>
          <w:bCs/>
          <w:color w:val="000000"/>
          <w:shd w:val="clear" w:color="auto" w:fill="FFFFFF"/>
        </w:rPr>
        <w:t>, Bologna, Alfa Editoriale, 1988</w:t>
      </w:r>
      <w:bookmarkEnd w:id="354"/>
      <w:r w:rsidRPr="00796A9D">
        <w:rPr>
          <w:rFonts w:ascii="Times New Roman" w:hAnsi="Times New Roman" w:cs="Times New Roman"/>
          <w:bCs/>
          <w:color w:val="000000"/>
          <w:shd w:val="clear" w:color="auto" w:fill="FFFFFF"/>
        </w:rPr>
        <w:t xml:space="preserve">, p. 36. Per un inquadramento generale dell’opera dei tre letterati rinvio a </w:t>
      </w:r>
      <w:bookmarkStart w:id="355" w:name="_Hlk526114434"/>
      <w:r w:rsidRPr="00796A9D">
        <w:rPr>
          <w:rFonts w:ascii="Times New Roman" w:hAnsi="Times New Roman" w:cs="Times New Roman"/>
          <w:bCs/>
          <w:smallCaps/>
          <w:color w:val="000000"/>
          <w:shd w:val="clear" w:color="auto" w:fill="FFFFFF"/>
        </w:rPr>
        <w:t>D. Delcorno Branca</w:t>
      </w:r>
      <w:r w:rsidRPr="00796A9D">
        <w:rPr>
          <w:rFonts w:ascii="Times New Roman" w:hAnsi="Times New Roman" w:cs="Times New Roman"/>
          <w:bCs/>
          <w:color w:val="000000"/>
          <w:shd w:val="clear" w:color="auto" w:fill="FFFFFF"/>
        </w:rPr>
        <w:t xml:space="preserve">, </w:t>
      </w:r>
      <w:r w:rsidRPr="00796A9D">
        <w:rPr>
          <w:rFonts w:ascii="Times New Roman" w:hAnsi="Times New Roman" w:cs="Times New Roman"/>
          <w:bCs/>
          <w:i/>
          <w:color w:val="000000"/>
          <w:shd w:val="clear" w:color="auto" w:fill="FFFFFF"/>
        </w:rPr>
        <w:t>Filologia e cultura volgare nell’Umanesimo bolognese</w:t>
      </w:r>
      <w:r w:rsidRPr="00796A9D">
        <w:rPr>
          <w:rFonts w:ascii="Times New Roman" w:hAnsi="Times New Roman" w:cs="Times New Roman"/>
          <w:bCs/>
          <w:color w:val="000000"/>
          <w:shd w:val="clear" w:color="auto" w:fill="FFFFFF"/>
        </w:rPr>
        <w:t xml:space="preserve">, in </w:t>
      </w:r>
      <w:r w:rsidRPr="00796A9D">
        <w:rPr>
          <w:rFonts w:ascii="Times New Roman" w:hAnsi="Times New Roman" w:cs="Times New Roman"/>
          <w:bCs/>
          <w:i/>
          <w:color w:val="000000"/>
          <w:shd w:val="clear" w:color="auto" w:fill="FFFFFF"/>
        </w:rPr>
        <w:t>Lorenzo Valla e l’Umanesimo bolognese</w:t>
      </w:r>
      <w:r w:rsidRPr="00796A9D">
        <w:rPr>
          <w:rFonts w:ascii="Times New Roman" w:hAnsi="Times New Roman" w:cs="Times New Roman"/>
          <w:bCs/>
          <w:color w:val="000000"/>
          <w:shd w:val="clear" w:color="auto" w:fill="FFFFFF"/>
        </w:rPr>
        <w:t xml:space="preserve">, a cura di </w:t>
      </w:r>
      <w:r w:rsidRPr="00796A9D">
        <w:rPr>
          <w:rFonts w:ascii="Times New Roman" w:hAnsi="Times New Roman" w:cs="Times New Roman"/>
          <w:bCs/>
          <w:smallCaps/>
          <w:color w:val="000000"/>
          <w:shd w:val="clear" w:color="auto" w:fill="FFFFFF"/>
        </w:rPr>
        <w:t>G. Anselmi, M. Guerra</w:t>
      </w:r>
      <w:r w:rsidRPr="00796A9D">
        <w:rPr>
          <w:rFonts w:ascii="Times New Roman" w:hAnsi="Times New Roman" w:cs="Times New Roman"/>
          <w:bCs/>
          <w:color w:val="000000"/>
          <w:shd w:val="clear" w:color="auto" w:fill="FFFFFF"/>
        </w:rPr>
        <w:t xml:space="preserve">, Bologna, Bologna University Press, 2009, pp. 117-151.  </w:t>
      </w:r>
    </w:p>
    <w:bookmarkEnd w:id="355"/>
  </w:footnote>
  <w:footnote w:id="439">
    <w:p w14:paraId="2B5669E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Ferrara, ASFe, Fondo Bentivoglio, misc. F. n.8. Il manoscritto, anonimo, di 39 carte, è attualmente inedito. Per la sua importanza per la ricostruzione del valore della danza all’interno della festa nuziale del 1487 rimando a </w:t>
      </w:r>
      <w:bookmarkStart w:id="356" w:name="_Hlk526114671"/>
      <w:r w:rsidRPr="00796A9D">
        <w:rPr>
          <w:rFonts w:ascii="Times New Roman" w:hAnsi="Times New Roman" w:cs="Times New Roman"/>
          <w:smallCaps/>
        </w:rPr>
        <w:t>F. Bortoletti</w:t>
      </w:r>
      <w:r w:rsidRPr="00796A9D">
        <w:rPr>
          <w:rFonts w:ascii="Times New Roman" w:hAnsi="Times New Roman" w:cs="Times New Roman"/>
        </w:rPr>
        <w:t xml:space="preserve">, </w:t>
      </w:r>
      <w:r w:rsidRPr="00796A9D">
        <w:rPr>
          <w:rFonts w:ascii="Times New Roman" w:hAnsi="Times New Roman" w:cs="Times New Roman"/>
          <w:i/>
        </w:rPr>
        <w:t>Danza, poesia e musica in Fabula. Bologna, 1487 – Nozze Bentivoglio-d’Este</w:t>
      </w:r>
      <w:r w:rsidRPr="00796A9D">
        <w:rPr>
          <w:rFonts w:ascii="Times New Roman" w:hAnsi="Times New Roman" w:cs="Times New Roman"/>
        </w:rPr>
        <w:t xml:space="preserve">, «Annali online di Ferrara-Lettere», 1, 2007, pp. 199-226. </w:t>
      </w:r>
    </w:p>
    <w:bookmarkEnd w:id="356"/>
  </w:footnote>
  <w:footnote w:id="440">
    <w:p w14:paraId="2D29AE2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due missive, oggi conservate all’Archivio di Stato di Mantova, con la richiesta d’ingaggio del Lavagnolo indirizzate a Francesco</w:t>
      </w:r>
      <w:r>
        <w:rPr>
          <w:rFonts w:ascii="Times New Roman" w:hAnsi="Times New Roman" w:cs="Times New Roman"/>
        </w:rPr>
        <w:t xml:space="preserve"> II</w:t>
      </w:r>
      <w:r w:rsidRPr="00796A9D">
        <w:rPr>
          <w:rFonts w:ascii="Times New Roman" w:hAnsi="Times New Roman" w:cs="Times New Roman"/>
        </w:rPr>
        <w:t xml:space="preserve"> Gonzaga sono datate 4 e 18 dicembre 1486. Per esse si veda </w:t>
      </w:r>
      <w:r w:rsidRPr="00796A9D">
        <w:rPr>
          <w:rFonts w:ascii="Times New Roman" w:hAnsi="Times New Roman" w:cs="Times New Roman"/>
          <w:i/>
        </w:rPr>
        <w:t>Ivi</w:t>
      </w:r>
      <w:r w:rsidRPr="00796A9D">
        <w:rPr>
          <w:rFonts w:ascii="Times New Roman" w:hAnsi="Times New Roman" w:cs="Times New Roman"/>
        </w:rPr>
        <w:t xml:space="preserve">, p. 218.   </w:t>
      </w:r>
    </w:p>
  </w:footnote>
  <w:footnote w:id="441">
    <w:p w14:paraId="330A722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 raffronti testuali faccio qui riferimento, attraverso la numerazione dei paragrafi indicata tra parentesi quadre, all’edizione critica dell’</w:t>
      </w:r>
      <w:r w:rsidRPr="00796A9D">
        <w:rPr>
          <w:rFonts w:ascii="Times New Roman" w:hAnsi="Times New Roman" w:cs="Times New Roman"/>
          <w:i/>
        </w:rPr>
        <w:t xml:space="preserve">Hymeneus Bentivolus </w:t>
      </w:r>
      <w:r w:rsidRPr="00796A9D">
        <w:rPr>
          <w:rFonts w:ascii="Times New Roman" w:hAnsi="Times New Roman" w:cs="Times New Roman"/>
        </w:rPr>
        <w:t xml:space="preserve">pubblicata in </w:t>
      </w:r>
      <w:r w:rsidRPr="00796A9D">
        <w:rPr>
          <w:rFonts w:ascii="Times New Roman" w:hAnsi="Times New Roman" w:cs="Times New Roman"/>
          <w:i/>
        </w:rPr>
        <w:t>Le nozze dei Bentivoglio (1487). Cronisti e poeti</w:t>
      </w:r>
      <w:r w:rsidRPr="00796A9D">
        <w:rPr>
          <w:rFonts w:ascii="Times New Roman" w:hAnsi="Times New Roman" w:cs="Times New Roman"/>
        </w:rPr>
        <w:t>, cit., pp. 30-138.</w:t>
      </w:r>
    </w:p>
  </w:footnote>
  <w:footnote w:id="442">
    <w:p w14:paraId="32C9D1D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Ercole I d’Este aveva fatto voto di recarsi pellegrino a Santiago qualora avesse ricevuto la grazia di un erede maschio, che effettivamente nacque il 21 luglio 1476. Il 6 aprile 1487 il duca si decise così ad adempiere alla promessa e scortato da un maestoso corteo di centocinquanta cavalieri e cortigiani partì da Ferrara. Giunto a Mantova, un breve di Innocenzo VIII gli ordinò però, sotto pena di scomunica, d’arrestare la marcia. Vi era infatti il timore che egli approfittasse del viaggio per incontrare Carlo VIII di Francia e convincerlo ad intervenire militarmente in Italia per riconquistare le terre del Polesine di Rovigo agli estensi, occupate tre anni prima dalla Serenissima. Sull’episodio, autentico dispiego spettacolare itinerante del lusso e della raffinatezza raggiunti dalla corte estense, si veda </w:t>
      </w:r>
      <w:bookmarkStart w:id="357" w:name="_Hlk526114758"/>
      <w:r w:rsidRPr="00796A9D">
        <w:rPr>
          <w:rFonts w:ascii="Times New Roman" w:hAnsi="Times New Roman" w:cs="Times New Roman"/>
          <w:smallCaps/>
        </w:rPr>
        <w:t>S. Costola</w:t>
      </w:r>
      <w:r w:rsidRPr="00796A9D">
        <w:rPr>
          <w:rFonts w:ascii="Times New Roman" w:hAnsi="Times New Roman" w:cs="Times New Roman"/>
        </w:rPr>
        <w:t xml:space="preserve">, </w:t>
      </w:r>
      <w:r w:rsidRPr="00796A9D">
        <w:rPr>
          <w:rFonts w:ascii="Times New Roman" w:hAnsi="Times New Roman" w:cs="Times New Roman"/>
          <w:i/>
        </w:rPr>
        <w:t>Storia di un pellegrinaggio. Momenti fra il sacro e il profano nella vita culturale ferrarese ai tempi di Ercole I d’Este</w:t>
      </w:r>
      <w:r w:rsidRPr="00796A9D">
        <w:rPr>
          <w:rFonts w:ascii="Times New Roman" w:hAnsi="Times New Roman" w:cs="Times New Roman"/>
        </w:rPr>
        <w:t xml:space="preserve">, «Teatro e Storia», XI, 1996, pp. 205-240.  </w:t>
      </w:r>
    </w:p>
    <w:bookmarkEnd w:id="357"/>
  </w:footnote>
  <w:footnote w:id="443">
    <w:p w14:paraId="03838A6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A.M. Salimbeni</w:t>
      </w:r>
      <w:r w:rsidRPr="00796A9D">
        <w:rPr>
          <w:rFonts w:ascii="Times New Roman" w:hAnsi="Times New Roman" w:cs="Times New Roman"/>
        </w:rPr>
        <w:t xml:space="preserve">, </w:t>
      </w:r>
      <w:r w:rsidRPr="00796A9D">
        <w:rPr>
          <w:rFonts w:ascii="Times New Roman" w:hAnsi="Times New Roman" w:cs="Times New Roman"/>
          <w:i/>
        </w:rPr>
        <w:t>Epithalamium,</w:t>
      </w:r>
      <w:r w:rsidRPr="00796A9D">
        <w:rPr>
          <w:rFonts w:ascii="Times New Roman" w:hAnsi="Times New Roman" w:cs="Times New Roman"/>
        </w:rPr>
        <w:t xml:space="preserve"> ott. 87.</w:t>
      </w:r>
    </w:p>
  </w:footnote>
  <w:footnote w:id="444">
    <w:p w14:paraId="686284A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smallCaps/>
        </w:rPr>
        <w:footnoteRef/>
      </w:r>
      <w:r w:rsidRPr="00796A9D">
        <w:rPr>
          <w:rFonts w:ascii="Times New Roman" w:hAnsi="Times New Roman" w:cs="Times New Roman"/>
          <w:smallCaps/>
        </w:rPr>
        <w:t xml:space="preserve"> F. Beroaldo</w:t>
      </w:r>
      <w:r w:rsidRPr="00796A9D">
        <w:rPr>
          <w:rFonts w:ascii="Times New Roman" w:hAnsi="Times New Roman" w:cs="Times New Roman"/>
        </w:rPr>
        <w:t xml:space="preserve">, </w:t>
      </w:r>
      <w:r w:rsidRPr="00796A9D">
        <w:rPr>
          <w:rFonts w:ascii="Times New Roman" w:hAnsi="Times New Roman" w:cs="Times New Roman"/>
          <w:i/>
        </w:rPr>
        <w:t>Nuptiae Bentivolorum</w:t>
      </w:r>
      <w:r w:rsidRPr="00796A9D">
        <w:rPr>
          <w:rFonts w:ascii="Times New Roman" w:hAnsi="Times New Roman" w:cs="Times New Roman"/>
        </w:rPr>
        <w:t xml:space="preserve">, cit., p. 160. </w:t>
      </w:r>
    </w:p>
  </w:footnote>
  <w:footnote w:id="445">
    <w:p w14:paraId="26892EE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Dal tempo della sua assunzione del marchesato, Francesco II Gonzaga intrattenne buone relazioni diplomatiche con il sultano dell’impero ottomano </w:t>
      </w:r>
      <w:bookmarkStart w:id="359" w:name="_Hlk535924311"/>
      <w:r w:rsidRPr="00796A9D">
        <w:rPr>
          <w:rFonts w:ascii="Times New Roman" w:hAnsi="Times New Roman" w:cs="Times New Roman"/>
        </w:rPr>
        <w:t>Bayezid II</w:t>
      </w:r>
      <w:bookmarkEnd w:id="359"/>
      <w:r w:rsidRPr="00796A9D">
        <w:rPr>
          <w:rFonts w:ascii="Times New Roman" w:hAnsi="Times New Roman" w:cs="Times New Roman"/>
        </w:rPr>
        <w:t xml:space="preserve">. L’apprezzamento del marchese per i cavalli arabi lo spinse a coltivare una personale amicizia con il Turco, culminata dal tentativo del Gonzaga di apprendere la lingua del sovrano e dall’invio, negli anni Novanta del secolo XV, di regolari ambasciate tra le due corti con scambi di doni preziosi, come turbanti e abiti dalle fogge orientali. Fu così che Francesco, destando l’ammirazione, se non la perplessità, di principi e signori del suo tempo, si conquistò l’appellativo di Turco, con cui veniva salutato regolarmente nelle giostre e nei tornei a cui partecipava, spesso sfoggiando abiti arabeggianti. Cfr. </w:t>
      </w:r>
      <w:r w:rsidRPr="00796A9D">
        <w:rPr>
          <w:rFonts w:ascii="Times New Roman" w:hAnsi="Times New Roman" w:cs="Times New Roman"/>
          <w:smallCaps/>
        </w:rPr>
        <w:t>M. Bourne</w:t>
      </w:r>
      <w:r w:rsidRPr="00796A9D">
        <w:rPr>
          <w:rFonts w:ascii="Times New Roman" w:hAnsi="Times New Roman" w:cs="Times New Roman"/>
        </w:rPr>
        <w:t xml:space="preserve">, </w:t>
      </w:r>
      <w:r w:rsidRPr="00796A9D">
        <w:rPr>
          <w:rFonts w:ascii="Times New Roman" w:hAnsi="Times New Roman" w:cs="Times New Roman"/>
          <w:i/>
        </w:rPr>
        <w:t>Francesco II Gonzaga, The Soldier-Prince as Patron</w:t>
      </w:r>
      <w:r w:rsidRPr="00796A9D">
        <w:rPr>
          <w:rFonts w:ascii="Times New Roman" w:hAnsi="Times New Roman" w:cs="Times New Roman"/>
        </w:rPr>
        <w:t xml:space="preserve">, Roma, Bulzoni, 2008, pp. 240-243, che si sofferma su come il fascino dell’impero ottomano ispirò la decorazione della Camera greca della residenza gonzaghesca di Marmirolo con affreschi dedicati i lussuosi conviti del Turco.        </w:t>
      </w:r>
    </w:p>
  </w:footnote>
  <w:footnote w:id="446">
    <w:p w14:paraId="77D91B0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testo della rappresentazione allegorica qui descritta, che alterna dialoghi in ottave e in terzine, è pubblicato in </w:t>
      </w:r>
      <w:bookmarkStart w:id="361" w:name="_Hlk526199497"/>
      <w:r w:rsidRPr="00796A9D">
        <w:rPr>
          <w:rFonts w:ascii="Times New Roman" w:hAnsi="Times New Roman" w:cs="Times New Roman"/>
          <w:smallCaps/>
        </w:rPr>
        <w:t>G. Zannoni</w:t>
      </w:r>
      <w:r w:rsidRPr="00796A9D">
        <w:rPr>
          <w:rFonts w:ascii="Times New Roman" w:hAnsi="Times New Roman" w:cs="Times New Roman"/>
        </w:rPr>
        <w:t xml:space="preserve">, </w:t>
      </w:r>
      <w:r w:rsidRPr="00796A9D">
        <w:rPr>
          <w:rFonts w:ascii="Times New Roman" w:hAnsi="Times New Roman" w:cs="Times New Roman"/>
          <w:i/>
        </w:rPr>
        <w:t>Una rappresentazione allegorica a Bologna nel 1487</w:t>
      </w:r>
      <w:r w:rsidRPr="00796A9D">
        <w:rPr>
          <w:rFonts w:ascii="Times New Roman" w:hAnsi="Times New Roman" w:cs="Times New Roman"/>
        </w:rPr>
        <w:t xml:space="preserve">, «Rendiconti della R. Accademia dei Lincei», VII, 1891, pp. 414-427. </w:t>
      </w:r>
    </w:p>
    <w:bookmarkEnd w:id="361"/>
  </w:footnote>
  <w:footnote w:id="447">
    <w:p w14:paraId="5EEE9D7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lussuoso bagno, ospitato da una bellissima loggia di marmo e fornito di due camerini per riporre gli abiti dei bagnanti, era tra le amenità della residenza di Belriguardo descritte da Silviero Silvieri in una lettera a Eleonora d’Aragona il 13 febbraio 1493. Per questo documento e per un inquadramento dell’edificio nei propositi di Ercole I di valorizzazione delle residenze estensi, cfr. </w:t>
      </w:r>
      <w:r w:rsidRPr="00796A9D">
        <w:rPr>
          <w:rFonts w:ascii="Times New Roman" w:hAnsi="Times New Roman" w:cs="Times New Roman"/>
          <w:smallCaps/>
        </w:rPr>
        <w:t>M. Folin</w:t>
      </w:r>
      <w:r w:rsidRPr="00796A9D">
        <w:rPr>
          <w:rFonts w:ascii="Times New Roman" w:hAnsi="Times New Roman" w:cs="Times New Roman"/>
        </w:rPr>
        <w:t xml:space="preserve">, </w:t>
      </w:r>
      <w:r w:rsidRPr="00796A9D">
        <w:rPr>
          <w:rFonts w:ascii="Times New Roman" w:hAnsi="Times New Roman" w:cs="Times New Roman"/>
          <w:i/>
        </w:rPr>
        <w:t>Le residenze di corte e il sistema delle delizie fra medioevo ed età moderna</w:t>
      </w:r>
      <w:r w:rsidRPr="00796A9D">
        <w:rPr>
          <w:rFonts w:ascii="Times New Roman" w:hAnsi="Times New Roman" w:cs="Times New Roman"/>
        </w:rPr>
        <w:t xml:space="preserve">, in </w:t>
      </w:r>
      <w:r w:rsidRPr="00796A9D">
        <w:rPr>
          <w:rFonts w:ascii="Times New Roman" w:hAnsi="Times New Roman" w:cs="Times New Roman"/>
          <w:i/>
        </w:rPr>
        <w:t>Delizie estensi. Architettura di villa nel Rinascimento italiano ed europeo</w:t>
      </w:r>
      <w:r w:rsidRPr="00796A9D">
        <w:rPr>
          <w:rFonts w:ascii="Times New Roman" w:hAnsi="Times New Roman" w:cs="Times New Roman"/>
        </w:rPr>
        <w:t xml:space="preserve">, Atti del convegno internazionale di studi (Ferrara, 29-31 maggio 2006), a cura di F. </w:t>
      </w:r>
      <w:r w:rsidRPr="00796A9D">
        <w:rPr>
          <w:rFonts w:ascii="Times New Roman" w:hAnsi="Times New Roman" w:cs="Times New Roman"/>
          <w:smallCaps/>
        </w:rPr>
        <w:t>Ceccarelli</w:t>
      </w:r>
      <w:r w:rsidRPr="00796A9D">
        <w:rPr>
          <w:rFonts w:ascii="Times New Roman" w:hAnsi="Times New Roman" w:cs="Times New Roman"/>
        </w:rPr>
        <w:t xml:space="preserve">, Firenze, Olschki, 2009, p. 117.  </w:t>
      </w:r>
    </w:p>
  </w:footnote>
  <w:footnote w:id="448">
    <w:p w14:paraId="031C4B8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F. Beroaldo</w:t>
      </w:r>
      <w:r w:rsidRPr="00796A9D">
        <w:rPr>
          <w:rFonts w:ascii="Times New Roman" w:hAnsi="Times New Roman" w:cs="Times New Roman"/>
        </w:rPr>
        <w:t xml:space="preserve">, </w:t>
      </w:r>
      <w:r w:rsidRPr="00796A9D">
        <w:rPr>
          <w:rFonts w:ascii="Times New Roman" w:hAnsi="Times New Roman" w:cs="Times New Roman"/>
          <w:i/>
        </w:rPr>
        <w:t>Nuptiae Bentivolorum</w:t>
      </w:r>
      <w:r w:rsidRPr="00796A9D">
        <w:rPr>
          <w:rFonts w:ascii="Times New Roman" w:hAnsi="Times New Roman" w:cs="Times New Roman"/>
        </w:rPr>
        <w:t>, cit., p. 188.</w:t>
      </w:r>
    </w:p>
  </w:footnote>
  <w:footnote w:id="449">
    <w:p w14:paraId="6F8A5DB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Mantova, ASdM, b. 2189, fasc. I, ff. 23-24. Si tratta di una missiva di Federico I Gonzaga inviata a Chiara Gonzaga il 23 gennaio 1482, nella quale si accenna al fatto che Isabella d’Este, giunta in visita alla corte di Mantova, aveva apprezzato le battute del buffone nel corso del suo soggiorno. Una sintetica biografia dello Zafarano si legge in M. MENGHINI, s.v. </w:t>
      </w:r>
      <w:r w:rsidRPr="00796A9D">
        <w:rPr>
          <w:rFonts w:ascii="Times New Roman" w:hAnsi="Times New Roman" w:cs="Times New Roman"/>
          <w:i/>
        </w:rPr>
        <w:t>Albergati, Ercole</w:t>
      </w:r>
      <w:r w:rsidRPr="00796A9D">
        <w:rPr>
          <w:rFonts w:ascii="Times New Roman" w:hAnsi="Times New Roman" w:cs="Times New Roman"/>
        </w:rPr>
        <w:t>, DBI, 1960, vol. I, p. 212.</w:t>
      </w:r>
    </w:p>
  </w:footnote>
  <w:footnote w:id="450">
    <w:p w14:paraId="2A3965D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365" w:name="_Hlk526200063"/>
      <w:r w:rsidRPr="00796A9D">
        <w:rPr>
          <w:rFonts w:ascii="Times New Roman" w:hAnsi="Times New Roman" w:cs="Times New Roman"/>
          <w:smallCaps/>
        </w:rPr>
        <w:t>A. D’Ancona</w:t>
      </w:r>
      <w:r w:rsidRPr="00796A9D">
        <w:rPr>
          <w:rFonts w:ascii="Times New Roman" w:hAnsi="Times New Roman" w:cs="Times New Roman"/>
        </w:rPr>
        <w:t xml:space="preserve">, </w:t>
      </w:r>
      <w:r w:rsidRPr="00796A9D">
        <w:rPr>
          <w:rFonts w:ascii="Times New Roman" w:hAnsi="Times New Roman" w:cs="Times New Roman"/>
          <w:i/>
        </w:rPr>
        <w:t>Origini del teatro italiano</w:t>
      </w:r>
      <w:r w:rsidRPr="00796A9D">
        <w:rPr>
          <w:rFonts w:ascii="Times New Roman" w:hAnsi="Times New Roman" w:cs="Times New Roman"/>
        </w:rPr>
        <w:t>, Torino, Loescher, 1891</w:t>
      </w:r>
      <w:r w:rsidRPr="00796A9D">
        <w:rPr>
          <w:rFonts w:ascii="Times New Roman" w:hAnsi="Times New Roman" w:cs="Times New Roman"/>
          <w:vertAlign w:val="superscript"/>
        </w:rPr>
        <w:t>2</w:t>
      </w:r>
      <w:bookmarkEnd w:id="365"/>
      <w:r w:rsidRPr="00796A9D">
        <w:rPr>
          <w:rFonts w:ascii="Times New Roman" w:hAnsi="Times New Roman" w:cs="Times New Roman"/>
        </w:rPr>
        <w:t xml:space="preserve">, vol. II, p. 361. Alcune considerazioni sulle abilità di Zafarano, figura versatile di apparatore di spettacoli e buffone, sono in </w:t>
      </w:r>
      <w:bookmarkStart w:id="366" w:name="_Hlk526200146"/>
      <w:r w:rsidRPr="00796A9D">
        <w:rPr>
          <w:rFonts w:ascii="Times New Roman" w:hAnsi="Times New Roman" w:cs="Times New Roman"/>
          <w:smallCaps/>
        </w:rPr>
        <w:t>T. Saffioti</w:t>
      </w:r>
      <w:r w:rsidRPr="00796A9D">
        <w:rPr>
          <w:rFonts w:ascii="Times New Roman" w:hAnsi="Times New Roman" w:cs="Times New Roman"/>
        </w:rPr>
        <w:t xml:space="preserve">, </w:t>
      </w:r>
      <w:r w:rsidRPr="00796A9D">
        <w:rPr>
          <w:rFonts w:ascii="Times New Roman" w:hAnsi="Times New Roman" w:cs="Times New Roman"/>
          <w:i/>
        </w:rPr>
        <w:t>La giulleria in Italia. Pratica scenica e festività</w:t>
      </w:r>
      <w:r w:rsidRPr="00796A9D">
        <w:rPr>
          <w:rFonts w:ascii="Times New Roman" w:hAnsi="Times New Roman" w:cs="Times New Roman"/>
        </w:rPr>
        <w:t>, «Medievalista», XV, 2012, pp. 281-294.</w:t>
      </w:r>
    </w:p>
    <w:bookmarkEnd w:id="366"/>
  </w:footnote>
  <w:footnote w:id="451">
    <w:p w14:paraId="770489F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lettere indirizzate alla corte di Mantova da Albergati, da Atalante Migliorotti e dall’Antimaco con le informazioni sui preparativi di questi due allestimenti dell’</w:t>
      </w:r>
      <w:r w:rsidRPr="00796A9D">
        <w:rPr>
          <w:rFonts w:ascii="Times New Roman" w:hAnsi="Times New Roman" w:cs="Times New Roman"/>
          <w:i/>
        </w:rPr>
        <w:t>Orfeo</w:t>
      </w:r>
      <w:r w:rsidRPr="00796A9D">
        <w:rPr>
          <w:rFonts w:ascii="Times New Roman" w:hAnsi="Times New Roman" w:cs="Times New Roman"/>
        </w:rPr>
        <w:t xml:space="preserve"> sono pubblicate in </w:t>
      </w:r>
      <w:r w:rsidRPr="00796A9D">
        <w:rPr>
          <w:rFonts w:ascii="Times New Roman" w:hAnsi="Times New Roman" w:cs="Times New Roman"/>
          <w:smallCaps/>
        </w:rPr>
        <w:t>A. D’Ancona</w:t>
      </w:r>
      <w:r w:rsidRPr="00796A9D">
        <w:rPr>
          <w:rFonts w:ascii="Times New Roman" w:hAnsi="Times New Roman" w:cs="Times New Roman"/>
        </w:rPr>
        <w:t xml:space="preserve">, </w:t>
      </w:r>
      <w:r w:rsidRPr="00796A9D">
        <w:rPr>
          <w:rFonts w:ascii="Times New Roman" w:hAnsi="Times New Roman" w:cs="Times New Roman"/>
          <w:i/>
        </w:rPr>
        <w:t>Origini del teatro italiano</w:t>
      </w:r>
      <w:r w:rsidRPr="00796A9D">
        <w:rPr>
          <w:rFonts w:ascii="Times New Roman" w:hAnsi="Times New Roman" w:cs="Times New Roman"/>
        </w:rPr>
        <w:t xml:space="preserve">, cit., vol. II, pp. 359-364. Per l’importanza di questi tentativi di allestimento della Favola di Orfeo e in merito alla fortuna scenica quattrocentesca di Poliziano si veda inoltre </w:t>
      </w:r>
      <w:r w:rsidRPr="00796A9D">
        <w:rPr>
          <w:rFonts w:ascii="Times New Roman" w:hAnsi="Times New Roman" w:cs="Times New Roman"/>
          <w:smallCaps/>
        </w:rPr>
        <w:t>F. Bortoletti</w:t>
      </w:r>
      <w:r w:rsidRPr="00796A9D">
        <w:rPr>
          <w:rFonts w:ascii="Times New Roman" w:hAnsi="Times New Roman" w:cs="Times New Roman"/>
        </w:rPr>
        <w:t xml:space="preserve">, </w:t>
      </w:r>
      <w:r w:rsidRPr="00796A9D">
        <w:rPr>
          <w:rFonts w:ascii="Times New Roman" w:hAnsi="Times New Roman" w:cs="Times New Roman"/>
          <w:i/>
        </w:rPr>
        <w:t>Egloga e spettacolo nel primo Rinascimento. Da Firenze alle corti</w:t>
      </w:r>
      <w:r w:rsidRPr="00796A9D">
        <w:rPr>
          <w:rFonts w:ascii="Times New Roman" w:hAnsi="Times New Roman" w:cs="Times New Roman"/>
        </w:rPr>
        <w:t xml:space="preserve">, Roma, Bulzoni, 2008, p. 109. </w:t>
      </w:r>
    </w:p>
  </w:footnote>
  <w:footnote w:id="452">
    <w:p w14:paraId="042EF1E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S. Degli Arienti</w:t>
      </w:r>
      <w:r w:rsidRPr="00796A9D">
        <w:rPr>
          <w:rFonts w:ascii="Times New Roman" w:hAnsi="Times New Roman" w:cs="Times New Roman"/>
        </w:rPr>
        <w:t xml:space="preserve">, </w:t>
      </w:r>
      <w:r w:rsidRPr="00796A9D">
        <w:rPr>
          <w:rFonts w:ascii="Times New Roman" w:hAnsi="Times New Roman" w:cs="Times New Roman"/>
          <w:i/>
        </w:rPr>
        <w:t>Hymeneus Bentivolus</w:t>
      </w:r>
      <w:r w:rsidRPr="00796A9D">
        <w:rPr>
          <w:rFonts w:ascii="Times New Roman" w:hAnsi="Times New Roman" w:cs="Times New Roman"/>
        </w:rPr>
        <w:t>, cit., XLIV, p. 113.</w:t>
      </w:r>
    </w:p>
  </w:footnote>
  <w:footnote w:id="453">
    <w:p w14:paraId="1801EA2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Della Pace, oggi alla Pinacoteca Nazionale di Bologna, e del targone, conservato al Museo medioevale di Bologna, si vedano le schede descrittive edite in </w:t>
      </w:r>
      <w:bookmarkStart w:id="368" w:name="_Hlk526200304"/>
      <w:r w:rsidRPr="00796A9D">
        <w:rPr>
          <w:rFonts w:ascii="Times New Roman" w:hAnsi="Times New Roman" w:cs="Times New Roman"/>
          <w:i/>
        </w:rPr>
        <w:t>La stagione dei Bentivoglio nella Bologna rinascimentale</w:t>
      </w:r>
      <w:r w:rsidRPr="00796A9D">
        <w:rPr>
          <w:rFonts w:ascii="Times New Roman" w:hAnsi="Times New Roman" w:cs="Times New Roman"/>
        </w:rPr>
        <w:t xml:space="preserve">, Catalogo della mostra, Bologna 21 ottobre 2006 – 7 gennaio 2007, a cura di </w:t>
      </w:r>
      <w:r w:rsidRPr="00796A9D">
        <w:rPr>
          <w:rFonts w:ascii="Times New Roman" w:hAnsi="Times New Roman" w:cs="Times New Roman"/>
          <w:smallCaps/>
        </w:rPr>
        <w:t>L. Amdalò</w:t>
      </w:r>
      <w:r w:rsidRPr="00796A9D">
        <w:rPr>
          <w:rFonts w:ascii="Times New Roman" w:hAnsi="Times New Roman" w:cs="Times New Roman"/>
        </w:rPr>
        <w:t>, Bologna, Minerva, 2006</w:t>
      </w:r>
      <w:bookmarkEnd w:id="368"/>
      <w:r w:rsidRPr="00796A9D">
        <w:rPr>
          <w:rFonts w:ascii="Times New Roman" w:hAnsi="Times New Roman" w:cs="Times New Roman"/>
        </w:rPr>
        <w:t xml:space="preserve">, pp. 79 e 87. </w:t>
      </w:r>
    </w:p>
  </w:footnote>
  <w:footnote w:id="454">
    <w:p w14:paraId="1C7FBFF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 Francesco Raibolini si veda la recente biografia tracciata da </w:t>
      </w:r>
      <w:r w:rsidRPr="00796A9D">
        <w:rPr>
          <w:rFonts w:ascii="Times New Roman" w:hAnsi="Times New Roman" w:cs="Times New Roman"/>
          <w:smallCaps/>
        </w:rPr>
        <w:t>M. Giansante</w:t>
      </w:r>
      <w:r w:rsidRPr="00796A9D">
        <w:rPr>
          <w:rFonts w:ascii="Times New Roman" w:hAnsi="Times New Roman" w:cs="Times New Roman"/>
        </w:rPr>
        <w:t xml:space="preserve">, s.v. </w:t>
      </w:r>
      <w:r w:rsidRPr="00796A9D">
        <w:rPr>
          <w:rFonts w:ascii="Times New Roman" w:hAnsi="Times New Roman" w:cs="Times New Roman"/>
          <w:i/>
        </w:rPr>
        <w:t>Raibolini, Francesco</w:t>
      </w:r>
      <w:r w:rsidRPr="00796A9D">
        <w:rPr>
          <w:rFonts w:ascii="Times New Roman" w:hAnsi="Times New Roman" w:cs="Times New Roman"/>
        </w:rPr>
        <w:t>, DBI, 2016, vol. LXXXVI, pp. 203-209.</w:t>
      </w:r>
    </w:p>
  </w:footnote>
  <w:footnote w:id="455">
    <w:p w14:paraId="6BF4479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 ricostruzione delle prime prove del Francia nel campo dell’arte orafa e degli interventi dell’orafo per lo sposalizio del 1487 è fornita in </w:t>
      </w:r>
      <w:bookmarkStart w:id="369" w:name="_Hlk526200403"/>
      <w:r w:rsidRPr="00796A9D">
        <w:rPr>
          <w:rFonts w:ascii="Times New Roman" w:hAnsi="Times New Roman" w:cs="Times New Roman"/>
          <w:smallCaps/>
        </w:rPr>
        <w:t>M. Scalini</w:t>
      </w:r>
      <w:r w:rsidRPr="00796A9D">
        <w:rPr>
          <w:rFonts w:ascii="Times New Roman" w:hAnsi="Times New Roman" w:cs="Times New Roman"/>
        </w:rPr>
        <w:t xml:space="preserve">, </w:t>
      </w:r>
      <w:r w:rsidRPr="00796A9D">
        <w:rPr>
          <w:rFonts w:ascii="Times New Roman" w:hAnsi="Times New Roman" w:cs="Times New Roman"/>
          <w:i/>
        </w:rPr>
        <w:t>Francia orafo, zecchiere e medaglista. Ipotesi e confronti</w:t>
      </w:r>
      <w:r w:rsidRPr="00796A9D">
        <w:rPr>
          <w:rFonts w:ascii="Times New Roman" w:hAnsi="Times New Roman" w:cs="Times New Roman"/>
        </w:rPr>
        <w:t xml:space="preserve">, in </w:t>
      </w:r>
      <w:r w:rsidRPr="00796A9D">
        <w:rPr>
          <w:rFonts w:ascii="Times New Roman" w:hAnsi="Times New Roman" w:cs="Times New Roman"/>
          <w:i/>
        </w:rPr>
        <w:t>Il genio di Francesco Francia. Un orafo pittore nella Bologna del Rinascimento</w:t>
      </w:r>
      <w:r w:rsidRPr="00796A9D">
        <w:rPr>
          <w:rFonts w:ascii="Times New Roman" w:hAnsi="Times New Roman" w:cs="Times New Roman"/>
        </w:rPr>
        <w:t>, Venezia, Marsilio, 2018</w:t>
      </w:r>
      <w:bookmarkEnd w:id="369"/>
      <w:r w:rsidRPr="00796A9D">
        <w:rPr>
          <w:rFonts w:ascii="Times New Roman" w:hAnsi="Times New Roman" w:cs="Times New Roman"/>
        </w:rPr>
        <w:t xml:space="preserve">, pp. 27-34. </w:t>
      </w:r>
    </w:p>
  </w:footnote>
  <w:footnote w:id="456">
    <w:p w14:paraId="156C268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A.M. Salimbeni</w:t>
      </w:r>
      <w:r w:rsidRPr="00796A9D">
        <w:rPr>
          <w:rFonts w:ascii="Times New Roman" w:hAnsi="Times New Roman" w:cs="Times New Roman"/>
        </w:rPr>
        <w:t xml:space="preserve">, </w:t>
      </w:r>
      <w:r w:rsidRPr="00796A9D">
        <w:rPr>
          <w:rFonts w:ascii="Times New Roman" w:hAnsi="Times New Roman" w:cs="Times New Roman"/>
          <w:i/>
        </w:rPr>
        <w:t>Epithalamium,</w:t>
      </w:r>
      <w:r w:rsidRPr="00796A9D">
        <w:rPr>
          <w:rFonts w:ascii="Times New Roman" w:hAnsi="Times New Roman" w:cs="Times New Roman"/>
        </w:rPr>
        <w:t xml:space="preserve"> ott. 382-383.</w:t>
      </w:r>
    </w:p>
  </w:footnote>
  <w:footnote w:id="457">
    <w:p w14:paraId="710FEB3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G. Vasari</w:t>
      </w:r>
      <w:r w:rsidRPr="00796A9D">
        <w:rPr>
          <w:rFonts w:ascii="Times New Roman" w:hAnsi="Times New Roman" w:cs="Times New Roman"/>
        </w:rPr>
        <w:t xml:space="preserve">, </w:t>
      </w:r>
      <w:r w:rsidRPr="00796A9D">
        <w:rPr>
          <w:rFonts w:ascii="Times New Roman" w:hAnsi="Times New Roman" w:cs="Times New Roman"/>
          <w:i/>
        </w:rPr>
        <w:t>Vita del Cecca</w:t>
      </w:r>
      <w:r w:rsidRPr="00796A9D">
        <w:rPr>
          <w:rFonts w:ascii="Times New Roman" w:hAnsi="Times New Roman" w:cs="Times New Roman"/>
        </w:rPr>
        <w:t xml:space="preserve">, in </w:t>
      </w:r>
      <w:r w:rsidRPr="00796A9D">
        <w:rPr>
          <w:rFonts w:ascii="Times New Roman" w:hAnsi="Times New Roman" w:cs="Times New Roman"/>
          <w:i/>
        </w:rPr>
        <w:t>Le opere di Giorgio Vasari</w:t>
      </w:r>
      <w:r w:rsidRPr="00796A9D">
        <w:rPr>
          <w:rFonts w:ascii="Times New Roman" w:hAnsi="Times New Roman" w:cs="Times New Roman"/>
        </w:rPr>
        <w:t xml:space="preserve">, a cura di </w:t>
      </w:r>
      <w:r w:rsidRPr="00796A9D">
        <w:rPr>
          <w:rFonts w:ascii="Times New Roman" w:hAnsi="Times New Roman" w:cs="Times New Roman"/>
          <w:smallCaps/>
        </w:rPr>
        <w:t>G. Milanesi</w:t>
      </w:r>
      <w:r w:rsidRPr="00796A9D">
        <w:rPr>
          <w:rFonts w:ascii="Times New Roman" w:hAnsi="Times New Roman" w:cs="Times New Roman"/>
        </w:rPr>
        <w:t xml:space="preserve">, Sansoni, 1906, pp. 195-212. Il punto più aggiornato intorno al funzionamento e alla struttura di questi ingegni si legge in </w:t>
      </w:r>
      <w:r w:rsidRPr="00796A9D">
        <w:rPr>
          <w:rFonts w:ascii="Times New Roman" w:eastAsia="Times New Roman" w:hAnsi="Times New Roman" w:cs="Times New Roman"/>
          <w:smallCaps/>
        </w:rPr>
        <w:t>P. Ventrone</w:t>
      </w:r>
      <w:r w:rsidRPr="00796A9D">
        <w:rPr>
          <w:rFonts w:ascii="Times New Roman" w:eastAsia="Times New Roman" w:hAnsi="Times New Roman" w:cs="Times New Roman"/>
        </w:rPr>
        <w:t xml:space="preserve">, </w:t>
      </w:r>
      <w:r w:rsidRPr="00796A9D">
        <w:rPr>
          <w:rFonts w:ascii="Times New Roman" w:eastAsia="Times New Roman" w:hAnsi="Times New Roman" w:cs="Times New Roman"/>
          <w:i/>
        </w:rPr>
        <w:t>Teatro civile e sacra rappresentazione a Firenze nel Rinascimento</w:t>
      </w:r>
      <w:r w:rsidRPr="00796A9D">
        <w:rPr>
          <w:rFonts w:ascii="Times New Roman" w:eastAsia="Times New Roman" w:hAnsi="Times New Roman" w:cs="Times New Roman"/>
        </w:rPr>
        <w:t>, cit., pp. 60-85</w:t>
      </w:r>
      <w:r>
        <w:rPr>
          <w:rFonts w:ascii="Times New Roman" w:eastAsia="Times New Roman" w:hAnsi="Times New Roman" w:cs="Times New Roman"/>
        </w:rPr>
        <w:t>, che considera anche con attenzione le notizie e la documentazione pervenuta intorno all’attività del Cecca legata allo spettacolo fiorentino del secondo Quattrocento.</w:t>
      </w:r>
      <w:r w:rsidRPr="00796A9D">
        <w:rPr>
          <w:rFonts w:ascii="Times New Roman" w:eastAsia="Times New Roman" w:hAnsi="Times New Roman" w:cs="Times New Roman"/>
        </w:rPr>
        <w:t xml:space="preserve"> Per </w:t>
      </w:r>
      <w:r>
        <w:rPr>
          <w:rFonts w:ascii="Times New Roman" w:eastAsia="Times New Roman" w:hAnsi="Times New Roman" w:cs="Times New Roman"/>
        </w:rPr>
        <w:t>i</w:t>
      </w:r>
      <w:r w:rsidRPr="00796A9D">
        <w:rPr>
          <w:rFonts w:ascii="Times New Roman" w:eastAsia="Times New Roman" w:hAnsi="Times New Roman" w:cs="Times New Roman"/>
        </w:rPr>
        <w:t xml:space="preserve"> document</w:t>
      </w:r>
      <w:r>
        <w:rPr>
          <w:rFonts w:ascii="Times New Roman" w:eastAsia="Times New Roman" w:hAnsi="Times New Roman" w:cs="Times New Roman"/>
        </w:rPr>
        <w:t>i</w:t>
      </w:r>
      <w:r w:rsidRPr="00796A9D">
        <w:rPr>
          <w:rFonts w:ascii="Times New Roman" w:eastAsia="Times New Roman" w:hAnsi="Times New Roman" w:cs="Times New Roman"/>
        </w:rPr>
        <w:t xml:space="preserve"> relativ</w:t>
      </w:r>
      <w:r>
        <w:rPr>
          <w:rFonts w:ascii="Times New Roman" w:eastAsia="Times New Roman" w:hAnsi="Times New Roman" w:cs="Times New Roman"/>
        </w:rPr>
        <w:t>i</w:t>
      </w:r>
      <w:r w:rsidRPr="00796A9D">
        <w:rPr>
          <w:rFonts w:ascii="Times New Roman" w:eastAsia="Times New Roman" w:hAnsi="Times New Roman" w:cs="Times New Roman"/>
        </w:rPr>
        <w:t xml:space="preserve"> alle spese sostenute dalle compagnie dell’Orciuolo e dell’Agnesa per gli apparati delle recite si rimanda a </w:t>
      </w:r>
      <w:r w:rsidRPr="00796A9D">
        <w:rPr>
          <w:rFonts w:ascii="Times New Roman" w:eastAsia="Times New Roman" w:hAnsi="Times New Roman" w:cs="Times New Roman"/>
          <w:smallCaps/>
        </w:rPr>
        <w:t>N. Newbigin</w:t>
      </w:r>
      <w:r w:rsidRPr="00796A9D">
        <w:rPr>
          <w:rFonts w:ascii="Times New Roman" w:eastAsia="Times New Roman" w:hAnsi="Times New Roman" w:cs="Times New Roman"/>
        </w:rPr>
        <w:t xml:space="preserve">, </w:t>
      </w:r>
      <w:r w:rsidRPr="00796A9D">
        <w:rPr>
          <w:rFonts w:ascii="Times New Roman" w:eastAsia="Times New Roman" w:hAnsi="Times New Roman" w:cs="Times New Roman"/>
          <w:i/>
        </w:rPr>
        <w:t xml:space="preserve">Feste d’Oltrarno. </w:t>
      </w:r>
      <w:r w:rsidRPr="00796A9D">
        <w:rPr>
          <w:rFonts w:ascii="Times New Roman" w:eastAsia="Times New Roman" w:hAnsi="Times New Roman" w:cs="Times New Roman"/>
          <w:i/>
          <w:lang w:val="en-US"/>
        </w:rPr>
        <w:t>Plays in Churches in Fifteenth-Century Florence</w:t>
      </w:r>
      <w:r w:rsidRPr="00796A9D">
        <w:rPr>
          <w:rFonts w:ascii="Times New Roman" w:eastAsia="Times New Roman" w:hAnsi="Times New Roman" w:cs="Times New Roman"/>
          <w:lang w:val="en-US"/>
        </w:rPr>
        <w:t xml:space="preserve">, Firenze, Olschki, 1996, vol. </w:t>
      </w:r>
      <w:r w:rsidRPr="00796A9D">
        <w:rPr>
          <w:rFonts w:ascii="Times New Roman" w:eastAsia="Times New Roman" w:hAnsi="Times New Roman" w:cs="Times New Roman"/>
        </w:rPr>
        <w:t xml:space="preserve">I, pp. 136-144, che osserva come effettivamente non si riscontri nei documenti alcuna testimonianza riguardo a interventi di Brunelleschi o del Cecca per le feste teatrali fiorentine. </w:t>
      </w:r>
    </w:p>
  </w:footnote>
  <w:footnote w:id="458">
    <w:p w14:paraId="0AC0018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Cenni sulla biografia di Lorenzo Lavagnolo e sulla sua attività di maestro di ballo presso le corti italiane del secondo Quattrocento si leggono in </w:t>
      </w:r>
      <w:r w:rsidRPr="00796A9D">
        <w:rPr>
          <w:rFonts w:ascii="Times New Roman" w:hAnsi="Times New Roman" w:cs="Times New Roman"/>
          <w:smallCaps/>
        </w:rPr>
        <w:t>A. Pontremoli, P. La Rocca</w:t>
      </w:r>
      <w:r w:rsidRPr="00796A9D">
        <w:rPr>
          <w:rFonts w:ascii="Times New Roman" w:hAnsi="Times New Roman" w:cs="Times New Roman"/>
        </w:rPr>
        <w:t xml:space="preserve">, </w:t>
      </w:r>
      <w:r w:rsidRPr="00796A9D">
        <w:rPr>
          <w:rFonts w:ascii="Times New Roman" w:hAnsi="Times New Roman" w:cs="Times New Roman"/>
          <w:i/>
        </w:rPr>
        <w:t>Il ballare lombardo. Teoria e prassi coreutica nella festa di corte del XV secolo</w:t>
      </w:r>
      <w:r w:rsidRPr="00796A9D">
        <w:rPr>
          <w:rFonts w:ascii="Times New Roman" w:hAnsi="Times New Roman" w:cs="Times New Roman"/>
        </w:rPr>
        <w:t xml:space="preserve">, Milano, Vita e Pensiero, 1987, pp. 64-67. </w:t>
      </w:r>
    </w:p>
  </w:footnote>
  <w:footnote w:id="459">
    <w:p w14:paraId="0306D8B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Narratione particolare delle nozze della Ill.ma Prencipessa di Ferrara</w:t>
      </w:r>
      <w:r w:rsidRPr="00796A9D">
        <w:rPr>
          <w:rFonts w:ascii="Times New Roman" w:hAnsi="Times New Roman" w:cs="Times New Roman"/>
        </w:rPr>
        <w:t xml:space="preserve">, f. 37v. Cito dalla trascrizione fornita in </w:t>
      </w:r>
      <w:r w:rsidRPr="00796A9D">
        <w:rPr>
          <w:rFonts w:ascii="Times New Roman" w:hAnsi="Times New Roman" w:cs="Times New Roman"/>
          <w:smallCaps/>
        </w:rPr>
        <w:t>F. Bortoletti</w:t>
      </w:r>
      <w:r w:rsidRPr="00796A9D">
        <w:rPr>
          <w:rFonts w:ascii="Times New Roman" w:hAnsi="Times New Roman" w:cs="Times New Roman"/>
        </w:rPr>
        <w:t xml:space="preserve">, </w:t>
      </w:r>
      <w:r w:rsidRPr="00796A9D">
        <w:rPr>
          <w:rFonts w:ascii="Times New Roman" w:hAnsi="Times New Roman" w:cs="Times New Roman"/>
          <w:i/>
        </w:rPr>
        <w:t>Danza, poesia e musica in Fabula</w:t>
      </w:r>
      <w:r w:rsidRPr="00796A9D">
        <w:rPr>
          <w:rFonts w:ascii="Times New Roman" w:hAnsi="Times New Roman" w:cs="Times New Roman"/>
        </w:rPr>
        <w:t>, cit., p. 211.</w:t>
      </w:r>
    </w:p>
  </w:footnote>
  <w:footnote w:id="460">
    <w:p w14:paraId="38B5451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 Tristano Calco dobbiamo tre descrizioni di sposalizi riguardanti la famiglia ducale di Milano: </w:t>
      </w:r>
      <w:r w:rsidRPr="00796A9D">
        <w:rPr>
          <w:rFonts w:ascii="Times New Roman" w:hAnsi="Times New Roman" w:cs="Times New Roman"/>
          <w:i/>
        </w:rPr>
        <w:t>Nuptiae mediolanensium Ducum</w:t>
      </w:r>
      <w:r w:rsidRPr="00796A9D">
        <w:rPr>
          <w:rFonts w:ascii="Times New Roman" w:hAnsi="Times New Roman" w:cs="Times New Roman"/>
        </w:rPr>
        <w:t xml:space="preserve">, sul matrimonio di Gian Galeazzo Sforza e Isabella d’Aragona del 1489; le </w:t>
      </w:r>
      <w:r w:rsidRPr="00796A9D">
        <w:rPr>
          <w:rFonts w:ascii="Times New Roman" w:hAnsi="Times New Roman" w:cs="Times New Roman"/>
          <w:i/>
        </w:rPr>
        <w:t>Nuptiae Mediolanensium et Estensium Principum,</w:t>
      </w:r>
      <w:r w:rsidRPr="00796A9D">
        <w:rPr>
          <w:rFonts w:ascii="Times New Roman" w:hAnsi="Times New Roman" w:cs="Times New Roman"/>
        </w:rPr>
        <w:t xml:space="preserve"> sulle feste per le doppie nozze di Ludovico il Moro e Beatrice d’Este e di Alfonso d’Este e Anna Sforza del 1491; e le </w:t>
      </w:r>
      <w:r w:rsidRPr="00796A9D">
        <w:rPr>
          <w:rFonts w:ascii="Times New Roman" w:hAnsi="Times New Roman" w:cs="Times New Roman"/>
          <w:i/>
        </w:rPr>
        <w:t>Nuptiae Augustae</w:t>
      </w:r>
      <w:r w:rsidRPr="00796A9D">
        <w:rPr>
          <w:rFonts w:ascii="Times New Roman" w:hAnsi="Times New Roman" w:cs="Times New Roman"/>
        </w:rPr>
        <w:t xml:space="preserve"> per lo sposalizio di Bianca Maria Sforza e Massimiliano I d’Asburgo nel 1493. Ne fu data edizione nei </w:t>
      </w:r>
      <w:bookmarkStart w:id="371" w:name="_Hlk526368949"/>
      <w:r w:rsidRPr="00796A9D">
        <w:rPr>
          <w:rFonts w:ascii="Times New Roman" w:hAnsi="Times New Roman" w:cs="Times New Roman"/>
          <w:i/>
        </w:rPr>
        <w:t>Tristani Calci Residua</w:t>
      </w:r>
      <w:r w:rsidRPr="00796A9D">
        <w:rPr>
          <w:rFonts w:ascii="Times New Roman" w:hAnsi="Times New Roman" w:cs="Times New Roman"/>
        </w:rPr>
        <w:t xml:space="preserve">, edidit </w:t>
      </w:r>
      <w:r w:rsidRPr="00796A9D">
        <w:rPr>
          <w:rFonts w:ascii="Times New Roman" w:hAnsi="Times New Roman" w:cs="Times New Roman"/>
          <w:smallCaps/>
        </w:rPr>
        <w:t>G.P. Puricelli</w:t>
      </w:r>
      <w:r w:rsidRPr="00796A9D">
        <w:rPr>
          <w:rFonts w:ascii="Times New Roman" w:hAnsi="Times New Roman" w:cs="Times New Roman"/>
        </w:rPr>
        <w:t>, Milano 1644</w:t>
      </w:r>
      <w:bookmarkEnd w:id="371"/>
      <w:r w:rsidRPr="00796A9D">
        <w:rPr>
          <w:rFonts w:ascii="Times New Roman" w:hAnsi="Times New Roman" w:cs="Times New Roman"/>
        </w:rPr>
        <w:t xml:space="preserve">, pp. 65-120. Delle </w:t>
      </w:r>
      <w:r w:rsidRPr="00796A9D">
        <w:rPr>
          <w:rFonts w:ascii="Times New Roman" w:hAnsi="Times New Roman" w:cs="Times New Roman"/>
          <w:i/>
        </w:rPr>
        <w:t xml:space="preserve">Nuptiae Mediolanensium et Estensium Principum </w:t>
      </w:r>
      <w:r w:rsidRPr="00796A9D">
        <w:rPr>
          <w:rFonts w:ascii="Times New Roman" w:hAnsi="Times New Roman" w:cs="Times New Roman"/>
        </w:rPr>
        <w:t xml:space="preserve">abbiamo anche un’edizione anastatica e una traduzione disponibili in </w:t>
      </w:r>
      <w:bookmarkStart w:id="372" w:name="_Hlk526369036"/>
      <w:r w:rsidRPr="00796A9D">
        <w:rPr>
          <w:rFonts w:ascii="Times New Roman" w:hAnsi="Times New Roman" w:cs="Times New Roman"/>
        </w:rPr>
        <w:t xml:space="preserve">G. </w:t>
      </w:r>
      <w:r w:rsidRPr="00796A9D">
        <w:rPr>
          <w:rFonts w:ascii="Times New Roman" w:hAnsi="Times New Roman" w:cs="Times New Roman"/>
          <w:smallCaps/>
        </w:rPr>
        <w:t>Lopez</w:t>
      </w:r>
      <w:r w:rsidRPr="00796A9D">
        <w:rPr>
          <w:rFonts w:ascii="Times New Roman" w:hAnsi="Times New Roman" w:cs="Times New Roman"/>
        </w:rPr>
        <w:t xml:space="preserve">, </w:t>
      </w:r>
      <w:r w:rsidRPr="00796A9D">
        <w:rPr>
          <w:rFonts w:ascii="Times New Roman" w:hAnsi="Times New Roman" w:cs="Times New Roman"/>
          <w:i/>
        </w:rPr>
        <w:t>Feste di nozze per Ludovico il Moro</w:t>
      </w:r>
      <w:r w:rsidRPr="00796A9D">
        <w:rPr>
          <w:rFonts w:ascii="Times New Roman" w:hAnsi="Times New Roman" w:cs="Times New Roman"/>
        </w:rPr>
        <w:t>, Milano, De Carlo, 1976</w:t>
      </w:r>
      <w:bookmarkEnd w:id="372"/>
      <w:r w:rsidRPr="00796A9D">
        <w:rPr>
          <w:rFonts w:ascii="Times New Roman" w:hAnsi="Times New Roman" w:cs="Times New Roman"/>
        </w:rPr>
        <w:t xml:space="preserve">, pp. 108-138. Da quest’ultima è tratta la citazione, p. 123. </w:t>
      </w:r>
    </w:p>
  </w:footnote>
  <w:footnote w:id="461">
    <w:p w14:paraId="1D2958C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Sull’importanza della danza nell’educazione delle giovani delle famiglie dell’oligarchia fiorentina si vedano le considerazioni di </w:t>
      </w:r>
      <w:r w:rsidRPr="00796A9D">
        <w:rPr>
          <w:rFonts w:ascii="Times New Roman" w:hAnsi="Times New Roman" w:cs="Times New Roman"/>
          <w:smallCaps/>
        </w:rPr>
        <w:t>J. Bryce</w:t>
      </w:r>
      <w:r w:rsidRPr="00796A9D">
        <w:rPr>
          <w:rFonts w:ascii="Times New Roman" w:hAnsi="Times New Roman" w:cs="Times New Roman"/>
        </w:rPr>
        <w:t xml:space="preserve">, </w:t>
      </w:r>
      <w:r w:rsidRPr="00796A9D">
        <w:rPr>
          <w:rFonts w:ascii="Times New Roman" w:hAnsi="Times New Roman" w:cs="Times New Roman"/>
          <w:i/>
        </w:rPr>
        <w:t>Performing for Strangers: Women, Dance, and Music in Quattrocento</w:t>
      </w:r>
      <w:r w:rsidRPr="00796A9D">
        <w:rPr>
          <w:rFonts w:ascii="Times New Roman" w:hAnsi="Times New Roman" w:cs="Times New Roman"/>
        </w:rPr>
        <w:t xml:space="preserve">, «Renaissance Quarterly», LIV, 2001, pp. 1074-1107, che prende in considerazione le feste da ballo organizzate durante le visite di Pio II e Galeazzo Maria Sforza (1459), di Pio II (1460), di Ippolita Sforza (1465) e di Galeazzo Maria Sforza e Bona di Savoia (1471) per illustrare come la danza offrisse alle fanciulle di Firenze la possibilità di mostrarsi all’altezza del confronto con le giovani aristocratiche educate presso le corti italiane coeve. Tra i documenti citati dalla studiosa, una lettera di Galeazzo Maria Sforza a Bianca Maria Sforza con il resoconto di una festa in suo onore offerta il 15 aprile 1459 a Fiorenzuola afferma che «si ballò per alcune belle pute </w:t>
      </w:r>
      <w:r w:rsidRPr="00796A9D">
        <w:rPr>
          <w:rFonts w:ascii="Times New Roman" w:hAnsi="Times New Roman" w:cs="Times New Roman"/>
          <w:i/>
        </w:rPr>
        <w:t>al modo fiorentino</w:t>
      </w:r>
      <w:r w:rsidRPr="00796A9D">
        <w:rPr>
          <w:rFonts w:ascii="Times New Roman" w:hAnsi="Times New Roman" w:cs="Times New Roman"/>
        </w:rPr>
        <w:t xml:space="preserve">, saltando et facendo scambeti, di che per tutta la compagnia s’è priso uno grande piacere»; e in una missiva a suo padre Francesco, del 23 aprile 1459, Galeazzo Maria si esprimeva ancora così circa le danze a lui offerte nella villa di Careggi di Cosimo de’ Medici: «si ballò per tutte queste alla fiorentina, con salti et scambieti a la polita». L’ospite milanese pare cogliere i caratteri di una varietà regionale della danza, sulla cui particolarità nel panorama delle arti coreutiche rinascimentali resta da fare chiarezza. </w:t>
      </w:r>
    </w:p>
  </w:footnote>
  <w:footnote w:id="462">
    <w:p w14:paraId="5640BD9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Dell’incunabolo si fornisce l’analisi bibliografica in </w:t>
      </w:r>
      <w:r w:rsidRPr="00796A9D">
        <w:rPr>
          <w:rFonts w:ascii="Times New Roman" w:hAnsi="Times New Roman" w:cs="Times New Roman"/>
          <w:i/>
        </w:rPr>
        <w:t>Appendice I,</w:t>
      </w:r>
      <w:r w:rsidRPr="00796A9D">
        <w:rPr>
          <w:rFonts w:ascii="Times New Roman" w:hAnsi="Times New Roman" w:cs="Times New Roman"/>
        </w:rPr>
        <w:t xml:space="preserve"> </w:t>
      </w:r>
      <w:r w:rsidRPr="00796A9D">
        <w:rPr>
          <w:rFonts w:ascii="Times New Roman" w:hAnsi="Times New Roman" w:cs="Times New Roman"/>
          <w:color w:val="000000"/>
          <w:shd w:val="clear" w:color="auto" w:fill="FFFFFF"/>
        </w:rPr>
        <w:t>scheda 7.</w:t>
      </w:r>
    </w:p>
  </w:footnote>
  <w:footnote w:id="463">
    <w:p w14:paraId="0CB5184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biografia e l’attività letteraria di Lugari, legata quasi esclusivamente alla città di Cremona, rinvio a F. </w:t>
      </w:r>
      <w:r w:rsidRPr="00796A9D">
        <w:rPr>
          <w:rFonts w:ascii="Times New Roman" w:hAnsi="Times New Roman" w:cs="Times New Roman"/>
          <w:smallCaps/>
        </w:rPr>
        <w:t>Cirilli</w:t>
      </w:r>
      <w:r w:rsidRPr="00796A9D">
        <w:rPr>
          <w:rFonts w:ascii="Times New Roman" w:hAnsi="Times New Roman" w:cs="Times New Roman"/>
        </w:rPr>
        <w:t xml:space="preserve">, s. v. </w:t>
      </w:r>
      <w:r w:rsidRPr="00796A9D">
        <w:rPr>
          <w:rFonts w:ascii="Times New Roman" w:hAnsi="Times New Roman" w:cs="Times New Roman"/>
          <w:i/>
        </w:rPr>
        <w:t>Lugari, Niccolò</w:t>
      </w:r>
      <w:r w:rsidRPr="00796A9D">
        <w:rPr>
          <w:rFonts w:ascii="Times New Roman" w:hAnsi="Times New Roman" w:cs="Times New Roman"/>
        </w:rPr>
        <w:t>, DBI, 2006, vol. LXVI, pp. 474-475.</w:t>
      </w:r>
    </w:p>
  </w:footnote>
  <w:footnote w:id="464">
    <w:p w14:paraId="1A7122E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figura di Stefano Dolcino è stata fino ad oggi poco studiata. Un buon profilo biografico si legge tuttavia in U. </w:t>
      </w:r>
      <w:r w:rsidRPr="00796A9D">
        <w:rPr>
          <w:rFonts w:ascii="Times New Roman" w:hAnsi="Times New Roman" w:cs="Times New Roman"/>
          <w:smallCaps/>
        </w:rPr>
        <w:t>Rozzo</w:t>
      </w:r>
      <w:r w:rsidRPr="00796A9D">
        <w:rPr>
          <w:rFonts w:ascii="Times New Roman" w:hAnsi="Times New Roman" w:cs="Times New Roman"/>
        </w:rPr>
        <w:t xml:space="preserve">, s.v. </w:t>
      </w:r>
      <w:r w:rsidRPr="00796A9D">
        <w:rPr>
          <w:rFonts w:ascii="Times New Roman" w:hAnsi="Times New Roman" w:cs="Times New Roman"/>
          <w:i/>
        </w:rPr>
        <w:t>Stefano Dolcino</w:t>
      </w:r>
      <w:r w:rsidRPr="00796A9D">
        <w:rPr>
          <w:rFonts w:ascii="Times New Roman" w:hAnsi="Times New Roman" w:cs="Times New Roman"/>
        </w:rPr>
        <w:t xml:space="preserve">, in DBI, 1991, vol. 40, pp. 444-447, che chiarisce anche il problema dello sdoppiamento della personalità dell’autore dovuta all’adozione, solo in alcune sue opere, del soprannome Stephanus Dulcinus Secundus, assegnatogli da intellettuali suoi estimatori. L’insieme degli studi dedicati al Dolcino è stato raccolto ed edito nella voce a lui dedicata </w:t>
      </w:r>
      <w:bookmarkStart w:id="373" w:name="_Hlk526369662"/>
      <w:r w:rsidRPr="00796A9D">
        <w:rPr>
          <w:rFonts w:ascii="Times New Roman" w:eastAsia="Times New Roman" w:hAnsi="Times New Roman" w:cs="Times New Roman"/>
          <w:shd w:val="clear" w:color="auto" w:fill="FFFFFF"/>
          <w:lang w:eastAsia="it-IT"/>
        </w:rPr>
        <w:t>dell’</w:t>
      </w:r>
      <w:r w:rsidRPr="00796A9D">
        <w:rPr>
          <w:rFonts w:ascii="Times New Roman" w:eastAsia="Times New Roman" w:hAnsi="Times New Roman" w:cs="Times New Roman"/>
          <w:i/>
          <w:shd w:val="clear" w:color="auto" w:fill="FFFFFF"/>
          <w:lang w:eastAsia="it-IT"/>
        </w:rPr>
        <w:t>Indice</w:t>
      </w:r>
      <w:r w:rsidRPr="00796A9D">
        <w:rPr>
          <w:rFonts w:ascii="Times New Roman" w:eastAsia="Times New Roman" w:hAnsi="Times New Roman" w:cs="Times New Roman"/>
          <w:shd w:val="clear" w:color="auto" w:fill="FFFFFF"/>
          <w:lang w:eastAsia="it-IT"/>
        </w:rPr>
        <w:t xml:space="preserve"> </w:t>
      </w:r>
      <w:r w:rsidRPr="00796A9D">
        <w:rPr>
          <w:rFonts w:ascii="Times New Roman" w:eastAsia="Times New Roman" w:hAnsi="Times New Roman" w:cs="Times New Roman"/>
          <w:i/>
          <w:shd w:val="clear" w:color="auto" w:fill="FFFFFF"/>
          <w:lang w:eastAsia="it-IT"/>
        </w:rPr>
        <w:t>biografico italiano</w:t>
      </w:r>
      <w:r w:rsidRPr="00796A9D">
        <w:rPr>
          <w:rFonts w:ascii="Times New Roman" w:eastAsia="Times New Roman" w:hAnsi="Times New Roman" w:cs="Times New Roman"/>
          <w:shd w:val="clear" w:color="auto" w:fill="FFFFFF"/>
          <w:lang w:eastAsia="it-IT"/>
        </w:rPr>
        <w:t xml:space="preserve">, a cura di </w:t>
      </w:r>
      <w:r w:rsidRPr="00796A9D">
        <w:rPr>
          <w:rFonts w:ascii="Times New Roman" w:eastAsia="Times New Roman" w:hAnsi="Times New Roman" w:cs="Times New Roman"/>
          <w:smallCaps/>
          <w:shd w:val="clear" w:color="auto" w:fill="FFFFFF"/>
          <w:lang w:eastAsia="it-IT"/>
        </w:rPr>
        <w:t>T. Nappo</w:t>
      </w:r>
      <w:r w:rsidRPr="00796A9D">
        <w:rPr>
          <w:rFonts w:ascii="Times New Roman" w:eastAsia="Times New Roman" w:hAnsi="Times New Roman" w:cs="Times New Roman"/>
          <w:shd w:val="clear" w:color="auto" w:fill="FFFFFF"/>
          <w:lang w:eastAsia="it-IT"/>
        </w:rPr>
        <w:t>, Monaco, K. G. Saur Verlag, 2007</w:t>
      </w:r>
      <w:r w:rsidRPr="00796A9D">
        <w:rPr>
          <w:rFonts w:ascii="Times New Roman" w:eastAsia="Times New Roman" w:hAnsi="Times New Roman" w:cs="Times New Roman"/>
          <w:color w:val="333333"/>
          <w:shd w:val="clear" w:color="auto" w:fill="FFFFFF"/>
          <w:lang w:eastAsia="it-IT"/>
        </w:rPr>
        <w:t xml:space="preserve">. </w:t>
      </w:r>
      <w:r w:rsidRPr="00796A9D">
        <w:rPr>
          <w:rFonts w:ascii="Times New Roman" w:hAnsi="Times New Roman" w:cs="Times New Roman"/>
        </w:rPr>
        <w:t xml:space="preserve"> </w:t>
      </w:r>
      <w:bookmarkEnd w:id="373"/>
    </w:p>
  </w:footnote>
  <w:footnote w:id="465">
    <w:p w14:paraId="0154B9D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Oltre all’opera di Manilio, Dolcino pubblicò con Zarotto gli </w:t>
      </w:r>
      <w:r w:rsidRPr="00796A9D">
        <w:rPr>
          <w:rFonts w:ascii="Times New Roman" w:hAnsi="Times New Roman" w:cs="Times New Roman"/>
          <w:i/>
        </w:rPr>
        <w:t>Epistolae et opuscola</w:t>
      </w:r>
      <w:r w:rsidRPr="00796A9D">
        <w:rPr>
          <w:rFonts w:ascii="Times New Roman" w:hAnsi="Times New Roman" w:cs="Times New Roman"/>
        </w:rPr>
        <w:t xml:space="preserve"> di sant’Ambrogio, in data 1 febbraio 1491: IGI 425; BMC VI 722. L’edizione fu offerta a Ludovico il Moro e seguì di soli due mesi la </w:t>
      </w:r>
      <w:r w:rsidRPr="00796A9D">
        <w:rPr>
          <w:rFonts w:ascii="Times New Roman" w:hAnsi="Times New Roman" w:cs="Times New Roman"/>
          <w:i/>
        </w:rPr>
        <w:t>princeps</w:t>
      </w:r>
      <w:r w:rsidRPr="00796A9D">
        <w:rPr>
          <w:rFonts w:ascii="Times New Roman" w:hAnsi="Times New Roman" w:cs="Times New Roman"/>
        </w:rPr>
        <w:t xml:space="preserve"> delle </w:t>
      </w:r>
      <w:r w:rsidRPr="00796A9D">
        <w:rPr>
          <w:rFonts w:ascii="Times New Roman" w:hAnsi="Times New Roman" w:cs="Times New Roman"/>
          <w:i/>
        </w:rPr>
        <w:t>Epistolae</w:t>
      </w:r>
      <w:r w:rsidRPr="00796A9D">
        <w:rPr>
          <w:rFonts w:ascii="Times New Roman" w:hAnsi="Times New Roman" w:cs="Times New Roman"/>
        </w:rPr>
        <w:t xml:space="preserve"> ambrosiane impressa il 18 dicembre 1490 da Leonhard Pachel.  </w:t>
      </w:r>
    </w:p>
  </w:footnote>
  <w:footnote w:id="466">
    <w:p w14:paraId="2A6ADA6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fondazione di Santa Maria della Scala si deve alla moglie di Bernabò Visconti, Regina della Scala. Essa si inseriva in un progetto di recupero dell’area ove sorgevano in precedenza le case dei Della Torre e la chiesetta di Santa Veronica, rase al suolo nel 1311 dalle truppe dell'imperatore Arrigo VII. Dedicata inizialmente all'Assunzione della Vergine, dopo la morte di Regina, nel 1384, la chiesa fu elevata da Bernabò al ruolo di collegiata di patronato signorile, e dotata di un capitolo di venti canonici, i cui membri godevano del titolo di clero di corte, incaricato della preghiera e dell’officiatura di messe per le anime dei signori di Milano. Il prestigio della Scala durò per tutta l'epoca visconteo-sforzesca e i suoi chierici furono scelti con cura tra i fedelissimi dei duchi. Cfr. </w:t>
      </w:r>
      <w:bookmarkStart w:id="374" w:name="_Hlk526369781"/>
      <w:r w:rsidRPr="00796A9D">
        <w:rPr>
          <w:rFonts w:ascii="Times New Roman" w:hAnsi="Times New Roman" w:cs="Times New Roman"/>
        </w:rPr>
        <w:t xml:space="preserve">M. </w:t>
      </w:r>
      <w:r w:rsidRPr="00796A9D">
        <w:rPr>
          <w:rFonts w:ascii="Times New Roman" w:hAnsi="Times New Roman" w:cs="Times New Roman"/>
          <w:smallCaps/>
        </w:rPr>
        <w:t>Bendiscioli</w:t>
      </w:r>
      <w:r w:rsidRPr="00796A9D">
        <w:rPr>
          <w:rFonts w:ascii="Times New Roman" w:hAnsi="Times New Roman" w:cs="Times New Roman"/>
        </w:rPr>
        <w:t xml:space="preserve">, </w:t>
      </w:r>
      <w:r w:rsidRPr="00796A9D">
        <w:rPr>
          <w:rFonts w:ascii="Times New Roman" w:hAnsi="Times New Roman" w:cs="Times New Roman"/>
          <w:i/>
        </w:rPr>
        <w:t>Politica, amministrazione e religione nell’età dei Borromei</w:t>
      </w:r>
      <w:r w:rsidRPr="00796A9D">
        <w:rPr>
          <w:rFonts w:ascii="Times New Roman" w:hAnsi="Times New Roman" w:cs="Times New Roman"/>
        </w:rPr>
        <w:t xml:space="preserve">, in </w:t>
      </w:r>
      <w:r w:rsidRPr="00796A9D">
        <w:rPr>
          <w:rFonts w:ascii="Times New Roman" w:hAnsi="Times New Roman" w:cs="Times New Roman"/>
          <w:i/>
        </w:rPr>
        <w:t>Storia di Milano</w:t>
      </w:r>
      <w:r w:rsidRPr="00796A9D">
        <w:rPr>
          <w:rFonts w:ascii="Times New Roman" w:hAnsi="Times New Roman" w:cs="Times New Roman"/>
        </w:rPr>
        <w:t>, Milano, Treccani, 1961, vol. X, pp. 578-579.</w:t>
      </w:r>
    </w:p>
    <w:bookmarkEnd w:id="374"/>
  </w:footnote>
  <w:footnote w:id="467">
    <w:p w14:paraId="6049851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Istituzione tutelata dai duchi, le Scuole Palatine avevano sede nel Palazzo del Broletto, e si ponevano come polo per la formazione dei giovani alternativo all’Università di Pavia. Dedite essenzialmente all’insegnamento del diritto e della retorica, offrivano la preparazione necessaria all’educazione del futuro personale della cancelleria ducale. Per indicazioni più complete sul loro ruolo nel panorama della cultura milanese rinvio a </w:t>
      </w:r>
      <w:bookmarkStart w:id="375" w:name="_Hlk526369858"/>
      <w:r w:rsidRPr="00796A9D">
        <w:rPr>
          <w:rFonts w:ascii="Times New Roman" w:hAnsi="Times New Roman" w:cs="Times New Roman"/>
        </w:rPr>
        <w:t xml:space="preserve">L. </w:t>
      </w:r>
      <w:r w:rsidRPr="00796A9D">
        <w:rPr>
          <w:rFonts w:ascii="Times New Roman" w:hAnsi="Times New Roman" w:cs="Times New Roman"/>
          <w:smallCaps/>
        </w:rPr>
        <w:t>Banfi</w:t>
      </w:r>
      <w:r w:rsidRPr="00796A9D">
        <w:rPr>
          <w:rFonts w:ascii="Times New Roman" w:hAnsi="Times New Roman" w:cs="Times New Roman"/>
        </w:rPr>
        <w:t xml:space="preserve">, </w:t>
      </w:r>
      <w:r w:rsidRPr="00796A9D">
        <w:rPr>
          <w:rFonts w:ascii="Times New Roman" w:hAnsi="Times New Roman" w:cs="Times New Roman"/>
          <w:i/>
        </w:rPr>
        <w:t>Scuola ed educazione nella Milano dell’ultimo</w:t>
      </w:r>
      <w:r w:rsidRPr="00796A9D">
        <w:rPr>
          <w:rFonts w:ascii="Times New Roman" w:hAnsi="Times New Roman" w:cs="Times New Roman"/>
        </w:rPr>
        <w:t xml:space="preserve"> </w:t>
      </w:r>
      <w:r w:rsidRPr="00796A9D">
        <w:rPr>
          <w:rFonts w:ascii="Times New Roman" w:hAnsi="Times New Roman" w:cs="Times New Roman"/>
          <w:i/>
        </w:rPr>
        <w:t>Quattrocento</w:t>
      </w:r>
      <w:r w:rsidRPr="00796A9D">
        <w:rPr>
          <w:rFonts w:ascii="Times New Roman" w:hAnsi="Times New Roman" w:cs="Times New Roman"/>
        </w:rPr>
        <w:t xml:space="preserve">, in </w:t>
      </w:r>
      <w:r w:rsidRPr="00796A9D">
        <w:rPr>
          <w:rFonts w:ascii="Times New Roman" w:hAnsi="Times New Roman" w:cs="Times New Roman"/>
          <w:i/>
        </w:rPr>
        <w:t>Milano</w:t>
      </w:r>
      <w:r w:rsidRPr="00796A9D">
        <w:rPr>
          <w:rFonts w:ascii="Times New Roman" w:hAnsi="Times New Roman" w:cs="Times New Roman"/>
        </w:rPr>
        <w:t xml:space="preserve"> </w:t>
      </w:r>
      <w:r w:rsidRPr="00796A9D">
        <w:rPr>
          <w:rFonts w:ascii="Times New Roman" w:hAnsi="Times New Roman" w:cs="Times New Roman"/>
          <w:i/>
        </w:rPr>
        <w:t>nell’età di Ludovico il Moro</w:t>
      </w:r>
      <w:r w:rsidRPr="00796A9D">
        <w:rPr>
          <w:rFonts w:ascii="Times New Roman" w:hAnsi="Times New Roman" w:cs="Times New Roman"/>
        </w:rPr>
        <w:t xml:space="preserve">, Atti del convegno internazionale (28 febbraio-4 marzo 1983), Milano, Comune di Milano e Biblioteca Trivulziana, 1983, pp. 387-395. </w:t>
      </w:r>
      <w:bookmarkEnd w:id="375"/>
      <w:r w:rsidRPr="00796A9D">
        <w:rPr>
          <w:rFonts w:ascii="Times New Roman" w:hAnsi="Times New Roman" w:cs="Times New Roman"/>
        </w:rPr>
        <w:t xml:space="preserve">Su Gabriele Paveri Fontana, cfr. L. </w:t>
      </w:r>
      <w:r w:rsidRPr="00796A9D">
        <w:rPr>
          <w:rFonts w:ascii="Times New Roman" w:hAnsi="Times New Roman" w:cs="Times New Roman"/>
          <w:smallCaps/>
        </w:rPr>
        <w:t>Ceriotti</w:t>
      </w:r>
      <w:r w:rsidRPr="00796A9D">
        <w:rPr>
          <w:rFonts w:ascii="Times New Roman" w:hAnsi="Times New Roman" w:cs="Times New Roman"/>
        </w:rPr>
        <w:t>, s.v.</w:t>
      </w:r>
      <w:r w:rsidRPr="00796A9D">
        <w:rPr>
          <w:rFonts w:ascii="Times New Roman" w:hAnsi="Times New Roman" w:cs="Times New Roman"/>
          <w:i/>
        </w:rPr>
        <w:t xml:space="preserve"> Paveri Fontana, Gabriele, </w:t>
      </w:r>
      <w:r w:rsidRPr="00796A9D">
        <w:rPr>
          <w:rFonts w:ascii="Times New Roman" w:hAnsi="Times New Roman" w:cs="Times New Roman"/>
        </w:rPr>
        <w:t xml:space="preserve">DBI, 2014, vol. LXXXI, pp. 209-210. </w:t>
      </w:r>
    </w:p>
  </w:footnote>
  <w:footnote w:id="468">
    <w:p w14:paraId="7F82FF3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Dalla seconda metà del XIII secolo l’astrologia e l’astronomia trovarono un posto importante nel piano di studi delle facoltà di arti e di medicina delle università italiane. Alla corte degli Sforza lo studio delle influenze astrali incontrava il favore dei duchi, desiderosi di ottenere pronostici per le loro azioni militari, di servirsi degli oroscopi come strumento di legittimazione dinastica e di padroneggiare la conoscenza del mondo naturale per fini medicamentosi. Gli interessi della corte erano dunque in linea con le aspettative dei dotti dell’accademia e, come osserva Monica Azzolini, nella seconda metà del Quattrocento si riscontra similarità tra i titoli di soggetto astrologico degli inventari delle biblioteche di diversi studiosi di medicina e astrologia e quelli dei registri della raccolta ducale di Pavia. Anche l’edizione di Manilio, sebbene testo non propriamente tecnico, credo potesse ricevere la medesima accoglienza. </w:t>
      </w:r>
      <w:r w:rsidRPr="00796A9D">
        <w:rPr>
          <w:rFonts w:ascii="Times New Roman" w:hAnsi="Times New Roman" w:cs="Times New Roman"/>
          <w:lang w:val="en-US"/>
        </w:rPr>
        <w:t xml:space="preserve">Cfr. </w:t>
      </w:r>
      <w:bookmarkStart w:id="376" w:name="_Hlk526370003"/>
      <w:r w:rsidRPr="00796A9D">
        <w:rPr>
          <w:rFonts w:ascii="Times New Roman" w:hAnsi="Times New Roman" w:cs="Times New Roman"/>
          <w:smallCaps/>
          <w:lang w:val="en-US"/>
        </w:rPr>
        <w:t>M. Azzolini</w:t>
      </w:r>
      <w:r w:rsidRPr="00796A9D">
        <w:rPr>
          <w:rFonts w:ascii="Times New Roman" w:hAnsi="Times New Roman" w:cs="Times New Roman"/>
          <w:lang w:val="en-US"/>
        </w:rPr>
        <w:t xml:space="preserve">, </w:t>
      </w:r>
      <w:r w:rsidRPr="00796A9D">
        <w:rPr>
          <w:rFonts w:ascii="Times New Roman" w:hAnsi="Times New Roman" w:cs="Times New Roman"/>
          <w:i/>
          <w:lang w:val="en-US"/>
        </w:rPr>
        <w:t>The Duke and the Stars. Astrology and Politics in Renaissance Milan</w:t>
      </w:r>
      <w:r w:rsidRPr="00796A9D">
        <w:rPr>
          <w:rFonts w:ascii="Times New Roman" w:hAnsi="Times New Roman" w:cs="Times New Roman"/>
          <w:lang w:val="en-US"/>
        </w:rPr>
        <w:t>, Cambridge, Harvard University Press, 2013</w:t>
      </w:r>
      <w:bookmarkEnd w:id="376"/>
      <w:r w:rsidRPr="00796A9D">
        <w:rPr>
          <w:rFonts w:ascii="Times New Roman" w:hAnsi="Times New Roman" w:cs="Times New Roman"/>
          <w:lang w:val="en-US"/>
        </w:rPr>
        <w:t xml:space="preserve">, pp. 27-52.  </w:t>
      </w:r>
      <w:r w:rsidRPr="00796A9D">
        <w:rPr>
          <w:rFonts w:ascii="Times New Roman" w:hAnsi="Times New Roman" w:cs="Times New Roman"/>
        </w:rPr>
        <w:t xml:space="preserve">Per l’analisi della stampa di Zarotto si veda </w:t>
      </w:r>
      <w:r w:rsidRPr="00796A9D">
        <w:rPr>
          <w:rFonts w:ascii="Times New Roman" w:hAnsi="Times New Roman" w:cs="Times New Roman"/>
          <w:color w:val="000000"/>
          <w:shd w:val="clear" w:color="auto" w:fill="FFFFFF"/>
        </w:rPr>
        <w:t>IGI 6129; BMC VI 721;</w:t>
      </w:r>
      <w:r w:rsidRPr="00796A9D">
        <w:rPr>
          <w:rStyle w:val="apple-converted-space"/>
          <w:rFonts w:ascii="Times New Roman" w:hAnsi="Times New Roman" w:cs="Times New Roman"/>
          <w:color w:val="000000"/>
          <w:shd w:val="clear" w:color="auto" w:fill="FFFFFF"/>
        </w:rPr>
        <w:t> </w:t>
      </w:r>
      <w:r w:rsidRPr="00796A9D">
        <w:rPr>
          <w:rFonts w:ascii="Times New Roman" w:hAnsi="Times New Roman" w:cs="Times New Roman"/>
          <w:shd w:val="clear" w:color="auto" w:fill="FFFFFF"/>
        </w:rPr>
        <w:t>GW M 20626.</w:t>
      </w:r>
    </w:p>
  </w:footnote>
  <w:footnote w:id="469">
    <w:p w14:paraId="5F85798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Milano, Biblioteca Trivulziana, Triv. 766, cc. 50v- 62r. Parzialmente edito in </w:t>
      </w:r>
      <w:r w:rsidRPr="00796A9D">
        <w:rPr>
          <w:rFonts w:ascii="Times New Roman" w:hAnsi="Times New Roman" w:cs="Times New Roman"/>
          <w:smallCaps/>
        </w:rPr>
        <w:t>E. Motta</w:t>
      </w:r>
      <w:r w:rsidRPr="00796A9D">
        <w:rPr>
          <w:rFonts w:ascii="Times New Roman" w:hAnsi="Times New Roman" w:cs="Times New Roman"/>
        </w:rPr>
        <w:t xml:space="preserve">, </w:t>
      </w:r>
      <w:r w:rsidRPr="00796A9D">
        <w:rPr>
          <w:rFonts w:ascii="Times New Roman" w:hAnsi="Times New Roman" w:cs="Times New Roman"/>
          <w:i/>
        </w:rPr>
        <w:t>Nozze principesche nel Quattrocento: corredi, inventari e descrizioni</w:t>
      </w:r>
      <w:r w:rsidRPr="00796A9D">
        <w:rPr>
          <w:rFonts w:ascii="Times New Roman" w:hAnsi="Times New Roman" w:cs="Times New Roman"/>
        </w:rPr>
        <w:t xml:space="preserve">, Milano, Rivara, 1894, pp. 64-76. Il testimone è particolarmente caro agli storici della danza dal momento che trasmette cenni sulle coreografie ideate per l’occasione da Domenico da Piacenza. Cfr. </w:t>
      </w:r>
      <w:bookmarkStart w:id="377" w:name="_Hlk526370387"/>
      <w:r w:rsidRPr="00796A9D">
        <w:rPr>
          <w:rFonts w:ascii="Times New Roman" w:hAnsi="Times New Roman" w:cs="Times New Roman"/>
          <w:smallCaps/>
        </w:rPr>
        <w:t>A. Pontremoli</w:t>
      </w:r>
      <w:r w:rsidRPr="00796A9D">
        <w:rPr>
          <w:rFonts w:ascii="Times New Roman" w:hAnsi="Times New Roman" w:cs="Times New Roman"/>
        </w:rPr>
        <w:t xml:space="preserve">, </w:t>
      </w:r>
      <w:r w:rsidRPr="00796A9D">
        <w:rPr>
          <w:rFonts w:ascii="Times New Roman" w:hAnsi="Times New Roman" w:cs="Times New Roman"/>
          <w:i/>
        </w:rPr>
        <w:t>Danza e Rinascimento. Cultura coreica e buone maniere nella società di corte del XV secolo</w:t>
      </w:r>
      <w:r w:rsidRPr="00796A9D">
        <w:rPr>
          <w:rFonts w:ascii="Times New Roman" w:hAnsi="Times New Roman" w:cs="Times New Roman"/>
        </w:rPr>
        <w:t>, Macerata, Ephemeria, 2011</w:t>
      </w:r>
      <w:bookmarkEnd w:id="377"/>
      <w:r w:rsidRPr="00796A9D">
        <w:rPr>
          <w:rFonts w:ascii="Times New Roman" w:hAnsi="Times New Roman" w:cs="Times New Roman"/>
        </w:rPr>
        <w:t xml:space="preserve">, pp. 61-62.  </w:t>
      </w:r>
    </w:p>
  </w:footnote>
  <w:footnote w:id="470">
    <w:p w14:paraId="1E952C9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Rare le notizie su Giovanni Antonio Corvini. Più abbondanti quelle sul </w:t>
      </w:r>
      <w:r w:rsidRPr="00796A9D">
        <w:rPr>
          <w:rFonts w:ascii="Times New Roman" w:hAnsi="Times New Roman" w:cs="Times New Roman"/>
          <w:i/>
        </w:rPr>
        <w:t>cursus honorum</w:t>
      </w:r>
      <w:r w:rsidRPr="00796A9D">
        <w:rPr>
          <w:rFonts w:ascii="Times New Roman" w:hAnsi="Times New Roman" w:cs="Times New Roman"/>
        </w:rPr>
        <w:t xml:space="preserve"> milanese di suo nonno, Giovanni che, giunto nella capitale del ducato da Arezzo, tra il 1412 e il 1438 vi svolse una brillante carriera in veste di diplomatico di Filippo Maria Visconti, maestro delle entrate e membro del Consiglio segreto. Fu inoltre eccellente collezionista di libri e copista in proprio, tanto da meritare la stima di alcuni tra gli umanisti più noti del suo tempo. Su di lui si veda R. </w:t>
      </w:r>
      <w:r w:rsidRPr="00796A9D">
        <w:rPr>
          <w:rFonts w:ascii="Times New Roman" w:hAnsi="Times New Roman" w:cs="Times New Roman"/>
          <w:smallCaps/>
        </w:rPr>
        <w:t>Ricciardi</w:t>
      </w:r>
      <w:r w:rsidRPr="00796A9D">
        <w:rPr>
          <w:rFonts w:ascii="Times New Roman" w:hAnsi="Times New Roman" w:cs="Times New Roman"/>
        </w:rPr>
        <w:t xml:space="preserve">, s.v. </w:t>
      </w:r>
      <w:r w:rsidRPr="00796A9D">
        <w:rPr>
          <w:rFonts w:ascii="Times New Roman" w:hAnsi="Times New Roman" w:cs="Times New Roman"/>
          <w:i/>
        </w:rPr>
        <w:t>Corvini, Giovanni</w:t>
      </w:r>
      <w:r w:rsidRPr="00796A9D">
        <w:rPr>
          <w:rFonts w:ascii="Times New Roman" w:hAnsi="Times New Roman" w:cs="Times New Roman"/>
        </w:rPr>
        <w:t>, DBI, 1983, vol. XXIX, pp. 828-832.</w:t>
      </w:r>
    </w:p>
  </w:footnote>
  <w:footnote w:id="471">
    <w:p w14:paraId="5BDCFEF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fondazione del Monte di Pietà fu promossa dal francescano Beato Michele Carcano, consigliere e confessore di Bianca Maria Sforza. Gli ordinamenti del Monte furono però approvati solo nel 1497 da Ludovico il Moro. In base ad essi, i dodici presidenti preposti alla gestione venivano scelti, per nobiltà e rappresentanza territoriale delle porte cittadine, tra le persone esperte nel governo dei luoghi pii. Tra essi erano eletti il Priore, che presiedeva il collegio, e il tesoriere. Cfr. </w:t>
      </w:r>
      <w:r w:rsidRPr="00796A9D">
        <w:rPr>
          <w:rFonts w:ascii="Times New Roman" w:hAnsi="Times New Roman" w:cs="Times New Roman"/>
          <w:i/>
        </w:rPr>
        <w:t>Monte di credito su pegno di Milano. Cenni storici</w:t>
      </w:r>
      <w:r w:rsidRPr="00796A9D">
        <w:rPr>
          <w:rFonts w:ascii="Times New Roman" w:hAnsi="Times New Roman" w:cs="Times New Roman"/>
        </w:rPr>
        <w:t xml:space="preserve">. Roma, Associazione Bancaria Italiana, 1956.   </w:t>
      </w:r>
    </w:p>
  </w:footnote>
  <w:footnote w:id="472">
    <w:p w14:paraId="482F111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Non si trova segnalazione di titoli da lui pubblicati né in ISTC né in F. ARGELATI, </w:t>
      </w:r>
      <w:r w:rsidRPr="00796A9D">
        <w:rPr>
          <w:rFonts w:ascii="Times New Roman" w:hAnsi="Times New Roman" w:cs="Times New Roman"/>
          <w:i/>
        </w:rPr>
        <w:t>Bibliotheca scriptorum mediolanensium, seu acta, et elogia virorum omnigena eruditione illustrium, qui in metropoli Insubriae, oppidisque circumjacentibus orti sunt</w:t>
      </w:r>
      <w:r w:rsidRPr="00796A9D">
        <w:rPr>
          <w:rFonts w:ascii="Times New Roman" w:hAnsi="Times New Roman" w:cs="Times New Roman"/>
        </w:rPr>
        <w:t>, praemittitur Josephi Antonii Saxii Historia literario-typographica mediolanensis ab anno MCCCLXV ad annum MD nunc primum edita.</w:t>
      </w:r>
    </w:p>
  </w:footnote>
  <w:footnote w:id="473">
    <w:p w14:paraId="50AF8FB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 scheda bibliografica dell’</w:t>
      </w:r>
      <w:r w:rsidRPr="00796A9D">
        <w:rPr>
          <w:rFonts w:ascii="Times New Roman" w:hAnsi="Times New Roman" w:cs="Times New Roman"/>
          <w:i/>
        </w:rPr>
        <w:t>Ordine</w:t>
      </w:r>
      <w:r w:rsidRPr="00796A9D">
        <w:rPr>
          <w:rFonts w:ascii="Times New Roman" w:hAnsi="Times New Roman" w:cs="Times New Roman"/>
        </w:rPr>
        <w:t xml:space="preserve"> del banchetto di Tortona è reperibile nel </w:t>
      </w:r>
      <w:r w:rsidRPr="00796A9D">
        <w:rPr>
          <w:rFonts w:ascii="Times New Roman" w:hAnsi="Times New Roman" w:cs="Times New Roman"/>
          <w:i/>
        </w:rPr>
        <w:t>Catalogo del fondo italiano e latino delle opere di gastronomia sec XIV-XIX</w:t>
      </w:r>
      <w:r w:rsidRPr="00796A9D">
        <w:rPr>
          <w:rFonts w:ascii="Times New Roman" w:hAnsi="Times New Roman" w:cs="Times New Roman"/>
        </w:rPr>
        <w:t xml:space="preserve">, a cura di </w:t>
      </w:r>
      <w:r w:rsidRPr="00796A9D">
        <w:rPr>
          <w:rFonts w:ascii="Times New Roman" w:hAnsi="Times New Roman" w:cs="Times New Roman"/>
          <w:smallCaps/>
        </w:rPr>
        <w:t>O. Bagnasco</w:t>
      </w:r>
      <w:r w:rsidRPr="00796A9D">
        <w:rPr>
          <w:rFonts w:ascii="Times New Roman" w:hAnsi="Times New Roman" w:cs="Times New Roman"/>
        </w:rPr>
        <w:t xml:space="preserve">, Sorengo, Edizioni B.IN.G, 1994, vol. II, scheda 1404. Dal 2015, dopo la chiusura della Biblioteca, si sono purtroppo perse le tracce del libretto, posseduto da collezionasti privati. Per l’attribuzione della stampa vedi </w:t>
      </w:r>
      <w:r w:rsidRPr="00796A9D">
        <w:rPr>
          <w:rStyle w:val="Enfasigrassetto"/>
          <w:rFonts w:ascii="Times New Roman" w:hAnsi="Times New Roman" w:cs="Times New Roman"/>
          <w:b w:val="0"/>
          <w:color w:val="000000"/>
          <w:shd w:val="clear" w:color="auto" w:fill="FFFFFF"/>
        </w:rPr>
        <w:t xml:space="preserve">U. </w:t>
      </w:r>
      <w:r w:rsidRPr="00796A9D">
        <w:rPr>
          <w:rStyle w:val="Enfasigrassetto"/>
          <w:rFonts w:ascii="Times New Roman" w:hAnsi="Times New Roman" w:cs="Times New Roman"/>
          <w:b w:val="0"/>
          <w:smallCaps/>
          <w:color w:val="000000"/>
          <w:shd w:val="clear" w:color="auto" w:fill="FFFFFF"/>
        </w:rPr>
        <w:t>Rozzo</w:t>
      </w:r>
      <w:r w:rsidRPr="00796A9D">
        <w:rPr>
          <w:rStyle w:val="Enfasigrassetto"/>
          <w:rFonts w:ascii="Times New Roman" w:hAnsi="Times New Roman" w:cs="Times New Roman"/>
          <w:b w:val="0"/>
          <w:color w:val="000000"/>
          <w:shd w:val="clear" w:color="auto" w:fill="FFFFFF"/>
        </w:rPr>
        <w:t xml:space="preserve">, </w:t>
      </w:r>
      <w:r w:rsidRPr="00796A9D">
        <w:rPr>
          <w:rStyle w:val="Enfasigrassetto"/>
          <w:rFonts w:ascii="Times New Roman" w:hAnsi="Times New Roman" w:cs="Times New Roman"/>
          <w:b w:val="0"/>
          <w:i/>
          <w:color w:val="000000"/>
          <w:shd w:val="clear" w:color="auto" w:fill="FFFFFF"/>
        </w:rPr>
        <w:t>L’Ordine de le imbandisone per le nozze di Gian Galeazzo Sforza con Isabella d’Aragona</w:t>
      </w:r>
      <w:r w:rsidRPr="00796A9D">
        <w:rPr>
          <w:rStyle w:val="Enfasigrassetto"/>
          <w:rFonts w:ascii="Times New Roman" w:hAnsi="Times New Roman" w:cs="Times New Roman"/>
          <w:b w:val="0"/>
          <w:color w:val="000000"/>
          <w:shd w:val="clear" w:color="auto" w:fill="FFFFFF"/>
        </w:rPr>
        <w:t xml:space="preserve">, ‹‹Libri e documenti››, XIV, 1989, pp. 1-14. Dove si ipotizza che a comporre i versi sia stato il poeta Baldassarre Taccone, presente a Tortona nei giorni in cui il banchetto veniva imbandito appositamente per predisporre il testo da stampare. Sull’importanza di questo ricevimento per la storia dello spettacolo e della danza cfr. </w:t>
      </w:r>
      <w:r w:rsidRPr="00796A9D">
        <w:rPr>
          <w:rFonts w:ascii="Times New Roman" w:hAnsi="Times New Roman" w:cs="Times New Roman"/>
          <w:smallCaps/>
        </w:rPr>
        <w:t>E. Casini Ropa</w:t>
      </w:r>
      <w:r w:rsidRPr="00796A9D">
        <w:rPr>
          <w:rFonts w:ascii="Times New Roman" w:hAnsi="Times New Roman" w:cs="Times New Roman"/>
          <w:i/>
        </w:rPr>
        <w:t>, Il banchetto di Bergonzio Botta per le nozze di Isabella d’Aragona e Gian Galeazzo Sforza nel 1489: quando la storiografia si sostituisce alla storia</w:t>
      </w:r>
      <w:r w:rsidRPr="00796A9D">
        <w:rPr>
          <w:rFonts w:ascii="Times New Roman" w:hAnsi="Times New Roman" w:cs="Times New Roman"/>
        </w:rPr>
        <w:t xml:space="preserve">, in </w:t>
      </w:r>
      <w:r w:rsidRPr="00796A9D">
        <w:rPr>
          <w:rFonts w:ascii="Times New Roman" w:hAnsi="Times New Roman" w:cs="Times New Roman"/>
          <w:i/>
        </w:rPr>
        <w:t>Spettacoli conviviali dall’antichità classica alle corti italiane del ’400</w:t>
      </w:r>
      <w:r w:rsidRPr="00796A9D">
        <w:rPr>
          <w:rFonts w:ascii="Times New Roman" w:hAnsi="Times New Roman" w:cs="Times New Roman"/>
        </w:rPr>
        <w:t>, Atti del VII convegno di Studio del Centro studi sul teatro medioevale e rinascimentale (Viterbo 27-30 maggio 1982), Viterbo, Union Printing, 1983, pp. 291-306.</w:t>
      </w:r>
    </w:p>
  </w:footnote>
  <w:footnote w:id="474">
    <w:p w14:paraId="7A2A7DE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L’atto che sanciva questa promessa di nozze fu redatto il 26 settembre 1472 a Napoli dal notaio regio Antonio d’Aversa. Poiché gli sposi erano consanguinei fu necessario richiedere una dispensa papale, concessa da Sisto IV. L’alleanza tra la casata d’Aragona e i duchi di Milano era già stata suggellata, infatti, dalle nozze tra Ippolita Sforza e Alfonso d’Aragona nel 1465. Per un quadro più completo relativo all’importanza sul piano politico di questo matrimonio nell’Italia rinascimentale e per le trattative tra le corti di Milano e Napoli che lo definirono si veda </w:t>
      </w:r>
      <w:r w:rsidRPr="00796A9D">
        <w:rPr>
          <w:rFonts w:ascii="Times New Roman" w:hAnsi="Times New Roman" w:cs="Times New Roman"/>
          <w:smallCaps/>
        </w:rPr>
        <w:t>F.M. Vaglienti</w:t>
      </w:r>
      <w:r w:rsidRPr="00796A9D">
        <w:rPr>
          <w:rFonts w:ascii="Times New Roman" w:hAnsi="Times New Roman" w:cs="Times New Roman"/>
        </w:rPr>
        <w:t xml:space="preserve">, </w:t>
      </w:r>
      <w:r w:rsidRPr="00796A9D">
        <w:rPr>
          <w:rFonts w:ascii="Times New Roman" w:hAnsi="Times New Roman" w:cs="Times New Roman"/>
          <w:i/>
        </w:rPr>
        <w:t>«Governare, io donna». Isabella d’Aragona principessa delle due Italie</w:t>
      </w:r>
      <w:r w:rsidRPr="00796A9D">
        <w:rPr>
          <w:rFonts w:ascii="Times New Roman" w:hAnsi="Times New Roman" w:cs="Times New Roman"/>
        </w:rPr>
        <w:t xml:space="preserve">, in </w:t>
      </w:r>
      <w:r w:rsidRPr="00796A9D">
        <w:rPr>
          <w:rFonts w:ascii="Times New Roman" w:hAnsi="Times New Roman" w:cs="Times New Roman"/>
          <w:i/>
        </w:rPr>
        <w:t>«Con animo virile», Donne e potere nel Mezzogiorno medievale (secoli XI-XV)</w:t>
      </w:r>
      <w:r w:rsidRPr="00796A9D">
        <w:rPr>
          <w:rFonts w:ascii="Times New Roman" w:hAnsi="Times New Roman" w:cs="Times New Roman"/>
        </w:rPr>
        <w:t xml:space="preserve">, a cura di </w:t>
      </w:r>
      <w:r w:rsidRPr="00796A9D">
        <w:rPr>
          <w:rFonts w:ascii="Times New Roman" w:hAnsi="Times New Roman" w:cs="Times New Roman"/>
          <w:smallCaps/>
        </w:rPr>
        <w:t>P. Mainoni</w:t>
      </w:r>
      <w:r w:rsidRPr="00796A9D">
        <w:rPr>
          <w:rFonts w:ascii="Times New Roman" w:hAnsi="Times New Roman" w:cs="Times New Roman"/>
        </w:rPr>
        <w:t>, Roma, Viella, 2010, pp. 455-484.</w:t>
      </w:r>
    </w:p>
  </w:footnote>
  <w:footnote w:id="475">
    <w:p w14:paraId="4B2D2039" w14:textId="2F2E632F"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Dopo lunghe trattative, aggravate dal fatto che il Moro aveva lasciato trascorrere parecchio tempo </w:t>
      </w:r>
      <w:r>
        <w:rPr>
          <w:rFonts w:ascii="Times New Roman" w:hAnsi="Times New Roman" w:cs="Times New Roman"/>
        </w:rPr>
        <w:t xml:space="preserve">tra </w:t>
      </w:r>
      <w:r w:rsidRPr="00796A9D">
        <w:rPr>
          <w:rFonts w:ascii="Times New Roman" w:hAnsi="Times New Roman" w:cs="Times New Roman"/>
        </w:rPr>
        <w:t>l</w:t>
      </w:r>
      <w:r>
        <w:rPr>
          <w:rFonts w:ascii="Times New Roman" w:hAnsi="Times New Roman" w:cs="Times New Roman"/>
        </w:rPr>
        <w:t xml:space="preserve">a propria </w:t>
      </w:r>
      <w:r w:rsidRPr="00796A9D">
        <w:rPr>
          <w:rFonts w:ascii="Times New Roman" w:hAnsi="Times New Roman" w:cs="Times New Roman"/>
        </w:rPr>
        <w:t>assunzione della reggenza</w:t>
      </w:r>
      <w:r>
        <w:rPr>
          <w:rFonts w:ascii="Times New Roman" w:hAnsi="Times New Roman" w:cs="Times New Roman"/>
        </w:rPr>
        <w:t xml:space="preserve"> del ducato</w:t>
      </w:r>
      <w:r w:rsidRPr="00796A9D">
        <w:rPr>
          <w:rFonts w:ascii="Times New Roman" w:hAnsi="Times New Roman" w:cs="Times New Roman"/>
        </w:rPr>
        <w:t xml:space="preserve"> </w:t>
      </w:r>
      <w:r>
        <w:rPr>
          <w:rFonts w:ascii="Times New Roman" w:hAnsi="Times New Roman" w:cs="Times New Roman"/>
        </w:rPr>
        <w:t>e il</w:t>
      </w:r>
      <w:r w:rsidRPr="00796A9D">
        <w:rPr>
          <w:rFonts w:ascii="Times New Roman" w:hAnsi="Times New Roman" w:cs="Times New Roman"/>
        </w:rPr>
        <w:t xml:space="preserve"> concretizzarsi del matrimonio, si convenne </w:t>
      </w:r>
      <w:r>
        <w:rPr>
          <w:rFonts w:ascii="Times New Roman" w:hAnsi="Times New Roman" w:cs="Times New Roman"/>
        </w:rPr>
        <w:t>al</w:t>
      </w:r>
      <w:r w:rsidRPr="00796A9D">
        <w:rPr>
          <w:rFonts w:ascii="Times New Roman" w:hAnsi="Times New Roman" w:cs="Times New Roman"/>
        </w:rPr>
        <w:t>la cifra di 100.000 ducati per la dote di Isabella. Di questi, 80.000 sarebbero stati versati subito dopo lo sposalizio, mentre altri 20.000 entro l’anno successivo. Cfr</w:t>
      </w:r>
      <w:r w:rsidRPr="00796A9D">
        <w:rPr>
          <w:rFonts w:ascii="Times New Roman" w:hAnsi="Times New Roman" w:cs="Times New Roman"/>
          <w:smallCaps/>
        </w:rPr>
        <w:t xml:space="preserve">. </w:t>
      </w:r>
      <w:bookmarkStart w:id="378" w:name="_Hlk526371487"/>
      <w:r w:rsidRPr="00796A9D">
        <w:rPr>
          <w:rFonts w:ascii="Times New Roman" w:hAnsi="Times New Roman" w:cs="Times New Roman"/>
          <w:smallCaps/>
        </w:rPr>
        <w:t>G. Lopez</w:t>
      </w:r>
      <w:r w:rsidRPr="00796A9D">
        <w:rPr>
          <w:rFonts w:ascii="Times New Roman" w:hAnsi="Times New Roman" w:cs="Times New Roman"/>
        </w:rPr>
        <w:t xml:space="preserve">, F. </w:t>
      </w:r>
      <w:r w:rsidRPr="00796A9D">
        <w:rPr>
          <w:rFonts w:ascii="Times New Roman" w:hAnsi="Times New Roman" w:cs="Times New Roman"/>
          <w:smallCaps/>
        </w:rPr>
        <w:t>dell’Acqua, L. Grassi</w:t>
      </w:r>
      <w:r w:rsidR="0014149C">
        <w:rPr>
          <w:rFonts w:ascii="Times New Roman" w:hAnsi="Times New Roman" w:cs="Times New Roman"/>
          <w:smallCaps/>
        </w:rPr>
        <w:t>,</w:t>
      </w:r>
      <w:r w:rsidRPr="00796A9D">
        <w:rPr>
          <w:rFonts w:ascii="Times New Roman" w:hAnsi="Times New Roman" w:cs="Times New Roman"/>
          <w:smallCaps/>
        </w:rPr>
        <w:t xml:space="preserve"> G. Bologna</w:t>
      </w:r>
      <w:r w:rsidRPr="00796A9D">
        <w:rPr>
          <w:rFonts w:ascii="Times New Roman" w:hAnsi="Times New Roman" w:cs="Times New Roman"/>
        </w:rPr>
        <w:t xml:space="preserve">, </w:t>
      </w:r>
      <w:r w:rsidRPr="00796A9D">
        <w:rPr>
          <w:rFonts w:ascii="Times New Roman" w:hAnsi="Times New Roman" w:cs="Times New Roman"/>
          <w:i/>
        </w:rPr>
        <w:t>Gli Sforza a Milano</w:t>
      </w:r>
      <w:r w:rsidRPr="00796A9D">
        <w:rPr>
          <w:rFonts w:ascii="Times New Roman" w:hAnsi="Times New Roman" w:cs="Times New Roman"/>
        </w:rPr>
        <w:t>, Milano, Fondazione Cariplo, 1978</w:t>
      </w:r>
      <w:bookmarkEnd w:id="378"/>
      <w:r w:rsidRPr="00796A9D">
        <w:rPr>
          <w:rFonts w:ascii="Times New Roman" w:hAnsi="Times New Roman" w:cs="Times New Roman"/>
        </w:rPr>
        <w:t>, p. 60.</w:t>
      </w:r>
    </w:p>
  </w:footnote>
  <w:footnote w:id="476">
    <w:p w14:paraId="1D39F6C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delegazione milanese viaggiò a bordo di sei galee. Limitandoci qui a segnalare soltanto la presenza di personaggi legati al mondo degli spettacoli di corte e dell’editoria, sarà bene ricordare tra i membri della spedizione i conti Gian Francesco Sanseverino e Vitaliano Borromeo, il vescovo di Como Antonio Trivulzio, che pronunciò l’orazione ufficiale, e i poeti Bernardo Bellincioni, Gasparo Visconti e Galeotto del Carretto. Cfr. </w:t>
      </w:r>
      <w:r w:rsidRPr="00796A9D">
        <w:rPr>
          <w:rFonts w:ascii="Times New Roman" w:hAnsi="Times New Roman" w:cs="Times New Roman"/>
          <w:smallCaps/>
        </w:rPr>
        <w:t>F. M. Vaglienti</w:t>
      </w:r>
      <w:r w:rsidRPr="00796A9D">
        <w:rPr>
          <w:rFonts w:ascii="Times New Roman" w:hAnsi="Times New Roman" w:cs="Times New Roman"/>
        </w:rPr>
        <w:t xml:space="preserve">, s.v. </w:t>
      </w:r>
      <w:r w:rsidRPr="00796A9D">
        <w:rPr>
          <w:rFonts w:ascii="Times New Roman" w:hAnsi="Times New Roman" w:cs="Times New Roman"/>
          <w:i/>
        </w:rPr>
        <w:t>Isabella d’Aragona</w:t>
      </w:r>
      <w:r w:rsidRPr="00796A9D">
        <w:rPr>
          <w:rFonts w:ascii="Times New Roman" w:hAnsi="Times New Roman" w:cs="Times New Roman"/>
        </w:rPr>
        <w:t xml:space="preserve">, DBI, 2004, vol. LXII, pp. 609-615. </w:t>
      </w:r>
    </w:p>
  </w:footnote>
  <w:footnote w:id="477">
    <w:p w14:paraId="53BC5854" w14:textId="77777777" w:rsidR="00CF5CFB" w:rsidRPr="00796A9D" w:rsidRDefault="00CF5CFB" w:rsidP="00796A9D">
      <w:pPr>
        <w:pStyle w:val="Testonotaapidipagina"/>
        <w:jc w:val="both"/>
        <w:rPr>
          <w:rFonts w:ascii="Times New Roman" w:hAnsi="Times New Roman" w:cs="Times New Roman"/>
          <w:i/>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 viaggio di Isabella da Napoli a Milano, sull’incontro con i </w:t>
      </w:r>
      <w:r>
        <w:rPr>
          <w:rFonts w:ascii="Times New Roman" w:hAnsi="Times New Roman" w:cs="Times New Roman"/>
        </w:rPr>
        <w:t>c</w:t>
      </w:r>
      <w:r w:rsidRPr="00796A9D">
        <w:rPr>
          <w:rFonts w:ascii="Times New Roman" w:hAnsi="Times New Roman" w:cs="Times New Roman"/>
        </w:rPr>
        <w:t xml:space="preserve">ardinali Ascanio Sforza, Pietro de Fuso, Raffaele Riario e Giovanni Jacopo Sclafenate a Gaeta; con la delegazione fiorentina a Livorno; e sulle accoglienze tributate da Genova si veda </w:t>
      </w:r>
      <w:bookmarkStart w:id="379" w:name="_Hlk526371637"/>
      <w:r w:rsidRPr="00796A9D">
        <w:rPr>
          <w:rFonts w:ascii="Times New Roman" w:hAnsi="Times New Roman" w:cs="Times New Roman"/>
          <w:smallCaps/>
        </w:rPr>
        <w:t>T. Steinitz</w:t>
      </w:r>
      <w:r w:rsidRPr="00796A9D">
        <w:rPr>
          <w:rFonts w:ascii="Times New Roman" w:hAnsi="Times New Roman" w:cs="Times New Roman"/>
        </w:rPr>
        <w:t xml:space="preserve">, </w:t>
      </w:r>
      <w:r w:rsidRPr="00796A9D">
        <w:rPr>
          <w:rStyle w:val="Enfasicorsivo"/>
          <w:rFonts w:ascii="Times New Roman" w:hAnsi="Times New Roman" w:cs="Times New Roman"/>
        </w:rPr>
        <w:t xml:space="preserve">The voyage of Isabella d'Aragon from Naples to Milan, «Bibliothèque d’Humanisme et Renaissance», </w:t>
      </w:r>
      <w:r w:rsidRPr="00796A9D">
        <w:rPr>
          <w:rStyle w:val="Enfasicorsivo"/>
          <w:rFonts w:ascii="Times New Roman" w:hAnsi="Times New Roman" w:cs="Times New Roman"/>
          <w:i w:val="0"/>
        </w:rPr>
        <w:t xml:space="preserve">XXIII, 1961, pp. 17-33. </w:t>
      </w:r>
      <w:bookmarkEnd w:id="379"/>
    </w:p>
  </w:footnote>
  <w:footnote w:id="478">
    <w:p w14:paraId="7B955EE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città di Tortona e l’appoggio del suo vescovo diocesano, Giacomo Botta, fratello di Bergonzio e dal 1487 oratore del duca di Milano presso la sede pontificia, costituirono per il Moro un aiuto considerevole nelle prime fasi di conquista del potere. Nell’organizzazione del banchetto il Botta vedeva dunque una ulteriore possibilità per ribadire la propria alleanza con Ludovico, per il quale rivestirà l’importante incarico di maestro delle entrate. Cfr. R. </w:t>
      </w:r>
      <w:r w:rsidRPr="00796A9D">
        <w:rPr>
          <w:rFonts w:ascii="Times New Roman" w:hAnsi="Times New Roman" w:cs="Times New Roman"/>
          <w:smallCaps/>
        </w:rPr>
        <w:t>Zappelli</w:t>
      </w:r>
      <w:r w:rsidRPr="00796A9D">
        <w:rPr>
          <w:rFonts w:ascii="Times New Roman" w:hAnsi="Times New Roman" w:cs="Times New Roman"/>
        </w:rPr>
        <w:t xml:space="preserve">, s.v. </w:t>
      </w:r>
      <w:r w:rsidRPr="00796A9D">
        <w:rPr>
          <w:rFonts w:ascii="Times New Roman" w:hAnsi="Times New Roman" w:cs="Times New Roman"/>
          <w:i/>
        </w:rPr>
        <w:t>Bergonzio Botta</w:t>
      </w:r>
      <w:r w:rsidRPr="00796A9D">
        <w:rPr>
          <w:rFonts w:ascii="Times New Roman" w:hAnsi="Times New Roman" w:cs="Times New Roman"/>
        </w:rPr>
        <w:t>, DBI, 1971, vol. XIII, pp. 362-363.</w:t>
      </w:r>
    </w:p>
  </w:footnote>
  <w:footnote w:id="479">
    <w:p w14:paraId="2C670D0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smallCaps/>
        </w:rPr>
        <w:t xml:space="preserve"> T. Calco</w:t>
      </w:r>
      <w:r w:rsidRPr="00796A9D">
        <w:rPr>
          <w:rFonts w:ascii="Times New Roman" w:hAnsi="Times New Roman" w:cs="Times New Roman"/>
        </w:rPr>
        <w:t xml:space="preserve">, </w:t>
      </w:r>
      <w:r w:rsidRPr="00796A9D">
        <w:rPr>
          <w:rFonts w:ascii="Times New Roman" w:hAnsi="Times New Roman" w:cs="Times New Roman"/>
          <w:i/>
        </w:rPr>
        <w:t>Nuptiae mediolanensium Ducum</w:t>
      </w:r>
      <w:r w:rsidRPr="00796A9D">
        <w:rPr>
          <w:rFonts w:ascii="Times New Roman" w:hAnsi="Times New Roman" w:cs="Times New Roman"/>
        </w:rPr>
        <w:t xml:space="preserve">, in </w:t>
      </w:r>
      <w:r w:rsidRPr="00796A9D">
        <w:rPr>
          <w:rFonts w:ascii="Times New Roman" w:hAnsi="Times New Roman" w:cs="Times New Roman"/>
          <w:i/>
        </w:rPr>
        <w:t>Tristani Chalci Residua</w:t>
      </w:r>
      <w:r w:rsidRPr="00796A9D">
        <w:rPr>
          <w:rFonts w:ascii="Times New Roman" w:hAnsi="Times New Roman" w:cs="Times New Roman"/>
        </w:rPr>
        <w:t xml:space="preserve">, cit., pp. 65-85. A questa edizione facciamo riferimento per i passi citati. Della descrizione delle nozze sforzesche del 1489 si conserva un codicetto pergamenaceo presso la Biblioteca Ambrosiana, H 55 sup., recante solamente questo testo, con capilettera miniati e alcune giunte di mano dell’autore. Si tratta di aggiornamenti sull’avanzamento del </w:t>
      </w:r>
      <w:r w:rsidRPr="00796A9D">
        <w:rPr>
          <w:rFonts w:ascii="Times New Roman" w:hAnsi="Times New Roman" w:cs="Times New Roman"/>
          <w:i/>
        </w:rPr>
        <w:t>cursus honorum</w:t>
      </w:r>
      <w:r w:rsidRPr="00796A9D">
        <w:rPr>
          <w:rFonts w:ascii="Times New Roman" w:hAnsi="Times New Roman" w:cs="Times New Roman"/>
        </w:rPr>
        <w:t xml:space="preserve"> dei presuli Fabrizio Marlian</w:t>
      </w:r>
      <w:r>
        <w:rPr>
          <w:rFonts w:ascii="Times New Roman" w:hAnsi="Times New Roman" w:cs="Times New Roman"/>
        </w:rPr>
        <w:t>i</w:t>
      </w:r>
      <w:r w:rsidRPr="00796A9D">
        <w:rPr>
          <w:rFonts w:ascii="Times New Roman" w:hAnsi="Times New Roman" w:cs="Times New Roman"/>
        </w:rPr>
        <w:t xml:space="preserve"> e Federico Sanseverino ivi citati. Si veda F. </w:t>
      </w:r>
      <w:r w:rsidRPr="00796A9D">
        <w:rPr>
          <w:rFonts w:ascii="Times New Roman" w:hAnsi="Times New Roman" w:cs="Times New Roman"/>
          <w:smallCaps/>
        </w:rPr>
        <w:t>Petrucci</w:t>
      </w:r>
      <w:r w:rsidRPr="00796A9D">
        <w:rPr>
          <w:rFonts w:ascii="Times New Roman" w:hAnsi="Times New Roman" w:cs="Times New Roman"/>
        </w:rPr>
        <w:t xml:space="preserve">, s. v. </w:t>
      </w:r>
      <w:r w:rsidRPr="00796A9D">
        <w:rPr>
          <w:rFonts w:ascii="Times New Roman" w:hAnsi="Times New Roman" w:cs="Times New Roman"/>
          <w:i/>
        </w:rPr>
        <w:t>Calco, Tristano</w:t>
      </w:r>
      <w:r w:rsidRPr="00796A9D">
        <w:rPr>
          <w:rFonts w:ascii="Times New Roman" w:hAnsi="Times New Roman" w:cs="Times New Roman"/>
        </w:rPr>
        <w:t xml:space="preserve">, DBI, 1973, vol. XVI, pp. 537-541. Per un inquadramento della sua figura di storiografo rinvio a S. </w:t>
      </w:r>
      <w:r w:rsidRPr="00796A9D">
        <w:rPr>
          <w:rFonts w:ascii="Times New Roman" w:hAnsi="Times New Roman" w:cs="Times New Roman"/>
          <w:smallCaps/>
        </w:rPr>
        <w:t>Meschini</w:t>
      </w:r>
      <w:r w:rsidRPr="00796A9D">
        <w:rPr>
          <w:rFonts w:ascii="Times New Roman" w:hAnsi="Times New Roman" w:cs="Times New Roman"/>
        </w:rPr>
        <w:t xml:space="preserve">, </w:t>
      </w:r>
      <w:r w:rsidRPr="00796A9D">
        <w:rPr>
          <w:rFonts w:ascii="Times New Roman" w:hAnsi="Times New Roman" w:cs="Times New Roman"/>
          <w:i/>
        </w:rPr>
        <w:t>Bernardo Corio e le fonti della Storia di Milano,</w:t>
      </w:r>
      <w:r w:rsidRPr="00796A9D">
        <w:rPr>
          <w:rFonts w:ascii="Times New Roman" w:hAnsi="Times New Roman" w:cs="Times New Roman"/>
        </w:rPr>
        <w:t xml:space="preserve"> cit., pp. 29-52.</w:t>
      </w:r>
    </w:p>
  </w:footnote>
  <w:footnote w:id="480">
    <w:p w14:paraId="086B8D1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Anonimo</w:t>
      </w:r>
      <w:r w:rsidRPr="00796A9D">
        <w:rPr>
          <w:rFonts w:ascii="Times New Roman" w:hAnsi="Times New Roman" w:cs="Times New Roman"/>
        </w:rPr>
        <w:t xml:space="preserve">, </w:t>
      </w:r>
      <w:r w:rsidRPr="00796A9D">
        <w:rPr>
          <w:rFonts w:ascii="Times New Roman" w:hAnsi="Times New Roman" w:cs="Times New Roman"/>
          <w:i/>
        </w:rPr>
        <w:t>Descriptione de l’ordine et feste celebrate in le noze delo illustrissimo Zoanne Galeaz Duca de Milano</w:t>
      </w:r>
      <w:r w:rsidRPr="00796A9D">
        <w:rPr>
          <w:rFonts w:ascii="Times New Roman" w:hAnsi="Times New Roman" w:cs="Times New Roman"/>
        </w:rPr>
        <w:t xml:space="preserve">. Parigi, Bibliothéque Nationale de France, Ms. It. 1592, pubblicata per la prima volta nella nostra </w:t>
      </w:r>
      <w:r w:rsidRPr="00796A9D">
        <w:rPr>
          <w:rFonts w:ascii="Times New Roman" w:hAnsi="Times New Roman" w:cs="Times New Roman"/>
          <w:i/>
        </w:rPr>
        <w:t>Appendice</w:t>
      </w:r>
      <w:r w:rsidRPr="00796A9D">
        <w:rPr>
          <w:rFonts w:ascii="Times New Roman" w:hAnsi="Times New Roman" w:cs="Times New Roman"/>
        </w:rPr>
        <w:t xml:space="preserve"> </w:t>
      </w:r>
      <w:r w:rsidRPr="00796A9D">
        <w:rPr>
          <w:rFonts w:ascii="Times New Roman" w:hAnsi="Times New Roman" w:cs="Times New Roman"/>
          <w:i/>
        </w:rPr>
        <w:t>III</w:t>
      </w:r>
      <w:r w:rsidRPr="00796A9D">
        <w:rPr>
          <w:rFonts w:ascii="Times New Roman" w:hAnsi="Times New Roman" w:cs="Times New Roman"/>
        </w:rPr>
        <w:t xml:space="preserve">, documento n. 4. Da questa sono tratte le citazioni qui impiegate. Un’edizione parziale ne venne data in </w:t>
      </w:r>
      <w:r w:rsidRPr="00796A9D">
        <w:rPr>
          <w:rFonts w:ascii="Times New Roman" w:hAnsi="Times New Roman" w:cs="Times New Roman"/>
          <w:smallCaps/>
        </w:rPr>
        <w:t>G. Giulini</w:t>
      </w:r>
      <w:r w:rsidRPr="00796A9D">
        <w:rPr>
          <w:rFonts w:ascii="Times New Roman" w:hAnsi="Times New Roman" w:cs="Times New Roman"/>
        </w:rPr>
        <w:t xml:space="preserve">, </w:t>
      </w:r>
      <w:r w:rsidRPr="00796A9D">
        <w:rPr>
          <w:rFonts w:ascii="Times New Roman" w:hAnsi="Times New Roman" w:cs="Times New Roman"/>
          <w:i/>
        </w:rPr>
        <w:t>Memorie spettanti alla storia, al governo ed alla descrizione della città e della campagna di Milano ne' secoli bassi</w:t>
      </w:r>
      <w:r w:rsidRPr="00796A9D">
        <w:rPr>
          <w:rFonts w:ascii="Times New Roman" w:hAnsi="Times New Roman" w:cs="Times New Roman"/>
        </w:rPr>
        <w:t>, Milano, Francesco Colombo Librajo, 1857, vol. I, p. 649.</w:t>
      </w:r>
    </w:p>
  </w:footnote>
  <w:footnote w:id="481">
    <w:p w14:paraId="2110E3D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Milano, Biblioteca Ambrosiana, ms. 133 Sup., ff. 134r-139v. Edito in </w:t>
      </w:r>
      <w:bookmarkStart w:id="381" w:name="_Hlk526398263"/>
      <w:r w:rsidRPr="00796A9D">
        <w:rPr>
          <w:rFonts w:ascii="Times New Roman" w:hAnsi="Times New Roman" w:cs="Times New Roman"/>
          <w:smallCaps/>
        </w:rPr>
        <w:t>P. Bondioli</w:t>
      </w:r>
      <w:r w:rsidRPr="00796A9D">
        <w:rPr>
          <w:rFonts w:ascii="Times New Roman" w:hAnsi="Times New Roman" w:cs="Times New Roman"/>
        </w:rPr>
        <w:t xml:space="preserve">, </w:t>
      </w:r>
      <w:r w:rsidRPr="00796A9D">
        <w:rPr>
          <w:rFonts w:ascii="Times New Roman" w:hAnsi="Times New Roman" w:cs="Times New Roman"/>
          <w:i/>
        </w:rPr>
        <w:t>Un poeta bustese alle nozze di Gian Galeazzo Sforza e Isabella d'Aragona</w:t>
      </w:r>
      <w:r w:rsidRPr="00796A9D">
        <w:rPr>
          <w:rFonts w:ascii="Times New Roman" w:hAnsi="Times New Roman" w:cs="Times New Roman"/>
        </w:rPr>
        <w:t>, Busto Arsizio, Nozze Monaco-Milani, 1927</w:t>
      </w:r>
      <w:bookmarkEnd w:id="381"/>
      <w:r w:rsidRPr="00796A9D">
        <w:rPr>
          <w:rFonts w:ascii="Times New Roman" w:hAnsi="Times New Roman" w:cs="Times New Roman"/>
        </w:rPr>
        <w:t xml:space="preserve">, dalla quale si cita qui il testo. Riguardo il poeta e la sua attività di docente di latino tra Busto Arsizio e Legnano si veda </w:t>
      </w:r>
      <w:bookmarkStart w:id="382" w:name="_Hlk526398365"/>
      <w:r w:rsidRPr="00796A9D">
        <w:rPr>
          <w:rFonts w:ascii="Times New Roman" w:hAnsi="Times New Roman" w:cs="Times New Roman"/>
          <w:smallCaps/>
        </w:rPr>
        <w:t>L. Marzorati, G. Rimoldi</w:t>
      </w:r>
      <w:r w:rsidRPr="00796A9D">
        <w:rPr>
          <w:rFonts w:ascii="Times New Roman" w:hAnsi="Times New Roman" w:cs="Times New Roman"/>
        </w:rPr>
        <w:t xml:space="preserve">, </w:t>
      </w:r>
      <w:r w:rsidRPr="00796A9D">
        <w:rPr>
          <w:rFonts w:ascii="Times New Roman" w:hAnsi="Times New Roman" w:cs="Times New Roman"/>
          <w:i/>
        </w:rPr>
        <w:t>Gian Alberto Bossi e i Vascones: figure e testimonianze di un cenacolo umanistico-gaudente nella Busto Arsizio di inizio Cinquecento</w:t>
      </w:r>
      <w:r w:rsidRPr="00796A9D">
        <w:rPr>
          <w:rFonts w:ascii="Times New Roman" w:hAnsi="Times New Roman" w:cs="Times New Roman"/>
        </w:rPr>
        <w:t>, Busto Arsizio, Freeman, 2005.</w:t>
      </w:r>
    </w:p>
    <w:bookmarkEnd w:id="382"/>
  </w:footnote>
  <w:footnote w:id="482">
    <w:p w14:paraId="20011D8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maggior riconoscimento dell’abilità di storiografo di Tristano si ebbe nel 1496, quando in seguito alla morte di Giorgio Merula, ricevette dal Moro l’incarico di completare l</w:t>
      </w:r>
      <w:r w:rsidRPr="00796A9D">
        <w:rPr>
          <w:rFonts w:ascii="Times New Roman" w:hAnsi="Times New Roman" w:cs="Times New Roman"/>
          <w:i/>
        </w:rPr>
        <w:t>’Historia Vicecomitum</w:t>
      </w:r>
      <w:r w:rsidRPr="00796A9D">
        <w:rPr>
          <w:rFonts w:ascii="Times New Roman" w:hAnsi="Times New Roman" w:cs="Times New Roman"/>
        </w:rPr>
        <w:t xml:space="preserve"> dello studioso alessandrino. Tale committenza, di cui Calco stravolse completamente l’impianto avviando un nuovo progetto di lavoro, fu sollecitata dall’ambasciatore ferrarese Giacomo Trotti e dallo zio Bartolomeo, definito nella prefatoria all’opera</w:t>
      </w:r>
      <w:r w:rsidRPr="00796A9D">
        <w:rPr>
          <w:rFonts w:ascii="Times New Roman" w:hAnsi="Times New Roman" w:cs="Times New Roman"/>
          <w:vertAlign w:val="superscript"/>
        </w:rPr>
        <w:t xml:space="preserve"> </w:t>
      </w:r>
      <w:r w:rsidRPr="00796A9D">
        <w:rPr>
          <w:rStyle w:val="Rimandonotaapidipagina"/>
          <w:rFonts w:ascii="Times New Roman" w:hAnsi="Times New Roman" w:cs="Times New Roman"/>
        </w:rPr>
        <w:t>«</w:t>
      </w:r>
      <w:r w:rsidRPr="00796A9D">
        <w:rPr>
          <w:rFonts w:ascii="Times New Roman" w:hAnsi="Times New Roman" w:cs="Times New Roman"/>
          <w:i/>
        </w:rPr>
        <w:t>familiae nostrae decus et dignitatis meae auctor</w:t>
      </w:r>
      <w:r w:rsidRPr="00796A9D">
        <w:rPr>
          <w:rFonts w:ascii="Times New Roman" w:hAnsi="Times New Roman" w:cs="Times New Roman"/>
        </w:rPr>
        <w:t xml:space="preserve">». Per il testo completo dell’introduzione ai </w:t>
      </w:r>
      <w:r w:rsidRPr="00796A9D">
        <w:rPr>
          <w:rFonts w:ascii="Times New Roman" w:hAnsi="Times New Roman" w:cs="Times New Roman"/>
          <w:i/>
        </w:rPr>
        <w:t>Mediolanensis historiae libri XX</w:t>
      </w:r>
      <w:r w:rsidRPr="00796A9D">
        <w:rPr>
          <w:rFonts w:ascii="Times New Roman" w:hAnsi="Times New Roman" w:cs="Times New Roman"/>
        </w:rPr>
        <w:t xml:space="preserve">, per la variazione del loro programma compositivo e per il metodo di ricerca promosso da Calco si veda </w:t>
      </w:r>
      <w:r w:rsidRPr="00796A9D">
        <w:rPr>
          <w:rFonts w:ascii="Times New Roman" w:hAnsi="Times New Roman" w:cs="Times New Roman"/>
          <w:smallCaps/>
        </w:rPr>
        <w:t>G. M. Anselmi</w:t>
      </w:r>
      <w:r w:rsidRPr="00796A9D">
        <w:rPr>
          <w:rFonts w:ascii="Times New Roman" w:hAnsi="Times New Roman" w:cs="Times New Roman"/>
        </w:rPr>
        <w:t xml:space="preserve">, </w:t>
      </w:r>
      <w:r w:rsidRPr="00796A9D">
        <w:rPr>
          <w:rFonts w:ascii="Times New Roman" w:hAnsi="Times New Roman" w:cs="Times New Roman"/>
          <w:i/>
        </w:rPr>
        <w:t>Tra Pontano, Rucellai e Calco</w:t>
      </w:r>
      <w:r w:rsidRPr="00796A9D">
        <w:rPr>
          <w:rFonts w:ascii="Times New Roman" w:hAnsi="Times New Roman" w:cs="Times New Roman"/>
        </w:rPr>
        <w:t>, cit., pp. 323-332.</w:t>
      </w:r>
    </w:p>
  </w:footnote>
  <w:footnote w:id="483">
    <w:p w14:paraId="65D5770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Faccio riferimento alla numerazione dei paragrafi della mia edizione delle </w:t>
      </w:r>
      <w:r w:rsidRPr="00796A9D">
        <w:rPr>
          <w:rFonts w:ascii="Times New Roman" w:hAnsi="Times New Roman" w:cs="Times New Roman"/>
          <w:i/>
        </w:rPr>
        <w:t>Nuptiae Illustrissimi Ducis Mediolani</w:t>
      </w:r>
      <w:r w:rsidRPr="00796A9D">
        <w:rPr>
          <w:rFonts w:ascii="Times New Roman" w:hAnsi="Times New Roman" w:cs="Times New Roman"/>
        </w:rPr>
        <w:t xml:space="preserve"> di Stefano Dolcino qui pubblicata nell’</w:t>
      </w:r>
      <w:r w:rsidRPr="00796A9D">
        <w:rPr>
          <w:rFonts w:ascii="Times New Roman" w:hAnsi="Times New Roman" w:cs="Times New Roman"/>
          <w:i/>
        </w:rPr>
        <w:t>Appendice II</w:t>
      </w:r>
      <w:r w:rsidRPr="00796A9D">
        <w:rPr>
          <w:rFonts w:ascii="Times New Roman" w:hAnsi="Times New Roman" w:cs="Times New Roman"/>
        </w:rPr>
        <w:t xml:space="preserve">. Si rinvia al suo apparato critico per i raffronti testuali con le </w:t>
      </w:r>
      <w:r w:rsidRPr="00796A9D">
        <w:rPr>
          <w:rFonts w:ascii="Times New Roman" w:hAnsi="Times New Roman" w:cs="Times New Roman"/>
          <w:i/>
        </w:rPr>
        <w:t xml:space="preserve">Nuptiae Bentivolorum </w:t>
      </w:r>
      <w:r w:rsidRPr="00796A9D">
        <w:rPr>
          <w:rFonts w:ascii="Times New Roman" w:hAnsi="Times New Roman" w:cs="Times New Roman"/>
        </w:rPr>
        <w:t xml:space="preserve">di Beroaldo. </w:t>
      </w:r>
    </w:p>
  </w:footnote>
  <w:footnote w:id="484">
    <w:p w14:paraId="494495A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vocabolario di Beroaldo, nelle </w:t>
      </w:r>
      <w:r w:rsidRPr="00796A9D">
        <w:rPr>
          <w:rFonts w:ascii="Times New Roman" w:hAnsi="Times New Roman" w:cs="Times New Roman"/>
          <w:i/>
        </w:rPr>
        <w:t>Nuptiae Bentivolorum</w:t>
      </w:r>
      <w:r w:rsidRPr="00796A9D">
        <w:rPr>
          <w:rFonts w:ascii="Times New Roman" w:hAnsi="Times New Roman" w:cs="Times New Roman"/>
        </w:rPr>
        <w:t xml:space="preserve">, effettivamente si distingue per l’impiego di molti termini inusuali, attinti all’età argentea della poesia e della prosa latina. Presso la Biblioteca Gambalunga di Rimini, un codice miscellaneo, SC-MS. 84, scritto in umanistica da un anonimo compilatore, riporta il testo della cronaca seguito da un elenco di </w:t>
      </w:r>
      <w:r w:rsidRPr="00796A9D">
        <w:rPr>
          <w:rFonts w:ascii="Times New Roman" w:hAnsi="Times New Roman" w:cs="Times New Roman"/>
          <w:i/>
        </w:rPr>
        <w:t>Vocabula enarrata que in libro Philippi continentur</w:t>
      </w:r>
      <w:r w:rsidRPr="00796A9D">
        <w:rPr>
          <w:rFonts w:ascii="Times New Roman" w:hAnsi="Times New Roman" w:cs="Times New Roman"/>
        </w:rPr>
        <w:t xml:space="preserve"> in cui l’estensore cerca di chiarire il significato di diversi tecnicismi usati dall’autore. Esso indica quanto la </w:t>
      </w:r>
      <w:r w:rsidRPr="00796A9D">
        <w:rPr>
          <w:rFonts w:ascii="Times New Roman" w:hAnsi="Times New Roman" w:cs="Times New Roman"/>
          <w:i/>
        </w:rPr>
        <w:t>varietas</w:t>
      </w:r>
      <w:r w:rsidRPr="00796A9D">
        <w:rPr>
          <w:rFonts w:ascii="Times New Roman" w:hAnsi="Times New Roman" w:cs="Times New Roman"/>
        </w:rPr>
        <w:t xml:space="preserve"> linguistica di un simile opuscolo potesse essere apprezzata dai colti lettori dell’epoca.   </w:t>
      </w:r>
    </w:p>
  </w:footnote>
  <w:footnote w:id="485">
    <w:p w14:paraId="672EB58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P. </w:t>
      </w:r>
      <w:r w:rsidRPr="00796A9D">
        <w:rPr>
          <w:rFonts w:ascii="Times New Roman" w:hAnsi="Times New Roman" w:cs="Times New Roman"/>
          <w:smallCaps/>
        </w:rPr>
        <w:t>Fazion</w:t>
      </w:r>
      <w:r w:rsidRPr="00796A9D">
        <w:rPr>
          <w:rFonts w:ascii="Times New Roman" w:hAnsi="Times New Roman" w:cs="Times New Roman"/>
        </w:rPr>
        <w:t xml:space="preserve">, </w:t>
      </w:r>
      <w:r w:rsidRPr="00796A9D">
        <w:rPr>
          <w:rFonts w:ascii="Times New Roman" w:hAnsi="Times New Roman" w:cs="Times New Roman"/>
          <w:i/>
        </w:rPr>
        <w:t>«Nuptiae Bentivolorum». La città in festa nel commento di Filippo Beroaldo</w:t>
      </w:r>
      <w:r w:rsidRPr="00796A9D">
        <w:rPr>
          <w:rFonts w:ascii="Times New Roman" w:hAnsi="Times New Roman" w:cs="Times New Roman"/>
        </w:rPr>
        <w:t xml:space="preserve">, cit., p. 118. In tale prospettiva l’identificazione dei nemici dei due umanisti perde quasi completamente valore, configurandosi come uno dei </w:t>
      </w:r>
      <w:r w:rsidRPr="00796A9D">
        <w:rPr>
          <w:rFonts w:ascii="Times New Roman" w:hAnsi="Times New Roman" w:cs="Times New Roman"/>
          <w:i/>
        </w:rPr>
        <w:t>cliché</w:t>
      </w:r>
      <w:r w:rsidRPr="00796A9D">
        <w:rPr>
          <w:rFonts w:ascii="Times New Roman" w:hAnsi="Times New Roman" w:cs="Times New Roman"/>
        </w:rPr>
        <w:t xml:space="preserve"> propri della stesura di prose encomiastiche. Sarebbe complicato, infatti, identificare gli avversari di Dolcino. Se non si accettasse che egli avesse voluto fare propri gli oppositori del maestro Giorgio Merula, bisognerebbe constatare come solo per un’opera successiva, il poemetto latino </w:t>
      </w:r>
      <w:r w:rsidRPr="00796A9D">
        <w:rPr>
          <w:rFonts w:ascii="Times New Roman" w:hAnsi="Times New Roman" w:cs="Times New Roman"/>
          <w:i/>
        </w:rPr>
        <w:t>Sirmio</w:t>
      </w:r>
      <w:r w:rsidRPr="00796A9D">
        <w:rPr>
          <w:rFonts w:ascii="Times New Roman" w:hAnsi="Times New Roman" w:cs="Times New Roman"/>
        </w:rPr>
        <w:t xml:space="preserve">, dedicato al Lago di Garda, sia noto uno sprezzante epigramma rivoltogli da Andrea Novagero.    </w:t>
      </w:r>
    </w:p>
  </w:footnote>
  <w:footnote w:id="486">
    <w:p w14:paraId="05F8132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Bernabò Visconti riadattò, ampliandoli e ammodernandoli, gli edifici fatti erigere da suo zio Luchino nei pressi della chiesa di San Giovanni in Conca. Dotandoli di lussureggianti giardini e di strade coperte e pontili di collegamento con la vicina Corte dell’Arengo e le fortificazioni di San Nazaro e Porta Romana, ne fece un complesso imponente e signorile, diretta espressione delle proprie mire sulla città. Galeazzo II, invece, promosse interventi di restauro dell’Arengo e la costruzione dei castelli di Porta Giovia, addossato alle mura settentrionali della città, e di Pavia, dove in seguito si trasferì insieme alla sua famiglia, su consiglio della moglie Bianca di Savoia, lasciando Milano nelle mani del fratello. Cfr. </w:t>
      </w:r>
      <w:r w:rsidRPr="00796A9D">
        <w:rPr>
          <w:rFonts w:ascii="Times New Roman" w:hAnsi="Times New Roman" w:cs="Times New Roman"/>
          <w:smallCaps/>
        </w:rPr>
        <w:t>M. N. Covini</w:t>
      </w:r>
      <w:r w:rsidRPr="00796A9D">
        <w:rPr>
          <w:rFonts w:ascii="Times New Roman" w:hAnsi="Times New Roman" w:cs="Times New Roman"/>
        </w:rPr>
        <w:t xml:space="preserve">, </w:t>
      </w:r>
      <w:r w:rsidRPr="00796A9D">
        <w:rPr>
          <w:rFonts w:ascii="Times New Roman" w:hAnsi="Times New Roman" w:cs="Times New Roman"/>
          <w:i/>
        </w:rPr>
        <w:t>Visibilità del principe e residenza aperta: la Corte dell’Arengo di Milano tra Visconti e Sforza</w:t>
      </w:r>
      <w:r w:rsidRPr="00796A9D">
        <w:rPr>
          <w:rFonts w:ascii="Times New Roman" w:hAnsi="Times New Roman" w:cs="Times New Roman"/>
        </w:rPr>
        <w:t xml:space="preserve">, in </w:t>
      </w:r>
      <w:r w:rsidRPr="00796A9D">
        <w:rPr>
          <w:rFonts w:ascii="Times New Roman" w:hAnsi="Times New Roman" w:cs="Times New Roman"/>
          <w:i/>
        </w:rPr>
        <w:t>Il principe invisibile</w:t>
      </w:r>
      <w:r w:rsidRPr="00796A9D">
        <w:rPr>
          <w:rFonts w:ascii="Times New Roman" w:hAnsi="Times New Roman" w:cs="Times New Roman"/>
        </w:rPr>
        <w:t xml:space="preserve">, a cura di </w:t>
      </w:r>
      <w:r w:rsidRPr="00796A9D">
        <w:rPr>
          <w:rFonts w:ascii="Times New Roman" w:hAnsi="Times New Roman" w:cs="Times New Roman"/>
          <w:smallCaps/>
        </w:rPr>
        <w:t>L. Bertolini, A. Calzona, G. M. Cantarella, S. Caroti</w:t>
      </w:r>
      <w:r w:rsidRPr="00796A9D">
        <w:rPr>
          <w:rFonts w:ascii="Times New Roman" w:hAnsi="Times New Roman" w:cs="Times New Roman"/>
        </w:rPr>
        <w:t xml:space="preserve">, Turnhout, Brepols, 2015, pp. 153-172. </w:t>
      </w:r>
    </w:p>
  </w:footnote>
  <w:footnote w:id="487">
    <w:p w14:paraId="1902AD3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data di fondazione della cattedrale, 1386, è attestata da una lapide in marmo rinvenuta presso la </w:t>
      </w:r>
      <w:r w:rsidRPr="00796A9D">
        <w:rPr>
          <w:rFonts w:ascii="Times New Roman" w:hAnsi="Times New Roman" w:cs="Times New Roman"/>
          <w:i/>
        </w:rPr>
        <w:t>cassina</w:t>
      </w:r>
      <w:r w:rsidRPr="00796A9D">
        <w:rPr>
          <w:rFonts w:ascii="Times New Roman" w:hAnsi="Times New Roman" w:cs="Times New Roman"/>
        </w:rPr>
        <w:t xml:space="preserve">, una rimessa nei pressi del Camposanto adibita a laboratorio degli scalpellini, e murata all’interno del tempio su delibera del Consiglio di Fabbrica del 18 giugno 1486. Del 12 maggio 1386 è invece la bolla con cui l’arcivescovo Antonio da Saluzzo, cugino di Gian Galeazzo Visconti, comunicando alla cittadinanza l’inizio dei lavori, esortava a donare offerte. La documentazione contenuta nei libri mastri della Fabbrica, per gli anni 1386-1389, è purtroppo perduta, tuttavia è noto il nome del primo </w:t>
      </w:r>
      <w:r w:rsidRPr="00796A9D">
        <w:rPr>
          <w:rFonts w:ascii="Times New Roman" w:hAnsi="Times New Roman" w:cs="Times New Roman"/>
          <w:i/>
        </w:rPr>
        <w:t>magister</w:t>
      </w:r>
      <w:r w:rsidRPr="00796A9D">
        <w:rPr>
          <w:rFonts w:ascii="Times New Roman" w:hAnsi="Times New Roman" w:cs="Times New Roman"/>
        </w:rPr>
        <w:t xml:space="preserve"> preposto al cantiere: Simone da Orsenigo. Cfr. </w:t>
      </w:r>
      <w:bookmarkStart w:id="383" w:name="_Hlk526399275"/>
      <w:r w:rsidRPr="00796A9D">
        <w:rPr>
          <w:rFonts w:ascii="Times New Roman" w:hAnsi="Times New Roman" w:cs="Times New Roman"/>
          <w:smallCaps/>
        </w:rPr>
        <w:t>M. Saltamacchia</w:t>
      </w:r>
      <w:r w:rsidRPr="00796A9D">
        <w:rPr>
          <w:rFonts w:ascii="Times New Roman" w:hAnsi="Times New Roman" w:cs="Times New Roman"/>
        </w:rPr>
        <w:t xml:space="preserve">, </w:t>
      </w:r>
      <w:r w:rsidRPr="00796A9D">
        <w:rPr>
          <w:rFonts w:ascii="Times New Roman" w:hAnsi="Times New Roman" w:cs="Times New Roman"/>
          <w:i/>
        </w:rPr>
        <w:t>Costruire cattedrali. Il popolo del Duomo di Milano</w:t>
      </w:r>
      <w:r w:rsidRPr="00796A9D">
        <w:rPr>
          <w:rFonts w:ascii="Times New Roman" w:hAnsi="Times New Roman" w:cs="Times New Roman"/>
        </w:rPr>
        <w:t>, Genova-Milano, Marietti, 2011</w:t>
      </w:r>
      <w:bookmarkEnd w:id="383"/>
      <w:r w:rsidRPr="00796A9D">
        <w:rPr>
          <w:rFonts w:ascii="Times New Roman" w:hAnsi="Times New Roman" w:cs="Times New Roman"/>
        </w:rPr>
        <w:t xml:space="preserve">, pp. 13-24. Sulle prime fasi dei lavori del Duomo e sul rapporto tra Gian Galeazzo e la Veneranda Fabbrica, tra pretese di patronato e ricerche di autonomia decisionale, si veda </w:t>
      </w:r>
      <w:bookmarkStart w:id="384" w:name="_Hlk526399377"/>
      <w:r w:rsidRPr="00796A9D">
        <w:rPr>
          <w:rFonts w:ascii="Times New Roman" w:hAnsi="Times New Roman" w:cs="Times New Roman"/>
          <w:smallCaps/>
        </w:rPr>
        <w:t>F. Tasso</w:t>
      </w:r>
      <w:r w:rsidRPr="00796A9D">
        <w:rPr>
          <w:rFonts w:ascii="Times New Roman" w:hAnsi="Times New Roman" w:cs="Times New Roman"/>
        </w:rPr>
        <w:t xml:space="preserve">, </w:t>
      </w:r>
      <w:r w:rsidRPr="00796A9D">
        <w:rPr>
          <w:rFonts w:ascii="Times New Roman" w:hAnsi="Times New Roman" w:cs="Times New Roman"/>
          <w:i/>
        </w:rPr>
        <w:t>Documenti sul Duomo e Gian Galeazzo Visconti tra ingegneri della cattedrale e artisti di corte</w:t>
      </w:r>
      <w:r w:rsidRPr="00796A9D">
        <w:rPr>
          <w:rFonts w:ascii="Times New Roman" w:hAnsi="Times New Roman" w:cs="Times New Roman"/>
        </w:rPr>
        <w:t xml:space="preserve">, in </w:t>
      </w:r>
      <w:r w:rsidRPr="00796A9D">
        <w:rPr>
          <w:rFonts w:ascii="Times New Roman" w:hAnsi="Times New Roman" w:cs="Times New Roman"/>
          <w:i/>
        </w:rPr>
        <w:t>Il Duomo di Milano</w:t>
      </w:r>
      <w:r w:rsidRPr="00796A9D">
        <w:rPr>
          <w:rFonts w:ascii="Times New Roman" w:hAnsi="Times New Roman" w:cs="Times New Roman"/>
        </w:rPr>
        <w:t xml:space="preserve">, a cura di </w:t>
      </w:r>
      <w:r w:rsidRPr="00796A9D">
        <w:rPr>
          <w:rFonts w:ascii="Times New Roman" w:hAnsi="Times New Roman" w:cs="Times New Roman"/>
          <w:smallCaps/>
        </w:rPr>
        <w:t>G. A. Sacchi Landriani, A. Robbiati Bianchi</w:t>
      </w:r>
      <w:r w:rsidRPr="00796A9D">
        <w:rPr>
          <w:rFonts w:ascii="Times New Roman" w:hAnsi="Times New Roman" w:cs="Times New Roman"/>
        </w:rPr>
        <w:t xml:space="preserve">, Istituto Lombardo di Scienze e Lettere, Milano, 2013, pp. 31-50. </w:t>
      </w:r>
      <w:bookmarkEnd w:id="384"/>
    </w:p>
  </w:footnote>
  <w:footnote w:id="488">
    <w:p w14:paraId="16BBAA6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volere del padre, Galeazzo II, Gian Galeazzo Visconti sposò nel 1360 Isabella di Valois, figlia del re di Francia, Giovanni II, che recò in dote la contea di Vertus, da cui il futuro duca trasse il titolo di Conte di Virtù. A sua volta, Gian Galeazzo Sforza era figlio di Galeazzo Maria Sforza, quinto duca di Milano, sulla cui sorte e cruenta scomparsa Dolcino omette ogni ragguaglio.   </w:t>
      </w:r>
    </w:p>
  </w:footnote>
  <w:footnote w:id="489">
    <w:p w14:paraId="3884738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lavori per la piazza di palazzo Bentivoglio furono affidati all’architetto Gaspare Nadi. Cfr. </w:t>
      </w:r>
      <w:bookmarkStart w:id="385" w:name="_Hlk526399540"/>
      <w:r w:rsidRPr="00796A9D">
        <w:rPr>
          <w:rFonts w:ascii="Times New Roman" w:hAnsi="Times New Roman" w:cs="Times New Roman"/>
        </w:rPr>
        <w:t xml:space="preserve">A. </w:t>
      </w:r>
      <w:r w:rsidRPr="00796A9D">
        <w:rPr>
          <w:rFonts w:ascii="Times New Roman" w:hAnsi="Times New Roman" w:cs="Times New Roman"/>
          <w:smallCaps/>
        </w:rPr>
        <w:t>Maurizzi</w:t>
      </w:r>
      <w:r w:rsidRPr="00796A9D">
        <w:rPr>
          <w:rFonts w:ascii="Times New Roman" w:hAnsi="Times New Roman" w:cs="Times New Roman"/>
        </w:rPr>
        <w:t xml:space="preserve">, </w:t>
      </w:r>
      <w:r w:rsidRPr="00796A9D">
        <w:rPr>
          <w:rFonts w:ascii="Times New Roman" w:hAnsi="Times New Roman" w:cs="Times New Roman"/>
          <w:i/>
        </w:rPr>
        <w:t>Bologna, 27 gennaio/2 febbraio 1487: il corteo trionfale e la fabula mitologica nelle nozze tra Annibale Bentivoglio e Lucrezia d’Este</w:t>
      </w:r>
      <w:r w:rsidRPr="00796A9D">
        <w:rPr>
          <w:rFonts w:ascii="Times New Roman" w:hAnsi="Times New Roman" w:cs="Times New Roman"/>
        </w:rPr>
        <w:t>, «Engramma», rivista online, 100, settembre−ottobre 2012, http://www.engramma.it/eOS/index.php?id_articolo=579, consultato il 6 ottobre 2018.</w:t>
      </w:r>
      <w:bookmarkEnd w:id="385"/>
    </w:p>
  </w:footnote>
  <w:footnote w:id="490">
    <w:p w14:paraId="4C50DA8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386" w:name="_Hlk526399628"/>
      <w:r w:rsidRPr="00796A9D">
        <w:rPr>
          <w:rFonts w:ascii="Times New Roman" w:hAnsi="Times New Roman" w:cs="Times New Roman"/>
          <w:smallCaps/>
        </w:rPr>
        <w:t>S. Bettini</w:t>
      </w:r>
      <w:r w:rsidRPr="00796A9D">
        <w:rPr>
          <w:rFonts w:ascii="Times New Roman" w:hAnsi="Times New Roman" w:cs="Times New Roman"/>
        </w:rPr>
        <w:t xml:space="preserve">, </w:t>
      </w:r>
      <w:r w:rsidRPr="00796A9D">
        <w:rPr>
          <w:rStyle w:val="Enfasicorsivo"/>
          <w:rFonts w:ascii="Times New Roman" w:hAnsi="Times New Roman" w:cs="Times New Roman"/>
        </w:rPr>
        <w:t>Politica e architettura al tempo di Giovanni II</w:t>
      </w:r>
      <w:r w:rsidRPr="00796A9D">
        <w:rPr>
          <w:rFonts w:ascii="Times New Roman" w:hAnsi="Times New Roman" w:cs="Times New Roman"/>
        </w:rPr>
        <w:t xml:space="preserve">, in </w:t>
      </w:r>
      <w:r w:rsidRPr="00796A9D">
        <w:rPr>
          <w:rStyle w:val="Enfasicorsivo"/>
          <w:rFonts w:ascii="Times New Roman" w:hAnsi="Times New Roman" w:cs="Times New Roman"/>
        </w:rPr>
        <w:t>Palazzo Ghisilardi. Il sogno rinascimentale di un notaio bolognese</w:t>
      </w:r>
      <w:r w:rsidRPr="00796A9D">
        <w:rPr>
          <w:rFonts w:ascii="Times New Roman" w:hAnsi="Times New Roman" w:cs="Times New Roman"/>
        </w:rPr>
        <w:t xml:space="preserve">, Bologna, Edisai, 2004, pp. 10-31. </w:t>
      </w:r>
      <w:bookmarkEnd w:id="386"/>
      <w:r w:rsidRPr="00796A9D">
        <w:rPr>
          <w:rFonts w:ascii="Times New Roman" w:hAnsi="Times New Roman" w:cs="Times New Roman"/>
        </w:rPr>
        <w:t xml:space="preserve">L’autore segnala come a Bologna un precedente dell’uso della festa al fine di esaltare la riuscita di un intervento di edilizia pubblica si fosse avuto con il torneo indetto da Giovanni II nell’ottobre del 1470, a conclusione dei lavori di pavimentazione e rettifica delle vie della città. </w:t>
      </w:r>
    </w:p>
  </w:footnote>
  <w:footnote w:id="491">
    <w:p w14:paraId="54DC811A" w14:textId="77777777" w:rsidR="00CF5CFB" w:rsidRPr="00796A9D" w:rsidRDefault="00CF5CFB" w:rsidP="00796A9D">
      <w:pPr>
        <w:spacing w:after="0" w:line="240" w:lineRule="auto"/>
        <w:jc w:val="both"/>
        <w:rPr>
          <w:rFonts w:ascii="Times New Roman" w:hAnsi="Times New Roman" w:cs="Times New Roman"/>
          <w:b/>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Tali criticità si osservano, per citare un solo esempio contemporaneo e della medesima area culturale milanese, nella lettera di </w:t>
      </w:r>
      <w:bookmarkStart w:id="387" w:name="_Hlk535946729"/>
      <w:r w:rsidRPr="00796A9D">
        <w:rPr>
          <w:rFonts w:ascii="Times New Roman" w:hAnsi="Times New Roman" w:cs="Times New Roman"/>
          <w:sz w:val="20"/>
          <w:szCs w:val="20"/>
        </w:rPr>
        <w:t xml:space="preserve">Giovanni II da Tolentino </w:t>
      </w:r>
      <w:bookmarkEnd w:id="387"/>
      <w:r w:rsidRPr="00796A9D">
        <w:rPr>
          <w:rFonts w:ascii="Times New Roman" w:hAnsi="Times New Roman" w:cs="Times New Roman"/>
          <w:sz w:val="20"/>
          <w:szCs w:val="20"/>
        </w:rPr>
        <w:t xml:space="preserve">al poeta Baldassarre Taccone del 20 novembre 1490 contenente la relazione di una visita a Roma e ai suoi monumenti. Essa è pubblicata in </w:t>
      </w:r>
      <w:r w:rsidRPr="00796A9D">
        <w:rPr>
          <w:rFonts w:ascii="Times New Roman" w:hAnsi="Times New Roman" w:cs="Times New Roman"/>
          <w:smallCaps/>
          <w:sz w:val="20"/>
          <w:szCs w:val="20"/>
        </w:rPr>
        <w:t>R. Schofield</w:t>
      </w:r>
      <w:r w:rsidRPr="00796A9D">
        <w:rPr>
          <w:rFonts w:ascii="Times New Roman" w:hAnsi="Times New Roman" w:cs="Times New Roman"/>
          <w:sz w:val="20"/>
          <w:szCs w:val="20"/>
        </w:rPr>
        <w:t xml:space="preserve">, </w:t>
      </w:r>
      <w:r w:rsidRPr="00796A9D">
        <w:rPr>
          <w:rFonts w:ascii="Times New Roman" w:hAnsi="Times New Roman" w:cs="Times New Roman"/>
          <w:i/>
          <w:iCs/>
          <w:sz w:val="20"/>
          <w:szCs w:val="20"/>
        </w:rPr>
        <w:t>Giovanni da Tolentino goes to Rome: a Description of the Antiquities of Rome in 1490</w:t>
      </w:r>
      <w:r w:rsidRPr="00796A9D">
        <w:rPr>
          <w:rFonts w:ascii="Times New Roman" w:hAnsi="Times New Roman" w:cs="Times New Roman"/>
          <w:sz w:val="20"/>
          <w:szCs w:val="20"/>
        </w:rPr>
        <w:t xml:space="preserve">, «Journal of the Warburg and Courtauld Institute», XLIII, 1980, pp. 246-256, dove lo studioso mette in luce le frequenti imprecisioni di Tolentino nell’identificazione dei siti archeologici e dei materiali costruttivi, dovute principalmente al desiderio di dare bella mostra delle proprie letture antiquarie.  </w:t>
      </w:r>
    </w:p>
  </w:footnote>
  <w:footnote w:id="492">
    <w:p w14:paraId="2A51994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Questa datazione tardiva era abbastanza diffusa alla fine del XV secolo, ed è attestata in due registri di fabbrica, l’uno del 1472-1475, l’altro del 1490-1512. </w:t>
      </w:r>
      <w:r>
        <w:rPr>
          <w:rFonts w:ascii="Times New Roman" w:hAnsi="Times New Roman" w:cs="Times New Roman"/>
        </w:rPr>
        <w:t>C</w:t>
      </w:r>
      <w:r w:rsidRPr="00796A9D">
        <w:rPr>
          <w:rFonts w:ascii="Times New Roman" w:hAnsi="Times New Roman" w:cs="Times New Roman"/>
        </w:rPr>
        <w:t>ontrasta però con l’ufficialità dell’iscrizione</w:t>
      </w:r>
      <w:r>
        <w:rPr>
          <w:rFonts w:ascii="Times New Roman" w:hAnsi="Times New Roman" w:cs="Times New Roman"/>
        </w:rPr>
        <w:t>,</w:t>
      </w:r>
      <w:r w:rsidRPr="00796A9D">
        <w:rPr>
          <w:rFonts w:ascii="Times New Roman" w:hAnsi="Times New Roman" w:cs="Times New Roman"/>
        </w:rPr>
        <w:t xml:space="preserve"> di cui già si è detto, oggi visibile nei pressi della tomba di Ariberto da Intimiano, e suffragata dal ritrovamento di alcuni mattoni destinati al Duomo recanti data 1386. Cfr. P. </w:t>
      </w:r>
      <w:r w:rsidRPr="00796A9D">
        <w:rPr>
          <w:rFonts w:ascii="Times New Roman" w:hAnsi="Times New Roman" w:cs="Times New Roman"/>
          <w:smallCaps/>
        </w:rPr>
        <w:t>Mezzanotte</w:t>
      </w:r>
      <w:r w:rsidRPr="00796A9D">
        <w:rPr>
          <w:rFonts w:ascii="Times New Roman" w:hAnsi="Times New Roman" w:cs="Times New Roman"/>
        </w:rPr>
        <w:t xml:space="preserve">, </w:t>
      </w:r>
      <w:r w:rsidRPr="00796A9D">
        <w:rPr>
          <w:rFonts w:ascii="Times New Roman" w:hAnsi="Times New Roman" w:cs="Times New Roman"/>
          <w:i/>
        </w:rPr>
        <w:t>Il Duomo</w:t>
      </w:r>
      <w:r w:rsidRPr="00796A9D">
        <w:rPr>
          <w:rFonts w:ascii="Times New Roman" w:hAnsi="Times New Roman" w:cs="Times New Roman"/>
        </w:rPr>
        <w:t xml:space="preserve">, in </w:t>
      </w:r>
      <w:r w:rsidRPr="00796A9D">
        <w:rPr>
          <w:rFonts w:ascii="Times New Roman" w:hAnsi="Times New Roman" w:cs="Times New Roman"/>
          <w:i/>
        </w:rPr>
        <w:t>Storia di Milano</w:t>
      </w:r>
      <w:r w:rsidRPr="00796A9D">
        <w:rPr>
          <w:rFonts w:ascii="Times New Roman" w:hAnsi="Times New Roman" w:cs="Times New Roman"/>
        </w:rPr>
        <w:t xml:space="preserve">, Milano, Treccani, 1956, vol. VI, pp. 864-866. Del resto, anche Donato Bosso, nella sua </w:t>
      </w:r>
      <w:r w:rsidRPr="00796A9D">
        <w:rPr>
          <w:rFonts w:ascii="Times New Roman" w:hAnsi="Times New Roman" w:cs="Times New Roman"/>
          <w:i/>
        </w:rPr>
        <w:t>Chronica</w:t>
      </w:r>
      <w:r w:rsidRPr="00796A9D">
        <w:rPr>
          <w:rFonts w:ascii="Times New Roman" w:hAnsi="Times New Roman" w:cs="Times New Roman"/>
        </w:rPr>
        <w:t xml:space="preserve"> pubblicata nel marzo 1492 da Zarotto, datava l’inizio della costruzione dell’edificio al 15 marzo 1387, inserendo un’ulteriore variante. </w:t>
      </w:r>
    </w:p>
  </w:footnote>
  <w:footnote w:id="493">
    <w:p w14:paraId="1772735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L’elenco dei luoghi di culto un tempo occupanti l’area del Duomo si legge in </w:t>
      </w:r>
      <w:r w:rsidRPr="00796A9D">
        <w:rPr>
          <w:rFonts w:ascii="Times New Roman" w:hAnsi="Times New Roman" w:cs="Times New Roman"/>
          <w:smallCaps/>
        </w:rPr>
        <w:t>P. Sanvito</w:t>
      </w:r>
      <w:r w:rsidRPr="00796A9D">
        <w:rPr>
          <w:rFonts w:ascii="Times New Roman" w:hAnsi="Times New Roman" w:cs="Times New Roman"/>
        </w:rPr>
        <w:t xml:space="preserve">, </w:t>
      </w:r>
      <w:r w:rsidRPr="00796A9D">
        <w:rPr>
          <w:rFonts w:ascii="Times New Roman" w:hAnsi="Times New Roman" w:cs="Times New Roman"/>
          <w:i/>
        </w:rPr>
        <w:t>Il tardogotico del Duomo di Milano. Architettura e decorazione intorno all’anno 1400</w:t>
      </w:r>
      <w:r w:rsidRPr="00796A9D">
        <w:rPr>
          <w:rFonts w:ascii="Times New Roman" w:hAnsi="Times New Roman" w:cs="Times New Roman"/>
        </w:rPr>
        <w:t xml:space="preserve">, Münster, LIT Verlag, 2002, pp. 53-54. Per un’ipotesi di localizzazione degli edifici soppressi o inglobati nella costruzione rinvio alle tavole pubblicate in </w:t>
      </w:r>
      <w:r w:rsidRPr="00796A9D">
        <w:rPr>
          <w:rFonts w:ascii="Times New Roman" w:hAnsi="Times New Roman" w:cs="Times New Roman"/>
          <w:smallCaps/>
        </w:rPr>
        <w:t>C. Ferrari da Passano</w:t>
      </w:r>
      <w:r w:rsidRPr="00796A9D">
        <w:rPr>
          <w:rFonts w:ascii="Times New Roman" w:hAnsi="Times New Roman" w:cs="Times New Roman"/>
        </w:rPr>
        <w:t xml:space="preserve">, </w:t>
      </w:r>
      <w:r w:rsidRPr="00796A9D">
        <w:rPr>
          <w:rFonts w:ascii="Times New Roman" w:hAnsi="Times New Roman" w:cs="Times New Roman"/>
          <w:i/>
        </w:rPr>
        <w:t>Il Duomo di Milano. Storia della Veneranda Fabbrica</w:t>
      </w:r>
      <w:r w:rsidRPr="00796A9D">
        <w:rPr>
          <w:rFonts w:ascii="Times New Roman" w:hAnsi="Times New Roman" w:cs="Times New Roman"/>
        </w:rPr>
        <w:t xml:space="preserve">, Milano, NED, 1998, pp. 80-81. </w:t>
      </w:r>
    </w:p>
  </w:footnote>
  <w:footnote w:id="494">
    <w:p w14:paraId="1CC09B9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data della demolizione del battistero di San Giovanni </w:t>
      </w:r>
      <w:r w:rsidRPr="00796A9D">
        <w:rPr>
          <w:rFonts w:ascii="Times New Roman" w:hAnsi="Times New Roman" w:cs="Times New Roman"/>
          <w:i/>
        </w:rPr>
        <w:t>ad fontes</w:t>
      </w:r>
      <w:r w:rsidRPr="00796A9D">
        <w:rPr>
          <w:rFonts w:ascii="Times New Roman" w:hAnsi="Times New Roman" w:cs="Times New Roman"/>
        </w:rPr>
        <w:t xml:space="preserve"> è fornita da E. </w:t>
      </w:r>
      <w:r w:rsidRPr="00796A9D">
        <w:rPr>
          <w:rFonts w:ascii="Times New Roman" w:hAnsi="Times New Roman" w:cs="Times New Roman"/>
          <w:smallCaps/>
        </w:rPr>
        <w:t>Cattaneo</w:t>
      </w:r>
      <w:r w:rsidRPr="00796A9D">
        <w:rPr>
          <w:rFonts w:ascii="Times New Roman" w:hAnsi="Times New Roman" w:cs="Times New Roman"/>
        </w:rPr>
        <w:t xml:space="preserve">, </w:t>
      </w:r>
      <w:r w:rsidRPr="00796A9D">
        <w:rPr>
          <w:rFonts w:ascii="Times New Roman" w:hAnsi="Times New Roman" w:cs="Times New Roman"/>
          <w:i/>
        </w:rPr>
        <w:t>Appunti sui battisteri antichi di Milano</w:t>
      </w:r>
      <w:r w:rsidRPr="00796A9D">
        <w:rPr>
          <w:rFonts w:ascii="Times New Roman" w:hAnsi="Times New Roman" w:cs="Times New Roman"/>
        </w:rPr>
        <w:t>, «Istituto Lombardo Accademia di Scienze e Lettere. Rendiconti della Classe di Lettere», 103, 1969, pp. 849-864.</w:t>
      </w:r>
    </w:p>
  </w:footnote>
  <w:footnote w:id="495">
    <w:p w14:paraId="241CC8E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 bolla di papa Pio II, datata 13 luglio 1458, concessa su supplica del duca Francesco, permise la soppressione della basilica e decretò che la sua prepositura, il capitolo e le prebende fossero incorporati </w:t>
      </w:r>
      <w:r w:rsidRPr="00796A9D">
        <w:rPr>
          <w:rFonts w:ascii="Times New Roman" w:hAnsi="Times New Roman" w:cs="Times New Roman"/>
          <w:i/>
        </w:rPr>
        <w:t>in toto</w:t>
      </w:r>
      <w:r w:rsidRPr="00796A9D">
        <w:rPr>
          <w:rFonts w:ascii="Times New Roman" w:hAnsi="Times New Roman" w:cs="Times New Roman"/>
        </w:rPr>
        <w:t xml:space="preserve"> da quelli del Duomo. Cfr. </w:t>
      </w:r>
      <w:r w:rsidRPr="00796A9D">
        <w:rPr>
          <w:rFonts w:ascii="Times New Roman" w:hAnsi="Times New Roman" w:cs="Times New Roman"/>
          <w:smallCaps/>
        </w:rPr>
        <w:t>E. Cattaneo</w:t>
      </w:r>
      <w:r w:rsidRPr="00796A9D">
        <w:rPr>
          <w:rFonts w:ascii="Times New Roman" w:hAnsi="Times New Roman" w:cs="Times New Roman"/>
        </w:rPr>
        <w:t xml:space="preserve">, </w:t>
      </w:r>
      <w:r w:rsidRPr="00796A9D">
        <w:rPr>
          <w:rFonts w:ascii="Times New Roman" w:hAnsi="Times New Roman" w:cs="Times New Roman"/>
          <w:i/>
        </w:rPr>
        <w:t>Il clero e la cura pastorale nell’antico Duomo. S. Tecla</w:t>
      </w:r>
      <w:r w:rsidRPr="00796A9D">
        <w:rPr>
          <w:rFonts w:ascii="Times New Roman" w:hAnsi="Times New Roman" w:cs="Times New Roman"/>
        </w:rPr>
        <w:t xml:space="preserve">, «Archivio ambrosiano», IV, 1950, pp. 5-22. </w:t>
      </w:r>
    </w:p>
  </w:footnote>
  <w:footnote w:id="496">
    <w:p w14:paraId="7F549E8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cerimonia di trasporto del Sacro Chiodo da Santa Tecla al Duomo si svolse, per volere dell’arcivescovo Carlo da Forlì, il 20 marzo 1461. Ne fu officiante Ardighino Biffi, ordinario della Chiesa Maggiore e canonico di Santa Tecla. Cfr. F. </w:t>
      </w:r>
      <w:r w:rsidRPr="00796A9D">
        <w:rPr>
          <w:rFonts w:ascii="Times New Roman" w:hAnsi="Times New Roman" w:cs="Times New Roman"/>
          <w:smallCaps/>
        </w:rPr>
        <w:t>Ruggeri</w:t>
      </w:r>
      <w:r w:rsidRPr="00796A9D">
        <w:rPr>
          <w:rFonts w:ascii="Times New Roman" w:hAnsi="Times New Roman" w:cs="Times New Roman"/>
        </w:rPr>
        <w:t xml:space="preserve">, </w:t>
      </w:r>
      <w:r w:rsidRPr="00796A9D">
        <w:rPr>
          <w:rFonts w:ascii="Times New Roman" w:hAnsi="Times New Roman" w:cs="Times New Roman"/>
          <w:i/>
        </w:rPr>
        <w:t>Il santo chiodo venerato nel Duomo di Milano</w:t>
      </w:r>
      <w:r w:rsidRPr="00796A9D">
        <w:rPr>
          <w:rFonts w:ascii="Times New Roman" w:hAnsi="Times New Roman" w:cs="Times New Roman"/>
        </w:rPr>
        <w:t xml:space="preserve">, Milano, NED, 2005, pp. 8-10. </w:t>
      </w:r>
    </w:p>
  </w:footnote>
  <w:footnote w:id="497">
    <w:p w14:paraId="6C52CC5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1 cubito equivale a 0,444 metri.  È possibile farsi un’idea dell’aspetto di questa pianta guardando l’illustrazione che orna il primo libro della traduzione di Cesare Cesariano edita da Gottardo da Ponte nel 1521 del </w:t>
      </w:r>
      <w:r w:rsidRPr="00796A9D">
        <w:rPr>
          <w:rFonts w:ascii="Times New Roman" w:hAnsi="Times New Roman" w:cs="Times New Roman"/>
          <w:i/>
        </w:rPr>
        <w:t>De Architectura</w:t>
      </w:r>
      <w:r w:rsidRPr="00796A9D">
        <w:rPr>
          <w:rFonts w:ascii="Times New Roman" w:hAnsi="Times New Roman" w:cs="Times New Roman"/>
        </w:rPr>
        <w:t xml:space="preserve"> di Vitruvio, pagina XIV. </w:t>
      </w:r>
    </w:p>
  </w:footnote>
  <w:footnote w:id="498">
    <w:p w14:paraId="3F75955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Lo schema planimetrico necessario a gettare le fondamenta, quasi concluse già nel 1388, fu disegnato presumibilmente da maestri italiani attivi nelle prime fasi di progettazione: </w:t>
      </w:r>
      <w:bookmarkStart w:id="388" w:name="_Hlk535946924"/>
      <w:r w:rsidRPr="00796A9D">
        <w:rPr>
          <w:rFonts w:ascii="Times New Roman" w:hAnsi="Times New Roman" w:cs="Times New Roman"/>
        </w:rPr>
        <w:t xml:space="preserve">Simone da Orsenigo </w:t>
      </w:r>
      <w:bookmarkEnd w:id="388"/>
      <w:r w:rsidRPr="00796A9D">
        <w:rPr>
          <w:rFonts w:ascii="Times New Roman" w:hAnsi="Times New Roman" w:cs="Times New Roman"/>
        </w:rPr>
        <w:t xml:space="preserve">(dal 1387), Giacomo da Verona (dal 1388), i maestri Campionesi Marco, Jacopo, Simone e Zeno. A questi si accostarono gli architetti d’Oltralpe Anechino d’Alemagna (dal 1387) e Nicolas Bonaventis (dal 1389). Il progetto rivela però un’impostazione iniziale squisitamente italiano-lombarda, di cui sono indizio la compattezza della pianta a croce latina con transetto aggettante, la concezione dei muri perimetrali con funzione portante, la partizione delle vetrate, l’abside semiottagonale privo di cappelle radiali, il tiburio ottagonale Cfr. L. </w:t>
      </w:r>
      <w:r w:rsidRPr="00796A9D">
        <w:rPr>
          <w:rFonts w:ascii="Times New Roman" w:hAnsi="Times New Roman" w:cs="Times New Roman"/>
          <w:smallCaps/>
        </w:rPr>
        <w:t>Patetta</w:t>
      </w:r>
      <w:r w:rsidRPr="00796A9D">
        <w:rPr>
          <w:rFonts w:ascii="Times New Roman" w:hAnsi="Times New Roman" w:cs="Times New Roman"/>
        </w:rPr>
        <w:t xml:space="preserve">, </w:t>
      </w:r>
      <w:r w:rsidRPr="00796A9D">
        <w:rPr>
          <w:rFonts w:ascii="Times New Roman" w:hAnsi="Times New Roman" w:cs="Times New Roman"/>
          <w:i/>
        </w:rPr>
        <w:t>L’architettura del Quattrocento a Milano</w:t>
      </w:r>
      <w:r w:rsidRPr="00796A9D">
        <w:rPr>
          <w:rFonts w:ascii="Times New Roman" w:hAnsi="Times New Roman" w:cs="Times New Roman"/>
        </w:rPr>
        <w:t xml:space="preserve">, Milano, Maggioli, 2011, pp. 31-47. La produzione di studi relativi al Duomo è sconfinata. È possibile però seguirne l’aggiornamento consultando la sezione bibliografia del sito www.disegniduomomilano.it  </w:t>
      </w:r>
    </w:p>
  </w:footnote>
  <w:footnote w:id="499">
    <w:p w14:paraId="1CEF414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pp. 36-37, per l’analisi tecnica dello schema di Stornaloco.</w:t>
      </w:r>
    </w:p>
  </w:footnote>
  <w:footnote w:id="500">
    <w:p w14:paraId="21A8721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 tiburio gravavano due difficoltà d’ordine statico: l’ampiezza delle strutture necessarie alla copertura e l’altezza alla quale gli artigiani erano chiamati a lavorare. Per un’analisi precisa della questione e delle diverse soluzioni avanzate rinvio a </w:t>
      </w:r>
      <w:bookmarkStart w:id="394" w:name="_Hlk526453615"/>
      <w:r w:rsidRPr="00796A9D">
        <w:rPr>
          <w:rFonts w:ascii="Times New Roman" w:hAnsi="Times New Roman" w:cs="Times New Roman"/>
        </w:rPr>
        <w:t xml:space="preserve">R.V. </w:t>
      </w:r>
      <w:r w:rsidRPr="00796A9D">
        <w:rPr>
          <w:rFonts w:ascii="Times New Roman" w:hAnsi="Times New Roman" w:cs="Times New Roman"/>
          <w:smallCaps/>
        </w:rPr>
        <w:t>Schofield</w:t>
      </w:r>
      <w:r w:rsidRPr="00796A9D">
        <w:rPr>
          <w:rFonts w:ascii="Times New Roman" w:hAnsi="Times New Roman" w:cs="Times New Roman"/>
        </w:rPr>
        <w:t xml:space="preserve">, </w:t>
      </w:r>
      <w:r w:rsidRPr="00796A9D">
        <w:rPr>
          <w:rFonts w:ascii="Times New Roman" w:hAnsi="Times New Roman" w:cs="Times New Roman"/>
          <w:i/>
        </w:rPr>
        <w:t>Amadeo, Bramante, Leonardo and the Tiburio of Milan Cathedral</w:t>
      </w:r>
      <w:r w:rsidRPr="00796A9D">
        <w:rPr>
          <w:rFonts w:ascii="Times New Roman" w:hAnsi="Times New Roman" w:cs="Times New Roman"/>
        </w:rPr>
        <w:t xml:space="preserve">, «Academia Leonardi Vinci», 2, 1989, pp. 82-84. </w:t>
      </w:r>
      <w:bookmarkEnd w:id="394"/>
    </w:p>
  </w:footnote>
  <w:footnote w:id="501">
    <w:p w14:paraId="562D139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Con decreto ducale del 24 ottobre 1387 Gian Galeazzo Visconti concesse in esclusiva alla Fabrica del Duomo gli approvvigionamenti delle cave di Candoglia. Rivestito di marmi l’edificio avrebbe assunto la monumentalità delle grandi cattedrali gotiche d’Oltralpe, inserendosi pienamente nel contesto del gotico internazionale. Il trasporto dei blocchi, sgravato di ogni dazio doganale, richiese lo scavo di canali destinati a collegare la darsena di Porta Ticinese all’attuale zona di Santo Stefano. L’apertura di queste vie d’acqua costituiva una prova ulteriore dell’incidenza dell’impresa voluta dai duchi sulla vita dell’intera città. Cfr. </w:t>
      </w:r>
      <w:bookmarkStart w:id="395" w:name="_Hlk526453675"/>
      <w:r w:rsidRPr="00796A9D">
        <w:rPr>
          <w:rFonts w:ascii="Times New Roman" w:hAnsi="Times New Roman" w:cs="Times New Roman"/>
        </w:rPr>
        <w:t xml:space="preserve">M. </w:t>
      </w:r>
      <w:r w:rsidRPr="00796A9D">
        <w:rPr>
          <w:rFonts w:ascii="Times New Roman" w:hAnsi="Times New Roman" w:cs="Times New Roman"/>
          <w:smallCaps/>
        </w:rPr>
        <w:t>Rossi</w:t>
      </w:r>
      <w:r w:rsidRPr="00796A9D">
        <w:rPr>
          <w:rFonts w:ascii="Times New Roman" w:hAnsi="Times New Roman" w:cs="Times New Roman"/>
        </w:rPr>
        <w:t xml:space="preserve">, </w:t>
      </w:r>
      <w:r w:rsidRPr="00796A9D">
        <w:rPr>
          <w:rFonts w:ascii="Times New Roman" w:hAnsi="Times New Roman" w:cs="Times New Roman"/>
          <w:i/>
        </w:rPr>
        <w:t>Disegno storico dell’arte lombarda</w:t>
      </w:r>
      <w:r w:rsidRPr="00796A9D">
        <w:rPr>
          <w:rFonts w:ascii="Times New Roman" w:hAnsi="Times New Roman" w:cs="Times New Roman"/>
        </w:rPr>
        <w:t>, Milano, Vita e Pensiero, 2005</w:t>
      </w:r>
      <w:bookmarkEnd w:id="395"/>
      <w:r w:rsidRPr="00796A9D">
        <w:rPr>
          <w:rFonts w:ascii="Times New Roman" w:hAnsi="Times New Roman" w:cs="Times New Roman"/>
        </w:rPr>
        <w:t xml:space="preserve">, pp. 41-49. </w:t>
      </w:r>
    </w:p>
  </w:footnote>
  <w:footnote w:id="502">
    <w:p w14:paraId="1A55C67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calibrato uso di passi di Vitruvio e di Plinio attirò l’ammirazione del nunzio pontificio Giacomo Gherardi, che nell’agosto 1489 scrisse una lettera d’elogio al Dolcino per le sue </w:t>
      </w:r>
      <w:r w:rsidRPr="00796A9D">
        <w:rPr>
          <w:rFonts w:ascii="Times New Roman" w:hAnsi="Times New Roman" w:cs="Times New Roman"/>
          <w:i/>
        </w:rPr>
        <w:t>Nuptiae</w:t>
      </w:r>
      <w:r w:rsidRPr="00796A9D">
        <w:rPr>
          <w:rFonts w:ascii="Times New Roman" w:hAnsi="Times New Roman" w:cs="Times New Roman"/>
        </w:rPr>
        <w:t xml:space="preserve">. Essa è edita in </w:t>
      </w:r>
      <w:bookmarkStart w:id="396" w:name="_Hlk526453824"/>
      <w:r w:rsidRPr="00796A9D">
        <w:rPr>
          <w:rFonts w:ascii="Times New Roman" w:hAnsi="Times New Roman" w:cs="Times New Roman"/>
          <w:i/>
        </w:rPr>
        <w:t>Dispacci e lettere di Giacomo Gherardi nunzio pontificio a Firenze e Milano (11 settembre 1487-10 ottobre 1490</w:t>
      </w:r>
      <w:r w:rsidRPr="00796A9D">
        <w:rPr>
          <w:rFonts w:ascii="Times New Roman" w:hAnsi="Times New Roman" w:cs="Times New Roman"/>
        </w:rPr>
        <w:t xml:space="preserve">), a cura di E. </w:t>
      </w:r>
      <w:r w:rsidRPr="00796A9D">
        <w:rPr>
          <w:rFonts w:ascii="Times New Roman" w:hAnsi="Times New Roman" w:cs="Times New Roman"/>
          <w:smallCaps/>
        </w:rPr>
        <w:t>Carusi</w:t>
      </w:r>
      <w:r w:rsidRPr="00796A9D">
        <w:rPr>
          <w:rFonts w:ascii="Times New Roman" w:hAnsi="Times New Roman" w:cs="Times New Roman"/>
        </w:rPr>
        <w:t>, Roma, 1909</w:t>
      </w:r>
      <w:bookmarkEnd w:id="396"/>
      <w:r w:rsidRPr="00796A9D">
        <w:rPr>
          <w:rFonts w:ascii="Times New Roman" w:hAnsi="Times New Roman" w:cs="Times New Roman"/>
        </w:rPr>
        <w:t xml:space="preserve">, pp. 339-340. Lo scritto conferma, oltre all’ammirazione per l’impresa letteraria dell’autore, la discreta circolazione dell’opera e la sua lettura da parte degli alti funzionari delle corti italiane dell’epoca. </w:t>
      </w:r>
    </w:p>
  </w:footnote>
  <w:footnote w:id="503">
    <w:p w14:paraId="67ABED6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patrocinio visconteo-sforzesco ai lavori per il Duomo puntava a sostituire al culto civico orgogliosamente repubblicano tributato al patrono sant’Ambrogio una devozione mariana più congeniale alla famiglia regnante: il nome di Maria fu attribuito a tutti i suoi discendenti a partire dai figli di Gian Galeazzo Visconti. Anche il risalto dato alle feste per le oblazioni alla Fabbrica in concorrenza con le cerimonie solenni del 7 dicembre si inseriva in questo proposito.  Si veda in merito </w:t>
      </w:r>
      <w:bookmarkStart w:id="397" w:name="_Hlk526453995"/>
      <w:r w:rsidRPr="00796A9D">
        <w:rPr>
          <w:rFonts w:ascii="Times New Roman" w:hAnsi="Times New Roman" w:cs="Times New Roman"/>
        </w:rPr>
        <w:t xml:space="preserve">P. </w:t>
      </w:r>
      <w:r w:rsidRPr="00796A9D">
        <w:rPr>
          <w:rFonts w:ascii="Times New Roman" w:hAnsi="Times New Roman" w:cs="Times New Roman"/>
          <w:smallCaps/>
        </w:rPr>
        <w:t>Ventrone</w:t>
      </w:r>
      <w:r w:rsidRPr="00796A9D">
        <w:rPr>
          <w:rFonts w:ascii="Times New Roman" w:hAnsi="Times New Roman" w:cs="Times New Roman"/>
        </w:rPr>
        <w:t xml:space="preserve">, </w:t>
      </w:r>
      <w:r w:rsidRPr="00796A9D">
        <w:rPr>
          <w:rFonts w:ascii="Times New Roman" w:hAnsi="Times New Roman" w:cs="Times New Roman"/>
          <w:i/>
        </w:rPr>
        <w:t>Simbologia e funzione delle feste identitarie in alcune città italiane del XIII e XV secolo</w:t>
      </w:r>
      <w:r w:rsidRPr="00796A9D">
        <w:rPr>
          <w:rFonts w:ascii="Times New Roman" w:hAnsi="Times New Roman" w:cs="Times New Roman"/>
        </w:rPr>
        <w:t>, «Teatro e Storia», XXXIV, 2013, pp. 285-310</w:t>
      </w:r>
      <w:bookmarkEnd w:id="397"/>
      <w:r w:rsidRPr="00796A9D">
        <w:rPr>
          <w:rFonts w:ascii="Times New Roman" w:hAnsi="Times New Roman" w:cs="Times New Roman"/>
        </w:rPr>
        <w:t xml:space="preserve">; </w:t>
      </w:r>
      <w:r w:rsidRPr="00796A9D">
        <w:rPr>
          <w:rFonts w:ascii="Times New Roman" w:hAnsi="Times New Roman" w:cs="Times New Roman"/>
          <w:smallCaps/>
        </w:rPr>
        <w:t>Idem</w:t>
      </w:r>
      <w:r w:rsidRPr="00796A9D">
        <w:rPr>
          <w:rFonts w:ascii="Times New Roman" w:hAnsi="Times New Roman" w:cs="Times New Roman"/>
        </w:rPr>
        <w:t>,</w:t>
      </w:r>
      <w:r w:rsidRPr="00796A9D">
        <w:rPr>
          <w:rFonts w:ascii="Times New Roman" w:hAnsi="Times New Roman" w:cs="Times New Roman"/>
          <w:i/>
        </w:rPr>
        <w:t xml:space="preserve"> Milano: dal culto per Sant’Ambrogio a quello per la Vergine Maria</w:t>
      </w:r>
      <w:r w:rsidRPr="00796A9D">
        <w:rPr>
          <w:rFonts w:ascii="Times New Roman" w:hAnsi="Times New Roman" w:cs="Times New Roman"/>
        </w:rPr>
        <w:t xml:space="preserve">, in </w:t>
      </w:r>
      <w:r w:rsidRPr="00796A9D">
        <w:rPr>
          <w:rFonts w:ascii="Times New Roman" w:hAnsi="Times New Roman" w:cs="Times New Roman"/>
          <w:smallCaps/>
        </w:rPr>
        <w:t>Idem</w:t>
      </w:r>
      <w:r w:rsidRPr="00796A9D">
        <w:rPr>
          <w:rFonts w:ascii="Times New Roman" w:hAnsi="Times New Roman" w:cs="Times New Roman"/>
        </w:rPr>
        <w:t xml:space="preserve">, </w:t>
      </w:r>
      <w:r w:rsidRPr="00796A9D">
        <w:rPr>
          <w:rFonts w:ascii="Times New Roman" w:hAnsi="Times New Roman" w:cs="Times New Roman"/>
          <w:i/>
        </w:rPr>
        <w:t>Lo spettacolo nelle città italiane del tardo medioevo</w:t>
      </w:r>
      <w:r w:rsidRPr="00796A9D">
        <w:rPr>
          <w:rFonts w:ascii="Times New Roman" w:hAnsi="Times New Roman" w:cs="Times New Roman"/>
        </w:rPr>
        <w:t>, Milano, Educatt, 2009, pp. 167-174.</w:t>
      </w:r>
    </w:p>
  </w:footnote>
  <w:footnote w:id="504">
    <w:p w14:paraId="49BF029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seconda Santa Tecla e le questioni relative al suo inserimento alquanto stridente nel tessuto architettonico della piazza si veda N. </w:t>
      </w:r>
      <w:r w:rsidRPr="00796A9D">
        <w:rPr>
          <w:rFonts w:ascii="Times New Roman" w:hAnsi="Times New Roman" w:cs="Times New Roman"/>
          <w:smallCaps/>
        </w:rPr>
        <w:t>Soldini</w:t>
      </w:r>
      <w:r w:rsidRPr="00796A9D">
        <w:rPr>
          <w:rFonts w:ascii="Times New Roman" w:hAnsi="Times New Roman" w:cs="Times New Roman"/>
        </w:rPr>
        <w:t xml:space="preserve">, </w:t>
      </w:r>
      <w:r w:rsidRPr="00796A9D">
        <w:rPr>
          <w:rFonts w:ascii="Times New Roman" w:hAnsi="Times New Roman" w:cs="Times New Roman"/>
          <w:i/>
        </w:rPr>
        <w:t>Nec spe nec metu</w:t>
      </w:r>
      <w:r w:rsidRPr="00796A9D">
        <w:rPr>
          <w:rFonts w:ascii="Times New Roman" w:hAnsi="Times New Roman" w:cs="Times New Roman"/>
        </w:rPr>
        <w:t xml:space="preserve">, Firenze, Olschki, 2007, pp. 263-265. </w:t>
      </w:r>
    </w:p>
  </w:footnote>
  <w:footnote w:id="505">
    <w:p w14:paraId="3FD294CC"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Le considerazioni di Schofield sugli apparati milanesi del 1489 furono edite per la prima volta, insieme alle tavole di Robert Tavernor con ipotesi ricostruttive del disegno del tiburio in </w:t>
      </w:r>
      <w:r w:rsidRPr="00796A9D">
        <w:rPr>
          <w:rFonts w:ascii="Times New Roman" w:hAnsi="Times New Roman" w:cs="Times New Roman"/>
          <w:smallCaps/>
          <w:sz w:val="20"/>
          <w:szCs w:val="20"/>
        </w:rPr>
        <w:t>R.V. Schofield</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A Humanistic Description of the Architecture for the Wedding of Gian Galeazzo Sforza and Isabella D’Aragona</w:t>
      </w:r>
      <w:r w:rsidRPr="00796A9D">
        <w:rPr>
          <w:rFonts w:ascii="Times New Roman" w:hAnsi="Times New Roman" w:cs="Times New Roman"/>
          <w:sz w:val="20"/>
          <w:szCs w:val="20"/>
        </w:rPr>
        <w:t xml:space="preserve">, «Papers of the British School at Rome», LVI, 1988, pp. 213-240. Un aggiornamento di tali posizioni si trova in </w:t>
      </w:r>
      <w:r w:rsidRPr="00796A9D">
        <w:rPr>
          <w:rFonts w:ascii="Times New Roman" w:hAnsi="Times New Roman" w:cs="Times New Roman"/>
          <w:smallCaps/>
          <w:sz w:val="20"/>
          <w:szCs w:val="20"/>
        </w:rPr>
        <w:t>Idem</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L’architettura temporanea costruita per il matrimonio di Gian Galeazzo Sforza e Isabella d’Aragona</w:t>
      </w:r>
      <w:r w:rsidRPr="00796A9D">
        <w:rPr>
          <w:rFonts w:ascii="Times New Roman" w:hAnsi="Times New Roman" w:cs="Times New Roman"/>
          <w:sz w:val="20"/>
          <w:szCs w:val="20"/>
        </w:rPr>
        <w:t>, «Quaderni dell’istituto di Storia dell’Architettura», 57-58, 2011-2012, pp. 77-84.</w:t>
      </w:r>
    </w:p>
  </w:footnote>
  <w:footnote w:id="506">
    <w:p w14:paraId="0CA3365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4 gennaio 1424 la campagna militare in soccorso dell’insurrezione dell’Aquila costò la vita al padre dello Sforza, Muzio Attendolo. L’esercito acclamò il ventitreenne Francesco capitano supremo. La vittoria ricordata è quindi la prima riportata dal futuro duca e ne aprì la carriera militare. Le fonti sono concordi nell’elencare le gesta sforzesche visibili sull’arco. Solo l’Anonimo riferisce che esso fu costruito in legno e che le immagini ricordate «se depinxero». Per l’inquadramento di questi episodi nel </w:t>
      </w:r>
      <w:r w:rsidRPr="00796A9D">
        <w:rPr>
          <w:rFonts w:ascii="Times New Roman" w:hAnsi="Times New Roman" w:cs="Times New Roman"/>
          <w:i/>
        </w:rPr>
        <w:t>cursus honorum</w:t>
      </w:r>
      <w:r w:rsidRPr="00796A9D">
        <w:rPr>
          <w:rFonts w:ascii="Times New Roman" w:hAnsi="Times New Roman" w:cs="Times New Roman"/>
        </w:rPr>
        <w:t xml:space="preserve"> dello Sforza si rinvia a </w:t>
      </w:r>
      <w:bookmarkStart w:id="398" w:name="_Hlk526454557"/>
      <w:r w:rsidRPr="00796A9D">
        <w:rPr>
          <w:rFonts w:ascii="Times New Roman" w:hAnsi="Times New Roman" w:cs="Times New Roman"/>
          <w:smallCaps/>
        </w:rPr>
        <w:t>F. Catalano</w:t>
      </w:r>
      <w:r w:rsidRPr="00796A9D">
        <w:rPr>
          <w:rFonts w:ascii="Times New Roman" w:hAnsi="Times New Roman" w:cs="Times New Roman"/>
        </w:rPr>
        <w:t xml:space="preserve">, </w:t>
      </w:r>
      <w:r w:rsidRPr="00796A9D">
        <w:rPr>
          <w:rFonts w:ascii="Times New Roman" w:hAnsi="Times New Roman" w:cs="Times New Roman"/>
          <w:i/>
        </w:rPr>
        <w:t>Francesco Sforza</w:t>
      </w:r>
      <w:r w:rsidRPr="00796A9D">
        <w:rPr>
          <w:rFonts w:ascii="Times New Roman" w:hAnsi="Times New Roman" w:cs="Times New Roman"/>
        </w:rPr>
        <w:t xml:space="preserve">, Milano, Dall’Oglio, 1983. </w:t>
      </w:r>
    </w:p>
    <w:bookmarkEnd w:id="398"/>
  </w:footnote>
  <w:footnote w:id="507">
    <w:p w14:paraId="6C67A3F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Cfr. V.R. </w:t>
      </w:r>
      <w:r w:rsidRPr="00796A9D">
        <w:rPr>
          <w:rFonts w:ascii="Times New Roman" w:hAnsi="Times New Roman" w:cs="Times New Roman"/>
          <w:smallCaps/>
          <w:lang w:val="en-US"/>
        </w:rPr>
        <w:t>Schofield</w:t>
      </w:r>
      <w:r w:rsidRPr="00796A9D">
        <w:rPr>
          <w:rFonts w:ascii="Times New Roman" w:hAnsi="Times New Roman" w:cs="Times New Roman"/>
          <w:lang w:val="en-US"/>
        </w:rPr>
        <w:t xml:space="preserve">, </w:t>
      </w:r>
      <w:r w:rsidRPr="00796A9D">
        <w:rPr>
          <w:rFonts w:ascii="Times New Roman" w:hAnsi="Times New Roman" w:cs="Times New Roman"/>
          <w:i/>
          <w:lang w:val="en-US"/>
        </w:rPr>
        <w:t>A Humanistic Description,</w:t>
      </w:r>
      <w:r w:rsidRPr="00796A9D">
        <w:rPr>
          <w:rFonts w:ascii="Times New Roman" w:hAnsi="Times New Roman" w:cs="Times New Roman"/>
          <w:lang w:val="en-US"/>
        </w:rPr>
        <w:t xml:space="preserve"> cit., p. 232. </w:t>
      </w:r>
      <w:r w:rsidRPr="00796A9D">
        <w:rPr>
          <w:rFonts w:ascii="Times New Roman" w:hAnsi="Times New Roman" w:cs="Times New Roman"/>
        </w:rPr>
        <w:t xml:space="preserve">La </w:t>
      </w:r>
      <w:r w:rsidRPr="00796A9D">
        <w:rPr>
          <w:rFonts w:ascii="Times New Roman" w:hAnsi="Times New Roman" w:cs="Times New Roman"/>
          <w:i/>
        </w:rPr>
        <w:t>princeps</w:t>
      </w:r>
      <w:r w:rsidRPr="00796A9D">
        <w:rPr>
          <w:rFonts w:ascii="Times New Roman" w:hAnsi="Times New Roman" w:cs="Times New Roman"/>
        </w:rPr>
        <w:t xml:space="preserve"> del </w:t>
      </w:r>
      <w:r w:rsidRPr="00796A9D">
        <w:rPr>
          <w:rFonts w:ascii="Times New Roman" w:hAnsi="Times New Roman" w:cs="Times New Roman"/>
          <w:i/>
        </w:rPr>
        <w:t>De re aedificatoria</w:t>
      </w:r>
      <w:r w:rsidRPr="00796A9D">
        <w:rPr>
          <w:rFonts w:ascii="Times New Roman" w:hAnsi="Times New Roman" w:cs="Times New Roman"/>
        </w:rPr>
        <w:t xml:space="preserve"> uscì dai torchi fiorentini di Nicolò di Lorenzo nel 1485, ponendosi come tappa importante nell’elaborazione di una «filologia del trionfo» che aveva i suoi precedenti nel </w:t>
      </w:r>
      <w:r w:rsidRPr="00796A9D">
        <w:rPr>
          <w:rFonts w:ascii="Times New Roman" w:hAnsi="Times New Roman" w:cs="Times New Roman"/>
          <w:i/>
        </w:rPr>
        <w:t xml:space="preserve">De re militari </w:t>
      </w:r>
      <w:r w:rsidRPr="00796A9D">
        <w:rPr>
          <w:rFonts w:ascii="Times New Roman" w:hAnsi="Times New Roman" w:cs="Times New Roman"/>
        </w:rPr>
        <w:t xml:space="preserve">di Roberto Valturio (1456); nella </w:t>
      </w:r>
      <w:r w:rsidRPr="00796A9D">
        <w:rPr>
          <w:rFonts w:ascii="Times New Roman" w:hAnsi="Times New Roman" w:cs="Times New Roman"/>
          <w:i/>
        </w:rPr>
        <w:t>Roma triumphans</w:t>
      </w:r>
      <w:r w:rsidRPr="00796A9D">
        <w:rPr>
          <w:rFonts w:ascii="Times New Roman" w:hAnsi="Times New Roman" w:cs="Times New Roman"/>
        </w:rPr>
        <w:t xml:space="preserve"> di Biondo Flavio (1457-1459) e nel </w:t>
      </w:r>
      <w:r w:rsidRPr="00796A9D">
        <w:rPr>
          <w:rFonts w:ascii="Times New Roman" w:hAnsi="Times New Roman" w:cs="Times New Roman"/>
          <w:i/>
        </w:rPr>
        <w:t>De dignitatibus romanorum, triumpho et rebus bellicis</w:t>
      </w:r>
      <w:r w:rsidRPr="00796A9D">
        <w:rPr>
          <w:rFonts w:ascii="Times New Roman" w:hAnsi="Times New Roman" w:cs="Times New Roman"/>
        </w:rPr>
        <w:t xml:space="preserve"> di Felice Feliciano (1465): testi che determinarono la diffusione di un comune immaginario delle antiche pompe romane nel Quattrocento. Cfr. </w:t>
      </w:r>
      <w:bookmarkStart w:id="399" w:name="_Hlk526454697"/>
      <w:r w:rsidRPr="00796A9D">
        <w:rPr>
          <w:rFonts w:ascii="Times New Roman" w:hAnsi="Times New Roman" w:cs="Times New Roman"/>
        </w:rPr>
        <w:t xml:space="preserve">A. </w:t>
      </w:r>
      <w:r w:rsidRPr="00796A9D">
        <w:rPr>
          <w:rFonts w:ascii="Times New Roman" w:hAnsi="Times New Roman" w:cs="Times New Roman"/>
          <w:smallCaps/>
        </w:rPr>
        <w:t>Pinelli</w:t>
      </w:r>
      <w:r w:rsidRPr="00796A9D">
        <w:rPr>
          <w:rFonts w:ascii="Times New Roman" w:hAnsi="Times New Roman" w:cs="Times New Roman"/>
        </w:rPr>
        <w:t xml:space="preserve">, </w:t>
      </w:r>
      <w:r w:rsidRPr="00796A9D">
        <w:rPr>
          <w:rFonts w:ascii="Times New Roman" w:hAnsi="Times New Roman" w:cs="Times New Roman"/>
          <w:i/>
        </w:rPr>
        <w:t>Feste e trionfi: continuità e metamorfosi di un tema</w:t>
      </w:r>
      <w:r w:rsidRPr="00796A9D">
        <w:rPr>
          <w:rFonts w:ascii="Times New Roman" w:hAnsi="Times New Roman" w:cs="Times New Roman"/>
        </w:rPr>
        <w:t xml:space="preserve">, in </w:t>
      </w:r>
      <w:r w:rsidRPr="00796A9D">
        <w:rPr>
          <w:rFonts w:ascii="Times New Roman" w:hAnsi="Times New Roman" w:cs="Times New Roman"/>
          <w:i/>
        </w:rPr>
        <w:t>Memoria dell’antico nell’arte italiana</w:t>
      </w:r>
      <w:r w:rsidRPr="00796A9D">
        <w:rPr>
          <w:rFonts w:ascii="Times New Roman" w:hAnsi="Times New Roman" w:cs="Times New Roman"/>
        </w:rPr>
        <w:t>, Torino, Einaudi, 1985, vol. II, pp. 279-350</w:t>
      </w:r>
      <w:bookmarkEnd w:id="399"/>
      <w:r w:rsidRPr="00796A9D">
        <w:rPr>
          <w:rFonts w:ascii="Times New Roman" w:hAnsi="Times New Roman" w:cs="Times New Roman"/>
        </w:rPr>
        <w:t xml:space="preserve">; e </w:t>
      </w:r>
      <w:bookmarkStart w:id="400" w:name="_Hlk526454797"/>
      <w:r w:rsidRPr="00796A9D">
        <w:rPr>
          <w:rFonts w:ascii="Times New Roman" w:hAnsi="Times New Roman" w:cs="Times New Roman"/>
        </w:rPr>
        <w:t xml:space="preserve">D. </w:t>
      </w:r>
      <w:r w:rsidRPr="00796A9D">
        <w:rPr>
          <w:rFonts w:ascii="Times New Roman" w:hAnsi="Times New Roman" w:cs="Times New Roman"/>
          <w:smallCaps/>
        </w:rPr>
        <w:t>Pisani</w:t>
      </w:r>
      <w:r w:rsidRPr="00796A9D">
        <w:rPr>
          <w:rFonts w:ascii="Times New Roman" w:hAnsi="Times New Roman" w:cs="Times New Roman"/>
        </w:rPr>
        <w:t xml:space="preserve">, </w:t>
      </w:r>
      <w:r w:rsidRPr="00796A9D">
        <w:rPr>
          <w:rFonts w:ascii="Times New Roman" w:hAnsi="Times New Roman" w:cs="Times New Roman"/>
          <w:i/>
        </w:rPr>
        <w:t>Piuttosto un arco trionfale che una porta di città. Agostino di Duccio e la porta di San Pietro a Perugia</w:t>
      </w:r>
      <w:r w:rsidRPr="00796A9D">
        <w:rPr>
          <w:rFonts w:ascii="Times New Roman" w:hAnsi="Times New Roman" w:cs="Times New Roman"/>
        </w:rPr>
        <w:t>, Venezia, Marsilio, 2009</w:t>
      </w:r>
      <w:bookmarkEnd w:id="400"/>
      <w:r w:rsidRPr="00796A9D">
        <w:rPr>
          <w:rFonts w:ascii="Times New Roman" w:hAnsi="Times New Roman" w:cs="Times New Roman"/>
        </w:rPr>
        <w:t>, pp. 99-127.</w:t>
      </w:r>
    </w:p>
  </w:footnote>
  <w:footnote w:id="508">
    <w:p w14:paraId="5F09C25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Alla fine del secolo XV queste versioni umanistiche dell’arco di trionfo trovarono una codificazione nelle pagine conclusive dell’incompleto </w:t>
      </w:r>
      <w:r w:rsidRPr="00796A9D">
        <w:rPr>
          <w:rFonts w:ascii="Times New Roman" w:hAnsi="Times New Roman" w:cs="Times New Roman"/>
          <w:i/>
        </w:rPr>
        <w:t>Spectacula</w:t>
      </w:r>
      <w:r w:rsidRPr="00796A9D">
        <w:rPr>
          <w:rFonts w:ascii="Times New Roman" w:hAnsi="Times New Roman" w:cs="Times New Roman"/>
        </w:rPr>
        <w:t xml:space="preserve"> di Pellegrino Prisciani, composto tra il 1492 e il 1499 nell’aggiornato ambito spettacolare della corte estense. Cfr. </w:t>
      </w:r>
      <w:bookmarkStart w:id="401" w:name="_Hlk526454892"/>
      <w:r w:rsidRPr="00796A9D">
        <w:rPr>
          <w:rFonts w:ascii="Times New Roman" w:hAnsi="Times New Roman" w:cs="Times New Roman"/>
        </w:rPr>
        <w:t xml:space="preserve">P. </w:t>
      </w:r>
      <w:r w:rsidRPr="00796A9D">
        <w:rPr>
          <w:rFonts w:ascii="Times New Roman" w:hAnsi="Times New Roman" w:cs="Times New Roman"/>
          <w:smallCaps/>
        </w:rPr>
        <w:t>Prisciani</w:t>
      </w:r>
      <w:r w:rsidRPr="00796A9D">
        <w:rPr>
          <w:rFonts w:ascii="Times New Roman" w:hAnsi="Times New Roman" w:cs="Times New Roman"/>
        </w:rPr>
        <w:t xml:space="preserve">, </w:t>
      </w:r>
      <w:r w:rsidRPr="00796A9D">
        <w:rPr>
          <w:rFonts w:ascii="Times New Roman" w:hAnsi="Times New Roman" w:cs="Times New Roman"/>
          <w:i/>
        </w:rPr>
        <w:t>Spectacula</w:t>
      </w:r>
      <w:r w:rsidRPr="00796A9D">
        <w:rPr>
          <w:rFonts w:ascii="Times New Roman" w:hAnsi="Times New Roman" w:cs="Times New Roman"/>
        </w:rPr>
        <w:t xml:space="preserve">, a cura di A. </w:t>
      </w:r>
      <w:r w:rsidRPr="00796A9D">
        <w:rPr>
          <w:rFonts w:ascii="Times New Roman" w:hAnsi="Times New Roman" w:cs="Times New Roman"/>
          <w:smallCaps/>
        </w:rPr>
        <w:t>Barbagli</w:t>
      </w:r>
      <w:r w:rsidRPr="00796A9D">
        <w:rPr>
          <w:rFonts w:ascii="Times New Roman" w:hAnsi="Times New Roman" w:cs="Times New Roman"/>
        </w:rPr>
        <w:t>, Modena, Panini, 1992</w:t>
      </w:r>
      <w:bookmarkEnd w:id="401"/>
      <w:r w:rsidRPr="00796A9D">
        <w:rPr>
          <w:rFonts w:ascii="Times New Roman" w:hAnsi="Times New Roman" w:cs="Times New Roman"/>
        </w:rPr>
        <w:t xml:space="preserve">.  </w:t>
      </w:r>
    </w:p>
  </w:footnote>
  <w:footnote w:id="509">
    <w:p w14:paraId="1472A4B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Anonimo</w:t>
      </w:r>
      <w:r w:rsidRPr="00796A9D">
        <w:rPr>
          <w:rFonts w:ascii="Times New Roman" w:hAnsi="Times New Roman" w:cs="Times New Roman"/>
        </w:rPr>
        <w:t xml:space="preserve">, </w:t>
      </w:r>
      <w:r w:rsidRPr="00796A9D">
        <w:rPr>
          <w:rFonts w:ascii="Times New Roman" w:hAnsi="Times New Roman" w:cs="Times New Roman"/>
          <w:i/>
        </w:rPr>
        <w:t>Descriptione. Appendice III</w:t>
      </w:r>
      <w:r w:rsidRPr="00796A9D">
        <w:rPr>
          <w:rFonts w:ascii="Times New Roman" w:hAnsi="Times New Roman" w:cs="Times New Roman"/>
        </w:rPr>
        <w:t>, documento 4.</w:t>
      </w:r>
      <w:r w:rsidRPr="00796A9D">
        <w:rPr>
          <w:rFonts w:ascii="Times New Roman" w:hAnsi="Times New Roman" w:cs="Times New Roman"/>
          <w:i/>
        </w:rPr>
        <w:t xml:space="preserve"> </w:t>
      </w:r>
    </w:p>
  </w:footnote>
  <w:footnote w:id="510">
    <w:p w14:paraId="0D267B3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cultura dell’intaglio e della scultura in legno policromo nell’età sforzesca cfr. </w:t>
      </w:r>
      <w:bookmarkStart w:id="403" w:name="_Hlk526455008"/>
      <w:r w:rsidRPr="00796A9D">
        <w:rPr>
          <w:rFonts w:ascii="Times New Roman" w:hAnsi="Times New Roman" w:cs="Times New Roman"/>
          <w:i/>
        </w:rPr>
        <w:t>Maestri della scultura in legno nel Ducato degli Sforza. Catalogo della mostra</w:t>
      </w:r>
      <w:r w:rsidRPr="00796A9D">
        <w:rPr>
          <w:rFonts w:ascii="Times New Roman" w:hAnsi="Times New Roman" w:cs="Times New Roman"/>
        </w:rPr>
        <w:t xml:space="preserve"> (Milano, 21 ottobre 2005-29 gennaio 2006), a cura di </w:t>
      </w:r>
      <w:r w:rsidRPr="00796A9D">
        <w:rPr>
          <w:rFonts w:ascii="Times New Roman" w:hAnsi="Times New Roman" w:cs="Times New Roman"/>
          <w:smallCaps/>
        </w:rPr>
        <w:t>G. Romano, C. Salsi</w:t>
      </w:r>
      <w:r w:rsidRPr="00796A9D">
        <w:rPr>
          <w:rFonts w:ascii="Times New Roman" w:hAnsi="Times New Roman" w:cs="Times New Roman"/>
        </w:rPr>
        <w:t xml:space="preserve">, Cinisello Balsamo, Silvana, 2005. </w:t>
      </w:r>
    </w:p>
    <w:bookmarkEnd w:id="403"/>
  </w:footnote>
  <w:footnote w:id="511">
    <w:p w14:paraId="1850D7C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È stato recentemente illustrato come i progetti brunelleschiani per gli ingegni delle feste dell’</w:t>
      </w:r>
      <w:r w:rsidRPr="00796A9D">
        <w:rPr>
          <w:rFonts w:ascii="Times New Roman" w:hAnsi="Times New Roman" w:cs="Times New Roman"/>
          <w:i/>
        </w:rPr>
        <w:t>Ascensione</w:t>
      </w:r>
      <w:r w:rsidRPr="00796A9D">
        <w:rPr>
          <w:rFonts w:ascii="Times New Roman" w:hAnsi="Times New Roman" w:cs="Times New Roman"/>
        </w:rPr>
        <w:t xml:space="preserve"> e dell’</w:t>
      </w:r>
      <w:r w:rsidRPr="00796A9D">
        <w:rPr>
          <w:rFonts w:ascii="Times New Roman" w:hAnsi="Times New Roman" w:cs="Times New Roman"/>
          <w:i/>
        </w:rPr>
        <w:t>Annunciazione</w:t>
      </w:r>
      <w:r w:rsidRPr="00796A9D">
        <w:rPr>
          <w:rFonts w:ascii="Times New Roman" w:hAnsi="Times New Roman" w:cs="Times New Roman"/>
        </w:rPr>
        <w:t xml:space="preserve"> nelle chiese fiorentine del Carmine e di San Felice in Piazza furono il precedente sperimentale di soluzioni adottate in seguito dall’architetto per costruire la cupola di Santa Maria del Fiore. Cfr. </w:t>
      </w:r>
      <w:r w:rsidRPr="00796A9D">
        <w:rPr>
          <w:rFonts w:ascii="Times New Roman" w:eastAsia="Times New Roman" w:hAnsi="Times New Roman" w:cs="Times New Roman"/>
          <w:smallCaps/>
        </w:rPr>
        <w:t>P. Ventrone</w:t>
      </w:r>
      <w:r w:rsidRPr="00796A9D">
        <w:rPr>
          <w:rFonts w:ascii="Times New Roman" w:eastAsia="Times New Roman" w:hAnsi="Times New Roman" w:cs="Times New Roman"/>
        </w:rPr>
        <w:t xml:space="preserve">, </w:t>
      </w:r>
      <w:r w:rsidRPr="00796A9D">
        <w:rPr>
          <w:rFonts w:ascii="Times New Roman" w:eastAsia="Times New Roman" w:hAnsi="Times New Roman" w:cs="Times New Roman"/>
          <w:i/>
        </w:rPr>
        <w:t>Teatro civile e sacra rappresentazione a Firenze nel Rinascimento</w:t>
      </w:r>
      <w:r w:rsidRPr="00796A9D">
        <w:rPr>
          <w:rFonts w:ascii="Times New Roman" w:eastAsia="Times New Roman" w:hAnsi="Times New Roman" w:cs="Times New Roman"/>
        </w:rPr>
        <w:t xml:space="preserve">, </w:t>
      </w:r>
      <w:r w:rsidRPr="00796A9D">
        <w:rPr>
          <w:rFonts w:ascii="Times New Roman" w:hAnsi="Times New Roman" w:cs="Times New Roman"/>
        </w:rPr>
        <w:t>cit., p. 140. A</w:t>
      </w:r>
      <w:r>
        <w:rPr>
          <w:rFonts w:ascii="Times New Roman" w:hAnsi="Times New Roman" w:cs="Times New Roman"/>
        </w:rPr>
        <w:t xml:space="preserve"> questo studio </w:t>
      </w:r>
      <w:r w:rsidRPr="00796A9D">
        <w:rPr>
          <w:rFonts w:ascii="Times New Roman" w:hAnsi="Times New Roman" w:cs="Times New Roman"/>
        </w:rPr>
        <w:t xml:space="preserve">si rinvia anche per un’aggiornata ricostruzione degli apparati del Brunelleschi, su cui già Ludovico Zorzi aveva fermato l’attenzione, ipotizzando all’opposto un moto dalla pratica architettonica all’allestimento teatrale di congegni impiegabili in entrambi i campi artistici. Cfr. </w:t>
      </w:r>
      <w:r w:rsidRPr="00796A9D">
        <w:rPr>
          <w:rFonts w:ascii="Times New Roman" w:hAnsi="Times New Roman" w:cs="Times New Roman"/>
          <w:smallCaps/>
        </w:rPr>
        <w:t>L. Zorzi</w:t>
      </w:r>
      <w:r w:rsidRPr="00796A9D">
        <w:rPr>
          <w:rFonts w:ascii="Times New Roman" w:hAnsi="Times New Roman" w:cs="Times New Roman"/>
        </w:rPr>
        <w:t xml:space="preserve">, </w:t>
      </w:r>
      <w:r w:rsidRPr="00796A9D">
        <w:rPr>
          <w:rFonts w:ascii="Times New Roman" w:hAnsi="Times New Roman" w:cs="Times New Roman"/>
          <w:i/>
        </w:rPr>
        <w:t>La scenotecnica brunelleschiana: problemi filologici e interpretativi,</w:t>
      </w:r>
      <w:r w:rsidRPr="00796A9D">
        <w:rPr>
          <w:rFonts w:ascii="Times New Roman" w:hAnsi="Times New Roman" w:cs="Times New Roman"/>
        </w:rPr>
        <w:t xml:space="preserve"> in </w:t>
      </w:r>
      <w:r w:rsidRPr="00796A9D">
        <w:rPr>
          <w:rFonts w:ascii="Times New Roman" w:hAnsi="Times New Roman" w:cs="Times New Roman"/>
          <w:i/>
        </w:rPr>
        <w:t>Filippo Brunelleschi. La sua opera e il suo tempo</w:t>
      </w:r>
      <w:r w:rsidRPr="00796A9D">
        <w:rPr>
          <w:rFonts w:ascii="Times New Roman" w:hAnsi="Times New Roman" w:cs="Times New Roman"/>
        </w:rPr>
        <w:t>. Atti del convegno internazionale di studi (Firenze, 1977), Firenze, Centro Di, 1980, vol. I, pp. 161-171.</w:t>
      </w:r>
    </w:p>
  </w:footnote>
  <w:footnote w:id="512">
    <w:p w14:paraId="7073948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Rinvio a </w:t>
      </w:r>
      <w:r w:rsidRPr="00796A9D">
        <w:rPr>
          <w:rFonts w:ascii="Times New Roman" w:hAnsi="Times New Roman" w:cs="Times New Roman"/>
          <w:smallCaps/>
        </w:rPr>
        <w:t>E. Rossetti,</w:t>
      </w:r>
      <w:r w:rsidRPr="00796A9D">
        <w:rPr>
          <w:rFonts w:ascii="Times New Roman" w:hAnsi="Times New Roman" w:cs="Times New Roman"/>
        </w:rPr>
        <w:t xml:space="preserve"> </w:t>
      </w:r>
      <w:r w:rsidRPr="00796A9D">
        <w:rPr>
          <w:rFonts w:ascii="Times New Roman" w:hAnsi="Times New Roman" w:cs="Times New Roman"/>
          <w:i/>
        </w:rPr>
        <w:t>Bramante cortigiano? Note sui rapporti tra l’artista e la società milanese</w:t>
      </w:r>
      <w:r w:rsidRPr="00796A9D">
        <w:rPr>
          <w:rFonts w:ascii="Times New Roman" w:hAnsi="Times New Roman" w:cs="Times New Roman"/>
        </w:rPr>
        <w:t xml:space="preserve">, in </w:t>
      </w:r>
      <w:r w:rsidRPr="00796A9D">
        <w:rPr>
          <w:rFonts w:ascii="Times New Roman" w:hAnsi="Times New Roman" w:cs="Times New Roman"/>
          <w:i/>
        </w:rPr>
        <w:t>Bramante a Milano. Le arti in Lombardia 1477-1499</w:t>
      </w:r>
      <w:r w:rsidRPr="00796A9D">
        <w:rPr>
          <w:rFonts w:ascii="Times New Roman" w:hAnsi="Times New Roman" w:cs="Times New Roman"/>
        </w:rPr>
        <w:t xml:space="preserve">, a cura di </w:t>
      </w:r>
      <w:r w:rsidRPr="00796A9D">
        <w:rPr>
          <w:rFonts w:ascii="Times New Roman" w:hAnsi="Times New Roman" w:cs="Times New Roman"/>
          <w:smallCaps/>
        </w:rPr>
        <w:t>M. Ceriana, E. Daffara, M. Natale</w:t>
      </w:r>
      <w:r w:rsidRPr="00796A9D">
        <w:rPr>
          <w:rFonts w:ascii="Times New Roman" w:hAnsi="Times New Roman" w:cs="Times New Roman"/>
        </w:rPr>
        <w:t xml:space="preserve">, Milano, Skira, 2015, pp. 95-99, dove si osserva che tra il 1479 e il 1492 Bramante fu in stretto rapporto, oltre che con i Visconti, con Gian Giacomo Trivulzio e Antonietto Campofregoso, piuttosto che col Moro, con il quale il primo contatto diretto sarebbe stato del maggio 1492. Esso è attestato da una lettera di Bartolomeo Calco in cui Ludovico è informato del rifiuto dell’artista di partecipare ai progetti per trasformare l’oblazione di Porta Orientale di quell’anno in una cerimonia dinastica per il battesimo del figlio di Gian Galeazzo e Isabella, Francesco II.  </w:t>
      </w:r>
    </w:p>
  </w:footnote>
  <w:footnote w:id="513">
    <w:p w14:paraId="1D15328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proposito, </w:t>
      </w:r>
      <w:bookmarkStart w:id="405" w:name="_Hlk526456631"/>
      <w:r w:rsidRPr="00796A9D">
        <w:rPr>
          <w:rFonts w:ascii="Times New Roman" w:hAnsi="Times New Roman" w:cs="Times New Roman"/>
          <w:smallCaps/>
        </w:rPr>
        <w:t>M. Ceriana</w:t>
      </w:r>
      <w:r w:rsidRPr="00796A9D">
        <w:rPr>
          <w:rFonts w:ascii="Times New Roman" w:hAnsi="Times New Roman" w:cs="Times New Roman"/>
        </w:rPr>
        <w:t xml:space="preserve">, </w:t>
      </w:r>
      <w:r w:rsidRPr="00796A9D">
        <w:rPr>
          <w:rFonts w:ascii="Times New Roman" w:hAnsi="Times New Roman" w:cs="Times New Roman"/>
          <w:i/>
        </w:rPr>
        <w:t>Osservazioni sulle architetture plastiche o dipinte a Milano tra il 1470 e il 1520</w:t>
      </w:r>
      <w:r w:rsidRPr="00796A9D">
        <w:rPr>
          <w:rFonts w:ascii="Times New Roman" w:hAnsi="Times New Roman" w:cs="Times New Roman"/>
        </w:rPr>
        <w:t xml:space="preserve">, in </w:t>
      </w:r>
      <w:r w:rsidRPr="00796A9D">
        <w:rPr>
          <w:rFonts w:ascii="Times New Roman" w:hAnsi="Times New Roman" w:cs="Times New Roman"/>
          <w:i/>
        </w:rPr>
        <w:t>Bramante milanese e l’architettura del Rinascimento lombardo</w:t>
      </w:r>
      <w:r w:rsidRPr="00796A9D">
        <w:rPr>
          <w:rFonts w:ascii="Times New Roman" w:hAnsi="Times New Roman" w:cs="Times New Roman"/>
        </w:rPr>
        <w:t xml:space="preserve">, a cura di </w:t>
      </w:r>
      <w:r w:rsidRPr="00796A9D">
        <w:rPr>
          <w:rFonts w:ascii="Times New Roman" w:hAnsi="Times New Roman" w:cs="Times New Roman"/>
          <w:smallCaps/>
        </w:rPr>
        <w:t>C.L. Frommel, L. Giordano, R. Schofield</w:t>
      </w:r>
      <w:r w:rsidRPr="00796A9D">
        <w:rPr>
          <w:rFonts w:ascii="Times New Roman" w:hAnsi="Times New Roman" w:cs="Times New Roman"/>
        </w:rPr>
        <w:t>, Venezia, Marsilio, 2002, pp. 111-146.</w:t>
      </w:r>
    </w:p>
    <w:bookmarkEnd w:id="405"/>
  </w:footnote>
  <w:footnote w:id="514">
    <w:p w14:paraId="5140C6F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R. </w:t>
      </w:r>
      <w:r w:rsidRPr="00796A9D">
        <w:rPr>
          <w:rFonts w:ascii="Times New Roman" w:hAnsi="Times New Roman" w:cs="Times New Roman"/>
          <w:smallCaps/>
        </w:rPr>
        <w:t>Schofield</w:t>
      </w:r>
      <w:r w:rsidRPr="00796A9D">
        <w:rPr>
          <w:rFonts w:ascii="Times New Roman" w:hAnsi="Times New Roman" w:cs="Times New Roman"/>
        </w:rPr>
        <w:t xml:space="preserve">, </w:t>
      </w:r>
      <w:r w:rsidRPr="00796A9D">
        <w:rPr>
          <w:rFonts w:ascii="Times New Roman" w:hAnsi="Times New Roman" w:cs="Times New Roman"/>
          <w:i/>
        </w:rPr>
        <w:t xml:space="preserve">L’architettura temporanea, </w:t>
      </w:r>
      <w:r w:rsidRPr="00796A9D">
        <w:rPr>
          <w:rFonts w:ascii="Times New Roman" w:hAnsi="Times New Roman" w:cs="Times New Roman"/>
        </w:rPr>
        <w:t>cit, pp. 79-81</w:t>
      </w:r>
      <w:r w:rsidRPr="00796A9D">
        <w:rPr>
          <w:rFonts w:ascii="Times New Roman" w:hAnsi="Times New Roman" w:cs="Times New Roman"/>
          <w:i/>
        </w:rPr>
        <w:t xml:space="preserve">. </w:t>
      </w:r>
      <w:r w:rsidRPr="00796A9D">
        <w:rPr>
          <w:rFonts w:ascii="Times New Roman" w:hAnsi="Times New Roman" w:cs="Times New Roman"/>
        </w:rPr>
        <w:t>Quanto al bacio della croce da parte di Isabella mi preme osservare come esso costituisca la prima delle cerimonie componenti l</w:t>
      </w:r>
      <w:r w:rsidRPr="00796A9D">
        <w:rPr>
          <w:rFonts w:ascii="Times New Roman" w:hAnsi="Times New Roman" w:cs="Times New Roman"/>
          <w:i/>
        </w:rPr>
        <w:t>’Ordo ad recipiendam processionaliter principissam</w:t>
      </w:r>
      <w:r w:rsidRPr="00796A9D">
        <w:rPr>
          <w:rFonts w:ascii="Times New Roman" w:hAnsi="Times New Roman" w:cs="Times New Roman"/>
        </w:rPr>
        <w:t xml:space="preserve"> del </w:t>
      </w:r>
      <w:r w:rsidRPr="00796A9D">
        <w:rPr>
          <w:rFonts w:ascii="Times New Roman" w:hAnsi="Times New Roman" w:cs="Times New Roman"/>
          <w:i/>
        </w:rPr>
        <w:t>Pontificalis Liber</w:t>
      </w:r>
      <w:r w:rsidRPr="00796A9D">
        <w:rPr>
          <w:rFonts w:ascii="Times New Roman" w:hAnsi="Times New Roman" w:cs="Times New Roman"/>
        </w:rPr>
        <w:t xml:space="preserve"> redatto da </w:t>
      </w:r>
      <w:bookmarkStart w:id="406" w:name="_Hlk535948057"/>
      <w:r w:rsidRPr="00796A9D">
        <w:rPr>
          <w:rFonts w:ascii="Times New Roman" w:hAnsi="Times New Roman" w:cs="Times New Roman"/>
        </w:rPr>
        <w:t xml:space="preserve">Agostino Patrizi Piccolomini </w:t>
      </w:r>
      <w:bookmarkEnd w:id="406"/>
      <w:r w:rsidRPr="00796A9D">
        <w:rPr>
          <w:rFonts w:ascii="Times New Roman" w:hAnsi="Times New Roman" w:cs="Times New Roman"/>
        </w:rPr>
        <w:t xml:space="preserve">e </w:t>
      </w:r>
      <w:bookmarkStart w:id="407" w:name="_Hlk535948097"/>
      <w:r w:rsidRPr="00796A9D">
        <w:rPr>
          <w:rFonts w:ascii="Times New Roman" w:hAnsi="Times New Roman" w:cs="Times New Roman"/>
        </w:rPr>
        <w:t xml:space="preserve">Giovanni Burcardo </w:t>
      </w:r>
      <w:bookmarkEnd w:id="407"/>
      <w:r w:rsidRPr="00796A9D">
        <w:rPr>
          <w:rFonts w:ascii="Times New Roman" w:hAnsi="Times New Roman" w:cs="Times New Roman"/>
        </w:rPr>
        <w:t xml:space="preserve">per volontà di papa Innocenzo VIII, impresso a Roma da Stefano Planck il 20 dicembre 1485. L’atto di venerazione del crocifisso, abitualmente presentato alle porte della città dal clero metropolitano, era adottato anche per gli ingressi di imperatori, re e principi. L’edizione anastatica di questa preziosa fonte per la conoscenza delle consuetudini liturgiche e cerimoniali quattrocentesche è offerta in </w:t>
      </w:r>
      <w:bookmarkStart w:id="408" w:name="_Hlk526456707"/>
      <w:r w:rsidRPr="00796A9D">
        <w:rPr>
          <w:rFonts w:ascii="Times New Roman" w:hAnsi="Times New Roman" w:cs="Times New Roman"/>
          <w:i/>
        </w:rPr>
        <w:t>Il Pontificalis Liber di Agostino Patrizi Piccolomini e Giovanni Burcardo (1485)</w:t>
      </w:r>
      <w:r w:rsidRPr="00796A9D">
        <w:rPr>
          <w:rFonts w:ascii="Times New Roman" w:hAnsi="Times New Roman" w:cs="Times New Roman"/>
        </w:rPr>
        <w:t xml:space="preserve">, a cura di M. </w:t>
      </w:r>
      <w:r w:rsidRPr="00796A9D">
        <w:rPr>
          <w:rFonts w:ascii="Times New Roman" w:hAnsi="Times New Roman" w:cs="Times New Roman"/>
          <w:smallCaps/>
        </w:rPr>
        <w:t>Sodi</w:t>
      </w:r>
      <w:r w:rsidRPr="00796A9D">
        <w:rPr>
          <w:rFonts w:ascii="Times New Roman" w:hAnsi="Times New Roman" w:cs="Times New Roman"/>
        </w:rPr>
        <w:t>, Città del Vaticano, Libreria Editrice Vaticana, 2006</w:t>
      </w:r>
      <w:bookmarkEnd w:id="408"/>
      <w:r w:rsidRPr="00796A9D">
        <w:rPr>
          <w:rFonts w:ascii="Times New Roman" w:hAnsi="Times New Roman" w:cs="Times New Roman"/>
        </w:rPr>
        <w:t xml:space="preserve">, pp. 538-539. </w:t>
      </w:r>
    </w:p>
  </w:footnote>
  <w:footnote w:id="515">
    <w:p w14:paraId="3D1D4AE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Tali notizie intorno alla basilica di San Lorenzo si leggono nella </w:t>
      </w:r>
      <w:r w:rsidRPr="00796A9D">
        <w:rPr>
          <w:rFonts w:ascii="Times New Roman" w:hAnsi="Times New Roman" w:cs="Times New Roman"/>
          <w:i/>
        </w:rPr>
        <w:t>Cronica</w:t>
      </w:r>
      <w:r w:rsidRPr="00796A9D">
        <w:rPr>
          <w:rFonts w:ascii="Times New Roman" w:hAnsi="Times New Roman" w:cs="Times New Roman"/>
        </w:rPr>
        <w:t xml:space="preserve"> di Galvano Flamma (circa 1396), in diversi scritti di Giorgio Merula, e nei libri I e VI della </w:t>
      </w:r>
      <w:r w:rsidRPr="00796A9D">
        <w:rPr>
          <w:rFonts w:ascii="Times New Roman" w:hAnsi="Times New Roman" w:cs="Times New Roman"/>
          <w:i/>
        </w:rPr>
        <w:t>Medioalanensi historia patria</w:t>
      </w:r>
      <w:r w:rsidRPr="00796A9D">
        <w:rPr>
          <w:rFonts w:ascii="Times New Roman" w:hAnsi="Times New Roman" w:cs="Times New Roman"/>
        </w:rPr>
        <w:t xml:space="preserve"> di Tristano Calco. È noto che intorno agli anni Novanta del Quattrocento questo edificio attirò gli interessi di diversi architetti interpellati anche dalla Fabbrica del Duomo per la costruzione del tiburio, ovvero Luca Fancelli (a Milano dal 1487), Francesco di Giorgio Martini (a Milano e Pavia dal 1490), Bramante, Giuliano da Sangallo (ivi nel 1492) e Leonardo, che disegnò più volte le architetture della basilica con curiose variazioni tra il 1485 e il 1490. Cfr</w:t>
      </w:r>
      <w:r w:rsidRPr="00796A9D">
        <w:rPr>
          <w:rFonts w:ascii="Times New Roman" w:hAnsi="Times New Roman" w:cs="Times New Roman"/>
          <w:smallCaps/>
        </w:rPr>
        <w:t xml:space="preserve">. </w:t>
      </w:r>
      <w:bookmarkStart w:id="409" w:name="_Hlk526456847"/>
      <w:r w:rsidRPr="00796A9D">
        <w:rPr>
          <w:rFonts w:ascii="Times New Roman" w:hAnsi="Times New Roman" w:cs="Times New Roman"/>
          <w:smallCaps/>
        </w:rPr>
        <w:t>P.C. Marani</w:t>
      </w:r>
      <w:r w:rsidRPr="00796A9D">
        <w:rPr>
          <w:rFonts w:ascii="Times New Roman" w:hAnsi="Times New Roman" w:cs="Times New Roman"/>
        </w:rPr>
        <w:t xml:space="preserve">, </w:t>
      </w:r>
      <w:r w:rsidRPr="00796A9D">
        <w:rPr>
          <w:rFonts w:ascii="Times New Roman" w:hAnsi="Times New Roman" w:cs="Times New Roman"/>
          <w:i/>
        </w:rPr>
        <w:t>La fortuna del San Lorenzo di Milano tra Quattro e Cinquecento: da Leonardo a Bramante e Raffaello</w:t>
      </w:r>
      <w:r w:rsidRPr="00796A9D">
        <w:rPr>
          <w:rFonts w:ascii="Times New Roman" w:hAnsi="Times New Roman" w:cs="Times New Roman"/>
        </w:rPr>
        <w:t xml:space="preserve">, in </w:t>
      </w:r>
      <w:r w:rsidRPr="00796A9D">
        <w:rPr>
          <w:rFonts w:ascii="Times New Roman" w:hAnsi="Times New Roman" w:cs="Times New Roman"/>
          <w:i/>
        </w:rPr>
        <w:t>La costruzione della basilica di San Lorenzo a Milano</w:t>
      </w:r>
      <w:r w:rsidRPr="00796A9D">
        <w:rPr>
          <w:rFonts w:ascii="Times New Roman" w:hAnsi="Times New Roman" w:cs="Times New Roman"/>
        </w:rPr>
        <w:t xml:space="preserve">, a cura di L. </w:t>
      </w:r>
      <w:r w:rsidRPr="00796A9D">
        <w:rPr>
          <w:rFonts w:ascii="Times New Roman" w:hAnsi="Times New Roman" w:cs="Times New Roman"/>
          <w:smallCaps/>
        </w:rPr>
        <w:t>Fieni</w:t>
      </w:r>
      <w:r w:rsidRPr="00796A9D">
        <w:rPr>
          <w:rFonts w:ascii="Times New Roman" w:hAnsi="Times New Roman" w:cs="Times New Roman"/>
        </w:rPr>
        <w:t xml:space="preserve">, Cinisello Balsamo, Silvana, 2004, pp. 185-200. </w:t>
      </w:r>
      <w:bookmarkEnd w:id="409"/>
      <w:r w:rsidRPr="00796A9D">
        <w:rPr>
          <w:rFonts w:ascii="Times New Roman" w:hAnsi="Times New Roman" w:cs="Times New Roman"/>
        </w:rPr>
        <w:t xml:space="preserve"> </w:t>
      </w:r>
    </w:p>
  </w:footnote>
  <w:footnote w:id="516">
    <w:p w14:paraId="27CFEFC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oblazioni delle porte cittadine si svolgevano nel periodo tra Pentecoste e la prima domenica di settembre, dedicata alla Natività della Vergine. Al termine delle cerimonie, gli abitanti delle porte offrivano sul sagrato del Duomo delle rappresentazioni su carri e apparati mobili, delle quali la prima testimonianza, trasmessa dagli </w:t>
      </w:r>
      <w:r w:rsidRPr="00796A9D">
        <w:rPr>
          <w:rFonts w:ascii="Times New Roman" w:hAnsi="Times New Roman" w:cs="Times New Roman"/>
          <w:i/>
        </w:rPr>
        <w:t>Annali della Fabbrica del Duomo</w:t>
      </w:r>
      <w:r w:rsidRPr="00796A9D">
        <w:rPr>
          <w:rFonts w:ascii="Times New Roman" w:hAnsi="Times New Roman" w:cs="Times New Roman"/>
        </w:rPr>
        <w:t xml:space="preserve">, è del 1389: un allestimento delle storie di Giasone e Medea. La singolarità di questi spettacoli, rispetto a quelli ricorrenti nelle feste cittadine di altri centri italiani del Rinascimento, è data dalla varietà dei soggetti rappresentati, che spaziava dai temi mitologici, a quelli storici e agli episodi di storia sacra. Di questi eventi ci offrono testimonianze, oltre agli </w:t>
      </w:r>
      <w:r w:rsidRPr="00796A9D">
        <w:rPr>
          <w:rFonts w:ascii="Times New Roman" w:hAnsi="Times New Roman" w:cs="Times New Roman"/>
          <w:i/>
        </w:rPr>
        <w:t>Annali</w:t>
      </w:r>
      <w:r w:rsidRPr="00796A9D">
        <w:rPr>
          <w:rFonts w:ascii="Times New Roman" w:hAnsi="Times New Roman" w:cs="Times New Roman"/>
        </w:rPr>
        <w:t xml:space="preserve"> della cattedrale, diverse lettere di dignitari di corte che indicano come la partecipazione al finanziamento degli spettacoli offerti dalle porte fosse un’occasione di lustro e vanto per i membri delle famiglie milanesi più influenti. Si veda al riguardo </w:t>
      </w:r>
      <w:bookmarkStart w:id="410" w:name="_Hlk526457194"/>
      <w:r w:rsidRPr="00796A9D">
        <w:rPr>
          <w:rFonts w:ascii="Times New Roman" w:hAnsi="Times New Roman" w:cs="Times New Roman"/>
          <w:smallCaps/>
        </w:rPr>
        <w:t>P. Ventrone</w:t>
      </w:r>
      <w:r w:rsidRPr="00796A9D">
        <w:rPr>
          <w:rFonts w:ascii="Times New Roman" w:hAnsi="Times New Roman" w:cs="Times New Roman"/>
        </w:rPr>
        <w:t xml:space="preserve">, </w:t>
      </w:r>
      <w:r w:rsidRPr="00796A9D">
        <w:rPr>
          <w:rFonts w:ascii="Times New Roman" w:hAnsi="Times New Roman" w:cs="Times New Roman"/>
          <w:i/>
        </w:rPr>
        <w:t>Modelli ideologici e culturali nel teatro milanese di età viscontea e sforzesca</w:t>
      </w:r>
      <w:r w:rsidRPr="00796A9D">
        <w:rPr>
          <w:rFonts w:ascii="Times New Roman" w:hAnsi="Times New Roman" w:cs="Times New Roman"/>
        </w:rPr>
        <w:t xml:space="preserve">, in </w:t>
      </w:r>
      <w:r w:rsidRPr="00796A9D">
        <w:rPr>
          <w:rFonts w:ascii="Times New Roman" w:hAnsi="Times New Roman" w:cs="Times New Roman"/>
          <w:i/>
        </w:rPr>
        <w:t>Prima di Carlo Borromeo. Lettere e arti a Milano nel primo Cinquecento</w:t>
      </w:r>
      <w:r w:rsidRPr="00796A9D">
        <w:rPr>
          <w:rFonts w:ascii="Times New Roman" w:hAnsi="Times New Roman" w:cs="Times New Roman"/>
        </w:rPr>
        <w:t xml:space="preserve">, a cura di </w:t>
      </w:r>
      <w:r w:rsidRPr="00796A9D">
        <w:rPr>
          <w:rFonts w:ascii="Times New Roman" w:hAnsi="Times New Roman" w:cs="Times New Roman"/>
          <w:smallCaps/>
        </w:rPr>
        <w:t>E. Bellini, A. Rovetta</w:t>
      </w:r>
      <w:r w:rsidRPr="00796A9D">
        <w:rPr>
          <w:rFonts w:ascii="Times New Roman" w:hAnsi="Times New Roman" w:cs="Times New Roman"/>
        </w:rPr>
        <w:t xml:space="preserve">, Roma, Bulzoni, 2013, pp. 247-282. </w:t>
      </w:r>
    </w:p>
    <w:bookmarkEnd w:id="410"/>
  </w:footnote>
  <w:footnote w:id="517">
    <w:p w14:paraId="6F2DF63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data dell’arrivo a Milano di Bramante è incerta, ma si colloca presumibilmente negli anni 1478-1480. Ne fu forse ragione l’invito di Federico da Montefeltro a curare i lavori per l’ammodernamento di un palazzo sito in Porta Ticinese ricevuto in dono da Galeazzo Maria Sforza. Nel suo </w:t>
      </w:r>
      <w:r w:rsidRPr="00796A9D">
        <w:rPr>
          <w:rFonts w:ascii="Times New Roman" w:hAnsi="Times New Roman" w:cs="Times New Roman"/>
          <w:i/>
        </w:rPr>
        <w:t>Trattato</w:t>
      </w:r>
      <w:r w:rsidRPr="00796A9D">
        <w:rPr>
          <w:rFonts w:ascii="Times New Roman" w:hAnsi="Times New Roman" w:cs="Times New Roman"/>
        </w:rPr>
        <w:t xml:space="preserve"> Lomazzo informa di come egli avesse realizzato per conto del Comune alcuni affreschi per la facciata di una casa di Piazza dei Mercanti. Nel 1485 fu attivo come decoratore nel palazzo di Gian Giacomo Trivulzio. Per il poeta Gasparo Visconti completò nel 1492 il ciclo di affreschi degli </w:t>
      </w:r>
      <w:r w:rsidRPr="00796A9D">
        <w:rPr>
          <w:rFonts w:ascii="Times New Roman" w:hAnsi="Times New Roman" w:cs="Times New Roman"/>
          <w:i/>
        </w:rPr>
        <w:t>Uomini d’Arme</w:t>
      </w:r>
      <w:r w:rsidRPr="00796A9D">
        <w:rPr>
          <w:rFonts w:ascii="Times New Roman" w:hAnsi="Times New Roman" w:cs="Times New Roman"/>
        </w:rPr>
        <w:t xml:space="preserve">, oggi a Brera. Mentre al 1490 daterebbero i suoi interventi per la facciata di Palazzo Fontana. Cfr. </w:t>
      </w:r>
      <w:bookmarkStart w:id="411" w:name="_Hlk526457427"/>
      <w:r w:rsidRPr="00796A9D">
        <w:rPr>
          <w:rFonts w:ascii="Times New Roman" w:hAnsi="Times New Roman" w:cs="Times New Roman"/>
        </w:rPr>
        <w:t xml:space="preserve">L. </w:t>
      </w:r>
      <w:r w:rsidRPr="00796A9D">
        <w:rPr>
          <w:rFonts w:ascii="Times New Roman" w:hAnsi="Times New Roman" w:cs="Times New Roman"/>
          <w:smallCaps/>
        </w:rPr>
        <w:t>Patetta</w:t>
      </w:r>
      <w:r w:rsidRPr="00796A9D">
        <w:rPr>
          <w:rFonts w:ascii="Times New Roman" w:hAnsi="Times New Roman" w:cs="Times New Roman"/>
        </w:rPr>
        <w:t xml:space="preserve">, </w:t>
      </w:r>
      <w:r w:rsidRPr="00796A9D">
        <w:rPr>
          <w:rFonts w:ascii="Times New Roman" w:hAnsi="Times New Roman" w:cs="Times New Roman"/>
          <w:i/>
        </w:rPr>
        <w:t>Bramante architetto a Milano e la sua cerchia (1480-1499)</w:t>
      </w:r>
      <w:r w:rsidRPr="00796A9D">
        <w:rPr>
          <w:rFonts w:ascii="Times New Roman" w:hAnsi="Times New Roman" w:cs="Times New Roman"/>
        </w:rPr>
        <w:t xml:space="preserve">, in </w:t>
      </w:r>
      <w:r w:rsidRPr="00796A9D">
        <w:rPr>
          <w:rFonts w:ascii="Times New Roman" w:hAnsi="Times New Roman" w:cs="Times New Roman"/>
          <w:i/>
        </w:rPr>
        <w:t>Bramante e la sua cerchia a Milano e in Lombardia 1480-1500</w:t>
      </w:r>
      <w:r w:rsidRPr="00796A9D">
        <w:rPr>
          <w:rFonts w:ascii="Times New Roman" w:hAnsi="Times New Roman" w:cs="Times New Roman"/>
        </w:rPr>
        <w:t xml:space="preserve">, Milano, Skira, 2001, pp. 13-37.  </w:t>
      </w:r>
    </w:p>
    <w:bookmarkEnd w:id="411"/>
  </w:footnote>
  <w:footnote w:id="518">
    <w:p w14:paraId="514C594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G.A. Bossi</w:t>
      </w:r>
      <w:r w:rsidRPr="00796A9D">
        <w:rPr>
          <w:rFonts w:ascii="Times New Roman" w:hAnsi="Times New Roman" w:cs="Times New Roman"/>
        </w:rPr>
        <w:t xml:space="preserve">, </w:t>
      </w:r>
      <w:r w:rsidRPr="00796A9D">
        <w:rPr>
          <w:rFonts w:ascii="Times New Roman" w:hAnsi="Times New Roman" w:cs="Times New Roman"/>
          <w:i/>
        </w:rPr>
        <w:t>Epithalamium</w:t>
      </w:r>
      <w:r w:rsidRPr="00796A9D">
        <w:rPr>
          <w:rFonts w:ascii="Times New Roman" w:hAnsi="Times New Roman" w:cs="Times New Roman"/>
        </w:rPr>
        <w:t xml:space="preserve"> </w:t>
      </w:r>
      <w:r w:rsidRPr="00796A9D">
        <w:rPr>
          <w:rFonts w:ascii="Times New Roman" w:hAnsi="Times New Roman" w:cs="Times New Roman"/>
          <w:i/>
        </w:rPr>
        <w:t xml:space="preserve">De Johanne Galeazio sexto Mediolanensium duce et Elisabella uxore, </w:t>
      </w:r>
      <w:r w:rsidRPr="00796A9D">
        <w:rPr>
          <w:rFonts w:ascii="Times New Roman" w:hAnsi="Times New Roman" w:cs="Times New Roman"/>
        </w:rPr>
        <w:t xml:space="preserve">in </w:t>
      </w:r>
      <w:r w:rsidRPr="00796A9D">
        <w:rPr>
          <w:rFonts w:ascii="Times New Roman" w:hAnsi="Times New Roman" w:cs="Times New Roman"/>
          <w:smallCaps/>
        </w:rPr>
        <w:t>P. Bondioli</w:t>
      </w:r>
      <w:r w:rsidRPr="00796A9D">
        <w:rPr>
          <w:rFonts w:ascii="Times New Roman" w:hAnsi="Times New Roman" w:cs="Times New Roman"/>
        </w:rPr>
        <w:t xml:space="preserve">, </w:t>
      </w:r>
      <w:r w:rsidRPr="00796A9D">
        <w:rPr>
          <w:rFonts w:ascii="Times New Roman" w:hAnsi="Times New Roman" w:cs="Times New Roman"/>
          <w:i/>
        </w:rPr>
        <w:t>Un poeta bustese alle nozze di Gian Galeazzo Sforza e Isabella d'Aragona</w:t>
      </w:r>
      <w:r w:rsidRPr="00796A9D">
        <w:rPr>
          <w:rFonts w:ascii="Times New Roman" w:hAnsi="Times New Roman" w:cs="Times New Roman"/>
        </w:rPr>
        <w:t xml:space="preserve">, cit., p. 45, vv. 106-107. </w:t>
      </w:r>
    </w:p>
  </w:footnote>
  <w:footnote w:id="519">
    <w:p w14:paraId="790AC266"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Plin. Nat Hist, XXXVI, 117: </w:t>
      </w:r>
      <w:r w:rsidRPr="00796A9D">
        <w:rPr>
          <w:rFonts w:ascii="Times New Roman" w:hAnsi="Times New Roman" w:cs="Times New Roman"/>
          <w:i/>
        </w:rPr>
        <w:t>Theatra iuxta duo fecit amplissima ligno, cardinum singulorum versatili suspensa libramento, in quibus utrisque antemeridiano ludorum spectaculo edito inter sese aversis, ne invicem obstreperent scaenae, repente circumactis — ut constat, post primos dies etiam sedentibus aliquis —, cornibus in se coeuntibus faciebat ampitheatrum gladiatorumque proelia edebat, ipsum magis auctoritatum populum Romanum circumferens</w:t>
      </w:r>
      <w:r w:rsidRPr="00796A9D">
        <w:rPr>
          <w:rFonts w:ascii="Times New Roman" w:hAnsi="Times New Roman" w:cs="Times New Roman"/>
        </w:rPr>
        <w:t xml:space="preserve">.  Gaio Scribonio Curione, edile nel 53 a.C., rivestì nel 51 la carica di pontefice. </w:t>
      </w:r>
      <w:r w:rsidRPr="00796A9D">
        <w:rPr>
          <w:rFonts w:ascii="Times New Roman" w:hAnsi="Times New Roman" w:cs="Times New Roman"/>
          <w:lang w:val="en-US"/>
        </w:rPr>
        <w:t xml:space="preserve">Morì l’anno seguente in Africa fronteggiando l’esercito di Giuba. </w:t>
      </w:r>
    </w:p>
  </w:footnote>
  <w:footnote w:id="520">
    <w:p w14:paraId="2CD0C4A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w:t>
      </w:r>
      <w:bookmarkStart w:id="413" w:name="_Hlk526457903"/>
      <w:r w:rsidRPr="00796A9D">
        <w:rPr>
          <w:rFonts w:ascii="Times New Roman" w:hAnsi="Times New Roman" w:cs="Times New Roman"/>
          <w:smallCaps/>
          <w:lang w:val="en-US"/>
        </w:rPr>
        <w:t>P. Fane Saunders</w:t>
      </w:r>
      <w:r w:rsidRPr="00796A9D">
        <w:rPr>
          <w:rFonts w:ascii="Times New Roman" w:hAnsi="Times New Roman" w:cs="Times New Roman"/>
          <w:lang w:val="en-US"/>
        </w:rPr>
        <w:t xml:space="preserve">, </w:t>
      </w:r>
      <w:r w:rsidRPr="00796A9D">
        <w:rPr>
          <w:rFonts w:ascii="Times New Roman" w:hAnsi="Times New Roman" w:cs="Times New Roman"/>
          <w:i/>
          <w:lang w:val="en-US"/>
        </w:rPr>
        <w:t>Pliny the Elder and the emergence of Renaissance Architecture</w:t>
      </w:r>
      <w:r w:rsidRPr="00796A9D">
        <w:rPr>
          <w:rFonts w:ascii="Times New Roman" w:hAnsi="Times New Roman" w:cs="Times New Roman"/>
          <w:lang w:val="en-US"/>
        </w:rPr>
        <w:t>, New York, Cambridge University Press, 2016</w:t>
      </w:r>
      <w:bookmarkEnd w:id="413"/>
      <w:r w:rsidRPr="00796A9D">
        <w:rPr>
          <w:rFonts w:ascii="Times New Roman" w:hAnsi="Times New Roman" w:cs="Times New Roman"/>
          <w:lang w:val="en-US"/>
        </w:rPr>
        <w:t xml:space="preserve">, p. 59. </w:t>
      </w:r>
      <w:r w:rsidRPr="00796A9D">
        <w:rPr>
          <w:rFonts w:ascii="Times New Roman" w:hAnsi="Times New Roman" w:cs="Times New Roman"/>
        </w:rPr>
        <w:t xml:space="preserve">Al quale si rimanda anche per altri esempi di citazioni d’edifici teatrali romani provvisori messi a paragone con apparati rinascimentali, come il teatro di </w:t>
      </w:r>
      <w:bookmarkStart w:id="414" w:name="_Hlk535948455"/>
      <w:r w:rsidRPr="00796A9D">
        <w:rPr>
          <w:rFonts w:ascii="Times New Roman" w:hAnsi="Times New Roman" w:cs="Times New Roman"/>
        </w:rPr>
        <w:t>Marco Emilio Scauro</w:t>
      </w:r>
      <w:bookmarkEnd w:id="414"/>
      <w:r w:rsidRPr="00796A9D">
        <w:rPr>
          <w:rFonts w:ascii="Times New Roman" w:hAnsi="Times New Roman" w:cs="Times New Roman"/>
        </w:rPr>
        <w:t>, montato per i giochi del suo edilato nel 58 a.C., ricordato da Porcellio Pandon</w:t>
      </w:r>
      <w:r>
        <w:rPr>
          <w:rFonts w:ascii="Times New Roman" w:hAnsi="Times New Roman" w:cs="Times New Roman"/>
        </w:rPr>
        <w:t>i</w:t>
      </w:r>
      <w:r w:rsidRPr="00796A9D">
        <w:rPr>
          <w:rFonts w:ascii="Times New Roman" w:hAnsi="Times New Roman" w:cs="Times New Roman"/>
        </w:rPr>
        <w:t xml:space="preserve"> nell’</w:t>
      </w:r>
      <w:r w:rsidRPr="00796A9D">
        <w:rPr>
          <w:rFonts w:ascii="Times New Roman" w:hAnsi="Times New Roman" w:cs="Times New Roman"/>
          <w:i/>
        </w:rPr>
        <w:t>Admirabile convivium</w:t>
      </w:r>
      <w:r w:rsidRPr="00796A9D">
        <w:rPr>
          <w:rFonts w:ascii="Times New Roman" w:hAnsi="Times New Roman" w:cs="Times New Roman"/>
        </w:rPr>
        <w:t xml:space="preserve"> dedicato al banchetto romano imbandito da Pietro Riario nel 1473 in occasione del passaggio di Eleonora d’Aragona.  </w:t>
      </w:r>
    </w:p>
  </w:footnote>
  <w:footnote w:id="521">
    <w:p w14:paraId="60162A5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È stato notato come un carattere propriamente milanese di questo ingresso si rilevi nell’abbondanza del fasto decorativo, assolutamente inaccessibile in un sistema repubblicano. Per questo e per il richiamo al mito biblico dell’Eden della decorazione urbana del 1489 cfr. </w:t>
      </w:r>
      <w:r w:rsidRPr="00796A9D">
        <w:rPr>
          <w:rFonts w:ascii="Times New Roman" w:hAnsi="Times New Roman" w:cs="Times New Roman"/>
          <w:smallCaps/>
        </w:rPr>
        <w:t>E. Garbero Zorzi</w:t>
      </w:r>
      <w:r w:rsidRPr="00796A9D">
        <w:rPr>
          <w:rFonts w:ascii="Times New Roman" w:hAnsi="Times New Roman" w:cs="Times New Roman"/>
        </w:rPr>
        <w:t xml:space="preserve">, </w:t>
      </w:r>
      <w:r w:rsidRPr="00796A9D">
        <w:rPr>
          <w:rFonts w:ascii="Times New Roman" w:hAnsi="Times New Roman" w:cs="Times New Roman"/>
          <w:i/>
        </w:rPr>
        <w:t>Le forme dello spettacolo in due città-stato del Rinascimento: Firenze e Milano</w:t>
      </w:r>
      <w:r w:rsidRPr="00796A9D">
        <w:rPr>
          <w:rFonts w:ascii="Times New Roman" w:hAnsi="Times New Roman" w:cs="Times New Roman"/>
        </w:rPr>
        <w:t xml:space="preserve">, in C.H. </w:t>
      </w:r>
      <w:r w:rsidRPr="00796A9D">
        <w:rPr>
          <w:rFonts w:ascii="Times New Roman" w:hAnsi="Times New Roman" w:cs="Times New Roman"/>
          <w:smallCaps/>
        </w:rPr>
        <w:t>Smyth</w:t>
      </w:r>
      <w:r w:rsidRPr="00796A9D">
        <w:rPr>
          <w:rFonts w:ascii="Times New Roman" w:hAnsi="Times New Roman" w:cs="Times New Roman"/>
        </w:rPr>
        <w:t xml:space="preserve">, G.C. </w:t>
      </w:r>
      <w:r w:rsidRPr="00796A9D">
        <w:rPr>
          <w:rFonts w:ascii="Times New Roman" w:hAnsi="Times New Roman" w:cs="Times New Roman"/>
          <w:smallCaps/>
        </w:rPr>
        <w:t>Garfagnini,</w:t>
      </w:r>
      <w:r w:rsidRPr="00796A9D">
        <w:rPr>
          <w:rFonts w:ascii="Times New Roman" w:hAnsi="Times New Roman" w:cs="Times New Roman"/>
          <w:i/>
          <w:smallCaps/>
        </w:rPr>
        <w:t xml:space="preserve"> </w:t>
      </w:r>
      <w:r w:rsidRPr="00796A9D">
        <w:rPr>
          <w:rFonts w:ascii="Times New Roman" w:hAnsi="Times New Roman" w:cs="Times New Roman"/>
          <w:i/>
        </w:rPr>
        <w:t xml:space="preserve">Florence and Milan: comparisons and relations. </w:t>
      </w:r>
      <w:r w:rsidRPr="00796A9D">
        <w:rPr>
          <w:rFonts w:ascii="Times New Roman" w:hAnsi="Times New Roman" w:cs="Times New Roman"/>
          <w:lang w:val="en-US"/>
        </w:rPr>
        <w:t xml:space="preserve">Acts of two Conferences at Villa I Tatti in 1982-1984, organized by </w:t>
      </w:r>
      <w:r w:rsidRPr="00796A9D">
        <w:rPr>
          <w:rFonts w:ascii="Times New Roman" w:hAnsi="Times New Roman" w:cs="Times New Roman"/>
          <w:smallCaps/>
          <w:lang w:val="en-US"/>
        </w:rPr>
        <w:t>S. Bertelli, N. Rubinstein, C. H. Smyth</w:t>
      </w:r>
      <w:r w:rsidRPr="00796A9D">
        <w:rPr>
          <w:rFonts w:ascii="Times New Roman" w:hAnsi="Times New Roman" w:cs="Times New Roman"/>
          <w:lang w:val="en-US"/>
        </w:rPr>
        <w:t xml:space="preserve">, Florence, 1989, vol. </w:t>
      </w:r>
      <w:r w:rsidRPr="00796A9D">
        <w:rPr>
          <w:rFonts w:ascii="Times New Roman" w:hAnsi="Times New Roman" w:cs="Times New Roman"/>
        </w:rPr>
        <w:t xml:space="preserve">II, pp. 271-285. </w:t>
      </w:r>
    </w:p>
  </w:footnote>
  <w:footnote w:id="522">
    <w:p w14:paraId="4D63315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L’edizione anastatica è offerta in </w:t>
      </w:r>
      <w:r w:rsidRPr="00796A9D">
        <w:rPr>
          <w:rFonts w:ascii="Times New Roman" w:hAnsi="Times New Roman" w:cs="Times New Roman"/>
          <w:i/>
        </w:rPr>
        <w:t>Il Codice B (2173) dell'Istituto di Francia integrato dal Codice Ashburnham 2037</w:t>
      </w:r>
      <w:r w:rsidRPr="00796A9D">
        <w:rPr>
          <w:rFonts w:ascii="Times New Roman" w:hAnsi="Times New Roman" w:cs="Times New Roman"/>
        </w:rPr>
        <w:t xml:space="preserve">, Perugia, ARS, 2003. Di esso i seguenti fogli sono stati messi in rapporto con l’attività di Leonardo apparatore di feste e spettacoli alle nozze di Isabella d’Aragona: f. 3v appunti per motivi allegorici; f. 4r drappi per apparecchio; f. 28v portico rivestito di ginepro; f. 29v armatura per un arco; f. 35r palchi e pennelli per decorazione di pareti; f. 54v armatura di un tiburio da festa: cfr. </w:t>
      </w:r>
      <w:r w:rsidRPr="00796A9D">
        <w:rPr>
          <w:rFonts w:ascii="Times New Roman" w:hAnsi="Times New Roman" w:cs="Times New Roman"/>
          <w:smallCaps/>
        </w:rPr>
        <w:t>M.L. Angiolillo</w:t>
      </w:r>
      <w:r w:rsidRPr="00796A9D">
        <w:rPr>
          <w:rFonts w:ascii="Times New Roman" w:hAnsi="Times New Roman" w:cs="Times New Roman"/>
        </w:rPr>
        <w:t xml:space="preserve">, </w:t>
      </w:r>
      <w:r w:rsidRPr="00796A9D">
        <w:rPr>
          <w:rFonts w:ascii="Times New Roman" w:hAnsi="Times New Roman" w:cs="Times New Roman"/>
          <w:i/>
        </w:rPr>
        <w:t>Leonardo: feste e teatri</w:t>
      </w:r>
      <w:r w:rsidRPr="00796A9D">
        <w:rPr>
          <w:rFonts w:ascii="Times New Roman" w:hAnsi="Times New Roman" w:cs="Times New Roman"/>
        </w:rPr>
        <w:t xml:space="preserve">, Napoli, Società Editrice Napoletana, 1979, p. 101.  </w:t>
      </w:r>
    </w:p>
  </w:footnote>
  <w:footnote w:id="523">
    <w:p w14:paraId="71696385" w14:textId="77777777" w:rsidR="00CF5CFB" w:rsidRPr="00796A9D" w:rsidRDefault="00CF5CFB" w:rsidP="00796A9D">
      <w:pPr>
        <w:spacing w:after="0"/>
        <w:jc w:val="both"/>
        <w:rPr>
          <w:rFonts w:ascii="Times New Roman" w:hAnsi="Times New Roman" w:cs="Times New Roman"/>
          <w:b/>
          <w:bCs/>
          <w:color w:val="000000"/>
          <w:sz w:val="20"/>
          <w:szCs w:val="20"/>
          <w:shd w:val="clear" w:color="auto" w:fill="FFFFFF"/>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L’autorità ducale fu sempre avversa alla presenza di caselli in legno sulla piazza del Duomo, senza riuscire però, nonostante diverse ordinanze, a farli asportare definitivamente. Le botteghe garantivano, infatti, affitti costanti alla deputazione della Fabbrica, e pare che dagli anni Settanta del Quattrocento essa si fosse adoperata per accentrare in questo luogo il commercio cittadino di legna, uova, vino e pollame. Cfr. </w:t>
      </w:r>
      <w:bookmarkStart w:id="415" w:name="_Hlk526458484"/>
      <w:r w:rsidRPr="00796A9D">
        <w:rPr>
          <w:rStyle w:val="Enfasigrassetto"/>
          <w:rFonts w:ascii="Times New Roman" w:hAnsi="Times New Roman" w:cs="Times New Roman"/>
          <w:b w:val="0"/>
          <w:color w:val="000000"/>
          <w:sz w:val="20"/>
          <w:szCs w:val="20"/>
          <w:shd w:val="clear" w:color="auto" w:fill="FFFFFF"/>
        </w:rPr>
        <w:t xml:space="preserve">A. </w:t>
      </w:r>
      <w:r w:rsidRPr="00796A9D">
        <w:rPr>
          <w:rStyle w:val="Enfasigrassetto"/>
          <w:rFonts w:ascii="Times New Roman" w:hAnsi="Times New Roman" w:cs="Times New Roman"/>
          <w:b w:val="0"/>
          <w:smallCaps/>
          <w:color w:val="000000"/>
          <w:sz w:val="20"/>
          <w:szCs w:val="20"/>
          <w:shd w:val="clear" w:color="auto" w:fill="FFFFFF"/>
        </w:rPr>
        <w:t>Grassi</w:t>
      </w:r>
      <w:r w:rsidRPr="00796A9D">
        <w:rPr>
          <w:rStyle w:val="Enfasigrassetto"/>
          <w:rFonts w:ascii="Times New Roman" w:hAnsi="Times New Roman" w:cs="Times New Roman"/>
          <w:b w:val="0"/>
          <w:color w:val="000000"/>
          <w:sz w:val="20"/>
          <w:szCs w:val="20"/>
          <w:shd w:val="clear" w:color="auto" w:fill="FFFFFF"/>
        </w:rPr>
        <w:t xml:space="preserve">, </w:t>
      </w:r>
      <w:r w:rsidRPr="00796A9D">
        <w:rPr>
          <w:rStyle w:val="Enfasigrassetto"/>
          <w:rFonts w:ascii="Times New Roman" w:hAnsi="Times New Roman" w:cs="Times New Roman"/>
          <w:b w:val="0"/>
          <w:i/>
          <w:color w:val="000000"/>
          <w:sz w:val="20"/>
          <w:szCs w:val="20"/>
          <w:shd w:val="clear" w:color="auto" w:fill="FFFFFF"/>
        </w:rPr>
        <w:t>Santa Tecla nel tardo medioevo. La grande basilica milanese, il paradisus, i mercanti</w:t>
      </w:r>
      <w:r w:rsidRPr="00796A9D">
        <w:rPr>
          <w:rStyle w:val="Enfasigrassetto"/>
          <w:rFonts w:ascii="Times New Roman" w:hAnsi="Times New Roman" w:cs="Times New Roman"/>
          <w:b w:val="0"/>
          <w:color w:val="000000"/>
          <w:sz w:val="20"/>
          <w:szCs w:val="20"/>
          <w:shd w:val="clear" w:color="auto" w:fill="FFFFFF"/>
        </w:rPr>
        <w:t>, Milano, Et, 1997</w:t>
      </w:r>
      <w:bookmarkEnd w:id="415"/>
      <w:r w:rsidRPr="00796A9D">
        <w:rPr>
          <w:rStyle w:val="Enfasigrassetto"/>
          <w:rFonts w:ascii="Times New Roman" w:hAnsi="Times New Roman" w:cs="Times New Roman"/>
          <w:b w:val="0"/>
          <w:color w:val="000000"/>
          <w:sz w:val="20"/>
          <w:szCs w:val="20"/>
          <w:shd w:val="clear" w:color="auto" w:fill="FFFFFF"/>
        </w:rPr>
        <w:t>, pp. 103-104. A questo studio rimando anche per una precisa indicazione degli spazi occupati dall’edificio porticato del Coperto del Figini, anch’esso ingombro di banchi di commercianti e disegnato probabilmente da Guiniforte Solari, e della contrada dei Pellizzari, eletta dai venditori di pellicce.</w:t>
      </w:r>
    </w:p>
  </w:footnote>
  <w:footnote w:id="524">
    <w:p w14:paraId="731BE1F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Calco segue un ordine differente nel presentare gli apparati, ma non si discosta da Dolcino quanto alla loro descrizione. Egli introduce in successione: l’ornamento del castello; la camera nuziale; il Duomo; l’arco trionfale; il colonnato del piazzale; il tiburio; l’interno del Duomo. </w:t>
      </w:r>
    </w:p>
  </w:footnote>
  <w:footnote w:id="525">
    <w:p w14:paraId="0FB9D71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J. </w:t>
      </w:r>
      <w:r w:rsidRPr="00796A9D">
        <w:rPr>
          <w:rFonts w:ascii="Times New Roman" w:hAnsi="Times New Roman" w:cs="Times New Roman"/>
          <w:smallCaps/>
        </w:rPr>
        <w:t>Gritti</w:t>
      </w:r>
      <w:r w:rsidRPr="00796A9D">
        <w:rPr>
          <w:rFonts w:ascii="Times New Roman" w:hAnsi="Times New Roman" w:cs="Times New Roman"/>
        </w:rPr>
        <w:t xml:space="preserve">, </w:t>
      </w:r>
      <w:r w:rsidRPr="00796A9D">
        <w:rPr>
          <w:rFonts w:ascii="Times New Roman" w:hAnsi="Times New Roman" w:cs="Times New Roman"/>
          <w:i/>
        </w:rPr>
        <w:t>Portici e logge del Castello di Milano. Caratteri e funzioni degli spazi residenziali nella Corte Ducale sforzesca</w:t>
      </w:r>
      <w:r w:rsidRPr="00796A9D">
        <w:rPr>
          <w:rFonts w:ascii="Times New Roman" w:hAnsi="Times New Roman" w:cs="Times New Roman"/>
        </w:rPr>
        <w:t xml:space="preserve">, in </w:t>
      </w:r>
      <w:r w:rsidRPr="00796A9D">
        <w:rPr>
          <w:rFonts w:ascii="Times New Roman" w:hAnsi="Times New Roman" w:cs="Times New Roman"/>
          <w:i/>
        </w:rPr>
        <w:t>Il cibo e la città</w:t>
      </w:r>
      <w:r w:rsidRPr="00796A9D">
        <w:rPr>
          <w:rFonts w:ascii="Times New Roman" w:hAnsi="Times New Roman" w:cs="Times New Roman"/>
        </w:rPr>
        <w:t xml:space="preserve">. Atti del convegno. Torino, 3-5 settembre 2015, in corso di pubblicazione. All’autrice vanno i miei ringraziamenti per la sua generosità nel permettermi di citare questa ricerca. </w:t>
      </w:r>
    </w:p>
  </w:footnote>
  <w:footnote w:id="526">
    <w:p w14:paraId="677C8283"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L’ammodernamento della corte ducale si deve presumibilmente al fiorentino Benedetto Ferrini. Quanto all’uso dei suoi spazi e agli interventi voluti dai duchi Sforza per trasformare la Rocca di Porta Giovia in una residenza principesca vedi </w:t>
      </w:r>
      <w:bookmarkStart w:id="416" w:name="_Hlk526633078"/>
      <w:r w:rsidRPr="00796A9D">
        <w:rPr>
          <w:rFonts w:ascii="Times New Roman" w:hAnsi="Times New Roman" w:cs="Times New Roman"/>
        </w:rPr>
        <w:t xml:space="preserve">A. </w:t>
      </w:r>
      <w:r w:rsidRPr="00796A9D">
        <w:rPr>
          <w:rFonts w:ascii="Times New Roman" w:hAnsi="Times New Roman" w:cs="Times New Roman"/>
          <w:smallCaps/>
        </w:rPr>
        <w:t>Scotti</w:t>
      </w:r>
      <w:r w:rsidRPr="00796A9D">
        <w:rPr>
          <w:rFonts w:ascii="Times New Roman" w:hAnsi="Times New Roman" w:cs="Times New Roman"/>
        </w:rPr>
        <w:t xml:space="preserve">, </w:t>
      </w:r>
      <w:r w:rsidRPr="00796A9D">
        <w:rPr>
          <w:rFonts w:ascii="Times New Roman" w:hAnsi="Times New Roman" w:cs="Times New Roman"/>
          <w:i/>
        </w:rPr>
        <w:t>The Sforza Castle in Milan</w:t>
      </w:r>
      <w:r w:rsidRPr="00796A9D">
        <w:rPr>
          <w:rFonts w:ascii="Times New Roman" w:hAnsi="Times New Roman" w:cs="Times New Roman"/>
        </w:rPr>
        <w:t xml:space="preserve"> </w:t>
      </w:r>
      <w:r w:rsidRPr="00796A9D">
        <w:rPr>
          <w:rFonts w:ascii="Times New Roman" w:hAnsi="Times New Roman" w:cs="Times New Roman"/>
          <w:i/>
        </w:rPr>
        <w:t>(1450-1499</w:t>
      </w:r>
      <w:r w:rsidRPr="00796A9D">
        <w:rPr>
          <w:rFonts w:ascii="Times New Roman" w:hAnsi="Times New Roman" w:cs="Times New Roman"/>
        </w:rPr>
        <w:t xml:space="preserve">), in </w:t>
      </w:r>
      <w:r w:rsidRPr="00796A9D">
        <w:rPr>
          <w:rFonts w:ascii="Times New Roman" w:hAnsi="Times New Roman" w:cs="Times New Roman"/>
          <w:i/>
        </w:rPr>
        <w:t xml:space="preserve">A Renaissance Architecture of Power. </w:t>
      </w:r>
      <w:r w:rsidRPr="00796A9D">
        <w:rPr>
          <w:rFonts w:ascii="Times New Roman" w:hAnsi="Times New Roman" w:cs="Times New Roman"/>
          <w:i/>
          <w:lang w:val="en-US"/>
        </w:rPr>
        <w:t>Princely Palaces in the Italian Renaissance</w:t>
      </w:r>
      <w:r w:rsidRPr="00796A9D">
        <w:rPr>
          <w:rFonts w:ascii="Times New Roman" w:hAnsi="Times New Roman" w:cs="Times New Roman"/>
          <w:lang w:val="en-US"/>
        </w:rPr>
        <w:t xml:space="preserve">, edited by S. </w:t>
      </w:r>
      <w:r w:rsidRPr="00796A9D">
        <w:rPr>
          <w:rFonts w:ascii="Times New Roman" w:hAnsi="Times New Roman" w:cs="Times New Roman"/>
          <w:smallCaps/>
          <w:lang w:val="en-US"/>
        </w:rPr>
        <w:t>Beltramo, F. Cantatore, M. Folin</w:t>
      </w:r>
      <w:r w:rsidRPr="00796A9D">
        <w:rPr>
          <w:rFonts w:ascii="Times New Roman" w:hAnsi="Times New Roman" w:cs="Times New Roman"/>
          <w:lang w:val="en-US"/>
        </w:rPr>
        <w:t>, Boston, Brill, 2016.</w:t>
      </w:r>
    </w:p>
    <w:bookmarkEnd w:id="416"/>
  </w:footnote>
  <w:footnote w:id="527">
    <w:p w14:paraId="2EA7C58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progetto decorativo degli appartamenti, elaborato in anni sensibili per la definizione dell’autorità sforzesca, che videro dapprima Galeazzo Maria attendere il riconoscimento del titolo ducale da parte dell’imperatore (1468-1469) e poi ambire a una corona regia (1470), si veda </w:t>
      </w:r>
      <w:r w:rsidRPr="00796A9D">
        <w:rPr>
          <w:rFonts w:ascii="Times New Roman" w:hAnsi="Times New Roman" w:cs="Times New Roman"/>
          <w:smallCaps/>
        </w:rPr>
        <w:t>M. Albertario</w:t>
      </w:r>
      <w:r w:rsidRPr="00796A9D">
        <w:rPr>
          <w:rFonts w:ascii="Times New Roman" w:hAnsi="Times New Roman" w:cs="Times New Roman"/>
        </w:rPr>
        <w:t xml:space="preserve">, </w:t>
      </w:r>
      <w:r w:rsidRPr="00796A9D">
        <w:rPr>
          <w:rFonts w:ascii="Times New Roman" w:hAnsi="Times New Roman" w:cs="Times New Roman"/>
          <w:i/>
        </w:rPr>
        <w:t>“Ad nostro modo”. La decorazione del castello nell’età di Galeazzo Maria Sforza (1466-1476)</w:t>
      </w:r>
      <w:r w:rsidRPr="00796A9D">
        <w:rPr>
          <w:rFonts w:ascii="Times New Roman" w:hAnsi="Times New Roman" w:cs="Times New Roman"/>
        </w:rPr>
        <w:t xml:space="preserve">, in </w:t>
      </w:r>
      <w:r w:rsidRPr="00796A9D">
        <w:rPr>
          <w:rFonts w:ascii="Times New Roman" w:hAnsi="Times New Roman" w:cs="Times New Roman"/>
          <w:i/>
        </w:rPr>
        <w:t>Il castello sforzesco di Milano</w:t>
      </w:r>
      <w:r w:rsidRPr="00796A9D">
        <w:rPr>
          <w:rFonts w:ascii="Times New Roman" w:hAnsi="Times New Roman" w:cs="Times New Roman"/>
        </w:rPr>
        <w:t xml:space="preserve">, a cura di M. T. </w:t>
      </w:r>
      <w:r w:rsidRPr="00796A9D">
        <w:rPr>
          <w:rFonts w:ascii="Times New Roman" w:hAnsi="Times New Roman" w:cs="Times New Roman"/>
          <w:smallCaps/>
        </w:rPr>
        <w:t>Fiorio</w:t>
      </w:r>
      <w:r w:rsidRPr="00796A9D">
        <w:rPr>
          <w:rFonts w:ascii="Times New Roman" w:hAnsi="Times New Roman" w:cs="Times New Roman"/>
        </w:rPr>
        <w:t xml:space="preserve">, Milano, Skira, 2005, pp. 99-136. </w:t>
      </w:r>
    </w:p>
  </w:footnote>
  <w:footnote w:id="528">
    <w:p w14:paraId="755212D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lussuosa collezione di perle e gemme di Alfonso d’Aragona è ricordata nel capitolo VII del </w:t>
      </w:r>
      <w:r w:rsidRPr="00796A9D">
        <w:rPr>
          <w:rFonts w:ascii="Times New Roman" w:hAnsi="Times New Roman" w:cs="Times New Roman"/>
          <w:i/>
        </w:rPr>
        <w:t>De splendore</w:t>
      </w:r>
      <w:r w:rsidRPr="00796A9D">
        <w:rPr>
          <w:rFonts w:ascii="Times New Roman" w:hAnsi="Times New Roman" w:cs="Times New Roman"/>
        </w:rPr>
        <w:t xml:space="preserve">. Il trattato appartiene al gruppo dei cinque </w:t>
      </w:r>
      <w:r w:rsidRPr="00796A9D">
        <w:rPr>
          <w:rFonts w:ascii="Times New Roman" w:hAnsi="Times New Roman" w:cs="Times New Roman"/>
          <w:i/>
        </w:rPr>
        <w:t>Libri delle virtù sociali</w:t>
      </w:r>
      <w:r w:rsidRPr="00796A9D">
        <w:rPr>
          <w:rFonts w:ascii="Times New Roman" w:hAnsi="Times New Roman" w:cs="Times New Roman"/>
        </w:rPr>
        <w:t xml:space="preserve"> composti da Pontano negli anni 1493-1494, durante il breve regno di Alfonso II, ma editi solo nel 1498, tre anni dopo la morte del monarca. Il testo è pubblicato e tradotto in </w:t>
      </w:r>
      <w:bookmarkStart w:id="417" w:name="_Hlk526633555"/>
      <w:r w:rsidRPr="00796A9D">
        <w:rPr>
          <w:rFonts w:ascii="Times New Roman" w:hAnsi="Times New Roman" w:cs="Times New Roman"/>
          <w:smallCaps/>
        </w:rPr>
        <w:t>G. Pontano</w:t>
      </w:r>
      <w:r w:rsidRPr="00796A9D">
        <w:rPr>
          <w:rFonts w:ascii="Times New Roman" w:hAnsi="Times New Roman" w:cs="Times New Roman"/>
        </w:rPr>
        <w:t xml:space="preserve">, </w:t>
      </w:r>
      <w:r w:rsidRPr="00796A9D">
        <w:rPr>
          <w:rFonts w:ascii="Times New Roman" w:hAnsi="Times New Roman" w:cs="Times New Roman"/>
          <w:i/>
        </w:rPr>
        <w:t>I libri delle virtù sociali</w:t>
      </w:r>
      <w:r w:rsidRPr="00796A9D">
        <w:rPr>
          <w:rFonts w:ascii="Times New Roman" w:hAnsi="Times New Roman" w:cs="Times New Roman"/>
        </w:rPr>
        <w:t xml:space="preserve">, a cura di </w:t>
      </w:r>
      <w:r w:rsidRPr="00796A9D">
        <w:rPr>
          <w:rFonts w:ascii="Times New Roman" w:hAnsi="Times New Roman" w:cs="Times New Roman"/>
          <w:smallCaps/>
        </w:rPr>
        <w:t>F. Tateo</w:t>
      </w:r>
      <w:r w:rsidRPr="00796A9D">
        <w:rPr>
          <w:rFonts w:ascii="Times New Roman" w:hAnsi="Times New Roman" w:cs="Times New Roman"/>
        </w:rPr>
        <w:t>, Roma, Bulzoni, 1999</w:t>
      </w:r>
      <w:bookmarkEnd w:id="417"/>
      <w:r w:rsidRPr="00796A9D">
        <w:rPr>
          <w:rFonts w:ascii="Times New Roman" w:hAnsi="Times New Roman" w:cs="Times New Roman"/>
        </w:rPr>
        <w:t xml:space="preserve">, pp. 238-241. </w:t>
      </w:r>
    </w:p>
  </w:footnote>
  <w:footnote w:id="529">
    <w:p w14:paraId="68A924B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notizia è riportata da Pontano nel capitolo II del medesimo trattato: </w:t>
      </w:r>
      <w:r w:rsidRPr="00796A9D">
        <w:rPr>
          <w:rFonts w:ascii="Times New Roman" w:hAnsi="Times New Roman" w:cs="Times New Roman"/>
          <w:i/>
        </w:rPr>
        <w:t>Ivi</w:t>
      </w:r>
      <w:r w:rsidRPr="00796A9D">
        <w:rPr>
          <w:rFonts w:ascii="Times New Roman" w:hAnsi="Times New Roman" w:cs="Times New Roman"/>
        </w:rPr>
        <w:t xml:space="preserve">, pp. 227-229. La possibile rivalità tra le due corti quanto all’abbondanza di ricercati gioielli nell’occasione dello sposalizio di Gian Galeazzo è proposta in </w:t>
      </w:r>
      <w:bookmarkStart w:id="418" w:name="_Hlk526633669"/>
      <w:r w:rsidRPr="00796A9D">
        <w:rPr>
          <w:rFonts w:ascii="Times New Roman" w:hAnsi="Times New Roman" w:cs="Times New Roman"/>
        </w:rPr>
        <w:t>I</w:t>
      </w:r>
      <w:r w:rsidRPr="00796A9D">
        <w:rPr>
          <w:rFonts w:ascii="Times New Roman" w:hAnsi="Times New Roman" w:cs="Times New Roman"/>
          <w:smallCaps/>
        </w:rPr>
        <w:t>. Nuovo</w:t>
      </w:r>
      <w:r w:rsidRPr="00796A9D">
        <w:rPr>
          <w:rFonts w:ascii="Times New Roman" w:hAnsi="Times New Roman" w:cs="Times New Roman"/>
        </w:rPr>
        <w:t xml:space="preserve">, </w:t>
      </w:r>
      <w:r w:rsidRPr="00796A9D">
        <w:rPr>
          <w:rFonts w:ascii="Times New Roman" w:hAnsi="Times New Roman" w:cs="Times New Roman"/>
          <w:i/>
        </w:rPr>
        <w:t>La festa tra spettacolo e invenzione: il corteo nuziale di Isabella d’Aragona e Gian Galeazzo Sforza</w:t>
      </w:r>
      <w:r w:rsidRPr="00796A9D">
        <w:rPr>
          <w:rFonts w:ascii="Times New Roman" w:hAnsi="Times New Roman" w:cs="Times New Roman"/>
        </w:rPr>
        <w:t xml:space="preserve">, in </w:t>
      </w:r>
      <w:r w:rsidRPr="00796A9D">
        <w:rPr>
          <w:rFonts w:ascii="Times New Roman" w:hAnsi="Times New Roman" w:cs="Times New Roman"/>
          <w:i/>
        </w:rPr>
        <w:t>Patrimonium in festa. Cortei, tornei, artifici e feste alla fine del Medioevo (secoli XV-XVI)</w:t>
      </w:r>
      <w:r w:rsidRPr="00796A9D">
        <w:rPr>
          <w:rFonts w:ascii="Times New Roman" w:hAnsi="Times New Roman" w:cs="Times New Roman"/>
        </w:rPr>
        <w:t xml:space="preserve">, a cura di A. </w:t>
      </w:r>
      <w:r w:rsidRPr="00796A9D">
        <w:rPr>
          <w:rFonts w:ascii="Times New Roman" w:hAnsi="Times New Roman" w:cs="Times New Roman"/>
          <w:smallCaps/>
        </w:rPr>
        <w:t>Modigliani</w:t>
      </w:r>
      <w:r w:rsidRPr="00796A9D">
        <w:rPr>
          <w:rFonts w:ascii="Times New Roman" w:hAnsi="Times New Roman" w:cs="Times New Roman"/>
        </w:rPr>
        <w:t>, Orte, Ente Ottava Medievale di Orte, 2000, pp. 133-149</w:t>
      </w:r>
      <w:bookmarkEnd w:id="418"/>
      <w:r w:rsidRPr="00796A9D">
        <w:rPr>
          <w:rFonts w:ascii="Times New Roman" w:hAnsi="Times New Roman" w:cs="Times New Roman"/>
        </w:rPr>
        <w:t xml:space="preserve">: qui si osserva come l’umanista non faccia cenno alle nozze milanesi del 1489, evento pur non trascurabile nell’ambito delle relazioni diplomatiche intessute dalla casa regnante di Napoli. </w:t>
      </w:r>
    </w:p>
  </w:footnote>
  <w:footnote w:id="530">
    <w:p w14:paraId="3BF31258"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L’impresa è visibile su diversi manoscritti commissionati dallo Sforza, come il Var. 124 della Biblioteca Reale di Torino, f. 2v. Un diploma ducale del 30 giugno 1469 ne fornisce la seguente descrizione: </w:t>
      </w:r>
      <w:r w:rsidRPr="00796A9D">
        <w:rPr>
          <w:rFonts w:ascii="Times New Roman" w:hAnsi="Times New Roman" w:cs="Times New Roman"/>
          <w:i/>
          <w:sz w:val="20"/>
          <w:szCs w:val="20"/>
        </w:rPr>
        <w:t xml:space="preserve">Donamus arma atque insigne nostrum leonis galeati fulvi coloris in ignem ardentis cum fustibus seu bastonis habentibus situlas aqua plenas et cum cimiero havente litteras pannonias sive anglicas HIC HOF quae latina lingua interpretantur IO SPERO. </w:t>
      </w:r>
      <w:r w:rsidRPr="00796A9D">
        <w:rPr>
          <w:rFonts w:ascii="Times New Roman" w:hAnsi="Times New Roman" w:cs="Times New Roman"/>
          <w:sz w:val="20"/>
          <w:szCs w:val="20"/>
        </w:rPr>
        <w:t xml:space="preserve">La figura compare anche sul verso del doppio ducato, o testone d’oro per lui battuto dalla zecca ducale. L’emblema del tizzone con le secchie era proprio, nell’araldica milanese, di Galeazzo II Visconti, che se ne era fregiato dopo le campagne militari in Palestina al seguito del conte di Hainault del 1343. Si trattava dunque di un’immagine fortemente evocativa, capace di alludere alla continuità dinastica con la nobile e valorosa casa Visconti. Cfr. </w:t>
      </w:r>
      <w:bookmarkStart w:id="419" w:name="_Hlk526633744"/>
      <w:r w:rsidRPr="00796A9D">
        <w:rPr>
          <w:rFonts w:ascii="Times New Roman" w:hAnsi="Times New Roman" w:cs="Times New Roman"/>
          <w:sz w:val="20"/>
          <w:szCs w:val="20"/>
        </w:rPr>
        <w:t xml:space="preserve">M. </w:t>
      </w:r>
      <w:r w:rsidRPr="00796A9D">
        <w:rPr>
          <w:rFonts w:ascii="Times New Roman" w:hAnsi="Times New Roman" w:cs="Times New Roman"/>
          <w:smallCaps/>
          <w:sz w:val="20"/>
          <w:szCs w:val="20"/>
        </w:rPr>
        <w:t>Traina</w:t>
      </w:r>
      <w:r w:rsidRPr="00796A9D">
        <w:rPr>
          <w:rFonts w:ascii="Times New Roman" w:hAnsi="Times New Roman" w:cs="Times New Roman"/>
          <w:i/>
          <w:sz w:val="20"/>
          <w:szCs w:val="20"/>
        </w:rPr>
        <w:t>, Il linguaggio delle monete: motti, imprese e leggende di monete italiane</w:t>
      </w:r>
      <w:r w:rsidRPr="00796A9D">
        <w:rPr>
          <w:rFonts w:ascii="Times New Roman" w:hAnsi="Times New Roman" w:cs="Times New Roman"/>
          <w:sz w:val="20"/>
          <w:szCs w:val="20"/>
        </w:rPr>
        <w:t>, Sesto Fiorentino, Olimpia, 2006</w:t>
      </w:r>
      <w:bookmarkEnd w:id="419"/>
      <w:r w:rsidRPr="00796A9D">
        <w:rPr>
          <w:rFonts w:ascii="Times New Roman" w:hAnsi="Times New Roman" w:cs="Times New Roman"/>
          <w:sz w:val="20"/>
          <w:szCs w:val="20"/>
        </w:rPr>
        <w:t xml:space="preserve">, p. 56-57.    </w:t>
      </w:r>
    </w:p>
  </w:footnote>
  <w:footnote w:id="531">
    <w:p w14:paraId="77138FD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confronto con i modelli culturali e organizzativi della corte di Francia si fece particolarmente intenso anche in virtù delle nozze, celebrate il 12 maggio 1468, tra Galeazzo Maria Sforza e Bona di Savoia, figlia di Ludovico di Savoia e Anna di Cipro, educata alla corte di Luigi XI. Cfr. </w:t>
      </w:r>
      <w:bookmarkStart w:id="420" w:name="_Hlk526633845"/>
      <w:r w:rsidRPr="00796A9D">
        <w:rPr>
          <w:rFonts w:ascii="Times New Roman" w:hAnsi="Times New Roman" w:cs="Times New Roman"/>
        </w:rPr>
        <w:t xml:space="preserve">G. </w:t>
      </w:r>
      <w:r w:rsidRPr="00796A9D">
        <w:rPr>
          <w:rFonts w:ascii="Times New Roman" w:hAnsi="Times New Roman" w:cs="Times New Roman"/>
          <w:smallCaps/>
        </w:rPr>
        <w:t>Lubkin</w:t>
      </w:r>
      <w:r w:rsidRPr="00796A9D">
        <w:rPr>
          <w:rFonts w:ascii="Times New Roman" w:hAnsi="Times New Roman" w:cs="Times New Roman"/>
        </w:rPr>
        <w:t xml:space="preserve">, </w:t>
      </w:r>
      <w:r w:rsidRPr="00796A9D">
        <w:rPr>
          <w:rFonts w:ascii="Times New Roman" w:hAnsi="Times New Roman" w:cs="Times New Roman"/>
          <w:i/>
        </w:rPr>
        <w:t>A Renaissance Court, Milan under Galeazzo Maria Sforza</w:t>
      </w:r>
      <w:r w:rsidRPr="00796A9D">
        <w:rPr>
          <w:rFonts w:ascii="Times New Roman" w:hAnsi="Times New Roman" w:cs="Times New Roman"/>
        </w:rPr>
        <w:t>, Berkeley, University of California Press, 1994</w:t>
      </w:r>
      <w:bookmarkEnd w:id="420"/>
      <w:r w:rsidRPr="00796A9D">
        <w:rPr>
          <w:rFonts w:ascii="Times New Roman" w:hAnsi="Times New Roman" w:cs="Times New Roman"/>
        </w:rPr>
        <w:t xml:space="preserve">, pp. 44-46. Intorno all’influenza tardogotica d’Oltralpe sulle committenze artistiche ducali si veda </w:t>
      </w:r>
      <w:bookmarkStart w:id="421" w:name="_Hlk526633968"/>
      <w:r w:rsidRPr="00796A9D">
        <w:rPr>
          <w:rFonts w:ascii="Times New Roman" w:hAnsi="Times New Roman" w:cs="Times New Roman"/>
          <w:smallCaps/>
        </w:rPr>
        <w:t>G.A. Dell’Acqua</w:t>
      </w:r>
      <w:r w:rsidRPr="00796A9D">
        <w:rPr>
          <w:rFonts w:ascii="Times New Roman" w:hAnsi="Times New Roman" w:cs="Times New Roman"/>
        </w:rPr>
        <w:t xml:space="preserve">, </w:t>
      </w:r>
      <w:r w:rsidRPr="00796A9D">
        <w:rPr>
          <w:rFonts w:ascii="Times New Roman" w:hAnsi="Times New Roman" w:cs="Times New Roman"/>
          <w:i/>
        </w:rPr>
        <w:t>Le arti figurative: tradizione e modernità nella politica culturale sforzesca</w:t>
      </w:r>
      <w:r w:rsidRPr="00796A9D">
        <w:rPr>
          <w:rFonts w:ascii="Times New Roman" w:hAnsi="Times New Roman" w:cs="Times New Roman"/>
        </w:rPr>
        <w:t xml:space="preserve">, in </w:t>
      </w:r>
      <w:r w:rsidRPr="00796A9D">
        <w:rPr>
          <w:rFonts w:ascii="Times New Roman" w:hAnsi="Times New Roman" w:cs="Times New Roman"/>
          <w:i/>
        </w:rPr>
        <w:t>Gli Sforza a Milano e in Lombardia e i loro rapporti con gli stati italiani ed europei (1450-1535).</w:t>
      </w:r>
      <w:r w:rsidRPr="00796A9D">
        <w:rPr>
          <w:rFonts w:ascii="Times New Roman" w:hAnsi="Times New Roman" w:cs="Times New Roman"/>
        </w:rPr>
        <w:t xml:space="preserve"> Atti del convegno internazionale (Milano, 18-21 maggio 1981), Milano, Istituto Editoriale Cisalpino, 1982, pp. 581-597. </w:t>
      </w:r>
      <w:bookmarkEnd w:id="421"/>
      <w:r w:rsidRPr="00796A9D">
        <w:rPr>
          <w:rFonts w:ascii="Times New Roman" w:hAnsi="Times New Roman" w:cs="Times New Roman"/>
        </w:rPr>
        <w:t xml:space="preserve">Per l’importazione di costumi cerimoniali e forme dello spettacolo dalla Francia e dalla Borgogna rinvio a </w:t>
      </w:r>
      <w:r w:rsidRPr="00796A9D">
        <w:rPr>
          <w:rFonts w:ascii="Times New Roman" w:hAnsi="Times New Roman" w:cs="Times New Roman"/>
          <w:smallCaps/>
        </w:rPr>
        <w:t>P. Ventrone</w:t>
      </w:r>
      <w:r w:rsidRPr="00796A9D">
        <w:rPr>
          <w:rFonts w:ascii="Times New Roman" w:hAnsi="Times New Roman" w:cs="Times New Roman"/>
        </w:rPr>
        <w:t xml:space="preserve">, </w:t>
      </w:r>
      <w:r w:rsidRPr="00796A9D">
        <w:rPr>
          <w:rFonts w:ascii="Times New Roman" w:hAnsi="Times New Roman" w:cs="Times New Roman"/>
          <w:i/>
        </w:rPr>
        <w:t>Modelli ideologici e culturali nel teatro milanese di età viscontea e sforzesca</w:t>
      </w:r>
      <w:r w:rsidRPr="00796A9D">
        <w:rPr>
          <w:rFonts w:ascii="Times New Roman" w:hAnsi="Times New Roman" w:cs="Times New Roman"/>
        </w:rPr>
        <w:t xml:space="preserve">, cit., pp. 262-264. </w:t>
      </w:r>
    </w:p>
  </w:footnote>
  <w:footnote w:id="532">
    <w:p w14:paraId="4481E4B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Anonimo</w:t>
      </w:r>
      <w:r w:rsidRPr="00796A9D">
        <w:rPr>
          <w:rFonts w:ascii="Times New Roman" w:hAnsi="Times New Roman" w:cs="Times New Roman"/>
        </w:rPr>
        <w:t xml:space="preserve">, </w:t>
      </w:r>
      <w:r w:rsidRPr="00796A9D">
        <w:rPr>
          <w:rFonts w:ascii="Times New Roman" w:hAnsi="Times New Roman" w:cs="Times New Roman"/>
          <w:i/>
        </w:rPr>
        <w:t>Descriptione</w:t>
      </w:r>
      <w:r w:rsidRPr="00796A9D">
        <w:rPr>
          <w:rFonts w:ascii="Times New Roman" w:hAnsi="Times New Roman" w:cs="Times New Roman"/>
        </w:rPr>
        <w:t xml:space="preserve">. </w:t>
      </w:r>
      <w:r w:rsidRPr="00796A9D">
        <w:rPr>
          <w:rFonts w:ascii="Times New Roman" w:hAnsi="Times New Roman" w:cs="Times New Roman"/>
          <w:i/>
        </w:rPr>
        <w:t>Appendice III,</w:t>
      </w:r>
      <w:r w:rsidRPr="00796A9D">
        <w:rPr>
          <w:rFonts w:ascii="Times New Roman" w:hAnsi="Times New Roman" w:cs="Times New Roman"/>
        </w:rPr>
        <w:t xml:space="preserve"> documento 4.</w:t>
      </w:r>
    </w:p>
  </w:footnote>
  <w:footnote w:id="533">
    <w:p w14:paraId="4630814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ragioni stilistiche e attributive si è pervenuti alla conclusione che l’opera non venne realizzata per le nozze di Boccaccio Adimari e di Lisa d’Albertaccio Ricasoli, svoltesi nel 1420, ma piuttosto negli anni Cinquanta del Quattrocento in occasione di uno sposalizio fiorentino. Se ne veda la scheda descrittiva di L. </w:t>
      </w:r>
      <w:r w:rsidRPr="00796A9D">
        <w:rPr>
          <w:rFonts w:ascii="Times New Roman" w:hAnsi="Times New Roman" w:cs="Times New Roman"/>
          <w:smallCaps/>
        </w:rPr>
        <w:t>Sbaraglio</w:t>
      </w:r>
      <w:r w:rsidRPr="00796A9D">
        <w:rPr>
          <w:rFonts w:ascii="Times New Roman" w:hAnsi="Times New Roman" w:cs="Times New Roman"/>
        </w:rPr>
        <w:t xml:space="preserve"> in </w:t>
      </w:r>
      <w:r w:rsidRPr="00796A9D">
        <w:rPr>
          <w:rFonts w:ascii="Times New Roman" w:hAnsi="Times New Roman" w:cs="Times New Roman"/>
          <w:i/>
        </w:rPr>
        <w:t>Virtù d'amore: pittura nuziale nel Quattrocento fiorentino</w:t>
      </w:r>
      <w:r w:rsidRPr="00796A9D">
        <w:rPr>
          <w:rFonts w:ascii="Times New Roman" w:hAnsi="Times New Roman" w:cs="Times New Roman"/>
        </w:rPr>
        <w:t xml:space="preserve">, Catalogo della mostra (Firenze, 8 giugno-1 novembre 2010), a cura di C. </w:t>
      </w:r>
      <w:r w:rsidRPr="00796A9D">
        <w:rPr>
          <w:rFonts w:ascii="Times New Roman" w:hAnsi="Times New Roman" w:cs="Times New Roman"/>
          <w:smallCaps/>
        </w:rPr>
        <w:t>Paolini, D. Parenti, L. Sebregondi</w:t>
      </w:r>
      <w:r w:rsidRPr="00796A9D">
        <w:rPr>
          <w:rFonts w:ascii="Times New Roman" w:hAnsi="Times New Roman" w:cs="Times New Roman"/>
        </w:rPr>
        <w:t xml:space="preserve">, Firenze, Giunti, 2010, pp. 162-165.  </w:t>
      </w:r>
    </w:p>
  </w:footnote>
  <w:footnote w:id="534">
    <w:p w14:paraId="4DDC1BC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F. </w:t>
      </w:r>
      <w:r w:rsidRPr="00796A9D">
        <w:rPr>
          <w:rFonts w:ascii="Times New Roman" w:hAnsi="Times New Roman" w:cs="Times New Roman"/>
          <w:smallCaps/>
        </w:rPr>
        <w:t>Leverotti</w:t>
      </w:r>
      <w:r w:rsidRPr="00796A9D">
        <w:rPr>
          <w:rFonts w:ascii="Times New Roman" w:hAnsi="Times New Roman" w:cs="Times New Roman"/>
        </w:rPr>
        <w:t xml:space="preserve">, </w:t>
      </w:r>
      <w:r w:rsidRPr="00796A9D">
        <w:rPr>
          <w:rFonts w:ascii="Times New Roman" w:hAnsi="Times New Roman" w:cs="Times New Roman"/>
          <w:i/>
        </w:rPr>
        <w:t>Organizzazione della corte sforzesca e produzione serica</w:t>
      </w:r>
      <w:r w:rsidRPr="00796A9D">
        <w:rPr>
          <w:rFonts w:ascii="Times New Roman" w:hAnsi="Times New Roman" w:cs="Times New Roman"/>
        </w:rPr>
        <w:t xml:space="preserve">, in </w:t>
      </w:r>
      <w:r w:rsidRPr="00796A9D">
        <w:rPr>
          <w:rFonts w:ascii="Times New Roman" w:hAnsi="Times New Roman" w:cs="Times New Roman"/>
          <w:i/>
        </w:rPr>
        <w:t>Seta, Oro, Cremisi. Segreti e tecnologia alla corte dei Visconti e degli Sforza</w:t>
      </w:r>
      <w:r w:rsidRPr="00796A9D">
        <w:rPr>
          <w:rFonts w:ascii="Times New Roman" w:hAnsi="Times New Roman" w:cs="Times New Roman"/>
        </w:rPr>
        <w:t xml:space="preserve">, a cura di </w:t>
      </w:r>
      <w:r w:rsidRPr="00796A9D">
        <w:rPr>
          <w:rFonts w:ascii="Times New Roman" w:hAnsi="Times New Roman" w:cs="Times New Roman"/>
          <w:smallCaps/>
        </w:rPr>
        <w:t>C. Buss</w:t>
      </w:r>
      <w:r w:rsidRPr="00796A9D">
        <w:rPr>
          <w:rFonts w:ascii="Times New Roman" w:hAnsi="Times New Roman" w:cs="Times New Roman"/>
        </w:rPr>
        <w:t xml:space="preserve">, Cinisello Balsamo, Silvana, 2009, pp. 5-25, che considera come, sebbene dal 1455 a Milano fossero presenti tessitori di arazzi provenienti dalla Francia e dalle Fiandre, il lusso dell’abbigliamento e delle tappezzerie della corte raggiungesse il massimo sfarzo con il ducato di Galeazzo Maria. Vi contribuirono le nozze con Bona di Savoia e la scelta di ampliare il numero dei camerieri al servizio del duca, di cui il principe assumeva le spese di vestiario.   </w:t>
      </w:r>
    </w:p>
  </w:footnote>
  <w:footnote w:id="535">
    <w:p w14:paraId="1022170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F. Beroaldo</w:t>
      </w:r>
      <w:r w:rsidRPr="00796A9D">
        <w:rPr>
          <w:rFonts w:ascii="Times New Roman" w:hAnsi="Times New Roman" w:cs="Times New Roman"/>
        </w:rPr>
        <w:t xml:space="preserve">, </w:t>
      </w:r>
      <w:r w:rsidRPr="00796A9D">
        <w:rPr>
          <w:rFonts w:ascii="Times New Roman" w:hAnsi="Times New Roman" w:cs="Times New Roman"/>
          <w:i/>
        </w:rPr>
        <w:t>Nuptiae Bentivolorum</w:t>
      </w:r>
      <w:r w:rsidRPr="00796A9D">
        <w:rPr>
          <w:rFonts w:ascii="Times New Roman" w:hAnsi="Times New Roman" w:cs="Times New Roman"/>
        </w:rPr>
        <w:t>, cit., p. 176: «</w:t>
      </w:r>
      <w:r w:rsidRPr="00796A9D">
        <w:rPr>
          <w:rFonts w:ascii="Times New Roman" w:hAnsi="Times New Roman" w:cs="Times New Roman"/>
          <w:i/>
        </w:rPr>
        <w:t>duo praeterea candelabra ingentis magnitudinis deargentata</w:t>
      </w:r>
      <w:r w:rsidRPr="00796A9D">
        <w:rPr>
          <w:rFonts w:ascii="Times New Roman" w:hAnsi="Times New Roman" w:cs="Times New Roman"/>
        </w:rPr>
        <w:t xml:space="preserve"> […] </w:t>
      </w:r>
      <w:r w:rsidRPr="00796A9D">
        <w:rPr>
          <w:rFonts w:ascii="Times New Roman" w:hAnsi="Times New Roman" w:cs="Times New Roman"/>
          <w:i/>
        </w:rPr>
        <w:t>pendebant simillima</w:t>
      </w:r>
      <w:r w:rsidRPr="00796A9D">
        <w:rPr>
          <w:rFonts w:ascii="Times New Roman" w:hAnsi="Times New Roman" w:cs="Times New Roman"/>
          <w:i/>
          <w:color w:val="FF0000"/>
        </w:rPr>
        <w:t xml:space="preserve"> </w:t>
      </w:r>
      <w:r w:rsidRPr="00796A9D">
        <w:rPr>
          <w:rFonts w:ascii="Times New Roman" w:hAnsi="Times New Roman" w:cs="Times New Roman"/>
          <w:i/>
        </w:rPr>
        <w:t>lucernis priscorum, quas polymyxos vocitarunt</w:t>
      </w:r>
      <w:r w:rsidRPr="00796A9D">
        <w:rPr>
          <w:rFonts w:ascii="Times New Roman" w:hAnsi="Times New Roman" w:cs="Times New Roman"/>
        </w:rPr>
        <w:t xml:space="preserve">».  </w:t>
      </w:r>
    </w:p>
  </w:footnote>
  <w:footnote w:id="536">
    <w:p w14:paraId="06DA45C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mediolanensium Ducum</w:t>
      </w:r>
      <w:r w:rsidRPr="00796A9D">
        <w:rPr>
          <w:rFonts w:ascii="Times New Roman" w:hAnsi="Times New Roman" w:cs="Times New Roman"/>
        </w:rPr>
        <w:t xml:space="preserve">, cit., p. 80.    </w:t>
      </w:r>
    </w:p>
  </w:footnote>
  <w:footnote w:id="537">
    <w:p w14:paraId="7EB4B6A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Anonimo</w:t>
      </w:r>
      <w:r w:rsidRPr="00796A9D">
        <w:rPr>
          <w:rFonts w:ascii="Times New Roman" w:hAnsi="Times New Roman" w:cs="Times New Roman"/>
        </w:rPr>
        <w:t xml:space="preserve">, </w:t>
      </w:r>
      <w:r w:rsidRPr="00796A9D">
        <w:rPr>
          <w:rFonts w:ascii="Times New Roman" w:hAnsi="Times New Roman" w:cs="Times New Roman"/>
          <w:i/>
        </w:rPr>
        <w:t>Descriptione. Appendice III,</w:t>
      </w:r>
      <w:r w:rsidRPr="00796A9D">
        <w:rPr>
          <w:rFonts w:ascii="Times New Roman" w:hAnsi="Times New Roman" w:cs="Times New Roman"/>
        </w:rPr>
        <w:t xml:space="preserve"> documento 4</w:t>
      </w:r>
      <w:r w:rsidRPr="00796A9D">
        <w:rPr>
          <w:rFonts w:ascii="Times New Roman" w:hAnsi="Times New Roman" w:cs="Times New Roman"/>
          <w:i/>
        </w:rPr>
        <w:t xml:space="preserve">. </w:t>
      </w:r>
    </w:p>
  </w:footnote>
  <w:footnote w:id="538">
    <w:p w14:paraId="75CFA45E"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Cfr. </w:t>
      </w:r>
      <w:r w:rsidRPr="00796A9D">
        <w:rPr>
          <w:rFonts w:ascii="Times New Roman" w:hAnsi="Times New Roman" w:cs="Times New Roman"/>
          <w:smallCaps/>
          <w:sz w:val="20"/>
          <w:szCs w:val="20"/>
        </w:rPr>
        <w:t>F. Delle Donne</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Alfonso il Magnanimo e l’invenzione dell’Umanesimo monarchico. Ideologia e strategie di legittimazione alla corte aragonese di Napoli</w:t>
      </w:r>
      <w:r w:rsidRPr="00796A9D">
        <w:rPr>
          <w:rFonts w:ascii="Times New Roman" w:hAnsi="Times New Roman" w:cs="Times New Roman"/>
          <w:sz w:val="20"/>
          <w:szCs w:val="20"/>
        </w:rPr>
        <w:t xml:space="preserve">, Roma, Istituto storico italiano per il Medioevo, 2015, pp. 123-128. Per l’importanza di questa cerimonia d’ingresso per l’elaborazione della cultura spettacolare aragonese, sospesa tra tradizione romanza ed aggiornamento umanistico, rimando a M. </w:t>
      </w:r>
      <w:r w:rsidRPr="00796A9D">
        <w:rPr>
          <w:rFonts w:ascii="Times New Roman" w:hAnsi="Times New Roman" w:cs="Times New Roman"/>
          <w:smallCaps/>
          <w:sz w:val="20"/>
          <w:szCs w:val="20"/>
        </w:rPr>
        <w:t>Pieri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«Sumptuosissime pompe»: Lo spettacolo nella Napoli aragonese</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Studi di filologia e critica offerti dagli allievi a Lanfranco Caretti</w:t>
      </w:r>
      <w:r w:rsidRPr="00796A9D">
        <w:rPr>
          <w:rFonts w:ascii="Times New Roman" w:hAnsi="Times New Roman" w:cs="Times New Roman"/>
          <w:sz w:val="20"/>
          <w:szCs w:val="20"/>
        </w:rPr>
        <w:t>, Roma, Salerno, 1985, pp. 39-82.</w:t>
      </w:r>
    </w:p>
  </w:footnote>
  <w:footnote w:id="539">
    <w:p w14:paraId="39E18E7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P. </w:t>
      </w:r>
      <w:r w:rsidRPr="00796A9D">
        <w:rPr>
          <w:rFonts w:ascii="Times New Roman" w:hAnsi="Times New Roman" w:cs="Times New Roman"/>
          <w:smallCaps/>
        </w:rPr>
        <w:t>Fazion</w:t>
      </w:r>
      <w:r w:rsidRPr="00796A9D">
        <w:rPr>
          <w:rFonts w:ascii="Times New Roman" w:hAnsi="Times New Roman" w:cs="Times New Roman"/>
        </w:rPr>
        <w:t xml:space="preserve">, </w:t>
      </w:r>
      <w:r w:rsidRPr="00796A9D">
        <w:rPr>
          <w:rFonts w:ascii="Times New Roman" w:hAnsi="Times New Roman" w:cs="Times New Roman"/>
          <w:i/>
        </w:rPr>
        <w:t xml:space="preserve">«Nuptiae Bentivolorum», </w:t>
      </w:r>
      <w:r w:rsidRPr="00796A9D">
        <w:rPr>
          <w:rFonts w:ascii="Times New Roman" w:hAnsi="Times New Roman" w:cs="Times New Roman"/>
        </w:rPr>
        <w:t xml:space="preserve">cit., p. 119, dove si osserva un sofisticato ricorso al vocabolario di Plauto nella designazione dei </w:t>
      </w:r>
      <w:r w:rsidRPr="00796A9D">
        <w:rPr>
          <w:rFonts w:ascii="Times New Roman" w:hAnsi="Times New Roman" w:cs="Times New Roman"/>
          <w:i/>
        </w:rPr>
        <w:t>lectisterniator</w:t>
      </w:r>
      <w:r w:rsidRPr="00796A9D">
        <w:rPr>
          <w:rFonts w:ascii="Times New Roman" w:hAnsi="Times New Roman" w:cs="Times New Roman"/>
        </w:rPr>
        <w:t xml:space="preserve">, </w:t>
      </w:r>
      <w:r w:rsidRPr="00796A9D">
        <w:rPr>
          <w:rFonts w:ascii="Times New Roman" w:hAnsi="Times New Roman" w:cs="Times New Roman"/>
          <w:i/>
        </w:rPr>
        <w:t>condus</w:t>
      </w:r>
      <w:r w:rsidRPr="00796A9D">
        <w:rPr>
          <w:rFonts w:ascii="Times New Roman" w:hAnsi="Times New Roman" w:cs="Times New Roman"/>
        </w:rPr>
        <w:t xml:space="preserve">, </w:t>
      </w:r>
      <w:r w:rsidRPr="00796A9D">
        <w:rPr>
          <w:rFonts w:ascii="Times New Roman" w:hAnsi="Times New Roman" w:cs="Times New Roman"/>
          <w:i/>
        </w:rPr>
        <w:t>procurator peni</w:t>
      </w:r>
      <w:r w:rsidRPr="00796A9D">
        <w:rPr>
          <w:rFonts w:ascii="Times New Roman" w:hAnsi="Times New Roman" w:cs="Times New Roman"/>
        </w:rPr>
        <w:t xml:space="preserve">. </w:t>
      </w:r>
    </w:p>
  </w:footnote>
  <w:footnote w:id="540">
    <w:p w14:paraId="1D23C08E"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Per l’accostamento dei carri per il San Giovanni fiorentino ai </w:t>
      </w:r>
      <w:r w:rsidRPr="00796A9D">
        <w:rPr>
          <w:rFonts w:ascii="Times New Roman" w:hAnsi="Times New Roman" w:cs="Times New Roman"/>
          <w:i/>
          <w:sz w:val="20"/>
          <w:szCs w:val="20"/>
        </w:rPr>
        <w:t>pegmata</w:t>
      </w:r>
      <w:r w:rsidRPr="00796A9D">
        <w:rPr>
          <w:rFonts w:ascii="Times New Roman" w:hAnsi="Times New Roman" w:cs="Times New Roman"/>
          <w:sz w:val="20"/>
          <w:szCs w:val="20"/>
        </w:rPr>
        <w:t xml:space="preserve"> nella </w:t>
      </w:r>
      <w:r w:rsidRPr="00796A9D">
        <w:rPr>
          <w:rFonts w:ascii="Times New Roman" w:hAnsi="Times New Roman" w:cs="Times New Roman"/>
          <w:i/>
          <w:sz w:val="20"/>
          <w:szCs w:val="20"/>
        </w:rPr>
        <w:t>Roma Triumphans</w:t>
      </w:r>
      <w:r w:rsidRPr="00796A9D">
        <w:rPr>
          <w:rFonts w:ascii="Times New Roman" w:hAnsi="Times New Roman" w:cs="Times New Roman"/>
          <w:sz w:val="20"/>
          <w:szCs w:val="20"/>
        </w:rPr>
        <w:t xml:space="preserve"> cfr. </w:t>
      </w:r>
      <w:r w:rsidRPr="00796A9D">
        <w:rPr>
          <w:rFonts w:ascii="Times New Roman" w:hAnsi="Times New Roman" w:cs="Times New Roman"/>
          <w:smallCaps/>
          <w:sz w:val="20"/>
          <w:szCs w:val="20"/>
        </w:rPr>
        <w:t>F. Cruciani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Il teatro e la festa</w:t>
      </w:r>
      <w:r w:rsidRPr="00796A9D">
        <w:rPr>
          <w:rFonts w:ascii="Times New Roman" w:hAnsi="Times New Roman" w:cs="Times New Roman"/>
          <w:sz w:val="20"/>
          <w:szCs w:val="20"/>
        </w:rPr>
        <w:t xml:space="preserve">, cit., pp. 46-48. Il brano del libro X in cui è avanzato il paragone si legge in edizione moderna in F. </w:t>
      </w:r>
      <w:r w:rsidRPr="00796A9D">
        <w:rPr>
          <w:rFonts w:ascii="Times New Roman" w:hAnsi="Times New Roman" w:cs="Times New Roman"/>
          <w:smallCaps/>
          <w:sz w:val="20"/>
          <w:szCs w:val="20"/>
        </w:rPr>
        <w:t>Cruciani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Teatro nel Rinascimento. Roma 1450-1550</w:t>
      </w:r>
      <w:r w:rsidRPr="00796A9D">
        <w:rPr>
          <w:rFonts w:ascii="Times New Roman" w:hAnsi="Times New Roman" w:cs="Times New Roman"/>
          <w:sz w:val="20"/>
          <w:szCs w:val="20"/>
        </w:rPr>
        <w:t xml:space="preserve">, Roma, Bulzoni, 1983, pp. 108-112.  </w:t>
      </w:r>
    </w:p>
  </w:footnote>
  <w:footnote w:id="541">
    <w:p w14:paraId="7F9EC01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Della presenza nelle </w:t>
      </w:r>
      <w:r w:rsidRPr="00796A9D">
        <w:rPr>
          <w:rFonts w:ascii="Times New Roman" w:hAnsi="Times New Roman" w:cs="Times New Roman"/>
          <w:i/>
        </w:rPr>
        <w:t>pompae</w:t>
      </w:r>
      <w:r w:rsidRPr="00796A9D">
        <w:rPr>
          <w:rFonts w:ascii="Times New Roman" w:hAnsi="Times New Roman" w:cs="Times New Roman"/>
        </w:rPr>
        <w:t xml:space="preserve"> delle maschere dei manduchi, uomini dal volto gigantesco con denti digrignanti in continua ricerca di cibo; delle cicerie, uomini vestiti da donna con il collo smisurato e dalla parlata incomprensibile; e delle petreie, attori rappresentanti vecchie ubriache, Flavio Biondo aveva letto nell’Epitome del </w:t>
      </w:r>
      <w:r w:rsidRPr="00796A9D">
        <w:rPr>
          <w:rFonts w:ascii="Times New Roman" w:hAnsi="Times New Roman" w:cs="Times New Roman"/>
          <w:i/>
        </w:rPr>
        <w:t>De verborum significatione</w:t>
      </w:r>
      <w:r w:rsidRPr="00796A9D">
        <w:rPr>
          <w:rFonts w:ascii="Times New Roman" w:hAnsi="Times New Roman" w:cs="Times New Roman"/>
        </w:rPr>
        <w:t xml:space="preserve"> di Festo Pompeo, che a sua volta dichiarava come proprie fonti le opere di Catone e Plauto.  Si veda, in proposito, </w:t>
      </w:r>
      <w:bookmarkStart w:id="422" w:name="_Hlk526708034"/>
      <w:r w:rsidRPr="00796A9D">
        <w:rPr>
          <w:rFonts w:ascii="Times New Roman" w:hAnsi="Times New Roman" w:cs="Times New Roman"/>
          <w:smallCaps/>
        </w:rPr>
        <w:t xml:space="preserve">C. </w:t>
      </w:r>
      <w:r w:rsidRPr="00796A9D">
        <w:rPr>
          <w:rStyle w:val="addmd"/>
          <w:rFonts w:ascii="Times New Roman" w:hAnsi="Times New Roman" w:cs="Times New Roman"/>
          <w:smallCaps/>
        </w:rPr>
        <w:t>Atkinson</w:t>
      </w:r>
      <w:r w:rsidRPr="00796A9D">
        <w:rPr>
          <w:rStyle w:val="addmd"/>
          <w:rFonts w:ascii="Times New Roman" w:hAnsi="Times New Roman" w:cs="Times New Roman"/>
        </w:rPr>
        <w:t xml:space="preserve">, </w:t>
      </w:r>
      <w:r w:rsidRPr="00796A9D">
        <w:rPr>
          <w:rStyle w:val="addmd"/>
          <w:rFonts w:ascii="Times New Roman" w:hAnsi="Times New Roman" w:cs="Times New Roman"/>
          <w:i/>
        </w:rPr>
        <w:t>Inventing Inventors in Renaissance Europe: Polydore Vergil's De Inventoribus rerum</w:t>
      </w:r>
      <w:r w:rsidRPr="00796A9D">
        <w:rPr>
          <w:rStyle w:val="addmd"/>
          <w:rFonts w:ascii="Times New Roman" w:hAnsi="Times New Roman" w:cs="Times New Roman"/>
        </w:rPr>
        <w:t>, Tübingen, Mohr Siebeck, 2007</w:t>
      </w:r>
      <w:bookmarkEnd w:id="422"/>
      <w:r w:rsidRPr="00796A9D">
        <w:rPr>
          <w:rStyle w:val="addmd"/>
          <w:rFonts w:ascii="Times New Roman" w:hAnsi="Times New Roman" w:cs="Times New Roman"/>
        </w:rPr>
        <w:t xml:space="preserve">, pp. 208-209. Per la citazione di queste maschere nelle descrizioni quattrocentesche di spettacoli e, più in generale, per l’influenza della memoria letteraria latina nelle prose dei cronisti delle feste rinascimentali vedi </w:t>
      </w:r>
      <w:bookmarkStart w:id="423" w:name="_Hlk526707966"/>
      <w:r w:rsidRPr="00796A9D">
        <w:rPr>
          <w:rFonts w:ascii="Times New Roman" w:hAnsi="Times New Roman" w:cs="Times New Roman"/>
          <w:smallCaps/>
        </w:rPr>
        <w:t>R. Guarino</w:t>
      </w:r>
      <w:r w:rsidRPr="00796A9D">
        <w:rPr>
          <w:rFonts w:ascii="Times New Roman" w:hAnsi="Times New Roman" w:cs="Times New Roman"/>
        </w:rPr>
        <w:t xml:space="preserve">, </w:t>
      </w:r>
      <w:r w:rsidRPr="00796A9D">
        <w:rPr>
          <w:rFonts w:ascii="Times New Roman" w:hAnsi="Times New Roman" w:cs="Times New Roman"/>
          <w:i/>
        </w:rPr>
        <w:t>Storiografia umanistica e spettacolo del Rinascimento</w:t>
      </w:r>
      <w:r w:rsidRPr="00796A9D">
        <w:rPr>
          <w:rFonts w:ascii="Times New Roman" w:hAnsi="Times New Roman" w:cs="Times New Roman"/>
        </w:rPr>
        <w:t>, «Teatro e Storia», XIX, 1997, pp. 271-291.</w:t>
      </w:r>
    </w:p>
    <w:bookmarkEnd w:id="423"/>
  </w:footnote>
  <w:footnote w:id="542">
    <w:p w14:paraId="083BBDD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fortuna del trattato di Flavio Biondo è attestata dallo stesso autore che, in una lettera al marchese Ludovico Gonzaga del 26 dicembre 1460 dichiarava la propria difficoltà nel fornire al signore un manoscritto dell’opera elegantemente miniato, in quanto i dodici copisti al suo servizio erano già impegnati nel far fronte alla richiesta di altri ammiratori altolocati che ne avevano domandato delle copie. I ventuno codici della </w:t>
      </w:r>
      <w:r w:rsidRPr="00796A9D">
        <w:rPr>
          <w:rFonts w:ascii="Times New Roman" w:hAnsi="Times New Roman" w:cs="Times New Roman"/>
          <w:i/>
        </w:rPr>
        <w:t>Roma Triumphans</w:t>
      </w:r>
      <w:r w:rsidRPr="00796A9D">
        <w:rPr>
          <w:rFonts w:ascii="Times New Roman" w:hAnsi="Times New Roman" w:cs="Times New Roman"/>
        </w:rPr>
        <w:t xml:space="preserve"> giunti fino a noi, tutti di grande pregio, confermano la notizia. Inoltre, nel secolo XV, se ne ebbero due edizioni a stampa: a Mantova, per Pietro Adamo de Micheli, nel 1473; e a Brescia, per Bartolomeo da Vercelli, nel 1482. Per la circolazione del testo nell’Italia del Rinascimento rimando a </w:t>
      </w:r>
      <w:bookmarkStart w:id="424" w:name="_Hlk526708193"/>
      <w:r w:rsidRPr="00796A9D">
        <w:rPr>
          <w:rFonts w:ascii="Times New Roman" w:hAnsi="Times New Roman" w:cs="Times New Roman"/>
          <w:smallCaps/>
        </w:rPr>
        <w:t>M.A. Pincelli</w:t>
      </w:r>
      <w:r w:rsidRPr="00796A9D">
        <w:rPr>
          <w:rFonts w:ascii="Times New Roman" w:hAnsi="Times New Roman" w:cs="Times New Roman"/>
        </w:rPr>
        <w:t xml:space="preserve">, </w:t>
      </w:r>
      <w:r w:rsidRPr="00796A9D">
        <w:rPr>
          <w:rFonts w:ascii="Times New Roman" w:hAnsi="Times New Roman" w:cs="Times New Roman"/>
          <w:i/>
        </w:rPr>
        <w:t>La Roma Triumphans e la nascita dell’antiquaria: Biondo Flavio e Andrea Mantegna</w:t>
      </w:r>
      <w:r w:rsidRPr="00796A9D">
        <w:rPr>
          <w:rFonts w:ascii="Times New Roman" w:hAnsi="Times New Roman" w:cs="Times New Roman"/>
        </w:rPr>
        <w:t xml:space="preserve">, «Studiolo», V, 2007, pp. 19-28. </w:t>
      </w:r>
      <w:bookmarkEnd w:id="424"/>
    </w:p>
  </w:footnote>
  <w:footnote w:id="543">
    <w:p w14:paraId="76EDF32F"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l’impiego della </w:t>
      </w:r>
      <w:r w:rsidRPr="00796A9D">
        <w:rPr>
          <w:rFonts w:ascii="Times New Roman" w:hAnsi="Times New Roman" w:cs="Times New Roman"/>
          <w:i/>
        </w:rPr>
        <w:t>Roma Triumphans</w:t>
      </w:r>
      <w:r w:rsidRPr="00796A9D">
        <w:rPr>
          <w:rFonts w:ascii="Times New Roman" w:hAnsi="Times New Roman" w:cs="Times New Roman"/>
        </w:rPr>
        <w:t xml:space="preserve"> come opera di consultazione da parte del Poliziano e degli umanisti italiani si veda </w:t>
      </w:r>
      <w:bookmarkStart w:id="425" w:name="_Hlk526708286"/>
      <w:r w:rsidRPr="00796A9D">
        <w:rPr>
          <w:rFonts w:ascii="Times New Roman" w:hAnsi="Times New Roman" w:cs="Times New Roman"/>
          <w:smallCaps/>
        </w:rPr>
        <w:t>F. Muecke</w:t>
      </w:r>
      <w:r w:rsidRPr="00796A9D">
        <w:rPr>
          <w:rFonts w:ascii="Times New Roman" w:hAnsi="Times New Roman" w:cs="Times New Roman"/>
        </w:rPr>
        <w:t xml:space="preserve">, “Fama superest?” </w:t>
      </w:r>
      <w:r w:rsidRPr="00796A9D">
        <w:rPr>
          <w:rFonts w:ascii="Times New Roman" w:hAnsi="Times New Roman" w:cs="Times New Roman"/>
          <w:i/>
          <w:lang w:val="en-US"/>
        </w:rPr>
        <w:t>Soundings in the Reception of Biondo Flavio</w:t>
      </w:r>
      <w:r w:rsidRPr="00796A9D">
        <w:rPr>
          <w:rFonts w:ascii="Times New Roman" w:hAnsi="Times New Roman" w:cs="Times New Roman"/>
          <w:lang w:val="en-US"/>
        </w:rPr>
        <w:t xml:space="preserve"> </w:t>
      </w:r>
      <w:r w:rsidRPr="00796A9D">
        <w:rPr>
          <w:rFonts w:ascii="Times New Roman" w:hAnsi="Times New Roman" w:cs="Times New Roman"/>
          <w:i/>
          <w:lang w:val="en-US"/>
        </w:rPr>
        <w:t>Roma Triumphans</w:t>
      </w:r>
      <w:r w:rsidRPr="00796A9D">
        <w:rPr>
          <w:rFonts w:ascii="Times New Roman" w:hAnsi="Times New Roman" w:cs="Times New Roman"/>
          <w:lang w:val="en-US"/>
        </w:rPr>
        <w:t xml:space="preserve">, in </w:t>
      </w:r>
      <w:r w:rsidRPr="00796A9D">
        <w:rPr>
          <w:rFonts w:ascii="Times New Roman" w:hAnsi="Times New Roman" w:cs="Times New Roman"/>
          <w:i/>
          <w:lang w:val="en-US"/>
        </w:rPr>
        <w:t>A New Sense of the Past. The Scholarship of Biondo Flavio</w:t>
      </w:r>
      <w:r w:rsidRPr="00796A9D">
        <w:rPr>
          <w:rFonts w:ascii="Times New Roman" w:hAnsi="Times New Roman" w:cs="Times New Roman"/>
          <w:lang w:val="en-US"/>
        </w:rPr>
        <w:t xml:space="preserve"> </w:t>
      </w:r>
      <w:r w:rsidRPr="00796A9D">
        <w:rPr>
          <w:rFonts w:ascii="Times New Roman" w:hAnsi="Times New Roman" w:cs="Times New Roman"/>
          <w:i/>
          <w:lang w:val="en-US"/>
        </w:rPr>
        <w:t>(1392-1463)</w:t>
      </w:r>
      <w:r w:rsidRPr="00796A9D">
        <w:rPr>
          <w:rFonts w:ascii="Times New Roman" w:hAnsi="Times New Roman" w:cs="Times New Roman"/>
          <w:lang w:val="en-US"/>
        </w:rPr>
        <w:t xml:space="preserve">, Edited by </w:t>
      </w:r>
      <w:r w:rsidRPr="00796A9D">
        <w:rPr>
          <w:rFonts w:ascii="Times New Roman" w:hAnsi="Times New Roman" w:cs="Times New Roman"/>
          <w:smallCaps/>
          <w:lang w:val="en-US"/>
        </w:rPr>
        <w:t>A. Mazzocco, M. Laureys</w:t>
      </w:r>
      <w:r w:rsidRPr="00796A9D">
        <w:rPr>
          <w:rFonts w:ascii="Times New Roman" w:hAnsi="Times New Roman" w:cs="Times New Roman"/>
          <w:lang w:val="en-US"/>
        </w:rPr>
        <w:t xml:space="preserve">, Leuven, Leuven University Press, 2016, pp. 219-243. </w:t>
      </w:r>
    </w:p>
    <w:bookmarkEnd w:id="425"/>
  </w:footnote>
  <w:footnote w:id="544">
    <w:p w14:paraId="2197405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termine </w:t>
      </w:r>
      <w:r w:rsidRPr="00796A9D">
        <w:rPr>
          <w:rFonts w:ascii="Times New Roman" w:hAnsi="Times New Roman" w:cs="Times New Roman"/>
          <w:i/>
        </w:rPr>
        <w:t>pegmata</w:t>
      </w:r>
      <w:r w:rsidRPr="00796A9D">
        <w:rPr>
          <w:rFonts w:ascii="Times New Roman" w:hAnsi="Times New Roman" w:cs="Times New Roman"/>
        </w:rPr>
        <w:t xml:space="preserve"> indicava nell’antichità dei montacarichi o tavolati in legno impiegati per sollevare ed abbassare gli apparati richiesti per lo svolgimento di ludi scenici. La fonte che meglio li descrive, e che fu probabilmente nota a Biondo, è Servio </w:t>
      </w:r>
      <w:r w:rsidRPr="00796A9D">
        <w:rPr>
          <w:rFonts w:ascii="Times New Roman" w:hAnsi="Times New Roman" w:cs="Times New Roman"/>
          <w:i/>
        </w:rPr>
        <w:t>Ad Georg.</w:t>
      </w:r>
      <w:r w:rsidRPr="00796A9D">
        <w:rPr>
          <w:rFonts w:ascii="Times New Roman" w:hAnsi="Times New Roman" w:cs="Times New Roman"/>
        </w:rPr>
        <w:t xml:space="preserve"> III, 24, che nel commentare il verso di Virgilio afferma: «</w:t>
      </w:r>
      <w:r w:rsidRPr="00796A9D">
        <w:rPr>
          <w:rFonts w:ascii="Times New Roman" w:hAnsi="Times New Roman" w:cs="Times New Roman"/>
          <w:i/>
        </w:rPr>
        <w:t>Vel scaena ut versis discedat frontibus»: apud maiores theatri gradus tantum fuerunt, nam scaena de ligneis ad tempus fiebat, unde hodieque consuetudo permansit ut componantur pegmata a ludorum theatralium editoribus. Scaena autem quae fiebat aut versatilis erat aut ductilis: versilis tunc erat, cum subito tota machinis quibusdam convertebatur et aliam picturae faciem ostendebatur; ductilis tunc, cum tractis tabulatis hac atque illac species picturae nudabatur interior: unde perite utrumque tetigit dicens “versis discedat frontibus”, singula singulis complectens sermonibus. Quod Varro et Svetonius commemorant</w:t>
      </w:r>
      <w:r w:rsidRPr="00796A9D">
        <w:rPr>
          <w:rFonts w:ascii="Times New Roman" w:hAnsi="Times New Roman" w:cs="Times New Roman"/>
        </w:rPr>
        <w:t xml:space="preserve">». Il vocabolo era pertanto assai generico già in età romana e si prestava bene all’uso che ne fecero gli autori dell’Umanesimo. Cfr. </w:t>
      </w:r>
      <w:bookmarkStart w:id="426" w:name="_Hlk526708375"/>
      <w:r w:rsidRPr="00796A9D">
        <w:rPr>
          <w:rFonts w:ascii="Times New Roman" w:hAnsi="Times New Roman" w:cs="Times New Roman"/>
          <w:smallCaps/>
        </w:rPr>
        <w:t>G. Tosi</w:t>
      </w:r>
      <w:r w:rsidRPr="00796A9D">
        <w:rPr>
          <w:rFonts w:ascii="Times New Roman" w:hAnsi="Times New Roman" w:cs="Times New Roman"/>
        </w:rPr>
        <w:t xml:space="preserve">, </w:t>
      </w:r>
      <w:r w:rsidRPr="00796A9D">
        <w:rPr>
          <w:rFonts w:ascii="Times New Roman" w:hAnsi="Times New Roman" w:cs="Times New Roman"/>
          <w:i/>
        </w:rPr>
        <w:t>La carpenteria negli edifici per spettacoli</w:t>
      </w:r>
      <w:r w:rsidRPr="00796A9D">
        <w:rPr>
          <w:rFonts w:ascii="Times New Roman" w:hAnsi="Times New Roman" w:cs="Times New Roman"/>
        </w:rPr>
        <w:t xml:space="preserve">, in </w:t>
      </w:r>
      <w:r w:rsidRPr="00796A9D">
        <w:rPr>
          <w:rFonts w:ascii="Times New Roman" w:hAnsi="Times New Roman" w:cs="Times New Roman"/>
          <w:i/>
        </w:rPr>
        <w:t>Gli edifici per spettacoli nell’Italia romana</w:t>
      </w:r>
      <w:r w:rsidRPr="00796A9D">
        <w:rPr>
          <w:rFonts w:ascii="Times New Roman" w:hAnsi="Times New Roman" w:cs="Times New Roman"/>
        </w:rPr>
        <w:t xml:space="preserve">, a cura di </w:t>
      </w:r>
      <w:r w:rsidRPr="00796A9D">
        <w:rPr>
          <w:rFonts w:ascii="Times New Roman" w:hAnsi="Times New Roman" w:cs="Times New Roman"/>
          <w:smallCaps/>
        </w:rPr>
        <w:t>Eadem</w:t>
      </w:r>
      <w:r w:rsidRPr="00796A9D">
        <w:rPr>
          <w:rFonts w:ascii="Times New Roman" w:hAnsi="Times New Roman" w:cs="Times New Roman"/>
        </w:rPr>
        <w:t>, Roma, Quasar, 2003</w:t>
      </w:r>
      <w:bookmarkEnd w:id="426"/>
      <w:r w:rsidRPr="00796A9D">
        <w:rPr>
          <w:rFonts w:ascii="Times New Roman" w:hAnsi="Times New Roman" w:cs="Times New Roman"/>
        </w:rPr>
        <w:t xml:space="preserve">, vol. I, p. 688. </w:t>
      </w:r>
    </w:p>
  </w:footnote>
  <w:footnote w:id="545">
    <w:p w14:paraId="428D3E6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L’importanza di un modello ideale cui riferirsi nel progettare i diversi elementi della festa rinascimentale è stata sottolineata da </w:t>
      </w:r>
      <w:r w:rsidRPr="00796A9D">
        <w:rPr>
          <w:rFonts w:ascii="Times New Roman" w:hAnsi="Times New Roman" w:cs="Times New Roman"/>
          <w:smallCaps/>
        </w:rPr>
        <w:t>F. Cruciani</w:t>
      </w:r>
      <w:r w:rsidRPr="00796A9D">
        <w:rPr>
          <w:rFonts w:ascii="Times New Roman" w:hAnsi="Times New Roman" w:cs="Times New Roman"/>
        </w:rPr>
        <w:t xml:space="preserve">, </w:t>
      </w:r>
      <w:r w:rsidRPr="00796A9D">
        <w:rPr>
          <w:rFonts w:ascii="Times New Roman" w:hAnsi="Times New Roman" w:cs="Times New Roman"/>
          <w:i/>
        </w:rPr>
        <w:t>Il teatro e la festa</w:t>
      </w:r>
      <w:r w:rsidRPr="00796A9D">
        <w:rPr>
          <w:rFonts w:ascii="Times New Roman" w:hAnsi="Times New Roman" w:cs="Times New Roman"/>
        </w:rPr>
        <w:t>, cit., pp. 39-40.</w:t>
      </w:r>
    </w:p>
  </w:footnote>
  <w:footnote w:id="546">
    <w:p w14:paraId="3F9EB5C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mediolanensium ducum</w:t>
      </w:r>
      <w:r w:rsidRPr="00796A9D">
        <w:rPr>
          <w:rFonts w:ascii="Times New Roman" w:hAnsi="Times New Roman" w:cs="Times New Roman"/>
        </w:rPr>
        <w:t xml:space="preserve">, cit., p. 80. </w:t>
      </w:r>
    </w:p>
  </w:footnote>
  <w:footnote w:id="547">
    <w:p w14:paraId="46AF6E8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Anonimo</w:t>
      </w:r>
      <w:r w:rsidRPr="00796A9D">
        <w:rPr>
          <w:rFonts w:ascii="Times New Roman" w:hAnsi="Times New Roman" w:cs="Times New Roman"/>
        </w:rPr>
        <w:t xml:space="preserve">, </w:t>
      </w:r>
      <w:r w:rsidRPr="00796A9D">
        <w:rPr>
          <w:rFonts w:ascii="Times New Roman" w:hAnsi="Times New Roman" w:cs="Times New Roman"/>
          <w:i/>
        </w:rPr>
        <w:t xml:space="preserve">Descriptione. Appendice III, </w:t>
      </w:r>
      <w:r w:rsidRPr="00796A9D">
        <w:rPr>
          <w:rFonts w:ascii="Times New Roman" w:hAnsi="Times New Roman" w:cs="Times New Roman"/>
        </w:rPr>
        <w:t>documento 4.</w:t>
      </w:r>
    </w:p>
  </w:footnote>
  <w:footnote w:id="548">
    <w:p w14:paraId="532FFA7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Quanto all’espressione di dinamiche di potere da parte dell’aristocrazia milanese attraverso il finanziamento delle sfarzose oblazioni alla Fabbrica rinvio a </w:t>
      </w:r>
      <w:bookmarkStart w:id="427" w:name="_Hlk526708685"/>
      <w:r w:rsidRPr="00796A9D">
        <w:rPr>
          <w:rFonts w:ascii="Times New Roman" w:hAnsi="Times New Roman" w:cs="Times New Roman"/>
        </w:rPr>
        <w:t xml:space="preserve">N. </w:t>
      </w:r>
      <w:r w:rsidRPr="00796A9D">
        <w:rPr>
          <w:rFonts w:ascii="Times New Roman" w:hAnsi="Times New Roman" w:cs="Times New Roman"/>
          <w:smallCaps/>
        </w:rPr>
        <w:t>Covini</w:t>
      </w:r>
      <w:r w:rsidRPr="00796A9D">
        <w:rPr>
          <w:rFonts w:ascii="Times New Roman" w:hAnsi="Times New Roman" w:cs="Times New Roman"/>
        </w:rPr>
        <w:t xml:space="preserve">, </w:t>
      </w:r>
      <w:r w:rsidRPr="00796A9D">
        <w:rPr>
          <w:rFonts w:ascii="Times New Roman" w:hAnsi="Times New Roman" w:cs="Times New Roman"/>
          <w:i/>
        </w:rPr>
        <w:t>Feste e cerimonie milanesi tra città e corte. Appunti dai carteggi mantovani</w:t>
      </w:r>
      <w:r w:rsidRPr="00796A9D">
        <w:rPr>
          <w:rFonts w:ascii="Times New Roman" w:hAnsi="Times New Roman" w:cs="Times New Roman"/>
        </w:rPr>
        <w:t>, «Ludica. Annali di storia e civiltà del gioco», VII, 2001, pp. 122-150.</w:t>
      </w:r>
      <w:bookmarkEnd w:id="427"/>
    </w:p>
  </w:footnote>
  <w:footnote w:id="549">
    <w:p w14:paraId="72A8CE18" w14:textId="77777777" w:rsidR="00CF5CFB" w:rsidRPr="00796A9D" w:rsidRDefault="00CF5CFB" w:rsidP="00796A9D">
      <w:pPr>
        <w:pStyle w:val="Nessunaspaziatura"/>
        <w:jc w:val="both"/>
        <w:rPr>
          <w:rFonts w:ascii="Times New Roman" w:hAnsi="Times New Roman" w:cs="Times New Roman"/>
          <w:sz w:val="20"/>
          <w:szCs w:val="20"/>
          <w:shd w:val="clear" w:color="auto" w:fill="F9F9F9"/>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 lettera di Servitor Stephanus è pubblicata in</w:t>
      </w:r>
      <w:r w:rsidRPr="00796A9D">
        <w:rPr>
          <w:rFonts w:ascii="Times New Roman" w:hAnsi="Times New Roman" w:cs="Times New Roman"/>
          <w:smallCaps/>
          <w:sz w:val="20"/>
          <w:szCs w:val="20"/>
        </w:rPr>
        <w:t xml:space="preserve"> </w:t>
      </w:r>
      <w:bookmarkStart w:id="428" w:name="_Hlk526708799"/>
      <w:r w:rsidRPr="00796A9D">
        <w:rPr>
          <w:rFonts w:ascii="Times New Roman" w:hAnsi="Times New Roman" w:cs="Times New Roman"/>
          <w:smallCaps/>
          <w:sz w:val="20"/>
          <w:szCs w:val="20"/>
        </w:rPr>
        <w:t xml:space="preserve">W. Roscoe, </w:t>
      </w:r>
      <w:r w:rsidRPr="00796A9D">
        <w:rPr>
          <w:rFonts w:ascii="Times New Roman" w:hAnsi="Times New Roman" w:cs="Times New Roman"/>
          <w:i/>
          <w:smallCaps/>
          <w:sz w:val="20"/>
          <w:szCs w:val="20"/>
        </w:rPr>
        <w:t>T</w:t>
      </w:r>
      <w:r w:rsidRPr="00796A9D">
        <w:rPr>
          <w:rFonts w:ascii="Times New Roman" w:hAnsi="Times New Roman" w:cs="Times New Roman"/>
          <w:i/>
          <w:sz w:val="20"/>
          <w:szCs w:val="20"/>
        </w:rPr>
        <w:t>he Life of Lorenzo de’ Medici Called the Magnificent</w:t>
      </w:r>
      <w:r w:rsidRPr="00796A9D">
        <w:rPr>
          <w:rFonts w:ascii="Times New Roman" w:hAnsi="Times New Roman" w:cs="Times New Roman"/>
          <w:sz w:val="20"/>
          <w:szCs w:val="20"/>
        </w:rPr>
        <w:t>, London, Stand, 1825</w:t>
      </w:r>
      <w:bookmarkEnd w:id="428"/>
      <w:r w:rsidRPr="00796A9D">
        <w:rPr>
          <w:rFonts w:ascii="Times New Roman" w:hAnsi="Times New Roman" w:cs="Times New Roman"/>
          <w:sz w:val="20"/>
          <w:szCs w:val="20"/>
        </w:rPr>
        <w:t xml:space="preserve">, vol. II, pp. 430-432. Si esclude che lo Stephanus suo estensore possa coincidere con Dolcino, che pare non avesse rapporti con la famiglia Medici. </w:t>
      </w:r>
    </w:p>
  </w:footnote>
  <w:footnote w:id="550">
    <w:p w14:paraId="50F75C4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Gian Francesco Pallavicino, ultimo degli otto figli maschi di Rolando il Magnifico e Caterina di Giovanni Scotti di Agazzano, nel 1457 ricevette in eredità il feudo di Zibello, conteso per lungo tempo ai Rossi di San Secondo. Di fede ghibellina, dal 1480 fu membro del Consiglio segreto ducale e si servì della propria posizione per consolidare i suoi possessi nelle terre di confine tra gli episcopati di Cremona e Parma. Quando, nel 1482, Pietro Maria Rossi si alleò con la Repubblica di Venezia, affrontò, con l'appoggio ducale, il rivale e ne decretò la confisca sforzesca delle terre. </w:t>
      </w:r>
      <w:r>
        <w:rPr>
          <w:rFonts w:ascii="Times New Roman" w:hAnsi="Times New Roman" w:cs="Times New Roman"/>
        </w:rPr>
        <w:t>R</w:t>
      </w:r>
      <w:r w:rsidRPr="00796A9D">
        <w:rPr>
          <w:rFonts w:ascii="Times New Roman" w:hAnsi="Times New Roman" w:cs="Times New Roman"/>
        </w:rPr>
        <w:t xml:space="preserve">icevette </w:t>
      </w:r>
      <w:r>
        <w:rPr>
          <w:rFonts w:ascii="Times New Roman" w:hAnsi="Times New Roman" w:cs="Times New Roman"/>
        </w:rPr>
        <w:t>i</w:t>
      </w:r>
      <w:r w:rsidRPr="00796A9D">
        <w:rPr>
          <w:rFonts w:ascii="Times New Roman" w:hAnsi="Times New Roman" w:cs="Times New Roman"/>
        </w:rPr>
        <w:t xml:space="preserve">n premio dal Moro Roccabianca, Tizzano e Ballone. Fu dunque figura importante per il consolidamento della politica feudale degli Sforza in Emilia-Romagna. Cfr. </w:t>
      </w:r>
      <w:r w:rsidRPr="00796A9D">
        <w:rPr>
          <w:rFonts w:ascii="Times New Roman" w:hAnsi="Times New Roman" w:cs="Times New Roman"/>
          <w:smallCaps/>
        </w:rPr>
        <w:t>M. Gentile</w:t>
      </w:r>
      <w:r w:rsidRPr="00796A9D">
        <w:rPr>
          <w:rFonts w:ascii="Times New Roman" w:hAnsi="Times New Roman" w:cs="Times New Roman"/>
        </w:rPr>
        <w:t>, s.v</w:t>
      </w:r>
      <w:r w:rsidRPr="00796A9D">
        <w:rPr>
          <w:rFonts w:ascii="Times New Roman" w:hAnsi="Times New Roman" w:cs="Times New Roman"/>
          <w:i/>
        </w:rPr>
        <w:t>. Pallavicino, Rolando</w:t>
      </w:r>
      <w:r w:rsidRPr="00796A9D">
        <w:rPr>
          <w:rFonts w:ascii="Times New Roman" w:hAnsi="Times New Roman" w:cs="Times New Roman"/>
        </w:rPr>
        <w:t xml:space="preserve">, DBI, 2014, vol. LXXX, p. 552. Giovanni Borromeo, quarto conte di Arona ed Angera, ereditò dal padre Filippo il possesso di diverse terre in Lombardia e un ricco patrimonio, grazie al quale poté acquistare dagli Sforza, nel periodo della reggenza di Bianca Maria Visconti, Guardasone, Castiglione e possedimenti tra l’Ossola e il Lago Maggiore. A capo del partito ghibellino con </w:t>
      </w:r>
      <w:bookmarkStart w:id="429" w:name="_Hlk535955844"/>
      <w:r w:rsidRPr="00796A9D">
        <w:rPr>
          <w:rFonts w:ascii="Times New Roman" w:hAnsi="Times New Roman" w:cs="Times New Roman"/>
        </w:rPr>
        <w:t xml:space="preserve">Pietro Pusterla </w:t>
      </w:r>
      <w:bookmarkEnd w:id="429"/>
      <w:r w:rsidRPr="00796A9D">
        <w:rPr>
          <w:rFonts w:ascii="Times New Roman" w:hAnsi="Times New Roman" w:cs="Times New Roman"/>
        </w:rPr>
        <w:t xml:space="preserve">e Antonio Marliani, dopo l’assassinio di Galeazzo Maria Sforza favorì l’ascesa del Moro, che, in vero, temette sempre che egli prendesse eccessivo potere a Milano e ne regolò accuratamente la presenza a corte. Cfr. </w:t>
      </w:r>
      <w:r w:rsidRPr="00796A9D">
        <w:rPr>
          <w:rFonts w:ascii="Times New Roman" w:hAnsi="Times New Roman" w:cs="Times New Roman"/>
          <w:smallCaps/>
        </w:rPr>
        <w:t>G. Chittolini</w:t>
      </w:r>
      <w:r w:rsidRPr="00796A9D">
        <w:rPr>
          <w:rFonts w:ascii="Times New Roman" w:hAnsi="Times New Roman" w:cs="Times New Roman"/>
        </w:rPr>
        <w:t xml:space="preserve">, s. v. </w:t>
      </w:r>
      <w:r w:rsidRPr="00796A9D">
        <w:rPr>
          <w:rFonts w:ascii="Times New Roman" w:hAnsi="Times New Roman" w:cs="Times New Roman"/>
          <w:i/>
        </w:rPr>
        <w:t>Borromeo, Giovanni</w:t>
      </w:r>
      <w:r w:rsidRPr="00796A9D">
        <w:rPr>
          <w:rFonts w:ascii="Times New Roman" w:hAnsi="Times New Roman" w:cs="Times New Roman"/>
        </w:rPr>
        <w:t>, DBI, 1971, vol. XIII, pp. 55-58.</w:t>
      </w:r>
    </w:p>
  </w:footnote>
  <w:footnote w:id="551">
    <w:p w14:paraId="3C9B65C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430" w:name="_Hlk526709028"/>
      <w:r w:rsidRPr="00796A9D">
        <w:rPr>
          <w:rFonts w:ascii="Times New Roman" w:hAnsi="Times New Roman" w:cs="Times New Roman"/>
          <w:smallCaps/>
        </w:rPr>
        <w:t>P. Venturelli</w:t>
      </w:r>
      <w:r w:rsidRPr="00796A9D">
        <w:rPr>
          <w:rFonts w:ascii="Times New Roman" w:hAnsi="Times New Roman" w:cs="Times New Roman"/>
        </w:rPr>
        <w:t xml:space="preserve">, </w:t>
      </w:r>
      <w:r w:rsidRPr="00796A9D">
        <w:rPr>
          <w:rFonts w:ascii="Times New Roman" w:hAnsi="Times New Roman" w:cs="Times New Roman"/>
          <w:i/>
        </w:rPr>
        <w:t>Leonardo da Vinci e le arti preziose. Milano tra XV e XVI secolo</w:t>
      </w:r>
      <w:r w:rsidRPr="00796A9D">
        <w:rPr>
          <w:rFonts w:ascii="Times New Roman" w:hAnsi="Times New Roman" w:cs="Times New Roman"/>
        </w:rPr>
        <w:t>, Venezia, Marsilio, 2002</w:t>
      </w:r>
      <w:bookmarkEnd w:id="430"/>
      <w:r w:rsidRPr="00796A9D">
        <w:rPr>
          <w:rFonts w:ascii="Times New Roman" w:hAnsi="Times New Roman" w:cs="Times New Roman"/>
        </w:rPr>
        <w:t xml:space="preserve">, p. 17. La studiosa ipotizza che i cartoni richiesti dal Moro possano essere quelli con i disegni commissionati a Cosmè Tura nel 1472 in vista dei ricevimenti ferraresi per lo sposalizio di Eleonora d’Aragona. </w:t>
      </w:r>
    </w:p>
  </w:footnote>
  <w:footnote w:id="552">
    <w:p w14:paraId="309BA123"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Milano, Biblioteca Capitolare del Duomo, ms. II. D. I. 13, f. 1r. Una schedatura bibliologica del Messale Arcimboldi e un’attenta analisi delle questioni attributive delle sue miniature si leggono in </w:t>
      </w:r>
      <w:bookmarkStart w:id="431" w:name="_Hlk526709345"/>
      <w:r w:rsidRPr="00796A9D">
        <w:rPr>
          <w:rFonts w:ascii="Times New Roman" w:hAnsi="Times New Roman" w:cs="Times New Roman"/>
          <w:sz w:val="20"/>
          <w:szCs w:val="20"/>
        </w:rPr>
        <w:t xml:space="preserve">C. </w:t>
      </w:r>
      <w:r w:rsidRPr="00796A9D">
        <w:rPr>
          <w:rFonts w:ascii="Times New Roman" w:hAnsi="Times New Roman" w:cs="Times New Roman"/>
          <w:smallCaps/>
          <w:sz w:val="20"/>
          <w:szCs w:val="20"/>
        </w:rPr>
        <w:t>Romano</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Matteo da Milano e il Messale Arcimboldi: problematiche e spunti di riflessione</w:t>
      </w:r>
      <w:r w:rsidRPr="00796A9D">
        <w:rPr>
          <w:rFonts w:ascii="Times New Roman" w:hAnsi="Times New Roman" w:cs="Times New Roman"/>
          <w:sz w:val="20"/>
          <w:szCs w:val="20"/>
        </w:rPr>
        <w:t xml:space="preserve">, «Libri e documenti», XXXII-XXXIII, 2006-2007, pp. 9-33. </w:t>
      </w:r>
      <w:bookmarkEnd w:id="431"/>
      <w:r w:rsidRPr="00796A9D">
        <w:rPr>
          <w:rFonts w:ascii="Times New Roman" w:hAnsi="Times New Roman" w:cs="Times New Roman"/>
          <w:sz w:val="20"/>
          <w:szCs w:val="20"/>
        </w:rPr>
        <w:t xml:space="preserve">Per quanto pertiene all’iconologia del cerimoniale si veda invece </w:t>
      </w:r>
      <w:bookmarkStart w:id="432" w:name="_Hlk526709403"/>
      <w:r w:rsidRPr="00796A9D">
        <w:rPr>
          <w:rFonts w:ascii="Times New Roman" w:hAnsi="Times New Roman" w:cs="Times New Roman"/>
          <w:smallCaps/>
          <w:sz w:val="20"/>
          <w:szCs w:val="20"/>
        </w:rPr>
        <w:t>P.L. Mulas</w:t>
      </w:r>
      <w:r w:rsidRPr="00796A9D">
        <w:rPr>
          <w:rFonts w:ascii="Times New Roman" w:hAnsi="Times New Roman" w:cs="Times New Roman"/>
          <w:sz w:val="20"/>
          <w:szCs w:val="20"/>
        </w:rPr>
        <w:t>, «</w:t>
      </w:r>
      <w:r w:rsidRPr="00796A9D">
        <w:rPr>
          <w:rFonts w:ascii="Times New Roman" w:hAnsi="Times New Roman" w:cs="Times New Roman"/>
          <w:i/>
          <w:sz w:val="20"/>
          <w:szCs w:val="20"/>
        </w:rPr>
        <w:t>Cum aparatu ac triumpho quo pagina in hac licet aspicere». L’investitura ducale di Ludovico Sforza</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il Messale Arcimboldi e alcuni problemi di miniatura lombarda</w:t>
      </w:r>
      <w:r w:rsidRPr="00796A9D">
        <w:rPr>
          <w:rFonts w:ascii="Times New Roman" w:hAnsi="Times New Roman" w:cs="Times New Roman"/>
          <w:sz w:val="20"/>
          <w:szCs w:val="20"/>
        </w:rPr>
        <w:t>, «Artes», II, 1994, pp. 5-38</w:t>
      </w:r>
      <w:bookmarkEnd w:id="432"/>
      <w:r w:rsidRPr="00796A9D">
        <w:rPr>
          <w:rFonts w:ascii="Times New Roman" w:hAnsi="Times New Roman" w:cs="Times New Roman"/>
          <w:sz w:val="20"/>
          <w:szCs w:val="20"/>
        </w:rPr>
        <w:t xml:space="preserve">, che pubblica anche la coeva documentazione sull’evento. </w:t>
      </w:r>
    </w:p>
  </w:footnote>
  <w:footnote w:id="553">
    <w:p w14:paraId="5D819780" w14:textId="77777777" w:rsidR="00CF5CFB" w:rsidRPr="00796A9D" w:rsidRDefault="00CF5CFB" w:rsidP="00796A9D">
      <w:pPr>
        <w:spacing w:after="0"/>
        <w:jc w:val="both"/>
        <w:rPr>
          <w:rFonts w:ascii="Times New Roman" w:eastAsia="Times New Roman" w:hAnsi="Times New Roman" w:cs="Times New Roman"/>
          <w:sz w:val="20"/>
          <w:szCs w:val="20"/>
          <w:lang w:eastAsia="it-IT"/>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Entrambi i presuli furono vicini alla famiglia ducale, alla quale dovettero parte del buon esito della loro carriera ecclesiastica. Fabrizio Marliani, di nobili origini, fu dal 1475 cappellano e confessore di Galeazzo Maria Sforza, </w:t>
      </w:r>
      <w:r>
        <w:rPr>
          <w:rFonts w:ascii="Times New Roman" w:hAnsi="Times New Roman" w:cs="Times New Roman"/>
          <w:sz w:val="20"/>
          <w:szCs w:val="20"/>
        </w:rPr>
        <w:t xml:space="preserve">il quale </w:t>
      </w:r>
      <w:r w:rsidRPr="00796A9D">
        <w:rPr>
          <w:rFonts w:ascii="Times New Roman" w:hAnsi="Times New Roman" w:cs="Times New Roman"/>
          <w:sz w:val="20"/>
          <w:szCs w:val="20"/>
        </w:rPr>
        <w:t>gli ottenne il vescovato di Tortona, e nel 1476 quello di Piacenza, dove si impegnò in una decisa opera di moralizzazione dei costumi e di riordino della gestione dei beni diocesani. Cfr</w:t>
      </w:r>
      <w:r w:rsidRPr="00796A9D">
        <w:rPr>
          <w:rFonts w:ascii="Times New Roman" w:hAnsi="Times New Roman" w:cs="Times New Roman"/>
          <w:smallCaps/>
          <w:sz w:val="20"/>
          <w:szCs w:val="20"/>
        </w:rPr>
        <w:t>. F. M. Vaglienti</w:t>
      </w:r>
      <w:r w:rsidRPr="00796A9D">
        <w:rPr>
          <w:rFonts w:ascii="Times New Roman" w:hAnsi="Times New Roman" w:cs="Times New Roman"/>
          <w:sz w:val="20"/>
          <w:szCs w:val="20"/>
        </w:rPr>
        <w:t xml:space="preserve">, s.v. </w:t>
      </w:r>
      <w:r w:rsidRPr="00796A9D">
        <w:rPr>
          <w:rFonts w:ascii="Times New Roman" w:hAnsi="Times New Roman" w:cs="Times New Roman"/>
          <w:i/>
          <w:sz w:val="20"/>
          <w:szCs w:val="20"/>
        </w:rPr>
        <w:t>Marliani Fabrizio</w:t>
      </w:r>
      <w:r w:rsidRPr="00796A9D">
        <w:rPr>
          <w:rFonts w:ascii="Times New Roman" w:hAnsi="Times New Roman" w:cs="Times New Roman"/>
          <w:sz w:val="20"/>
          <w:szCs w:val="20"/>
        </w:rPr>
        <w:t>, DBI, 2008, vol. LXX, pp. 605-607. Federico Sanseverino, esponente di una famiglia baronale del Regno di Napoli, figlio di Roberto, uomo chiave della milizia sforzesca, fu</w:t>
      </w:r>
      <w:r w:rsidRPr="00796A9D">
        <w:rPr>
          <w:rStyle w:val="apple-converted-space"/>
          <w:rFonts w:ascii="Times New Roman" w:hAnsi="Times New Roman" w:cs="Times New Roman"/>
          <w:color w:val="000000"/>
          <w:sz w:val="20"/>
          <w:szCs w:val="20"/>
          <w:shd w:val="clear" w:color="auto" w:fill="FFFFFF"/>
        </w:rPr>
        <w:t> </w:t>
      </w:r>
      <w:r w:rsidRPr="00796A9D">
        <w:rPr>
          <w:rFonts w:ascii="Times New Roman" w:hAnsi="Times New Roman" w:cs="Times New Roman"/>
          <w:color w:val="000000"/>
          <w:sz w:val="20"/>
          <w:szCs w:val="20"/>
          <w:shd w:val="clear" w:color="auto" w:fill="FFFFFF"/>
        </w:rPr>
        <w:t>protonotario apostolico e dal</w:t>
      </w:r>
      <w:r w:rsidRPr="00796A9D">
        <w:rPr>
          <w:rStyle w:val="apple-converted-space"/>
          <w:rFonts w:ascii="Times New Roman" w:hAnsi="Times New Roman" w:cs="Times New Roman"/>
          <w:color w:val="000000"/>
          <w:sz w:val="20"/>
          <w:szCs w:val="20"/>
          <w:shd w:val="clear" w:color="auto" w:fill="FFFFFF"/>
        </w:rPr>
        <w:t> </w:t>
      </w:r>
      <w:r w:rsidRPr="00796A9D">
        <w:rPr>
          <w:rFonts w:ascii="Times New Roman" w:hAnsi="Times New Roman" w:cs="Times New Roman"/>
          <w:sz w:val="20"/>
          <w:szCs w:val="20"/>
          <w:shd w:val="clear" w:color="auto" w:fill="FFFFFF"/>
        </w:rPr>
        <w:t>1481</w:t>
      </w:r>
      <w:r w:rsidRPr="00796A9D">
        <w:rPr>
          <w:rStyle w:val="apple-converted-space"/>
          <w:rFonts w:ascii="Times New Roman" w:hAnsi="Times New Roman" w:cs="Times New Roman"/>
          <w:color w:val="000000"/>
          <w:sz w:val="20"/>
          <w:szCs w:val="20"/>
          <w:shd w:val="clear" w:color="auto" w:fill="FFFFFF"/>
        </w:rPr>
        <w:t xml:space="preserve"> resse </w:t>
      </w:r>
      <w:r w:rsidRPr="00796A9D">
        <w:rPr>
          <w:rFonts w:ascii="Times New Roman" w:hAnsi="Times New Roman" w:cs="Times New Roman"/>
          <w:color w:val="000000"/>
          <w:sz w:val="20"/>
          <w:szCs w:val="20"/>
          <w:shd w:val="clear" w:color="auto" w:fill="FFFFFF"/>
        </w:rPr>
        <w:t>la</w:t>
      </w:r>
      <w:r w:rsidRPr="00796A9D">
        <w:rPr>
          <w:rStyle w:val="apple-converted-space"/>
          <w:rFonts w:ascii="Times New Roman" w:hAnsi="Times New Roman" w:cs="Times New Roman"/>
          <w:color w:val="000000"/>
          <w:sz w:val="20"/>
          <w:szCs w:val="20"/>
          <w:shd w:val="clear" w:color="auto" w:fill="FFFFFF"/>
        </w:rPr>
        <w:t> </w:t>
      </w:r>
      <w:r w:rsidRPr="00796A9D">
        <w:rPr>
          <w:rFonts w:ascii="Times New Roman" w:hAnsi="Times New Roman" w:cs="Times New Roman"/>
          <w:sz w:val="20"/>
          <w:szCs w:val="20"/>
          <w:shd w:val="clear" w:color="auto" w:fill="FFFFFF"/>
        </w:rPr>
        <w:t>diocesi francese di Maillezai</w:t>
      </w:r>
      <w:r w:rsidRPr="00796A9D">
        <w:rPr>
          <w:rFonts w:ascii="Times New Roman" w:hAnsi="Times New Roman" w:cs="Times New Roman"/>
          <w:color w:val="000000"/>
          <w:sz w:val="20"/>
          <w:szCs w:val="20"/>
          <w:shd w:val="clear" w:color="auto" w:fill="FFFFFF"/>
        </w:rPr>
        <w:t xml:space="preserve">. Tra il 1488 e il 1489, informato della prossima indizione di un concistoro, il Moro operò per ottenergli la porpora cardinalizia, così da procurare un valido alleato a suo fratello Ascanio presso la curia romana; come effettivamente accadde poi nel 1492: si veda C. </w:t>
      </w:r>
      <w:r w:rsidRPr="00796A9D">
        <w:rPr>
          <w:rFonts w:ascii="Times New Roman" w:hAnsi="Times New Roman" w:cs="Times New Roman"/>
          <w:smallCaps/>
          <w:color w:val="000000"/>
          <w:sz w:val="20"/>
          <w:szCs w:val="20"/>
          <w:shd w:val="clear" w:color="auto" w:fill="FFFFFF"/>
        </w:rPr>
        <w:t>Belloni</w:t>
      </w:r>
      <w:r w:rsidRPr="00796A9D">
        <w:rPr>
          <w:rFonts w:ascii="Times New Roman" w:hAnsi="Times New Roman" w:cs="Times New Roman"/>
          <w:color w:val="000000"/>
          <w:sz w:val="20"/>
          <w:szCs w:val="20"/>
          <w:shd w:val="clear" w:color="auto" w:fill="FFFFFF"/>
        </w:rPr>
        <w:t xml:space="preserve">, </w:t>
      </w:r>
      <w:r w:rsidRPr="00796A9D">
        <w:rPr>
          <w:rFonts w:ascii="Times New Roman" w:hAnsi="Times New Roman" w:cs="Times New Roman"/>
          <w:i/>
          <w:color w:val="000000"/>
          <w:sz w:val="20"/>
          <w:szCs w:val="20"/>
          <w:shd w:val="clear" w:color="auto" w:fill="FFFFFF"/>
        </w:rPr>
        <w:t>Candidati sforzeschi alla porpora cardinalizia. Alcune</w:t>
      </w:r>
      <w:r w:rsidRPr="00796A9D">
        <w:rPr>
          <w:rFonts w:ascii="Times New Roman" w:hAnsi="Times New Roman" w:cs="Times New Roman"/>
          <w:sz w:val="20"/>
          <w:szCs w:val="20"/>
        </w:rPr>
        <w:t xml:space="preserve"> </w:t>
      </w:r>
      <w:r w:rsidRPr="00796A9D">
        <w:rPr>
          <w:rFonts w:ascii="Times New Roman" w:hAnsi="Times New Roman" w:cs="Times New Roman"/>
          <w:i/>
          <w:color w:val="000000"/>
          <w:sz w:val="20"/>
          <w:szCs w:val="20"/>
          <w:shd w:val="clear" w:color="auto" w:fill="FFFFFF"/>
        </w:rPr>
        <w:t>considerazioni sul caso di Federico Sanseverino</w:t>
      </w:r>
      <w:r w:rsidRPr="00796A9D">
        <w:rPr>
          <w:rFonts w:ascii="Times New Roman" w:hAnsi="Times New Roman" w:cs="Times New Roman"/>
          <w:color w:val="000000"/>
          <w:sz w:val="20"/>
          <w:szCs w:val="20"/>
          <w:shd w:val="clear" w:color="auto" w:fill="FFFFFF"/>
        </w:rPr>
        <w:t xml:space="preserve">. </w:t>
      </w:r>
      <w:r w:rsidRPr="00796A9D">
        <w:rPr>
          <w:rFonts w:ascii="Times New Roman" w:eastAsia="Times New Roman" w:hAnsi="Times New Roman" w:cs="Times New Roman"/>
          <w:sz w:val="20"/>
          <w:szCs w:val="20"/>
          <w:lang w:eastAsia="it-IT"/>
        </w:rPr>
        <w:t xml:space="preserve">Relazione presentata al seminario organizzato a Gargnano dall'Istituto di Storia Medievale e Moderna dell’Università degli Studi di Milano (settembre 1990). Consultabile online all’indirizzo https://independent.academia.edu/CristinaBelloni. Visitato il 15/06/2018. </w:t>
      </w:r>
    </w:p>
  </w:footnote>
  <w:footnote w:id="554">
    <w:p w14:paraId="4F9DF6E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questa breve crisi dei rapporti tra Firenze e Milano si veda </w:t>
      </w:r>
      <w:bookmarkStart w:id="436" w:name="_Hlk526709692"/>
      <w:r w:rsidRPr="00796A9D">
        <w:rPr>
          <w:rFonts w:ascii="Times New Roman" w:hAnsi="Times New Roman" w:cs="Times New Roman"/>
          <w:smallCaps/>
        </w:rPr>
        <w:t>P. Meli</w:t>
      </w:r>
      <w:r w:rsidRPr="00796A9D">
        <w:rPr>
          <w:rFonts w:ascii="Times New Roman" w:hAnsi="Times New Roman" w:cs="Times New Roman"/>
        </w:rPr>
        <w:t xml:space="preserve">, </w:t>
      </w:r>
      <w:r w:rsidRPr="00796A9D">
        <w:rPr>
          <w:rFonts w:ascii="Times New Roman" w:hAnsi="Times New Roman" w:cs="Times New Roman"/>
          <w:i/>
        </w:rPr>
        <w:t>Corrispondenza di Francesco Valori e Piero Vettori</w:t>
      </w:r>
      <w:r w:rsidRPr="00796A9D">
        <w:rPr>
          <w:rFonts w:ascii="Times New Roman" w:hAnsi="Times New Roman" w:cs="Times New Roman"/>
        </w:rPr>
        <w:t>, Battipaglia, Laveglia &amp; Carlone, 2011</w:t>
      </w:r>
      <w:bookmarkEnd w:id="436"/>
      <w:r w:rsidRPr="00796A9D">
        <w:rPr>
          <w:rFonts w:ascii="Times New Roman" w:hAnsi="Times New Roman" w:cs="Times New Roman"/>
        </w:rPr>
        <w:t xml:space="preserve">, pp. XVI-XVIII. Piero Alamanni fu ambasciatore fiorentino a Milano dal 1485 al 1489, anno in cui gli succedette nell’incarico Francesco Valori. Cfr. </w:t>
      </w:r>
      <w:r w:rsidRPr="00796A9D">
        <w:rPr>
          <w:rFonts w:ascii="Times New Roman" w:hAnsi="Times New Roman" w:cs="Times New Roman"/>
          <w:i/>
        </w:rPr>
        <w:t>Ivi</w:t>
      </w:r>
      <w:r w:rsidRPr="00796A9D">
        <w:rPr>
          <w:rFonts w:ascii="Times New Roman" w:hAnsi="Times New Roman" w:cs="Times New Roman"/>
        </w:rPr>
        <w:t>, p. 27. Si consideri che la lettera del servitor Stephanus si apre menzionando l’invio precedente di un resoconto (perduto) della disposizione gerarchica degli ambasciatori nel corteo del giorno dell’arrivo della sposa a Milano; indizio di come Lorenzo de’ Medici volesse essere scrupolosamente aggiornato riguardo le cortesie tributate all’ambasciatore e a suo figlio Piero.</w:t>
      </w:r>
    </w:p>
  </w:footnote>
  <w:footnote w:id="555">
    <w:p w14:paraId="7A15908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vesta del nostro Piero col broncone è suta tenuta cosa admiranda, et secondo il judicio mio ha abbattutto ogni altra. Hoggi questi Signori hanno mandato per epsa, et l’hanno voluta vedere, et molto bene examinare, et in effetto ognuno ne sta meravigliato». Cfr. </w:t>
      </w:r>
      <w:r w:rsidRPr="00796A9D">
        <w:rPr>
          <w:rFonts w:ascii="Times New Roman" w:hAnsi="Times New Roman" w:cs="Times New Roman"/>
          <w:smallCaps/>
        </w:rPr>
        <w:t xml:space="preserve">W. Roscoe, </w:t>
      </w:r>
      <w:r w:rsidRPr="00796A9D">
        <w:rPr>
          <w:rFonts w:ascii="Times New Roman" w:hAnsi="Times New Roman" w:cs="Times New Roman"/>
          <w:i/>
          <w:smallCaps/>
        </w:rPr>
        <w:t>T</w:t>
      </w:r>
      <w:r w:rsidRPr="00796A9D">
        <w:rPr>
          <w:rFonts w:ascii="Times New Roman" w:hAnsi="Times New Roman" w:cs="Times New Roman"/>
          <w:i/>
        </w:rPr>
        <w:t xml:space="preserve">he Life Lorenzo de’ Medici, </w:t>
      </w:r>
      <w:r w:rsidRPr="00796A9D">
        <w:rPr>
          <w:rFonts w:ascii="Times New Roman" w:hAnsi="Times New Roman" w:cs="Times New Roman"/>
        </w:rPr>
        <w:t xml:space="preserve">cit., p. 432. Si noti come il broncone fiorente fosse emblema personale di Lorenzo de’ Medici e come dunque Piero lo sfoggiasse per ribadire d’essere presente in rappresentanza del padre.  </w:t>
      </w:r>
    </w:p>
  </w:footnote>
  <w:footnote w:id="556">
    <w:p w14:paraId="28563CA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onore dello sposalizio Claudio Claudiano compose quattro </w:t>
      </w:r>
      <w:r w:rsidRPr="00796A9D">
        <w:rPr>
          <w:rFonts w:ascii="Times New Roman" w:hAnsi="Times New Roman" w:cs="Times New Roman"/>
          <w:i/>
        </w:rPr>
        <w:t>fescennina</w:t>
      </w:r>
      <w:r w:rsidRPr="00796A9D">
        <w:rPr>
          <w:rFonts w:ascii="Times New Roman" w:hAnsi="Times New Roman" w:cs="Times New Roman"/>
        </w:rPr>
        <w:t xml:space="preserve"> e un epitalamio che costituiscono uno tra i primi esempi di poesia nuziale giunti dall’antichità. Con la menzione del matrimonio imperiale Dolcino intendeva forse connettere il suo testo all’opera di un grande poeta classico, nonché iniziatore di un genere letterario d’occasione. Per un inquadramento della produzione di Claudiano e dei suoi predecessori nella scrittura di poesia per nozze rinvio a </w:t>
      </w:r>
      <w:bookmarkStart w:id="437" w:name="_Hlk526709837"/>
      <w:r w:rsidRPr="00796A9D">
        <w:rPr>
          <w:rFonts w:ascii="Times New Roman" w:hAnsi="Times New Roman" w:cs="Times New Roman"/>
          <w:smallCaps/>
        </w:rPr>
        <w:t>C. Claudianus</w:t>
      </w:r>
      <w:r w:rsidRPr="00796A9D">
        <w:rPr>
          <w:rFonts w:ascii="Times New Roman" w:hAnsi="Times New Roman" w:cs="Times New Roman"/>
        </w:rPr>
        <w:t xml:space="preserve">, </w:t>
      </w:r>
      <w:r w:rsidRPr="00796A9D">
        <w:rPr>
          <w:rFonts w:ascii="Times New Roman" w:hAnsi="Times New Roman" w:cs="Times New Roman"/>
          <w:i/>
        </w:rPr>
        <w:t>Fescennina dicta Honorio Augusto et Mariae</w:t>
      </w:r>
      <w:r w:rsidRPr="00796A9D">
        <w:rPr>
          <w:rFonts w:ascii="Times New Roman" w:hAnsi="Times New Roman" w:cs="Times New Roman"/>
        </w:rPr>
        <w:t xml:space="preserve">, a cura di </w:t>
      </w:r>
      <w:r w:rsidRPr="00796A9D">
        <w:rPr>
          <w:rFonts w:ascii="Times New Roman" w:hAnsi="Times New Roman" w:cs="Times New Roman"/>
          <w:smallCaps/>
        </w:rPr>
        <w:t>O. Fuoco</w:t>
      </w:r>
      <w:r w:rsidRPr="00796A9D">
        <w:rPr>
          <w:rFonts w:ascii="Times New Roman" w:hAnsi="Times New Roman" w:cs="Times New Roman"/>
        </w:rPr>
        <w:t>, Bari, Cacucci, 2013.</w:t>
      </w:r>
      <w:bookmarkEnd w:id="437"/>
    </w:p>
  </w:footnote>
  <w:footnote w:id="557">
    <w:p w14:paraId="0F61696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l’analisi bibliografica dei due incunaboli si vedano ultra le schede 8 e 9 dell’</w:t>
      </w:r>
      <w:r w:rsidRPr="00796A9D">
        <w:rPr>
          <w:rFonts w:ascii="Times New Roman" w:hAnsi="Times New Roman" w:cs="Times New Roman"/>
          <w:i/>
        </w:rPr>
        <w:t>Appendice I.</w:t>
      </w:r>
      <w:r w:rsidRPr="00796A9D">
        <w:rPr>
          <w:rFonts w:ascii="Times New Roman" w:hAnsi="Times New Roman" w:cs="Times New Roman"/>
        </w:rPr>
        <w:t xml:space="preserve"> Manca un’edizione moderna dei due testi, pertanto si farà riferimento alla numerazione delle ottave della </w:t>
      </w:r>
      <w:r w:rsidRPr="00796A9D">
        <w:rPr>
          <w:rFonts w:ascii="Times New Roman" w:hAnsi="Times New Roman" w:cs="Times New Roman"/>
          <w:i/>
        </w:rPr>
        <w:t>Coronatione</w:t>
      </w:r>
      <w:r w:rsidRPr="00796A9D">
        <w:rPr>
          <w:rFonts w:ascii="Times New Roman" w:hAnsi="Times New Roman" w:cs="Times New Roman"/>
        </w:rPr>
        <w:t xml:space="preserve"> di Taccone e a quella delle carte della stampa di Lazzaroni così come trasmessa dagli esemplari schedati. </w:t>
      </w:r>
    </w:p>
  </w:footnote>
  <w:footnote w:id="558">
    <w:p w14:paraId="27143CC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 due incunaboli milanesi dell’</w:t>
      </w:r>
      <w:r w:rsidRPr="00796A9D">
        <w:rPr>
          <w:rFonts w:ascii="Times New Roman" w:hAnsi="Times New Roman" w:cs="Times New Roman"/>
          <w:i/>
        </w:rPr>
        <w:t>Oratio</w:t>
      </w:r>
      <w:r w:rsidRPr="00796A9D">
        <w:rPr>
          <w:rFonts w:ascii="Times New Roman" w:hAnsi="Times New Roman" w:cs="Times New Roman"/>
        </w:rPr>
        <w:t xml:space="preserve"> di Giasone del Maino, cfr. IGI 6024 e IGI 6026. Dalla </w:t>
      </w:r>
      <w:r w:rsidRPr="00796A9D">
        <w:rPr>
          <w:rFonts w:ascii="Times New Roman" w:hAnsi="Times New Roman" w:cs="Times New Roman"/>
          <w:i/>
        </w:rPr>
        <w:t>princeps</w:t>
      </w:r>
      <w:r w:rsidRPr="00796A9D">
        <w:rPr>
          <w:rFonts w:ascii="Times New Roman" w:hAnsi="Times New Roman" w:cs="Times New Roman"/>
        </w:rPr>
        <w:t xml:space="preserve">, impressa dopo l’8 aprile 1494, è tratta la moderna edizione del testo reperibile in </w:t>
      </w:r>
      <w:bookmarkStart w:id="438" w:name="_Hlk526710000"/>
      <w:r w:rsidRPr="00796A9D">
        <w:rPr>
          <w:rFonts w:ascii="Times New Roman" w:hAnsi="Times New Roman" w:cs="Times New Roman"/>
        </w:rPr>
        <w:t xml:space="preserve">F. </w:t>
      </w:r>
      <w:r w:rsidRPr="00796A9D">
        <w:rPr>
          <w:rFonts w:ascii="Times New Roman" w:hAnsi="Times New Roman" w:cs="Times New Roman"/>
          <w:smallCaps/>
        </w:rPr>
        <w:t>Santi</w:t>
      </w:r>
      <w:r w:rsidRPr="00796A9D">
        <w:rPr>
          <w:rFonts w:ascii="Times New Roman" w:hAnsi="Times New Roman" w:cs="Times New Roman"/>
        </w:rPr>
        <w:t xml:space="preserve">, </w:t>
      </w:r>
      <w:r w:rsidRPr="00796A9D">
        <w:rPr>
          <w:rFonts w:ascii="Times New Roman" w:hAnsi="Times New Roman" w:cs="Times New Roman"/>
          <w:i/>
        </w:rPr>
        <w:t>Un’orazione di Giasone del Maino</w:t>
      </w:r>
      <w:r w:rsidRPr="00796A9D">
        <w:rPr>
          <w:rFonts w:ascii="Times New Roman" w:hAnsi="Times New Roman" w:cs="Times New Roman"/>
        </w:rPr>
        <w:t xml:space="preserve">, ‹‹Bollettino della Società Pavese di Storia Patria››, </w:t>
      </w:r>
      <w:r w:rsidRPr="00796A9D">
        <w:rPr>
          <w:rFonts w:ascii="Times New Roman" w:hAnsi="Times New Roman" w:cs="Times New Roman"/>
          <w:color w:val="222222"/>
          <w:shd w:val="clear" w:color="auto" w:fill="FFFFFF"/>
        </w:rPr>
        <w:t>XCVII, 1997, pp. 173-204.</w:t>
      </w:r>
      <w:bookmarkEnd w:id="438"/>
    </w:p>
  </w:footnote>
  <w:footnote w:id="559">
    <w:p w14:paraId="4E6C5AE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precedenza, nel 1477, il re dei romani aveva sposato Maria Bianca di Borgogna, figlia di Carlo il Temerario. Nel 1490 aveva contratto un secondo matrimonio con Anna di Bretagna. Il passaggio della Bretagna nella sfera d’influenza asburgica aveva suscitato la collera di Carlo VIII, che ne invase le terre e costrinse Anna a sposarlo, dopo avere a sua volta ottenuto l’annullamento del proprio precedente matrimonio con Margherita d’Asburgo, figlia di Massimiliano. Il turbolento periodo di rivalità tra Francia e Impero giunse al termine solo con la pace di Senlis. Cfr. </w:t>
      </w:r>
      <w:bookmarkStart w:id="439" w:name="_Hlk526710384"/>
      <w:r w:rsidRPr="00796A9D">
        <w:rPr>
          <w:rFonts w:ascii="Times New Roman" w:hAnsi="Times New Roman" w:cs="Times New Roman"/>
          <w:smallCaps/>
        </w:rPr>
        <w:t>S. Biancardi</w:t>
      </w:r>
      <w:r w:rsidRPr="00796A9D">
        <w:rPr>
          <w:rFonts w:ascii="Times New Roman" w:hAnsi="Times New Roman" w:cs="Times New Roman"/>
        </w:rPr>
        <w:t xml:space="preserve">, </w:t>
      </w:r>
      <w:r w:rsidRPr="00796A9D">
        <w:rPr>
          <w:rFonts w:ascii="Times New Roman" w:hAnsi="Times New Roman" w:cs="Times New Roman"/>
          <w:i/>
        </w:rPr>
        <w:t>La chimera di Carlo VIII, 1492-1495</w:t>
      </w:r>
      <w:r w:rsidRPr="00796A9D">
        <w:rPr>
          <w:rFonts w:ascii="Times New Roman" w:hAnsi="Times New Roman" w:cs="Times New Roman"/>
        </w:rPr>
        <w:t>, Novara, Interlinea, 2009</w:t>
      </w:r>
      <w:bookmarkEnd w:id="439"/>
      <w:r w:rsidRPr="00796A9D">
        <w:rPr>
          <w:rFonts w:ascii="Times New Roman" w:hAnsi="Times New Roman" w:cs="Times New Roman"/>
        </w:rPr>
        <w:t xml:space="preserve">, pp. 28-30. </w:t>
      </w:r>
    </w:p>
  </w:footnote>
  <w:footnote w:id="560">
    <w:p w14:paraId="2DE8747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condurre la guerra contro i turchi Massimiliano sperava nell’aiuto anche del re di Francia. Per tale ragione, nel firmare il trattato di pace, aveva formalmente promesso di non ostacolare la discesa di Carlo VIII in Italia. Altri appoggi egli avrebbe atteso da Polonia e Ungheria, i cui sovrani però preferirono intraprendere trattative diplomatiche. Il sostegno di Milano acquisiva quindi maggiore importanza strategica. Cfr. </w:t>
      </w:r>
      <w:bookmarkStart w:id="440" w:name="_Hlk526710604"/>
      <w:r w:rsidRPr="00796A9D">
        <w:rPr>
          <w:rFonts w:ascii="Times New Roman" w:hAnsi="Times New Roman" w:cs="Times New Roman"/>
        </w:rPr>
        <w:t xml:space="preserve">H. </w:t>
      </w:r>
      <w:r w:rsidRPr="00796A9D">
        <w:rPr>
          <w:rFonts w:ascii="Times New Roman" w:hAnsi="Times New Roman" w:cs="Times New Roman"/>
          <w:smallCaps/>
        </w:rPr>
        <w:t>Angermeier</w:t>
      </w:r>
      <w:r w:rsidRPr="00796A9D">
        <w:rPr>
          <w:rFonts w:ascii="Times New Roman" w:hAnsi="Times New Roman" w:cs="Times New Roman"/>
        </w:rPr>
        <w:t xml:space="preserve">, </w:t>
      </w:r>
      <w:r w:rsidRPr="00796A9D">
        <w:rPr>
          <w:rFonts w:ascii="Times New Roman" w:hAnsi="Times New Roman" w:cs="Times New Roman"/>
          <w:i/>
        </w:rPr>
        <w:t>Il ducato di Milano e la situazione europea nel 1495</w:t>
      </w:r>
      <w:r w:rsidRPr="00796A9D">
        <w:rPr>
          <w:rFonts w:ascii="Times New Roman" w:hAnsi="Times New Roman" w:cs="Times New Roman"/>
        </w:rPr>
        <w:t xml:space="preserve">, in Atti del convegno internazionale (Milano, 28 febbraio-4 marzo 1983), Milano, Comune di Milano e Biblioteca Trivulziana, 1983, pp. 57-64. </w:t>
      </w:r>
    </w:p>
    <w:bookmarkEnd w:id="440"/>
  </w:footnote>
  <w:footnote w:id="561">
    <w:p w14:paraId="49C8A83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un’analisi più completa delle implicazioni politiche di queste nozze e delle alleanze tra il ducato di Milano e l’impero si veda </w:t>
      </w:r>
      <w:r w:rsidRPr="00796A9D">
        <w:rPr>
          <w:rFonts w:ascii="Times New Roman" w:hAnsi="Times New Roman" w:cs="Times New Roman"/>
          <w:smallCaps/>
        </w:rPr>
        <w:t>f. catalano</w:t>
      </w:r>
      <w:r w:rsidRPr="00796A9D">
        <w:rPr>
          <w:rFonts w:ascii="Times New Roman" w:hAnsi="Times New Roman" w:cs="Times New Roman"/>
        </w:rPr>
        <w:t xml:space="preserve">, </w:t>
      </w:r>
      <w:r w:rsidRPr="00796A9D">
        <w:rPr>
          <w:rFonts w:ascii="Times New Roman" w:hAnsi="Times New Roman" w:cs="Times New Roman"/>
          <w:i/>
        </w:rPr>
        <w:t>Il ducato di Milano nella politica dell’equilibrio</w:t>
      </w:r>
      <w:r w:rsidRPr="00796A9D">
        <w:rPr>
          <w:rFonts w:ascii="Times New Roman" w:hAnsi="Times New Roman" w:cs="Times New Roman"/>
        </w:rPr>
        <w:t xml:space="preserve">, in </w:t>
      </w:r>
      <w:r w:rsidRPr="00796A9D">
        <w:rPr>
          <w:rFonts w:ascii="Times New Roman" w:hAnsi="Times New Roman" w:cs="Times New Roman"/>
          <w:i/>
        </w:rPr>
        <w:t>Storia di Milano</w:t>
      </w:r>
      <w:r w:rsidRPr="00796A9D">
        <w:rPr>
          <w:rFonts w:ascii="Times New Roman" w:hAnsi="Times New Roman" w:cs="Times New Roman"/>
        </w:rPr>
        <w:t xml:space="preserve">, Milano, Treccani 1956, vol. VII, pp. 403-406. Si osservi che nel 1491, in occasione delle nozze della sorella di Bianca Maria, Anna Sforza, con Alfonso d’Este, primogenito del duca di Ferrara, venne pagata una dote di 150.000 ducati, che parve spropositata. Si comprende bene dunque quale peso abbia avuto questa spesa sulle casse del ducato. </w:t>
      </w:r>
    </w:p>
  </w:footnote>
  <w:footnote w:id="562">
    <w:p w14:paraId="31E9F53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Bianca Maria Sforza, personalità in vero dimenticata dagli storici del Rinascimento, esercitò una scarsa influenza alla corte imperiale, anche in ragione della sua poca dimestichezza con la lingua tedesca. Cfr. </w:t>
      </w:r>
      <w:bookmarkStart w:id="441" w:name="_Hlk526710753"/>
      <w:r w:rsidRPr="00BD1DEE">
        <w:rPr>
          <w:rFonts w:ascii="Times New Roman" w:hAnsi="Times New Roman" w:cs="Times New Roman"/>
          <w:smallCaps/>
        </w:rPr>
        <w:t>S. Weiss</w:t>
      </w:r>
      <w:r w:rsidRPr="00796A9D">
        <w:rPr>
          <w:rFonts w:ascii="Times New Roman" w:hAnsi="Times New Roman" w:cs="Times New Roman"/>
        </w:rPr>
        <w:t xml:space="preserve">, </w:t>
      </w:r>
      <w:r w:rsidRPr="00796A9D">
        <w:rPr>
          <w:rFonts w:ascii="Times New Roman" w:hAnsi="Times New Roman" w:cs="Times New Roman"/>
          <w:i/>
        </w:rPr>
        <w:t>Die vergessene Kaiserin: Bianca Maria Sforza, Kaiser Maximilians zweite Gemahlin</w:t>
      </w:r>
      <w:r w:rsidRPr="00796A9D">
        <w:rPr>
          <w:rFonts w:ascii="Times New Roman" w:hAnsi="Times New Roman" w:cs="Times New Roman"/>
        </w:rPr>
        <w:t>, Innsbruck, Tyrolia, 2010</w:t>
      </w:r>
      <w:bookmarkEnd w:id="441"/>
      <w:r w:rsidRPr="00796A9D">
        <w:rPr>
          <w:rFonts w:ascii="Times New Roman" w:hAnsi="Times New Roman" w:cs="Times New Roman"/>
        </w:rPr>
        <w:t xml:space="preserve">; G. RILL, s.v. </w:t>
      </w:r>
      <w:r w:rsidRPr="00796A9D">
        <w:rPr>
          <w:rFonts w:ascii="Times New Roman" w:hAnsi="Times New Roman" w:cs="Times New Roman"/>
          <w:i/>
        </w:rPr>
        <w:t>Bianca Maria Sforza</w:t>
      </w:r>
      <w:r w:rsidRPr="00796A9D">
        <w:rPr>
          <w:rFonts w:ascii="Times New Roman" w:hAnsi="Times New Roman" w:cs="Times New Roman"/>
        </w:rPr>
        <w:t>, DBI, 1968, vol. X, pp. 24-25.</w:t>
      </w:r>
    </w:p>
  </w:footnote>
  <w:footnote w:id="563">
    <w:p w14:paraId="776FF68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w:t>
      </w:r>
      <w:r w:rsidRPr="00796A9D">
        <w:rPr>
          <w:rFonts w:ascii="Times New Roman" w:hAnsi="Times New Roman" w:cs="Times New Roman"/>
          <w:smallCaps/>
        </w:rPr>
        <w:t>. C.M. Pyle</w:t>
      </w:r>
      <w:r w:rsidRPr="00796A9D">
        <w:rPr>
          <w:rFonts w:ascii="Times New Roman" w:hAnsi="Times New Roman" w:cs="Times New Roman"/>
        </w:rPr>
        <w:t xml:space="preserve">, </w:t>
      </w:r>
      <w:r w:rsidRPr="00796A9D">
        <w:rPr>
          <w:rFonts w:ascii="Times New Roman" w:hAnsi="Times New Roman" w:cs="Times New Roman"/>
          <w:i/>
        </w:rPr>
        <w:t>Per la biografia di Baldassare Taccone</w:t>
      </w:r>
      <w:r w:rsidRPr="00796A9D">
        <w:rPr>
          <w:rFonts w:ascii="Times New Roman" w:hAnsi="Times New Roman" w:cs="Times New Roman"/>
        </w:rPr>
        <w:t xml:space="preserve">, «Archivio storico lombardo», CXVII, 1991, pp. 391-413, alla quale si rinvia anche per una disamina delle buone relazioni del Taccone con i letterati della corte di Milano, quali Gasparo Visconti e Giovanni II da Tolentino, che lo elesse destinatario di una corrispondenza di tredici missive, pubblicate nell’appendice dell’articolo della studiosa. Tolentino indirizzò a Taccone anche una lettera con una breve descrizione in latino dell’ingresso d’Isabella d’Aragona a Milano del 1489. Lo scritto, salvo alcuni cenni sulla navigazione da Napoli a Genova della sposa non fornisce ulteriori dettagli sui festeggiamenti. Cfr. </w:t>
      </w:r>
      <w:bookmarkStart w:id="442" w:name="_Hlk526711028"/>
      <w:r w:rsidRPr="00796A9D">
        <w:rPr>
          <w:rFonts w:ascii="Times New Roman" w:hAnsi="Times New Roman" w:cs="Times New Roman"/>
          <w:smallCaps/>
        </w:rPr>
        <w:t>C.M. Pyle</w:t>
      </w:r>
      <w:r w:rsidRPr="00796A9D">
        <w:rPr>
          <w:rFonts w:ascii="Times New Roman" w:hAnsi="Times New Roman" w:cs="Times New Roman"/>
        </w:rPr>
        <w:t xml:space="preserve">, </w:t>
      </w:r>
      <w:r w:rsidRPr="00796A9D">
        <w:rPr>
          <w:rFonts w:ascii="Times New Roman" w:hAnsi="Times New Roman" w:cs="Times New Roman"/>
          <w:i/>
        </w:rPr>
        <w:t>Una relazione sconosciuta delle nozze di Isabella d'Aragona con Giangaleazzo Sforza nel febbraio 1489: Giovanni II Tolentino a Baldassare Taccone</w:t>
      </w:r>
      <w:r w:rsidRPr="00796A9D">
        <w:rPr>
          <w:rFonts w:ascii="Times New Roman" w:hAnsi="Times New Roman" w:cs="Times New Roman"/>
        </w:rPr>
        <w:t xml:space="preserve">, «Libri e documenti», XVIII, 1993, pp. 20-26.  </w:t>
      </w:r>
    </w:p>
    <w:bookmarkEnd w:id="442"/>
  </w:footnote>
  <w:footnote w:id="564">
    <w:p w14:paraId="1D5236F9" w14:textId="77777777" w:rsidR="00CF5CFB" w:rsidRPr="00796A9D" w:rsidRDefault="00CF5CFB" w:rsidP="00796A9D">
      <w:pPr>
        <w:pStyle w:val="Nessunaspaziatura"/>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 </w:t>
      </w:r>
      <w:r w:rsidRPr="00796A9D">
        <w:rPr>
          <w:rFonts w:ascii="Times New Roman" w:hAnsi="Times New Roman" w:cs="Times New Roman"/>
          <w:i/>
          <w:sz w:val="20"/>
          <w:szCs w:val="20"/>
        </w:rPr>
        <w:t>Danae</w:t>
      </w:r>
      <w:r w:rsidRPr="00796A9D">
        <w:rPr>
          <w:rFonts w:ascii="Times New Roman" w:hAnsi="Times New Roman" w:cs="Times New Roman"/>
          <w:sz w:val="20"/>
          <w:szCs w:val="20"/>
        </w:rPr>
        <w:t xml:space="preserve"> di Taccone è l’unico esempio di teatro milanese quattrocentesco di cui sia giunto il testo accompagnato da annotazioni scritte dall’autore stesso a memoria di una messa in scena. Taccone, infatti, inviando una lettera con i versi della recita a Madonna Lucida Chiarella, pose a margine del suo componimento alcune postille per riferire dei gesti compiuti dagli interpreti durante la recita in casa del conte Sanseverino. Cfr. </w:t>
      </w:r>
      <w:bookmarkStart w:id="443" w:name="_Hlk526711287"/>
      <w:r w:rsidRPr="00796A9D">
        <w:rPr>
          <w:rFonts w:ascii="Times New Roman" w:hAnsi="Times New Roman" w:cs="Times New Roman"/>
          <w:smallCaps/>
          <w:sz w:val="20"/>
          <w:szCs w:val="20"/>
        </w:rPr>
        <w:t xml:space="preserve">A. Tissoni Benvenuti, </w:t>
      </w:r>
      <w:r w:rsidRPr="00796A9D">
        <w:rPr>
          <w:rFonts w:ascii="Times New Roman" w:hAnsi="Times New Roman" w:cs="Times New Roman"/>
          <w:i/>
          <w:sz w:val="20"/>
          <w:szCs w:val="20"/>
        </w:rPr>
        <w:t>Il teatro volgare della Milano sforzesca</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Milano nell’età di Ludovico il Moro</w:t>
      </w:r>
      <w:r w:rsidRPr="00796A9D">
        <w:rPr>
          <w:rFonts w:ascii="Times New Roman" w:hAnsi="Times New Roman" w:cs="Times New Roman"/>
          <w:sz w:val="20"/>
          <w:szCs w:val="20"/>
        </w:rPr>
        <w:t>, Atti del convegno internazionale (Milano, 28 febbraio-4 marzo 1983), Milano, Comune di Milano e Biblioteca Trivulziana, 1983, p. 341.</w:t>
      </w:r>
    </w:p>
    <w:bookmarkEnd w:id="443"/>
  </w:footnote>
  <w:footnote w:id="565">
    <w:p w14:paraId="7613A753" w14:textId="77777777" w:rsidR="00CF5CFB" w:rsidRPr="00796A9D" w:rsidRDefault="00CF5CFB" w:rsidP="00796A9D">
      <w:pPr>
        <w:pStyle w:val="Nessunaspaziatura"/>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w:t>
      </w:r>
      <w:r w:rsidRPr="00796A9D">
        <w:rPr>
          <w:rFonts w:ascii="Times New Roman" w:hAnsi="Times New Roman" w:cs="Times New Roman"/>
          <w:i/>
          <w:sz w:val="20"/>
          <w:szCs w:val="20"/>
        </w:rPr>
        <w:t>Atteone</w:t>
      </w:r>
      <w:r w:rsidRPr="00796A9D">
        <w:rPr>
          <w:rFonts w:ascii="Times New Roman" w:hAnsi="Times New Roman" w:cs="Times New Roman"/>
          <w:sz w:val="20"/>
          <w:szCs w:val="20"/>
        </w:rPr>
        <w:t xml:space="preserve"> di Taccone è l’unico testo pervenuto di uno spettacolo allestito da una delle Porte cittadine milanesi per un’oblazione alla Fabbrica del Duomo. </w:t>
      </w:r>
      <w:bookmarkStart w:id="444" w:name="_Hlk526711618"/>
      <w:r w:rsidRPr="00796A9D">
        <w:rPr>
          <w:rFonts w:ascii="Times New Roman" w:hAnsi="Times New Roman" w:cs="Times New Roman"/>
          <w:sz w:val="20"/>
          <w:szCs w:val="20"/>
        </w:rPr>
        <w:t xml:space="preserve">Cfr. B. </w:t>
      </w:r>
      <w:r w:rsidRPr="00796A9D">
        <w:rPr>
          <w:rFonts w:ascii="Times New Roman" w:hAnsi="Times New Roman" w:cs="Times New Roman"/>
          <w:smallCaps/>
          <w:sz w:val="20"/>
          <w:szCs w:val="20"/>
        </w:rPr>
        <w:t>Taccone</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L’Atteone. Le rime</w:t>
      </w:r>
      <w:r w:rsidRPr="00796A9D">
        <w:rPr>
          <w:rFonts w:ascii="Times New Roman" w:hAnsi="Times New Roman" w:cs="Times New Roman"/>
          <w:sz w:val="20"/>
          <w:szCs w:val="20"/>
        </w:rPr>
        <w:t xml:space="preserve">, a cura di F. </w:t>
      </w:r>
      <w:r w:rsidRPr="00796A9D">
        <w:rPr>
          <w:rFonts w:ascii="Times New Roman" w:hAnsi="Times New Roman" w:cs="Times New Roman"/>
          <w:smallCaps/>
          <w:sz w:val="20"/>
          <w:szCs w:val="20"/>
        </w:rPr>
        <w:t>Bariola</w:t>
      </w:r>
      <w:r w:rsidRPr="00796A9D">
        <w:rPr>
          <w:rFonts w:ascii="Times New Roman" w:hAnsi="Times New Roman" w:cs="Times New Roman"/>
          <w:sz w:val="20"/>
          <w:szCs w:val="20"/>
        </w:rPr>
        <w:t>, Nozze Belotti - Bariola, Firenze, Carnesecchi, 1884</w:t>
      </w:r>
      <w:bookmarkEnd w:id="444"/>
      <w:r w:rsidRPr="00796A9D">
        <w:rPr>
          <w:rFonts w:ascii="Times New Roman" w:hAnsi="Times New Roman" w:cs="Times New Roman"/>
          <w:sz w:val="20"/>
          <w:szCs w:val="20"/>
        </w:rPr>
        <w:t xml:space="preserve">, pp. 22-26. La fabula si chiude con l’invito di Mercurio al duca Gian Galeazzo Sforza a confidare nell’abilità del Moro quale reggitore dello stato. Ciò consente di assegnare la composizione e la recita ad una oblazione precedente </w:t>
      </w:r>
      <w:r>
        <w:rPr>
          <w:rFonts w:ascii="Times New Roman" w:hAnsi="Times New Roman" w:cs="Times New Roman"/>
          <w:sz w:val="20"/>
          <w:szCs w:val="20"/>
        </w:rPr>
        <w:t>i</w:t>
      </w:r>
      <w:r w:rsidRPr="00796A9D">
        <w:rPr>
          <w:rFonts w:ascii="Times New Roman" w:hAnsi="Times New Roman" w:cs="Times New Roman"/>
          <w:sz w:val="20"/>
          <w:szCs w:val="20"/>
        </w:rPr>
        <w:t xml:space="preserve">l 1494, anno della morte del duca. Si veda in merito </w:t>
      </w:r>
      <w:bookmarkStart w:id="445" w:name="_Hlk526711872"/>
      <w:r w:rsidRPr="00796A9D">
        <w:rPr>
          <w:rFonts w:ascii="Times New Roman" w:hAnsi="Times New Roman" w:cs="Times New Roman"/>
          <w:smallCaps/>
          <w:sz w:val="20"/>
          <w:szCs w:val="20"/>
        </w:rPr>
        <w:t>P. Ventrone</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Feste e rituali civici: città italiane a confronto</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Aspetti e componenti dell’identità urbana in Italia e Germania (secoli XIV-XVI),</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G. Chittolini, P. Johanek</w:t>
      </w:r>
      <w:r w:rsidRPr="00796A9D">
        <w:rPr>
          <w:rFonts w:ascii="Times New Roman" w:hAnsi="Times New Roman" w:cs="Times New Roman"/>
          <w:sz w:val="20"/>
          <w:szCs w:val="20"/>
        </w:rPr>
        <w:t xml:space="preserve">, «Annali dell’Istituto storico italo-germanico di Trento», XII, 2002, pp. 189-191. </w:t>
      </w:r>
    </w:p>
    <w:bookmarkEnd w:id="445"/>
  </w:footnote>
  <w:footnote w:id="566">
    <w:p w14:paraId="6B07162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sonetti della </w:t>
      </w:r>
      <w:r w:rsidRPr="00796A9D">
        <w:rPr>
          <w:rFonts w:ascii="Times New Roman" w:hAnsi="Times New Roman" w:cs="Times New Roman"/>
          <w:i/>
        </w:rPr>
        <w:t>Corona</w:t>
      </w:r>
      <w:r w:rsidRPr="00796A9D">
        <w:rPr>
          <w:rFonts w:ascii="Times New Roman" w:hAnsi="Times New Roman" w:cs="Times New Roman"/>
        </w:rPr>
        <w:t xml:space="preserve"> del Curzio, di cui uno in dialetto pavese, sei in milanese e uno in bergamasco, non mancano di una certa originalità nel dipingere, tra le varie situazioni ilari di cui Taccone si rese protagonista, anche la recita in Duomo della </w:t>
      </w:r>
      <w:r w:rsidRPr="00796A9D">
        <w:rPr>
          <w:rFonts w:ascii="Times New Roman" w:hAnsi="Times New Roman" w:cs="Times New Roman"/>
          <w:i/>
        </w:rPr>
        <w:t>Coronatione</w:t>
      </w:r>
      <w:r w:rsidRPr="00796A9D">
        <w:rPr>
          <w:rFonts w:ascii="Times New Roman" w:hAnsi="Times New Roman" w:cs="Times New Roman"/>
        </w:rPr>
        <w:t xml:space="preserve"> da parte dell’autore, alla quale il pubblico presente risponde con la minaccia di punizioni corporali. Pare tuttavia che il buon carattere del Taccone fosse molto apprezzato dai contemporanei e che Curzio stesso gli dedicasse amichevolmente uno dei suoi </w:t>
      </w:r>
      <w:r w:rsidRPr="00796A9D">
        <w:rPr>
          <w:rFonts w:ascii="Times New Roman" w:hAnsi="Times New Roman" w:cs="Times New Roman"/>
          <w:i/>
        </w:rPr>
        <w:t>Epigrammata</w:t>
      </w:r>
      <w:r w:rsidRPr="00796A9D">
        <w:rPr>
          <w:rFonts w:ascii="Times New Roman" w:hAnsi="Times New Roman" w:cs="Times New Roman"/>
        </w:rPr>
        <w:t xml:space="preserve">. La </w:t>
      </w:r>
      <w:r w:rsidRPr="00796A9D">
        <w:rPr>
          <w:rFonts w:ascii="Times New Roman" w:hAnsi="Times New Roman" w:cs="Times New Roman"/>
          <w:i/>
        </w:rPr>
        <w:t>Corona</w:t>
      </w:r>
      <w:r w:rsidRPr="00796A9D">
        <w:rPr>
          <w:rFonts w:ascii="Times New Roman" w:hAnsi="Times New Roman" w:cs="Times New Roman"/>
        </w:rPr>
        <w:t xml:space="preserve"> fu dunque un piacevole divertimento cortigiano. Cfr. </w:t>
      </w:r>
      <w:bookmarkStart w:id="446" w:name="_Hlk526712029"/>
      <w:r w:rsidRPr="00796A9D">
        <w:rPr>
          <w:rFonts w:ascii="Times New Roman" w:hAnsi="Times New Roman" w:cs="Times New Roman"/>
          <w:smallCaps/>
        </w:rPr>
        <w:t>F. Brevini</w:t>
      </w:r>
      <w:r w:rsidRPr="00796A9D">
        <w:rPr>
          <w:rFonts w:ascii="Times New Roman" w:hAnsi="Times New Roman" w:cs="Times New Roman"/>
        </w:rPr>
        <w:t xml:space="preserve">, </w:t>
      </w:r>
      <w:r w:rsidRPr="00796A9D">
        <w:rPr>
          <w:rFonts w:ascii="Times New Roman" w:hAnsi="Times New Roman" w:cs="Times New Roman"/>
          <w:i/>
        </w:rPr>
        <w:t>Le origini della letteratura lombarda</w:t>
      </w:r>
      <w:r w:rsidRPr="00796A9D">
        <w:rPr>
          <w:rFonts w:ascii="Times New Roman" w:hAnsi="Times New Roman" w:cs="Times New Roman"/>
        </w:rPr>
        <w:t xml:space="preserve">, in </w:t>
      </w:r>
      <w:r w:rsidRPr="00796A9D">
        <w:rPr>
          <w:rFonts w:ascii="Times New Roman" w:hAnsi="Times New Roman" w:cs="Times New Roman"/>
          <w:i/>
        </w:rPr>
        <w:t>Il testo e l’opera. Studi in onore di Franco Brioschi</w:t>
      </w:r>
      <w:r w:rsidRPr="00796A9D">
        <w:rPr>
          <w:rFonts w:ascii="Times New Roman" w:hAnsi="Times New Roman" w:cs="Times New Roman"/>
        </w:rPr>
        <w:t xml:space="preserve">, a cura di </w:t>
      </w:r>
      <w:r w:rsidRPr="00796A9D">
        <w:rPr>
          <w:rFonts w:ascii="Times New Roman" w:hAnsi="Times New Roman" w:cs="Times New Roman"/>
          <w:smallCaps/>
        </w:rPr>
        <w:t>L. Neri, S. Sini</w:t>
      </w:r>
      <w:r w:rsidRPr="00796A9D">
        <w:rPr>
          <w:rFonts w:ascii="Times New Roman" w:hAnsi="Times New Roman" w:cs="Times New Roman"/>
        </w:rPr>
        <w:t xml:space="preserve">, Milano, Ledizioni, 2015, pp. 292-298. </w:t>
      </w:r>
      <w:bookmarkStart w:id="447" w:name="_Hlk526712341"/>
      <w:bookmarkEnd w:id="446"/>
      <w:r w:rsidRPr="00796A9D">
        <w:rPr>
          <w:rFonts w:ascii="Times New Roman" w:hAnsi="Times New Roman" w:cs="Times New Roman"/>
        </w:rPr>
        <w:t xml:space="preserve">D. </w:t>
      </w:r>
      <w:r w:rsidRPr="00796A9D">
        <w:rPr>
          <w:rFonts w:ascii="Times New Roman" w:hAnsi="Times New Roman" w:cs="Times New Roman"/>
          <w:smallCaps/>
        </w:rPr>
        <w:t>Isella</w:t>
      </w:r>
      <w:r w:rsidRPr="00796A9D">
        <w:rPr>
          <w:rFonts w:ascii="Times New Roman" w:hAnsi="Times New Roman" w:cs="Times New Roman"/>
        </w:rPr>
        <w:t xml:space="preserve">, </w:t>
      </w:r>
      <w:r w:rsidRPr="00796A9D">
        <w:rPr>
          <w:rFonts w:ascii="Times New Roman" w:hAnsi="Times New Roman" w:cs="Times New Roman"/>
          <w:i/>
        </w:rPr>
        <w:t>Lo sperimentalismo dialettale di Lancino Curzio e compagni</w:t>
      </w:r>
      <w:r w:rsidRPr="00796A9D">
        <w:rPr>
          <w:rFonts w:ascii="Times New Roman" w:hAnsi="Times New Roman" w:cs="Times New Roman"/>
        </w:rPr>
        <w:t xml:space="preserve">, in </w:t>
      </w:r>
      <w:r w:rsidRPr="00796A9D">
        <w:rPr>
          <w:rFonts w:ascii="Times New Roman" w:hAnsi="Times New Roman" w:cs="Times New Roman"/>
          <w:i/>
        </w:rPr>
        <w:t>In ricordo di Cesare Angelini, studi di letteratura e filologia,</w:t>
      </w:r>
      <w:r w:rsidRPr="00796A9D">
        <w:rPr>
          <w:rFonts w:ascii="Times New Roman" w:hAnsi="Times New Roman" w:cs="Times New Roman"/>
        </w:rPr>
        <w:t xml:space="preserve"> a cura di </w:t>
      </w:r>
      <w:r w:rsidRPr="00796A9D">
        <w:rPr>
          <w:rFonts w:ascii="Times New Roman" w:hAnsi="Times New Roman" w:cs="Times New Roman"/>
          <w:smallCaps/>
        </w:rPr>
        <w:t>F. Alessio</w:t>
      </w:r>
      <w:r w:rsidRPr="00796A9D">
        <w:rPr>
          <w:rFonts w:ascii="Times New Roman" w:hAnsi="Times New Roman" w:cs="Times New Roman"/>
        </w:rPr>
        <w:t xml:space="preserve"> e </w:t>
      </w:r>
      <w:r w:rsidRPr="00796A9D">
        <w:rPr>
          <w:rFonts w:ascii="Times New Roman" w:hAnsi="Times New Roman" w:cs="Times New Roman"/>
          <w:smallCaps/>
        </w:rPr>
        <w:t>A. Stella</w:t>
      </w:r>
      <w:r w:rsidRPr="00796A9D">
        <w:rPr>
          <w:rFonts w:ascii="Times New Roman" w:hAnsi="Times New Roman" w:cs="Times New Roman"/>
        </w:rPr>
        <w:t>, Milano, Il Saggiatore, 1979, pp. 146-159</w:t>
      </w:r>
      <w:bookmarkEnd w:id="447"/>
      <w:r w:rsidRPr="00796A9D">
        <w:rPr>
          <w:rFonts w:ascii="Times New Roman" w:hAnsi="Times New Roman" w:cs="Times New Roman"/>
        </w:rPr>
        <w:t xml:space="preserve">, dove sono disponibili anche l’analisi linguistica e l’edizione dei componimenti. </w:t>
      </w:r>
    </w:p>
  </w:footnote>
  <w:footnote w:id="567">
    <w:p w14:paraId="09EAECC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p. 157.</w:t>
      </w:r>
    </w:p>
  </w:footnote>
  <w:footnote w:id="568">
    <w:p w14:paraId="148B6BB0" w14:textId="77777777" w:rsidR="00CF5CFB" w:rsidRPr="00796A9D" w:rsidRDefault="00CF5CFB" w:rsidP="00796A9D">
      <w:pPr>
        <w:pStyle w:val="Testonotaapidipagina"/>
        <w:tabs>
          <w:tab w:val="left" w:pos="142"/>
        </w:tabs>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GW M49729. Sullo stampatore cfr. </w:t>
      </w:r>
      <w:r w:rsidRPr="00796A9D">
        <w:rPr>
          <w:rFonts w:ascii="Times New Roman" w:hAnsi="Times New Roman" w:cs="Times New Roman"/>
          <w:smallCaps/>
        </w:rPr>
        <w:t>C. Casetti Brach</w:t>
      </w:r>
      <w:r w:rsidRPr="00796A9D">
        <w:rPr>
          <w:rFonts w:ascii="Times New Roman" w:hAnsi="Times New Roman" w:cs="Times New Roman"/>
        </w:rPr>
        <w:t xml:space="preserve">, s.v. </w:t>
      </w:r>
      <w:r w:rsidRPr="00796A9D">
        <w:rPr>
          <w:rFonts w:ascii="Times New Roman" w:hAnsi="Times New Roman" w:cs="Times New Roman"/>
          <w:i/>
        </w:rPr>
        <w:t>Pachel, Leonhard</w:t>
      </w:r>
      <w:r w:rsidRPr="00796A9D">
        <w:rPr>
          <w:rFonts w:ascii="Times New Roman" w:hAnsi="Times New Roman" w:cs="Times New Roman"/>
        </w:rPr>
        <w:t>, DBI, 2014, vol. LXXX, pp. 101-102.</w:t>
      </w:r>
    </w:p>
  </w:footnote>
  <w:footnote w:id="569">
    <w:p w14:paraId="43AEF20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L’ultima edizione recante nel </w:t>
      </w:r>
      <w:r w:rsidRPr="00796A9D">
        <w:rPr>
          <w:rFonts w:ascii="Times New Roman" w:hAnsi="Times New Roman" w:cs="Times New Roman"/>
          <w:i/>
        </w:rPr>
        <w:t xml:space="preserve">colophon </w:t>
      </w:r>
      <w:r w:rsidRPr="00796A9D">
        <w:rPr>
          <w:rFonts w:ascii="Times New Roman" w:hAnsi="Times New Roman" w:cs="Times New Roman"/>
        </w:rPr>
        <w:t xml:space="preserve">i nomi dei due stampatori tedeschi è quella delle </w:t>
      </w:r>
      <w:r w:rsidRPr="00796A9D">
        <w:rPr>
          <w:rFonts w:ascii="Times New Roman" w:hAnsi="Times New Roman" w:cs="Times New Roman"/>
          <w:i/>
        </w:rPr>
        <w:t xml:space="preserve">Vitae sanctorum patrum </w:t>
      </w:r>
      <w:r w:rsidRPr="00796A9D">
        <w:rPr>
          <w:rFonts w:ascii="Times New Roman" w:hAnsi="Times New Roman" w:cs="Times New Roman"/>
        </w:rPr>
        <w:t xml:space="preserve">di san Girolamo, datata 1agosto 1490; IGI 4769. </w:t>
      </w:r>
    </w:p>
  </w:footnote>
  <w:footnote w:id="570">
    <w:p w14:paraId="29883ED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notizie intorno alla biografia di Scinzenzeler sono scarse. Fino a non molti anni fa era in dubbio anche il rapporto di parentela con il figlio Giovan</w:t>
      </w:r>
      <w:r>
        <w:rPr>
          <w:rFonts w:ascii="Times New Roman" w:hAnsi="Times New Roman" w:cs="Times New Roman"/>
        </w:rPr>
        <w:t xml:space="preserve"> </w:t>
      </w:r>
      <w:r w:rsidRPr="00796A9D">
        <w:rPr>
          <w:rFonts w:ascii="Times New Roman" w:hAnsi="Times New Roman" w:cs="Times New Roman"/>
        </w:rPr>
        <w:t>Angelo, chiarito dalla lettura di un atto del 13 febbraio 1515 con cui quest’ultimo, firmatario di un contratto di locazione con i fratelli da Legnano per alcuni locali commerciali, è appunto indicato come ‹‹</w:t>
      </w:r>
      <w:r w:rsidRPr="00796A9D">
        <w:rPr>
          <w:rFonts w:ascii="Times New Roman" w:hAnsi="Times New Roman" w:cs="Times New Roman"/>
          <w:i/>
        </w:rPr>
        <w:t>Johannes Angelus Sinzingeler filius quodam domini Henrici</w:t>
      </w:r>
      <w:r w:rsidRPr="00796A9D">
        <w:rPr>
          <w:rFonts w:ascii="Times New Roman" w:hAnsi="Times New Roman" w:cs="Times New Roman"/>
        </w:rPr>
        <w:t xml:space="preserve">››. Oltre a chiarire la parentela, l’atto è l’unica notizia attestante il fatto che a quell’altezza cronologica lo stampatore dovesse già essere deceduto. Non possediamo infatti l’atto di morte. Cfr. </w:t>
      </w:r>
      <w:bookmarkStart w:id="448" w:name="_Hlk526712467"/>
      <w:r w:rsidRPr="00796A9D">
        <w:rPr>
          <w:rFonts w:ascii="Times New Roman" w:hAnsi="Times New Roman" w:cs="Times New Roman"/>
        </w:rPr>
        <w:t xml:space="preserve">L. </w:t>
      </w:r>
      <w:r w:rsidRPr="00796A9D">
        <w:rPr>
          <w:rFonts w:ascii="Times New Roman" w:hAnsi="Times New Roman" w:cs="Times New Roman"/>
          <w:smallCaps/>
        </w:rPr>
        <w:t>Balsamo</w:t>
      </w:r>
      <w:r w:rsidRPr="00796A9D">
        <w:rPr>
          <w:rFonts w:ascii="Times New Roman" w:hAnsi="Times New Roman" w:cs="Times New Roman"/>
        </w:rPr>
        <w:t xml:space="preserve">, </w:t>
      </w:r>
      <w:r w:rsidRPr="00796A9D">
        <w:rPr>
          <w:rFonts w:ascii="Times New Roman" w:hAnsi="Times New Roman" w:cs="Times New Roman"/>
          <w:i/>
        </w:rPr>
        <w:t>Giovann’Angelo Scinzenzeler tipografo in Milano (1500-1526)</w:t>
      </w:r>
      <w:r w:rsidRPr="00796A9D">
        <w:rPr>
          <w:rFonts w:ascii="Times New Roman" w:hAnsi="Times New Roman" w:cs="Times New Roman"/>
        </w:rPr>
        <w:t>, Firenze, Sansoni antiquariato, 1959</w:t>
      </w:r>
      <w:bookmarkEnd w:id="448"/>
      <w:r w:rsidRPr="00796A9D">
        <w:rPr>
          <w:rFonts w:ascii="Times New Roman" w:hAnsi="Times New Roman" w:cs="Times New Roman"/>
        </w:rPr>
        <w:t>, pp. 15-18.</w:t>
      </w:r>
    </w:p>
  </w:footnote>
  <w:footnote w:id="571">
    <w:p w14:paraId="6ADF12A5" w14:textId="77777777" w:rsidR="00CF5CFB" w:rsidRPr="00796A9D" w:rsidRDefault="00CF5CFB" w:rsidP="00796A9D">
      <w:pPr>
        <w:pStyle w:val="Nessunaspaziatura"/>
        <w:tabs>
          <w:tab w:val="left" w:pos="5670"/>
        </w:tabs>
        <w:jc w:val="both"/>
        <w:rPr>
          <w:rFonts w:ascii="Times New Roman" w:hAnsi="Times New Roman" w:cs="Times New Roman"/>
          <w:sz w:val="20"/>
          <w:szCs w:val="20"/>
          <w:lang w:val="en-US"/>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L’edizione del breviario dell’Attavanti del 28 ottobre 1479, sottoscritta da entrambi gli stampatori, ad esempio, contiene il primo ritratto calcografico d’autore stampato. L’analisi dei caratteri impiegati da Pachel e Scinzenzeler ha fatto luce sui rapporti tra la loro officina e quella veneziana di De Bonellis e su come le edizioni dei due tipografi bavaresi favorirono l’ingresso a Milano di una cura grafica con forti influenze venete. </w:t>
      </w:r>
      <w:r w:rsidRPr="00796A9D">
        <w:rPr>
          <w:rFonts w:ascii="Times New Roman" w:hAnsi="Times New Roman" w:cs="Times New Roman"/>
          <w:sz w:val="20"/>
          <w:szCs w:val="20"/>
          <w:lang w:val="en-US"/>
        </w:rPr>
        <w:t xml:space="preserve">Cfr. </w:t>
      </w:r>
      <w:bookmarkStart w:id="449" w:name="_Hlk526712696"/>
      <w:r w:rsidRPr="00796A9D">
        <w:rPr>
          <w:rFonts w:ascii="Times New Roman" w:hAnsi="Times New Roman" w:cs="Times New Roman"/>
          <w:smallCaps/>
          <w:sz w:val="20"/>
          <w:szCs w:val="20"/>
          <w:lang w:val="en-US"/>
        </w:rPr>
        <w:t>V. Scholderer</w:t>
      </w:r>
      <w:r w:rsidRPr="00796A9D">
        <w:rPr>
          <w:rFonts w:ascii="Times New Roman" w:hAnsi="Times New Roman" w:cs="Times New Roman"/>
          <w:sz w:val="20"/>
          <w:szCs w:val="20"/>
          <w:lang w:val="en-US"/>
        </w:rPr>
        <w:t xml:space="preserve">, </w:t>
      </w:r>
      <w:r w:rsidRPr="00796A9D">
        <w:rPr>
          <w:rFonts w:ascii="Times New Roman" w:hAnsi="Times New Roman" w:cs="Times New Roman"/>
          <w:i/>
          <w:sz w:val="20"/>
          <w:szCs w:val="20"/>
          <w:lang w:val="en-US"/>
        </w:rPr>
        <w:t xml:space="preserve">Printing at Milan in the Fifteenth century, </w:t>
      </w:r>
      <w:r w:rsidRPr="00796A9D">
        <w:rPr>
          <w:rFonts w:ascii="Times New Roman" w:hAnsi="Times New Roman" w:cs="Times New Roman"/>
          <w:sz w:val="20"/>
          <w:szCs w:val="20"/>
          <w:lang w:val="en-US"/>
        </w:rPr>
        <w:t>in</w:t>
      </w:r>
      <w:r w:rsidRPr="00796A9D">
        <w:rPr>
          <w:rFonts w:ascii="Times New Roman" w:hAnsi="Times New Roman" w:cs="Times New Roman"/>
          <w:smallCaps/>
          <w:sz w:val="20"/>
          <w:szCs w:val="20"/>
          <w:lang w:val="en-US"/>
        </w:rPr>
        <w:t xml:space="preserve"> Idem</w:t>
      </w:r>
      <w:r w:rsidRPr="00796A9D">
        <w:rPr>
          <w:rFonts w:ascii="Times New Roman" w:hAnsi="Times New Roman" w:cs="Times New Roman"/>
          <w:sz w:val="20"/>
          <w:szCs w:val="20"/>
          <w:lang w:val="en-US"/>
        </w:rPr>
        <w:t>,</w:t>
      </w:r>
      <w:r w:rsidRPr="00796A9D">
        <w:rPr>
          <w:rFonts w:ascii="Times New Roman" w:hAnsi="Times New Roman" w:cs="Times New Roman"/>
          <w:i/>
          <w:sz w:val="20"/>
          <w:szCs w:val="20"/>
          <w:lang w:val="en-US"/>
        </w:rPr>
        <w:t xml:space="preserve"> Fifthy Essays in Fifteenth and Sixteenth century Bibliography</w:t>
      </w:r>
      <w:r w:rsidRPr="00796A9D">
        <w:rPr>
          <w:rFonts w:ascii="Times New Roman" w:hAnsi="Times New Roman" w:cs="Times New Roman"/>
          <w:sz w:val="20"/>
          <w:szCs w:val="20"/>
          <w:lang w:val="en-US"/>
        </w:rPr>
        <w:t xml:space="preserve">, Amsterdam, Menno Hertzberger &amp; Co 1966, p. 96. </w:t>
      </w:r>
    </w:p>
    <w:bookmarkEnd w:id="449"/>
  </w:footnote>
  <w:footnote w:id="572">
    <w:p w14:paraId="0ADB36A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L’importanza di questi privilegi per la stampa delle opere del Filelfo si deve al prestigio culturale dell’autore e all’influenza da lui esercitata sulla formazione di tanti intellettuali legati alla corte sforzesca. Per il testo del privilegio si veda E. </w:t>
      </w:r>
      <w:r w:rsidRPr="00796A9D">
        <w:rPr>
          <w:rFonts w:ascii="Times New Roman" w:hAnsi="Times New Roman" w:cs="Times New Roman"/>
          <w:smallCaps/>
        </w:rPr>
        <w:t>Motta</w:t>
      </w:r>
      <w:r w:rsidRPr="00796A9D">
        <w:rPr>
          <w:rFonts w:ascii="Times New Roman" w:hAnsi="Times New Roman" w:cs="Times New Roman"/>
        </w:rPr>
        <w:t xml:space="preserve">, </w:t>
      </w:r>
      <w:r w:rsidRPr="00796A9D">
        <w:rPr>
          <w:rFonts w:ascii="Times New Roman" w:hAnsi="Times New Roman" w:cs="Times New Roman"/>
          <w:i/>
        </w:rPr>
        <w:t>Di Filippo di Lavagna</w:t>
      </w:r>
      <w:r w:rsidRPr="00796A9D">
        <w:rPr>
          <w:rFonts w:ascii="Times New Roman" w:hAnsi="Times New Roman" w:cs="Times New Roman"/>
        </w:rPr>
        <w:t>, pp. 51-52.</w:t>
      </w:r>
    </w:p>
  </w:footnote>
  <w:footnote w:id="573">
    <w:p w14:paraId="16CCA87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sonetto è intitolato </w:t>
      </w:r>
      <w:r w:rsidRPr="00796A9D">
        <w:rPr>
          <w:rFonts w:ascii="Times New Roman" w:hAnsi="Times New Roman" w:cs="Times New Roman"/>
          <w:i/>
        </w:rPr>
        <w:t>Al signore Lodovico principe solemnissimo sopra la liga facta col papa e Veniciani.</w:t>
      </w:r>
      <w:r w:rsidRPr="00796A9D">
        <w:rPr>
          <w:rFonts w:ascii="Times New Roman" w:hAnsi="Times New Roman" w:cs="Times New Roman"/>
        </w:rPr>
        <w:t xml:space="preserve"> Per l’importanza della Lega di San Marco, alla quale si unirono anche Ferrara e Mantova, lasciando il regno di Napoli esposto alle minacce della prossima spedizione di Carlo VIII, si veda </w:t>
      </w:r>
      <w:bookmarkStart w:id="450" w:name="_Hlk526712820"/>
      <w:r w:rsidRPr="00796A9D">
        <w:rPr>
          <w:rFonts w:ascii="Times New Roman" w:hAnsi="Times New Roman" w:cs="Times New Roman"/>
          <w:smallCaps/>
        </w:rPr>
        <w:t>G. Soranzo</w:t>
      </w:r>
      <w:r w:rsidRPr="00796A9D">
        <w:rPr>
          <w:rFonts w:ascii="Times New Roman" w:hAnsi="Times New Roman" w:cs="Times New Roman"/>
        </w:rPr>
        <w:t xml:space="preserve">, </w:t>
      </w:r>
      <w:r w:rsidRPr="00796A9D">
        <w:rPr>
          <w:rFonts w:ascii="Times New Roman" w:hAnsi="Times New Roman" w:cs="Times New Roman"/>
          <w:i/>
        </w:rPr>
        <w:t>Il tempo di Alessandro VI papa e di fra Girolamo Savonarola</w:t>
      </w:r>
      <w:r w:rsidRPr="00796A9D">
        <w:rPr>
          <w:rFonts w:ascii="Times New Roman" w:hAnsi="Times New Roman" w:cs="Times New Roman"/>
        </w:rPr>
        <w:t>, Milano, Vita e Pensiero, 1960</w:t>
      </w:r>
      <w:bookmarkEnd w:id="450"/>
      <w:r w:rsidRPr="00796A9D">
        <w:rPr>
          <w:rFonts w:ascii="Times New Roman" w:hAnsi="Times New Roman" w:cs="Times New Roman"/>
        </w:rPr>
        <w:t xml:space="preserve">, pp. 61-63.  </w:t>
      </w:r>
    </w:p>
  </w:footnote>
  <w:footnote w:id="574">
    <w:p w14:paraId="4467CA7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Nello schedare l’edizione negli annali dello Zarotto, Arnaldo Ganda nota come la pubblicazione sia avvenuta poco dopo la celebrazione del matrimonio alla corte di Massimiliano. Cfr. </w:t>
      </w:r>
      <w:r w:rsidRPr="00796A9D">
        <w:rPr>
          <w:rFonts w:ascii="Times New Roman" w:hAnsi="Times New Roman" w:cs="Times New Roman"/>
          <w:smallCaps/>
        </w:rPr>
        <w:t>A. Ganda</w:t>
      </w:r>
      <w:r w:rsidRPr="00796A9D">
        <w:rPr>
          <w:rFonts w:ascii="Times New Roman" w:hAnsi="Times New Roman" w:cs="Times New Roman"/>
          <w:i/>
        </w:rPr>
        <w:t>, I primordi della tipografia milanese, Antonio Zarotto da Parma (1471-1507)</w:t>
      </w:r>
      <w:r w:rsidRPr="00796A9D">
        <w:rPr>
          <w:rFonts w:ascii="Times New Roman" w:hAnsi="Times New Roman" w:cs="Times New Roman"/>
        </w:rPr>
        <w:t xml:space="preserve">, cit., pp. 107-108. </w:t>
      </w:r>
    </w:p>
  </w:footnote>
  <w:footnote w:id="575">
    <w:p w14:paraId="5CCF7DB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1491 intervenne Bartolomeo Calco per evitare che Lazzaroni perdesse la cattedra, in un momento in cui il corpo docenti doveva essere sfoltito per volere del Moro. Cfr. F. </w:t>
      </w:r>
      <w:r w:rsidRPr="00796A9D">
        <w:rPr>
          <w:rFonts w:ascii="Times New Roman" w:hAnsi="Times New Roman" w:cs="Times New Roman"/>
          <w:smallCaps/>
        </w:rPr>
        <w:t>Santi</w:t>
      </w:r>
      <w:r w:rsidRPr="00796A9D">
        <w:rPr>
          <w:rFonts w:ascii="Times New Roman" w:hAnsi="Times New Roman" w:cs="Times New Roman"/>
        </w:rPr>
        <w:t xml:space="preserve">, s.v. </w:t>
      </w:r>
      <w:r w:rsidRPr="00796A9D">
        <w:rPr>
          <w:rFonts w:ascii="Times New Roman" w:hAnsi="Times New Roman" w:cs="Times New Roman"/>
          <w:i/>
        </w:rPr>
        <w:t>Pietro Lazzaroni</w:t>
      </w:r>
      <w:r w:rsidRPr="00796A9D">
        <w:rPr>
          <w:rFonts w:ascii="Times New Roman" w:hAnsi="Times New Roman" w:cs="Times New Roman"/>
        </w:rPr>
        <w:t xml:space="preserve">, DBI, 2005, vol. LXIV, pp. 243-245. Si veda inoltre </w:t>
      </w:r>
      <w:bookmarkStart w:id="451" w:name="_Hlk526713002"/>
      <w:r w:rsidRPr="00796A9D">
        <w:rPr>
          <w:rFonts w:ascii="Times New Roman" w:hAnsi="Times New Roman" w:cs="Times New Roman"/>
        </w:rPr>
        <w:t xml:space="preserve">D. </w:t>
      </w:r>
      <w:r w:rsidRPr="00796A9D">
        <w:rPr>
          <w:rFonts w:ascii="Times New Roman" w:hAnsi="Times New Roman" w:cs="Times New Roman"/>
          <w:smallCaps/>
        </w:rPr>
        <w:t>Bianchi</w:t>
      </w:r>
      <w:r w:rsidRPr="00796A9D">
        <w:rPr>
          <w:rFonts w:ascii="Times New Roman" w:hAnsi="Times New Roman" w:cs="Times New Roman"/>
        </w:rPr>
        <w:t xml:space="preserve">, </w:t>
      </w:r>
      <w:r w:rsidRPr="00796A9D">
        <w:rPr>
          <w:rFonts w:ascii="Times New Roman" w:hAnsi="Times New Roman" w:cs="Times New Roman"/>
          <w:i/>
        </w:rPr>
        <w:t>Qualche appunto su Pietro Lazzaroni</w:t>
      </w:r>
      <w:r w:rsidRPr="00796A9D">
        <w:rPr>
          <w:rFonts w:ascii="Times New Roman" w:hAnsi="Times New Roman" w:cs="Times New Roman"/>
        </w:rPr>
        <w:t>, ‹‹Bollettino della Società Pavese di Storia Patria››, LVII, 1957, pp. 99-103</w:t>
      </w:r>
      <w:bookmarkEnd w:id="451"/>
      <w:r w:rsidRPr="00796A9D">
        <w:rPr>
          <w:rFonts w:ascii="Times New Roman" w:hAnsi="Times New Roman" w:cs="Times New Roman"/>
        </w:rPr>
        <w:t xml:space="preserve">, dove si prova a dimostrare l’origine bresciana del Lazzaroni. </w:t>
      </w:r>
    </w:p>
  </w:footnote>
  <w:footnote w:id="576">
    <w:p w14:paraId="1F16B5B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discussione della lacunosa documentazione riguardante la biografia di Pietro Lazzaroni rimando a </w:t>
      </w:r>
      <w:bookmarkStart w:id="452" w:name="_Hlk526713106"/>
      <w:r w:rsidRPr="00796A9D">
        <w:rPr>
          <w:rFonts w:ascii="Times New Roman" w:hAnsi="Times New Roman" w:cs="Times New Roman"/>
          <w:smallCaps/>
        </w:rPr>
        <w:t>L. Pesavento</w:t>
      </w:r>
      <w:r w:rsidRPr="00796A9D">
        <w:rPr>
          <w:rFonts w:ascii="Times New Roman" w:hAnsi="Times New Roman" w:cs="Times New Roman"/>
        </w:rPr>
        <w:t xml:space="preserve">, </w:t>
      </w:r>
      <w:r w:rsidRPr="00796A9D">
        <w:rPr>
          <w:rFonts w:ascii="Times New Roman" w:hAnsi="Times New Roman" w:cs="Times New Roman"/>
          <w:i/>
        </w:rPr>
        <w:t xml:space="preserve">L’umanista e il principe. La </w:t>
      </w:r>
      <w:r w:rsidRPr="00796A9D">
        <w:rPr>
          <w:rFonts w:ascii="Times New Roman" w:hAnsi="Times New Roman" w:cs="Times New Roman"/>
        </w:rPr>
        <w:t>Vita ducum</w:t>
      </w:r>
      <w:r w:rsidRPr="00796A9D">
        <w:rPr>
          <w:rFonts w:ascii="Times New Roman" w:hAnsi="Times New Roman" w:cs="Times New Roman"/>
          <w:i/>
        </w:rPr>
        <w:t xml:space="preserve"> di Pietro Lazzaroni</w:t>
      </w:r>
      <w:r w:rsidRPr="00796A9D">
        <w:rPr>
          <w:rFonts w:ascii="Times New Roman" w:hAnsi="Times New Roman" w:cs="Times New Roman"/>
        </w:rPr>
        <w:t>, Pisa, Gisem, 1996</w:t>
      </w:r>
      <w:bookmarkEnd w:id="452"/>
      <w:r w:rsidRPr="00796A9D">
        <w:rPr>
          <w:rFonts w:ascii="Times New Roman" w:hAnsi="Times New Roman" w:cs="Times New Roman"/>
        </w:rPr>
        <w:t xml:space="preserve">, pp. 27-59, dove è ricordato anche un perduto </w:t>
      </w:r>
      <w:r w:rsidRPr="00796A9D">
        <w:rPr>
          <w:rFonts w:ascii="Times New Roman" w:hAnsi="Times New Roman" w:cs="Times New Roman"/>
          <w:i/>
        </w:rPr>
        <w:t>Carmen in laudem Ludovici Mariae Sfortiae et Beatricis Estensis coniugis</w:t>
      </w:r>
      <w:r w:rsidRPr="00796A9D">
        <w:rPr>
          <w:rFonts w:ascii="Times New Roman" w:hAnsi="Times New Roman" w:cs="Times New Roman"/>
        </w:rPr>
        <w:t>, probabilmente steso in onore dello sposalizio del Moro.</w:t>
      </w:r>
    </w:p>
  </w:footnote>
  <w:footnote w:id="577">
    <w:p w14:paraId="45450378"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le modifiche del Lazzaroni al </w:t>
      </w:r>
      <w:r w:rsidRPr="00796A9D">
        <w:rPr>
          <w:rFonts w:ascii="Times New Roman" w:hAnsi="Times New Roman" w:cs="Times New Roman"/>
          <w:i/>
        </w:rPr>
        <w:t>Carmen de quattuor virtutibus</w:t>
      </w:r>
      <w:r w:rsidRPr="00796A9D">
        <w:rPr>
          <w:rFonts w:ascii="Times New Roman" w:hAnsi="Times New Roman" w:cs="Times New Roman"/>
        </w:rPr>
        <w:t xml:space="preserve"> in relazione alle varie dediche di cui il testo fu oggetto, e per la capacità dell’autore di rielaborare i propri versi per finalità encomiastiche vedi </w:t>
      </w:r>
      <w:bookmarkStart w:id="453" w:name="_Hlk526713171"/>
      <w:r w:rsidRPr="00796A9D">
        <w:rPr>
          <w:rFonts w:ascii="Times New Roman" w:hAnsi="Times New Roman" w:cs="Times New Roman"/>
          <w:smallCaps/>
        </w:rPr>
        <w:t>B. Schirg, P. Gwynne</w:t>
      </w:r>
      <w:r w:rsidRPr="00796A9D">
        <w:rPr>
          <w:rFonts w:ascii="Times New Roman" w:hAnsi="Times New Roman" w:cs="Times New Roman"/>
        </w:rPr>
        <w:t xml:space="preserve">, </w:t>
      </w:r>
      <w:r w:rsidRPr="00796A9D">
        <w:rPr>
          <w:rFonts w:ascii="Times New Roman" w:hAnsi="Times New Roman" w:cs="Times New Roman"/>
          <w:i/>
        </w:rPr>
        <w:t xml:space="preserve">The Economics of Poetry. </w:t>
      </w:r>
      <w:r w:rsidRPr="00796A9D">
        <w:rPr>
          <w:rFonts w:ascii="Times New Roman" w:hAnsi="Times New Roman" w:cs="Times New Roman"/>
          <w:i/>
          <w:lang w:val="en-US"/>
        </w:rPr>
        <w:t>Fast Production as a Crucial Skill in Neo-Latin Encomiastic Poetry</w:t>
      </w:r>
      <w:r w:rsidRPr="00796A9D">
        <w:rPr>
          <w:rFonts w:ascii="Times New Roman" w:hAnsi="Times New Roman" w:cs="Times New Roman"/>
          <w:lang w:val="en-US"/>
        </w:rPr>
        <w:t>, «Studi rinascimentali», XIII, 2015, pp. 11-32.</w:t>
      </w:r>
      <w:bookmarkEnd w:id="453"/>
    </w:p>
  </w:footnote>
  <w:footnote w:id="578">
    <w:p w14:paraId="03A2E6F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Venezia, Biblioteca del Museo Correr, Correr 370. Cfr. </w:t>
      </w:r>
      <w:r w:rsidRPr="00796A9D">
        <w:rPr>
          <w:rFonts w:ascii="Times New Roman" w:hAnsi="Times New Roman" w:cs="Times New Roman"/>
          <w:i/>
        </w:rPr>
        <w:t>Ivi</w:t>
      </w:r>
      <w:r w:rsidRPr="00796A9D">
        <w:rPr>
          <w:rFonts w:ascii="Times New Roman" w:hAnsi="Times New Roman" w:cs="Times New Roman"/>
        </w:rPr>
        <w:t>, p. 21.</w:t>
      </w:r>
    </w:p>
  </w:footnote>
  <w:footnote w:id="579">
    <w:p w14:paraId="1B83597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Augustae</w:t>
      </w:r>
      <w:r w:rsidRPr="00796A9D">
        <w:rPr>
          <w:rFonts w:ascii="Times New Roman" w:hAnsi="Times New Roman" w:cs="Times New Roman"/>
        </w:rPr>
        <w:t xml:space="preserve">, in </w:t>
      </w:r>
      <w:r w:rsidRPr="00796A9D">
        <w:rPr>
          <w:rFonts w:ascii="Times New Roman" w:hAnsi="Times New Roman" w:cs="Times New Roman"/>
          <w:i/>
        </w:rPr>
        <w:t>Tristani Chalci Residua</w:t>
      </w:r>
      <w:r w:rsidRPr="00796A9D">
        <w:rPr>
          <w:rFonts w:ascii="Times New Roman" w:hAnsi="Times New Roman" w:cs="Times New Roman"/>
        </w:rPr>
        <w:t xml:space="preserve">, cit., pp. 100-120. Si noti come nel 1491 al Brasca erano state demandate le trattative per il matrimonio di Anna Sforza con Alfonso I, duca di Ferrara, cfr. </w:t>
      </w:r>
      <w:r w:rsidRPr="00796A9D">
        <w:rPr>
          <w:rFonts w:ascii="Times New Roman" w:hAnsi="Times New Roman" w:cs="Times New Roman"/>
          <w:smallCaps/>
        </w:rPr>
        <w:t>G. Rill</w:t>
      </w:r>
      <w:r w:rsidRPr="00796A9D">
        <w:rPr>
          <w:rFonts w:ascii="Times New Roman" w:hAnsi="Times New Roman" w:cs="Times New Roman"/>
        </w:rPr>
        <w:t xml:space="preserve">, s.v. </w:t>
      </w:r>
      <w:r w:rsidRPr="00796A9D">
        <w:rPr>
          <w:rFonts w:ascii="Times New Roman" w:hAnsi="Times New Roman" w:cs="Times New Roman"/>
          <w:i/>
        </w:rPr>
        <w:t>Brasca, Erasmo</w:t>
      </w:r>
      <w:r w:rsidRPr="00796A9D">
        <w:rPr>
          <w:rFonts w:ascii="Times New Roman" w:hAnsi="Times New Roman" w:cs="Times New Roman"/>
        </w:rPr>
        <w:t xml:space="preserve">, DBI, 1972, vol. XIV, pp. 54-56.  </w:t>
      </w:r>
    </w:p>
  </w:footnote>
  <w:footnote w:id="580">
    <w:p w14:paraId="190AF103" w14:textId="77777777" w:rsidR="00CF5CFB" w:rsidRPr="00796A9D" w:rsidRDefault="00CF5CFB" w:rsidP="00796A9D">
      <w:pPr>
        <w:pStyle w:val="Testonotaapidipagina"/>
        <w:tabs>
          <w:tab w:val="left" w:pos="142"/>
        </w:tabs>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Edita in </w:t>
      </w:r>
      <w:bookmarkStart w:id="454" w:name="_Hlk526713281"/>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Delle relazioni di Isabella d’Este Gonzaga con Ludovico e Beatrice Sforza</w:t>
      </w:r>
      <w:r w:rsidRPr="00796A9D">
        <w:rPr>
          <w:rFonts w:ascii="Times New Roman" w:hAnsi="Times New Roman" w:cs="Times New Roman"/>
        </w:rPr>
        <w:t>, Milano, Bortolotti, 1890</w:t>
      </w:r>
      <w:bookmarkEnd w:id="454"/>
      <w:r w:rsidRPr="00796A9D">
        <w:rPr>
          <w:rFonts w:ascii="Times New Roman" w:hAnsi="Times New Roman" w:cs="Times New Roman"/>
        </w:rPr>
        <w:t xml:space="preserve">, pp. 89-93. Isabella d’Este non partecipò alle feste milanesi perché in avanzato stato di gravidanza. </w:t>
      </w:r>
    </w:p>
  </w:footnote>
  <w:footnote w:id="581">
    <w:p w14:paraId="53CCB2F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Taccone non specifica la fonte della notizia della partecipazione di Ottone Visconti alla crociata del 1099. Tuttavia, essa era, all’epoca, di conoscenza abbastanza pubblica. Tra gli altri ne avevano fatto menzione gli storici Bonvesin de la Riva e Galvano Flamma. Dopo lo scontro contro un valoroso saraceno, di cui Taccone fa menzione, il Visconti si sarebbe impadronito del suo scudo, sul quale il nemico aveva fatto porre l’insegna con la vipera che divora un uomo e che sarebbe poi divenuta lo stemma della casata Visconti. Cfr. </w:t>
      </w:r>
      <w:bookmarkStart w:id="455" w:name="_Hlk526713382"/>
      <w:r w:rsidRPr="00796A9D">
        <w:rPr>
          <w:rFonts w:ascii="Times New Roman" w:hAnsi="Times New Roman" w:cs="Times New Roman"/>
          <w:smallCaps/>
        </w:rPr>
        <w:t>A. Filippini</w:t>
      </w:r>
      <w:r w:rsidRPr="00796A9D">
        <w:rPr>
          <w:rFonts w:ascii="Times New Roman" w:hAnsi="Times New Roman" w:cs="Times New Roman"/>
        </w:rPr>
        <w:t xml:space="preserve">, </w:t>
      </w:r>
      <w:r w:rsidRPr="00796A9D">
        <w:rPr>
          <w:rFonts w:ascii="Times New Roman" w:hAnsi="Times New Roman" w:cs="Times New Roman"/>
          <w:i/>
        </w:rPr>
        <w:t>I Visconti di Milano nei secoli XI e XII. Indagini tra le fonti</w:t>
      </w:r>
      <w:r w:rsidRPr="00796A9D">
        <w:rPr>
          <w:rFonts w:ascii="Times New Roman" w:hAnsi="Times New Roman" w:cs="Times New Roman"/>
        </w:rPr>
        <w:t>, Trento, Tangram, 2014</w:t>
      </w:r>
      <w:bookmarkEnd w:id="455"/>
      <w:r w:rsidRPr="00796A9D">
        <w:rPr>
          <w:rFonts w:ascii="Times New Roman" w:hAnsi="Times New Roman" w:cs="Times New Roman"/>
        </w:rPr>
        <w:t>, pp. 47-48.</w:t>
      </w:r>
    </w:p>
  </w:footnote>
  <w:footnote w:id="582">
    <w:p w14:paraId="6EFA946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 sintetica descrizione delle cerimonie milanesi di cui trattiamo in </w:t>
      </w:r>
      <w:r w:rsidRPr="00796A9D">
        <w:rPr>
          <w:rFonts w:ascii="Times New Roman" w:hAnsi="Times New Roman" w:cs="Times New Roman"/>
          <w:smallCaps/>
        </w:rPr>
        <w:t>S. Biancardi</w:t>
      </w:r>
      <w:r w:rsidRPr="00796A9D">
        <w:rPr>
          <w:rFonts w:ascii="Times New Roman" w:hAnsi="Times New Roman" w:cs="Times New Roman"/>
        </w:rPr>
        <w:t xml:space="preserve">, </w:t>
      </w:r>
      <w:r w:rsidRPr="00796A9D">
        <w:rPr>
          <w:rFonts w:ascii="Times New Roman" w:hAnsi="Times New Roman" w:cs="Times New Roman"/>
          <w:i/>
        </w:rPr>
        <w:t>La chimera di Carlo VIII, 1492-1495</w:t>
      </w:r>
      <w:r w:rsidRPr="00796A9D">
        <w:rPr>
          <w:rFonts w:ascii="Times New Roman" w:hAnsi="Times New Roman" w:cs="Times New Roman"/>
        </w:rPr>
        <w:t>, cit., pp. 293-296.</w:t>
      </w:r>
    </w:p>
  </w:footnote>
  <w:footnote w:id="583">
    <w:p w14:paraId="1E1B479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Augustae</w:t>
      </w:r>
      <w:r w:rsidRPr="00796A9D">
        <w:rPr>
          <w:rFonts w:ascii="Times New Roman" w:hAnsi="Times New Roman" w:cs="Times New Roman"/>
        </w:rPr>
        <w:t>, cit., p. 103.</w:t>
      </w:r>
    </w:p>
  </w:footnote>
  <w:footnote w:id="584">
    <w:p w14:paraId="179683E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lavori per l’edificazione del Lazzaretto, posto al confine delle mura cittadine, erano stati affidati dal Moro all’architetto Lazzaro Palazzi nella primavera del 1488. I finanziamenti necessari vennero reperiti attraverso le oblazioni di tutti i consorzi e collegi milanesi, oltre che con donazioni della famiglia ducale e dei più eminenti cittadini: Melzi, Calco, Bossi, Stanga, Terzago, Cagnola, Birago, Missaglia. Cfr</w:t>
      </w:r>
      <w:r w:rsidRPr="00796A9D">
        <w:rPr>
          <w:rFonts w:ascii="Times New Roman" w:hAnsi="Times New Roman" w:cs="Times New Roman"/>
          <w:smallCaps/>
        </w:rPr>
        <w:t>. L. Patetta</w:t>
      </w:r>
      <w:r w:rsidRPr="00796A9D">
        <w:rPr>
          <w:rFonts w:ascii="Times New Roman" w:hAnsi="Times New Roman" w:cs="Times New Roman"/>
        </w:rPr>
        <w:t xml:space="preserve">, </w:t>
      </w:r>
      <w:r w:rsidRPr="00796A9D">
        <w:rPr>
          <w:rFonts w:ascii="Times New Roman" w:hAnsi="Times New Roman" w:cs="Times New Roman"/>
          <w:i/>
        </w:rPr>
        <w:t>L’architettura del Quattrocento a Milano</w:t>
      </w:r>
      <w:r w:rsidRPr="00796A9D">
        <w:rPr>
          <w:rFonts w:ascii="Times New Roman" w:hAnsi="Times New Roman" w:cs="Times New Roman"/>
        </w:rPr>
        <w:t xml:space="preserve">, cit., pp. 314-328. </w:t>
      </w:r>
    </w:p>
  </w:footnote>
  <w:footnote w:id="585">
    <w:p w14:paraId="044E640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bookmarkStart w:id="456" w:name="_Hlk526713526"/>
      <w:r w:rsidRPr="00796A9D">
        <w:rPr>
          <w:rFonts w:ascii="Times New Roman" w:hAnsi="Times New Roman" w:cs="Times New Roman"/>
          <w:smallCaps/>
        </w:rPr>
        <w:t>I. Lazzarini</w:t>
      </w:r>
      <w:r w:rsidRPr="00796A9D">
        <w:rPr>
          <w:rFonts w:ascii="Times New Roman" w:hAnsi="Times New Roman" w:cs="Times New Roman"/>
        </w:rPr>
        <w:t xml:space="preserve">, </w:t>
      </w:r>
      <w:r w:rsidRPr="00796A9D">
        <w:rPr>
          <w:rFonts w:ascii="Times New Roman" w:hAnsi="Times New Roman" w:cs="Times New Roman"/>
          <w:i/>
        </w:rPr>
        <w:t>Communication and Conflict: Italian Diplomacy in the Early Renaissance, 1350-1520</w:t>
      </w:r>
      <w:r w:rsidRPr="00796A9D">
        <w:rPr>
          <w:rFonts w:ascii="Times New Roman" w:hAnsi="Times New Roman" w:cs="Times New Roman"/>
        </w:rPr>
        <w:t>, Oxford, Oxford University Press, 2015</w:t>
      </w:r>
      <w:bookmarkEnd w:id="456"/>
      <w:r w:rsidRPr="00796A9D">
        <w:rPr>
          <w:rFonts w:ascii="Times New Roman" w:hAnsi="Times New Roman" w:cs="Times New Roman"/>
        </w:rPr>
        <w:t xml:space="preserve">, p. 23, dove si nota come i rapporti tra Milano e la Russia si fossero intensificati nel 1472, dopo le nozze di Ivan III con Zoe Paleologa, figlia di Tommaso, despota di Morea, e in seguito all’invio alla corte moscovita un’ambasceria sforzesca nel 1476, ricambiata dal Granduca a sua volta nel 1486. </w:t>
      </w:r>
    </w:p>
  </w:footnote>
  <w:footnote w:id="586">
    <w:p w14:paraId="4E5F00E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Augustae</w:t>
      </w:r>
      <w:r w:rsidRPr="00796A9D">
        <w:rPr>
          <w:rFonts w:ascii="Times New Roman" w:hAnsi="Times New Roman" w:cs="Times New Roman"/>
        </w:rPr>
        <w:t xml:space="preserve">, cit., p. 104. Il viaggio degli ambasciatori russi era iniziato nell’aprile 1493, come attestano le loro lettere credenziali conservate presso l’Archivio di Stato di Milano. Da una missiva di Agostino Calco a Bartolomeo Calco del 9 dicembre 1493 apprendiamo che in loro onore fu organizzata una battuta di caccia nella Valle del Ticino, cui seguì un soggiorno nelle residenze ducali di Vigevano, prolungatosi almeno fino al 16 dicembre. Accompagnati dal siniscalco Ieronimo Vismara, i legati si trasferirono poi a Venezia, dove furono ricevuti dalla Serenissima. Per questa missione diplomatica e per la relativa documentazione rinvio a </w:t>
      </w:r>
      <w:bookmarkStart w:id="457" w:name="_Hlk526713788"/>
      <w:r w:rsidRPr="00796A9D">
        <w:rPr>
          <w:rFonts w:ascii="Times New Roman" w:hAnsi="Times New Roman" w:cs="Times New Roman"/>
          <w:smallCaps/>
        </w:rPr>
        <w:t>G. Barbieri</w:t>
      </w:r>
      <w:r w:rsidRPr="00796A9D">
        <w:rPr>
          <w:rFonts w:ascii="Times New Roman" w:hAnsi="Times New Roman" w:cs="Times New Roman"/>
        </w:rPr>
        <w:t xml:space="preserve">, </w:t>
      </w:r>
      <w:r w:rsidRPr="00796A9D">
        <w:rPr>
          <w:rFonts w:ascii="Times New Roman" w:hAnsi="Times New Roman" w:cs="Times New Roman"/>
          <w:i/>
        </w:rPr>
        <w:t>Milano e Mosca nella politica del Rinascimento</w:t>
      </w:r>
      <w:r w:rsidRPr="00796A9D">
        <w:rPr>
          <w:rFonts w:ascii="Times New Roman" w:hAnsi="Times New Roman" w:cs="Times New Roman"/>
        </w:rPr>
        <w:t>, Bari, Adriatica, 1957</w:t>
      </w:r>
      <w:bookmarkEnd w:id="457"/>
      <w:r w:rsidRPr="00796A9D">
        <w:rPr>
          <w:rFonts w:ascii="Times New Roman" w:hAnsi="Times New Roman" w:cs="Times New Roman"/>
        </w:rPr>
        <w:t xml:space="preserve">, pp. 50-55, dove non si fa cenno alla presenza dei legati allo sposalizio. Quanto al </w:t>
      </w:r>
      <w:r w:rsidRPr="00796A9D">
        <w:rPr>
          <w:rFonts w:ascii="Times New Roman" w:hAnsi="Times New Roman" w:cs="Times New Roman"/>
          <w:i/>
        </w:rPr>
        <w:t>dentem</w:t>
      </w:r>
      <w:r w:rsidRPr="00796A9D">
        <w:rPr>
          <w:rFonts w:ascii="Times New Roman" w:hAnsi="Times New Roman" w:cs="Times New Roman"/>
        </w:rPr>
        <w:t xml:space="preserve"> del mostro donato dagli ambasciatori potrebbe forse essere uno dei due corni dell’unicorno ricordato dagli </w:t>
      </w:r>
      <w:r w:rsidRPr="00796A9D">
        <w:rPr>
          <w:rFonts w:ascii="Times New Roman" w:hAnsi="Times New Roman" w:cs="Times New Roman"/>
          <w:i/>
        </w:rPr>
        <w:t>Annali</w:t>
      </w:r>
      <w:r w:rsidRPr="00796A9D">
        <w:rPr>
          <w:rFonts w:ascii="Times New Roman" w:hAnsi="Times New Roman" w:cs="Times New Roman"/>
        </w:rPr>
        <w:t xml:space="preserve"> di Muralto tra le meraviglie della biblioteca sforzesca (cfr. cap. I, n. 336), forse quello di minori dimensioni e di cui lo storico non specifica l’origine. Mi sembra, ad ogni modo, che si tratti del tipo di stranezza da destinare allo scrigno della biblioteca descritto nel capitolo precedente.  </w:t>
      </w:r>
    </w:p>
  </w:footnote>
  <w:footnote w:id="587">
    <w:p w14:paraId="2DB1B06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Figura essenziale nel piano della politica estera di Carlo VIII, fu lui a suggerire al monarca d’intraprendere la campagna per la conquista del regno di Napoli. Per conto del re svolse delicate missioni diplomatiche in Italia tra il 1492 e il 1498, e per suo interessamento fu creato cardinale nel 1495 da Alessandro VI. Dopo la morte di Carlo la sua carriera politica andò progressivamente ridimensionandosi. Su di lui cfr. </w:t>
      </w:r>
      <w:bookmarkStart w:id="458" w:name="_Hlk526713885"/>
      <w:r w:rsidRPr="00796A9D">
        <w:rPr>
          <w:rFonts w:ascii="Times New Roman" w:hAnsi="Times New Roman" w:cs="Times New Roman"/>
          <w:smallCaps/>
        </w:rPr>
        <w:t>B. Chevalier</w:t>
      </w:r>
      <w:r w:rsidRPr="00796A9D">
        <w:rPr>
          <w:rFonts w:ascii="Times New Roman" w:hAnsi="Times New Roman" w:cs="Times New Roman"/>
        </w:rPr>
        <w:t xml:space="preserve">, </w:t>
      </w:r>
      <w:r w:rsidRPr="00796A9D">
        <w:rPr>
          <w:rFonts w:ascii="Times New Roman" w:hAnsi="Times New Roman" w:cs="Times New Roman"/>
          <w:i/>
        </w:rPr>
        <w:t>Guillaume Briconnet (v. 1445-1514): un cardinal-ministre au debut de la Renaissance. marchand, financier, homme d'Etat et prince de l'Eglise</w:t>
      </w:r>
      <w:r w:rsidRPr="00796A9D">
        <w:rPr>
          <w:rFonts w:ascii="Times New Roman" w:hAnsi="Times New Roman" w:cs="Times New Roman"/>
        </w:rPr>
        <w:t>, Rennes, Presses Universitaires de Rennes, 2005.</w:t>
      </w:r>
    </w:p>
    <w:bookmarkEnd w:id="458"/>
  </w:footnote>
  <w:footnote w:id="588">
    <w:p w14:paraId="14C8174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Taccone</w:t>
      </w:r>
      <w:r w:rsidRPr="00796A9D">
        <w:rPr>
          <w:rFonts w:ascii="Times New Roman" w:hAnsi="Times New Roman" w:cs="Times New Roman"/>
        </w:rPr>
        <w:t xml:space="preserve">, </w:t>
      </w:r>
      <w:r w:rsidRPr="00796A9D">
        <w:rPr>
          <w:rFonts w:ascii="Times New Roman" w:hAnsi="Times New Roman" w:cs="Times New Roman"/>
          <w:i/>
        </w:rPr>
        <w:t>Coronatione</w:t>
      </w:r>
      <w:r w:rsidRPr="00796A9D">
        <w:rPr>
          <w:rFonts w:ascii="Times New Roman" w:hAnsi="Times New Roman" w:cs="Times New Roman"/>
        </w:rPr>
        <w:t xml:space="preserve">, ott. 60-63. </w:t>
      </w:r>
    </w:p>
  </w:footnote>
  <w:footnote w:id="589">
    <w:p w14:paraId="5B321F2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Augustae</w:t>
      </w:r>
      <w:r w:rsidRPr="00796A9D">
        <w:rPr>
          <w:rFonts w:ascii="Times New Roman" w:hAnsi="Times New Roman" w:cs="Times New Roman"/>
        </w:rPr>
        <w:t>, cit., p. 105.</w:t>
      </w:r>
    </w:p>
  </w:footnote>
  <w:footnote w:id="590">
    <w:p w14:paraId="2CE176D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P. Lazzaroni</w:t>
      </w:r>
      <w:r w:rsidRPr="00796A9D">
        <w:rPr>
          <w:rFonts w:ascii="Times New Roman" w:hAnsi="Times New Roman" w:cs="Times New Roman"/>
        </w:rPr>
        <w:t xml:space="preserve">, </w:t>
      </w:r>
      <w:r w:rsidRPr="00796A9D">
        <w:rPr>
          <w:rFonts w:ascii="Times New Roman" w:hAnsi="Times New Roman" w:cs="Times New Roman"/>
          <w:i/>
        </w:rPr>
        <w:t>Epithalamium</w:t>
      </w:r>
      <w:r w:rsidRPr="00796A9D">
        <w:rPr>
          <w:rFonts w:ascii="Times New Roman" w:hAnsi="Times New Roman" w:cs="Times New Roman"/>
        </w:rPr>
        <w:t xml:space="preserve">, c. a6 r. </w:t>
      </w:r>
    </w:p>
  </w:footnote>
  <w:footnote w:id="591">
    <w:p w14:paraId="6098792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Delle relazioni di Isabella d’Este Gonzaga con Ludovico e Beatrice Sforza</w:t>
      </w:r>
      <w:r w:rsidRPr="00796A9D">
        <w:rPr>
          <w:rFonts w:ascii="Times New Roman" w:hAnsi="Times New Roman" w:cs="Times New Roman"/>
        </w:rPr>
        <w:t xml:space="preserve">, cit., p. 91. Per alcune osservazioni intorno alla foggia dell’abito nuziale di Bianca Maria, e più in generale sulle preziose vesti che entrarono nel suo corredo, rimando a </w:t>
      </w:r>
      <w:r w:rsidRPr="00796A9D">
        <w:rPr>
          <w:rFonts w:ascii="Times New Roman" w:hAnsi="Times New Roman" w:cs="Times New Roman"/>
          <w:smallCaps/>
        </w:rPr>
        <w:t>P. Venturelli</w:t>
      </w:r>
      <w:r w:rsidRPr="00796A9D">
        <w:rPr>
          <w:rFonts w:ascii="Times New Roman" w:hAnsi="Times New Roman" w:cs="Times New Roman"/>
        </w:rPr>
        <w:t xml:space="preserve">, </w:t>
      </w:r>
      <w:r w:rsidRPr="00796A9D">
        <w:rPr>
          <w:rFonts w:ascii="Times New Roman" w:hAnsi="Times New Roman" w:cs="Times New Roman"/>
          <w:i/>
        </w:rPr>
        <w:t>Leonardo da Vinci e le arti preziose</w:t>
      </w:r>
      <w:r w:rsidRPr="00796A9D">
        <w:rPr>
          <w:rFonts w:ascii="Times New Roman" w:hAnsi="Times New Roman" w:cs="Times New Roman"/>
        </w:rPr>
        <w:t xml:space="preserve">, cit., pp. 131-134. </w:t>
      </w:r>
    </w:p>
  </w:footnote>
  <w:footnote w:id="592">
    <w:p w14:paraId="546DD59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Beatrice d’Este indicò l’orario d’inizio del corteo sulla base del sistema di misurazione del tempo fondato sull’</w:t>
      </w:r>
      <w:r w:rsidRPr="00796A9D">
        <w:rPr>
          <w:rFonts w:ascii="Times New Roman" w:hAnsi="Times New Roman" w:cs="Times New Roman"/>
          <w:i/>
        </w:rPr>
        <w:t>hora italica</w:t>
      </w:r>
      <w:r w:rsidRPr="00796A9D">
        <w:rPr>
          <w:rFonts w:ascii="Times New Roman" w:hAnsi="Times New Roman" w:cs="Times New Roman"/>
        </w:rPr>
        <w:t xml:space="preserve">, in uso in Italia tra il XIV e il XVIII secolo. Tale sistema divideva il giorno in 24 ore di 60 minuti, la prima delle quali iniziava al tramonto del sole. Poiché il tramonto si verifica in orari diversi nelle stagioni dell’anno, una perfetta sovrapposizione tra ore moderne e italiche non è possibile. Nei giorni degli equinozi è possibile però stabilire questo sincronismo orientativo: 3-IX; 6-XII; 9-XV; 12-XVIII; 15-XXI; 18-XXIV; 21-III; 24-VI. Cfr. </w:t>
      </w:r>
      <w:bookmarkStart w:id="459" w:name="_Hlk526714044"/>
      <w:r w:rsidRPr="00796A9D">
        <w:rPr>
          <w:rFonts w:ascii="Times New Roman" w:hAnsi="Times New Roman" w:cs="Times New Roman"/>
          <w:smallCaps/>
        </w:rPr>
        <w:t>E. Screpanti</w:t>
      </w:r>
      <w:r w:rsidRPr="00796A9D">
        <w:rPr>
          <w:rFonts w:ascii="Times New Roman" w:hAnsi="Times New Roman" w:cs="Times New Roman"/>
        </w:rPr>
        <w:t xml:space="preserve">, </w:t>
      </w:r>
      <w:r w:rsidRPr="00796A9D">
        <w:rPr>
          <w:rFonts w:ascii="Times New Roman" w:hAnsi="Times New Roman" w:cs="Times New Roman"/>
          <w:i/>
        </w:rPr>
        <w:t>L’angelo della liberazione nel tumulto dei Ciompi. Firenze, giugno-agosto 1378</w:t>
      </w:r>
      <w:r w:rsidRPr="00796A9D">
        <w:rPr>
          <w:rFonts w:ascii="Times New Roman" w:hAnsi="Times New Roman" w:cs="Times New Roman"/>
        </w:rPr>
        <w:t xml:space="preserve">, Siena, Protagon, 2008, pp. 339-344. </w:t>
      </w:r>
      <w:bookmarkEnd w:id="459"/>
    </w:p>
  </w:footnote>
  <w:footnote w:id="593">
    <w:p w14:paraId="14A6FF2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Delle relazioni di Isabella d’Este Gonzaga con Ludovico e Beatrice Sforza</w:t>
      </w:r>
      <w:r w:rsidRPr="00796A9D">
        <w:rPr>
          <w:rFonts w:ascii="Times New Roman" w:hAnsi="Times New Roman" w:cs="Times New Roman"/>
        </w:rPr>
        <w:t>, cit., p. 91.</w:t>
      </w:r>
    </w:p>
  </w:footnote>
  <w:footnote w:id="594">
    <w:p w14:paraId="659869F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P. Lazzaroni</w:t>
      </w:r>
      <w:r w:rsidRPr="00796A9D">
        <w:rPr>
          <w:rFonts w:ascii="Times New Roman" w:hAnsi="Times New Roman" w:cs="Times New Roman"/>
        </w:rPr>
        <w:t xml:space="preserve">, </w:t>
      </w:r>
      <w:r w:rsidRPr="00796A9D">
        <w:rPr>
          <w:rFonts w:ascii="Times New Roman" w:hAnsi="Times New Roman" w:cs="Times New Roman"/>
          <w:i/>
        </w:rPr>
        <w:t>Epithalamium</w:t>
      </w:r>
      <w:r w:rsidRPr="00796A9D">
        <w:rPr>
          <w:rFonts w:ascii="Times New Roman" w:hAnsi="Times New Roman" w:cs="Times New Roman"/>
        </w:rPr>
        <w:t xml:space="preserve">, cit., c. a6 v. – a7 r. </w:t>
      </w:r>
    </w:p>
  </w:footnote>
  <w:footnote w:id="595">
    <w:p w14:paraId="2325216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Interessante il fatto che il poeta si preoccupi di far sapere che durante la funzione fu cantata la messa dello Spirito Santo perché, nella solennità di sant’Andrea, la liturgia ambrosiana non prevedeva il canto del </w:t>
      </w:r>
      <w:r w:rsidRPr="00796A9D">
        <w:rPr>
          <w:rFonts w:ascii="Times New Roman" w:hAnsi="Times New Roman" w:cs="Times New Roman"/>
          <w:i/>
        </w:rPr>
        <w:t>Veni creator Spiritus</w:t>
      </w:r>
      <w:r w:rsidRPr="00796A9D">
        <w:rPr>
          <w:rFonts w:ascii="Times New Roman" w:hAnsi="Times New Roman" w:cs="Times New Roman"/>
        </w:rPr>
        <w:t>. Si trattò probabilmente di un cambiamento del rito ordinario voluto dall’arcivescovo per sottolineare la benedizione del vincolo matrimoniale.</w:t>
      </w:r>
    </w:p>
  </w:footnote>
  <w:footnote w:id="596">
    <w:p w14:paraId="627F915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Augustae</w:t>
      </w:r>
      <w:r w:rsidRPr="00796A9D">
        <w:rPr>
          <w:rFonts w:ascii="Times New Roman" w:hAnsi="Times New Roman" w:cs="Times New Roman"/>
        </w:rPr>
        <w:t>, cit., p. 107.</w:t>
      </w:r>
    </w:p>
  </w:footnote>
  <w:footnote w:id="597">
    <w:p w14:paraId="52F7621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p. 108.</w:t>
      </w:r>
    </w:p>
  </w:footnote>
  <w:footnote w:id="598">
    <w:p w14:paraId="7779E72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duca Gian Galeazzo, Ludovico Sforza, Beatrice d’Este, </w:t>
      </w:r>
      <w:r>
        <w:rPr>
          <w:rFonts w:ascii="Times New Roman" w:hAnsi="Times New Roman" w:cs="Times New Roman"/>
        </w:rPr>
        <w:t>He</w:t>
      </w:r>
      <w:r w:rsidRPr="00796A9D">
        <w:rPr>
          <w:rFonts w:ascii="Times New Roman" w:hAnsi="Times New Roman" w:cs="Times New Roman"/>
        </w:rPr>
        <w:t xml:space="preserve">rmes Sforza, Bona di Savoia, Gasparo Visconti e Giason de Maino fecero parte della comitiva che accompagnò Bianca fino a Como, dove fu il vescovo Trivulzio a fare gli onori di casa ospitando la sposa presso l’arcivescovado. Furono organizzate regate ed escursioni lungo le coste lariane e il 5 dicembre, a bordo di un’imbarcazione da parata abbellita da festoni di verzura, la sposa giunse a Bellagio, dove fu ospite di Marchesino Stanga. Il giorno seguente, sempre navigando sul lago, la comitiva approdò a Bellano, da dove si diresse verso Coira. Una descrizione di queste tappe e delle accoglienze tributate è fornita da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Augustae</w:t>
      </w:r>
      <w:r w:rsidRPr="00796A9D">
        <w:rPr>
          <w:rFonts w:ascii="Times New Roman" w:hAnsi="Times New Roman" w:cs="Times New Roman"/>
        </w:rPr>
        <w:t xml:space="preserve">, cit., p. 108. Alcune osservazioni in merito sono reperibili in </w:t>
      </w:r>
      <w:bookmarkStart w:id="460" w:name="_Hlk526714184"/>
      <w:r w:rsidRPr="00796A9D">
        <w:rPr>
          <w:rFonts w:ascii="Times New Roman" w:hAnsi="Times New Roman" w:cs="Times New Roman"/>
          <w:smallCaps/>
        </w:rPr>
        <w:t>F. Calvi</w:t>
      </w:r>
      <w:r w:rsidRPr="00796A9D">
        <w:rPr>
          <w:rFonts w:ascii="Times New Roman" w:hAnsi="Times New Roman" w:cs="Times New Roman"/>
        </w:rPr>
        <w:t xml:space="preserve">, </w:t>
      </w:r>
      <w:r w:rsidRPr="00796A9D">
        <w:rPr>
          <w:rFonts w:ascii="Times New Roman" w:hAnsi="Times New Roman" w:cs="Times New Roman"/>
          <w:i/>
        </w:rPr>
        <w:t>Bianca Maria Sforza. Regina dei Romani, Imperatrice germanica e gli ambasciatori di Lodovico il Moro alla corte cesarea secondo nuovi documenti</w:t>
      </w:r>
      <w:r w:rsidRPr="00796A9D">
        <w:rPr>
          <w:rFonts w:ascii="Times New Roman" w:hAnsi="Times New Roman" w:cs="Times New Roman"/>
        </w:rPr>
        <w:t>, Milano, Vallardi, 1888</w:t>
      </w:r>
      <w:bookmarkEnd w:id="460"/>
      <w:r w:rsidRPr="00796A9D">
        <w:rPr>
          <w:rFonts w:ascii="Times New Roman" w:hAnsi="Times New Roman" w:cs="Times New Roman"/>
        </w:rPr>
        <w:t xml:space="preserve">, pp. 34-37. </w:t>
      </w:r>
    </w:p>
  </w:footnote>
  <w:footnote w:id="599">
    <w:p w14:paraId="1AA5161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Taccone</w:t>
      </w:r>
      <w:r w:rsidRPr="00796A9D">
        <w:rPr>
          <w:rFonts w:ascii="Times New Roman" w:hAnsi="Times New Roman" w:cs="Times New Roman"/>
        </w:rPr>
        <w:t xml:space="preserve">, </w:t>
      </w:r>
      <w:r w:rsidRPr="00796A9D">
        <w:rPr>
          <w:rFonts w:ascii="Times New Roman" w:hAnsi="Times New Roman" w:cs="Times New Roman"/>
          <w:i/>
        </w:rPr>
        <w:t>Coronatione</w:t>
      </w:r>
      <w:r w:rsidRPr="00796A9D">
        <w:rPr>
          <w:rFonts w:ascii="Times New Roman" w:hAnsi="Times New Roman" w:cs="Times New Roman"/>
        </w:rPr>
        <w:t>, cit., ott. 92-93. Tra le bellezze di Milano Taccone ricorda anche l’imponente modello in argilla della statua di Francesco I a cavallo che il Moro aveva commissionato a Leonardo da Vinci. Il prototipo del monumento si trovava nel 1493 nel cortile del castello di Porta Giovia, o più probabilmente in quello della corte dell’Arengo: Vedi che in corte fa far di metallo / per memoria del padre un gran colosso/ i’ credo fermamente e senza fallo / che Grecia e Roma mai vide el più grosso. / Guarde pur come è bello quel cavallo. / Leonardo Vinci a farlo sol s’è mosso / statura bon pittore e bon geometra. / Un tanto ingegno rar dal ciel s’impetra. (</w:t>
      </w:r>
      <w:r w:rsidRPr="00796A9D">
        <w:rPr>
          <w:rFonts w:ascii="Times New Roman" w:hAnsi="Times New Roman" w:cs="Times New Roman"/>
          <w:i/>
        </w:rPr>
        <w:t>ivi</w:t>
      </w:r>
      <w:r w:rsidRPr="00796A9D">
        <w:rPr>
          <w:rFonts w:ascii="Times New Roman" w:hAnsi="Times New Roman" w:cs="Times New Roman"/>
        </w:rPr>
        <w:t xml:space="preserve">, ott. 102). Come è noto, la statua equestre non fu mai fusa perché il metallo divenne, di lì a breve tempo, necessario per le guerre contro il re di Francia Luigi XII. Diversi storici dell’arte, con riferimento all’ottava citata della </w:t>
      </w:r>
      <w:r w:rsidRPr="00796A9D">
        <w:rPr>
          <w:rFonts w:ascii="Times New Roman" w:hAnsi="Times New Roman" w:cs="Times New Roman"/>
          <w:i/>
        </w:rPr>
        <w:t>Coronatione</w:t>
      </w:r>
      <w:r w:rsidRPr="00796A9D">
        <w:rPr>
          <w:rFonts w:ascii="Times New Roman" w:hAnsi="Times New Roman" w:cs="Times New Roman"/>
        </w:rPr>
        <w:t xml:space="preserve">, sostengono che nell’occasione delle nozze di Bianca Maria il prototipo fu esposto al pubblico. </w:t>
      </w:r>
      <w:r w:rsidRPr="00796A9D">
        <w:rPr>
          <w:rFonts w:ascii="Times New Roman" w:hAnsi="Times New Roman" w:cs="Times New Roman"/>
          <w:lang w:val="en-US"/>
        </w:rPr>
        <w:t xml:space="preserve">Cfr. </w:t>
      </w:r>
      <w:r w:rsidRPr="00796A9D">
        <w:rPr>
          <w:rFonts w:ascii="Times New Roman" w:hAnsi="Times New Roman" w:cs="Times New Roman"/>
          <w:smallCaps/>
          <w:lang w:val="en-US"/>
        </w:rPr>
        <w:t>G. M. Radke</w:t>
      </w:r>
      <w:r w:rsidRPr="00796A9D">
        <w:rPr>
          <w:rFonts w:ascii="Times New Roman" w:hAnsi="Times New Roman" w:cs="Times New Roman"/>
          <w:lang w:val="en-US"/>
        </w:rPr>
        <w:t xml:space="preserve">, </w:t>
      </w:r>
      <w:r w:rsidRPr="00796A9D">
        <w:rPr>
          <w:rFonts w:ascii="Times New Roman" w:hAnsi="Times New Roman" w:cs="Times New Roman"/>
          <w:i/>
          <w:lang w:val="en-US"/>
        </w:rPr>
        <w:t>Leonardo Student of Sculpture</w:t>
      </w:r>
      <w:r w:rsidRPr="00796A9D">
        <w:rPr>
          <w:rFonts w:ascii="Times New Roman" w:hAnsi="Times New Roman" w:cs="Times New Roman"/>
          <w:lang w:val="en-US"/>
        </w:rPr>
        <w:t xml:space="preserve">, in </w:t>
      </w:r>
      <w:r w:rsidRPr="00796A9D">
        <w:rPr>
          <w:rFonts w:ascii="Times New Roman" w:hAnsi="Times New Roman" w:cs="Times New Roman"/>
          <w:i/>
          <w:lang w:val="en-US"/>
        </w:rPr>
        <w:t>Leonardo da Vinci and the Art of Sculpture</w:t>
      </w:r>
      <w:r w:rsidRPr="00796A9D">
        <w:rPr>
          <w:rFonts w:ascii="Times New Roman" w:hAnsi="Times New Roman" w:cs="Times New Roman"/>
          <w:lang w:val="en-US"/>
        </w:rPr>
        <w:t xml:space="preserve">, Edited by </w:t>
      </w:r>
      <w:r w:rsidRPr="00796A9D">
        <w:rPr>
          <w:rFonts w:ascii="Times New Roman" w:hAnsi="Times New Roman" w:cs="Times New Roman"/>
          <w:smallCaps/>
          <w:lang w:val="en-US"/>
        </w:rPr>
        <w:t>Idem</w:t>
      </w:r>
      <w:r w:rsidRPr="00796A9D">
        <w:rPr>
          <w:rFonts w:ascii="Times New Roman" w:hAnsi="Times New Roman" w:cs="Times New Roman"/>
          <w:lang w:val="en-US"/>
        </w:rPr>
        <w:t xml:space="preserve">, London, Yale University Press, 2009, p. 93. </w:t>
      </w:r>
      <w:r w:rsidRPr="00796A9D">
        <w:rPr>
          <w:rFonts w:ascii="Times New Roman" w:hAnsi="Times New Roman" w:cs="Times New Roman"/>
        </w:rPr>
        <w:t xml:space="preserve">Le altre descrizioni dell’evento non riportano però alcun cenno al modello, fatto assai strano data la precisione delle relazioni di Calco e Beatrice d’Este che credo lo avrebbero almeno menzionato. La mostra del modello mi pare dunque da escludere e penso che la notizia di Taccone si collochi semplicemente nella rassegna dei progetti allora in corso d’opera ai quali il poeta aveva facilmente accesso per via del suo inserimento nel </w:t>
      </w:r>
      <w:r w:rsidRPr="00796A9D">
        <w:rPr>
          <w:rFonts w:ascii="Times New Roman" w:hAnsi="Times New Roman" w:cs="Times New Roman"/>
          <w:i/>
        </w:rPr>
        <w:t>milieu</w:t>
      </w:r>
      <w:r w:rsidRPr="00796A9D">
        <w:rPr>
          <w:rFonts w:ascii="Times New Roman" w:hAnsi="Times New Roman" w:cs="Times New Roman"/>
        </w:rPr>
        <w:t xml:space="preserve"> di Ludovico. </w:t>
      </w:r>
    </w:p>
  </w:footnote>
  <w:footnote w:id="600">
    <w:p w14:paraId="4A4C307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BMC VI 772; GW M17364; IGI 5708. L’attribuzione a Scinzenzeler è data sulla base del carattere romano impiegato.  Un’analisi di questo componimento, attenta a verificare se l’immagine che esso trasmette della Milano di Ludovico il Moro abbia dei riscontri documentari concreti, si trova in </w:t>
      </w:r>
      <w:bookmarkStart w:id="461" w:name="_Hlk526714277"/>
      <w:r w:rsidRPr="00796A9D">
        <w:rPr>
          <w:rFonts w:ascii="Times New Roman" w:hAnsi="Times New Roman" w:cs="Times New Roman"/>
          <w:shd w:val="clear" w:color="auto" w:fill="F9F9F9"/>
        </w:rPr>
        <w:t xml:space="preserve">L. </w:t>
      </w:r>
      <w:r w:rsidRPr="00796A9D">
        <w:rPr>
          <w:rFonts w:ascii="Times New Roman" w:hAnsi="Times New Roman" w:cs="Times New Roman"/>
          <w:smallCaps/>
          <w:shd w:val="clear" w:color="auto" w:fill="F9F9F9"/>
        </w:rPr>
        <w:t>Pesavento</w:t>
      </w:r>
      <w:r w:rsidRPr="00796A9D">
        <w:rPr>
          <w:rFonts w:ascii="Times New Roman" w:hAnsi="Times New Roman" w:cs="Times New Roman"/>
          <w:shd w:val="clear" w:color="auto" w:fill="F9F9F9"/>
        </w:rPr>
        <w:t xml:space="preserve">, </w:t>
      </w:r>
      <w:r w:rsidRPr="00796A9D">
        <w:rPr>
          <w:rStyle w:val="Enfasicorsivo"/>
          <w:rFonts w:ascii="Times New Roman" w:hAnsi="Times New Roman" w:cs="Times New Roman"/>
          <w:shd w:val="clear" w:color="auto" w:fill="F9F9F9"/>
        </w:rPr>
        <w:t>La "pulcherrima urbs Mediolani" di P. L. e la storiografia milanese di età sforzesca</w:t>
      </w:r>
      <w:r w:rsidRPr="00796A9D">
        <w:rPr>
          <w:rFonts w:ascii="Times New Roman" w:hAnsi="Times New Roman" w:cs="Times New Roman"/>
          <w:shd w:val="clear" w:color="auto" w:fill="F9F9F9"/>
        </w:rPr>
        <w:t xml:space="preserve">, in </w:t>
      </w:r>
      <w:r w:rsidRPr="00796A9D">
        <w:rPr>
          <w:rStyle w:val="Enfasicorsivo"/>
          <w:rFonts w:ascii="Times New Roman" w:hAnsi="Times New Roman" w:cs="Times New Roman"/>
          <w:shd w:val="clear" w:color="auto" w:fill="F9F9F9"/>
        </w:rPr>
        <w:t>La memoria e la città. Scritture storiche tra Medioevo ed Età Moderna</w:t>
      </w:r>
      <w:r w:rsidRPr="00796A9D">
        <w:rPr>
          <w:rFonts w:ascii="Times New Roman" w:hAnsi="Times New Roman" w:cs="Times New Roman"/>
          <w:shd w:val="clear" w:color="auto" w:fill="F9F9F9"/>
        </w:rPr>
        <w:t xml:space="preserve">, a cura di </w:t>
      </w:r>
      <w:r w:rsidRPr="00796A9D">
        <w:rPr>
          <w:rFonts w:ascii="Times New Roman" w:hAnsi="Times New Roman" w:cs="Times New Roman"/>
          <w:smallCaps/>
          <w:shd w:val="clear" w:color="auto" w:fill="F9F9F9"/>
        </w:rPr>
        <w:t>C. Bastia, M. Bolognani</w:t>
      </w:r>
      <w:r w:rsidRPr="00796A9D">
        <w:rPr>
          <w:rFonts w:ascii="Times New Roman" w:hAnsi="Times New Roman" w:cs="Times New Roman"/>
          <w:shd w:val="clear" w:color="auto" w:fill="F9F9F9"/>
        </w:rPr>
        <w:t>, Bologna, Il Nove, 1995, pp. 361-372.</w:t>
      </w:r>
      <w:bookmarkEnd w:id="461"/>
    </w:p>
  </w:footnote>
  <w:footnote w:id="601">
    <w:p w14:paraId="67EC181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Delle relazioni di Isabella d’Este Gonzaga con Ludovico e Beatrice Sforza</w:t>
      </w:r>
      <w:r w:rsidRPr="00796A9D">
        <w:rPr>
          <w:rFonts w:ascii="Times New Roman" w:hAnsi="Times New Roman" w:cs="Times New Roman"/>
        </w:rPr>
        <w:t>, cit., p. 94.</w:t>
      </w:r>
    </w:p>
  </w:footnote>
  <w:footnote w:id="602">
    <w:p w14:paraId="6765733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S. Bertelli</w:t>
      </w:r>
      <w:r w:rsidRPr="00796A9D">
        <w:rPr>
          <w:rFonts w:ascii="Times New Roman" w:hAnsi="Times New Roman" w:cs="Times New Roman"/>
        </w:rPr>
        <w:t xml:space="preserve">, </w:t>
      </w:r>
      <w:r w:rsidRPr="00796A9D">
        <w:rPr>
          <w:rFonts w:ascii="Times New Roman" w:hAnsi="Times New Roman" w:cs="Times New Roman"/>
          <w:i/>
        </w:rPr>
        <w:t>Il corpo del re</w:t>
      </w:r>
      <w:r w:rsidRPr="00796A9D">
        <w:rPr>
          <w:rFonts w:ascii="Times New Roman" w:hAnsi="Times New Roman" w:cs="Times New Roman"/>
        </w:rPr>
        <w:t xml:space="preserve">, cit., p. 81 al quale si rinvia anche per l’analisi delle prescrizioni della bolla di Onorio III relative agli ingressi trionfali. </w:t>
      </w:r>
    </w:p>
  </w:footnote>
  <w:footnote w:id="603">
    <w:p w14:paraId="3A02C42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Delle relazioni di Isabella d’Este Gonzaga con Ludovico e Beatrice Sforza</w:t>
      </w:r>
      <w:r w:rsidRPr="00796A9D">
        <w:rPr>
          <w:rFonts w:ascii="Times New Roman" w:hAnsi="Times New Roman" w:cs="Times New Roman"/>
        </w:rPr>
        <w:t>, cit., p. 93.</w:t>
      </w:r>
    </w:p>
  </w:footnote>
  <w:footnote w:id="604">
    <w:p w14:paraId="172CC41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S. Bertelli</w:t>
      </w:r>
      <w:r w:rsidRPr="00796A9D">
        <w:rPr>
          <w:rFonts w:ascii="Times New Roman" w:hAnsi="Times New Roman" w:cs="Times New Roman"/>
        </w:rPr>
        <w:t xml:space="preserve">, </w:t>
      </w:r>
      <w:r w:rsidRPr="00796A9D">
        <w:rPr>
          <w:rFonts w:ascii="Times New Roman" w:hAnsi="Times New Roman" w:cs="Times New Roman"/>
          <w:i/>
        </w:rPr>
        <w:t>Il corpo del re</w:t>
      </w:r>
      <w:r w:rsidRPr="00796A9D">
        <w:rPr>
          <w:rFonts w:ascii="Times New Roman" w:hAnsi="Times New Roman" w:cs="Times New Roman"/>
        </w:rPr>
        <w:t xml:space="preserve">, cit., pp. 94-95. L’impiego del baldacchino nelle incoronazioni regie è attestato per la prima volta per quella di Riccardo Cuor di Leone nel 1189. Per osservazioni circa la diffusione del suo uso in Francia, dove, nel 1322 se ne registrò la presenza persino nel cerimoniale delle esequie di Filippo V, si veda </w:t>
      </w:r>
      <w:bookmarkStart w:id="462" w:name="_Hlk526714381"/>
      <w:r w:rsidRPr="00796A9D">
        <w:rPr>
          <w:rFonts w:ascii="Times New Roman" w:hAnsi="Times New Roman" w:cs="Times New Roman"/>
          <w:smallCaps/>
        </w:rPr>
        <w:t>A.L. Trombetti Budriesi</w:t>
      </w:r>
      <w:r w:rsidRPr="00796A9D">
        <w:rPr>
          <w:rFonts w:ascii="Times New Roman" w:hAnsi="Times New Roman" w:cs="Times New Roman"/>
        </w:rPr>
        <w:t xml:space="preserve">, </w:t>
      </w:r>
      <w:r w:rsidRPr="00796A9D">
        <w:rPr>
          <w:rFonts w:ascii="Times New Roman" w:hAnsi="Times New Roman" w:cs="Times New Roman"/>
          <w:i/>
        </w:rPr>
        <w:t>Un gallo ad Asclepio: Morte, morti e società tra antichità e prima età moderna</w:t>
      </w:r>
      <w:r w:rsidRPr="00796A9D">
        <w:rPr>
          <w:rFonts w:ascii="Times New Roman" w:hAnsi="Times New Roman" w:cs="Times New Roman"/>
        </w:rPr>
        <w:t>, Bologna, CLUEB, 2014</w:t>
      </w:r>
      <w:bookmarkEnd w:id="462"/>
      <w:r w:rsidRPr="00796A9D">
        <w:rPr>
          <w:rFonts w:ascii="Times New Roman" w:hAnsi="Times New Roman" w:cs="Times New Roman"/>
        </w:rPr>
        <w:t xml:space="preserve">, p. 429.   </w:t>
      </w:r>
    </w:p>
  </w:footnote>
  <w:footnote w:id="605">
    <w:p w14:paraId="2B6BAD1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Cfr. </w:t>
      </w:r>
      <w:r w:rsidRPr="00796A9D">
        <w:rPr>
          <w:rFonts w:ascii="Times New Roman" w:hAnsi="Times New Roman" w:cs="Times New Roman"/>
          <w:i/>
        </w:rPr>
        <w:t>Il Pontificalis Liber di Agostino Patrizi Piccolomini e Giovanni Burcardo (1485)</w:t>
      </w:r>
      <w:r w:rsidRPr="00796A9D">
        <w:rPr>
          <w:rFonts w:ascii="Times New Roman" w:hAnsi="Times New Roman" w:cs="Times New Roman"/>
        </w:rPr>
        <w:t xml:space="preserve">, cit., p. 538. </w:t>
      </w:r>
    </w:p>
  </w:footnote>
  <w:footnote w:id="606">
    <w:p w14:paraId="5CDBA25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Style w:val="apple-converted-space"/>
          <w:rFonts w:ascii="Times New Roman" w:hAnsi="Times New Roman" w:cs="Times New Roman"/>
          <w:bCs/>
          <w:color w:val="000000"/>
          <w:shd w:val="clear" w:color="auto" w:fill="FFFFFF"/>
        </w:rPr>
        <w:t xml:space="preserve">T. </w:t>
      </w:r>
      <w:r w:rsidRPr="00796A9D">
        <w:rPr>
          <w:rStyle w:val="apple-converted-space"/>
          <w:rFonts w:ascii="Times New Roman" w:hAnsi="Times New Roman" w:cs="Times New Roman"/>
          <w:bCs/>
          <w:smallCaps/>
          <w:color w:val="000000"/>
          <w:shd w:val="clear" w:color="auto" w:fill="FFFFFF"/>
        </w:rPr>
        <w:t>Calco</w:t>
      </w:r>
      <w:r w:rsidRPr="00796A9D">
        <w:rPr>
          <w:rStyle w:val="apple-converted-space"/>
          <w:rFonts w:ascii="Times New Roman" w:hAnsi="Times New Roman" w:cs="Times New Roman"/>
          <w:bCs/>
          <w:color w:val="000000"/>
          <w:shd w:val="clear" w:color="auto" w:fill="FFFFFF"/>
        </w:rPr>
        <w:t xml:space="preserve">, </w:t>
      </w:r>
      <w:r w:rsidRPr="00796A9D">
        <w:rPr>
          <w:rStyle w:val="apple-converted-space"/>
          <w:rFonts w:ascii="Times New Roman" w:hAnsi="Times New Roman" w:cs="Times New Roman"/>
          <w:bCs/>
          <w:i/>
          <w:color w:val="000000"/>
          <w:shd w:val="clear" w:color="auto" w:fill="FFFFFF"/>
        </w:rPr>
        <w:t>Nuptiae Augustae</w:t>
      </w:r>
      <w:r w:rsidRPr="00796A9D">
        <w:rPr>
          <w:rStyle w:val="apple-converted-space"/>
          <w:rFonts w:ascii="Times New Roman" w:hAnsi="Times New Roman" w:cs="Times New Roman"/>
          <w:bCs/>
          <w:color w:val="000000"/>
          <w:shd w:val="clear" w:color="auto" w:fill="FFFFFF"/>
        </w:rPr>
        <w:t xml:space="preserve">, pp. 104-105. Il 18 novembre 1493 presso la cancelleria sforzesca furono vergati due inventari, in italiano e in latino, delle vesti e dei gioielli che componevano il corredo dotale di Bianca. La versione italiana si legge in </w:t>
      </w:r>
      <w:bookmarkStart w:id="463" w:name="_Hlk526714460"/>
      <w:r w:rsidRPr="00796A9D">
        <w:rPr>
          <w:rFonts w:ascii="Times New Roman" w:hAnsi="Times New Roman" w:cs="Times New Roman"/>
        </w:rPr>
        <w:t xml:space="preserve">A. </w:t>
      </w:r>
      <w:r w:rsidRPr="00796A9D">
        <w:rPr>
          <w:rFonts w:ascii="Times New Roman" w:hAnsi="Times New Roman" w:cs="Times New Roman"/>
          <w:smallCaps/>
        </w:rPr>
        <w:t>Ceruti</w:t>
      </w:r>
      <w:r w:rsidRPr="00796A9D">
        <w:rPr>
          <w:rFonts w:ascii="Times New Roman" w:hAnsi="Times New Roman" w:cs="Times New Roman"/>
        </w:rPr>
        <w:t xml:space="preserve">, </w:t>
      </w:r>
      <w:r w:rsidRPr="00796A9D">
        <w:rPr>
          <w:rStyle w:val="Enfasigrassetto"/>
          <w:rFonts w:ascii="Times New Roman" w:hAnsi="Times New Roman" w:cs="Times New Roman"/>
          <w:b w:val="0"/>
          <w:i/>
          <w:color w:val="000000"/>
          <w:shd w:val="clear" w:color="auto" w:fill="FFFFFF"/>
        </w:rPr>
        <w:t>Il</w:t>
      </w:r>
      <w:r w:rsidRPr="00796A9D">
        <w:rPr>
          <w:rStyle w:val="Enfasigrassetto"/>
          <w:rFonts w:ascii="Times New Roman" w:hAnsi="Times New Roman" w:cs="Times New Roman"/>
          <w:i/>
          <w:color w:val="000000"/>
          <w:shd w:val="clear" w:color="auto" w:fill="FFFFFF"/>
        </w:rPr>
        <w:t xml:space="preserve"> </w:t>
      </w:r>
      <w:r w:rsidRPr="00796A9D">
        <w:rPr>
          <w:rStyle w:val="apple-converted-space"/>
          <w:rFonts w:ascii="Times New Roman" w:hAnsi="Times New Roman" w:cs="Times New Roman"/>
          <w:bCs/>
          <w:i/>
          <w:color w:val="000000"/>
          <w:shd w:val="clear" w:color="auto" w:fill="FFFFFF"/>
        </w:rPr>
        <w:t>corredo</w:t>
      </w:r>
      <w:r w:rsidRPr="00796A9D">
        <w:rPr>
          <w:rStyle w:val="Enfasigrassetto"/>
          <w:rFonts w:ascii="Times New Roman" w:hAnsi="Times New Roman" w:cs="Times New Roman"/>
          <w:i/>
          <w:color w:val="000000"/>
          <w:shd w:val="clear" w:color="auto" w:fill="FFFFFF"/>
        </w:rPr>
        <w:t xml:space="preserve"> </w:t>
      </w:r>
      <w:r w:rsidRPr="00796A9D">
        <w:rPr>
          <w:rStyle w:val="Enfasigrassetto"/>
          <w:rFonts w:ascii="Times New Roman" w:hAnsi="Times New Roman" w:cs="Times New Roman"/>
          <w:b w:val="0"/>
          <w:i/>
          <w:color w:val="000000"/>
          <w:shd w:val="clear" w:color="auto" w:fill="FFFFFF"/>
        </w:rPr>
        <w:t>nuziale di</w:t>
      </w:r>
      <w:r w:rsidRPr="00796A9D">
        <w:rPr>
          <w:rStyle w:val="Enfasigrassetto"/>
          <w:rFonts w:ascii="Times New Roman" w:hAnsi="Times New Roman" w:cs="Times New Roman"/>
          <w:i/>
          <w:color w:val="000000"/>
          <w:shd w:val="clear" w:color="auto" w:fill="FFFFFF"/>
        </w:rPr>
        <w:t xml:space="preserve"> </w:t>
      </w:r>
      <w:r w:rsidRPr="00796A9D">
        <w:rPr>
          <w:rStyle w:val="apple-converted-space"/>
          <w:rFonts w:ascii="Times New Roman" w:hAnsi="Times New Roman" w:cs="Times New Roman"/>
          <w:bCs/>
          <w:i/>
          <w:color w:val="000000"/>
          <w:shd w:val="clear" w:color="auto" w:fill="FFFFFF"/>
        </w:rPr>
        <w:t>Bianca</w:t>
      </w:r>
      <w:r w:rsidRPr="00796A9D">
        <w:rPr>
          <w:rStyle w:val="Enfasigrassetto"/>
          <w:rFonts w:ascii="Times New Roman" w:hAnsi="Times New Roman" w:cs="Times New Roman"/>
          <w:i/>
          <w:color w:val="000000"/>
          <w:shd w:val="clear" w:color="auto" w:fill="FFFFFF"/>
        </w:rPr>
        <w:t xml:space="preserve"> </w:t>
      </w:r>
      <w:r w:rsidRPr="00796A9D">
        <w:rPr>
          <w:rStyle w:val="Enfasigrassetto"/>
          <w:rFonts w:ascii="Times New Roman" w:hAnsi="Times New Roman" w:cs="Times New Roman"/>
          <w:b w:val="0"/>
          <w:i/>
          <w:color w:val="000000"/>
          <w:shd w:val="clear" w:color="auto" w:fill="FFFFFF"/>
        </w:rPr>
        <w:t>M.</w:t>
      </w:r>
      <w:r w:rsidRPr="00796A9D">
        <w:rPr>
          <w:rStyle w:val="Enfasigrassetto"/>
          <w:rFonts w:ascii="Times New Roman" w:hAnsi="Times New Roman" w:cs="Times New Roman"/>
          <w:i/>
          <w:color w:val="000000"/>
          <w:shd w:val="clear" w:color="auto" w:fill="FFFFFF"/>
        </w:rPr>
        <w:t xml:space="preserve"> </w:t>
      </w:r>
      <w:r w:rsidRPr="00796A9D">
        <w:rPr>
          <w:rStyle w:val="apple-converted-space"/>
          <w:rFonts w:ascii="Times New Roman" w:hAnsi="Times New Roman" w:cs="Times New Roman"/>
          <w:bCs/>
          <w:i/>
          <w:color w:val="000000"/>
          <w:shd w:val="clear" w:color="auto" w:fill="FFFFFF"/>
        </w:rPr>
        <w:t xml:space="preserve">Sforza </w:t>
      </w:r>
      <w:r w:rsidRPr="00796A9D">
        <w:rPr>
          <w:rStyle w:val="Enfasigrassetto"/>
          <w:rFonts w:ascii="Times New Roman" w:hAnsi="Times New Roman" w:cs="Times New Roman"/>
          <w:b w:val="0"/>
          <w:i/>
          <w:color w:val="000000"/>
          <w:shd w:val="clear" w:color="auto" w:fill="FFFFFF"/>
        </w:rPr>
        <w:t>Visconti: sposa dell'Imperatore Massimiliano I</w:t>
      </w:r>
      <w:r w:rsidRPr="00796A9D">
        <w:rPr>
          <w:rStyle w:val="apple-converted-space"/>
          <w:rFonts w:ascii="Times New Roman" w:hAnsi="Times New Roman" w:cs="Times New Roman"/>
          <w:bCs/>
          <w:i/>
          <w:color w:val="000000"/>
          <w:shd w:val="clear" w:color="auto" w:fill="FFFFFF"/>
        </w:rPr>
        <w:t xml:space="preserve">, </w:t>
      </w:r>
      <w:r w:rsidRPr="00796A9D">
        <w:rPr>
          <w:rStyle w:val="apple-converted-space"/>
          <w:rFonts w:ascii="Times New Roman" w:hAnsi="Times New Roman" w:cs="Times New Roman"/>
          <w:bCs/>
          <w:color w:val="000000"/>
          <w:shd w:val="clear" w:color="auto" w:fill="FFFFFF"/>
        </w:rPr>
        <w:t xml:space="preserve">in ‹‹Archivio Storico Lombardo››, II, 1875, pp. 51-75.   </w:t>
      </w:r>
      <w:bookmarkEnd w:id="463"/>
    </w:p>
  </w:footnote>
  <w:footnote w:id="607">
    <w:p w14:paraId="70F0E2A3"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Cito da </w:t>
      </w:r>
      <w:bookmarkStart w:id="464" w:name="_Hlk526714533"/>
      <w:r w:rsidRPr="00796A9D">
        <w:rPr>
          <w:rFonts w:ascii="Times New Roman" w:hAnsi="Times New Roman" w:cs="Times New Roman"/>
          <w:smallCaps/>
          <w:sz w:val="20"/>
          <w:szCs w:val="20"/>
        </w:rPr>
        <w:t>L. Giordano</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La Ill. ma consorte di Ludovico Sforza</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Beatrice d’Este 1475-1497</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Idem,</w:t>
      </w:r>
      <w:r w:rsidRPr="00796A9D">
        <w:rPr>
          <w:rFonts w:ascii="Times New Roman" w:hAnsi="Times New Roman" w:cs="Times New Roman"/>
          <w:sz w:val="20"/>
          <w:szCs w:val="20"/>
        </w:rPr>
        <w:t xml:space="preserve"> Pisa, ETS, 2006</w:t>
      </w:r>
      <w:bookmarkEnd w:id="464"/>
      <w:r w:rsidRPr="00796A9D">
        <w:rPr>
          <w:rFonts w:ascii="Times New Roman" w:hAnsi="Times New Roman" w:cs="Times New Roman"/>
          <w:sz w:val="20"/>
          <w:szCs w:val="20"/>
        </w:rPr>
        <w:t xml:space="preserve">, p. 71. </w:t>
      </w:r>
    </w:p>
  </w:footnote>
  <w:footnote w:id="608">
    <w:p w14:paraId="6433760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Anonimo</w:t>
      </w:r>
      <w:r w:rsidRPr="00796A9D">
        <w:rPr>
          <w:rFonts w:ascii="Times New Roman" w:hAnsi="Times New Roman" w:cs="Times New Roman"/>
        </w:rPr>
        <w:t xml:space="preserve">, </w:t>
      </w:r>
      <w:r w:rsidRPr="00796A9D">
        <w:rPr>
          <w:rFonts w:ascii="Times New Roman" w:hAnsi="Times New Roman" w:cs="Times New Roman"/>
          <w:i/>
        </w:rPr>
        <w:t xml:space="preserve">Descriptione, Appendice III, </w:t>
      </w:r>
      <w:r w:rsidRPr="00796A9D">
        <w:rPr>
          <w:rFonts w:ascii="Times New Roman" w:hAnsi="Times New Roman" w:cs="Times New Roman"/>
        </w:rPr>
        <w:t>documento 4.</w:t>
      </w:r>
    </w:p>
  </w:footnote>
  <w:footnote w:id="609">
    <w:p w14:paraId="254403A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Mantova e Urbino (1471-1539).</w:t>
      </w:r>
      <w:r w:rsidRPr="00796A9D">
        <w:rPr>
          <w:rFonts w:ascii="Times New Roman" w:hAnsi="Times New Roman" w:cs="Times New Roman"/>
        </w:rPr>
        <w:t xml:space="preserve">, cit., p. 21. </w:t>
      </w:r>
    </w:p>
  </w:footnote>
  <w:footnote w:id="610">
    <w:p w14:paraId="3D4BC81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Modena, Biblioteca Estense, It. 521. A. J. 4, 21. </w:t>
      </w:r>
      <w:r w:rsidRPr="00796A9D">
        <w:rPr>
          <w:rFonts w:ascii="Times New Roman" w:hAnsi="Times New Roman" w:cs="Times New Roman"/>
          <w:i/>
        </w:rPr>
        <w:t>Hordine de la festa et representazione che ha factto fare lo Ill.mo et Ex.mo S.re Ludovico in honore de la Ill.ma M.a duchessa Isabella</w:t>
      </w:r>
      <w:r w:rsidRPr="00796A9D">
        <w:rPr>
          <w:rFonts w:ascii="Times New Roman" w:hAnsi="Times New Roman" w:cs="Times New Roman"/>
        </w:rPr>
        <w:t xml:space="preserve">. Edita in </w:t>
      </w:r>
      <w:bookmarkStart w:id="465" w:name="_Hlk526714633"/>
      <w:r w:rsidRPr="00796A9D">
        <w:rPr>
          <w:rFonts w:ascii="Times New Roman" w:hAnsi="Times New Roman" w:cs="Times New Roman"/>
        </w:rPr>
        <w:t xml:space="preserve">E. </w:t>
      </w:r>
      <w:r w:rsidRPr="00796A9D">
        <w:rPr>
          <w:rFonts w:ascii="Times New Roman" w:hAnsi="Times New Roman" w:cs="Times New Roman"/>
          <w:smallCaps/>
        </w:rPr>
        <w:t>Solmi</w:t>
      </w:r>
      <w:r w:rsidRPr="00796A9D">
        <w:rPr>
          <w:rFonts w:ascii="Times New Roman" w:hAnsi="Times New Roman" w:cs="Times New Roman"/>
        </w:rPr>
        <w:t xml:space="preserve">, </w:t>
      </w:r>
      <w:r w:rsidRPr="00796A9D">
        <w:rPr>
          <w:rFonts w:ascii="Times New Roman" w:hAnsi="Times New Roman" w:cs="Times New Roman"/>
          <w:i/>
        </w:rPr>
        <w:t>La festa del Paradiso di Leonardo da Vinci e Bernardo Bellincione (13 gennaio 1490),</w:t>
      </w:r>
      <w:r w:rsidRPr="00796A9D">
        <w:rPr>
          <w:rFonts w:ascii="Times New Roman" w:hAnsi="Times New Roman" w:cs="Times New Roman"/>
        </w:rPr>
        <w:t xml:space="preserve"> ‹‹Archivio Storico Lombardo››, XXXI, 1904, pp. 75-89.</w:t>
      </w:r>
    </w:p>
    <w:bookmarkEnd w:id="465"/>
  </w:footnote>
  <w:footnote w:id="611">
    <w:p w14:paraId="1F49338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BMC VI, 786; GW 3806; IGI 1446. L’edizione apparve per i tipi milanesi di Filippo Mantegazza. A carta t4v così recita la didascalia del Tanzi: «La sequente operetta composta da Meser Bernardo Belizon è una festa o vero ripresentatione chiamata paradiso, qual</w:t>
      </w:r>
      <w:r w:rsidRPr="00796A9D">
        <w:rPr>
          <w:rFonts w:ascii="Times New Roman" w:hAnsi="Times New Roman" w:cs="Times New Roman"/>
          <w:color w:val="FF0000"/>
        </w:rPr>
        <w:t xml:space="preserve"> </w:t>
      </w:r>
      <w:r w:rsidRPr="00796A9D">
        <w:rPr>
          <w:rFonts w:ascii="Times New Roman" w:hAnsi="Times New Roman" w:cs="Times New Roman"/>
        </w:rPr>
        <w:t>fece far il Signor Lodovico in laude della Duchessa di Milano. E chiamasi paradiso però che v’era fabricato con il grande ingegno e arte di maestro Leonardo Vinci Fiorentino il paradiso, con tutti li setti pianeti che girava. E li pianeti erano representati da homini in forma e habito che se descriveno dalli poeti, li quali pianeti tutti parlano in laude della prefata Duchessa Isabella, como vedrai legendola».</w:t>
      </w:r>
    </w:p>
  </w:footnote>
  <w:footnote w:id="612">
    <w:p w14:paraId="564B0CA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E. </w:t>
      </w:r>
      <w:r w:rsidRPr="00796A9D">
        <w:rPr>
          <w:rFonts w:ascii="Times New Roman" w:hAnsi="Times New Roman" w:cs="Times New Roman"/>
          <w:smallCaps/>
        </w:rPr>
        <w:t>Solmi</w:t>
      </w:r>
      <w:r w:rsidRPr="00796A9D">
        <w:rPr>
          <w:rFonts w:ascii="Times New Roman" w:hAnsi="Times New Roman" w:cs="Times New Roman"/>
        </w:rPr>
        <w:t xml:space="preserve">, </w:t>
      </w:r>
      <w:r w:rsidRPr="00796A9D">
        <w:rPr>
          <w:rFonts w:ascii="Times New Roman" w:hAnsi="Times New Roman" w:cs="Times New Roman"/>
          <w:i/>
        </w:rPr>
        <w:t xml:space="preserve">La festa del Paradiso di Leonardo da Vinci e Bernardo Bellincione (13 gennaio 1490), </w:t>
      </w:r>
      <w:r w:rsidRPr="00796A9D">
        <w:rPr>
          <w:rFonts w:ascii="Times New Roman" w:hAnsi="Times New Roman" w:cs="Times New Roman"/>
        </w:rPr>
        <w:t>cit., p. 88.</w:t>
      </w:r>
    </w:p>
  </w:footnote>
  <w:footnote w:id="613">
    <w:p w14:paraId="18311C2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B. Bellincioni</w:t>
      </w:r>
      <w:r w:rsidRPr="00796A9D">
        <w:rPr>
          <w:rFonts w:ascii="Times New Roman" w:hAnsi="Times New Roman" w:cs="Times New Roman"/>
          <w:i/>
        </w:rPr>
        <w:t>, Le rime</w:t>
      </w:r>
      <w:r w:rsidRPr="00796A9D">
        <w:rPr>
          <w:rFonts w:ascii="Times New Roman" w:hAnsi="Times New Roman" w:cs="Times New Roman"/>
        </w:rPr>
        <w:t>, p. 66.</w:t>
      </w:r>
    </w:p>
  </w:footnote>
  <w:footnote w:id="614">
    <w:p w14:paraId="2F1150C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Sull’autonomia formale e ipotetica dei diversi momenti spettacolari componenti la festa rinascimentale vedi F. </w:t>
      </w:r>
      <w:r w:rsidRPr="00796A9D">
        <w:rPr>
          <w:rFonts w:ascii="Times New Roman" w:hAnsi="Times New Roman" w:cs="Times New Roman"/>
          <w:smallCaps/>
        </w:rPr>
        <w:t>Cruciani</w:t>
      </w:r>
      <w:r w:rsidRPr="00796A9D">
        <w:rPr>
          <w:rFonts w:ascii="Times New Roman" w:hAnsi="Times New Roman" w:cs="Times New Roman"/>
        </w:rPr>
        <w:t xml:space="preserve">, </w:t>
      </w:r>
      <w:r w:rsidRPr="00796A9D">
        <w:rPr>
          <w:rFonts w:ascii="Times New Roman" w:hAnsi="Times New Roman" w:cs="Times New Roman"/>
          <w:i/>
        </w:rPr>
        <w:t>Il teatro e la festa</w:t>
      </w:r>
      <w:r w:rsidRPr="00796A9D">
        <w:rPr>
          <w:rFonts w:ascii="Times New Roman" w:hAnsi="Times New Roman" w:cs="Times New Roman"/>
        </w:rPr>
        <w:t xml:space="preserve">, in </w:t>
      </w:r>
      <w:r w:rsidRPr="00796A9D">
        <w:rPr>
          <w:rFonts w:ascii="Times New Roman" w:hAnsi="Times New Roman" w:cs="Times New Roman"/>
          <w:smallCaps/>
        </w:rPr>
        <w:t>Idem</w:t>
      </w:r>
      <w:r w:rsidRPr="00796A9D">
        <w:rPr>
          <w:rFonts w:ascii="Times New Roman" w:hAnsi="Times New Roman" w:cs="Times New Roman"/>
        </w:rPr>
        <w:t>, D</w:t>
      </w:r>
      <w:r w:rsidRPr="00796A9D">
        <w:rPr>
          <w:rFonts w:ascii="Times New Roman" w:hAnsi="Times New Roman" w:cs="Times New Roman"/>
          <w:smallCaps/>
        </w:rPr>
        <w:t>. Seragnoli</w:t>
      </w:r>
      <w:r w:rsidRPr="00796A9D">
        <w:rPr>
          <w:rFonts w:ascii="Times New Roman" w:hAnsi="Times New Roman" w:cs="Times New Roman"/>
        </w:rPr>
        <w:t xml:space="preserve">, </w:t>
      </w:r>
      <w:r w:rsidRPr="00796A9D">
        <w:rPr>
          <w:rFonts w:ascii="Times New Roman" w:hAnsi="Times New Roman" w:cs="Times New Roman"/>
          <w:i/>
        </w:rPr>
        <w:t>Il teatro italiano nel Rinascimento</w:t>
      </w:r>
      <w:r w:rsidRPr="00796A9D">
        <w:rPr>
          <w:rFonts w:ascii="Times New Roman" w:hAnsi="Times New Roman" w:cs="Times New Roman"/>
        </w:rPr>
        <w:t>, Bologna, il Mulino, 1987, pp. 39-40.</w:t>
      </w:r>
    </w:p>
  </w:footnote>
  <w:footnote w:id="615">
    <w:p w14:paraId="4654582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Schivenoglia</w:t>
      </w:r>
      <w:r w:rsidRPr="00796A9D">
        <w:rPr>
          <w:rFonts w:ascii="Times New Roman" w:hAnsi="Times New Roman" w:cs="Times New Roman"/>
        </w:rPr>
        <w:t xml:space="preserve">, </w:t>
      </w:r>
      <w:r w:rsidRPr="00796A9D">
        <w:rPr>
          <w:rFonts w:ascii="Times New Roman" w:hAnsi="Times New Roman" w:cs="Times New Roman"/>
          <w:i/>
        </w:rPr>
        <w:t>Cronaca di Mantova</w:t>
      </w:r>
      <w:r w:rsidRPr="00796A9D">
        <w:rPr>
          <w:rFonts w:ascii="Times New Roman" w:hAnsi="Times New Roman" w:cs="Times New Roman"/>
        </w:rPr>
        <w:t xml:space="preserve">, a cura di </w:t>
      </w:r>
      <w:r w:rsidRPr="00796A9D">
        <w:rPr>
          <w:rFonts w:ascii="Times New Roman" w:hAnsi="Times New Roman" w:cs="Times New Roman"/>
          <w:smallCaps/>
        </w:rPr>
        <w:t>C. d’Arco</w:t>
      </w:r>
      <w:r w:rsidRPr="00796A9D">
        <w:rPr>
          <w:rFonts w:ascii="Times New Roman" w:hAnsi="Times New Roman" w:cs="Times New Roman"/>
        </w:rPr>
        <w:t xml:space="preserve">, Mantova, Baldus, 1976, p. 31. L’opera, trasmessa da più testimoni manoscritti, annota gli eventi più riguardevoli della storia mantovana dal 1445 al 1484.  </w:t>
      </w:r>
    </w:p>
  </w:footnote>
  <w:footnote w:id="616">
    <w:p w14:paraId="2CC7A28C" w14:textId="77777777" w:rsidR="00CF5CFB" w:rsidRPr="00796A9D" w:rsidRDefault="00CF5CFB" w:rsidP="00796A9D">
      <w:pPr>
        <w:spacing w:after="0"/>
        <w:jc w:val="both"/>
        <w:rPr>
          <w:rFonts w:ascii="Times New Roman" w:hAnsi="Times New Roman" w:cs="Times New Roman"/>
          <w:sz w:val="20"/>
          <w:szCs w:val="20"/>
          <w:lang w:val="fr-FR"/>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Altre due figlie di Ludovico II lasceranno Mantova per divenire consorti di principi tedeschi: nel 1474 Barbara sposò Eberhard, conte di Württemberg, e nel 1478 Paola, sua ultimogenita, divenne moglie del conte Leonardo di Gorizia. È stato osservato come i principi italiani dell’epoca non considerassero appetibili i matrimoni con le figlie del marchese. Ludovico, infatti, esercitò il suo potere come semplice luogotenente di Francesco Sforza, sebbene nel 1433 avesse ottenuto il riconoscimento imperiale del marchesato; e sulla sua famiglia gravava il difetto congenito di gibbosità, che rendeva piuttosto difficile la stipula di accordi matrimoniali. La ricerca di alleanze estere fu dunque fondamentale per i Gonzaga. </w:t>
      </w:r>
      <w:r w:rsidRPr="00796A9D">
        <w:rPr>
          <w:rFonts w:ascii="Times New Roman" w:hAnsi="Times New Roman" w:cs="Times New Roman"/>
          <w:sz w:val="20"/>
          <w:szCs w:val="20"/>
          <w:lang w:val="fr-FR"/>
        </w:rPr>
        <w:t xml:space="preserve">Cfr. </w:t>
      </w:r>
      <w:r w:rsidRPr="00796A9D">
        <w:rPr>
          <w:rFonts w:ascii="Times New Roman" w:hAnsi="Times New Roman" w:cs="Times New Roman"/>
          <w:smallCaps/>
          <w:sz w:val="20"/>
          <w:szCs w:val="20"/>
          <w:lang w:val="fr-FR"/>
        </w:rPr>
        <w:t>I. Lazzarini</w:t>
      </w:r>
      <w:r w:rsidRPr="00796A9D">
        <w:rPr>
          <w:rFonts w:ascii="Times New Roman" w:hAnsi="Times New Roman" w:cs="Times New Roman"/>
          <w:sz w:val="20"/>
          <w:szCs w:val="20"/>
          <w:lang w:val="fr-FR"/>
        </w:rPr>
        <w:t xml:space="preserve">, </w:t>
      </w:r>
      <w:r w:rsidRPr="00796A9D">
        <w:rPr>
          <w:rFonts w:ascii="Times New Roman" w:hAnsi="Times New Roman" w:cs="Times New Roman"/>
          <w:i/>
          <w:sz w:val="20"/>
          <w:szCs w:val="20"/>
          <w:lang w:val="fr-FR"/>
        </w:rPr>
        <w:t>Mantoue et la Bourgogne au XV</w:t>
      </w:r>
      <w:r w:rsidRPr="00796A9D">
        <w:rPr>
          <w:rFonts w:ascii="Times New Roman" w:hAnsi="Times New Roman" w:cs="Times New Roman"/>
          <w:i/>
          <w:sz w:val="20"/>
          <w:szCs w:val="20"/>
          <w:vertAlign w:val="superscript"/>
          <w:lang w:val="fr-FR"/>
        </w:rPr>
        <w:t xml:space="preserve">e </w:t>
      </w:r>
      <w:r w:rsidRPr="00796A9D">
        <w:rPr>
          <w:rFonts w:ascii="Times New Roman" w:hAnsi="Times New Roman" w:cs="Times New Roman"/>
          <w:i/>
          <w:sz w:val="20"/>
          <w:szCs w:val="20"/>
          <w:lang w:val="fr-FR"/>
        </w:rPr>
        <w:t>siècle</w:t>
      </w:r>
      <w:r w:rsidRPr="00796A9D">
        <w:rPr>
          <w:rFonts w:ascii="Times New Roman" w:hAnsi="Times New Roman" w:cs="Times New Roman"/>
          <w:sz w:val="20"/>
          <w:szCs w:val="20"/>
          <w:lang w:val="fr-FR"/>
        </w:rPr>
        <w:t xml:space="preserve">, </w:t>
      </w:r>
      <w:bookmarkStart w:id="468" w:name="_Hlk488045979"/>
      <w:r w:rsidRPr="00796A9D">
        <w:rPr>
          <w:rFonts w:ascii="Times New Roman" w:hAnsi="Times New Roman" w:cs="Times New Roman"/>
          <w:sz w:val="20"/>
          <w:szCs w:val="20"/>
          <w:lang w:val="fr-FR"/>
        </w:rPr>
        <w:t xml:space="preserve">in </w:t>
      </w:r>
      <w:r w:rsidRPr="00796A9D">
        <w:rPr>
          <w:rFonts w:ascii="Times New Roman" w:hAnsi="Times New Roman" w:cs="Times New Roman"/>
          <w:i/>
          <w:sz w:val="20"/>
          <w:szCs w:val="20"/>
          <w:lang w:val="fr-FR"/>
        </w:rPr>
        <w:t>La Cour de Bougogne et l’Europe. Le rayonnement et les limites d’un modèle culturel.</w:t>
      </w:r>
      <w:r w:rsidRPr="00796A9D">
        <w:rPr>
          <w:rFonts w:ascii="Times New Roman" w:hAnsi="Times New Roman" w:cs="Times New Roman"/>
          <w:sz w:val="20"/>
          <w:szCs w:val="20"/>
          <w:lang w:val="fr-FR"/>
        </w:rPr>
        <w:t xml:space="preserve"> Actes du colloque international tenu à Paris les 9, 10 et 11 octobre 2007, sous la direction de </w:t>
      </w:r>
      <w:r w:rsidRPr="00796A9D">
        <w:rPr>
          <w:rFonts w:ascii="Times New Roman" w:hAnsi="Times New Roman" w:cs="Times New Roman"/>
          <w:smallCaps/>
          <w:sz w:val="20"/>
          <w:szCs w:val="20"/>
          <w:lang w:val="fr-FR"/>
        </w:rPr>
        <w:t>T. Hiltmann, F. Viltart</w:t>
      </w:r>
      <w:r w:rsidRPr="00796A9D">
        <w:rPr>
          <w:rFonts w:ascii="Times New Roman" w:hAnsi="Times New Roman" w:cs="Times New Roman"/>
          <w:sz w:val="20"/>
          <w:szCs w:val="20"/>
          <w:lang w:val="fr-FR"/>
        </w:rPr>
        <w:t>, Paris, Jan Thorbecke Verlag, 2013</w:t>
      </w:r>
      <w:bookmarkEnd w:id="468"/>
      <w:r w:rsidRPr="00796A9D">
        <w:rPr>
          <w:rFonts w:ascii="Times New Roman" w:hAnsi="Times New Roman" w:cs="Times New Roman"/>
          <w:sz w:val="20"/>
          <w:szCs w:val="20"/>
          <w:lang w:val="fr-FR"/>
        </w:rPr>
        <w:t xml:space="preserve">, pp. 543-558. </w:t>
      </w:r>
    </w:p>
  </w:footnote>
  <w:footnote w:id="617">
    <w:p w14:paraId="01B3936E"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ASMn, AG, b. 544, c. 23. La missiva, proveniente da Innsbruck, è datata 21 maggio 1463. È edita in </w:t>
      </w:r>
      <w:r w:rsidRPr="00796A9D">
        <w:rPr>
          <w:rFonts w:ascii="Times New Roman" w:hAnsi="Times New Roman" w:cs="Times New Roman"/>
          <w:smallCaps/>
          <w:sz w:val="20"/>
          <w:szCs w:val="20"/>
        </w:rPr>
        <w:t>G. Lanzoni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 xml:space="preserve">Sulle nozze di Federico I Gonzaga con Margherita di Wittelsbach, </w:t>
      </w:r>
      <w:r w:rsidRPr="00796A9D">
        <w:rPr>
          <w:rFonts w:ascii="Times New Roman" w:hAnsi="Times New Roman" w:cs="Times New Roman"/>
          <w:sz w:val="20"/>
          <w:szCs w:val="20"/>
        </w:rPr>
        <w:t xml:space="preserve">Milano, 1898, pp. 21-23. Osservazioni intorno al viaggio di Margherita si trovano in </w:t>
      </w:r>
      <w:r w:rsidRPr="00796A9D">
        <w:rPr>
          <w:rFonts w:ascii="Times New Roman" w:hAnsi="Times New Roman" w:cs="Times New Roman"/>
          <w:smallCaps/>
          <w:sz w:val="20"/>
          <w:szCs w:val="20"/>
        </w:rPr>
        <w:t>R. Signorini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Federico e Margherita oggi sposi (martedì 7 giugno 1463). Nozze Gonzaga-Wittelsbach</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“Vincoli d’amore”. Spose in casa Gonzaga tra XV e XVIII secolo</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P. Venturelli</w:t>
      </w:r>
      <w:r w:rsidRPr="00796A9D">
        <w:rPr>
          <w:rFonts w:ascii="Times New Roman" w:hAnsi="Times New Roman" w:cs="Times New Roman"/>
          <w:sz w:val="20"/>
          <w:szCs w:val="20"/>
        </w:rPr>
        <w:t xml:space="preserve">, Milano, Skira 2013, al quale si rinvia per una parziale edizione della documentazione pervenuta sull’evento.  </w:t>
      </w:r>
    </w:p>
  </w:footnote>
  <w:footnote w:id="618">
    <w:p w14:paraId="612B89C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I. Lazzarini</w:t>
      </w:r>
      <w:r w:rsidRPr="00796A9D">
        <w:rPr>
          <w:rFonts w:ascii="Times New Roman" w:hAnsi="Times New Roman" w:cs="Times New Roman"/>
        </w:rPr>
        <w:t xml:space="preserve">, s.v. </w:t>
      </w:r>
      <w:r w:rsidRPr="00796A9D">
        <w:rPr>
          <w:rFonts w:ascii="Times New Roman" w:hAnsi="Times New Roman" w:cs="Times New Roman"/>
          <w:i/>
        </w:rPr>
        <w:t>Margherita di Wittelsbach</w:t>
      </w:r>
      <w:r w:rsidRPr="00796A9D">
        <w:rPr>
          <w:rFonts w:ascii="Times New Roman" w:hAnsi="Times New Roman" w:cs="Times New Roman"/>
        </w:rPr>
        <w:t>, DBI, 2008, vol. 70, pp. 163-166</w:t>
      </w:r>
    </w:p>
  </w:footnote>
  <w:footnote w:id="619">
    <w:p w14:paraId="5E514E3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ASMn, AG, b. 1595, c. 385. Cito dall’edizione del documento fornita in </w:t>
      </w:r>
      <w:r w:rsidRPr="00796A9D">
        <w:rPr>
          <w:rFonts w:ascii="Times New Roman" w:hAnsi="Times New Roman" w:cs="Times New Roman"/>
          <w:smallCaps/>
        </w:rPr>
        <w:t>G. Lanzoni</w:t>
      </w:r>
      <w:r w:rsidRPr="00796A9D">
        <w:rPr>
          <w:rFonts w:ascii="Times New Roman" w:hAnsi="Times New Roman" w:cs="Times New Roman"/>
        </w:rPr>
        <w:t xml:space="preserve">, </w:t>
      </w:r>
      <w:r w:rsidRPr="00796A9D">
        <w:rPr>
          <w:rFonts w:ascii="Times New Roman" w:hAnsi="Times New Roman" w:cs="Times New Roman"/>
          <w:i/>
        </w:rPr>
        <w:t xml:space="preserve">Sulle nozze di Federico I Gonzaga, </w:t>
      </w:r>
      <w:r w:rsidRPr="00796A9D">
        <w:rPr>
          <w:rFonts w:ascii="Times New Roman" w:hAnsi="Times New Roman" w:cs="Times New Roman"/>
        </w:rPr>
        <w:t>cit., pp. 27-28.</w:t>
      </w:r>
    </w:p>
  </w:footnote>
  <w:footnote w:id="620">
    <w:p w14:paraId="70328A4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ASMn, AG, b. 2887, c. 52. Edita, </w:t>
      </w:r>
      <w:r w:rsidRPr="00796A9D">
        <w:rPr>
          <w:rFonts w:ascii="Times New Roman" w:hAnsi="Times New Roman" w:cs="Times New Roman"/>
          <w:i/>
        </w:rPr>
        <w:t>Ivi</w:t>
      </w:r>
      <w:r w:rsidRPr="00796A9D">
        <w:rPr>
          <w:rFonts w:ascii="Times New Roman" w:hAnsi="Times New Roman" w:cs="Times New Roman"/>
        </w:rPr>
        <w:t xml:space="preserve">, pp.  28-30. </w:t>
      </w:r>
    </w:p>
  </w:footnote>
  <w:footnote w:id="621">
    <w:p w14:paraId="5DF031D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giostra a domanini, ovvero combattuta con lance di notevole lunghezza con puntali tricuspidati, che fu lo spettacolo più atteso e meglio documentato di questo sposalizio, richiese nei mesi precedenti uno scambio di informazioni tra le corti di Mantova e Milano riguardo la tipologia di equipaggiamento necessario. Cfr. </w:t>
      </w:r>
      <w:r w:rsidRPr="00796A9D">
        <w:rPr>
          <w:rFonts w:ascii="Times New Roman" w:hAnsi="Times New Roman" w:cs="Times New Roman"/>
          <w:smallCaps/>
        </w:rPr>
        <w:t>R. Signorini</w:t>
      </w:r>
      <w:r w:rsidRPr="00796A9D">
        <w:rPr>
          <w:rFonts w:ascii="Times New Roman" w:hAnsi="Times New Roman" w:cs="Times New Roman"/>
        </w:rPr>
        <w:t xml:space="preserve">, </w:t>
      </w:r>
      <w:r w:rsidRPr="00796A9D">
        <w:rPr>
          <w:rFonts w:ascii="Times New Roman" w:hAnsi="Times New Roman" w:cs="Times New Roman"/>
          <w:i/>
        </w:rPr>
        <w:t>Federico e Margherita oggi sposi</w:t>
      </w:r>
      <w:r w:rsidRPr="00796A9D">
        <w:rPr>
          <w:rFonts w:ascii="Times New Roman" w:hAnsi="Times New Roman" w:cs="Times New Roman"/>
        </w:rPr>
        <w:t xml:space="preserve">, cit., pp. 20-22. </w:t>
      </w:r>
    </w:p>
  </w:footnote>
  <w:footnote w:id="622">
    <w:p w14:paraId="62B3FF5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Schivenoglia</w:t>
      </w:r>
      <w:r w:rsidRPr="00796A9D">
        <w:rPr>
          <w:rFonts w:ascii="Times New Roman" w:hAnsi="Times New Roman" w:cs="Times New Roman"/>
        </w:rPr>
        <w:t xml:space="preserve">, </w:t>
      </w:r>
      <w:r w:rsidRPr="00796A9D">
        <w:rPr>
          <w:rFonts w:ascii="Times New Roman" w:hAnsi="Times New Roman" w:cs="Times New Roman"/>
          <w:i/>
        </w:rPr>
        <w:t>Cronaca di Mantova</w:t>
      </w:r>
      <w:r w:rsidRPr="00796A9D">
        <w:rPr>
          <w:rFonts w:ascii="Times New Roman" w:hAnsi="Times New Roman" w:cs="Times New Roman"/>
        </w:rPr>
        <w:t xml:space="preserve">, cit., p. 23: «di bufonij non ge mancha di più sorte, di trombeti ne enumerarij, quando introe la spoxa, 107 trombi, pifari, tromboni, 26 tamburij, pive, le quali erano venute con la spoxa et altri istrumenti ge n’era senza fine; paria che tuto el mondo sonasse».  </w:t>
      </w:r>
    </w:p>
  </w:footnote>
  <w:footnote w:id="623">
    <w:p w14:paraId="2E583D7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smallCaps/>
        </w:rPr>
        <w:t>I</w:t>
      </w:r>
      <w:r>
        <w:rPr>
          <w:rFonts w:ascii="Times New Roman" w:hAnsi="Times New Roman" w:cs="Times New Roman"/>
          <w:i/>
        </w:rPr>
        <w:t>bidem.</w:t>
      </w:r>
      <w:r w:rsidRPr="00796A9D">
        <w:rPr>
          <w:rFonts w:ascii="Times New Roman" w:hAnsi="Times New Roman" w:cs="Times New Roman"/>
        </w:rPr>
        <w:t xml:space="preserve"> </w:t>
      </w:r>
    </w:p>
  </w:footnote>
  <w:footnote w:id="624">
    <w:p w14:paraId="0A3BF92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Anche i viaggi nuziali di Barbara (1474) e Paola Gonzaga (1478), secondo le missive inviate dal cortigiano Stefano Guidotti che partecipò ad entrambe le spedizioni, previdero più o meno le stesse tappe. Su queste spedizioni e in generale per l’importanza della via del Brennero per i viaggiatori del secolo XV cfr. </w:t>
      </w:r>
      <w:r w:rsidRPr="00796A9D">
        <w:rPr>
          <w:rFonts w:ascii="Times New Roman" w:hAnsi="Times New Roman" w:cs="Times New Roman"/>
          <w:smallCaps/>
        </w:rPr>
        <w:t>G. Osti</w:t>
      </w:r>
      <w:r w:rsidRPr="00796A9D">
        <w:rPr>
          <w:rFonts w:ascii="Times New Roman" w:hAnsi="Times New Roman" w:cs="Times New Roman"/>
        </w:rPr>
        <w:t xml:space="preserve">, </w:t>
      </w:r>
      <w:r w:rsidRPr="00796A9D">
        <w:rPr>
          <w:rFonts w:ascii="Times New Roman" w:hAnsi="Times New Roman" w:cs="Times New Roman"/>
          <w:i/>
        </w:rPr>
        <w:t>Attraverso la regione trentino-tirolese nel Quattrocento</w:t>
      </w:r>
      <w:r w:rsidRPr="00796A9D">
        <w:rPr>
          <w:rFonts w:ascii="Times New Roman" w:hAnsi="Times New Roman" w:cs="Times New Roman"/>
        </w:rPr>
        <w:t xml:space="preserve">, Rovereto, Nicolodi, 2005, pp. 221-222. </w:t>
      </w:r>
    </w:p>
  </w:footnote>
  <w:footnote w:id="625">
    <w:p w14:paraId="39D1C94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V. Mele</w:t>
      </w:r>
      <w:r w:rsidRPr="00796A9D">
        <w:rPr>
          <w:rFonts w:ascii="Times New Roman" w:hAnsi="Times New Roman" w:cs="Times New Roman"/>
        </w:rPr>
        <w:t xml:space="preserve">, </w:t>
      </w:r>
      <w:r w:rsidRPr="00796A9D">
        <w:rPr>
          <w:rFonts w:ascii="Times New Roman" w:hAnsi="Times New Roman" w:cs="Times New Roman"/>
          <w:i/>
        </w:rPr>
        <w:t>La creazione di una figura politica: l’entrata in Napoli di Ippolita Maria Sforza Visconti d’Aragona, duchessa di Calabria</w:t>
      </w:r>
      <w:r w:rsidRPr="00796A9D">
        <w:rPr>
          <w:rFonts w:ascii="Times New Roman" w:hAnsi="Times New Roman" w:cs="Times New Roman"/>
        </w:rPr>
        <w:t>, «Quaderni d’italianistica», XXXVIII, 2012, pp. 27-77. Lo studio raccoglie un’ampia documentazione sul viaggio nuziale di Ippolita Sforza e sulla costruzione della sua figura politica nei successivi anni della residenza a Capua e a Napoli.</w:t>
      </w:r>
    </w:p>
  </w:footnote>
  <w:footnote w:id="626">
    <w:p w14:paraId="40234B2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Appendice</w:t>
      </w:r>
      <w:r w:rsidRPr="00796A9D">
        <w:rPr>
          <w:rFonts w:ascii="Times New Roman" w:hAnsi="Times New Roman" w:cs="Times New Roman"/>
        </w:rPr>
        <w:t xml:space="preserve"> </w:t>
      </w:r>
      <w:r w:rsidRPr="00796A9D">
        <w:rPr>
          <w:rFonts w:ascii="Times New Roman" w:hAnsi="Times New Roman" w:cs="Times New Roman"/>
          <w:i/>
        </w:rPr>
        <w:t>III</w:t>
      </w:r>
      <w:r w:rsidRPr="00796A9D">
        <w:rPr>
          <w:rFonts w:ascii="Times New Roman" w:hAnsi="Times New Roman" w:cs="Times New Roman"/>
        </w:rPr>
        <w:t xml:space="preserve">, documento n. 1. Altre </w:t>
      </w:r>
      <w:r w:rsidRPr="00796A9D">
        <w:rPr>
          <w:rFonts w:ascii="Times New Roman" w:hAnsi="Times New Roman" w:cs="Times New Roman"/>
          <w:i/>
        </w:rPr>
        <w:t>Istruzioni</w:t>
      </w:r>
      <w:r w:rsidRPr="00796A9D">
        <w:rPr>
          <w:rFonts w:ascii="Times New Roman" w:hAnsi="Times New Roman" w:cs="Times New Roman"/>
        </w:rPr>
        <w:t xml:space="preserve"> e </w:t>
      </w:r>
      <w:r w:rsidRPr="00796A9D">
        <w:rPr>
          <w:rFonts w:ascii="Times New Roman" w:hAnsi="Times New Roman" w:cs="Times New Roman"/>
          <w:i/>
        </w:rPr>
        <w:t>Ordini</w:t>
      </w:r>
      <w:r w:rsidRPr="00796A9D">
        <w:rPr>
          <w:rFonts w:ascii="Times New Roman" w:hAnsi="Times New Roman" w:cs="Times New Roman"/>
        </w:rPr>
        <w:t xml:space="preserve"> emessi dalla cancelleria ducale in vista del viaggio della sposa sono pubblicati in </w:t>
      </w:r>
      <w:r w:rsidRPr="00796A9D">
        <w:rPr>
          <w:rFonts w:ascii="Times New Roman" w:hAnsi="Times New Roman" w:cs="Times New Roman"/>
          <w:smallCaps/>
        </w:rPr>
        <w:t>V. Mele</w:t>
      </w:r>
      <w:r w:rsidRPr="00796A9D">
        <w:rPr>
          <w:rFonts w:ascii="Times New Roman" w:hAnsi="Times New Roman" w:cs="Times New Roman"/>
        </w:rPr>
        <w:t xml:space="preserve">, </w:t>
      </w:r>
      <w:r w:rsidRPr="00796A9D">
        <w:rPr>
          <w:rFonts w:ascii="Times New Roman" w:hAnsi="Times New Roman" w:cs="Times New Roman"/>
          <w:i/>
        </w:rPr>
        <w:t>La creazione di una figura politica</w:t>
      </w:r>
      <w:r w:rsidRPr="00796A9D">
        <w:rPr>
          <w:rFonts w:ascii="Times New Roman" w:hAnsi="Times New Roman" w:cs="Times New Roman"/>
        </w:rPr>
        <w:t xml:space="preserve">, cit., pp. 50-61. Per </w:t>
      </w:r>
      <w:bookmarkStart w:id="470" w:name="_Hlk535962037"/>
      <w:r w:rsidRPr="00796A9D">
        <w:rPr>
          <w:rFonts w:ascii="Times New Roman" w:hAnsi="Times New Roman" w:cs="Times New Roman"/>
        </w:rPr>
        <w:t>Antonio Cincinello</w:t>
      </w:r>
      <w:bookmarkEnd w:id="470"/>
      <w:r w:rsidRPr="00796A9D">
        <w:rPr>
          <w:rFonts w:ascii="Times New Roman" w:hAnsi="Times New Roman" w:cs="Times New Roman"/>
        </w:rPr>
        <w:t xml:space="preserve">, discendente di una famiglia napoletana di fedeltà aragonese, dignitario della corte di Napoli incaricato di importanti missioni diplomatiche a Milano e apprezzato referente di Francesco Sforza presso Ferrante I, cfr. F. </w:t>
      </w:r>
      <w:r w:rsidRPr="00796A9D">
        <w:rPr>
          <w:rFonts w:ascii="Times New Roman" w:hAnsi="Times New Roman" w:cs="Times New Roman"/>
          <w:smallCaps/>
        </w:rPr>
        <w:t>Petrucci</w:t>
      </w:r>
      <w:r w:rsidRPr="00796A9D">
        <w:rPr>
          <w:rFonts w:ascii="Times New Roman" w:hAnsi="Times New Roman" w:cs="Times New Roman"/>
        </w:rPr>
        <w:t xml:space="preserve">, s.v. </w:t>
      </w:r>
      <w:r w:rsidRPr="00796A9D">
        <w:rPr>
          <w:rFonts w:ascii="Times New Roman" w:hAnsi="Times New Roman" w:cs="Times New Roman"/>
          <w:i/>
        </w:rPr>
        <w:t>Cincinello, Antonio</w:t>
      </w:r>
      <w:r w:rsidRPr="00796A9D">
        <w:rPr>
          <w:rFonts w:ascii="Times New Roman" w:hAnsi="Times New Roman" w:cs="Times New Roman"/>
        </w:rPr>
        <w:t xml:space="preserve">, DBI, 1981, vol. XXV, p. 579.   </w:t>
      </w:r>
    </w:p>
  </w:footnote>
  <w:footnote w:id="627">
    <w:p w14:paraId="2508323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Federico, all’epoca quattordicenne, partì da Napoli il 18 marzo 1465 con 320 cavalli, 60 muli, e con seguito selezionato tra i più alti dignitari di corte, del quale fecero parte Roberto Sanseverino, principe di Salerno, e Giovanni Caracciolo, duca di Melfi. Il 2 aprile fu ricevuto a Roma da Paolo II, dal quale fu insignito della rosa d'oro. Passando per Siena, il 17 aprile giunse a Firenze, il 25 a Bologna, e raggiunse Milano il 6 maggio. Cfr</w:t>
      </w:r>
      <w:r w:rsidRPr="00796A9D">
        <w:rPr>
          <w:rFonts w:ascii="Times New Roman" w:hAnsi="Times New Roman" w:cs="Times New Roman"/>
          <w:smallCaps/>
        </w:rPr>
        <w:t>. G. Benzoni</w:t>
      </w:r>
      <w:r w:rsidRPr="00796A9D">
        <w:rPr>
          <w:rFonts w:ascii="Times New Roman" w:hAnsi="Times New Roman" w:cs="Times New Roman"/>
        </w:rPr>
        <w:t xml:space="preserve">, s.v. </w:t>
      </w:r>
      <w:r w:rsidRPr="00796A9D">
        <w:rPr>
          <w:rFonts w:ascii="Times New Roman" w:hAnsi="Times New Roman" w:cs="Times New Roman"/>
          <w:i/>
        </w:rPr>
        <w:t>Federico d’Aragona</w:t>
      </w:r>
      <w:r w:rsidRPr="00796A9D">
        <w:rPr>
          <w:rFonts w:ascii="Times New Roman" w:hAnsi="Times New Roman" w:cs="Times New Roman"/>
        </w:rPr>
        <w:t>, DBI, 1995, vol. XLV, pp. 668-682.</w:t>
      </w:r>
    </w:p>
  </w:footnote>
  <w:footnote w:id="628">
    <w:p w14:paraId="467BA0FA"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L’accenno nel primo punto del </w:t>
      </w:r>
      <w:r w:rsidRPr="00796A9D">
        <w:rPr>
          <w:rFonts w:ascii="Times New Roman" w:hAnsi="Times New Roman" w:cs="Times New Roman"/>
          <w:i/>
          <w:sz w:val="20"/>
          <w:szCs w:val="20"/>
        </w:rPr>
        <w:t>Ricordo</w:t>
      </w:r>
      <w:r w:rsidRPr="00796A9D">
        <w:rPr>
          <w:rFonts w:ascii="Times New Roman" w:hAnsi="Times New Roman" w:cs="Times New Roman"/>
          <w:sz w:val="20"/>
          <w:szCs w:val="20"/>
        </w:rPr>
        <w:t xml:space="preserve"> alle condizioni di salute instabili di Isabella di Chiaromonte è il dato che consente di datare il documento al marzo del 1465, dal momento che la regina morì il 30 marzo di quell’anno. </w:t>
      </w:r>
      <w:r>
        <w:rPr>
          <w:rFonts w:ascii="Times New Roman" w:hAnsi="Times New Roman" w:cs="Times New Roman"/>
          <w:sz w:val="20"/>
          <w:szCs w:val="20"/>
        </w:rPr>
        <w:t>I</w:t>
      </w:r>
      <w:r w:rsidRPr="00796A9D">
        <w:rPr>
          <w:rFonts w:ascii="Times New Roman" w:hAnsi="Times New Roman" w:cs="Times New Roman"/>
          <w:sz w:val="20"/>
          <w:szCs w:val="20"/>
        </w:rPr>
        <w:t>l decesso della madre dello sposo f</w:t>
      </w:r>
      <w:r>
        <w:rPr>
          <w:rFonts w:ascii="Times New Roman" w:hAnsi="Times New Roman" w:cs="Times New Roman"/>
          <w:sz w:val="20"/>
          <w:szCs w:val="20"/>
        </w:rPr>
        <w:t>ece</w:t>
      </w:r>
      <w:r w:rsidRPr="00796A9D">
        <w:rPr>
          <w:rFonts w:ascii="Times New Roman" w:hAnsi="Times New Roman" w:cs="Times New Roman"/>
          <w:sz w:val="20"/>
          <w:szCs w:val="20"/>
        </w:rPr>
        <w:t xml:space="preserve"> temere possibili ritardi dello svolgimento del matrimonio, </w:t>
      </w:r>
      <w:r>
        <w:rPr>
          <w:rFonts w:ascii="Times New Roman" w:hAnsi="Times New Roman" w:cs="Times New Roman"/>
          <w:sz w:val="20"/>
          <w:szCs w:val="20"/>
        </w:rPr>
        <w:t>il quale</w:t>
      </w:r>
      <w:r w:rsidRPr="00796A9D">
        <w:rPr>
          <w:rFonts w:ascii="Times New Roman" w:hAnsi="Times New Roman" w:cs="Times New Roman"/>
          <w:sz w:val="20"/>
          <w:szCs w:val="20"/>
        </w:rPr>
        <w:t xml:space="preserve"> fu però egualmente celebrato per procura a Milano, così da permettere la partenza del corteo il 10 giugno 1465. </w:t>
      </w:r>
    </w:p>
  </w:footnote>
  <w:footnote w:id="629">
    <w:p w14:paraId="0FDB82B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Originario di Mortara, Alberico Maletta, eccellente giurista, entrò nel 1453 a far parte del Consiglio segreto di Francesco I. Incaricato di diverse missioni diplomatiche che portarono alla stipula della Lega italica e alla Pace di Lodi, nel novembre del 1462 fu inviato dallo Sforza alla corte di Luigi XI quale ambasciatore residente. Su di lui si veda la voce biografica di </w:t>
      </w:r>
      <w:r w:rsidRPr="00796A9D">
        <w:rPr>
          <w:rFonts w:ascii="Times New Roman" w:hAnsi="Times New Roman" w:cs="Times New Roman"/>
          <w:smallCaps/>
        </w:rPr>
        <w:t>M.N. Covini</w:t>
      </w:r>
      <w:r w:rsidRPr="00796A9D">
        <w:rPr>
          <w:rFonts w:ascii="Times New Roman" w:hAnsi="Times New Roman" w:cs="Times New Roman"/>
        </w:rPr>
        <w:t xml:space="preserve">, s.v. </w:t>
      </w:r>
      <w:r w:rsidRPr="00796A9D">
        <w:rPr>
          <w:rFonts w:ascii="Times New Roman" w:hAnsi="Times New Roman" w:cs="Times New Roman"/>
          <w:i/>
        </w:rPr>
        <w:t>Maletta Alberico</w:t>
      </w:r>
      <w:r w:rsidRPr="00796A9D">
        <w:rPr>
          <w:rFonts w:ascii="Times New Roman" w:hAnsi="Times New Roman" w:cs="Times New Roman"/>
        </w:rPr>
        <w:t>, DBI, 2007, vol. LXVIII, pp. 158-161.</w:t>
      </w:r>
    </w:p>
  </w:footnote>
  <w:footnote w:id="630">
    <w:p w14:paraId="733295E5"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 lettera, datata 24 novembre 1464, è qui pubblicata in </w:t>
      </w:r>
      <w:r w:rsidRPr="00796A9D">
        <w:rPr>
          <w:rFonts w:ascii="Times New Roman" w:hAnsi="Times New Roman" w:cs="Times New Roman"/>
          <w:i/>
          <w:sz w:val="20"/>
          <w:szCs w:val="20"/>
        </w:rPr>
        <w:t>Appendice</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III</w:t>
      </w:r>
      <w:r w:rsidRPr="00796A9D">
        <w:rPr>
          <w:rFonts w:ascii="Times New Roman" w:hAnsi="Times New Roman" w:cs="Times New Roman"/>
          <w:sz w:val="20"/>
          <w:szCs w:val="20"/>
        </w:rPr>
        <w:t xml:space="preserve">, documento n. 5. Il 17 dicembre 1464 Maletta rispondendo da Tours al suo signore ne approvava la decisione di fermare l’ambasceria di invito. Cfr. </w:t>
      </w:r>
      <w:r w:rsidRPr="00796A9D">
        <w:rPr>
          <w:rFonts w:ascii="Times New Roman" w:hAnsi="Times New Roman" w:cs="Times New Roman"/>
          <w:i/>
          <w:sz w:val="20"/>
          <w:szCs w:val="20"/>
        </w:rPr>
        <w:t>Appendice</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III</w:t>
      </w:r>
      <w:r w:rsidRPr="00796A9D">
        <w:rPr>
          <w:rFonts w:ascii="Times New Roman" w:hAnsi="Times New Roman" w:cs="Times New Roman"/>
          <w:sz w:val="20"/>
          <w:szCs w:val="20"/>
        </w:rPr>
        <w:t>, documento n. 6.</w:t>
      </w:r>
    </w:p>
  </w:footnote>
  <w:footnote w:id="631">
    <w:p w14:paraId="76AD763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 inquadramento della situazione politica vigente nel capoluogo felsineo all’epoca del passaggio in città di Ippolita Sforza è fornito </w:t>
      </w:r>
      <w:r>
        <w:rPr>
          <w:rFonts w:ascii="Times New Roman" w:hAnsi="Times New Roman" w:cs="Times New Roman"/>
        </w:rPr>
        <w:t>da</w:t>
      </w:r>
      <w:r w:rsidRPr="00796A9D">
        <w:rPr>
          <w:rFonts w:ascii="Times New Roman" w:hAnsi="Times New Roman" w:cs="Times New Roman"/>
        </w:rPr>
        <w:t xml:space="preserve"> </w:t>
      </w:r>
      <w:r w:rsidRPr="00796A9D">
        <w:rPr>
          <w:rFonts w:ascii="Times New Roman" w:hAnsi="Times New Roman" w:cs="Times New Roman"/>
          <w:smallCaps/>
        </w:rPr>
        <w:t>V. Mele</w:t>
      </w:r>
      <w:r w:rsidRPr="00796A9D">
        <w:rPr>
          <w:rFonts w:ascii="Times New Roman" w:hAnsi="Times New Roman" w:cs="Times New Roman"/>
        </w:rPr>
        <w:t xml:space="preserve">, </w:t>
      </w:r>
      <w:r w:rsidRPr="00796A9D">
        <w:rPr>
          <w:rFonts w:ascii="Times New Roman" w:hAnsi="Times New Roman" w:cs="Times New Roman"/>
          <w:i/>
        </w:rPr>
        <w:t>La creazione di una figura politica</w:t>
      </w:r>
      <w:r w:rsidRPr="00796A9D">
        <w:rPr>
          <w:rFonts w:ascii="Times New Roman" w:hAnsi="Times New Roman" w:cs="Times New Roman"/>
        </w:rPr>
        <w:t xml:space="preserve">, cit., pp. 28-29.  </w:t>
      </w:r>
    </w:p>
  </w:footnote>
  <w:footnote w:id="632">
    <w:p w14:paraId="779CF7E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G. Nadi</w:t>
      </w:r>
      <w:r w:rsidRPr="00796A9D">
        <w:rPr>
          <w:rFonts w:ascii="Times New Roman" w:hAnsi="Times New Roman" w:cs="Times New Roman"/>
        </w:rPr>
        <w:t xml:space="preserve">, </w:t>
      </w:r>
      <w:r w:rsidRPr="00796A9D">
        <w:rPr>
          <w:rFonts w:ascii="Times New Roman" w:hAnsi="Times New Roman" w:cs="Times New Roman"/>
          <w:i/>
        </w:rPr>
        <w:t>Diario bolognese</w:t>
      </w:r>
      <w:r w:rsidRPr="00796A9D">
        <w:rPr>
          <w:rFonts w:ascii="Times New Roman" w:hAnsi="Times New Roman" w:cs="Times New Roman"/>
        </w:rPr>
        <w:t xml:space="preserve">, a cura di </w:t>
      </w:r>
      <w:r w:rsidRPr="00796A9D">
        <w:rPr>
          <w:rFonts w:ascii="Times New Roman" w:hAnsi="Times New Roman" w:cs="Times New Roman"/>
          <w:smallCaps/>
        </w:rPr>
        <w:t>C. Ricci, A. Bacchi della Lega</w:t>
      </w:r>
      <w:r w:rsidRPr="00796A9D">
        <w:rPr>
          <w:rFonts w:ascii="Times New Roman" w:hAnsi="Times New Roman" w:cs="Times New Roman"/>
        </w:rPr>
        <w:t>, Bologna, Romagnoli, 1886, pp. 59-60.</w:t>
      </w:r>
    </w:p>
  </w:footnote>
  <w:footnote w:id="633">
    <w:p w14:paraId="5BDFC76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473" w:name="_Hlk524430781"/>
      <w:r w:rsidRPr="00796A9D">
        <w:rPr>
          <w:rFonts w:ascii="Times New Roman" w:hAnsi="Times New Roman" w:cs="Times New Roman"/>
          <w:smallCaps/>
        </w:rPr>
        <w:t>G. Albertucci de Borselli</w:t>
      </w:r>
      <w:r w:rsidRPr="00796A9D">
        <w:rPr>
          <w:rFonts w:ascii="Times New Roman" w:hAnsi="Times New Roman" w:cs="Times New Roman"/>
        </w:rPr>
        <w:t xml:space="preserve">, </w:t>
      </w:r>
      <w:r w:rsidRPr="00796A9D">
        <w:rPr>
          <w:rFonts w:ascii="Times New Roman" w:hAnsi="Times New Roman" w:cs="Times New Roman"/>
          <w:i/>
        </w:rPr>
        <w:t>Cronica gestorum ac factorum memorabilium civitatis Bononiae</w:t>
      </w:r>
      <w:r w:rsidRPr="00796A9D">
        <w:rPr>
          <w:rFonts w:ascii="Times New Roman" w:hAnsi="Times New Roman" w:cs="Times New Roman"/>
        </w:rPr>
        <w:t xml:space="preserve">, in </w:t>
      </w:r>
      <w:r w:rsidRPr="00796A9D">
        <w:rPr>
          <w:rFonts w:ascii="Times New Roman" w:hAnsi="Times New Roman" w:cs="Times New Roman"/>
          <w:i/>
        </w:rPr>
        <w:t>Rerum Italicarum Scriptores</w:t>
      </w:r>
      <w:r w:rsidRPr="00796A9D">
        <w:rPr>
          <w:rFonts w:ascii="Times New Roman" w:hAnsi="Times New Roman" w:cs="Times New Roman"/>
        </w:rPr>
        <w:t xml:space="preserve">, Città di Castello, Lapi, XXIII, vol. 2, p. </w:t>
      </w:r>
      <w:bookmarkEnd w:id="473"/>
      <w:r w:rsidRPr="00796A9D">
        <w:rPr>
          <w:rFonts w:ascii="Times New Roman" w:hAnsi="Times New Roman" w:cs="Times New Roman"/>
        </w:rPr>
        <w:t>98: «</w:t>
      </w:r>
      <w:r w:rsidRPr="00796A9D">
        <w:rPr>
          <w:rFonts w:ascii="Times New Roman" w:hAnsi="Times New Roman" w:cs="Times New Roman"/>
          <w:i/>
        </w:rPr>
        <w:t>Federicus adolescens, filius Ferdinandi regis Neapolitani, in eundo Mediolanum et redeundo, receptus fuit a civitate nostra cum honore condigno, expensis comunitatis; duxit enim secum de Mediolano dominam Ypolitam, filiam ducis Mediolani Francisci et sponsam domini Alphonsi principis Tarentini. Dominus Galeaz de Marescotis hanc magnifice recepit in suo palatio in uno prandio apud Confortinum</w:t>
      </w:r>
      <w:r w:rsidRPr="00796A9D">
        <w:rPr>
          <w:rFonts w:ascii="Times New Roman" w:hAnsi="Times New Roman" w:cs="Times New Roman"/>
        </w:rPr>
        <w:t xml:space="preserve">».  </w:t>
      </w:r>
    </w:p>
  </w:footnote>
  <w:footnote w:id="634">
    <w:p w14:paraId="32F20DA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Secondo l’araldo, la spesa sostenuta dalla Repubblica fiorentina fu di 32.995 fiorini. La sua </w:t>
      </w:r>
      <w:r w:rsidRPr="00796A9D">
        <w:rPr>
          <w:rFonts w:ascii="Times New Roman" w:hAnsi="Times New Roman" w:cs="Times New Roman"/>
          <w:i/>
        </w:rPr>
        <w:t xml:space="preserve">Cronaca delle cerimonie </w:t>
      </w:r>
      <w:r w:rsidRPr="00796A9D">
        <w:rPr>
          <w:rFonts w:ascii="Times New Roman" w:hAnsi="Times New Roman" w:cs="Times New Roman"/>
        </w:rPr>
        <w:t xml:space="preserve">è pubblicata in </w:t>
      </w:r>
      <w:r w:rsidRPr="00796A9D">
        <w:rPr>
          <w:rFonts w:ascii="Times New Roman" w:hAnsi="Times New Roman" w:cs="Times New Roman"/>
          <w:smallCaps/>
        </w:rPr>
        <w:t>V. Mele</w:t>
      </w:r>
      <w:r w:rsidRPr="00796A9D">
        <w:rPr>
          <w:rFonts w:ascii="Times New Roman" w:hAnsi="Times New Roman" w:cs="Times New Roman"/>
        </w:rPr>
        <w:t xml:space="preserve">, </w:t>
      </w:r>
      <w:r w:rsidRPr="00796A9D">
        <w:rPr>
          <w:rFonts w:ascii="Times New Roman" w:hAnsi="Times New Roman" w:cs="Times New Roman"/>
          <w:i/>
        </w:rPr>
        <w:t>La creazione di una figura politica</w:t>
      </w:r>
      <w:r w:rsidRPr="00796A9D">
        <w:rPr>
          <w:rFonts w:ascii="Times New Roman" w:hAnsi="Times New Roman" w:cs="Times New Roman"/>
        </w:rPr>
        <w:t xml:space="preserve">, cit., pp. 64-65. </w:t>
      </w:r>
    </w:p>
  </w:footnote>
  <w:footnote w:id="635">
    <w:p w14:paraId="0B02282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Appendice</w:t>
      </w:r>
      <w:r w:rsidRPr="00796A9D">
        <w:rPr>
          <w:rFonts w:ascii="Times New Roman" w:hAnsi="Times New Roman" w:cs="Times New Roman"/>
        </w:rPr>
        <w:t xml:space="preserve"> </w:t>
      </w:r>
      <w:r w:rsidRPr="00796A9D">
        <w:rPr>
          <w:rFonts w:ascii="Times New Roman" w:hAnsi="Times New Roman" w:cs="Times New Roman"/>
          <w:i/>
        </w:rPr>
        <w:t>III</w:t>
      </w:r>
      <w:r w:rsidRPr="00796A9D">
        <w:rPr>
          <w:rFonts w:ascii="Times New Roman" w:hAnsi="Times New Roman" w:cs="Times New Roman"/>
        </w:rPr>
        <w:t xml:space="preserve">, documento n. 2. Parte della missiva si legge in </w:t>
      </w:r>
      <w:r w:rsidRPr="00796A9D">
        <w:rPr>
          <w:rFonts w:ascii="Times New Roman" w:hAnsi="Times New Roman" w:cs="Times New Roman"/>
          <w:smallCaps/>
        </w:rPr>
        <w:t>A. Rochon</w:t>
      </w:r>
      <w:r w:rsidRPr="00796A9D">
        <w:rPr>
          <w:rFonts w:ascii="Times New Roman" w:hAnsi="Times New Roman" w:cs="Times New Roman"/>
        </w:rPr>
        <w:t xml:space="preserve">, </w:t>
      </w:r>
      <w:r w:rsidRPr="00796A9D">
        <w:rPr>
          <w:rFonts w:ascii="Times New Roman" w:hAnsi="Times New Roman" w:cs="Times New Roman"/>
          <w:i/>
        </w:rPr>
        <w:t>La jeunesse de Laurent de Medicis (1449-1478)</w:t>
      </w:r>
      <w:r w:rsidRPr="00796A9D">
        <w:rPr>
          <w:rFonts w:ascii="Times New Roman" w:hAnsi="Times New Roman" w:cs="Times New Roman"/>
        </w:rPr>
        <w:t>, Parigi, Les belles lettres, 1963, p. 104.</w:t>
      </w:r>
    </w:p>
  </w:footnote>
  <w:footnote w:id="636">
    <w:p w14:paraId="6CCAC59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notizia della caccia ai leoni è trasmessa anche da una lettera di Marco Parenti indirizzata a Filippo e Lorenzo Strozzi, residenti a Napoli, alcuni giorni dopo le feste: «La caccia de’ lioni ci vituperò, ché un toro gli rincacciò tutti dentro alle stalle chome pecore». Cfr, </w:t>
      </w:r>
      <w:r w:rsidRPr="00796A9D">
        <w:rPr>
          <w:rFonts w:ascii="Times New Roman" w:hAnsi="Times New Roman" w:cs="Times New Roman"/>
          <w:smallCaps/>
        </w:rPr>
        <w:t>M. Parenti</w:t>
      </w:r>
      <w:r w:rsidRPr="00796A9D">
        <w:rPr>
          <w:rFonts w:ascii="Times New Roman" w:hAnsi="Times New Roman" w:cs="Times New Roman"/>
        </w:rPr>
        <w:t xml:space="preserve">, </w:t>
      </w:r>
      <w:r w:rsidRPr="00796A9D">
        <w:rPr>
          <w:rFonts w:ascii="Times New Roman" w:hAnsi="Times New Roman" w:cs="Times New Roman"/>
          <w:i/>
        </w:rPr>
        <w:t>Lettere</w:t>
      </w:r>
      <w:r w:rsidRPr="00796A9D">
        <w:rPr>
          <w:rFonts w:ascii="Times New Roman" w:hAnsi="Times New Roman" w:cs="Times New Roman"/>
        </w:rPr>
        <w:t xml:space="preserve">, cit., p. 84. Anche questa fonte non precisa il luogo di svolgimento della caccia. Una «caccia de’ lioni», secondo i </w:t>
      </w:r>
      <w:r w:rsidRPr="00796A9D">
        <w:rPr>
          <w:rFonts w:ascii="Times New Roman" w:hAnsi="Times New Roman" w:cs="Times New Roman"/>
          <w:i/>
        </w:rPr>
        <w:t>Giornali</w:t>
      </w:r>
      <w:r w:rsidRPr="00796A9D">
        <w:rPr>
          <w:rFonts w:ascii="Times New Roman" w:hAnsi="Times New Roman" w:cs="Times New Roman"/>
        </w:rPr>
        <w:t xml:space="preserve"> di Gisusto d’Anghiari, fu offerta il primo maggio 1459 in occasione della visita a Firenze di Galeazzo Maria Sforza e di Pio II, sulla piazza della Signoria. Il palazzo dei Signori era munito di alcune gabbie per animali selvatici ed è possibile che anche nel 1465 la piazza fosse stata deputata alla presentazione di un simile spettacolo. Cfr. </w:t>
      </w:r>
      <w:r w:rsidRPr="00796A9D">
        <w:rPr>
          <w:rFonts w:ascii="Times New Roman" w:hAnsi="Times New Roman" w:cs="Times New Roman"/>
          <w:smallCaps/>
        </w:rPr>
        <w:t>F. Cardini, B. Frale</w:t>
      </w:r>
      <w:r w:rsidRPr="00796A9D">
        <w:rPr>
          <w:rFonts w:ascii="Times New Roman" w:hAnsi="Times New Roman" w:cs="Times New Roman"/>
        </w:rPr>
        <w:t xml:space="preserve">, </w:t>
      </w:r>
      <w:r w:rsidRPr="00796A9D">
        <w:rPr>
          <w:rFonts w:ascii="Times New Roman" w:hAnsi="Times New Roman" w:cs="Times New Roman"/>
          <w:i/>
        </w:rPr>
        <w:t>La congiura, Potere e vendetta nella Firenze dei Medici</w:t>
      </w:r>
      <w:r w:rsidRPr="00796A9D">
        <w:rPr>
          <w:rFonts w:ascii="Times New Roman" w:hAnsi="Times New Roman" w:cs="Times New Roman"/>
        </w:rPr>
        <w:t xml:space="preserve">, Bari, Laterza, 2017, pp. 38-39. </w:t>
      </w:r>
    </w:p>
  </w:footnote>
  <w:footnote w:id="637">
    <w:p w14:paraId="3A0A395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L’inserimento di questa rappresentazione eccezionale dell’</w:t>
      </w:r>
      <w:r w:rsidRPr="00796A9D">
        <w:rPr>
          <w:rFonts w:ascii="Times New Roman" w:hAnsi="Times New Roman" w:cs="Times New Roman"/>
          <w:i/>
        </w:rPr>
        <w:t>Ascensione</w:t>
      </w:r>
      <w:r w:rsidRPr="00796A9D">
        <w:rPr>
          <w:rFonts w:ascii="Times New Roman" w:hAnsi="Times New Roman" w:cs="Times New Roman"/>
        </w:rPr>
        <w:t xml:space="preserve"> nel programma degli intrattenimenti per il passaggio della principessa è segnalato da </w:t>
      </w:r>
      <w:r w:rsidRPr="00796A9D">
        <w:rPr>
          <w:rFonts w:ascii="Times New Roman" w:eastAsia="Times New Roman" w:hAnsi="Times New Roman" w:cs="Times New Roman"/>
          <w:smallCaps/>
        </w:rPr>
        <w:t>P. Ventrone</w:t>
      </w:r>
      <w:r w:rsidRPr="00796A9D">
        <w:rPr>
          <w:rFonts w:ascii="Times New Roman" w:eastAsia="Times New Roman" w:hAnsi="Times New Roman" w:cs="Times New Roman"/>
        </w:rPr>
        <w:t xml:space="preserve">, </w:t>
      </w:r>
      <w:r w:rsidRPr="00796A9D">
        <w:rPr>
          <w:rFonts w:ascii="Times New Roman" w:eastAsia="Times New Roman" w:hAnsi="Times New Roman" w:cs="Times New Roman"/>
          <w:i/>
        </w:rPr>
        <w:t>Teatro civile e sacra rappresentazione a Firenze nel Rinascimento</w:t>
      </w:r>
      <w:r w:rsidRPr="00796A9D">
        <w:rPr>
          <w:rFonts w:ascii="Times New Roman" w:eastAsia="Times New Roman" w:hAnsi="Times New Roman" w:cs="Times New Roman"/>
        </w:rPr>
        <w:t>, cit., p.</w:t>
      </w:r>
      <w:r w:rsidRPr="00796A9D">
        <w:rPr>
          <w:rFonts w:ascii="Times New Roman" w:hAnsi="Times New Roman" w:cs="Times New Roman"/>
        </w:rPr>
        <w:t xml:space="preserve"> 223. La studiosa nota anche come l’apertura della tradizionale mostra delle botteghe, con i migliori prodotti dell’artigianato fiorentino, fosse stata anticipata al 22 giugno, in concomitanza con l’ingresso in città di Ippolita, come attestano la missiva di Marco Parenti e le note del </w:t>
      </w:r>
      <w:r w:rsidRPr="00796A9D">
        <w:rPr>
          <w:rFonts w:ascii="Times New Roman" w:hAnsi="Times New Roman" w:cs="Times New Roman"/>
          <w:i/>
        </w:rPr>
        <w:t>Liber cerimonialis</w:t>
      </w:r>
      <w:r w:rsidRPr="00796A9D">
        <w:rPr>
          <w:rFonts w:ascii="Times New Roman" w:hAnsi="Times New Roman" w:cs="Times New Roman"/>
        </w:rPr>
        <w:t xml:space="preserve">. Al medesimo studio si rimanda per la discussione intorno a queste due fonti.  </w:t>
      </w:r>
    </w:p>
  </w:footnote>
  <w:footnote w:id="638">
    <w:p w14:paraId="3547C85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Fecini</w:t>
      </w:r>
      <w:r w:rsidRPr="00796A9D">
        <w:rPr>
          <w:rFonts w:ascii="Times New Roman" w:hAnsi="Times New Roman" w:cs="Times New Roman"/>
        </w:rPr>
        <w:t xml:space="preserve">, </w:t>
      </w:r>
      <w:r w:rsidRPr="00796A9D">
        <w:rPr>
          <w:rFonts w:ascii="Times New Roman" w:hAnsi="Times New Roman" w:cs="Times New Roman"/>
          <w:i/>
        </w:rPr>
        <w:t>Cronaca senese</w:t>
      </w:r>
      <w:r w:rsidRPr="00796A9D">
        <w:rPr>
          <w:rFonts w:ascii="Times New Roman" w:hAnsi="Times New Roman" w:cs="Times New Roman"/>
        </w:rPr>
        <w:t xml:space="preserve">, cit., p. 870. La notizia è pubblicata, insieme a una attenta ricostruzione delle giornate trascorse da Ippolita Sforza a Siena, in </w:t>
      </w:r>
      <w:r w:rsidRPr="00796A9D">
        <w:rPr>
          <w:rFonts w:ascii="Times New Roman" w:hAnsi="Times New Roman" w:cs="Times New Roman"/>
          <w:smallCaps/>
        </w:rPr>
        <w:t>A. Lisini</w:t>
      </w:r>
      <w:r w:rsidRPr="00796A9D">
        <w:rPr>
          <w:rFonts w:ascii="Times New Roman" w:hAnsi="Times New Roman" w:cs="Times New Roman"/>
        </w:rPr>
        <w:t xml:space="preserve">, </w:t>
      </w:r>
      <w:r w:rsidRPr="00796A9D">
        <w:rPr>
          <w:rFonts w:ascii="Times New Roman" w:hAnsi="Times New Roman" w:cs="Times New Roman"/>
          <w:i/>
        </w:rPr>
        <w:t>Le feste fatte in Siena nel 1465 per il matrimonio di Ippolita Sforza Visconti con Alfonso duca di Calabria</w:t>
      </w:r>
      <w:r w:rsidRPr="00796A9D">
        <w:rPr>
          <w:rFonts w:ascii="Times New Roman" w:hAnsi="Times New Roman" w:cs="Times New Roman"/>
        </w:rPr>
        <w:t>, Siena, Lazzeri, 1898, p. 10.</w:t>
      </w:r>
    </w:p>
  </w:footnote>
  <w:footnote w:id="639">
    <w:p w14:paraId="1DDE128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p. 11.</w:t>
      </w:r>
    </w:p>
  </w:footnote>
  <w:footnote w:id="640">
    <w:p w14:paraId="6B7A1CE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Allegretti</w:t>
      </w:r>
      <w:r w:rsidRPr="00796A9D">
        <w:rPr>
          <w:rFonts w:ascii="Times New Roman" w:hAnsi="Times New Roman" w:cs="Times New Roman"/>
        </w:rPr>
        <w:t xml:space="preserve">, </w:t>
      </w:r>
      <w:r w:rsidRPr="00796A9D">
        <w:rPr>
          <w:rFonts w:ascii="Times New Roman" w:hAnsi="Times New Roman" w:cs="Times New Roman"/>
          <w:i/>
        </w:rPr>
        <w:t>Diario delle cose sanesi</w:t>
      </w:r>
      <w:r w:rsidRPr="00796A9D">
        <w:rPr>
          <w:rFonts w:ascii="Times New Roman" w:hAnsi="Times New Roman" w:cs="Times New Roman"/>
        </w:rPr>
        <w:t xml:space="preserve">, in </w:t>
      </w:r>
      <w:r w:rsidRPr="00796A9D">
        <w:rPr>
          <w:rFonts w:ascii="Times New Roman" w:hAnsi="Times New Roman" w:cs="Times New Roman"/>
          <w:i/>
        </w:rPr>
        <w:t xml:space="preserve">Rerum Italicarum Scriptores, </w:t>
      </w:r>
      <w:r w:rsidRPr="00796A9D">
        <w:rPr>
          <w:rFonts w:ascii="Times New Roman" w:hAnsi="Times New Roman" w:cs="Times New Roman"/>
        </w:rPr>
        <w:t>Bologna, Zanichelli, 1939, XXIII, p. 271.</w:t>
      </w:r>
    </w:p>
  </w:footnote>
  <w:footnote w:id="641">
    <w:p w14:paraId="46B3FC3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testo della barzelletta e le sue numerose rielaborazioni musicali nel corso del secolo XV </w:t>
      </w:r>
      <w:r w:rsidRPr="00796A9D">
        <w:rPr>
          <w:rFonts w:ascii="Times New Roman" w:hAnsi="Times New Roman" w:cs="Times New Roman"/>
          <w:smallCaps/>
        </w:rPr>
        <w:t>A.W. Atlas</w:t>
      </w:r>
      <w:r w:rsidRPr="00796A9D">
        <w:rPr>
          <w:rFonts w:ascii="Times New Roman" w:hAnsi="Times New Roman" w:cs="Times New Roman"/>
        </w:rPr>
        <w:t xml:space="preserve">, </w:t>
      </w:r>
      <w:r w:rsidRPr="00796A9D">
        <w:rPr>
          <w:rFonts w:ascii="Times New Roman" w:hAnsi="Times New Roman" w:cs="Times New Roman"/>
          <w:i/>
        </w:rPr>
        <w:t>Music at the Aragonese court of Naples</w:t>
      </w:r>
      <w:r w:rsidRPr="00796A9D">
        <w:rPr>
          <w:rFonts w:ascii="Times New Roman" w:hAnsi="Times New Roman" w:cs="Times New Roman"/>
        </w:rPr>
        <w:t>, Cambridge, Cambridge University Press, 1985, pp. 144-147.</w:t>
      </w:r>
    </w:p>
  </w:footnote>
  <w:footnote w:id="642">
    <w:p w14:paraId="01E0E26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diffusione di questo modello mi pare confermata anche dalla pantomima presentata al termine del banchetto del 29 maggio 1475 a Camilla d’Aragona e Costanzo Sforza. In quel caso dal monte di legno erano usciti un leone e un uomo selvaggio e altri due danzatori che, compiute le loro performance, avevano invitato al ballo i nobili presenti.   </w:t>
      </w:r>
    </w:p>
  </w:footnote>
  <w:footnote w:id="643">
    <w:p w14:paraId="2B5ADB1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Lettera di Filippo Maria e di Sforza Maria Sforza a Francesco Sforza del 14 settembre 1465. Pubblicata in </w:t>
      </w:r>
      <w:r w:rsidRPr="00796A9D">
        <w:rPr>
          <w:rFonts w:ascii="Times New Roman" w:hAnsi="Times New Roman" w:cs="Times New Roman"/>
          <w:smallCaps/>
        </w:rPr>
        <w:t>A. Lisini</w:t>
      </w:r>
      <w:r w:rsidRPr="00796A9D">
        <w:rPr>
          <w:rFonts w:ascii="Times New Roman" w:hAnsi="Times New Roman" w:cs="Times New Roman"/>
        </w:rPr>
        <w:t xml:space="preserve">, </w:t>
      </w:r>
      <w:r w:rsidRPr="00796A9D">
        <w:rPr>
          <w:rFonts w:ascii="Times New Roman" w:hAnsi="Times New Roman" w:cs="Times New Roman"/>
          <w:i/>
        </w:rPr>
        <w:t>Le feste fatte in Siena</w:t>
      </w:r>
      <w:r w:rsidRPr="00796A9D">
        <w:rPr>
          <w:rFonts w:ascii="Times New Roman" w:hAnsi="Times New Roman" w:cs="Times New Roman"/>
        </w:rPr>
        <w:t>, pp. 29-32.</w:t>
      </w:r>
    </w:p>
  </w:footnote>
  <w:footnote w:id="644">
    <w:p w14:paraId="5792FDD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 tutto ciò informa con dovizia di particolari la lettera dell’ambasciatore sforzesco a Napoli, Antonio da Trezzo, del 16 settembre 1465. Edita </w:t>
      </w:r>
      <w:r w:rsidRPr="00796A9D">
        <w:rPr>
          <w:rFonts w:ascii="Times New Roman" w:hAnsi="Times New Roman" w:cs="Times New Roman"/>
          <w:i/>
        </w:rPr>
        <w:t>Ivi</w:t>
      </w:r>
      <w:r w:rsidRPr="00796A9D">
        <w:rPr>
          <w:rFonts w:ascii="Times New Roman" w:hAnsi="Times New Roman" w:cs="Times New Roman"/>
        </w:rPr>
        <w:t xml:space="preserve">, pp. 33-35. </w:t>
      </w:r>
    </w:p>
  </w:footnote>
  <w:footnote w:id="645">
    <w:p w14:paraId="3D21B3D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Bonifacio Aliprando dava notizia al duca di Milano delle cerimonie e della giostra del 29 settembre in una lettera qui pubblicata in </w:t>
      </w:r>
      <w:r w:rsidRPr="00796A9D">
        <w:rPr>
          <w:rFonts w:ascii="Times New Roman" w:hAnsi="Times New Roman" w:cs="Times New Roman"/>
          <w:i/>
        </w:rPr>
        <w:t>Appendice</w:t>
      </w:r>
      <w:r w:rsidRPr="00796A9D">
        <w:rPr>
          <w:rFonts w:ascii="Times New Roman" w:hAnsi="Times New Roman" w:cs="Times New Roman"/>
        </w:rPr>
        <w:t xml:space="preserve"> </w:t>
      </w:r>
      <w:r w:rsidRPr="00796A9D">
        <w:rPr>
          <w:rFonts w:ascii="Times New Roman" w:hAnsi="Times New Roman" w:cs="Times New Roman"/>
          <w:i/>
        </w:rPr>
        <w:t>III</w:t>
      </w:r>
      <w:r w:rsidRPr="00796A9D">
        <w:rPr>
          <w:rFonts w:ascii="Times New Roman" w:hAnsi="Times New Roman" w:cs="Times New Roman"/>
        </w:rPr>
        <w:t xml:space="preserve">, documento n. 3. Un’edizione parziale di questa testimonianza e attente osservazioni sul significato araldico della cerimonia di creazione dei cavalieri dell’ermellino nel contesto della festa nuziale sono reperibili in </w:t>
      </w:r>
      <w:r w:rsidRPr="00796A9D">
        <w:rPr>
          <w:rFonts w:ascii="Times New Roman" w:hAnsi="Times New Roman" w:cs="Times New Roman"/>
          <w:smallCaps/>
        </w:rPr>
        <w:t>V. Mele</w:t>
      </w:r>
      <w:r w:rsidRPr="00796A9D">
        <w:rPr>
          <w:rFonts w:ascii="Times New Roman" w:hAnsi="Times New Roman" w:cs="Times New Roman"/>
        </w:rPr>
        <w:t xml:space="preserve">, </w:t>
      </w:r>
      <w:r w:rsidRPr="00796A9D">
        <w:rPr>
          <w:rFonts w:ascii="Times New Roman" w:hAnsi="Times New Roman" w:cs="Times New Roman"/>
          <w:i/>
        </w:rPr>
        <w:t>La creazione di una figura politica</w:t>
      </w:r>
      <w:r w:rsidRPr="00796A9D">
        <w:rPr>
          <w:rFonts w:ascii="Times New Roman" w:hAnsi="Times New Roman" w:cs="Times New Roman"/>
        </w:rPr>
        <w:t xml:space="preserve">, cit., pp. 43-46. </w:t>
      </w:r>
    </w:p>
  </w:footnote>
  <w:footnote w:id="646">
    <w:p w14:paraId="50FE286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De Tummulillis</w:t>
      </w:r>
      <w:r w:rsidRPr="00796A9D">
        <w:rPr>
          <w:rFonts w:ascii="Times New Roman" w:hAnsi="Times New Roman" w:cs="Times New Roman"/>
        </w:rPr>
        <w:t xml:space="preserve">, </w:t>
      </w:r>
      <w:r w:rsidRPr="00796A9D">
        <w:rPr>
          <w:rFonts w:ascii="Times New Roman" w:hAnsi="Times New Roman" w:cs="Times New Roman"/>
          <w:i/>
        </w:rPr>
        <w:t>Notabilia temporum</w:t>
      </w:r>
      <w:r w:rsidRPr="00796A9D">
        <w:rPr>
          <w:rFonts w:ascii="Times New Roman" w:hAnsi="Times New Roman" w:cs="Times New Roman"/>
        </w:rPr>
        <w:t xml:space="preserve">, a cura di </w:t>
      </w:r>
      <w:r w:rsidRPr="00796A9D">
        <w:rPr>
          <w:rFonts w:ascii="Times New Roman" w:hAnsi="Times New Roman" w:cs="Times New Roman"/>
          <w:smallCaps/>
        </w:rPr>
        <w:t>C. Corvisieri</w:t>
      </w:r>
      <w:r w:rsidRPr="00796A9D">
        <w:rPr>
          <w:rFonts w:ascii="Times New Roman" w:hAnsi="Times New Roman" w:cs="Times New Roman"/>
        </w:rPr>
        <w:t xml:space="preserve">, Livorno, Vigo, 1890, pp. 134-135. </w:t>
      </w:r>
    </w:p>
  </w:footnote>
  <w:footnote w:id="647">
    <w:p w14:paraId="4161190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Riguardo alle trattative diplomatiche tra le corti di Milano, di Napoli e di Ferrara che portarono agli accordi per il secondo matrimonio di Eleonora d’Aragona si veda </w:t>
      </w:r>
      <w:r w:rsidRPr="00796A9D">
        <w:rPr>
          <w:rFonts w:ascii="Times New Roman" w:hAnsi="Times New Roman" w:cs="Times New Roman"/>
          <w:smallCaps/>
        </w:rPr>
        <w:t>P. Messina</w:t>
      </w:r>
      <w:r w:rsidRPr="00796A9D">
        <w:rPr>
          <w:rFonts w:ascii="Times New Roman" w:hAnsi="Times New Roman" w:cs="Times New Roman"/>
        </w:rPr>
        <w:t xml:space="preserve">, s.v. </w:t>
      </w:r>
      <w:r w:rsidRPr="00796A9D">
        <w:rPr>
          <w:rFonts w:ascii="Times New Roman" w:hAnsi="Times New Roman" w:cs="Times New Roman"/>
          <w:i/>
        </w:rPr>
        <w:t>Eleonora d’Aragona</w:t>
      </w:r>
      <w:r w:rsidRPr="00796A9D">
        <w:rPr>
          <w:rFonts w:ascii="Times New Roman" w:hAnsi="Times New Roman" w:cs="Times New Roman"/>
        </w:rPr>
        <w:t>, DBI, 1993, vol. XLII, pp. 410-419</w:t>
      </w:r>
      <w:r>
        <w:rPr>
          <w:rFonts w:ascii="Times New Roman" w:hAnsi="Times New Roman" w:cs="Times New Roman"/>
        </w:rPr>
        <w:t>.</w:t>
      </w:r>
    </w:p>
  </w:footnote>
  <w:footnote w:id="648">
    <w:p w14:paraId="450A66C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seguito di Sigismondo d’Este erano presenti Matteo Maria Boiardo, Matteo Canale, Battista Guarini, Tito Vespasiano Strozzi e l’oratore incaricato di rivolgere le orazioni di saluto alle città ospiti, Ludovico Carbone. Quest’ultimo, concluso il viaggio, compose anche un dialogo </w:t>
      </w:r>
      <w:r w:rsidRPr="00796A9D">
        <w:rPr>
          <w:rFonts w:ascii="Times New Roman" w:hAnsi="Times New Roman" w:cs="Times New Roman"/>
          <w:i/>
        </w:rPr>
        <w:t>de Neapolitana profectione</w:t>
      </w:r>
      <w:r w:rsidRPr="00796A9D">
        <w:rPr>
          <w:rFonts w:ascii="Times New Roman" w:hAnsi="Times New Roman" w:cs="Times New Roman"/>
        </w:rPr>
        <w:t>, dedicato a Federico da Montefeltro e trasmesso dal codice di dedica a lui presentato, Città del Vaticano, Biblioteca Apostolica Vaticana, Urb. Lat. 1195. L’opera prende per pretesto il passaggio del corteo di Eleonora tra le città della Penisola per intavolare una discussione sulla situazione politica dell’epoca e sulla validità del potere temporale dei pontefici. Sua fonte d’ispirazione per il dibattito di questioni storiche ed erudite è l’</w:t>
      </w:r>
      <w:r w:rsidRPr="00796A9D">
        <w:rPr>
          <w:rFonts w:ascii="Times New Roman" w:hAnsi="Times New Roman" w:cs="Times New Roman"/>
          <w:i/>
        </w:rPr>
        <w:t>Italia illustrata</w:t>
      </w:r>
      <w:r w:rsidRPr="00796A9D">
        <w:rPr>
          <w:rFonts w:ascii="Times New Roman" w:hAnsi="Times New Roman" w:cs="Times New Roman"/>
        </w:rPr>
        <w:t xml:space="preserve"> di Biondo Flavio. Lo scritto contiene solo cenni all’itinerario della sposa e non è utilizzabile come fonte per la storia dello spettacolo. Tuttavia, è interessante il fatto che questo ricordo letterario dell’evento trovasse ospitalità nella biblioteca federiciana, forse per rievocare quell’evento come un fatto singolare e memorabile, mostra insuperabile di lussi principeschi. Cfr. </w:t>
      </w:r>
      <w:r w:rsidRPr="00796A9D">
        <w:rPr>
          <w:rFonts w:ascii="Times New Roman" w:hAnsi="Times New Roman" w:cs="Times New Roman"/>
          <w:smallCaps/>
        </w:rPr>
        <w:t>I. Nuovo</w:t>
      </w:r>
      <w:r w:rsidRPr="00796A9D">
        <w:rPr>
          <w:rFonts w:ascii="Times New Roman" w:hAnsi="Times New Roman" w:cs="Times New Roman"/>
        </w:rPr>
        <w:t xml:space="preserve">, </w:t>
      </w:r>
      <w:r w:rsidRPr="00796A9D">
        <w:rPr>
          <w:rFonts w:ascii="Times New Roman" w:hAnsi="Times New Roman" w:cs="Times New Roman"/>
          <w:i/>
        </w:rPr>
        <w:t>Sulla struttura di un dialogo di Ludovico Carbone</w:t>
      </w:r>
      <w:r w:rsidRPr="00796A9D">
        <w:rPr>
          <w:rFonts w:ascii="Times New Roman" w:hAnsi="Times New Roman" w:cs="Times New Roman"/>
        </w:rPr>
        <w:t xml:space="preserve"> (</w:t>
      </w:r>
      <w:r w:rsidRPr="00796A9D">
        <w:rPr>
          <w:rFonts w:ascii="Times New Roman" w:hAnsi="Times New Roman" w:cs="Times New Roman"/>
          <w:i/>
        </w:rPr>
        <w:t>de Neapolitana profectione</w:t>
      </w:r>
      <w:r w:rsidRPr="00796A9D">
        <w:rPr>
          <w:rFonts w:ascii="Times New Roman" w:hAnsi="Times New Roman" w:cs="Times New Roman"/>
        </w:rPr>
        <w:t xml:space="preserve">), «Annali della Facoltà di Lettere e Filosofia dell’Università degli Studi di Bari», XXI, 1978, pp. 93-113.   </w:t>
      </w:r>
    </w:p>
  </w:footnote>
  <w:footnote w:id="649">
    <w:p w14:paraId="3B14D6F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 fornire la notizia è una lettera di Teofilo Calcagnini a Ercole d’Este, priva di data, edita in </w:t>
      </w:r>
      <w:r w:rsidRPr="00796A9D">
        <w:rPr>
          <w:rFonts w:ascii="Times New Roman" w:hAnsi="Times New Roman" w:cs="Times New Roman"/>
          <w:smallCaps/>
        </w:rPr>
        <w:t>L. Olivi</w:t>
      </w:r>
      <w:r w:rsidRPr="00796A9D">
        <w:rPr>
          <w:rFonts w:ascii="Times New Roman" w:hAnsi="Times New Roman" w:cs="Times New Roman"/>
        </w:rPr>
        <w:t xml:space="preserve">, </w:t>
      </w:r>
      <w:r w:rsidRPr="00796A9D">
        <w:rPr>
          <w:rFonts w:ascii="Times New Roman" w:hAnsi="Times New Roman" w:cs="Times New Roman"/>
          <w:i/>
        </w:rPr>
        <w:t>Delle nozze di Ercole I d’Este con Eleonora d’Aragona</w:t>
      </w:r>
      <w:r w:rsidRPr="00796A9D">
        <w:rPr>
          <w:rFonts w:ascii="Times New Roman" w:hAnsi="Times New Roman" w:cs="Times New Roman"/>
        </w:rPr>
        <w:t xml:space="preserve">, Modena, Soliani, 1887, pp. 17-21. </w:t>
      </w:r>
    </w:p>
  </w:footnote>
  <w:footnote w:id="650">
    <w:p w14:paraId="2987042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pp. 21-22. La lettera è datata 21 maggio 1473.  </w:t>
      </w:r>
    </w:p>
  </w:footnote>
  <w:footnote w:id="651">
    <w:p w14:paraId="3BB6A71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Sulle feste napoletane per lo sposalizio di Eleonora d’Aragona del 1473 cfr. </w:t>
      </w:r>
      <w:r w:rsidRPr="00796A9D">
        <w:rPr>
          <w:rFonts w:ascii="Times New Roman" w:hAnsi="Times New Roman" w:cs="Times New Roman"/>
          <w:smallCaps/>
        </w:rPr>
        <w:t>C.A. Addesso</w:t>
      </w:r>
      <w:r w:rsidRPr="00796A9D">
        <w:rPr>
          <w:rFonts w:ascii="Times New Roman" w:hAnsi="Times New Roman" w:cs="Times New Roman"/>
        </w:rPr>
        <w:t xml:space="preserve">, </w:t>
      </w:r>
      <w:r w:rsidRPr="00796A9D">
        <w:rPr>
          <w:rFonts w:ascii="Times New Roman" w:hAnsi="Times New Roman" w:cs="Times New Roman"/>
          <w:i/>
        </w:rPr>
        <w:t>Teatro e festività nella Napoli Aragonese</w:t>
      </w:r>
      <w:r w:rsidRPr="00796A9D">
        <w:rPr>
          <w:rFonts w:ascii="Times New Roman" w:hAnsi="Times New Roman" w:cs="Times New Roman"/>
        </w:rPr>
        <w:t xml:space="preserve">, cit., p. 64, dove si pubblica la registrazione dei due pagamenti dalle cedole della tesoreria aragonese e dove l’identificazione dei “mimi” con balli mascherati è ripresa da precedenti argomentazioni di </w:t>
      </w:r>
      <w:r w:rsidRPr="00796A9D">
        <w:rPr>
          <w:rFonts w:ascii="Times New Roman" w:hAnsi="Times New Roman" w:cs="Times New Roman"/>
          <w:smallCaps/>
        </w:rPr>
        <w:t>B. Croce</w:t>
      </w:r>
      <w:r w:rsidRPr="00796A9D">
        <w:rPr>
          <w:rFonts w:ascii="Times New Roman" w:hAnsi="Times New Roman" w:cs="Times New Roman"/>
        </w:rPr>
        <w:t xml:space="preserve">, </w:t>
      </w:r>
      <w:r w:rsidRPr="00796A9D">
        <w:rPr>
          <w:rFonts w:ascii="Times New Roman" w:hAnsi="Times New Roman" w:cs="Times New Roman"/>
          <w:i/>
        </w:rPr>
        <w:t>I teatri di Napoli</w:t>
      </w:r>
      <w:r w:rsidRPr="00796A9D">
        <w:rPr>
          <w:rFonts w:ascii="Times New Roman" w:hAnsi="Times New Roman" w:cs="Times New Roman"/>
        </w:rPr>
        <w:t xml:space="preserve">, Napoli, Pierro, 1891, p. 10. </w:t>
      </w:r>
    </w:p>
  </w:footnote>
  <w:footnote w:id="652">
    <w:p w14:paraId="69348779" w14:textId="77777777" w:rsidR="00CF5CFB" w:rsidRPr="00796A9D" w:rsidRDefault="00CF5CFB" w:rsidP="00796A9D">
      <w:pPr>
        <w:spacing w:after="0"/>
        <w:jc w:val="both"/>
        <w:rPr>
          <w:rFonts w:ascii="Times New Roman" w:hAnsi="Times New Roman" w:cs="Times New Roman"/>
          <w:sz w:val="20"/>
          <w:szCs w:val="20"/>
          <w:lang w:val="en-GB"/>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Per lo spettacolo del corteo itinerante di Eleonora da Napoli a Ferrara vedi C. </w:t>
      </w:r>
      <w:r w:rsidRPr="00796A9D">
        <w:rPr>
          <w:rFonts w:ascii="Times New Roman" w:hAnsi="Times New Roman" w:cs="Times New Roman"/>
          <w:smallCaps/>
          <w:sz w:val="20"/>
          <w:szCs w:val="20"/>
        </w:rPr>
        <w:t>Falletti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Le feste per Eleonora d’Aragona da Napoli a Ferrara (1473)</w:t>
      </w:r>
      <w:r w:rsidRPr="00796A9D">
        <w:rPr>
          <w:rFonts w:ascii="Times New Roman" w:hAnsi="Times New Roman" w:cs="Times New Roman"/>
          <w:sz w:val="20"/>
          <w:szCs w:val="20"/>
        </w:rPr>
        <w:t xml:space="preserve">, cit., pp. 121-140. Per la discussione delle fonti disponibili riguardo gli spettacoli che caratterizzarono questa sosta romana cfr. F. </w:t>
      </w:r>
      <w:r w:rsidRPr="00796A9D">
        <w:rPr>
          <w:rFonts w:ascii="Times New Roman" w:hAnsi="Times New Roman" w:cs="Times New Roman"/>
          <w:smallCaps/>
          <w:sz w:val="20"/>
          <w:szCs w:val="20"/>
        </w:rPr>
        <w:t>Cruciani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 xml:space="preserve">Teatro nel Rinascimento. </w:t>
      </w:r>
      <w:r w:rsidRPr="00796A9D">
        <w:rPr>
          <w:rFonts w:ascii="Times New Roman" w:hAnsi="Times New Roman" w:cs="Times New Roman"/>
          <w:i/>
          <w:sz w:val="20"/>
          <w:szCs w:val="20"/>
          <w:lang w:val="en-GB"/>
        </w:rPr>
        <w:t>Roma 1450-1550</w:t>
      </w:r>
      <w:r w:rsidRPr="00796A9D">
        <w:rPr>
          <w:rFonts w:ascii="Times New Roman" w:hAnsi="Times New Roman" w:cs="Times New Roman"/>
          <w:sz w:val="20"/>
          <w:szCs w:val="20"/>
          <w:lang w:val="en-GB"/>
        </w:rPr>
        <w:t xml:space="preserve">, cit., pp. 108-112.  </w:t>
      </w:r>
    </w:p>
  </w:footnote>
  <w:footnote w:id="653">
    <w:p w14:paraId="1F3E2BA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lang w:val="en-GB"/>
        </w:rPr>
        <w:t xml:space="preserve">Cfr. </w:t>
      </w:r>
      <w:r w:rsidRPr="00796A9D">
        <w:rPr>
          <w:rFonts w:ascii="Times New Roman" w:hAnsi="Times New Roman" w:cs="Times New Roman"/>
          <w:smallCaps/>
          <w:lang w:val="en-GB"/>
        </w:rPr>
        <w:t>D. Howe</w:t>
      </w:r>
      <w:r w:rsidRPr="00796A9D">
        <w:rPr>
          <w:rFonts w:ascii="Times New Roman" w:hAnsi="Times New Roman" w:cs="Times New Roman"/>
          <w:lang w:val="en-GB"/>
        </w:rPr>
        <w:t xml:space="preserve">, </w:t>
      </w:r>
      <w:r w:rsidRPr="00796A9D">
        <w:rPr>
          <w:rFonts w:ascii="Times New Roman" w:hAnsi="Times New Roman" w:cs="Times New Roman"/>
          <w:i/>
          <w:lang w:val="en-GB"/>
        </w:rPr>
        <w:t>Art and Culture at the Sistine Court</w:t>
      </w:r>
      <w:r w:rsidRPr="00796A9D">
        <w:rPr>
          <w:rFonts w:ascii="Times New Roman" w:hAnsi="Times New Roman" w:cs="Times New Roman"/>
          <w:lang w:val="en-GB"/>
        </w:rPr>
        <w:t xml:space="preserve">, cit., p. 88. </w:t>
      </w:r>
      <w:r w:rsidRPr="00796A9D">
        <w:rPr>
          <w:rFonts w:ascii="Times New Roman" w:hAnsi="Times New Roman" w:cs="Times New Roman"/>
        </w:rPr>
        <w:t xml:space="preserve">Un inquadramento dell’affresco all’interno della fortuna iconografica quattrocentesca di Eleonora d’Aragona è presentato in </w:t>
      </w:r>
      <w:r w:rsidRPr="00796A9D">
        <w:rPr>
          <w:rFonts w:ascii="Times New Roman" w:hAnsi="Times New Roman" w:cs="Times New Roman"/>
          <w:smallCaps/>
        </w:rPr>
        <w:t>D.R. Bryant</w:t>
      </w:r>
      <w:r w:rsidRPr="00796A9D">
        <w:rPr>
          <w:rFonts w:ascii="Times New Roman" w:hAnsi="Times New Roman" w:cs="Times New Roman"/>
        </w:rPr>
        <w:t xml:space="preserve">, </w:t>
      </w:r>
      <w:r w:rsidRPr="00796A9D">
        <w:rPr>
          <w:rFonts w:ascii="Times New Roman" w:hAnsi="Times New Roman" w:cs="Times New Roman"/>
          <w:i/>
        </w:rPr>
        <w:t>“Maestosa e bella, còlta e gentile”: iconografia certa e supposta di Eleonora d’Aragona, duchessa di Ferrara (1473-1493),</w:t>
      </w:r>
      <w:r w:rsidRPr="00796A9D">
        <w:rPr>
          <w:rFonts w:ascii="Times New Roman" w:hAnsi="Times New Roman" w:cs="Times New Roman"/>
        </w:rPr>
        <w:t xml:space="preserve"> «Bollettino della Ferrariae decus», 23, 2006-2007, pp. 181-215. Una riproduzione fotografica e alcune osservazioni sull’opera, purtroppo ad oggi poco studiata, anche in </w:t>
      </w:r>
      <w:r w:rsidRPr="00796A9D">
        <w:rPr>
          <w:rFonts w:ascii="Times New Roman" w:hAnsi="Times New Roman" w:cs="Times New Roman"/>
          <w:smallCaps/>
        </w:rPr>
        <w:t>P. de Angelis</w:t>
      </w:r>
      <w:r w:rsidRPr="00796A9D">
        <w:rPr>
          <w:rFonts w:ascii="Times New Roman" w:hAnsi="Times New Roman" w:cs="Times New Roman"/>
        </w:rPr>
        <w:t xml:space="preserve">, </w:t>
      </w:r>
      <w:r w:rsidRPr="00796A9D">
        <w:rPr>
          <w:rFonts w:ascii="Times New Roman" w:hAnsi="Times New Roman" w:cs="Times New Roman"/>
          <w:i/>
        </w:rPr>
        <w:t>L’architetto e gli affreschi di Santo Spirito in Saxia</w:t>
      </w:r>
      <w:r w:rsidRPr="00796A9D">
        <w:rPr>
          <w:rFonts w:ascii="Times New Roman" w:hAnsi="Times New Roman" w:cs="Times New Roman"/>
        </w:rPr>
        <w:t>, Roma, Nuova Tecnica Grafica, 1961, pp. 236-238.</w:t>
      </w:r>
    </w:p>
  </w:footnote>
  <w:footnote w:id="654">
    <w:p w14:paraId="2F1DD22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priva del nome del destinatario, è pubblicata in </w:t>
      </w:r>
      <w:r w:rsidRPr="00796A9D">
        <w:rPr>
          <w:rFonts w:ascii="Times New Roman" w:hAnsi="Times New Roman" w:cs="Times New Roman"/>
          <w:smallCaps/>
        </w:rPr>
        <w:t>C. Corvisieri</w:t>
      </w:r>
      <w:r w:rsidRPr="00796A9D">
        <w:rPr>
          <w:rFonts w:ascii="Times New Roman" w:hAnsi="Times New Roman" w:cs="Times New Roman"/>
        </w:rPr>
        <w:t xml:space="preserve">, </w:t>
      </w:r>
      <w:r w:rsidRPr="00796A9D">
        <w:rPr>
          <w:rFonts w:ascii="Times New Roman" w:hAnsi="Times New Roman" w:cs="Times New Roman"/>
          <w:i/>
        </w:rPr>
        <w:t>Il trionfo romano di Eleonora d’Aragona</w:t>
      </w:r>
      <w:r w:rsidRPr="00796A9D">
        <w:rPr>
          <w:rFonts w:ascii="Times New Roman" w:hAnsi="Times New Roman" w:cs="Times New Roman"/>
        </w:rPr>
        <w:t xml:space="preserve">, cit., p. 642-648; anche in </w:t>
      </w:r>
      <w:r w:rsidRPr="00796A9D">
        <w:rPr>
          <w:rFonts w:ascii="Times New Roman" w:hAnsi="Times New Roman" w:cs="Times New Roman"/>
          <w:smallCaps/>
          <w:lang w:val="fr-FR"/>
        </w:rPr>
        <w:t>A. De Tummulillis</w:t>
      </w:r>
      <w:r w:rsidRPr="00796A9D">
        <w:rPr>
          <w:rFonts w:ascii="Times New Roman" w:hAnsi="Times New Roman" w:cs="Times New Roman"/>
          <w:lang w:val="fr-FR"/>
        </w:rPr>
        <w:t xml:space="preserve">, </w:t>
      </w:r>
      <w:r w:rsidRPr="00796A9D">
        <w:rPr>
          <w:rFonts w:ascii="Times New Roman" w:hAnsi="Times New Roman" w:cs="Times New Roman"/>
          <w:i/>
          <w:lang w:val="fr-FR"/>
        </w:rPr>
        <w:t>Notabilia temporum</w:t>
      </w:r>
      <w:r w:rsidRPr="00796A9D">
        <w:rPr>
          <w:rFonts w:ascii="Times New Roman" w:hAnsi="Times New Roman" w:cs="Times New Roman"/>
          <w:lang w:val="fr-FR"/>
        </w:rPr>
        <w:t>, cit. pp. 194-203.</w:t>
      </w:r>
    </w:p>
  </w:footnote>
  <w:footnote w:id="655">
    <w:p w14:paraId="2614014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presenza della regina esule a Roma è attestata dal 1466 al 1478, anno in cui morì lasciando il suo regno in eredità alla sede apostolica. Cfr. </w:t>
      </w:r>
      <w:r w:rsidRPr="00796A9D">
        <w:rPr>
          <w:rFonts w:ascii="Times New Roman" w:hAnsi="Times New Roman" w:cs="Times New Roman"/>
          <w:smallCaps/>
        </w:rPr>
        <w:t>L. von Pastor</w:t>
      </w:r>
      <w:r w:rsidRPr="00796A9D">
        <w:rPr>
          <w:rFonts w:ascii="Times New Roman" w:hAnsi="Times New Roman" w:cs="Times New Roman"/>
        </w:rPr>
        <w:t xml:space="preserve">, </w:t>
      </w:r>
      <w:r w:rsidRPr="00796A9D">
        <w:rPr>
          <w:rFonts w:ascii="Times New Roman" w:hAnsi="Times New Roman" w:cs="Times New Roman"/>
          <w:i/>
        </w:rPr>
        <w:t>Storia dei papi dalla fine del Medio Evo</w:t>
      </w:r>
      <w:r w:rsidRPr="00796A9D">
        <w:rPr>
          <w:rFonts w:ascii="Times New Roman" w:hAnsi="Times New Roman" w:cs="Times New Roman"/>
        </w:rPr>
        <w:t>, Roma, Desclée, 1958, vol. II, p. 228.</w:t>
      </w:r>
    </w:p>
  </w:footnote>
  <w:footnote w:id="656">
    <w:p w14:paraId="6880E15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C. </w:t>
      </w:r>
      <w:r w:rsidRPr="00796A9D">
        <w:rPr>
          <w:rFonts w:ascii="Times New Roman" w:hAnsi="Times New Roman" w:cs="Times New Roman"/>
          <w:smallCaps/>
        </w:rPr>
        <w:t>Falletti</w:t>
      </w:r>
      <w:r w:rsidRPr="00796A9D">
        <w:rPr>
          <w:rFonts w:ascii="Times New Roman" w:hAnsi="Times New Roman" w:cs="Times New Roman"/>
        </w:rPr>
        <w:t xml:space="preserve">, </w:t>
      </w:r>
      <w:r w:rsidRPr="00796A9D">
        <w:rPr>
          <w:rFonts w:ascii="Times New Roman" w:hAnsi="Times New Roman" w:cs="Times New Roman"/>
          <w:i/>
        </w:rPr>
        <w:t>Le feste per Eleonora d’Aragona da Napoli a Ferrara (1473)</w:t>
      </w:r>
      <w:r w:rsidRPr="00796A9D">
        <w:rPr>
          <w:rFonts w:ascii="Times New Roman" w:hAnsi="Times New Roman" w:cs="Times New Roman"/>
        </w:rPr>
        <w:t>, cit., pp. 132-133.</w:t>
      </w:r>
    </w:p>
  </w:footnote>
  <w:footnote w:id="657">
    <w:p w14:paraId="3351D8C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processione del 1473, secondo una missiva della stessa Eleonora, previde la sfilata di sette edifizi sui soggetti della consegna della Legge a Mosè, dell’Annunciazione, della Natività, del Battesimo di Gesù, della Resurrezione, della Pentecoste e dell’Assunzione di Maria in cielo. Sulla sosta della principessa a Firenze e sull’importanza della sua testimonianza per comprendere come gli apparati della festa di san Giovanni colpissero con la loro bellezza gli osservatori provenienti da altre città vedi </w:t>
      </w:r>
      <w:r w:rsidRPr="00796A9D">
        <w:rPr>
          <w:rFonts w:ascii="Times New Roman" w:eastAsia="Times New Roman" w:hAnsi="Times New Roman" w:cs="Times New Roman"/>
          <w:smallCaps/>
        </w:rPr>
        <w:t>P. Ventrone</w:t>
      </w:r>
      <w:r w:rsidRPr="00796A9D">
        <w:rPr>
          <w:rFonts w:ascii="Times New Roman" w:eastAsia="Times New Roman" w:hAnsi="Times New Roman" w:cs="Times New Roman"/>
        </w:rPr>
        <w:t xml:space="preserve">, </w:t>
      </w:r>
      <w:r w:rsidRPr="00796A9D">
        <w:rPr>
          <w:rFonts w:ascii="Times New Roman" w:eastAsia="Times New Roman" w:hAnsi="Times New Roman" w:cs="Times New Roman"/>
          <w:i/>
        </w:rPr>
        <w:t>Teatro civile e sacra rappresentazione a Firenze nel Rinascimento</w:t>
      </w:r>
      <w:r w:rsidRPr="00796A9D">
        <w:rPr>
          <w:rFonts w:ascii="Times New Roman" w:eastAsia="Times New Roman" w:hAnsi="Times New Roman" w:cs="Times New Roman"/>
        </w:rPr>
        <w:t>, cit., pp. 258-259.</w:t>
      </w:r>
      <w:r w:rsidRPr="00796A9D">
        <w:rPr>
          <w:rFonts w:ascii="Times New Roman" w:hAnsi="Times New Roman" w:cs="Times New Roman"/>
        </w:rPr>
        <w:t xml:space="preserve"> La lettera di Eleonora del 25 giugno 1473, indirizzata ad Ercole d’Este, con le informazioni sul soggiorno fiorentino è edita in </w:t>
      </w:r>
      <w:r w:rsidRPr="00796A9D">
        <w:rPr>
          <w:rFonts w:ascii="Times New Roman" w:hAnsi="Times New Roman" w:cs="Times New Roman"/>
          <w:smallCaps/>
        </w:rPr>
        <w:t>C. Corvisieri</w:t>
      </w:r>
      <w:r w:rsidRPr="00796A9D">
        <w:rPr>
          <w:rFonts w:ascii="Times New Roman" w:hAnsi="Times New Roman" w:cs="Times New Roman"/>
        </w:rPr>
        <w:t xml:space="preserve">, </w:t>
      </w:r>
      <w:r w:rsidRPr="00796A9D">
        <w:rPr>
          <w:rFonts w:ascii="Times New Roman" w:hAnsi="Times New Roman" w:cs="Times New Roman"/>
          <w:i/>
        </w:rPr>
        <w:t>Il trionfo romano di Eleonora d’Aragona</w:t>
      </w:r>
      <w:r w:rsidRPr="00796A9D">
        <w:rPr>
          <w:rFonts w:ascii="Times New Roman" w:hAnsi="Times New Roman" w:cs="Times New Roman"/>
        </w:rPr>
        <w:t>, cit., pp. 654-655.</w:t>
      </w:r>
    </w:p>
  </w:footnote>
  <w:footnote w:id="658">
    <w:p w14:paraId="65F6A5D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Molto particolareggiata la descrizione dell’ingresso ferrarese del </w:t>
      </w:r>
      <w:r w:rsidRPr="00796A9D">
        <w:rPr>
          <w:rFonts w:ascii="Times New Roman" w:hAnsi="Times New Roman" w:cs="Times New Roman"/>
          <w:i/>
        </w:rPr>
        <w:t>Diario</w:t>
      </w:r>
      <w:r w:rsidRPr="00796A9D">
        <w:rPr>
          <w:rFonts w:ascii="Times New Roman" w:hAnsi="Times New Roman" w:cs="Times New Roman"/>
        </w:rPr>
        <w:t xml:space="preserve"> di Ugo Caleffini. Se ne veda l’edizione fornita in </w:t>
      </w:r>
      <w:r w:rsidRPr="00796A9D">
        <w:rPr>
          <w:rFonts w:ascii="Times New Roman" w:hAnsi="Times New Roman" w:cs="Times New Roman"/>
          <w:smallCaps/>
        </w:rPr>
        <w:t>C. Corvisieri</w:t>
      </w:r>
      <w:r w:rsidRPr="00796A9D">
        <w:rPr>
          <w:rFonts w:ascii="Times New Roman" w:hAnsi="Times New Roman" w:cs="Times New Roman"/>
        </w:rPr>
        <w:t xml:space="preserve">, </w:t>
      </w:r>
      <w:r w:rsidRPr="00796A9D">
        <w:rPr>
          <w:rFonts w:ascii="Times New Roman" w:hAnsi="Times New Roman" w:cs="Times New Roman"/>
          <w:i/>
        </w:rPr>
        <w:t>Il trionfo romano di Eleonora d’Aragona</w:t>
      </w:r>
      <w:r w:rsidRPr="00796A9D">
        <w:rPr>
          <w:rFonts w:ascii="Times New Roman" w:hAnsi="Times New Roman" w:cs="Times New Roman"/>
        </w:rPr>
        <w:t xml:space="preserve">, cit., pp. 654-655. Anche per le accoglienze ferraresi alla sposa si rinvia a C. </w:t>
      </w:r>
      <w:r w:rsidRPr="00796A9D">
        <w:rPr>
          <w:rFonts w:ascii="Times New Roman" w:hAnsi="Times New Roman" w:cs="Times New Roman"/>
          <w:smallCaps/>
        </w:rPr>
        <w:t>Falletti</w:t>
      </w:r>
      <w:r w:rsidRPr="00796A9D">
        <w:rPr>
          <w:rFonts w:ascii="Times New Roman" w:hAnsi="Times New Roman" w:cs="Times New Roman"/>
        </w:rPr>
        <w:t xml:space="preserve">, </w:t>
      </w:r>
      <w:r w:rsidRPr="00796A9D">
        <w:rPr>
          <w:rFonts w:ascii="Times New Roman" w:hAnsi="Times New Roman" w:cs="Times New Roman"/>
          <w:i/>
        </w:rPr>
        <w:t>Le feste per Eleonora d’Aragona da Napoli a Ferrara (1473)</w:t>
      </w:r>
      <w:r w:rsidRPr="00796A9D">
        <w:rPr>
          <w:rFonts w:ascii="Times New Roman" w:hAnsi="Times New Roman" w:cs="Times New Roman"/>
        </w:rPr>
        <w:t xml:space="preserve">, cit., pp. 135-140. </w:t>
      </w:r>
    </w:p>
  </w:footnote>
  <w:footnote w:id="659">
    <w:p w14:paraId="4244BE2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lang w:val="en-GB"/>
        </w:rPr>
        <w:t xml:space="preserve">  Cfr. </w:t>
      </w:r>
      <w:r w:rsidRPr="00796A9D">
        <w:rPr>
          <w:rFonts w:ascii="Times New Roman" w:hAnsi="Times New Roman" w:cs="Times New Roman"/>
          <w:smallCaps/>
          <w:lang w:val="en-GB"/>
        </w:rPr>
        <w:t>W.L. Gundersheimer</w:t>
      </w:r>
      <w:r w:rsidRPr="00796A9D">
        <w:rPr>
          <w:rFonts w:ascii="Times New Roman" w:hAnsi="Times New Roman" w:cs="Times New Roman"/>
          <w:lang w:val="en-GB"/>
        </w:rPr>
        <w:t xml:space="preserve">, </w:t>
      </w:r>
      <w:r w:rsidRPr="00796A9D">
        <w:rPr>
          <w:rFonts w:ascii="Times New Roman" w:hAnsi="Times New Roman" w:cs="Times New Roman"/>
          <w:i/>
          <w:lang w:val="en-GB"/>
        </w:rPr>
        <w:t>Art and Life at the Court of Ercole I d’Este: The “</w:t>
      </w:r>
      <w:r w:rsidRPr="00796A9D">
        <w:rPr>
          <w:rFonts w:ascii="Times New Roman" w:hAnsi="Times New Roman" w:cs="Times New Roman"/>
          <w:lang w:val="en-GB"/>
        </w:rPr>
        <w:t>De triumphis religionis</w:t>
      </w:r>
      <w:r w:rsidRPr="00796A9D">
        <w:rPr>
          <w:rFonts w:ascii="Times New Roman" w:hAnsi="Times New Roman" w:cs="Times New Roman"/>
          <w:i/>
          <w:lang w:val="en-GB"/>
        </w:rPr>
        <w:t>” of Giovanni Sabadino degli Arienti</w:t>
      </w:r>
      <w:r w:rsidRPr="00796A9D">
        <w:rPr>
          <w:rFonts w:ascii="Times New Roman" w:hAnsi="Times New Roman" w:cs="Times New Roman"/>
          <w:lang w:val="en-GB"/>
        </w:rPr>
        <w:t xml:space="preserve">, Genève, Droz, 1972, p. 71. </w:t>
      </w:r>
      <w:r w:rsidRPr="00796A9D">
        <w:rPr>
          <w:rFonts w:ascii="Times New Roman" w:hAnsi="Times New Roman" w:cs="Times New Roman"/>
        </w:rPr>
        <w:t xml:space="preserve">La delizia di Belfiore, voluta da Alberto I d’Este nel 1390, a partire dal 1471 fu oggetto di restauri promossi da Ercole I, che volle in particolare ampliarne il parco, adibito a riserva di caccia, e che sopraintese personalmente ai cantieri. Sull’importanza di questi interventi in un piano di consolidamento dell’immagine principesca del duca di Ferrara attraverso le architetture delle dimore di villeggiatura si veda </w:t>
      </w:r>
      <w:r w:rsidRPr="00796A9D">
        <w:rPr>
          <w:rFonts w:ascii="Times New Roman" w:hAnsi="Times New Roman" w:cs="Times New Roman"/>
          <w:smallCaps/>
        </w:rPr>
        <w:t>M. Folin</w:t>
      </w:r>
      <w:r w:rsidRPr="00796A9D">
        <w:rPr>
          <w:rFonts w:ascii="Times New Roman" w:hAnsi="Times New Roman" w:cs="Times New Roman"/>
        </w:rPr>
        <w:t xml:space="preserve">, </w:t>
      </w:r>
      <w:r w:rsidRPr="00796A9D">
        <w:rPr>
          <w:rFonts w:ascii="Times New Roman" w:hAnsi="Times New Roman" w:cs="Times New Roman"/>
          <w:i/>
        </w:rPr>
        <w:t>Le residenze di corte e il sistema delle delizie fra Medioevo ed Età Moderna</w:t>
      </w:r>
      <w:r w:rsidRPr="00796A9D">
        <w:rPr>
          <w:rFonts w:ascii="Times New Roman" w:hAnsi="Times New Roman" w:cs="Times New Roman"/>
        </w:rPr>
        <w:t xml:space="preserve">, in </w:t>
      </w:r>
      <w:r w:rsidRPr="00796A9D">
        <w:rPr>
          <w:rFonts w:ascii="Times New Roman" w:hAnsi="Times New Roman" w:cs="Times New Roman"/>
          <w:i/>
        </w:rPr>
        <w:t>Delizie estensi. Architetture di villa nel Rinascimento italiano ed europeo</w:t>
      </w:r>
      <w:r w:rsidRPr="00796A9D">
        <w:rPr>
          <w:rFonts w:ascii="Times New Roman" w:hAnsi="Times New Roman" w:cs="Times New Roman"/>
        </w:rPr>
        <w:t xml:space="preserve">, a cura di </w:t>
      </w:r>
      <w:r w:rsidRPr="00796A9D">
        <w:rPr>
          <w:rFonts w:ascii="Times New Roman" w:hAnsi="Times New Roman" w:cs="Times New Roman"/>
          <w:smallCaps/>
        </w:rPr>
        <w:t>F. Ceccarelli, M. Folin</w:t>
      </w:r>
      <w:r w:rsidRPr="00796A9D">
        <w:rPr>
          <w:rFonts w:ascii="Times New Roman" w:hAnsi="Times New Roman" w:cs="Times New Roman"/>
        </w:rPr>
        <w:t xml:space="preserve">, Firenze, Olschki, 2009, pp. 79-136.  </w:t>
      </w:r>
    </w:p>
  </w:footnote>
  <w:footnote w:id="660">
    <w:p w14:paraId="6240064E" w14:textId="77777777" w:rsidR="00CF5CFB" w:rsidRPr="00796A9D" w:rsidRDefault="00CF5CFB" w:rsidP="00796A9D">
      <w:pPr>
        <w:pStyle w:val="Testonotaapidipagina"/>
        <w:jc w:val="both"/>
        <w:rPr>
          <w:rFonts w:ascii="Times New Roman" w:hAnsi="Times New Roman" w:cs="Times New Roman"/>
          <w:lang w:val="fr-FR"/>
        </w:rPr>
      </w:pPr>
      <w:r w:rsidRPr="00796A9D">
        <w:rPr>
          <w:rStyle w:val="Rimandonotaapidipagina"/>
          <w:rFonts w:ascii="Times New Roman" w:hAnsi="Times New Roman" w:cs="Times New Roman"/>
        </w:rPr>
        <w:footnoteRef/>
      </w:r>
      <w:r w:rsidRPr="00796A9D">
        <w:rPr>
          <w:rFonts w:ascii="Times New Roman" w:hAnsi="Times New Roman" w:cs="Times New Roman"/>
          <w:lang w:val="fr-FR"/>
        </w:rPr>
        <w:t xml:space="preserve"> </w:t>
      </w:r>
      <w:r w:rsidRPr="00796A9D">
        <w:rPr>
          <w:rFonts w:ascii="Times New Roman" w:hAnsi="Times New Roman" w:cs="Times New Roman"/>
          <w:smallCaps/>
          <w:lang w:val="fr-FR"/>
        </w:rPr>
        <w:t>A. De Tummulillis</w:t>
      </w:r>
      <w:r w:rsidRPr="00796A9D">
        <w:rPr>
          <w:rFonts w:ascii="Times New Roman" w:hAnsi="Times New Roman" w:cs="Times New Roman"/>
          <w:lang w:val="fr-FR"/>
        </w:rPr>
        <w:t xml:space="preserve">, </w:t>
      </w:r>
      <w:r w:rsidRPr="00796A9D">
        <w:rPr>
          <w:rFonts w:ascii="Times New Roman" w:hAnsi="Times New Roman" w:cs="Times New Roman"/>
          <w:i/>
          <w:lang w:val="fr-FR"/>
        </w:rPr>
        <w:t>Notabilia temporum</w:t>
      </w:r>
      <w:r w:rsidRPr="00796A9D">
        <w:rPr>
          <w:rFonts w:ascii="Times New Roman" w:hAnsi="Times New Roman" w:cs="Times New Roman"/>
          <w:lang w:val="fr-FR"/>
        </w:rPr>
        <w:t>, cit. p. 218.</w:t>
      </w:r>
    </w:p>
  </w:footnote>
  <w:footnote w:id="661">
    <w:p w14:paraId="4D3ECF4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Milano, ASMi, Potenze estere, Ungheria, f. 122. La missiva è edita e commentata in </w:t>
      </w:r>
      <w:r w:rsidRPr="00796A9D">
        <w:rPr>
          <w:rFonts w:ascii="Times New Roman" w:hAnsi="Times New Roman" w:cs="Times New Roman"/>
          <w:smallCaps/>
        </w:rPr>
        <w:t>A. Berzeviczy</w:t>
      </w:r>
      <w:r w:rsidRPr="00796A9D">
        <w:rPr>
          <w:rFonts w:ascii="Times New Roman" w:hAnsi="Times New Roman" w:cs="Times New Roman"/>
        </w:rPr>
        <w:t xml:space="preserve">, </w:t>
      </w:r>
      <w:r w:rsidRPr="00796A9D">
        <w:rPr>
          <w:rFonts w:ascii="Times New Roman" w:hAnsi="Times New Roman" w:cs="Times New Roman"/>
          <w:i/>
        </w:rPr>
        <w:t>Beatrice d’Aragona</w:t>
      </w:r>
      <w:r w:rsidRPr="00796A9D">
        <w:rPr>
          <w:rFonts w:ascii="Times New Roman" w:hAnsi="Times New Roman" w:cs="Times New Roman"/>
        </w:rPr>
        <w:t xml:space="preserve">, Milano, Dall’Oglio, 1952, p. 42. Al quale si rinvia per una precisa descrizione delle tappe del trasferimento di Beatrice da Napoli a Buda, alle pp. 40-62. Si noti come la presenza dei prigionieri turchi nell’ambasceria mandata dal Corvino ribadisse il ruolo di </w:t>
      </w:r>
      <w:r w:rsidRPr="00796A9D">
        <w:rPr>
          <w:rFonts w:ascii="Times New Roman" w:hAnsi="Times New Roman" w:cs="Times New Roman"/>
          <w:i/>
        </w:rPr>
        <w:t>defensor fidei</w:t>
      </w:r>
      <w:r w:rsidRPr="00796A9D">
        <w:rPr>
          <w:rFonts w:ascii="Times New Roman" w:hAnsi="Times New Roman" w:cs="Times New Roman"/>
        </w:rPr>
        <w:t xml:space="preserve"> del sovrano dinnanzi all’avanzare delle mire espansionistiche di Maometto II.  </w:t>
      </w:r>
    </w:p>
  </w:footnote>
  <w:footnote w:id="662">
    <w:p w14:paraId="7DA1C02F" w14:textId="77777777" w:rsidR="00CF5CFB" w:rsidRPr="00796A9D" w:rsidRDefault="00CF5CFB" w:rsidP="00796A9D">
      <w:pPr>
        <w:pStyle w:val="Testonotaapidipagina"/>
        <w:jc w:val="both"/>
        <w:rPr>
          <w:rFonts w:ascii="Times New Roman" w:hAnsi="Times New Roman" w:cs="Times New Roman"/>
          <w:lang w:val="fr-FR"/>
        </w:rPr>
      </w:pPr>
      <w:r w:rsidRPr="00796A9D">
        <w:rPr>
          <w:rStyle w:val="Rimandonotaapidipagina"/>
          <w:rFonts w:ascii="Times New Roman" w:hAnsi="Times New Roman" w:cs="Times New Roman"/>
        </w:rPr>
        <w:footnoteRef/>
      </w:r>
      <w:r w:rsidRPr="00796A9D">
        <w:rPr>
          <w:rFonts w:ascii="Times New Roman" w:hAnsi="Times New Roman" w:cs="Times New Roman"/>
          <w:lang w:val="fr-FR"/>
        </w:rPr>
        <w:t xml:space="preserve"> </w:t>
      </w:r>
      <w:r w:rsidRPr="00796A9D">
        <w:rPr>
          <w:rFonts w:ascii="Times New Roman" w:hAnsi="Times New Roman" w:cs="Times New Roman"/>
          <w:smallCaps/>
          <w:lang w:val="fr-FR"/>
        </w:rPr>
        <w:t>A. De Tummulillis</w:t>
      </w:r>
      <w:r w:rsidRPr="00796A9D">
        <w:rPr>
          <w:rFonts w:ascii="Times New Roman" w:hAnsi="Times New Roman" w:cs="Times New Roman"/>
          <w:lang w:val="fr-FR"/>
        </w:rPr>
        <w:t xml:space="preserve">, </w:t>
      </w:r>
      <w:r w:rsidRPr="00796A9D">
        <w:rPr>
          <w:rFonts w:ascii="Times New Roman" w:hAnsi="Times New Roman" w:cs="Times New Roman"/>
          <w:i/>
          <w:lang w:val="fr-FR"/>
        </w:rPr>
        <w:t>Notabilia temporum</w:t>
      </w:r>
      <w:r w:rsidRPr="00796A9D">
        <w:rPr>
          <w:rFonts w:ascii="Times New Roman" w:hAnsi="Times New Roman" w:cs="Times New Roman"/>
          <w:lang w:val="fr-FR"/>
        </w:rPr>
        <w:t>, cit., pp. 221-222.</w:t>
      </w:r>
    </w:p>
  </w:footnote>
  <w:footnote w:id="663">
    <w:p w14:paraId="4156C78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Diurnali detti del Duca di Monteleone</w:t>
      </w:r>
      <w:r w:rsidRPr="00796A9D">
        <w:rPr>
          <w:rFonts w:ascii="Times New Roman" w:hAnsi="Times New Roman" w:cs="Times New Roman"/>
        </w:rPr>
        <w:t xml:space="preserve">, a cura di </w:t>
      </w:r>
      <w:r w:rsidRPr="00796A9D">
        <w:rPr>
          <w:rFonts w:ascii="Times New Roman" w:hAnsi="Times New Roman" w:cs="Times New Roman"/>
          <w:smallCaps/>
        </w:rPr>
        <w:t>N.F. Faraglia</w:t>
      </w:r>
      <w:r w:rsidRPr="00796A9D">
        <w:rPr>
          <w:rFonts w:ascii="Times New Roman" w:hAnsi="Times New Roman" w:cs="Times New Roman"/>
        </w:rPr>
        <w:t>, Napoli, Forni, 1895, p. 143. La cronaca abbraccia gli anni dal 1285 al 1478. L’autore è ignoto e il riferimento nel titolo al duca di Monteleone accenna al nome del più noto possessore del codice 695 della Biblioteca Casanatense di Roma trasme</w:t>
      </w:r>
      <w:r>
        <w:rPr>
          <w:rFonts w:ascii="Times New Roman" w:hAnsi="Times New Roman" w:cs="Times New Roman"/>
        </w:rPr>
        <w:t>tte</w:t>
      </w:r>
      <w:r w:rsidRPr="00796A9D">
        <w:rPr>
          <w:rFonts w:ascii="Times New Roman" w:hAnsi="Times New Roman" w:cs="Times New Roman"/>
        </w:rPr>
        <w:t xml:space="preserve"> l’opera: il nobile Ettore Pignatelli. Alcune considerazioni sulle cerimonie e feste napoletane per questo sposalizio si leggono in </w:t>
      </w:r>
      <w:r w:rsidRPr="00796A9D">
        <w:rPr>
          <w:rFonts w:ascii="Times New Roman" w:hAnsi="Times New Roman" w:cs="Times New Roman"/>
          <w:smallCaps/>
        </w:rPr>
        <w:t>C.A. Addesso</w:t>
      </w:r>
      <w:r w:rsidRPr="00796A9D">
        <w:rPr>
          <w:rFonts w:ascii="Times New Roman" w:hAnsi="Times New Roman" w:cs="Times New Roman"/>
        </w:rPr>
        <w:t xml:space="preserve">, </w:t>
      </w:r>
      <w:r w:rsidRPr="00796A9D">
        <w:rPr>
          <w:rFonts w:ascii="Times New Roman" w:hAnsi="Times New Roman" w:cs="Times New Roman"/>
          <w:i/>
        </w:rPr>
        <w:t>Teatro e festività nella Napoli Aragonese</w:t>
      </w:r>
      <w:r w:rsidRPr="00796A9D">
        <w:rPr>
          <w:rFonts w:ascii="Times New Roman" w:hAnsi="Times New Roman" w:cs="Times New Roman"/>
        </w:rPr>
        <w:t>, cit., p. 64-65.</w:t>
      </w:r>
    </w:p>
  </w:footnote>
  <w:footnote w:id="664">
    <w:p w14:paraId="39317B0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S. Borsari</w:t>
      </w:r>
      <w:r w:rsidRPr="00796A9D">
        <w:rPr>
          <w:rFonts w:ascii="Times New Roman" w:hAnsi="Times New Roman" w:cs="Times New Roman"/>
        </w:rPr>
        <w:t xml:space="preserve">, s.v. </w:t>
      </w:r>
      <w:r w:rsidRPr="00796A9D">
        <w:rPr>
          <w:rFonts w:ascii="Times New Roman" w:hAnsi="Times New Roman" w:cs="Times New Roman"/>
          <w:i/>
        </w:rPr>
        <w:t>Francesco d’Aragona</w:t>
      </w:r>
      <w:r w:rsidRPr="00796A9D">
        <w:rPr>
          <w:rFonts w:ascii="Times New Roman" w:hAnsi="Times New Roman" w:cs="Times New Roman"/>
        </w:rPr>
        <w:t>, DBI, 1961, vol. III, p. 694.</w:t>
      </w:r>
    </w:p>
  </w:footnote>
  <w:footnote w:id="665">
    <w:p w14:paraId="3A48C3F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Diurnali detti del Duca di Monteleone</w:t>
      </w:r>
      <w:r w:rsidRPr="00796A9D">
        <w:rPr>
          <w:rFonts w:ascii="Times New Roman" w:hAnsi="Times New Roman" w:cs="Times New Roman"/>
        </w:rPr>
        <w:t>, cit., p. 143.</w:t>
      </w:r>
    </w:p>
  </w:footnote>
  <w:footnote w:id="666">
    <w:p w14:paraId="14926BB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xml:space="preserve">, in </w:t>
      </w:r>
      <w:r w:rsidRPr="00796A9D">
        <w:rPr>
          <w:rFonts w:ascii="Times New Roman" w:hAnsi="Times New Roman" w:cs="Times New Roman"/>
          <w:i/>
        </w:rPr>
        <w:t xml:space="preserve">Rerum Italicarum Scriptores, </w:t>
      </w:r>
      <w:r w:rsidRPr="00796A9D">
        <w:rPr>
          <w:rFonts w:ascii="Times New Roman" w:hAnsi="Times New Roman" w:cs="Times New Roman"/>
        </w:rPr>
        <w:t xml:space="preserve">Milano, 1738, XXIV, p. 252, passa purtroppo sotto silenzio quali spettacoli furono organizzati per l’accoglienza dell’ospite. </w:t>
      </w:r>
    </w:p>
  </w:footnote>
  <w:footnote w:id="667">
    <w:p w14:paraId="503C146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Scarse le notizie intorno alla visita veneziana, registrata (in data errata al 1474) da </w:t>
      </w:r>
      <w:r w:rsidRPr="00796A9D">
        <w:rPr>
          <w:rFonts w:ascii="Times New Roman" w:hAnsi="Times New Roman" w:cs="Times New Roman"/>
          <w:smallCaps/>
        </w:rPr>
        <w:t>F. Sanseverino</w:t>
      </w:r>
      <w:r w:rsidRPr="00796A9D">
        <w:rPr>
          <w:rFonts w:ascii="Times New Roman" w:hAnsi="Times New Roman" w:cs="Times New Roman"/>
        </w:rPr>
        <w:t xml:space="preserve">, </w:t>
      </w:r>
      <w:r w:rsidRPr="00796A9D">
        <w:rPr>
          <w:rFonts w:ascii="Times New Roman" w:hAnsi="Times New Roman" w:cs="Times New Roman"/>
          <w:i/>
        </w:rPr>
        <w:t>Venetia città nobilissima et singolare</w:t>
      </w:r>
      <w:r w:rsidRPr="00796A9D">
        <w:rPr>
          <w:rFonts w:ascii="Times New Roman" w:hAnsi="Times New Roman" w:cs="Times New Roman"/>
        </w:rPr>
        <w:t>, Venezia, Sansovino, 1581, p. 161. Pare che Beatrice d’Aragona avesse ricevuto l’omaggio della Serenissima nella sala del Maggior Consiglio, poiché nel 1481, in vista del passaggio in città di Girolamo Riario e Caterina Sforza, furono date disposizioni affinché la coppia fosse accolta nella stessa sala «</w:t>
      </w:r>
      <w:r w:rsidRPr="00796A9D">
        <w:rPr>
          <w:rFonts w:ascii="Times New Roman" w:hAnsi="Times New Roman" w:cs="Times New Roman"/>
          <w:i/>
        </w:rPr>
        <w:t>quam datam fuit pro festo facto serenissimae majestati Reginae Hungariae, quando in hanc urbem venit ex Neapoli</w:t>
      </w:r>
      <w:r w:rsidRPr="00796A9D">
        <w:rPr>
          <w:rFonts w:ascii="Times New Roman" w:hAnsi="Times New Roman" w:cs="Times New Roman"/>
        </w:rPr>
        <w:t xml:space="preserve">».  In merito a questa notizia e all’importanza dell’onore per un visitatore straniero di essere accolto nella Sala del Maggior Consiglio si veda </w:t>
      </w:r>
      <w:r w:rsidRPr="00796A9D">
        <w:rPr>
          <w:rFonts w:ascii="Times New Roman" w:hAnsi="Times New Roman" w:cs="Times New Roman"/>
          <w:smallCaps/>
        </w:rPr>
        <w:t>R. Guarino</w:t>
      </w:r>
      <w:r w:rsidRPr="00796A9D">
        <w:rPr>
          <w:rFonts w:ascii="Times New Roman" w:hAnsi="Times New Roman" w:cs="Times New Roman"/>
        </w:rPr>
        <w:t xml:space="preserve">, </w:t>
      </w:r>
      <w:r w:rsidRPr="00796A9D">
        <w:rPr>
          <w:rFonts w:ascii="Times New Roman" w:hAnsi="Times New Roman" w:cs="Times New Roman"/>
          <w:i/>
        </w:rPr>
        <w:t>Teatro e mutamenti. Rinascimento e spettacolo a Venezia</w:t>
      </w:r>
      <w:r w:rsidRPr="00796A9D">
        <w:rPr>
          <w:rFonts w:ascii="Times New Roman" w:hAnsi="Times New Roman" w:cs="Times New Roman"/>
        </w:rPr>
        <w:t xml:space="preserve">, Bologna, il Mulino, 1995, p. 63.  </w:t>
      </w:r>
    </w:p>
  </w:footnote>
  <w:footnote w:id="668">
    <w:p w14:paraId="2BE80FC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 questa seconda parte del viaggio di Beatrice si veda </w:t>
      </w:r>
      <w:r w:rsidRPr="00796A9D">
        <w:rPr>
          <w:rFonts w:ascii="Times New Roman" w:hAnsi="Times New Roman" w:cs="Times New Roman"/>
          <w:smallCaps/>
        </w:rPr>
        <w:t>A. Berzeviczy</w:t>
      </w:r>
      <w:r w:rsidRPr="00796A9D">
        <w:rPr>
          <w:rFonts w:ascii="Times New Roman" w:hAnsi="Times New Roman" w:cs="Times New Roman"/>
        </w:rPr>
        <w:t xml:space="preserve">, </w:t>
      </w:r>
      <w:r w:rsidRPr="00796A9D">
        <w:rPr>
          <w:rFonts w:ascii="Times New Roman" w:hAnsi="Times New Roman" w:cs="Times New Roman"/>
          <w:i/>
        </w:rPr>
        <w:t>Beatrice d’Aragona</w:t>
      </w:r>
      <w:r w:rsidRPr="00796A9D">
        <w:rPr>
          <w:rFonts w:ascii="Times New Roman" w:hAnsi="Times New Roman" w:cs="Times New Roman"/>
        </w:rPr>
        <w:t>, pp. 50-56.</w:t>
      </w:r>
    </w:p>
  </w:footnote>
  <w:footnote w:id="669">
    <w:p w14:paraId="00B24D5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Sulle rigide temperature di quell’inverno, che colpirono tutta l’Italia, basti citare la testimonianza di </w:t>
      </w:r>
      <w:r w:rsidRPr="00796A9D">
        <w:rPr>
          <w:rFonts w:ascii="Times New Roman" w:hAnsi="Times New Roman" w:cs="Times New Roman"/>
          <w:smallCaps/>
        </w:rPr>
        <w:t>L. Landucci</w:t>
      </w:r>
      <w:r w:rsidRPr="00796A9D">
        <w:rPr>
          <w:rFonts w:ascii="Times New Roman" w:hAnsi="Times New Roman" w:cs="Times New Roman"/>
        </w:rPr>
        <w:t xml:space="preserve">, </w:t>
      </w:r>
      <w:r w:rsidRPr="00796A9D">
        <w:rPr>
          <w:rFonts w:ascii="Times New Roman" w:hAnsi="Times New Roman" w:cs="Times New Roman"/>
          <w:i/>
        </w:rPr>
        <w:t>Diario fiorentino dal 1450 al 1516</w:t>
      </w:r>
      <w:r w:rsidRPr="00796A9D">
        <w:rPr>
          <w:rFonts w:ascii="Times New Roman" w:hAnsi="Times New Roman" w:cs="Times New Roman"/>
        </w:rPr>
        <w:t xml:space="preserve">, a cura di </w:t>
      </w:r>
      <w:r w:rsidRPr="00796A9D">
        <w:rPr>
          <w:rFonts w:ascii="Times New Roman" w:hAnsi="Times New Roman" w:cs="Times New Roman"/>
          <w:smallCaps/>
        </w:rPr>
        <w:t>A. Lanza</w:t>
      </w:r>
      <w:r w:rsidRPr="00796A9D">
        <w:rPr>
          <w:rFonts w:ascii="Times New Roman" w:hAnsi="Times New Roman" w:cs="Times New Roman"/>
        </w:rPr>
        <w:t xml:space="preserve">, Firenze, Sansoni, 1985, p. 60: «E a dì 10 di gennaio 1490, ghiacciò tutto Arno in modo che vi si fece su alla palla, e arsevisi su scope. Fu gran freddo». </w:t>
      </w:r>
    </w:p>
  </w:footnote>
  <w:footnote w:id="670">
    <w:p w14:paraId="534EBD3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Riguardo alle motivazioni politiche del doppio sposalizio di Beatrice d’Este e di Anna Sforza si veda, </w:t>
      </w:r>
      <w:r w:rsidRPr="00796A9D">
        <w:rPr>
          <w:rFonts w:ascii="Times New Roman" w:hAnsi="Times New Roman" w:cs="Times New Roman"/>
          <w:i/>
        </w:rPr>
        <w:t>Beatrice d’Este</w:t>
      </w:r>
      <w:r w:rsidRPr="00796A9D">
        <w:rPr>
          <w:rFonts w:ascii="Times New Roman" w:hAnsi="Times New Roman" w:cs="Times New Roman"/>
        </w:rPr>
        <w:t xml:space="preserve">, DBI, 1967, vol. VII, pp. 349-352.  </w:t>
      </w:r>
    </w:p>
  </w:footnote>
  <w:footnote w:id="671">
    <w:p w14:paraId="0EBE4F1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un primo momento il matrimonio era stato previsto per il mese di maggio 1490. Fu però Ludovico a preferire ritardare le cerimonie, forse indugiando ancora nella relazione con Cecilia Gallerani, dalla quale avrebbe avuto un figlio, Cesare, il 3 maggio 1491. Cfr. Ivi, p. 350.</w:t>
      </w:r>
    </w:p>
  </w:footnote>
  <w:footnote w:id="672">
    <w:p w14:paraId="35EDBFD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cit., pp. 281-282.</w:t>
      </w:r>
    </w:p>
  </w:footnote>
  <w:footnote w:id="673">
    <w:p w14:paraId="7CE5465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Mediolanensium et Estensium principum</w:t>
      </w:r>
      <w:r w:rsidRPr="00796A9D">
        <w:rPr>
          <w:rFonts w:ascii="Times New Roman" w:hAnsi="Times New Roman" w:cs="Times New Roman"/>
        </w:rPr>
        <w:t xml:space="preserve">, in </w:t>
      </w:r>
      <w:r w:rsidRPr="00796A9D">
        <w:rPr>
          <w:rFonts w:ascii="Times New Roman" w:hAnsi="Times New Roman" w:cs="Times New Roman"/>
          <w:i/>
        </w:rPr>
        <w:t>Tristani Chalci Residua</w:t>
      </w:r>
      <w:r w:rsidRPr="00796A9D">
        <w:rPr>
          <w:rFonts w:ascii="Times New Roman" w:hAnsi="Times New Roman" w:cs="Times New Roman"/>
        </w:rPr>
        <w:t xml:space="preserve">, cit., p. 89. Il termine latino </w:t>
      </w:r>
      <w:r w:rsidRPr="00796A9D">
        <w:rPr>
          <w:rFonts w:ascii="Times New Roman" w:hAnsi="Times New Roman" w:cs="Times New Roman"/>
          <w:i/>
        </w:rPr>
        <w:t>traha</w:t>
      </w:r>
      <w:r w:rsidRPr="00796A9D">
        <w:rPr>
          <w:rFonts w:ascii="Times New Roman" w:hAnsi="Times New Roman" w:cs="Times New Roman"/>
        </w:rPr>
        <w:t xml:space="preserve">, o </w:t>
      </w:r>
      <w:r w:rsidRPr="00796A9D">
        <w:rPr>
          <w:rFonts w:ascii="Times New Roman" w:hAnsi="Times New Roman" w:cs="Times New Roman"/>
          <w:i/>
        </w:rPr>
        <w:t>trahea</w:t>
      </w:r>
      <w:r w:rsidRPr="00796A9D">
        <w:rPr>
          <w:rFonts w:ascii="Times New Roman" w:hAnsi="Times New Roman" w:cs="Times New Roman"/>
        </w:rPr>
        <w:t xml:space="preserve"> è attestato in </w:t>
      </w:r>
      <w:r w:rsidRPr="00796A9D">
        <w:rPr>
          <w:rFonts w:ascii="Times New Roman" w:hAnsi="Times New Roman" w:cs="Times New Roman"/>
          <w:smallCaps/>
        </w:rPr>
        <w:t>Verg</w:t>
      </w:r>
      <w:r w:rsidRPr="00796A9D">
        <w:rPr>
          <w:rFonts w:ascii="Times New Roman" w:hAnsi="Times New Roman" w:cs="Times New Roman"/>
        </w:rPr>
        <w:t xml:space="preserve">. </w:t>
      </w:r>
      <w:r w:rsidRPr="00796A9D">
        <w:rPr>
          <w:rFonts w:ascii="Times New Roman" w:hAnsi="Times New Roman" w:cs="Times New Roman"/>
          <w:i/>
        </w:rPr>
        <w:t>Ge</w:t>
      </w:r>
      <w:r>
        <w:rPr>
          <w:rFonts w:ascii="Times New Roman" w:hAnsi="Times New Roman" w:cs="Times New Roman"/>
          <w:i/>
        </w:rPr>
        <w:t>org</w:t>
      </w:r>
      <w:r w:rsidRPr="00796A9D">
        <w:rPr>
          <w:rFonts w:ascii="Times New Roman" w:hAnsi="Times New Roman" w:cs="Times New Roman"/>
        </w:rPr>
        <w:t xml:space="preserve">. I, 164, dove indica delle tregge, carrette usate nei lavori agricoli, prive di ruote e trainate da cavalli o buoi.  </w:t>
      </w:r>
    </w:p>
  </w:footnote>
  <w:footnote w:id="674">
    <w:p w14:paraId="02C84A0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3 dicembre 1490 il duca di Milano aveva inviato una missiva ai vescovi di Piacenza e di Novara e ai protonotai Galeazzo Visconti e Antonio Scipioni invitandoli a ricevere gli inviati ferraresi al loro sbarco. Lo Sforza specificava anche di quanti paggi si dovesse comporre il seguito di ciascuno di loro. Cfr.  </w:t>
      </w:r>
      <w:r w:rsidRPr="00796A9D">
        <w:rPr>
          <w:rFonts w:ascii="Times New Roman" w:hAnsi="Times New Roman" w:cs="Times New Roman"/>
          <w:smallCaps/>
        </w:rPr>
        <w:t>G. Porro</w:t>
      </w:r>
      <w:r w:rsidRPr="00796A9D">
        <w:rPr>
          <w:rFonts w:ascii="Times New Roman" w:hAnsi="Times New Roman" w:cs="Times New Roman"/>
        </w:rPr>
        <w:t xml:space="preserve">, </w:t>
      </w:r>
      <w:r w:rsidRPr="00796A9D">
        <w:rPr>
          <w:rFonts w:ascii="Times New Roman" w:hAnsi="Times New Roman" w:cs="Times New Roman"/>
          <w:i/>
        </w:rPr>
        <w:t>Nozze di Beatrice d'Este e di Anna Sforza. (Documenti copiati dagli originali esistenti nell'Archivio di Stato di Milano),</w:t>
      </w:r>
      <w:r w:rsidRPr="00796A9D">
        <w:rPr>
          <w:rFonts w:ascii="Times New Roman" w:hAnsi="Times New Roman" w:cs="Times New Roman"/>
        </w:rPr>
        <w:t xml:space="preserve"> «Archivio Storico Lombardo», IX, 1882, p. 494. </w:t>
      </w:r>
    </w:p>
  </w:footnote>
  <w:footnote w:id="675">
    <w:p w14:paraId="58CCC0E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di Isabella d’Este indirizzata a Francesco Gonzaga, datata 16 gennaio 1490, è edita in </w:t>
      </w:r>
      <w:r w:rsidRPr="00796A9D">
        <w:rPr>
          <w:rFonts w:ascii="Times New Roman" w:hAnsi="Times New Roman" w:cs="Times New Roman"/>
          <w:smallCaps/>
        </w:rPr>
        <w:t>G. Lopez</w:t>
      </w:r>
      <w:r w:rsidRPr="00796A9D">
        <w:rPr>
          <w:rFonts w:ascii="Times New Roman" w:hAnsi="Times New Roman" w:cs="Times New Roman"/>
        </w:rPr>
        <w:t xml:space="preserve">, </w:t>
      </w:r>
      <w:r w:rsidRPr="00796A9D">
        <w:rPr>
          <w:rFonts w:ascii="Times New Roman" w:hAnsi="Times New Roman" w:cs="Times New Roman"/>
          <w:i/>
        </w:rPr>
        <w:t>Festa di nozze per Ludovico il Moro. Fasti nuziali e intrighi di potere alla corte degli Sforza, tra Milano, Vigevano e Ferrara, Milano</w:t>
      </w:r>
      <w:r w:rsidRPr="00796A9D">
        <w:rPr>
          <w:rFonts w:ascii="Times New Roman" w:hAnsi="Times New Roman" w:cs="Times New Roman"/>
        </w:rPr>
        <w:t>, De Carlo, 1976, p.  34. Allo studio, ricco di documenti sullo sposalizio, si rinvia anche per l’edizione della missiva inviata dalla marchesa il 6 gennaio da Viadana con le informazioni sull’arrivo della delegazione ferrarese a Brescello alle pp. 31-32.</w:t>
      </w:r>
    </w:p>
  </w:footnote>
  <w:footnote w:id="676">
    <w:p w14:paraId="4210B63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l’interscambio dei ruoli di spettatore e di spettacolo che interessò i partecipanti alle parate e alle processioni rinascimentali cfr. </w:t>
      </w:r>
      <w:r w:rsidRPr="00796A9D">
        <w:rPr>
          <w:rFonts w:ascii="Times New Roman" w:hAnsi="Times New Roman" w:cs="Times New Roman"/>
          <w:smallCaps/>
        </w:rPr>
        <w:t>F. Cruciani</w:t>
      </w:r>
      <w:r w:rsidRPr="00796A9D">
        <w:rPr>
          <w:rFonts w:ascii="Times New Roman" w:hAnsi="Times New Roman" w:cs="Times New Roman"/>
        </w:rPr>
        <w:t xml:space="preserve">, </w:t>
      </w:r>
      <w:r w:rsidRPr="00796A9D">
        <w:rPr>
          <w:rFonts w:ascii="Times New Roman" w:hAnsi="Times New Roman" w:cs="Times New Roman"/>
          <w:i/>
        </w:rPr>
        <w:t>Il teatro e la festa</w:t>
      </w:r>
      <w:r w:rsidRPr="00796A9D">
        <w:rPr>
          <w:rFonts w:ascii="Times New Roman" w:hAnsi="Times New Roman" w:cs="Times New Roman"/>
        </w:rPr>
        <w:t xml:space="preserve">, cit., p. 43. </w:t>
      </w:r>
    </w:p>
  </w:footnote>
  <w:footnote w:id="677">
    <w:p w14:paraId="162AF5C2"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Sulla trasformazione delle architetture urbane in scenografia dell’ingresso trionfale e sul significato ideologico di tale operazione, espressione della capacità dell’autorità governativa di manifestare attraverso l’effimero l’ideale della città cui tendevano il buon governo e i progetti visionari degli intellettuali di corte si veda </w:t>
      </w:r>
      <w:r w:rsidRPr="00796A9D">
        <w:rPr>
          <w:rFonts w:ascii="Times New Roman" w:hAnsi="Times New Roman" w:cs="Times New Roman"/>
          <w:smallCaps/>
          <w:sz w:val="20"/>
          <w:szCs w:val="20"/>
        </w:rPr>
        <w:t xml:space="preserve">E. Garbero, </w:t>
      </w:r>
      <w:r w:rsidRPr="00796A9D">
        <w:rPr>
          <w:rFonts w:ascii="Times New Roman" w:hAnsi="Times New Roman" w:cs="Times New Roman"/>
          <w:i/>
          <w:sz w:val="20"/>
          <w:szCs w:val="20"/>
        </w:rPr>
        <w:t>La scena di corte</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Le corti italiane del Rinascimento</w:t>
      </w:r>
      <w:r w:rsidRPr="00796A9D">
        <w:rPr>
          <w:rFonts w:ascii="Times New Roman" w:hAnsi="Times New Roman" w:cs="Times New Roman"/>
          <w:sz w:val="20"/>
          <w:szCs w:val="20"/>
        </w:rPr>
        <w:t xml:space="preserve">, a cura di S. </w:t>
      </w:r>
      <w:r w:rsidRPr="00796A9D">
        <w:rPr>
          <w:rFonts w:ascii="Times New Roman" w:hAnsi="Times New Roman" w:cs="Times New Roman"/>
          <w:smallCaps/>
          <w:sz w:val="20"/>
          <w:szCs w:val="20"/>
        </w:rPr>
        <w:t>Bertelli</w:t>
      </w:r>
      <w:r w:rsidRPr="00796A9D">
        <w:rPr>
          <w:rFonts w:ascii="Times New Roman" w:hAnsi="Times New Roman" w:cs="Times New Roman"/>
          <w:sz w:val="20"/>
          <w:szCs w:val="20"/>
        </w:rPr>
        <w:t>, Milano, Mondadori, 1985, pp. 127-130.</w:t>
      </w:r>
    </w:p>
  </w:footnote>
  <w:footnote w:id="678">
    <w:p w14:paraId="0922D98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Appendice III</w:t>
      </w:r>
      <w:r w:rsidRPr="00796A9D">
        <w:rPr>
          <w:rFonts w:ascii="Times New Roman" w:hAnsi="Times New Roman" w:cs="Times New Roman"/>
        </w:rPr>
        <w:t xml:space="preserve">, documento n. 4. </w:t>
      </w:r>
    </w:p>
  </w:footnote>
  <w:footnote w:id="679">
    <w:p w14:paraId="1900303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w:t>
      </w:r>
    </w:p>
  </w:footnote>
  <w:footnote w:id="680">
    <w:p w14:paraId="37477B5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Appendice III</w:t>
      </w:r>
      <w:r w:rsidRPr="00796A9D">
        <w:rPr>
          <w:rFonts w:ascii="Times New Roman" w:hAnsi="Times New Roman" w:cs="Times New Roman"/>
        </w:rPr>
        <w:t>, documento 4.</w:t>
      </w:r>
    </w:p>
  </w:footnote>
  <w:footnote w:id="681">
    <w:p w14:paraId="4C5370A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Tra i primi a sottolineare come le considerazioni sulle pompe cerimoniali romane della </w:t>
      </w:r>
      <w:r w:rsidRPr="00796A9D">
        <w:rPr>
          <w:rFonts w:ascii="Times New Roman" w:hAnsi="Times New Roman" w:cs="Times New Roman"/>
          <w:i/>
        </w:rPr>
        <w:t>Roma Triumphans</w:t>
      </w:r>
      <w:r w:rsidRPr="00796A9D">
        <w:rPr>
          <w:rFonts w:ascii="Times New Roman" w:hAnsi="Times New Roman" w:cs="Times New Roman"/>
        </w:rPr>
        <w:t xml:space="preserve"> avessero ispirato le forme del trionfo rinascimentale vi fu </w:t>
      </w:r>
      <w:r w:rsidRPr="00796A9D">
        <w:rPr>
          <w:rFonts w:ascii="Times New Roman" w:hAnsi="Times New Roman" w:cs="Times New Roman"/>
          <w:smallCaps/>
        </w:rPr>
        <w:t>F. Cruciani</w:t>
      </w:r>
      <w:r w:rsidRPr="00796A9D">
        <w:rPr>
          <w:rFonts w:ascii="Times New Roman" w:hAnsi="Times New Roman" w:cs="Times New Roman"/>
        </w:rPr>
        <w:t xml:space="preserve">, </w:t>
      </w:r>
      <w:r w:rsidRPr="00796A9D">
        <w:rPr>
          <w:rFonts w:ascii="Times New Roman" w:hAnsi="Times New Roman" w:cs="Times New Roman"/>
          <w:i/>
        </w:rPr>
        <w:t>Il teatro e la festa</w:t>
      </w:r>
      <w:r w:rsidRPr="00796A9D">
        <w:rPr>
          <w:rFonts w:ascii="Times New Roman" w:hAnsi="Times New Roman" w:cs="Times New Roman"/>
        </w:rPr>
        <w:t xml:space="preserve">, cit., pp. 49-52, che rimarcò come lo studio delle entrate quattrocentesche non dovesse misurarsi unicamente con quanto detto da Biondo ma con la globalità delle idee strutturanti presenti alla memoria dello spettatore rinascimentale che lo storico fosse stato in grado di identificare.  </w:t>
      </w:r>
    </w:p>
  </w:footnote>
  <w:footnote w:id="682">
    <w:p w14:paraId="38158B6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R. Guarino</w:t>
      </w:r>
      <w:r w:rsidRPr="00796A9D">
        <w:rPr>
          <w:rFonts w:ascii="Times New Roman" w:hAnsi="Times New Roman" w:cs="Times New Roman"/>
        </w:rPr>
        <w:t xml:space="preserve">, </w:t>
      </w:r>
      <w:r w:rsidRPr="00796A9D">
        <w:rPr>
          <w:rFonts w:ascii="Times New Roman" w:hAnsi="Times New Roman" w:cs="Times New Roman"/>
          <w:i/>
        </w:rPr>
        <w:t>Storiografia umanistica e spettacolo del Rinascimento</w:t>
      </w:r>
      <w:r w:rsidRPr="00796A9D">
        <w:rPr>
          <w:rFonts w:ascii="Times New Roman" w:hAnsi="Times New Roman" w:cs="Times New Roman"/>
        </w:rPr>
        <w:t>, cit., p. 275.</w:t>
      </w:r>
    </w:p>
  </w:footnote>
  <w:footnote w:id="683">
    <w:p w14:paraId="2D9225B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Mt 21,1-11; Mc 11,1-10; Lc 19,29-40; Gv 12,12-15.</w:t>
      </w:r>
    </w:p>
  </w:footnote>
  <w:footnote w:id="684">
    <w:p w14:paraId="5ABCDC61"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Cfr. A. </w:t>
      </w:r>
      <w:r w:rsidRPr="00796A9D">
        <w:rPr>
          <w:rFonts w:ascii="Times New Roman" w:hAnsi="Times New Roman" w:cs="Times New Roman"/>
          <w:smallCaps/>
          <w:sz w:val="20"/>
          <w:szCs w:val="20"/>
        </w:rPr>
        <w:t>Pinelli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Feste e trionfi</w:t>
      </w:r>
      <w:r w:rsidRPr="00796A9D">
        <w:rPr>
          <w:rFonts w:ascii="Times New Roman" w:hAnsi="Times New Roman" w:cs="Times New Roman"/>
          <w:sz w:val="20"/>
          <w:szCs w:val="20"/>
        </w:rPr>
        <w:t xml:space="preserve">, cit., pp. 279-350, che tra le immagini forti e dense di allegorie estranee al mondo classico, ma care alla memoria dello spettatore rinascimentale, ricorda anche il trionfo della Chiesa dei Canti XXIX-XXX del </w:t>
      </w:r>
      <w:r w:rsidRPr="00796A9D">
        <w:rPr>
          <w:rFonts w:ascii="Times New Roman" w:hAnsi="Times New Roman" w:cs="Times New Roman"/>
          <w:i/>
          <w:sz w:val="20"/>
          <w:szCs w:val="20"/>
        </w:rPr>
        <w:t>Purgatorio</w:t>
      </w:r>
      <w:r w:rsidRPr="00796A9D">
        <w:rPr>
          <w:rFonts w:ascii="Times New Roman" w:hAnsi="Times New Roman" w:cs="Times New Roman"/>
          <w:sz w:val="20"/>
          <w:szCs w:val="20"/>
        </w:rPr>
        <w:t xml:space="preserve"> di Dante e quello di Scipione del IX libro dell’</w:t>
      </w:r>
      <w:r w:rsidRPr="00796A9D">
        <w:rPr>
          <w:rFonts w:ascii="Times New Roman" w:hAnsi="Times New Roman" w:cs="Times New Roman"/>
          <w:i/>
          <w:sz w:val="20"/>
          <w:szCs w:val="20"/>
        </w:rPr>
        <w:t>Africa</w:t>
      </w:r>
      <w:r w:rsidRPr="00796A9D">
        <w:rPr>
          <w:rFonts w:ascii="Times New Roman" w:hAnsi="Times New Roman" w:cs="Times New Roman"/>
          <w:sz w:val="20"/>
          <w:szCs w:val="20"/>
        </w:rPr>
        <w:t xml:space="preserve"> di Petrarca.    </w:t>
      </w:r>
    </w:p>
  </w:footnote>
  <w:footnote w:id="685">
    <w:p w14:paraId="1A5F505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Il Pontificalis Liber di Agostino Patrizi Piccolomini e Giovanni Burcardo (1485)</w:t>
      </w:r>
      <w:r w:rsidRPr="00796A9D">
        <w:rPr>
          <w:rFonts w:ascii="Times New Roman" w:hAnsi="Times New Roman" w:cs="Times New Roman"/>
        </w:rPr>
        <w:t>, cit., p. 538.</w:t>
      </w:r>
    </w:p>
  </w:footnote>
  <w:footnote w:id="686">
    <w:p w14:paraId="559A61B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 carattere lustrale del trionfo si veda S. Bertelli, </w:t>
      </w:r>
      <w:r w:rsidRPr="00796A9D">
        <w:rPr>
          <w:rFonts w:ascii="Times New Roman" w:hAnsi="Times New Roman" w:cs="Times New Roman"/>
          <w:i/>
        </w:rPr>
        <w:t>Il corpo del re</w:t>
      </w:r>
      <w:r w:rsidRPr="00796A9D">
        <w:rPr>
          <w:rFonts w:ascii="Times New Roman" w:hAnsi="Times New Roman" w:cs="Times New Roman"/>
        </w:rPr>
        <w:t xml:space="preserve">, p. Un’attenta analisi degli aspetti politici, religiosi e giuridici della cerimonia del trionfo romano dall’età repubblicana all’impero di Vespasiano è offerta in </w:t>
      </w:r>
      <w:r w:rsidRPr="00796A9D">
        <w:rPr>
          <w:rFonts w:ascii="Times New Roman" w:hAnsi="Times New Roman" w:cs="Times New Roman"/>
          <w:smallCaps/>
        </w:rPr>
        <w:t>H.S. Versnel</w:t>
      </w:r>
      <w:r w:rsidRPr="00796A9D">
        <w:rPr>
          <w:rFonts w:ascii="Times New Roman" w:hAnsi="Times New Roman" w:cs="Times New Roman"/>
        </w:rPr>
        <w:t xml:space="preserve">, </w:t>
      </w:r>
      <w:r w:rsidRPr="00796A9D">
        <w:rPr>
          <w:rFonts w:ascii="Times New Roman" w:hAnsi="Times New Roman" w:cs="Times New Roman"/>
          <w:i/>
        </w:rPr>
        <w:t>Triumphus: an inquiry into the origin, development and meaning of the Roman triumph</w:t>
      </w:r>
      <w:r w:rsidRPr="00796A9D">
        <w:rPr>
          <w:rFonts w:ascii="Times New Roman" w:hAnsi="Times New Roman" w:cs="Times New Roman"/>
        </w:rPr>
        <w:t>, Leiden, Brill, 1970, che osserva come tra tutte le cerimonie religiose di Roma antica il trionfo avesse la funzione di elevare l’uomo</w:t>
      </w:r>
      <w:r>
        <w:rPr>
          <w:rFonts w:ascii="Times New Roman" w:hAnsi="Times New Roman" w:cs="Times New Roman"/>
        </w:rPr>
        <w:t xml:space="preserve"> all’altezza</w:t>
      </w:r>
      <w:r w:rsidRPr="00796A9D">
        <w:rPr>
          <w:rFonts w:ascii="Times New Roman" w:hAnsi="Times New Roman" w:cs="Times New Roman"/>
        </w:rPr>
        <w:t xml:space="preserve"> </w:t>
      </w:r>
      <w:r>
        <w:rPr>
          <w:rFonts w:ascii="Times New Roman" w:hAnsi="Times New Roman" w:cs="Times New Roman"/>
        </w:rPr>
        <w:t>de</w:t>
      </w:r>
      <w:r w:rsidRPr="00796A9D">
        <w:rPr>
          <w:rFonts w:ascii="Times New Roman" w:hAnsi="Times New Roman" w:cs="Times New Roman"/>
        </w:rPr>
        <w:t>gli dei, concedendo al vincitore il massimo onore che la patria potesse offrir</w:t>
      </w:r>
      <w:r>
        <w:rPr>
          <w:rFonts w:ascii="Times New Roman" w:hAnsi="Times New Roman" w:cs="Times New Roman"/>
        </w:rPr>
        <w:t>gli,</w:t>
      </w:r>
      <w:r w:rsidRPr="00796A9D">
        <w:rPr>
          <w:rFonts w:ascii="Times New Roman" w:hAnsi="Times New Roman" w:cs="Times New Roman"/>
        </w:rPr>
        <w:t xml:space="preserve"> rendendo</w:t>
      </w:r>
      <w:r>
        <w:rPr>
          <w:rFonts w:ascii="Times New Roman" w:hAnsi="Times New Roman" w:cs="Times New Roman"/>
        </w:rPr>
        <w:t>lo</w:t>
      </w:r>
      <w:r w:rsidRPr="00796A9D">
        <w:rPr>
          <w:rFonts w:ascii="Times New Roman" w:hAnsi="Times New Roman" w:cs="Times New Roman"/>
        </w:rPr>
        <w:t xml:space="preserve"> officiante di un rito di ringraziamento che avrebbe assicurato stabilità e benessere al popolo</w:t>
      </w:r>
      <w:r>
        <w:rPr>
          <w:rFonts w:ascii="Times New Roman" w:hAnsi="Times New Roman" w:cs="Times New Roman"/>
        </w:rPr>
        <w:t xml:space="preserve"> grazie alla protezione divina. </w:t>
      </w:r>
      <w:r w:rsidRPr="00796A9D">
        <w:rPr>
          <w:rFonts w:ascii="Times New Roman" w:hAnsi="Times New Roman" w:cs="Times New Roman"/>
        </w:rPr>
        <w:t xml:space="preserve">     </w:t>
      </w:r>
    </w:p>
  </w:footnote>
  <w:footnote w:id="687">
    <w:p w14:paraId="1EA46FB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 xml:space="preserve">Anonimo, </w:t>
      </w:r>
      <w:r w:rsidRPr="00796A9D">
        <w:rPr>
          <w:rFonts w:ascii="Times New Roman" w:hAnsi="Times New Roman" w:cs="Times New Roman"/>
          <w:i/>
        </w:rPr>
        <w:t xml:space="preserve">Ordine de le noze de lo Illustrissimo Signor misir Costantio Sfortia, </w:t>
      </w:r>
      <w:r w:rsidRPr="00796A9D">
        <w:rPr>
          <w:rFonts w:ascii="Times New Roman" w:hAnsi="Times New Roman" w:cs="Times New Roman"/>
        </w:rPr>
        <w:t>cit., c. [a2v].</w:t>
      </w:r>
    </w:p>
  </w:footnote>
  <w:footnote w:id="688">
    <w:p w14:paraId="255EBA7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Gv. 12, 13. La funzione apotropaica dell’accoglienza dei fanciulli è analizzata da </w:t>
      </w:r>
      <w:r w:rsidRPr="00796A9D">
        <w:rPr>
          <w:rFonts w:ascii="Times New Roman" w:hAnsi="Times New Roman" w:cs="Times New Roman"/>
          <w:smallCaps/>
        </w:rPr>
        <w:t>S. Bertelli</w:t>
      </w:r>
      <w:r w:rsidRPr="00796A9D">
        <w:rPr>
          <w:rFonts w:ascii="Times New Roman" w:hAnsi="Times New Roman" w:cs="Times New Roman"/>
        </w:rPr>
        <w:t xml:space="preserve">, </w:t>
      </w:r>
      <w:r w:rsidRPr="00796A9D">
        <w:rPr>
          <w:rFonts w:ascii="Times New Roman" w:hAnsi="Times New Roman" w:cs="Times New Roman"/>
          <w:i/>
        </w:rPr>
        <w:t>Il corpo del re</w:t>
      </w:r>
      <w:r w:rsidRPr="00796A9D">
        <w:rPr>
          <w:rFonts w:ascii="Times New Roman" w:hAnsi="Times New Roman" w:cs="Times New Roman"/>
        </w:rPr>
        <w:t xml:space="preserve">, pp. 72-75. Si sofferma inoltre sull’importanza di questa pratica per insegnare ai bambini come comportarsi in occasioni pubbliche tenendo un adeguato portamento nei cortei </w:t>
      </w:r>
      <w:r w:rsidRPr="00796A9D">
        <w:rPr>
          <w:rFonts w:ascii="Times New Roman" w:hAnsi="Times New Roman" w:cs="Times New Roman"/>
          <w:smallCaps/>
        </w:rPr>
        <w:t>I. Taddei</w:t>
      </w:r>
      <w:r w:rsidRPr="00796A9D">
        <w:rPr>
          <w:rFonts w:ascii="Times New Roman" w:hAnsi="Times New Roman" w:cs="Times New Roman"/>
        </w:rPr>
        <w:t xml:space="preserve">, </w:t>
      </w:r>
      <w:r w:rsidRPr="00796A9D">
        <w:rPr>
          <w:rFonts w:ascii="Times New Roman" w:hAnsi="Times New Roman" w:cs="Times New Roman"/>
          <w:i/>
        </w:rPr>
        <w:t>Fanciulli e giovani. Crescere a Firenze nel Rinascimento</w:t>
      </w:r>
      <w:r w:rsidRPr="00796A9D">
        <w:rPr>
          <w:rFonts w:ascii="Times New Roman" w:hAnsi="Times New Roman" w:cs="Times New Roman"/>
        </w:rPr>
        <w:t xml:space="preserve">, Firenze, Olschki, 2001, pp. 272-275.  </w:t>
      </w:r>
    </w:p>
  </w:footnote>
  <w:footnote w:id="689">
    <w:p w14:paraId="3E23374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matrimonio di Elisabetta risanava il pluridecennale contrasto fra le famiglie Malatesta e Montefeltro e puntava ad arginare le mire accentratrici del Papato, propenso in quegli anni ad accorpare le piccole signorie. La promessa nuziale tra Elisabetta e Roberto Malatesta, erede di Sigismondo Pandolfo, fu conclusa nell’aprile 1471 con il favore di Galeazzo Maria Sforza, e fu accompagnata da grandi festeggiamenti, minutamente descritti nella </w:t>
      </w:r>
      <w:r w:rsidRPr="00796A9D">
        <w:rPr>
          <w:rFonts w:ascii="Times New Roman" w:hAnsi="Times New Roman" w:cs="Times New Roman"/>
          <w:i/>
        </w:rPr>
        <w:t>Cronaca</w:t>
      </w:r>
      <w:r w:rsidRPr="00796A9D">
        <w:rPr>
          <w:rFonts w:ascii="Times New Roman" w:hAnsi="Times New Roman" w:cs="Times New Roman"/>
        </w:rPr>
        <w:t xml:space="preserve"> di ser Guerriero da Gubbio. Si veda in proposito </w:t>
      </w:r>
      <w:r w:rsidRPr="00796A9D">
        <w:rPr>
          <w:rFonts w:ascii="Times New Roman" w:hAnsi="Times New Roman" w:cs="Times New Roman"/>
          <w:smallCaps/>
        </w:rPr>
        <w:t>A. Falcioni</w:t>
      </w:r>
      <w:r w:rsidRPr="00796A9D">
        <w:rPr>
          <w:rFonts w:ascii="Times New Roman" w:hAnsi="Times New Roman" w:cs="Times New Roman"/>
        </w:rPr>
        <w:t xml:space="preserve">, s.v. </w:t>
      </w:r>
      <w:r w:rsidRPr="00796A9D">
        <w:rPr>
          <w:rFonts w:ascii="Times New Roman" w:hAnsi="Times New Roman" w:cs="Times New Roman"/>
          <w:i/>
        </w:rPr>
        <w:t>Elisabetta di Montefeltro</w:t>
      </w:r>
      <w:r w:rsidRPr="00796A9D">
        <w:rPr>
          <w:rFonts w:ascii="Times New Roman" w:hAnsi="Times New Roman" w:cs="Times New Roman"/>
        </w:rPr>
        <w:t>, DBI, 2012, vol. LXXVI, pp. 51-53.</w:t>
      </w:r>
    </w:p>
  </w:footnote>
  <w:footnote w:id="690">
    <w:p w14:paraId="680D4BED" w14:textId="77777777" w:rsidR="00CF5CFB" w:rsidRPr="00796A9D" w:rsidRDefault="00CF5CFB" w:rsidP="00796A9D">
      <w:pPr>
        <w:pStyle w:val="Testonotaapidipagina"/>
        <w:jc w:val="both"/>
        <w:rPr>
          <w:rStyle w:val="Rimandonotaapidipagina"/>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Un’ipotesi ricostruttiva del percorso del corteo nuziale di Elisabetta da Montefeltro è esposta in </w:t>
      </w:r>
      <w:r w:rsidRPr="00796A9D">
        <w:rPr>
          <w:rFonts w:ascii="Times New Roman" w:hAnsi="Times New Roman" w:cs="Times New Roman"/>
          <w:smallCaps/>
        </w:rPr>
        <w:t>S. de Maria</w:t>
      </w:r>
      <w:r w:rsidRPr="00796A9D">
        <w:rPr>
          <w:rFonts w:ascii="Times New Roman" w:hAnsi="Times New Roman" w:cs="Times New Roman"/>
        </w:rPr>
        <w:t xml:space="preserve">, </w:t>
      </w:r>
      <w:r w:rsidRPr="00796A9D">
        <w:rPr>
          <w:rFonts w:ascii="Times New Roman" w:hAnsi="Times New Roman" w:cs="Times New Roman"/>
          <w:i/>
        </w:rPr>
        <w:t>L’arco di Rimini nel Rinascimento. Onori effimeri e antichità ritrovata</w:t>
      </w:r>
      <w:r w:rsidRPr="00796A9D">
        <w:rPr>
          <w:rFonts w:ascii="Times New Roman" w:hAnsi="Times New Roman" w:cs="Times New Roman"/>
        </w:rPr>
        <w:t xml:space="preserve">, in </w:t>
      </w:r>
      <w:r w:rsidRPr="00796A9D">
        <w:rPr>
          <w:rFonts w:ascii="Times New Roman" w:hAnsi="Times New Roman" w:cs="Times New Roman"/>
          <w:i/>
        </w:rPr>
        <w:t>Culture figurative e materiali tra Emilia e Marche</w:t>
      </w:r>
      <w:r w:rsidRPr="00796A9D">
        <w:rPr>
          <w:rFonts w:ascii="Times New Roman" w:hAnsi="Times New Roman" w:cs="Times New Roman"/>
        </w:rPr>
        <w:t xml:space="preserve">. Studi in memoria di Mario Zuffa, a cura di </w:t>
      </w:r>
      <w:r w:rsidRPr="00796A9D">
        <w:rPr>
          <w:rFonts w:ascii="Times New Roman" w:hAnsi="Times New Roman" w:cs="Times New Roman"/>
          <w:smallCaps/>
        </w:rPr>
        <w:t>P. Del Bianco</w:t>
      </w:r>
      <w:r w:rsidRPr="00796A9D">
        <w:rPr>
          <w:rFonts w:ascii="Times New Roman" w:hAnsi="Times New Roman" w:cs="Times New Roman"/>
        </w:rPr>
        <w:t xml:space="preserve">, Rimini, Maggioli, 1984, pp. 443-462, dove lo studioso considera come l’arco di Augusto avesse ispirato i progetti per i quattro archi posticci dell’ingresso, mentre a sua volta il monumento avesse beneficiato, nell’occasione della festa, di un restauro temporaneo modulato sulla cultura dell’effimero spettacolare. </w:t>
      </w:r>
    </w:p>
  </w:footnote>
  <w:footnote w:id="691">
    <w:p w14:paraId="6126C3D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L’arco, a un solo fornice, largo 8,84 m., profondo 4,10 m. e alto 10,23 m., fu costruito in pietra d’Istria. Inglobato nel tessuto delle mura medievali e sormontato da una merlatura che ne alterava l’aspetto originario, non mancò tuttavia d’ispirare l’Alberti nell’edificazione del Tempio Malatestiano e fu opera rinomata presso gli umanisti italiani, nonché monumento emblematico della città di Rimini. Cfr. </w:t>
      </w:r>
      <w:r w:rsidRPr="00796A9D">
        <w:rPr>
          <w:rFonts w:ascii="Times New Roman" w:hAnsi="Times New Roman" w:cs="Times New Roman"/>
          <w:smallCaps/>
        </w:rPr>
        <w:t>P.G. Pasini</w:t>
      </w:r>
      <w:r w:rsidRPr="00796A9D">
        <w:rPr>
          <w:rFonts w:ascii="Times New Roman" w:hAnsi="Times New Roman" w:cs="Times New Roman"/>
          <w:i/>
        </w:rPr>
        <w:t>, Fortuna e immagini dell’Arco riminese. Appunti per una storia dell’Arco di Augusto e del suo contesto</w:t>
      </w:r>
      <w:r w:rsidRPr="00796A9D">
        <w:rPr>
          <w:rFonts w:ascii="Times New Roman" w:hAnsi="Times New Roman" w:cs="Times New Roman"/>
        </w:rPr>
        <w:t xml:space="preserve">, in </w:t>
      </w:r>
      <w:r w:rsidRPr="00796A9D">
        <w:rPr>
          <w:rFonts w:ascii="Times New Roman" w:hAnsi="Times New Roman" w:cs="Times New Roman"/>
          <w:i/>
        </w:rPr>
        <w:t>L’arco d’Augusto. Significati e vicende di un grande segno urbano</w:t>
      </w:r>
      <w:r w:rsidRPr="00796A9D">
        <w:rPr>
          <w:rFonts w:ascii="Times New Roman" w:hAnsi="Times New Roman" w:cs="Times New Roman"/>
        </w:rPr>
        <w:t xml:space="preserve">, a cura di </w:t>
      </w:r>
      <w:r w:rsidRPr="00796A9D">
        <w:rPr>
          <w:rFonts w:ascii="Times New Roman" w:hAnsi="Times New Roman" w:cs="Times New Roman"/>
          <w:smallCaps/>
        </w:rPr>
        <w:t>P.L. Foschi, P.G. Pasini</w:t>
      </w:r>
      <w:r w:rsidRPr="00796A9D">
        <w:rPr>
          <w:rFonts w:ascii="Times New Roman" w:hAnsi="Times New Roman" w:cs="Times New Roman"/>
        </w:rPr>
        <w:t xml:space="preserve">, Rimini, Musei Comunali, 1988, pp. 63-101.  </w:t>
      </w:r>
    </w:p>
  </w:footnote>
  <w:footnote w:id="692">
    <w:p w14:paraId="273351B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w:t>
      </w:r>
      <w:r w:rsidRPr="00EE06BD">
        <w:rPr>
          <w:rFonts w:ascii="Times New Roman" w:hAnsi="Times New Roman" w:cs="Times New Roman"/>
          <w:i/>
        </w:rPr>
        <w:t xml:space="preserve">Cronaca </w:t>
      </w:r>
      <w:r>
        <w:rPr>
          <w:rFonts w:ascii="Times New Roman" w:hAnsi="Times New Roman" w:cs="Times New Roman"/>
          <w:i/>
        </w:rPr>
        <w:t>u</w:t>
      </w:r>
      <w:r w:rsidRPr="00EE06BD">
        <w:rPr>
          <w:rFonts w:ascii="Times New Roman" w:hAnsi="Times New Roman" w:cs="Times New Roman"/>
          <w:i/>
        </w:rPr>
        <w:t>niversale</w:t>
      </w:r>
      <w:r>
        <w:rPr>
          <w:rFonts w:ascii="Times New Roman" w:hAnsi="Times New Roman" w:cs="Times New Roman"/>
        </w:rPr>
        <w:t xml:space="preserve"> </w:t>
      </w:r>
      <w:r w:rsidRPr="00796A9D">
        <w:rPr>
          <w:rFonts w:ascii="Times New Roman" w:hAnsi="Times New Roman" w:cs="Times New Roman"/>
        </w:rPr>
        <w:t>di Gaspare Broglio, sebbene riconosciuta quale testo non trascurabile per la conoscenza della storia della Signoria dei Malatesta, è edita solo parzialmente</w:t>
      </w:r>
      <w:r>
        <w:rPr>
          <w:rFonts w:ascii="Times New Roman" w:hAnsi="Times New Roman" w:cs="Times New Roman"/>
        </w:rPr>
        <w:t>.</w:t>
      </w:r>
      <w:r w:rsidRPr="00796A9D">
        <w:rPr>
          <w:rFonts w:ascii="Times New Roman" w:hAnsi="Times New Roman" w:cs="Times New Roman"/>
        </w:rPr>
        <w:t xml:space="preserve"> </w:t>
      </w:r>
      <w:r>
        <w:rPr>
          <w:rFonts w:ascii="Times New Roman" w:hAnsi="Times New Roman" w:cs="Times New Roman"/>
        </w:rPr>
        <w:t>S</w:t>
      </w:r>
      <w:r w:rsidRPr="00796A9D">
        <w:rPr>
          <w:rFonts w:ascii="Times New Roman" w:hAnsi="Times New Roman" w:cs="Times New Roman"/>
        </w:rPr>
        <w:t xml:space="preserve">i conserva manoscritta presso la Biblioteca Gambalunga di Rimini, sc.ms 1161. Le note sul matrimonio di Roberto Malatesta delle carte 264r-273r sono edite in A. </w:t>
      </w:r>
      <w:r w:rsidRPr="00796A9D">
        <w:rPr>
          <w:rFonts w:ascii="Times New Roman" w:hAnsi="Times New Roman" w:cs="Times New Roman"/>
          <w:smallCaps/>
        </w:rPr>
        <w:t>Turchini</w:t>
      </w:r>
      <w:r w:rsidRPr="00796A9D">
        <w:rPr>
          <w:rFonts w:ascii="Times New Roman" w:hAnsi="Times New Roman" w:cs="Times New Roman"/>
        </w:rPr>
        <w:t xml:space="preserve">, </w:t>
      </w:r>
      <w:r w:rsidRPr="00796A9D">
        <w:rPr>
          <w:rFonts w:ascii="Times New Roman" w:hAnsi="Times New Roman" w:cs="Times New Roman"/>
          <w:i/>
        </w:rPr>
        <w:t>La signoria di Roberto Malatesta detto il Magnifico (1468-1482),</w:t>
      </w:r>
      <w:r w:rsidRPr="00796A9D">
        <w:rPr>
          <w:rFonts w:ascii="Times New Roman" w:hAnsi="Times New Roman" w:cs="Times New Roman"/>
        </w:rPr>
        <w:t xml:space="preserve"> Rimini, Ghigi, 2001, pp. 427-467: 436. </w:t>
      </w:r>
    </w:p>
  </w:footnote>
  <w:footnote w:id="693">
    <w:p w14:paraId="76D3A29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437. </w:t>
      </w:r>
    </w:p>
  </w:footnote>
  <w:footnote w:id="694">
    <w:p w14:paraId="3010658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438. </w:t>
      </w:r>
    </w:p>
  </w:footnote>
  <w:footnote w:id="695">
    <w:p w14:paraId="00139F3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442. </w:t>
      </w:r>
    </w:p>
  </w:footnote>
  <w:footnote w:id="696">
    <w:p w14:paraId="0BD0038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pp.431-435.</w:t>
      </w:r>
    </w:p>
  </w:footnote>
  <w:footnote w:id="697">
    <w:p w14:paraId="462355B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Pesaro, Biblioteca Oliveriana, ms. 386, pubblicato, annotato e messo a confronto con la </w:t>
      </w:r>
      <w:r w:rsidRPr="00796A9D">
        <w:rPr>
          <w:rFonts w:ascii="Times New Roman" w:hAnsi="Times New Roman" w:cs="Times New Roman"/>
          <w:i/>
        </w:rPr>
        <w:t>Cronaca</w:t>
      </w:r>
      <w:r w:rsidRPr="00796A9D">
        <w:rPr>
          <w:rFonts w:ascii="Times New Roman" w:hAnsi="Times New Roman" w:cs="Times New Roman"/>
        </w:rPr>
        <w:t xml:space="preserve"> di Gaspare Broglio in </w:t>
      </w:r>
      <w:r w:rsidRPr="00796A9D">
        <w:rPr>
          <w:rFonts w:ascii="Times New Roman" w:hAnsi="Times New Roman" w:cs="Times New Roman"/>
          <w:smallCaps/>
        </w:rPr>
        <w:t>F.V. Lombardi</w:t>
      </w:r>
      <w:r w:rsidRPr="00796A9D">
        <w:rPr>
          <w:rFonts w:ascii="Times New Roman" w:hAnsi="Times New Roman" w:cs="Times New Roman"/>
        </w:rPr>
        <w:t xml:space="preserve">, </w:t>
      </w:r>
      <w:r w:rsidRPr="00796A9D">
        <w:rPr>
          <w:rFonts w:ascii="Times New Roman" w:hAnsi="Times New Roman" w:cs="Times New Roman"/>
          <w:i/>
        </w:rPr>
        <w:t>Liste delle nozze di Roberto Malatesta e di Elisabetta da Montefeltro (25 giugno 1475),</w:t>
      </w:r>
      <w:r w:rsidRPr="00796A9D">
        <w:rPr>
          <w:rFonts w:ascii="Times New Roman" w:hAnsi="Times New Roman" w:cs="Times New Roman"/>
        </w:rPr>
        <w:t xml:space="preserve"> «Romagna arte e storia», XVIII, 1986, pp. 13-26, che reputa più attendibili le cifre di spesa indicate dall’anonimo compilatore poiché non condizionate dall’ufficialità della scrittura della </w:t>
      </w:r>
      <w:r w:rsidRPr="00796A9D">
        <w:rPr>
          <w:rFonts w:ascii="Times New Roman" w:hAnsi="Times New Roman" w:cs="Times New Roman"/>
          <w:i/>
        </w:rPr>
        <w:t>Cronaca universale</w:t>
      </w:r>
      <w:r w:rsidRPr="00796A9D">
        <w:rPr>
          <w:rFonts w:ascii="Times New Roman" w:hAnsi="Times New Roman" w:cs="Times New Roman"/>
        </w:rPr>
        <w:t xml:space="preserve"> e perché solitamente inferiori rispetto a quelle di Broglio, il quale avrebbe accresciuto i conti per esaltare la munificenza del suo Signore.  </w:t>
      </w:r>
    </w:p>
  </w:footnote>
  <w:footnote w:id="698">
    <w:p w14:paraId="549D0E0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C. Clementini</w:t>
      </w:r>
      <w:r w:rsidRPr="00796A9D">
        <w:rPr>
          <w:rFonts w:ascii="Times New Roman" w:hAnsi="Times New Roman" w:cs="Times New Roman"/>
        </w:rPr>
        <w:t xml:space="preserve">, </w:t>
      </w:r>
      <w:r w:rsidRPr="00796A9D">
        <w:rPr>
          <w:rFonts w:ascii="Times New Roman" w:hAnsi="Times New Roman" w:cs="Times New Roman"/>
          <w:i/>
        </w:rPr>
        <w:t>Raccolto istorico della fondatione di Rimino e dell’origine e vite de’ Malatesti. Con vari e notabili fatti in essa città e fuori di tempo in tempo successi</w:t>
      </w:r>
      <w:r w:rsidRPr="00796A9D">
        <w:rPr>
          <w:rFonts w:ascii="Times New Roman" w:hAnsi="Times New Roman" w:cs="Times New Roman"/>
        </w:rPr>
        <w:t>, Rimini, Simbeni, 1617, vol. II,</w:t>
      </w:r>
      <w:r w:rsidRPr="00796A9D">
        <w:rPr>
          <w:rFonts w:ascii="Times New Roman" w:hAnsi="Times New Roman" w:cs="Times New Roman"/>
          <w:i/>
        </w:rPr>
        <w:t xml:space="preserve"> </w:t>
      </w:r>
      <w:r w:rsidRPr="00796A9D">
        <w:rPr>
          <w:rFonts w:ascii="Times New Roman" w:hAnsi="Times New Roman" w:cs="Times New Roman"/>
        </w:rPr>
        <w:t xml:space="preserve">pp. 518-538. A. </w:t>
      </w:r>
      <w:r w:rsidRPr="00796A9D">
        <w:rPr>
          <w:rFonts w:ascii="Times New Roman" w:hAnsi="Times New Roman" w:cs="Times New Roman"/>
          <w:smallCaps/>
        </w:rPr>
        <w:t>Turchini</w:t>
      </w:r>
      <w:r w:rsidRPr="00796A9D">
        <w:rPr>
          <w:rFonts w:ascii="Times New Roman" w:hAnsi="Times New Roman" w:cs="Times New Roman"/>
        </w:rPr>
        <w:t xml:space="preserve">, </w:t>
      </w:r>
      <w:r w:rsidRPr="00796A9D">
        <w:rPr>
          <w:rFonts w:ascii="Times New Roman" w:hAnsi="Times New Roman" w:cs="Times New Roman"/>
          <w:i/>
        </w:rPr>
        <w:t xml:space="preserve">La signoria di Roberto Malatesta, </w:t>
      </w:r>
      <w:r w:rsidRPr="00796A9D">
        <w:rPr>
          <w:rFonts w:ascii="Times New Roman" w:hAnsi="Times New Roman" w:cs="Times New Roman"/>
        </w:rPr>
        <w:t>cit., pp. 427-467 mette puntualmente a confronto la descrizione delle nozze data da C</w:t>
      </w:r>
      <w:r>
        <w:rPr>
          <w:rFonts w:ascii="Times New Roman" w:hAnsi="Times New Roman" w:cs="Times New Roman"/>
        </w:rPr>
        <w:t>lementini</w:t>
      </w:r>
      <w:r w:rsidRPr="00796A9D">
        <w:rPr>
          <w:rFonts w:ascii="Times New Roman" w:hAnsi="Times New Roman" w:cs="Times New Roman"/>
        </w:rPr>
        <w:t xml:space="preserve"> con quella del Broglio, sua principale fonte d’informazioni. La differenza più interessante tra le due versioni sta probabilmente nelle notizie che lo storico seicentesco riportò riguardo alla decorazione del secondo arco posticcio, dove pare fossero presenti alcuni pannelli raffiguranti le maggiori imprese militari di Federico da Montefeltro. La notizia mi pare attendibile, ma non essendo confermata da fonti contemporanee allo svolgimento della festa credo vada presa con cautela.    </w:t>
      </w:r>
    </w:p>
  </w:footnote>
  <w:footnote w:id="699">
    <w:p w14:paraId="2830903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E. Garbero Zorzi</w:t>
      </w:r>
      <w:r w:rsidRPr="00796A9D">
        <w:rPr>
          <w:rFonts w:ascii="Times New Roman" w:hAnsi="Times New Roman" w:cs="Times New Roman"/>
        </w:rPr>
        <w:t xml:space="preserve">, </w:t>
      </w:r>
      <w:r w:rsidRPr="00796A9D">
        <w:rPr>
          <w:rFonts w:ascii="Times New Roman" w:hAnsi="Times New Roman" w:cs="Times New Roman"/>
          <w:i/>
        </w:rPr>
        <w:t>Festa e spettacolo a cort</w:t>
      </w:r>
      <w:r w:rsidRPr="00796A9D">
        <w:rPr>
          <w:rFonts w:ascii="Times New Roman" w:hAnsi="Times New Roman" w:cs="Times New Roman"/>
        </w:rPr>
        <w:t xml:space="preserve">e, in </w:t>
      </w:r>
      <w:r w:rsidRPr="00796A9D">
        <w:rPr>
          <w:rFonts w:ascii="Times New Roman" w:hAnsi="Times New Roman" w:cs="Times New Roman"/>
          <w:i/>
        </w:rPr>
        <w:t>Federico da Montefeltro. Lo stato, le arti, la cultura</w:t>
      </w:r>
      <w:r w:rsidRPr="00796A9D">
        <w:rPr>
          <w:rFonts w:ascii="Times New Roman" w:hAnsi="Times New Roman" w:cs="Times New Roman"/>
        </w:rPr>
        <w:t xml:space="preserve">, a cura di G. </w:t>
      </w:r>
      <w:r w:rsidRPr="00796A9D">
        <w:rPr>
          <w:rFonts w:ascii="Times New Roman" w:hAnsi="Times New Roman" w:cs="Times New Roman"/>
          <w:smallCaps/>
        </w:rPr>
        <w:t>Cerboni Baiardi, G. Chittolini, P. Floriani</w:t>
      </w:r>
      <w:r w:rsidRPr="00796A9D">
        <w:rPr>
          <w:rFonts w:ascii="Times New Roman" w:hAnsi="Times New Roman" w:cs="Times New Roman"/>
        </w:rPr>
        <w:t xml:space="preserve">, Roma, Bulzoni, 1986, vol. II, pp. 301-330, dove è evidenziato lo stretto rapporto tra la spettacolarità urbinate e quella dispiegata in questo sposalizio.  </w:t>
      </w:r>
    </w:p>
  </w:footnote>
  <w:footnote w:id="700">
    <w:p w14:paraId="6A196E1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 precedente dell’esportazione degli ingegni brunelleschiani, che presenta molte affinità con questo episodio riminese, credo si possa individuare nell’ingresso di Borso d’Este a Reggio Emilia del 4 luglio 1453. Per l’evento, il fiorentino Niccolò Baroncelli progettò due apparati ispirati ai paradisi delle chiese d’Oltrarno, che furono montati sulle facciate della chiesa di San Pietro e del palazzo del Podestà.  Dal primo di questi un figurante nei panni di san Pietro, trasportato in volo da un marchingegno di forma sferica con due angeli assisi ai suoi piedi, discese dal cielo per porgere al duca una corona d’alloro. Dal secondo calarono invece tre angioletti per offrire a Borso dei rami di palma. Nel contesto del trionfo principesco, gli ingegni fiorentini venivano dunque adattati alle necessità dell’offerta encomiastica, trovando posto, lungo le vie della città, sulle facciate degli edifici che meglio ne rappresentavano l’identità civica. Cfr. </w:t>
      </w:r>
      <w:r w:rsidRPr="00796A9D">
        <w:rPr>
          <w:rFonts w:ascii="Times New Roman" w:hAnsi="Times New Roman" w:cs="Times New Roman"/>
          <w:smallCaps/>
        </w:rPr>
        <w:t>V. Pari</w:t>
      </w:r>
      <w:r w:rsidRPr="00796A9D">
        <w:rPr>
          <w:rFonts w:ascii="Times New Roman" w:hAnsi="Times New Roman" w:cs="Times New Roman"/>
        </w:rPr>
        <w:t xml:space="preserve">, </w:t>
      </w:r>
      <w:r w:rsidRPr="00796A9D">
        <w:rPr>
          <w:rFonts w:ascii="Times New Roman" w:hAnsi="Times New Roman" w:cs="Times New Roman"/>
          <w:i/>
        </w:rPr>
        <w:t>Il trionfo di Borso d’Este in Reggio Emilia e l’immaginario trionfale della Ferrara del Quattrocento</w:t>
      </w:r>
      <w:r w:rsidRPr="00796A9D">
        <w:rPr>
          <w:rFonts w:ascii="Times New Roman" w:hAnsi="Times New Roman" w:cs="Times New Roman"/>
        </w:rPr>
        <w:t xml:space="preserve">, «Teatro e Storia», XXVI, 2005, pp. 33-63.  </w:t>
      </w:r>
    </w:p>
  </w:footnote>
  <w:footnote w:id="701">
    <w:p w14:paraId="6CA22A1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F.V. Lombardi</w:t>
      </w:r>
      <w:r w:rsidRPr="00796A9D">
        <w:rPr>
          <w:rFonts w:ascii="Times New Roman" w:hAnsi="Times New Roman" w:cs="Times New Roman"/>
        </w:rPr>
        <w:t xml:space="preserve">, </w:t>
      </w:r>
      <w:r w:rsidRPr="00796A9D">
        <w:rPr>
          <w:rFonts w:ascii="Times New Roman" w:hAnsi="Times New Roman" w:cs="Times New Roman"/>
          <w:i/>
        </w:rPr>
        <w:t>Liste delle nozze di Roberto Malatesta</w:t>
      </w:r>
      <w:r w:rsidRPr="00796A9D">
        <w:rPr>
          <w:rFonts w:ascii="Times New Roman" w:hAnsi="Times New Roman" w:cs="Times New Roman"/>
        </w:rPr>
        <w:t xml:space="preserve">, p. 23. L’improvvisatore venne retribuito 23 ducati, esattamente quanto Mario Filelfo, il quale il 25 giugno pronunciò l’orazione nuziale ufficiale.   </w:t>
      </w:r>
    </w:p>
  </w:footnote>
  <w:footnote w:id="702">
    <w:p w14:paraId="2435D99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Antonio di Guido, spesso indicato nelle rubriche dei documenti che lo riguardano come «Maestro Antonio che chanta in san Martino», a conferma della sua fama di abile dicitore e cantore di piazza, vedi </w:t>
      </w:r>
      <w:r w:rsidRPr="00796A9D">
        <w:rPr>
          <w:rFonts w:ascii="Times New Roman" w:hAnsi="Times New Roman" w:cs="Times New Roman"/>
          <w:smallCaps/>
        </w:rPr>
        <w:t>L. degli Innocenti</w:t>
      </w:r>
      <w:r w:rsidRPr="00796A9D">
        <w:rPr>
          <w:rFonts w:ascii="Times New Roman" w:hAnsi="Times New Roman" w:cs="Times New Roman"/>
        </w:rPr>
        <w:t xml:space="preserve">, </w:t>
      </w:r>
      <w:r w:rsidRPr="00796A9D">
        <w:rPr>
          <w:rFonts w:ascii="Times New Roman" w:hAnsi="Times New Roman" w:cs="Times New Roman"/>
          <w:i/>
        </w:rPr>
        <w:t>I cantari in ottava rima tra Medioevo e primo Rinascimento: i cantimpanca e la piazza</w:t>
      </w:r>
      <w:r w:rsidRPr="00796A9D">
        <w:rPr>
          <w:rFonts w:ascii="Times New Roman" w:hAnsi="Times New Roman" w:cs="Times New Roman"/>
        </w:rPr>
        <w:t xml:space="preserve">, in </w:t>
      </w:r>
      <w:r w:rsidRPr="00796A9D">
        <w:rPr>
          <w:rFonts w:ascii="Times New Roman" w:hAnsi="Times New Roman" w:cs="Times New Roman"/>
          <w:i/>
        </w:rPr>
        <w:t>Cantar ottave. Per una storia dell’intonazione cantata in ottava rima</w:t>
      </w:r>
      <w:r w:rsidRPr="00796A9D">
        <w:rPr>
          <w:rFonts w:ascii="Times New Roman" w:hAnsi="Times New Roman" w:cs="Times New Roman"/>
        </w:rPr>
        <w:t xml:space="preserve">, a cura di </w:t>
      </w:r>
      <w:r w:rsidRPr="00796A9D">
        <w:rPr>
          <w:rFonts w:ascii="Times New Roman" w:hAnsi="Times New Roman" w:cs="Times New Roman"/>
          <w:smallCaps/>
        </w:rPr>
        <w:t>M. Agamennone</w:t>
      </w:r>
      <w:r w:rsidRPr="00796A9D">
        <w:rPr>
          <w:rFonts w:ascii="Times New Roman" w:hAnsi="Times New Roman" w:cs="Times New Roman"/>
        </w:rPr>
        <w:t>, Lucca, Libreria Musicale Italiana, 2017, pp. 17-18.</w:t>
      </w:r>
    </w:p>
  </w:footnote>
  <w:footnote w:id="703">
    <w:p w14:paraId="40E8A3C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U. Caleffini</w:t>
      </w:r>
      <w:r w:rsidRPr="00796A9D">
        <w:rPr>
          <w:rFonts w:ascii="Times New Roman" w:hAnsi="Times New Roman" w:cs="Times New Roman"/>
        </w:rPr>
        <w:t xml:space="preserve">, </w:t>
      </w:r>
      <w:r w:rsidRPr="00796A9D">
        <w:rPr>
          <w:rFonts w:ascii="Times New Roman" w:hAnsi="Times New Roman" w:cs="Times New Roman"/>
          <w:i/>
        </w:rPr>
        <w:t>Croniche 1471-1494</w:t>
      </w:r>
      <w:r w:rsidRPr="00796A9D">
        <w:rPr>
          <w:rFonts w:ascii="Times New Roman" w:hAnsi="Times New Roman" w:cs="Times New Roman"/>
        </w:rPr>
        <w:t>, Ferrara, Deputazione provinciale ferrarese di Storia Patria, 2006, p. 779.</w:t>
      </w:r>
    </w:p>
  </w:footnote>
  <w:footnote w:id="704">
    <w:p w14:paraId="37E11A0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 dall’anno 1476 sino al 1504</w:t>
      </w:r>
      <w:r w:rsidRPr="00796A9D">
        <w:rPr>
          <w:rFonts w:ascii="Times New Roman" w:hAnsi="Times New Roman" w:cs="Times New Roman"/>
        </w:rPr>
        <w:t xml:space="preserve">, in </w:t>
      </w:r>
      <w:r w:rsidRPr="00796A9D">
        <w:rPr>
          <w:rFonts w:ascii="Times New Roman" w:hAnsi="Times New Roman" w:cs="Times New Roman"/>
          <w:i/>
        </w:rPr>
        <w:t>Rerum Italicarum Scriptores</w:t>
      </w:r>
      <w:r w:rsidRPr="00796A9D">
        <w:rPr>
          <w:rFonts w:ascii="Times New Roman" w:hAnsi="Times New Roman" w:cs="Times New Roman"/>
        </w:rPr>
        <w:t xml:space="preserve">, Bologna, Zanichelli, XXIV p. 220. </w:t>
      </w:r>
    </w:p>
  </w:footnote>
  <w:footnote w:id="705">
    <w:p w14:paraId="51AFA87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Diario ferrarese</w:t>
      </w:r>
      <w:r w:rsidRPr="00796A9D">
        <w:rPr>
          <w:rFonts w:ascii="Times New Roman" w:hAnsi="Times New Roman" w:cs="Times New Roman"/>
        </w:rPr>
        <w:t>, cit., p. 127. La fonte annota anche che, entrando in città per ponte san Giorgio, Anna Sforza sostò presso il palazzo del capitano di ventura Giulio Tassoni, dove «era uno Bolognexe che atezava suxo la corda». L’esibizione del funambolo durante l’ingresso classicheggiante costitu</w:t>
      </w:r>
      <w:r>
        <w:rPr>
          <w:rFonts w:ascii="Times New Roman" w:hAnsi="Times New Roman" w:cs="Times New Roman"/>
        </w:rPr>
        <w:t>ì</w:t>
      </w:r>
      <w:r w:rsidRPr="00796A9D">
        <w:rPr>
          <w:rFonts w:ascii="Times New Roman" w:hAnsi="Times New Roman" w:cs="Times New Roman"/>
        </w:rPr>
        <w:t xml:space="preserve"> un prestito dalla cultura spettacolare romanza che contamin</w:t>
      </w:r>
      <w:r>
        <w:rPr>
          <w:rFonts w:ascii="Times New Roman" w:hAnsi="Times New Roman" w:cs="Times New Roman"/>
        </w:rPr>
        <w:t>ò</w:t>
      </w:r>
      <w:r w:rsidRPr="00796A9D">
        <w:rPr>
          <w:rFonts w:ascii="Times New Roman" w:hAnsi="Times New Roman" w:cs="Times New Roman"/>
        </w:rPr>
        <w:t xml:space="preserve"> il trionfo all’antica, confermando l’osmosi tra le differenti culture della festa.</w:t>
      </w:r>
    </w:p>
  </w:footnote>
  <w:footnote w:id="706">
    <w:p w14:paraId="5ADE28E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Modena, ASMo, Camera ducale Estense, Minutari cronologico, b. 3, f. 1491. La lettera, datata 24 febbraio 1491, è edita in </w:t>
      </w:r>
      <w:r w:rsidRPr="00796A9D">
        <w:rPr>
          <w:rFonts w:ascii="Times New Roman" w:hAnsi="Times New Roman" w:cs="Times New Roman"/>
          <w:smallCaps/>
        </w:rPr>
        <w:t>A. Franceschini</w:t>
      </w:r>
      <w:r w:rsidRPr="00796A9D">
        <w:rPr>
          <w:rFonts w:ascii="Times New Roman" w:hAnsi="Times New Roman" w:cs="Times New Roman"/>
        </w:rPr>
        <w:t xml:space="preserve">, </w:t>
      </w:r>
      <w:r w:rsidRPr="00796A9D">
        <w:rPr>
          <w:rFonts w:ascii="Times New Roman" w:hAnsi="Times New Roman" w:cs="Times New Roman"/>
          <w:i/>
        </w:rPr>
        <w:t>Artisti a Ferrara in età umanistica e rinascimentale</w:t>
      </w:r>
      <w:r w:rsidRPr="00796A9D">
        <w:rPr>
          <w:rFonts w:ascii="Times New Roman" w:hAnsi="Times New Roman" w:cs="Times New Roman"/>
        </w:rPr>
        <w:t xml:space="preserve">, cit., p. 544-545. </w:t>
      </w:r>
    </w:p>
  </w:footnote>
  <w:footnote w:id="707">
    <w:p w14:paraId="17D5148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Modena, ASMo, Archivio Segreto Estense, Carteggio dei referendari, b. 3, 15 gennaio 1491. Citata in </w:t>
      </w:r>
      <w:r w:rsidRPr="00796A9D">
        <w:rPr>
          <w:rFonts w:ascii="Times New Roman" w:hAnsi="Times New Roman" w:cs="Times New Roman"/>
          <w:smallCaps/>
        </w:rPr>
        <w:t>R. Brown</w:t>
      </w:r>
      <w:r w:rsidRPr="00796A9D">
        <w:rPr>
          <w:rFonts w:ascii="Times New Roman" w:hAnsi="Times New Roman" w:cs="Times New Roman"/>
        </w:rPr>
        <w:t xml:space="preserve">, </w:t>
      </w:r>
      <w:r w:rsidRPr="00796A9D">
        <w:rPr>
          <w:rFonts w:ascii="Times New Roman" w:hAnsi="Times New Roman" w:cs="Times New Roman"/>
          <w:i/>
        </w:rPr>
        <w:t>The Reception of Anna Sforza in Ferrara, February 1491</w:t>
      </w:r>
      <w:r w:rsidRPr="00796A9D">
        <w:rPr>
          <w:rFonts w:ascii="Times New Roman" w:hAnsi="Times New Roman" w:cs="Times New Roman"/>
        </w:rPr>
        <w:t xml:space="preserve">, «Renaissance Studies», II, 1988, pp. 231-240. Lo studioso sottolinea come la scelta di dotarsi di un supervisore per l’organizzazione delle cerimonie fosse stata suggerita dalla stessa duchessa Eleonora, che in quel mese di gennaio informò dettagliatamente di come a Pavia e a Milano si fossero svolti ordinatamente gli ingressi e le feste nuziali per Beatrice d’Este. </w:t>
      </w:r>
    </w:p>
  </w:footnote>
  <w:footnote w:id="708">
    <w:p w14:paraId="6481E96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Ferrara, ASFe, Archivio storico del Municipio di Ferrara, sec. XV, b. 5, c. 26r. Edito in </w:t>
      </w:r>
      <w:r w:rsidRPr="00796A9D">
        <w:rPr>
          <w:rFonts w:ascii="Times New Roman" w:hAnsi="Times New Roman" w:cs="Times New Roman"/>
          <w:smallCaps/>
        </w:rPr>
        <w:t>A. Franceschini</w:t>
      </w:r>
      <w:r w:rsidRPr="00796A9D">
        <w:rPr>
          <w:rFonts w:ascii="Times New Roman" w:hAnsi="Times New Roman" w:cs="Times New Roman"/>
        </w:rPr>
        <w:t xml:space="preserve">, </w:t>
      </w:r>
      <w:r w:rsidRPr="00796A9D">
        <w:rPr>
          <w:rFonts w:ascii="Times New Roman" w:hAnsi="Times New Roman" w:cs="Times New Roman"/>
          <w:i/>
        </w:rPr>
        <w:t>Artisti a Ferrara in età umanistica e rinascimentale</w:t>
      </w:r>
      <w:r w:rsidRPr="00796A9D">
        <w:rPr>
          <w:rFonts w:ascii="Times New Roman" w:hAnsi="Times New Roman" w:cs="Times New Roman"/>
        </w:rPr>
        <w:t xml:space="preserve">, cit., p.544. </w:t>
      </w:r>
    </w:p>
  </w:footnote>
  <w:footnote w:id="709">
    <w:p w14:paraId="66E48E4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Modena, ASMo, Particolari, b. 1239, fasc. 13. Edito </w:t>
      </w:r>
      <w:r w:rsidRPr="00796A9D">
        <w:rPr>
          <w:rFonts w:ascii="Times New Roman" w:hAnsi="Times New Roman" w:cs="Times New Roman"/>
          <w:i/>
        </w:rPr>
        <w:t xml:space="preserve">Ivi, </w:t>
      </w:r>
      <w:r w:rsidRPr="00796A9D">
        <w:rPr>
          <w:rFonts w:ascii="Times New Roman" w:hAnsi="Times New Roman" w:cs="Times New Roman"/>
        </w:rPr>
        <w:t xml:space="preserve">p. 553. La missiva di Rossetti è datata 13 giugno 1491 e dichiara che l’artista aveva intenzione di procedere alla rimozione dell’ultimo apparato rimasto nella settimana seguente.  </w:t>
      </w:r>
    </w:p>
  </w:footnote>
  <w:footnote w:id="710">
    <w:p w14:paraId="69341768" w14:textId="77777777" w:rsidR="00CF5CFB" w:rsidRPr="00796A9D" w:rsidRDefault="00CF5CFB" w:rsidP="00796A9D">
      <w:pPr>
        <w:pStyle w:val="Testonotaapidipagina"/>
        <w:jc w:val="both"/>
        <w:rPr>
          <w:rFonts w:ascii="Times New Roman" w:hAnsi="Times New Roman" w:cs="Times New Roman"/>
          <w:lang w:val="en-GB"/>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Osservazioni sull’ingresso di Anna Sforza a Ferrara e sulle architetture effimere preparate in città in occasione delle entrate delle spose di casa d’Este in </w:t>
      </w:r>
      <w:r w:rsidRPr="00796A9D">
        <w:rPr>
          <w:rFonts w:ascii="Times New Roman" w:hAnsi="Times New Roman" w:cs="Times New Roman"/>
          <w:smallCaps/>
        </w:rPr>
        <w:t>D.Y. Ghirardo</w:t>
      </w:r>
      <w:r w:rsidRPr="00796A9D">
        <w:rPr>
          <w:rFonts w:ascii="Times New Roman" w:hAnsi="Times New Roman" w:cs="Times New Roman"/>
        </w:rPr>
        <w:t xml:space="preserve">, </w:t>
      </w:r>
      <w:r w:rsidRPr="00796A9D">
        <w:rPr>
          <w:rFonts w:ascii="Times New Roman" w:hAnsi="Times New Roman" w:cs="Times New Roman"/>
          <w:i/>
        </w:rPr>
        <w:t>Festive Bridal Entries in Renaissance Ferrara</w:t>
      </w:r>
      <w:r w:rsidRPr="00796A9D">
        <w:rPr>
          <w:rFonts w:ascii="Times New Roman" w:hAnsi="Times New Roman" w:cs="Times New Roman"/>
        </w:rPr>
        <w:t xml:space="preserve">, in </w:t>
      </w:r>
      <w:r w:rsidRPr="00796A9D">
        <w:rPr>
          <w:rFonts w:ascii="Times New Roman" w:hAnsi="Times New Roman" w:cs="Times New Roman"/>
          <w:i/>
        </w:rPr>
        <w:t>Festival Architecture</w:t>
      </w:r>
      <w:r w:rsidRPr="00796A9D">
        <w:rPr>
          <w:rFonts w:ascii="Times New Roman" w:hAnsi="Times New Roman" w:cs="Times New Roman"/>
        </w:rPr>
        <w:t xml:space="preserve">, edited by </w:t>
      </w:r>
      <w:r w:rsidRPr="00796A9D">
        <w:rPr>
          <w:rFonts w:ascii="Times New Roman" w:hAnsi="Times New Roman" w:cs="Times New Roman"/>
          <w:smallCaps/>
        </w:rPr>
        <w:t>S. Bonnemaison, C. Macy</w:t>
      </w:r>
      <w:r w:rsidRPr="00796A9D">
        <w:rPr>
          <w:rFonts w:ascii="Times New Roman" w:hAnsi="Times New Roman" w:cs="Times New Roman"/>
        </w:rPr>
        <w:t xml:space="preserve">, London-New York, Routledge, 2008, pp. 43-73. Più in generale sugli </w:t>
      </w:r>
      <w:r w:rsidRPr="00796A9D">
        <w:rPr>
          <w:rFonts w:ascii="Times New Roman" w:hAnsi="Times New Roman" w:cs="Times New Roman"/>
          <w:i/>
        </w:rPr>
        <w:t>Ephemera of Magnificence</w:t>
      </w:r>
      <w:r w:rsidRPr="00796A9D">
        <w:rPr>
          <w:rFonts w:ascii="Times New Roman" w:hAnsi="Times New Roman" w:cs="Times New Roman"/>
        </w:rPr>
        <w:t xml:space="preserve">, </w:t>
      </w:r>
      <w:r w:rsidRPr="00796A9D">
        <w:rPr>
          <w:rFonts w:ascii="Times New Roman" w:hAnsi="Times New Roman" w:cs="Times New Roman"/>
          <w:smallCaps/>
        </w:rPr>
        <w:t>T. Tuohy</w:t>
      </w:r>
      <w:r w:rsidRPr="00796A9D">
        <w:rPr>
          <w:rFonts w:ascii="Times New Roman" w:hAnsi="Times New Roman" w:cs="Times New Roman"/>
        </w:rPr>
        <w:t xml:space="preserve">, </w:t>
      </w:r>
      <w:r w:rsidRPr="00796A9D">
        <w:rPr>
          <w:rFonts w:ascii="Times New Roman" w:hAnsi="Times New Roman" w:cs="Times New Roman"/>
          <w:i/>
        </w:rPr>
        <w:t xml:space="preserve">Herculean Ferrara. </w:t>
      </w:r>
      <w:r w:rsidRPr="00796A9D">
        <w:rPr>
          <w:rFonts w:ascii="Times New Roman" w:hAnsi="Times New Roman" w:cs="Times New Roman"/>
          <w:i/>
          <w:lang w:val="en-GB"/>
        </w:rPr>
        <w:t>Ercole d’Este, 1471-1505, and the Invention of a Ducal Capital</w:t>
      </w:r>
      <w:r w:rsidRPr="00796A9D">
        <w:rPr>
          <w:rFonts w:ascii="Times New Roman" w:hAnsi="Times New Roman" w:cs="Times New Roman"/>
          <w:lang w:val="en-GB"/>
        </w:rPr>
        <w:t xml:space="preserve">, Cambridge, Cambridge University Press, 1996, pp. 234-239.  </w:t>
      </w:r>
    </w:p>
  </w:footnote>
  <w:footnote w:id="711">
    <w:p w14:paraId="0E72DF2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L. </w:t>
      </w:r>
      <w:r w:rsidRPr="00796A9D">
        <w:rPr>
          <w:rFonts w:ascii="Times New Roman" w:hAnsi="Times New Roman" w:cs="Times New Roman"/>
          <w:smallCaps/>
        </w:rPr>
        <w:t>Zorzi</w:t>
      </w:r>
      <w:r w:rsidRPr="00796A9D">
        <w:rPr>
          <w:rFonts w:ascii="Times New Roman" w:hAnsi="Times New Roman" w:cs="Times New Roman"/>
        </w:rPr>
        <w:t xml:space="preserve">, </w:t>
      </w:r>
      <w:r w:rsidRPr="00796A9D">
        <w:rPr>
          <w:rFonts w:ascii="Times New Roman" w:hAnsi="Times New Roman" w:cs="Times New Roman"/>
          <w:i/>
        </w:rPr>
        <w:t>Ferrara: il sipario ducale</w:t>
      </w:r>
      <w:r w:rsidRPr="00796A9D">
        <w:rPr>
          <w:rFonts w:ascii="Times New Roman" w:hAnsi="Times New Roman" w:cs="Times New Roman"/>
        </w:rPr>
        <w:t>, in</w:t>
      </w:r>
      <w:r w:rsidRPr="00796A9D">
        <w:rPr>
          <w:rFonts w:ascii="Times New Roman" w:hAnsi="Times New Roman" w:cs="Times New Roman"/>
          <w:i/>
        </w:rPr>
        <w:t xml:space="preserve"> Il teatro e la città. Saggi sulla scena italiana</w:t>
      </w:r>
      <w:r w:rsidRPr="00796A9D">
        <w:rPr>
          <w:rFonts w:ascii="Times New Roman" w:hAnsi="Times New Roman" w:cs="Times New Roman"/>
        </w:rPr>
        <w:t xml:space="preserve">, Torino, Einaudi, 1979, p. 6. La continuità tra la progettazione dello spazio urbano e l’ideazione scenografica, ispirata dal compimento del sogno della città ideale, è indagata dal denso saggio di Zorzi, cui si rimanda per ulteriori approfondimenti.  </w:t>
      </w:r>
    </w:p>
  </w:footnote>
  <w:footnote w:id="712">
    <w:p w14:paraId="67E7A3F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S. Degli Arienti</w:t>
      </w:r>
      <w:r w:rsidRPr="00796A9D">
        <w:rPr>
          <w:rFonts w:ascii="Times New Roman" w:hAnsi="Times New Roman" w:cs="Times New Roman"/>
        </w:rPr>
        <w:t xml:space="preserve">, </w:t>
      </w:r>
      <w:r w:rsidRPr="00796A9D">
        <w:rPr>
          <w:rFonts w:ascii="Times New Roman" w:hAnsi="Times New Roman" w:cs="Times New Roman"/>
          <w:i/>
        </w:rPr>
        <w:t>Hymeneus Bentivolus</w:t>
      </w:r>
      <w:r w:rsidRPr="00796A9D">
        <w:rPr>
          <w:rFonts w:ascii="Times New Roman" w:hAnsi="Times New Roman" w:cs="Times New Roman"/>
        </w:rPr>
        <w:t>, cit., XIV-XIX, pp. 58-67, ricorda inoltre che l’apertura delle porte fu accompagnata da squilli di trombe e melodie eseguite dai musici partecipanti al corteo.</w:t>
      </w:r>
    </w:p>
  </w:footnote>
  <w:footnote w:id="713">
    <w:p w14:paraId="3C8B5CC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Mantova e Urbino</w:t>
      </w:r>
      <w:r w:rsidRPr="00796A9D">
        <w:rPr>
          <w:rFonts w:ascii="Times New Roman" w:hAnsi="Times New Roman" w:cs="Times New Roman"/>
        </w:rPr>
        <w:t xml:space="preserve">, cit., p. 19. </w:t>
      </w:r>
    </w:p>
  </w:footnote>
  <w:footnote w:id="714">
    <w:p w14:paraId="4972404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M.A. Altieri</w:t>
      </w:r>
      <w:r w:rsidRPr="00796A9D">
        <w:rPr>
          <w:rFonts w:ascii="Times New Roman" w:hAnsi="Times New Roman" w:cs="Times New Roman"/>
          <w:i/>
        </w:rPr>
        <w:t>, Li Nuptiali</w:t>
      </w:r>
      <w:r w:rsidRPr="00796A9D">
        <w:rPr>
          <w:rFonts w:ascii="Times New Roman" w:hAnsi="Times New Roman" w:cs="Times New Roman"/>
        </w:rPr>
        <w:t xml:space="preserve">, a cura di E. </w:t>
      </w:r>
      <w:r w:rsidRPr="00796A9D">
        <w:rPr>
          <w:rFonts w:ascii="Times New Roman" w:hAnsi="Times New Roman" w:cs="Times New Roman"/>
          <w:smallCaps/>
        </w:rPr>
        <w:t>Narducci</w:t>
      </w:r>
      <w:r w:rsidRPr="00796A9D">
        <w:rPr>
          <w:rFonts w:ascii="Times New Roman" w:hAnsi="Times New Roman" w:cs="Times New Roman"/>
        </w:rPr>
        <w:t>, Roma, Bartoli, 1873, pp. 75-78.</w:t>
      </w:r>
    </w:p>
  </w:footnote>
  <w:footnote w:id="715">
    <w:p w14:paraId="3F18369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w:t>
      </w:r>
      <w:r w:rsidRPr="00796A9D">
        <w:rPr>
          <w:rFonts w:ascii="Times New Roman" w:hAnsi="Times New Roman" w:cs="Times New Roman"/>
          <w:i/>
        </w:rPr>
        <w:t>Libro d’ore Borromeo</w:t>
      </w:r>
      <w:r w:rsidRPr="00796A9D">
        <w:rPr>
          <w:rFonts w:ascii="Times New Roman" w:hAnsi="Times New Roman" w:cs="Times New Roman"/>
        </w:rPr>
        <w:t xml:space="preserve">, </w:t>
      </w:r>
      <w:bookmarkStart w:id="491" w:name="_Hlk528685155"/>
      <w:r w:rsidRPr="00796A9D">
        <w:rPr>
          <w:rFonts w:ascii="Times New Roman" w:hAnsi="Times New Roman" w:cs="Times New Roman"/>
        </w:rPr>
        <w:t>Veneranda Biblioteca Ambrosiana di Milano, inv. S. P. 42</w:t>
      </w:r>
      <w:bookmarkEnd w:id="491"/>
      <w:r w:rsidRPr="00796A9D">
        <w:rPr>
          <w:rFonts w:ascii="Times New Roman" w:hAnsi="Times New Roman" w:cs="Times New Roman"/>
        </w:rPr>
        <w:t xml:space="preserve">, rinvio alla scheda descrittiva edita in </w:t>
      </w:r>
      <w:r w:rsidRPr="00796A9D">
        <w:rPr>
          <w:rFonts w:ascii="Times New Roman" w:hAnsi="Times New Roman" w:cs="Times New Roman"/>
          <w:smallCaps/>
        </w:rPr>
        <w:t>P. Venturelli</w:t>
      </w:r>
      <w:r w:rsidRPr="00796A9D">
        <w:rPr>
          <w:rFonts w:ascii="Times New Roman" w:hAnsi="Times New Roman" w:cs="Times New Roman"/>
        </w:rPr>
        <w:t xml:space="preserve">, </w:t>
      </w:r>
      <w:r w:rsidRPr="00796A9D">
        <w:rPr>
          <w:rFonts w:ascii="Times New Roman" w:hAnsi="Times New Roman" w:cs="Times New Roman"/>
          <w:i/>
        </w:rPr>
        <w:t>Oro dai Visconti agli Sforza</w:t>
      </w:r>
      <w:r w:rsidRPr="00796A9D">
        <w:rPr>
          <w:rFonts w:ascii="Times New Roman" w:hAnsi="Times New Roman" w:cs="Times New Roman"/>
        </w:rPr>
        <w:t xml:space="preserve">, cit., pp. 178-180. La committenza del manoscritto alla bottega de Predis è stata anche messa in relazione ai matrimoni di Ambrosiana Borromeo e Guido Rossi di San Secondo (1464) o di Isabella Borromeo e Francesco Attendolo Bolognini (1478). Per tale questione e per la coeva richiesta da parte dei conti Borromeo di offizioli miniati si veda </w:t>
      </w:r>
      <w:r w:rsidRPr="00796A9D">
        <w:rPr>
          <w:rFonts w:ascii="Times New Roman" w:hAnsi="Times New Roman" w:cs="Times New Roman"/>
          <w:smallCaps/>
        </w:rPr>
        <w:t>C. A. Pisoni</w:t>
      </w:r>
      <w:r w:rsidRPr="00796A9D">
        <w:rPr>
          <w:rFonts w:ascii="Times New Roman" w:hAnsi="Times New Roman" w:cs="Times New Roman"/>
        </w:rPr>
        <w:t xml:space="preserve">, </w:t>
      </w:r>
      <w:r w:rsidRPr="00796A9D">
        <w:rPr>
          <w:rFonts w:ascii="Times New Roman" w:hAnsi="Times New Roman" w:cs="Times New Roman"/>
          <w:i/>
        </w:rPr>
        <w:t>Musica e libri per il magnifico comite Lanciloto Boromeo</w:t>
      </w:r>
      <w:r w:rsidRPr="00796A9D">
        <w:rPr>
          <w:rFonts w:ascii="Times New Roman" w:hAnsi="Times New Roman" w:cs="Times New Roman"/>
        </w:rPr>
        <w:t>, per le nozze Borromeo</w:t>
      </w:r>
      <w:r>
        <w:rPr>
          <w:rFonts w:ascii="Times New Roman" w:hAnsi="Times New Roman" w:cs="Times New Roman"/>
        </w:rPr>
        <w:t>-</w:t>
      </w:r>
      <w:r w:rsidRPr="00796A9D">
        <w:rPr>
          <w:rFonts w:ascii="Times New Roman" w:hAnsi="Times New Roman" w:cs="Times New Roman"/>
        </w:rPr>
        <w:t xml:space="preserve">Rospigliosi, Germignaga, 1999, incline ad assegnare la realizzazione dell’opera alla circostanza delle nozze del 1458. </w:t>
      </w:r>
    </w:p>
  </w:footnote>
  <w:footnote w:id="716">
    <w:p w14:paraId="1EF3EA9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xml:space="preserve">, cit., p. 281-282. </w:t>
      </w:r>
    </w:p>
  </w:footnote>
  <w:footnote w:id="717">
    <w:p w14:paraId="0E7AAC1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w:t>
      </w:r>
      <w:r w:rsidRPr="00796A9D">
        <w:rPr>
          <w:rFonts w:ascii="Times New Roman" w:hAnsi="Times New Roman" w:cs="Times New Roman"/>
          <w:i/>
        </w:rPr>
        <w:t>Memoria de li successi acti intravegnuti ne la dignissima legatione de lo illustrissimo et excellentissimo monsignore Philippo de Rocha Bertì</w:t>
      </w:r>
      <w:r w:rsidRPr="00796A9D">
        <w:rPr>
          <w:rFonts w:ascii="Times New Roman" w:hAnsi="Times New Roman" w:cs="Times New Roman"/>
        </w:rPr>
        <w:t xml:space="preserve">, è editi in appendice a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xml:space="preserve">, cit., p. 323. La presenza eminente dell’ambasciatore francese si deve all’importanza che lo sposalizio rivestì nel quadro delle alleanze tra Luigi XII e gli stati italiani all’indomani della sua conquista del ducato di Milano, sancita dalla definitiva sconfitta del Moro a Novara, il 10 aprile 1500. Il re di Francia strinse più salde alleanze con papa Alessandro VI e con Cesare Borgia, che promisero di non oppore resistenza ad una sua prossima invasione del regno di Napoli e che provvedettero ad eliminare il secondo marito di Lucrezia, Alfonso di Bisceglie, per cancellare ogni precedente relazione tra i Borgia e la casa reale aragonese. Lo sposalizio della figlia del papa avrebbe dunque sancito l’alleanza tra i Borgia, il re e il duca di Ferrara, che vide in questo accordo l’unica soluzione possibile per evitare che le sue terre entrassero nel mire del Valentino. L’opposizione a queste nozze dell’imperatore Massimiliano I, del quale l’estense era vassallo, permise a Ercole I di contrattare al rialzo sulla stipula dell’accordo matrimoniale, ottenendo per suo figlio Alfonso e i suoi discendenti l’investitua </w:t>
      </w:r>
      <w:r w:rsidRPr="00796A9D">
        <w:rPr>
          <w:rFonts w:ascii="Times New Roman" w:hAnsi="Times New Roman" w:cs="Times New Roman"/>
          <w:i/>
        </w:rPr>
        <w:t>ab perpetuo</w:t>
      </w:r>
      <w:r w:rsidRPr="00796A9D">
        <w:rPr>
          <w:rFonts w:ascii="Times New Roman" w:hAnsi="Times New Roman" w:cs="Times New Roman"/>
        </w:rPr>
        <w:t xml:space="preserve"> del ducato di Ferrara. cfr. </w:t>
      </w:r>
      <w:r w:rsidRPr="00796A9D">
        <w:rPr>
          <w:rFonts w:ascii="Times New Roman" w:hAnsi="Times New Roman" w:cs="Times New Roman"/>
          <w:smallCaps/>
        </w:rPr>
        <w:t>V. Farinella</w:t>
      </w:r>
      <w:r w:rsidRPr="00796A9D">
        <w:rPr>
          <w:rFonts w:ascii="Times New Roman" w:hAnsi="Times New Roman" w:cs="Times New Roman"/>
        </w:rPr>
        <w:t xml:space="preserve">, </w:t>
      </w:r>
      <w:r w:rsidRPr="00796A9D">
        <w:rPr>
          <w:rFonts w:ascii="Times New Roman" w:hAnsi="Times New Roman" w:cs="Times New Roman"/>
          <w:i/>
        </w:rPr>
        <w:t>Alfonso I d’Este. Le immagini e il potere</w:t>
      </w:r>
      <w:r w:rsidRPr="00796A9D">
        <w:rPr>
          <w:rFonts w:ascii="Times New Roman" w:hAnsi="Times New Roman" w:cs="Times New Roman"/>
        </w:rPr>
        <w:t xml:space="preserve">, Milano, Officina libraria, 2014, pp. 743-751.   </w:t>
      </w:r>
    </w:p>
  </w:footnote>
  <w:footnote w:id="718">
    <w:p w14:paraId="1328F26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M. Sanu</w:t>
      </w:r>
      <w:r>
        <w:rPr>
          <w:rFonts w:ascii="Times New Roman" w:hAnsi="Times New Roman" w:cs="Times New Roman"/>
          <w:smallCaps/>
        </w:rPr>
        <w:t>t</w:t>
      </w:r>
      <w:r w:rsidRPr="00796A9D">
        <w:rPr>
          <w:rFonts w:ascii="Times New Roman" w:hAnsi="Times New Roman" w:cs="Times New Roman"/>
          <w:smallCaps/>
        </w:rPr>
        <w:t>o</w:t>
      </w:r>
      <w:r w:rsidRPr="00796A9D">
        <w:rPr>
          <w:rFonts w:ascii="Times New Roman" w:hAnsi="Times New Roman" w:cs="Times New Roman"/>
        </w:rPr>
        <w:t xml:space="preserve">, </w:t>
      </w:r>
      <w:r w:rsidRPr="00796A9D">
        <w:rPr>
          <w:rFonts w:ascii="Times New Roman" w:hAnsi="Times New Roman" w:cs="Times New Roman"/>
          <w:i/>
        </w:rPr>
        <w:t>I Diarii</w:t>
      </w:r>
      <w:r w:rsidRPr="00796A9D">
        <w:rPr>
          <w:rFonts w:ascii="Times New Roman" w:hAnsi="Times New Roman" w:cs="Times New Roman"/>
        </w:rPr>
        <w:t xml:space="preserve">, a cura di </w:t>
      </w:r>
      <w:r w:rsidRPr="00796A9D">
        <w:rPr>
          <w:rFonts w:ascii="Times New Roman" w:hAnsi="Times New Roman" w:cs="Times New Roman"/>
          <w:smallCaps/>
        </w:rPr>
        <w:t>N. Barozzi</w:t>
      </w:r>
      <w:r w:rsidRPr="00796A9D">
        <w:rPr>
          <w:rFonts w:ascii="Times New Roman" w:hAnsi="Times New Roman" w:cs="Times New Roman"/>
        </w:rPr>
        <w:t xml:space="preserve">, Bologna, Forni, 1880, vol. IV, p. 223. </w:t>
      </w:r>
    </w:p>
  </w:footnote>
  <w:footnote w:id="719">
    <w:p w14:paraId="24E74F0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Mantova, ASMn, b. 2993, libro 13, cc. 31-32. Citata in </w:t>
      </w:r>
      <w:r w:rsidRPr="00796A9D">
        <w:rPr>
          <w:rFonts w:ascii="Times New Roman" w:hAnsi="Times New Roman" w:cs="Times New Roman"/>
          <w:smallCaps/>
        </w:rPr>
        <w:t>A. Luzio</w:t>
      </w:r>
      <w:r w:rsidRPr="00796A9D">
        <w:rPr>
          <w:rFonts w:ascii="Times New Roman" w:hAnsi="Times New Roman" w:cs="Times New Roman"/>
        </w:rPr>
        <w:t xml:space="preserve">, </w:t>
      </w:r>
      <w:r w:rsidRPr="00796A9D">
        <w:rPr>
          <w:rFonts w:ascii="Times New Roman" w:hAnsi="Times New Roman" w:cs="Times New Roman"/>
          <w:i/>
        </w:rPr>
        <w:t>Isabella d’Este e i Borgia</w:t>
      </w:r>
      <w:r w:rsidRPr="00796A9D">
        <w:rPr>
          <w:rFonts w:ascii="Times New Roman" w:hAnsi="Times New Roman" w:cs="Times New Roman"/>
        </w:rPr>
        <w:t xml:space="preserve">, Milano, Cogliati, 1915, pp. 76-77.  </w:t>
      </w:r>
    </w:p>
  </w:footnote>
  <w:footnote w:id="720">
    <w:p w14:paraId="58CF869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cit., p. 313.</w:t>
      </w:r>
    </w:p>
  </w:footnote>
  <w:footnote w:id="721">
    <w:p w14:paraId="2C6A96B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l’aspetto degli edifizi della festa di San Giovanni vedi </w:t>
      </w:r>
      <w:r w:rsidRPr="00796A9D">
        <w:rPr>
          <w:rFonts w:ascii="Times New Roman" w:eastAsia="Times New Roman" w:hAnsi="Times New Roman" w:cs="Times New Roman"/>
          <w:smallCaps/>
        </w:rPr>
        <w:t>P. Ventrone</w:t>
      </w:r>
      <w:r w:rsidRPr="00796A9D">
        <w:rPr>
          <w:rFonts w:ascii="Times New Roman" w:eastAsia="Times New Roman" w:hAnsi="Times New Roman" w:cs="Times New Roman"/>
        </w:rPr>
        <w:t xml:space="preserve">, </w:t>
      </w:r>
      <w:r w:rsidRPr="00796A9D">
        <w:rPr>
          <w:rFonts w:ascii="Times New Roman" w:eastAsia="Times New Roman" w:hAnsi="Times New Roman" w:cs="Times New Roman"/>
          <w:i/>
        </w:rPr>
        <w:t>Teatro civile e sacra rappresentazione a Firenze nel Rinascimento</w:t>
      </w:r>
      <w:r w:rsidRPr="00796A9D">
        <w:rPr>
          <w:rFonts w:ascii="Times New Roman" w:eastAsia="Times New Roman" w:hAnsi="Times New Roman" w:cs="Times New Roman"/>
        </w:rPr>
        <w:t xml:space="preserve">, cit., pp. 201-202, che nota come nel caso in cui gli episodi biblici da rappresentare richiedessero un numero ampio di personaggi fosse possibile far precedere l’edifizio da una cavalcata degli interpreti, che sarebbero saliti sulla piattaforma solo al momento della recita per mezzo di scalette praticabili. In tal modo i portatori, solitamente nascosti dalla cornice della piattaforma e da tessuti che ne decoravano la base, avrebbero faticato molto meno. </w:t>
      </w:r>
    </w:p>
  </w:footnote>
  <w:footnote w:id="722">
    <w:p w14:paraId="10258244"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Cfr. </w:t>
      </w:r>
      <w:r w:rsidRPr="00796A9D">
        <w:rPr>
          <w:rFonts w:ascii="Times New Roman" w:hAnsi="Times New Roman" w:cs="Times New Roman"/>
          <w:smallCaps/>
          <w:sz w:val="20"/>
          <w:szCs w:val="20"/>
        </w:rPr>
        <w:t>Eadem</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Gli araldi della commedia. Teatro a Firenze nel Rinascimento</w:t>
      </w:r>
      <w:r w:rsidRPr="00796A9D">
        <w:rPr>
          <w:rFonts w:ascii="Times New Roman" w:hAnsi="Times New Roman" w:cs="Times New Roman"/>
          <w:sz w:val="20"/>
          <w:szCs w:val="20"/>
        </w:rPr>
        <w:t xml:space="preserve">, Pisa, Pacini, 1993, pp. 76-78. I carri del trionfo di Paolo Emilio del 1491 furono trainati da buoi, che sostituirono i facchini in questa versione della festa ispirata a modelli più marcatamente antiquari. </w:t>
      </w:r>
    </w:p>
  </w:footnote>
  <w:footnote w:id="723">
    <w:p w14:paraId="0A0327A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cit., pp. 88-89.</w:t>
      </w:r>
    </w:p>
  </w:footnote>
  <w:footnote w:id="724">
    <w:p w14:paraId="3613CC1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U. Caleffini</w:t>
      </w:r>
      <w:r w:rsidRPr="00796A9D">
        <w:rPr>
          <w:rFonts w:ascii="Times New Roman" w:hAnsi="Times New Roman" w:cs="Times New Roman"/>
        </w:rPr>
        <w:t xml:space="preserve">, </w:t>
      </w:r>
      <w:r w:rsidRPr="00796A9D">
        <w:rPr>
          <w:rFonts w:ascii="Times New Roman" w:hAnsi="Times New Roman" w:cs="Times New Roman"/>
          <w:i/>
        </w:rPr>
        <w:t>Croniche</w:t>
      </w:r>
      <w:r w:rsidRPr="00796A9D">
        <w:rPr>
          <w:rFonts w:ascii="Times New Roman" w:hAnsi="Times New Roman" w:cs="Times New Roman"/>
        </w:rPr>
        <w:t xml:space="preserve">, cit., pp. 43-44: «Dreto dicte vie in più lochi erano carri triomphali ornati et digni, carichi de puti vestiti ornatamente che balavano, cantavano et sonavano publicamente quando madama passava. Et cussì in piaza Sn Romano era uno di dicti carri et, aprovo il palatio del signore nostro, era una fontana belissima, postiza, che zetava tribiano et malvasia, </w:t>
      </w:r>
      <w:r w:rsidRPr="00796A9D">
        <w:rPr>
          <w:rFonts w:ascii="Times New Roman" w:hAnsi="Times New Roman" w:cs="Times New Roman"/>
          <w:i/>
        </w:rPr>
        <w:t>videlicet</w:t>
      </w:r>
      <w:r w:rsidRPr="00796A9D">
        <w:rPr>
          <w:rFonts w:ascii="Times New Roman" w:hAnsi="Times New Roman" w:cs="Times New Roman"/>
        </w:rPr>
        <w:t xml:space="preserve"> pute per le tete cum dui ciganti grandi de dreto cum le mace che guardavano la fontana, la quale fontana era apovo el marchese Nicolò che è in piaza a cavalo de bronzo dorato apovo la loza del signore». Il testo, rispetto al </w:t>
      </w:r>
      <w:r w:rsidRPr="00796A9D">
        <w:rPr>
          <w:rFonts w:ascii="Times New Roman" w:hAnsi="Times New Roman" w:cs="Times New Roman"/>
          <w:i/>
        </w:rPr>
        <w:t>Diario ferrarese</w:t>
      </w:r>
      <w:r w:rsidRPr="00796A9D">
        <w:rPr>
          <w:rFonts w:ascii="Times New Roman" w:hAnsi="Times New Roman" w:cs="Times New Roman"/>
        </w:rPr>
        <w:t xml:space="preserve">, dà meno informazioni sui carri, ma segnala una fontana sulla piazza del palazzo ducale gettante vino. </w:t>
      </w:r>
    </w:p>
  </w:footnote>
  <w:footnote w:id="725">
    <w:p w14:paraId="3089533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consulenza di Prisciani come iconologo dei carri e l’influenza delle raffigurazioni degli dèi affrescate nel Salone dei Mesi di Schifanoia sul lavoro degli apparatori del trionfo nuziale sono ipotizzate in P. </w:t>
      </w:r>
      <w:r w:rsidRPr="00796A9D">
        <w:rPr>
          <w:rFonts w:ascii="Times New Roman" w:hAnsi="Times New Roman" w:cs="Times New Roman"/>
          <w:smallCaps/>
        </w:rPr>
        <w:t>Helas</w:t>
      </w:r>
      <w:r w:rsidRPr="00796A9D">
        <w:rPr>
          <w:rFonts w:ascii="Times New Roman" w:hAnsi="Times New Roman" w:cs="Times New Roman"/>
        </w:rPr>
        <w:t xml:space="preserve">, </w:t>
      </w:r>
      <w:r w:rsidRPr="00796A9D">
        <w:rPr>
          <w:rFonts w:ascii="Times New Roman" w:hAnsi="Times New Roman" w:cs="Times New Roman"/>
          <w:i/>
        </w:rPr>
        <w:t>Lebende Bilder in der italienischen Festkultur des 15. Jahrhunderts</w:t>
      </w:r>
      <w:r w:rsidRPr="00796A9D">
        <w:rPr>
          <w:rFonts w:ascii="Times New Roman" w:hAnsi="Times New Roman" w:cs="Times New Roman"/>
        </w:rPr>
        <w:t xml:space="preserve">, Berlin, Akademie Verlag, 1999, pp. 122-123.   </w:t>
      </w:r>
    </w:p>
  </w:footnote>
  <w:footnote w:id="726">
    <w:p w14:paraId="1F4A3C0D" w14:textId="77777777" w:rsidR="00CF5CFB" w:rsidRPr="00796A9D" w:rsidRDefault="00CF5CFB" w:rsidP="00085B50">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Warburg</w:t>
      </w:r>
      <w:r w:rsidRPr="00796A9D">
        <w:rPr>
          <w:rFonts w:ascii="Times New Roman" w:hAnsi="Times New Roman" w:cs="Times New Roman"/>
        </w:rPr>
        <w:t xml:space="preserve">, </w:t>
      </w:r>
      <w:r w:rsidRPr="00796A9D">
        <w:rPr>
          <w:rFonts w:ascii="Times New Roman" w:hAnsi="Times New Roman" w:cs="Times New Roman"/>
          <w:i/>
        </w:rPr>
        <w:t>Arte e astrologia nel Palazzo Schifanoia di Ferrara</w:t>
      </w:r>
      <w:r w:rsidRPr="00796A9D">
        <w:rPr>
          <w:rFonts w:ascii="Times New Roman" w:hAnsi="Times New Roman" w:cs="Times New Roman"/>
        </w:rPr>
        <w:t xml:space="preserve">, traduzione di </w:t>
      </w:r>
      <w:r w:rsidRPr="00796A9D">
        <w:rPr>
          <w:rFonts w:ascii="Times New Roman" w:hAnsi="Times New Roman" w:cs="Times New Roman"/>
          <w:smallCaps/>
        </w:rPr>
        <w:t>E. Cantimori</w:t>
      </w:r>
      <w:r w:rsidRPr="00796A9D">
        <w:rPr>
          <w:rFonts w:ascii="Times New Roman" w:hAnsi="Times New Roman" w:cs="Times New Roman"/>
        </w:rPr>
        <w:t xml:space="preserve">, Milano, Abscondita, 2006. </w:t>
      </w:r>
    </w:p>
  </w:footnote>
  <w:footnote w:id="727">
    <w:p w14:paraId="7DEE74B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41-45. </w:t>
      </w:r>
    </w:p>
  </w:footnote>
  <w:footnote w:id="728">
    <w:p w14:paraId="40019BC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1496 Pellegrino Prisciani disegnò una mappa di Ferrara che consente di farsi un’idea dell’avanzamento dei lavori dell’addizione erculea a quell’altezza cronologica, dimostrando il diretto coinvolgimento dell’astrologo nella progettazione urbanistica. Negli anni tra il 1486 e il 1502 si colloca però lo scritto di maggiore interesse dell’intellettuale: il trattato </w:t>
      </w:r>
      <w:r w:rsidRPr="00796A9D">
        <w:rPr>
          <w:rFonts w:ascii="Times New Roman" w:hAnsi="Times New Roman" w:cs="Times New Roman"/>
          <w:i/>
        </w:rPr>
        <w:t>Spectacula</w:t>
      </w:r>
      <w:r w:rsidRPr="00796A9D">
        <w:rPr>
          <w:rFonts w:ascii="Times New Roman" w:hAnsi="Times New Roman" w:cs="Times New Roman"/>
        </w:rPr>
        <w:t xml:space="preserve">, richiesto da Ercole d’Este. Scritta negli anni dei festival plautini promossi dal duca, l’opera mirava a raccogliere tutte le informazioni disponibili sull’aspetto dei teatri nel mondo antico, integrando, grazie ad un’attenta lettura di Vitruvio, quanto già detto dall’Alberti sull’edificio teatrale. Per la biografia del Prisciani e per il testo del suo trattato si veda la ricca introduzione al volume </w:t>
      </w:r>
      <w:r w:rsidRPr="00796A9D">
        <w:rPr>
          <w:rFonts w:ascii="Times New Roman" w:hAnsi="Times New Roman" w:cs="Times New Roman"/>
          <w:smallCaps/>
        </w:rPr>
        <w:t>P. Prisciani</w:t>
      </w:r>
      <w:r w:rsidRPr="00796A9D">
        <w:rPr>
          <w:rFonts w:ascii="Times New Roman" w:hAnsi="Times New Roman" w:cs="Times New Roman"/>
        </w:rPr>
        <w:t xml:space="preserve">, </w:t>
      </w:r>
      <w:r w:rsidRPr="00796A9D">
        <w:rPr>
          <w:rFonts w:ascii="Times New Roman" w:hAnsi="Times New Roman" w:cs="Times New Roman"/>
          <w:i/>
        </w:rPr>
        <w:t>Spectacula</w:t>
      </w:r>
      <w:r w:rsidRPr="00796A9D">
        <w:rPr>
          <w:rFonts w:ascii="Times New Roman" w:hAnsi="Times New Roman" w:cs="Times New Roman"/>
        </w:rPr>
        <w:t xml:space="preserve">, a cura di </w:t>
      </w:r>
      <w:r w:rsidRPr="00796A9D">
        <w:rPr>
          <w:rFonts w:ascii="Times New Roman" w:hAnsi="Times New Roman" w:cs="Times New Roman"/>
          <w:smallCaps/>
        </w:rPr>
        <w:t>D. Aguzzi Barbagli</w:t>
      </w:r>
      <w:r w:rsidRPr="00796A9D">
        <w:rPr>
          <w:rFonts w:ascii="Times New Roman" w:hAnsi="Times New Roman" w:cs="Times New Roman"/>
        </w:rPr>
        <w:t xml:space="preserve">, Modena, Panini, 1992, pp. 9-30.   </w:t>
      </w:r>
    </w:p>
  </w:footnote>
  <w:footnote w:id="729">
    <w:p w14:paraId="18C2EE3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 xml:space="preserve">Cronica di Napoli di Notar Giacomo, </w:t>
      </w:r>
      <w:r w:rsidRPr="00796A9D">
        <w:rPr>
          <w:rFonts w:ascii="Times New Roman" w:hAnsi="Times New Roman" w:cs="Times New Roman"/>
        </w:rPr>
        <w:t xml:space="preserve">a cura di </w:t>
      </w:r>
      <w:r w:rsidRPr="00796A9D">
        <w:rPr>
          <w:rFonts w:ascii="Times New Roman" w:hAnsi="Times New Roman" w:cs="Times New Roman"/>
          <w:smallCaps/>
        </w:rPr>
        <w:t>P. Garzilli</w:t>
      </w:r>
      <w:r w:rsidRPr="00796A9D">
        <w:rPr>
          <w:rFonts w:ascii="Times New Roman" w:hAnsi="Times New Roman" w:cs="Times New Roman"/>
        </w:rPr>
        <w:t xml:space="preserve">, Napoli, Stamperia Reale, 1845, p. 130. </w:t>
      </w:r>
    </w:p>
  </w:footnote>
  <w:footnote w:id="730">
    <w:p w14:paraId="0938F57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Un’ampia selezione di esempi di cassoni nuziali dipinti sul soggetto dei </w:t>
      </w:r>
      <w:r w:rsidRPr="00796A9D">
        <w:rPr>
          <w:rFonts w:ascii="Times New Roman" w:hAnsi="Times New Roman" w:cs="Times New Roman"/>
          <w:i/>
        </w:rPr>
        <w:t>Trionfi</w:t>
      </w:r>
      <w:r w:rsidRPr="00796A9D">
        <w:rPr>
          <w:rFonts w:ascii="Times New Roman" w:hAnsi="Times New Roman" w:cs="Times New Roman"/>
        </w:rPr>
        <w:t xml:space="preserve"> del Petrarca è analizzata in </w:t>
      </w:r>
      <w:r w:rsidRPr="00796A9D">
        <w:rPr>
          <w:rFonts w:ascii="Times New Roman" w:hAnsi="Times New Roman" w:cs="Times New Roman"/>
          <w:smallCaps/>
        </w:rPr>
        <w:t>A. Ortner</w:t>
      </w:r>
      <w:r w:rsidRPr="00796A9D">
        <w:rPr>
          <w:rFonts w:ascii="Times New Roman" w:hAnsi="Times New Roman" w:cs="Times New Roman"/>
        </w:rPr>
        <w:t xml:space="preserve">, </w:t>
      </w:r>
      <w:r w:rsidRPr="00796A9D">
        <w:rPr>
          <w:rFonts w:ascii="Times New Roman" w:hAnsi="Times New Roman" w:cs="Times New Roman"/>
          <w:i/>
        </w:rPr>
        <w:t>Petrarcas Trionfi in Malerei, Dichtung und Festkultur. Untersuchung zur Entstehung und Verbreitung eines florentinischen Bildmotivs auf cassoni und deschi da parto des 15. Jahrhunderts</w:t>
      </w:r>
      <w:r w:rsidRPr="00796A9D">
        <w:rPr>
          <w:rFonts w:ascii="Times New Roman" w:hAnsi="Times New Roman" w:cs="Times New Roman"/>
        </w:rPr>
        <w:t xml:space="preserve">, Weimar, Verlag, 1998. </w:t>
      </w:r>
    </w:p>
  </w:footnote>
  <w:footnote w:id="731">
    <w:p w14:paraId="692EA9E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Un’analisi stilistica dell’opera e della attinenza della sua rappresentazione all’aspetto dei carri descritti nei versi dei </w:t>
      </w:r>
      <w:r w:rsidRPr="00796A9D">
        <w:rPr>
          <w:rFonts w:ascii="Times New Roman" w:hAnsi="Times New Roman" w:cs="Times New Roman"/>
          <w:i/>
        </w:rPr>
        <w:t>Trionfi</w:t>
      </w:r>
      <w:r w:rsidRPr="00796A9D">
        <w:rPr>
          <w:rFonts w:ascii="Times New Roman" w:hAnsi="Times New Roman" w:cs="Times New Roman"/>
        </w:rPr>
        <w:t xml:space="preserve"> si legge in </w:t>
      </w:r>
      <w:r w:rsidRPr="00796A9D">
        <w:rPr>
          <w:rFonts w:ascii="Times New Roman" w:hAnsi="Times New Roman" w:cs="Times New Roman"/>
          <w:i/>
        </w:rPr>
        <w:t>Virtù d'amore: pittura nuziale nel Quattrocento fiorentino</w:t>
      </w:r>
      <w:r w:rsidRPr="00796A9D">
        <w:rPr>
          <w:rFonts w:ascii="Times New Roman" w:hAnsi="Times New Roman" w:cs="Times New Roman"/>
        </w:rPr>
        <w:t xml:space="preserve">, a cura di C. </w:t>
      </w:r>
      <w:r w:rsidRPr="00796A9D">
        <w:rPr>
          <w:rFonts w:ascii="Times New Roman" w:hAnsi="Times New Roman" w:cs="Times New Roman"/>
          <w:smallCaps/>
        </w:rPr>
        <w:t>Paolini, D. Parenti, L. Sebregondi</w:t>
      </w:r>
      <w:r w:rsidRPr="00796A9D">
        <w:rPr>
          <w:rFonts w:ascii="Times New Roman" w:hAnsi="Times New Roman" w:cs="Times New Roman"/>
        </w:rPr>
        <w:t xml:space="preserve">, Firenze, Giunti, 2010, p. 236-238.  </w:t>
      </w:r>
    </w:p>
  </w:footnote>
  <w:footnote w:id="732">
    <w:p w14:paraId="3E38050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IGI 7524. </w:t>
      </w:r>
    </w:p>
  </w:footnote>
  <w:footnote w:id="733">
    <w:p w14:paraId="0626247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Monaco, Staatsbibliothek, ms. It. 265, ff. 15v–18v. Acefalo e anonimo. </w:t>
      </w:r>
    </w:p>
  </w:footnote>
  <w:footnote w:id="734">
    <w:p w14:paraId="00523FF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M. </w:t>
      </w:r>
      <w:r w:rsidRPr="00796A9D">
        <w:rPr>
          <w:rFonts w:ascii="Times New Roman" w:hAnsi="Times New Roman" w:cs="Times New Roman"/>
          <w:smallCaps/>
        </w:rPr>
        <w:t>Pieri</w:t>
      </w:r>
      <w:r w:rsidRPr="00796A9D">
        <w:rPr>
          <w:rFonts w:ascii="Times New Roman" w:hAnsi="Times New Roman" w:cs="Times New Roman"/>
        </w:rPr>
        <w:t xml:space="preserve">, </w:t>
      </w:r>
      <w:r w:rsidRPr="00796A9D">
        <w:rPr>
          <w:rFonts w:ascii="Times New Roman" w:hAnsi="Times New Roman" w:cs="Times New Roman"/>
          <w:i/>
        </w:rPr>
        <w:t>«Sumptuosissime pompe»</w:t>
      </w:r>
      <w:r w:rsidRPr="00796A9D">
        <w:rPr>
          <w:rFonts w:ascii="Times New Roman" w:hAnsi="Times New Roman" w:cs="Times New Roman"/>
        </w:rPr>
        <w:t>, cit., pp. 69-74, che pubblica anche il testo della farsa, segnalando come, in virtù del suo soggetto allegorico piuttosto generico, questa si sarebbe potuta allestire anche nel 1501, quando Beatrice ritornò a Napoli dopo essere stata ripudiata dal secondo marito Utalislao di Boemia.</w:t>
      </w:r>
    </w:p>
  </w:footnote>
  <w:footnote w:id="735">
    <w:p w14:paraId="6E6D239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Al loro arrivo a Napoli, Ferrante e Giovanna d’Aragona trovarono ad attenderli una città adorna di addobbi floreali. Nel corteo di nobili che gli sposi avevano portato dalla Catalogna i napoletani poterono ammirare una giraffa, che, secondo le notizie dell’</w:t>
      </w:r>
      <w:r w:rsidRPr="00796A9D">
        <w:rPr>
          <w:rFonts w:ascii="Times New Roman" w:hAnsi="Times New Roman" w:cs="Times New Roman"/>
          <w:i/>
        </w:rPr>
        <w:t>Historia</w:t>
      </w:r>
      <w:r w:rsidRPr="00796A9D">
        <w:rPr>
          <w:rFonts w:ascii="Times New Roman" w:hAnsi="Times New Roman" w:cs="Times New Roman"/>
        </w:rPr>
        <w:t xml:space="preserve"> di Antonio Summonte, destò l’ammirazione di tutti i presenti. Per un inquadramento di questo ingresso nel panorama della vita dello spettacolo della corte di Napoli vedi </w:t>
      </w:r>
      <w:r w:rsidRPr="00796A9D">
        <w:rPr>
          <w:rFonts w:ascii="Times New Roman" w:hAnsi="Times New Roman" w:cs="Times New Roman"/>
          <w:smallCaps/>
        </w:rPr>
        <w:t>C.A. Addesso</w:t>
      </w:r>
      <w:r w:rsidRPr="00796A9D">
        <w:rPr>
          <w:rFonts w:ascii="Times New Roman" w:hAnsi="Times New Roman" w:cs="Times New Roman"/>
        </w:rPr>
        <w:t xml:space="preserve">, </w:t>
      </w:r>
      <w:r w:rsidRPr="00796A9D">
        <w:rPr>
          <w:rFonts w:ascii="Times New Roman" w:hAnsi="Times New Roman" w:cs="Times New Roman"/>
          <w:i/>
        </w:rPr>
        <w:t>Teatro e festività nella Napoli Aragonese</w:t>
      </w:r>
      <w:r w:rsidRPr="00796A9D">
        <w:rPr>
          <w:rFonts w:ascii="Times New Roman" w:hAnsi="Times New Roman" w:cs="Times New Roman"/>
        </w:rPr>
        <w:t>, cit., pp. 65-67.</w:t>
      </w:r>
    </w:p>
  </w:footnote>
  <w:footnote w:id="736">
    <w:p w14:paraId="6BFC87BE"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Cronica di Napoli di Notar Giacomo</w:t>
      </w:r>
      <w:r w:rsidRPr="00796A9D">
        <w:rPr>
          <w:rFonts w:ascii="Times New Roman" w:hAnsi="Times New Roman" w:cs="Times New Roman"/>
          <w:sz w:val="20"/>
          <w:szCs w:val="20"/>
        </w:rPr>
        <w:t xml:space="preserve">, cit., p. 137. </w:t>
      </w:r>
    </w:p>
  </w:footnote>
  <w:footnote w:id="737">
    <w:p w14:paraId="51F06B5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 presenza di giganti e spiritelli nelle feste di corte napoletane della fine del Quattrocento vedi M. </w:t>
      </w:r>
      <w:r w:rsidRPr="00796A9D">
        <w:rPr>
          <w:rFonts w:ascii="Times New Roman" w:hAnsi="Times New Roman" w:cs="Times New Roman"/>
          <w:smallCaps/>
        </w:rPr>
        <w:t>Pieri</w:t>
      </w:r>
      <w:r w:rsidRPr="00796A9D">
        <w:rPr>
          <w:rFonts w:ascii="Times New Roman" w:hAnsi="Times New Roman" w:cs="Times New Roman"/>
        </w:rPr>
        <w:t xml:space="preserve">, </w:t>
      </w:r>
      <w:r w:rsidRPr="00796A9D">
        <w:rPr>
          <w:rFonts w:ascii="Times New Roman" w:hAnsi="Times New Roman" w:cs="Times New Roman"/>
          <w:i/>
        </w:rPr>
        <w:t>«Sumptuosissime pompe»</w:t>
      </w:r>
      <w:r w:rsidRPr="00796A9D">
        <w:rPr>
          <w:rFonts w:ascii="Times New Roman" w:hAnsi="Times New Roman" w:cs="Times New Roman"/>
        </w:rPr>
        <w:t>, cit., p. 46.</w:t>
      </w:r>
    </w:p>
  </w:footnote>
  <w:footnote w:id="738">
    <w:p w14:paraId="0F5321C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Sull’aspetto dei giganti e degli spiritelli, quest’ultimi privi di maschere, si vedano le notizie di </w:t>
      </w:r>
      <w:r w:rsidRPr="00796A9D">
        <w:rPr>
          <w:rFonts w:ascii="Times New Roman" w:hAnsi="Times New Roman" w:cs="Times New Roman"/>
          <w:smallCaps/>
        </w:rPr>
        <w:t>G. Vasari</w:t>
      </w:r>
      <w:r w:rsidRPr="00796A9D">
        <w:rPr>
          <w:rFonts w:ascii="Times New Roman" w:hAnsi="Times New Roman" w:cs="Times New Roman"/>
        </w:rPr>
        <w:t xml:space="preserve">, </w:t>
      </w:r>
      <w:r w:rsidRPr="00796A9D">
        <w:rPr>
          <w:rFonts w:ascii="Times New Roman" w:hAnsi="Times New Roman" w:cs="Times New Roman"/>
          <w:i/>
        </w:rPr>
        <w:t>Vita del Cecca</w:t>
      </w:r>
      <w:r w:rsidRPr="00796A9D">
        <w:rPr>
          <w:rFonts w:ascii="Times New Roman" w:hAnsi="Times New Roman" w:cs="Times New Roman"/>
        </w:rPr>
        <w:t xml:space="preserve">, cit., pp. 201-202. Secondo una lettera dell’umanista Pietro Cennini nella processione di San Giovanni del 1475, in conformità a un crescente interesse dell’entourage governativo e intellettuale laurenziano per la mitologia classica, sfilarono spiritelli rappresentanti fauni, centauri e ninfe. Per questo episodio e per l’evoluzione dell’aspetto e del ruolo di questi trampolieri nel San Giovanni fiorentino cfr. </w:t>
      </w:r>
      <w:r w:rsidRPr="00796A9D">
        <w:rPr>
          <w:rFonts w:ascii="Times New Roman" w:eastAsia="Times New Roman" w:hAnsi="Times New Roman" w:cs="Times New Roman"/>
          <w:smallCaps/>
        </w:rPr>
        <w:t>P. Ventrone</w:t>
      </w:r>
      <w:r w:rsidRPr="00796A9D">
        <w:rPr>
          <w:rFonts w:ascii="Times New Roman" w:eastAsia="Times New Roman" w:hAnsi="Times New Roman" w:cs="Times New Roman"/>
        </w:rPr>
        <w:t xml:space="preserve">, </w:t>
      </w:r>
      <w:r w:rsidRPr="00796A9D">
        <w:rPr>
          <w:rFonts w:ascii="Times New Roman" w:eastAsia="Times New Roman" w:hAnsi="Times New Roman" w:cs="Times New Roman"/>
          <w:i/>
        </w:rPr>
        <w:t>Teatro civile e sacra rappresentazione a Firenze nel Rinascimento</w:t>
      </w:r>
      <w:r w:rsidRPr="00796A9D">
        <w:rPr>
          <w:rFonts w:ascii="Times New Roman" w:eastAsia="Times New Roman" w:hAnsi="Times New Roman" w:cs="Times New Roman"/>
        </w:rPr>
        <w:t xml:space="preserve">, cit., p. </w:t>
      </w:r>
      <w:r w:rsidRPr="00796A9D">
        <w:rPr>
          <w:rFonts w:ascii="Times New Roman" w:hAnsi="Times New Roman" w:cs="Times New Roman"/>
        </w:rPr>
        <w:t xml:space="preserve">262-263.    </w:t>
      </w:r>
    </w:p>
  </w:footnote>
  <w:footnote w:id="739">
    <w:p w14:paraId="0342BC9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 </w:t>
      </w:r>
      <w:r w:rsidRPr="00796A9D">
        <w:rPr>
          <w:rFonts w:ascii="Times New Roman" w:hAnsi="Times New Roman" w:cs="Times New Roman"/>
          <w:smallCaps/>
        </w:rPr>
        <w:t>Dulcinus</w:t>
      </w:r>
      <w:r w:rsidRPr="00796A9D">
        <w:rPr>
          <w:rFonts w:ascii="Times New Roman" w:hAnsi="Times New Roman" w:cs="Times New Roman"/>
        </w:rPr>
        <w:t xml:space="preserve">, IX, 3. </w:t>
      </w:r>
    </w:p>
  </w:footnote>
  <w:footnote w:id="740">
    <w:p w14:paraId="3249874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Con bolla del 16 febbraio 1473 Girolamo Riario fu nominato comandante generale delle truppe papali. Nel marzo del 1474, Galeazzo Maria Sforza lo investì del comando delle </w:t>
      </w:r>
      <w:r>
        <w:rPr>
          <w:rFonts w:ascii="Times New Roman" w:hAnsi="Times New Roman" w:cs="Times New Roman"/>
        </w:rPr>
        <w:t xml:space="preserve">armate </w:t>
      </w:r>
      <w:r w:rsidRPr="00796A9D">
        <w:rPr>
          <w:rFonts w:ascii="Times New Roman" w:hAnsi="Times New Roman" w:cs="Times New Roman"/>
        </w:rPr>
        <w:t>ducali stanziate tra il Po e l’Appennino. Su di lui convergevano quindi i disegni politici del papa e del duca</w:t>
      </w:r>
      <w:r>
        <w:rPr>
          <w:rFonts w:ascii="Times New Roman" w:hAnsi="Times New Roman" w:cs="Times New Roman"/>
        </w:rPr>
        <w:t xml:space="preserve"> di Milano</w:t>
      </w:r>
      <w:r w:rsidRPr="00796A9D">
        <w:rPr>
          <w:rFonts w:ascii="Times New Roman" w:hAnsi="Times New Roman" w:cs="Times New Roman"/>
        </w:rPr>
        <w:t xml:space="preserve"> per la Romagna. Cfr. </w:t>
      </w:r>
      <w:r w:rsidRPr="00796A9D">
        <w:rPr>
          <w:rFonts w:ascii="Times New Roman" w:hAnsi="Times New Roman" w:cs="Times New Roman"/>
          <w:smallCaps/>
        </w:rPr>
        <w:t>M. Giansante</w:t>
      </w:r>
      <w:r w:rsidRPr="00796A9D">
        <w:rPr>
          <w:rFonts w:ascii="Times New Roman" w:hAnsi="Times New Roman" w:cs="Times New Roman"/>
        </w:rPr>
        <w:t xml:space="preserve">, s.v. </w:t>
      </w:r>
      <w:r w:rsidRPr="00796A9D">
        <w:rPr>
          <w:rFonts w:ascii="Times New Roman" w:hAnsi="Times New Roman" w:cs="Times New Roman"/>
          <w:i/>
        </w:rPr>
        <w:t>Riario, Girolamo</w:t>
      </w:r>
      <w:r w:rsidRPr="00796A9D">
        <w:rPr>
          <w:rFonts w:ascii="Times New Roman" w:hAnsi="Times New Roman" w:cs="Times New Roman"/>
        </w:rPr>
        <w:t xml:space="preserve">, DBI, 2016, vol. 87, pp. 92-96. Delle trattative per questo matrimonio e dell’acquisto della signoria di Imola, operazione diplomatica invisa ai Medici e a Firenze, era stato incericato il cardianele Pietro Riario, promotore della politica nepotista di Sisto IV volta alla creazione di un principato dinastico nelle terre di Romagna. Cfr. </w:t>
      </w:r>
      <w:r w:rsidRPr="00796A9D">
        <w:rPr>
          <w:rFonts w:ascii="Times New Roman" w:hAnsi="Times New Roman" w:cs="Times New Roman"/>
          <w:smallCaps/>
        </w:rPr>
        <w:t>S. Zaggia</w:t>
      </w:r>
      <w:r w:rsidRPr="00796A9D">
        <w:rPr>
          <w:rFonts w:ascii="Times New Roman" w:hAnsi="Times New Roman" w:cs="Times New Roman"/>
        </w:rPr>
        <w:t xml:space="preserve">, </w:t>
      </w:r>
      <w:r w:rsidRPr="00796A9D">
        <w:rPr>
          <w:rFonts w:ascii="Times New Roman" w:hAnsi="Times New Roman" w:cs="Times New Roman"/>
          <w:i/>
        </w:rPr>
        <w:t>Una piazza per la città del principe. Strategie Urbane e Architettura a Imola durante la Signoria di Girolamo Riario (1473-1488)</w:t>
      </w:r>
      <w:r w:rsidRPr="00796A9D">
        <w:rPr>
          <w:rFonts w:ascii="Times New Roman" w:hAnsi="Times New Roman" w:cs="Times New Roman"/>
        </w:rPr>
        <w:t xml:space="preserve">, Roma, Officina, 1999, pp. 32-44. </w:t>
      </w:r>
    </w:p>
  </w:footnote>
  <w:footnote w:id="741">
    <w:p w14:paraId="49D899B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percorso della delegazione sforzesca seguì la via Emilia e previde soste nelle città di Pavia, Piacenza, Parma, Reggio Emilia, Modena e Bologna. </w:t>
      </w:r>
      <w:r w:rsidRPr="00796A9D">
        <w:rPr>
          <w:rFonts w:ascii="Times New Roman" w:hAnsi="Times New Roman" w:cs="Times New Roman"/>
          <w:lang w:val="en-GB"/>
        </w:rPr>
        <w:t xml:space="preserve">Cfr. </w:t>
      </w:r>
      <w:r w:rsidRPr="00796A9D">
        <w:rPr>
          <w:rFonts w:ascii="Times New Roman" w:hAnsi="Times New Roman" w:cs="Times New Roman"/>
          <w:smallCaps/>
          <w:lang w:val="en-GB"/>
        </w:rPr>
        <w:t>J. De Vries</w:t>
      </w:r>
      <w:r w:rsidRPr="00796A9D">
        <w:rPr>
          <w:rFonts w:ascii="Times New Roman" w:hAnsi="Times New Roman" w:cs="Times New Roman"/>
          <w:lang w:val="en-GB"/>
        </w:rPr>
        <w:t xml:space="preserve">, </w:t>
      </w:r>
      <w:r w:rsidRPr="00796A9D">
        <w:rPr>
          <w:rFonts w:ascii="Times New Roman" w:hAnsi="Times New Roman" w:cs="Times New Roman"/>
          <w:i/>
          <w:lang w:val="en-GB"/>
        </w:rPr>
        <w:t>Caterina Sforza and the Art of Appearances. Gender, Art and Culture in Early Modern Italy</w:t>
      </w:r>
      <w:r w:rsidRPr="00796A9D">
        <w:rPr>
          <w:rFonts w:ascii="Times New Roman" w:hAnsi="Times New Roman" w:cs="Times New Roman"/>
          <w:lang w:val="en-GB"/>
        </w:rPr>
        <w:t xml:space="preserve">, Burlington, Ashgate, 2010, pp. 17-28. </w:t>
      </w:r>
      <w:r w:rsidRPr="00796A9D">
        <w:rPr>
          <w:rFonts w:ascii="Times New Roman" w:hAnsi="Times New Roman" w:cs="Times New Roman"/>
        </w:rPr>
        <w:t xml:space="preserve">La missiva con la quale Bona di Savoia assegnava il compito di informatore della riuscita del viaggio diplomatico a Gianluigi Bossi è pubblicata in P.D. </w:t>
      </w:r>
      <w:r w:rsidRPr="00796A9D">
        <w:rPr>
          <w:rFonts w:ascii="Times New Roman" w:hAnsi="Times New Roman" w:cs="Times New Roman"/>
          <w:smallCaps/>
        </w:rPr>
        <w:t>Pasolini</w:t>
      </w:r>
      <w:r w:rsidRPr="00796A9D">
        <w:rPr>
          <w:rFonts w:ascii="Times New Roman" w:hAnsi="Times New Roman" w:cs="Times New Roman"/>
        </w:rPr>
        <w:t xml:space="preserve">, </w:t>
      </w:r>
      <w:r w:rsidRPr="00796A9D">
        <w:rPr>
          <w:rFonts w:ascii="Times New Roman" w:hAnsi="Times New Roman" w:cs="Times New Roman"/>
          <w:i/>
        </w:rPr>
        <w:t>Caterina Sforza</w:t>
      </w:r>
      <w:r w:rsidRPr="00796A9D">
        <w:rPr>
          <w:rFonts w:ascii="Times New Roman" w:hAnsi="Times New Roman" w:cs="Times New Roman"/>
        </w:rPr>
        <w:t xml:space="preserve">, Roma, Loescher, 1893, vol. III, pp. 39-40. Negli anni immediatamente successivi all’assassinio di Galeazzo Maria Sforza il diplomatico Bossi, discendente di una famiglia aristocratica milanese e dal 1472 membro del consiglio di giustizia, svolse un’importante funzione di pacificatore del clima politico nel dominio sforzesco, assicurando la fedeltà di Parma all’autorità ducale. Cfr. </w:t>
      </w:r>
      <w:r w:rsidRPr="00796A9D">
        <w:rPr>
          <w:rFonts w:ascii="Times New Roman" w:hAnsi="Times New Roman" w:cs="Times New Roman"/>
          <w:smallCaps/>
        </w:rPr>
        <w:t>F. Petrucci</w:t>
      </w:r>
      <w:r w:rsidRPr="00796A9D">
        <w:rPr>
          <w:rFonts w:ascii="Times New Roman" w:hAnsi="Times New Roman" w:cs="Times New Roman"/>
        </w:rPr>
        <w:t xml:space="preserve">, s.v. </w:t>
      </w:r>
      <w:r w:rsidRPr="00796A9D">
        <w:rPr>
          <w:rFonts w:ascii="Times New Roman" w:hAnsi="Times New Roman" w:cs="Times New Roman"/>
          <w:i/>
        </w:rPr>
        <w:t>Bossi, Gianluigi</w:t>
      </w:r>
      <w:r w:rsidRPr="00796A9D">
        <w:rPr>
          <w:rFonts w:ascii="Times New Roman" w:hAnsi="Times New Roman" w:cs="Times New Roman"/>
        </w:rPr>
        <w:t>, DBI, 1971, vol. XIII, pp. 308-309.</w:t>
      </w:r>
    </w:p>
  </w:footnote>
  <w:footnote w:id="742">
    <w:p w14:paraId="158F202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dei </w:t>
      </w:r>
      <w:r w:rsidRPr="00796A9D">
        <w:rPr>
          <w:rFonts w:ascii="Times New Roman" w:hAnsi="Times New Roman" w:cs="Times New Roman"/>
          <w:i/>
        </w:rPr>
        <w:t>servitores aulici</w:t>
      </w:r>
      <w:r w:rsidRPr="00796A9D">
        <w:rPr>
          <w:rFonts w:ascii="Times New Roman" w:hAnsi="Times New Roman" w:cs="Times New Roman"/>
        </w:rPr>
        <w:t xml:space="preserve">, datata 3 maggio 1477, è pubblicata in P.D. </w:t>
      </w:r>
      <w:r w:rsidRPr="00796A9D">
        <w:rPr>
          <w:rFonts w:ascii="Times New Roman" w:hAnsi="Times New Roman" w:cs="Times New Roman"/>
          <w:smallCaps/>
        </w:rPr>
        <w:t>Pasolini</w:t>
      </w:r>
      <w:r w:rsidRPr="00796A9D">
        <w:rPr>
          <w:rFonts w:ascii="Times New Roman" w:hAnsi="Times New Roman" w:cs="Times New Roman"/>
        </w:rPr>
        <w:t xml:space="preserve">, </w:t>
      </w:r>
      <w:r w:rsidRPr="00796A9D">
        <w:rPr>
          <w:rFonts w:ascii="Times New Roman" w:hAnsi="Times New Roman" w:cs="Times New Roman"/>
          <w:i/>
        </w:rPr>
        <w:t>Caterina Sforza</w:t>
      </w:r>
      <w:r w:rsidRPr="00796A9D">
        <w:rPr>
          <w:rFonts w:ascii="Times New Roman" w:hAnsi="Times New Roman" w:cs="Times New Roman"/>
        </w:rPr>
        <w:t xml:space="preserve">, cit., vol. III, pp. 42-46. </w:t>
      </w:r>
    </w:p>
  </w:footnote>
  <w:footnote w:id="743">
    <w:p w14:paraId="2ED099D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inviata «cito cito per postas» il 4 maggio 1477, si legge </w:t>
      </w:r>
      <w:r w:rsidRPr="00796A9D">
        <w:rPr>
          <w:rFonts w:ascii="Times New Roman" w:hAnsi="Times New Roman" w:cs="Times New Roman"/>
          <w:i/>
        </w:rPr>
        <w:t>Ivi</w:t>
      </w:r>
      <w:r w:rsidRPr="00796A9D">
        <w:rPr>
          <w:rFonts w:ascii="Times New Roman" w:hAnsi="Times New Roman" w:cs="Times New Roman"/>
        </w:rPr>
        <w:t>, pp. 46-47.</w:t>
      </w:r>
    </w:p>
  </w:footnote>
  <w:footnote w:id="744">
    <w:p w14:paraId="13AA6649"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L’ambasceria, partita da Ferrara il 9 dicembre 1501, era giunta a Roma il 26 dicembre. Ne erano a capo i fratelli dello sposo: il cardinale Ippolito, Ferdinando e Sigismondo d’Este, cfr. </w:t>
      </w:r>
      <w:r w:rsidRPr="00796A9D">
        <w:rPr>
          <w:rFonts w:ascii="Times New Roman" w:hAnsi="Times New Roman" w:cs="Times New Roman"/>
          <w:smallCaps/>
          <w:sz w:val="20"/>
          <w:szCs w:val="20"/>
        </w:rPr>
        <w:t>L. Laureati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Da Borgia a Este: due vite in quarant’anni</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Lucrezia Borgia</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Eadem</w:t>
      </w:r>
      <w:r w:rsidRPr="00796A9D">
        <w:rPr>
          <w:rFonts w:ascii="Times New Roman" w:hAnsi="Times New Roman" w:cs="Times New Roman"/>
          <w:sz w:val="20"/>
          <w:szCs w:val="20"/>
        </w:rPr>
        <w:t xml:space="preserve">, Ferrara, Ferrara Arte, 2002, pp. 21-75. Lo sposalizio fu celebrato per procura il 30 dicembre. Tra gli spettacoli principali organizzati in quei giorni si segnalano: nei giorni 26, 27, 29 dicembre, i palii dei giovani di venticinque anni, dei fanciulli di dodici anni, degli anziani, degli ebrei e delle meretrici. Il 29 dicembre la corsa dei bufali. Il 30 dicembre la corsa dei cavalli berberi da Campo dei Fiori a Piazza San Pietro. Il 30 e 31 dicembre un passo d’armi in Piazza San Pietro, dove fu montato un apposito castello ligneo. Il 31 dicembre alcune gare di pugilato.  </w:t>
      </w:r>
    </w:p>
  </w:footnote>
  <w:footnote w:id="745">
    <w:p w14:paraId="0B22B33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inviata da Roma l’1 gennaio 1502 a Isabella d’Este, è pubblicata in F. </w:t>
      </w:r>
      <w:r w:rsidRPr="00796A9D">
        <w:rPr>
          <w:rFonts w:ascii="Times New Roman" w:hAnsi="Times New Roman" w:cs="Times New Roman"/>
          <w:smallCaps/>
        </w:rPr>
        <w:t>Cruciani</w:t>
      </w:r>
      <w:r w:rsidRPr="00796A9D">
        <w:rPr>
          <w:rFonts w:ascii="Times New Roman" w:hAnsi="Times New Roman" w:cs="Times New Roman"/>
        </w:rPr>
        <w:t xml:space="preserve">, </w:t>
      </w:r>
      <w:r w:rsidRPr="00796A9D">
        <w:rPr>
          <w:rFonts w:ascii="Times New Roman" w:hAnsi="Times New Roman" w:cs="Times New Roman"/>
          <w:i/>
        </w:rPr>
        <w:t>Teatro nel Rinascimento. Roma 1450-1550</w:t>
      </w:r>
      <w:r w:rsidRPr="00796A9D">
        <w:rPr>
          <w:rFonts w:ascii="Times New Roman" w:hAnsi="Times New Roman" w:cs="Times New Roman"/>
        </w:rPr>
        <w:t xml:space="preserve">, Roma, Bulzoni, 1983, p. 292, al quale si rinvia anche per una valutazione dell’importanza di queste feste per la definizione dei caratteri della cultura spettacolare della Roma di Alessandro VI.   </w:t>
      </w:r>
    </w:p>
  </w:footnote>
  <w:footnote w:id="746">
    <w:p w14:paraId="4D41533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È interessante osservare come Prosperi avesse colto il tentativo degli apparatori del trionfo di donare agli interpreti dei personaggi dei carri un aspetto ispirato alla statuaria classica. L’Eracle che aprì la sfilata imitava, secondo lui, il celebre Ercole capitolino, una statua in bronzo dorato risalente al II secolo a.C. rinvenuta nel sito del Foro Boario durante il pontificato di Sisto IV e collocata all’epoca in Campidoglio (oggi ai Musei Capitolini); i cavalli del secondo </w:t>
      </w:r>
      <w:r w:rsidRPr="00796A9D">
        <w:rPr>
          <w:rFonts w:ascii="Times New Roman" w:hAnsi="Times New Roman" w:cs="Times New Roman"/>
          <w:i/>
        </w:rPr>
        <w:t>pegma</w:t>
      </w:r>
      <w:r w:rsidRPr="00796A9D">
        <w:rPr>
          <w:rFonts w:ascii="Times New Roman" w:hAnsi="Times New Roman" w:cs="Times New Roman"/>
        </w:rPr>
        <w:t xml:space="preserve"> erano invece a similitudine delle due statue dei cavalli dei Dioscuri poste sul Quirinale; e quello del sesto trionfo imitava il cavallo della statua di Marco Aurelio, restaurata per volere di papa della Rovere tra il 1473 e il 1474 e fatta collocare davanti alla facciata di San Giovanni in Laterano. Cfr. </w:t>
      </w:r>
      <w:r w:rsidRPr="00796A9D">
        <w:rPr>
          <w:rFonts w:ascii="Times New Roman" w:hAnsi="Times New Roman" w:cs="Times New Roman"/>
          <w:smallCaps/>
        </w:rPr>
        <w:t>L. Vattuone</w:t>
      </w:r>
      <w:r w:rsidRPr="00796A9D">
        <w:rPr>
          <w:rFonts w:ascii="Times New Roman" w:hAnsi="Times New Roman" w:cs="Times New Roman"/>
        </w:rPr>
        <w:t xml:space="preserve">, </w:t>
      </w:r>
      <w:r w:rsidRPr="00796A9D">
        <w:rPr>
          <w:rFonts w:ascii="Times New Roman" w:hAnsi="Times New Roman" w:cs="Times New Roman"/>
          <w:i/>
        </w:rPr>
        <w:t>Esaltazione e distruzione di Roma antica nella città di Sisto IV</w:t>
      </w:r>
      <w:r w:rsidRPr="00796A9D">
        <w:rPr>
          <w:rFonts w:ascii="Times New Roman" w:hAnsi="Times New Roman" w:cs="Times New Roman"/>
        </w:rPr>
        <w:t xml:space="preserve">, in </w:t>
      </w:r>
      <w:r w:rsidRPr="00796A9D">
        <w:rPr>
          <w:rFonts w:ascii="Times New Roman" w:hAnsi="Times New Roman" w:cs="Times New Roman"/>
          <w:i/>
        </w:rPr>
        <w:t>Sisto IV. Le arti a Roma nel primo Rinascimento.</w:t>
      </w:r>
      <w:r w:rsidRPr="00796A9D">
        <w:rPr>
          <w:rFonts w:ascii="Times New Roman" w:hAnsi="Times New Roman" w:cs="Times New Roman"/>
        </w:rPr>
        <w:t xml:space="preserve"> Atti del convegno internazionale di studi (Roma, 23-25 ottobre 1997), a cura di F. Benzi, Roma, Crescentini, 1997, 174-187. </w:t>
      </w:r>
    </w:p>
  </w:footnote>
  <w:footnote w:id="747">
    <w:p w14:paraId="5E232F56"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Cantalicio entrò al servizio dei Borgia nel 1494. Dapprima fu alle dipendenze del cardinale Giovanni e successivamente, dal 1496, di Giovanni Borgia </w:t>
      </w:r>
      <w:r>
        <w:rPr>
          <w:rFonts w:ascii="Times New Roman" w:hAnsi="Times New Roman" w:cs="Times New Roman"/>
          <w:sz w:val="20"/>
          <w:szCs w:val="20"/>
        </w:rPr>
        <w:t>j</w:t>
      </w:r>
      <w:r w:rsidRPr="00796A9D">
        <w:rPr>
          <w:rFonts w:ascii="Times New Roman" w:hAnsi="Times New Roman" w:cs="Times New Roman"/>
          <w:sz w:val="20"/>
          <w:szCs w:val="20"/>
        </w:rPr>
        <w:t xml:space="preserve">unior, legato pontificio alla corte di Napoli. A quest’ultimo dedicò nel 1498 il poemetto encomiastico </w:t>
      </w:r>
      <w:r w:rsidRPr="00796A9D">
        <w:rPr>
          <w:rFonts w:ascii="Times New Roman" w:hAnsi="Times New Roman" w:cs="Times New Roman"/>
          <w:i/>
          <w:sz w:val="20"/>
          <w:szCs w:val="20"/>
        </w:rPr>
        <w:t>Borgias</w:t>
      </w:r>
      <w:r w:rsidRPr="00796A9D">
        <w:rPr>
          <w:rFonts w:ascii="Times New Roman" w:hAnsi="Times New Roman" w:cs="Times New Roman"/>
          <w:sz w:val="20"/>
          <w:szCs w:val="20"/>
        </w:rPr>
        <w:t xml:space="preserve"> e quale membro del suo seguito presenziò al matrimonio di Lucrezia. Per la biografia del letterato si rimanda alle note introduttive al volume </w:t>
      </w:r>
      <w:r w:rsidRPr="00796A9D">
        <w:rPr>
          <w:rFonts w:ascii="Times New Roman" w:hAnsi="Times New Roman" w:cs="Times New Roman"/>
          <w:smallCaps/>
          <w:sz w:val="20"/>
          <w:szCs w:val="20"/>
        </w:rPr>
        <w:t>G. Cantalicio</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Bucolica</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L. Monti Sabia</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Spectacula Lucretiana</w:t>
      </w:r>
      <w:r w:rsidRPr="00796A9D">
        <w:rPr>
          <w:rFonts w:ascii="Times New Roman" w:hAnsi="Times New Roman" w:cs="Times New Roman"/>
          <w:sz w:val="20"/>
          <w:szCs w:val="20"/>
        </w:rPr>
        <w:t xml:space="preserve">, a cura di G. </w:t>
      </w:r>
      <w:r w:rsidRPr="00796A9D">
        <w:rPr>
          <w:rFonts w:ascii="Times New Roman" w:hAnsi="Times New Roman" w:cs="Times New Roman"/>
          <w:smallCaps/>
          <w:sz w:val="20"/>
          <w:szCs w:val="20"/>
        </w:rPr>
        <w:t>Germano</w:t>
      </w:r>
      <w:r w:rsidRPr="00796A9D">
        <w:rPr>
          <w:rFonts w:ascii="Times New Roman" w:hAnsi="Times New Roman" w:cs="Times New Roman"/>
          <w:sz w:val="20"/>
          <w:szCs w:val="20"/>
        </w:rPr>
        <w:t xml:space="preserve">, Messina, Sicania, 1995. A questa edizione si fa riferimento per le citazioni dagli </w:t>
      </w:r>
      <w:r w:rsidRPr="00796A9D">
        <w:rPr>
          <w:rFonts w:ascii="Times New Roman" w:hAnsi="Times New Roman" w:cs="Times New Roman"/>
          <w:i/>
          <w:sz w:val="20"/>
          <w:szCs w:val="20"/>
        </w:rPr>
        <w:t>Spectacula Lucretiana</w:t>
      </w:r>
      <w:r w:rsidRPr="00796A9D">
        <w:rPr>
          <w:rFonts w:ascii="Times New Roman" w:hAnsi="Times New Roman" w:cs="Times New Roman"/>
          <w:sz w:val="20"/>
          <w:szCs w:val="20"/>
        </w:rPr>
        <w:t xml:space="preserve"> che seguiranno.  </w:t>
      </w:r>
    </w:p>
  </w:footnote>
  <w:footnote w:id="748">
    <w:p w14:paraId="06DBF0D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Sebbene la mano di Lucrezia fosse destinata al futuro duca di Ferrara, Alfonso I, era stato Ercole I a condurre le trattative diplomatiche che portarono al matrimonio, e quindi al trionfo. Nel XV secolo la figura di Eracle era inoltre rappresentativa di tutta la famiglia d’Este, tanto perché ne rievocava le origini mitologiche, quanto perché associata a Ercole I, il membro più illustre della casata. Cfr. </w:t>
      </w:r>
      <w:r w:rsidRPr="00796A9D">
        <w:rPr>
          <w:rFonts w:ascii="Times New Roman" w:hAnsi="Times New Roman" w:cs="Times New Roman"/>
          <w:smallCaps/>
        </w:rPr>
        <w:t>L.W. Gundersheimer</w:t>
      </w:r>
      <w:r w:rsidRPr="00796A9D">
        <w:rPr>
          <w:rFonts w:ascii="Times New Roman" w:hAnsi="Times New Roman" w:cs="Times New Roman"/>
        </w:rPr>
        <w:t xml:space="preserve">, </w:t>
      </w:r>
      <w:r w:rsidRPr="00796A9D">
        <w:rPr>
          <w:rFonts w:ascii="Times New Roman" w:hAnsi="Times New Roman" w:cs="Times New Roman"/>
          <w:i/>
        </w:rPr>
        <w:t>Ferrara estense: lo stile del potere</w:t>
      </w:r>
      <w:r w:rsidRPr="00796A9D">
        <w:rPr>
          <w:rFonts w:ascii="Times New Roman" w:hAnsi="Times New Roman" w:cs="Times New Roman"/>
        </w:rPr>
        <w:t xml:space="preserve">, Modena, Panini, 2005, p. 12. </w:t>
      </w:r>
    </w:p>
  </w:footnote>
  <w:footnote w:id="749">
    <w:p w14:paraId="3EB2AEC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J. Burckardus</w:t>
      </w:r>
      <w:r w:rsidRPr="00796A9D">
        <w:rPr>
          <w:rFonts w:ascii="Times New Roman" w:hAnsi="Times New Roman" w:cs="Times New Roman"/>
        </w:rPr>
        <w:t xml:space="preserve">, </w:t>
      </w:r>
      <w:r w:rsidRPr="00796A9D">
        <w:rPr>
          <w:rFonts w:ascii="Times New Roman" w:hAnsi="Times New Roman" w:cs="Times New Roman"/>
          <w:i/>
        </w:rPr>
        <w:t>Alla corte di cinque papi: Diario 1483-1506</w:t>
      </w:r>
      <w:r w:rsidRPr="00796A9D">
        <w:rPr>
          <w:rFonts w:ascii="Times New Roman" w:hAnsi="Times New Roman" w:cs="Times New Roman"/>
        </w:rPr>
        <w:t xml:space="preserve">, a cura di </w:t>
      </w:r>
      <w:r w:rsidRPr="00796A9D">
        <w:rPr>
          <w:rFonts w:ascii="Times New Roman" w:hAnsi="Times New Roman" w:cs="Times New Roman"/>
          <w:smallCaps/>
        </w:rPr>
        <w:t>L. Bianchi</w:t>
      </w:r>
      <w:r w:rsidRPr="00796A9D">
        <w:rPr>
          <w:rFonts w:ascii="Times New Roman" w:hAnsi="Times New Roman" w:cs="Times New Roman"/>
        </w:rPr>
        <w:t xml:space="preserve">, Milano, Longanesi, p. 309. Per la possibile presenza dei cartigli con indicazioni dei soggetti degli apparati vedi </w:t>
      </w:r>
      <w:r w:rsidRPr="00796A9D">
        <w:rPr>
          <w:rFonts w:ascii="Times New Roman" w:hAnsi="Times New Roman" w:cs="Times New Roman"/>
          <w:smallCaps/>
        </w:rPr>
        <w:t>G Cantalicio</w:t>
      </w:r>
      <w:r w:rsidRPr="00796A9D">
        <w:rPr>
          <w:rFonts w:ascii="Times New Roman" w:hAnsi="Times New Roman" w:cs="Times New Roman"/>
        </w:rPr>
        <w:t xml:space="preserve">, </w:t>
      </w:r>
      <w:r w:rsidRPr="00796A9D">
        <w:rPr>
          <w:rFonts w:ascii="Times New Roman" w:hAnsi="Times New Roman" w:cs="Times New Roman"/>
          <w:i/>
        </w:rPr>
        <w:t>Spectacula Lucretiana</w:t>
      </w:r>
      <w:r w:rsidRPr="00796A9D">
        <w:rPr>
          <w:rFonts w:ascii="Times New Roman" w:hAnsi="Times New Roman" w:cs="Times New Roman"/>
        </w:rPr>
        <w:t>, cit., p. 178. Personalmente credo che con l’espressione «</w:t>
      </w:r>
      <w:r w:rsidRPr="00796A9D">
        <w:rPr>
          <w:rFonts w:ascii="Times New Roman" w:hAnsi="Times New Roman" w:cs="Times New Roman"/>
          <w:i/>
        </w:rPr>
        <w:t>non intelleguntur, more solito</w:t>
      </w:r>
      <w:r w:rsidRPr="00796A9D">
        <w:rPr>
          <w:rFonts w:ascii="Times New Roman" w:hAnsi="Times New Roman" w:cs="Times New Roman"/>
        </w:rPr>
        <w:t>» Burcardo volesse anche testimoniare come non fosse possibile udire i versi recitati dai personaggi nella sfilata, problema frequente in questo genere di spettacoli, nei quali la voce dei recitanti giungeva con fatica agli spettatori tra il rumore della folla acclamante e le armonie dei musici dei cortei.</w:t>
      </w:r>
    </w:p>
  </w:footnote>
  <w:footnote w:id="750">
    <w:p w14:paraId="67E8309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bookmarkStart w:id="499" w:name="_Hlk528686714"/>
      <w:r w:rsidRPr="00796A9D">
        <w:rPr>
          <w:rFonts w:ascii="Times New Roman" w:hAnsi="Times New Roman" w:cs="Times New Roman"/>
        </w:rPr>
        <w:t>Valencia, Biblioteca Nicolau Primitiu, ms. 130</w:t>
      </w:r>
      <w:bookmarkEnd w:id="499"/>
      <w:r w:rsidRPr="00796A9D">
        <w:rPr>
          <w:rFonts w:ascii="Times New Roman" w:hAnsi="Times New Roman" w:cs="Times New Roman"/>
        </w:rPr>
        <w:t>. La scheda bibliografica del manoscritto e la sua completa digitalizzazione si possono consultare sul sito internet della biblioteca, all’indirizzo http://bivaldi.gva.es/es/consulta/registro.cmd?id=3259. Ultima visita 06/10/2018.</w:t>
      </w:r>
    </w:p>
  </w:footnote>
  <w:footnote w:id="751">
    <w:p w14:paraId="519C9C9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U. Caleffini</w:t>
      </w:r>
      <w:r w:rsidRPr="00796A9D">
        <w:rPr>
          <w:rFonts w:ascii="Times New Roman" w:hAnsi="Times New Roman" w:cs="Times New Roman"/>
        </w:rPr>
        <w:t xml:space="preserve">, </w:t>
      </w:r>
      <w:r w:rsidRPr="00796A9D">
        <w:rPr>
          <w:rFonts w:ascii="Times New Roman" w:hAnsi="Times New Roman" w:cs="Times New Roman"/>
          <w:i/>
        </w:rPr>
        <w:t>Croniche 1471-1494</w:t>
      </w:r>
      <w:r w:rsidRPr="00796A9D">
        <w:rPr>
          <w:rFonts w:ascii="Times New Roman" w:hAnsi="Times New Roman" w:cs="Times New Roman"/>
        </w:rPr>
        <w:t xml:space="preserve">, p. 51. Dove è fornito anche l’elenco degli ambasciatori inviati allo sposalizio dai principati e dalle repubbliche italiane. </w:t>
      </w:r>
    </w:p>
  </w:footnote>
  <w:footnote w:id="752">
    <w:p w14:paraId="0031471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un passo precedente delle Croniche Caleffini – </w:t>
      </w:r>
      <w:r w:rsidRPr="00796A9D">
        <w:rPr>
          <w:rFonts w:ascii="Times New Roman" w:hAnsi="Times New Roman" w:cs="Times New Roman"/>
          <w:i/>
        </w:rPr>
        <w:t>Ivi</w:t>
      </w:r>
      <w:r w:rsidRPr="00796A9D">
        <w:rPr>
          <w:rFonts w:ascii="Times New Roman" w:hAnsi="Times New Roman" w:cs="Times New Roman"/>
        </w:rPr>
        <w:t xml:space="preserve">, p. 44 – specifica che si trattò della «Sala de li imperatori», la quale affacciava sul vicino convento della SS. Trinità, posto lungo l’attuale via Cortevecchia. Cfr. </w:t>
      </w:r>
      <w:r w:rsidRPr="00796A9D">
        <w:rPr>
          <w:rFonts w:ascii="Times New Roman" w:hAnsi="Times New Roman" w:cs="Times New Roman"/>
          <w:i/>
        </w:rPr>
        <w:t>Ferrara al tempo di Ercole I d’Este. Scavi archeologici, restauri e riqualificazione urbana nel centro storico della città</w:t>
      </w:r>
      <w:r w:rsidRPr="00796A9D">
        <w:rPr>
          <w:rFonts w:ascii="Times New Roman" w:hAnsi="Times New Roman" w:cs="Times New Roman"/>
        </w:rPr>
        <w:t xml:space="preserve">, a cura di </w:t>
      </w:r>
      <w:r w:rsidRPr="00796A9D">
        <w:rPr>
          <w:rFonts w:ascii="Times New Roman" w:hAnsi="Times New Roman" w:cs="Times New Roman"/>
          <w:smallCaps/>
        </w:rPr>
        <w:t>C. Guarnieri</w:t>
      </w:r>
      <w:r w:rsidRPr="00796A9D">
        <w:rPr>
          <w:rFonts w:ascii="Times New Roman" w:hAnsi="Times New Roman" w:cs="Times New Roman"/>
        </w:rPr>
        <w:t>, «Quaderni di Archeologia dell’Emilia-Romagna», XXXVIII, 2018, p. 332.</w:t>
      </w:r>
    </w:p>
  </w:footnote>
  <w:footnote w:id="753">
    <w:p w14:paraId="7D813A8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Allievo di Guarino Veronese e docente di filosofia naturale presso l’Università di Bologna, Castelli era già stato apprezzato quale facondo oratore avendo pronunciato le orazioni ufficiali in occasione delle visite a Ferrara dell’imperatore Federico III (17 genn. 1452) e di Pio II (19 maggio 1459). Nel febbraio 1476 fece parte del corteggio che accompagnò la duchessa Eleonora in visita ufficiale a Venezia. Cfr. </w:t>
      </w:r>
      <w:r w:rsidRPr="00796A9D">
        <w:rPr>
          <w:rFonts w:ascii="Times New Roman" w:hAnsi="Times New Roman" w:cs="Times New Roman"/>
          <w:smallCaps/>
        </w:rPr>
        <w:t>M. Palma</w:t>
      </w:r>
      <w:r w:rsidRPr="00796A9D">
        <w:rPr>
          <w:rFonts w:ascii="Times New Roman" w:hAnsi="Times New Roman" w:cs="Times New Roman"/>
        </w:rPr>
        <w:t xml:space="preserve">, s.v. </w:t>
      </w:r>
      <w:r w:rsidRPr="00796A9D">
        <w:rPr>
          <w:rFonts w:ascii="Times New Roman" w:hAnsi="Times New Roman" w:cs="Times New Roman"/>
          <w:i/>
        </w:rPr>
        <w:t>Castelli, Girolamo</w:t>
      </w:r>
      <w:r w:rsidRPr="00796A9D">
        <w:rPr>
          <w:rFonts w:ascii="Times New Roman" w:hAnsi="Times New Roman" w:cs="Times New Roman"/>
        </w:rPr>
        <w:t>, DBI, 1978, vol. XXI, pp.</w:t>
      </w:r>
    </w:p>
  </w:footnote>
  <w:footnote w:id="754">
    <w:p w14:paraId="61B06DC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 valore giuridico dei gesti del toccamento, del bacio e dell’inanellamento si veda </w:t>
      </w:r>
      <w:r w:rsidRPr="00796A9D">
        <w:rPr>
          <w:rFonts w:ascii="Times New Roman" w:hAnsi="Times New Roman" w:cs="Times New Roman"/>
          <w:smallCaps/>
        </w:rPr>
        <w:t>S. Seidel Menchi</w:t>
      </w:r>
      <w:r w:rsidRPr="00796A9D">
        <w:rPr>
          <w:rFonts w:ascii="Times New Roman" w:hAnsi="Times New Roman" w:cs="Times New Roman"/>
        </w:rPr>
        <w:t xml:space="preserve">, </w:t>
      </w:r>
      <w:r w:rsidRPr="00796A9D">
        <w:rPr>
          <w:rFonts w:ascii="Times New Roman" w:hAnsi="Times New Roman" w:cs="Times New Roman"/>
          <w:i/>
        </w:rPr>
        <w:t>Cause matrimoniali e iconografia nuziale. Annotazioni in margine a una ricerca d’archivio</w:t>
      </w:r>
      <w:r w:rsidRPr="00796A9D">
        <w:rPr>
          <w:rFonts w:ascii="Times New Roman" w:hAnsi="Times New Roman" w:cs="Times New Roman"/>
        </w:rPr>
        <w:t xml:space="preserve">, in </w:t>
      </w:r>
      <w:r w:rsidRPr="00796A9D">
        <w:rPr>
          <w:rFonts w:ascii="Times New Roman" w:hAnsi="Times New Roman" w:cs="Times New Roman"/>
          <w:i/>
        </w:rPr>
        <w:t>I tribunali del matrimonio (secoli XV-XVIII)</w:t>
      </w:r>
      <w:r w:rsidRPr="00796A9D">
        <w:rPr>
          <w:rFonts w:ascii="Times New Roman" w:hAnsi="Times New Roman" w:cs="Times New Roman"/>
        </w:rPr>
        <w:t xml:space="preserve">, a cura di </w:t>
      </w:r>
      <w:r w:rsidRPr="00796A9D">
        <w:rPr>
          <w:rFonts w:ascii="Times New Roman" w:hAnsi="Times New Roman" w:cs="Times New Roman"/>
          <w:smallCaps/>
        </w:rPr>
        <w:t>Eadem, D. Quaglioni</w:t>
      </w:r>
      <w:r w:rsidRPr="00796A9D">
        <w:rPr>
          <w:rFonts w:ascii="Times New Roman" w:hAnsi="Times New Roman" w:cs="Times New Roman"/>
        </w:rPr>
        <w:t xml:space="preserve">, Bologna, il Mulino, 2006, pp. 683-703. Una ricca documentazione iconografica di questi momenti cerimoniali analizzata in rapporto al coevo dibattito teologico e giuridico sullo statuto del matrimonio è disponibile in </w:t>
      </w:r>
      <w:r w:rsidRPr="00796A9D">
        <w:rPr>
          <w:rFonts w:ascii="Times New Roman" w:hAnsi="Times New Roman" w:cs="Times New Roman"/>
          <w:smallCaps/>
        </w:rPr>
        <w:t>M. Seidel</w:t>
      </w:r>
      <w:r w:rsidRPr="00796A9D">
        <w:rPr>
          <w:rFonts w:ascii="Times New Roman" w:hAnsi="Times New Roman" w:cs="Times New Roman"/>
        </w:rPr>
        <w:t xml:space="preserve">, </w:t>
      </w:r>
      <w:r w:rsidRPr="00796A9D">
        <w:rPr>
          <w:rFonts w:ascii="Times New Roman" w:hAnsi="Times New Roman" w:cs="Times New Roman"/>
          <w:i/>
        </w:rPr>
        <w:t>Studi sull’iconografia nuziale del Trecento</w:t>
      </w:r>
      <w:r w:rsidRPr="00796A9D">
        <w:rPr>
          <w:rFonts w:ascii="Times New Roman" w:hAnsi="Times New Roman" w:cs="Times New Roman"/>
        </w:rPr>
        <w:t xml:space="preserve">, in </w:t>
      </w:r>
      <w:r w:rsidRPr="00796A9D">
        <w:rPr>
          <w:rFonts w:ascii="Times New Roman" w:hAnsi="Times New Roman" w:cs="Times New Roman"/>
          <w:i/>
        </w:rPr>
        <w:t>Arte italiana del Medioevo e del Rinascimento</w:t>
      </w:r>
      <w:r w:rsidRPr="00796A9D">
        <w:rPr>
          <w:rFonts w:ascii="Times New Roman" w:hAnsi="Times New Roman" w:cs="Times New Roman"/>
        </w:rPr>
        <w:t xml:space="preserve">, a cura di </w:t>
      </w:r>
      <w:r w:rsidRPr="00796A9D">
        <w:rPr>
          <w:rFonts w:ascii="Times New Roman" w:hAnsi="Times New Roman" w:cs="Times New Roman"/>
          <w:smallCaps/>
        </w:rPr>
        <w:t>Idem</w:t>
      </w:r>
      <w:r w:rsidRPr="00796A9D">
        <w:rPr>
          <w:rFonts w:ascii="Times New Roman" w:hAnsi="Times New Roman" w:cs="Times New Roman"/>
        </w:rPr>
        <w:t>, Venezia, Marsilio, vol. I pp. 409-443.</w:t>
      </w:r>
    </w:p>
  </w:footnote>
  <w:footnote w:id="755">
    <w:p w14:paraId="4870F7E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Appendice III</w:t>
      </w:r>
      <w:r w:rsidRPr="00796A9D">
        <w:rPr>
          <w:rFonts w:ascii="Times New Roman" w:hAnsi="Times New Roman" w:cs="Times New Roman"/>
        </w:rPr>
        <w:t xml:space="preserve">, documento 4. </w:t>
      </w:r>
    </w:p>
  </w:footnote>
  <w:footnote w:id="756">
    <w:p w14:paraId="30E3867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P.D. </w:t>
      </w:r>
      <w:r w:rsidRPr="00796A9D">
        <w:rPr>
          <w:rFonts w:ascii="Times New Roman" w:hAnsi="Times New Roman" w:cs="Times New Roman"/>
          <w:smallCaps/>
        </w:rPr>
        <w:t>Pasolini</w:t>
      </w:r>
      <w:r w:rsidRPr="00796A9D">
        <w:rPr>
          <w:rFonts w:ascii="Times New Roman" w:hAnsi="Times New Roman" w:cs="Times New Roman"/>
        </w:rPr>
        <w:t xml:space="preserve">, </w:t>
      </w:r>
      <w:r w:rsidRPr="00796A9D">
        <w:rPr>
          <w:rFonts w:ascii="Times New Roman" w:hAnsi="Times New Roman" w:cs="Times New Roman"/>
          <w:i/>
        </w:rPr>
        <w:t>Caterina Sforza</w:t>
      </w:r>
      <w:r w:rsidRPr="00796A9D">
        <w:rPr>
          <w:rFonts w:ascii="Times New Roman" w:hAnsi="Times New Roman" w:cs="Times New Roman"/>
        </w:rPr>
        <w:t>, cit., vol. III, p. 54.</w:t>
      </w:r>
    </w:p>
  </w:footnote>
  <w:footnote w:id="757">
    <w:p w14:paraId="23A9DDB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 significato simbolico del bacio nel rituale di vassallaggio si veda </w:t>
      </w:r>
      <w:r w:rsidRPr="00796A9D">
        <w:rPr>
          <w:rFonts w:ascii="Times New Roman" w:hAnsi="Times New Roman" w:cs="Times New Roman"/>
          <w:smallCaps/>
        </w:rPr>
        <w:t>J. Le Goff</w:t>
      </w:r>
      <w:r w:rsidRPr="00796A9D">
        <w:rPr>
          <w:rFonts w:ascii="Times New Roman" w:hAnsi="Times New Roman" w:cs="Times New Roman"/>
        </w:rPr>
        <w:t xml:space="preserve">, </w:t>
      </w:r>
      <w:r w:rsidRPr="00796A9D">
        <w:rPr>
          <w:rFonts w:ascii="Times New Roman" w:hAnsi="Times New Roman" w:cs="Times New Roman"/>
          <w:i/>
        </w:rPr>
        <w:t>Il rituale simbolico del vassallaggio</w:t>
      </w:r>
      <w:r w:rsidRPr="00796A9D">
        <w:rPr>
          <w:rFonts w:ascii="Times New Roman" w:hAnsi="Times New Roman" w:cs="Times New Roman"/>
        </w:rPr>
        <w:t xml:space="preserve">, in </w:t>
      </w:r>
      <w:r w:rsidRPr="00796A9D">
        <w:rPr>
          <w:rFonts w:ascii="Times New Roman" w:hAnsi="Times New Roman" w:cs="Times New Roman"/>
          <w:smallCaps/>
        </w:rPr>
        <w:t>Idem</w:t>
      </w:r>
      <w:r w:rsidRPr="00796A9D">
        <w:rPr>
          <w:rFonts w:ascii="Times New Roman" w:hAnsi="Times New Roman" w:cs="Times New Roman"/>
        </w:rPr>
        <w:t xml:space="preserve">, </w:t>
      </w:r>
      <w:r w:rsidRPr="00796A9D">
        <w:rPr>
          <w:rFonts w:ascii="Times New Roman" w:hAnsi="Times New Roman" w:cs="Times New Roman"/>
          <w:i/>
        </w:rPr>
        <w:t>I riti, il tempo, il riso. Cinque saggi di storia medievale</w:t>
      </w:r>
      <w:r w:rsidRPr="00796A9D">
        <w:rPr>
          <w:rFonts w:ascii="Times New Roman" w:hAnsi="Times New Roman" w:cs="Times New Roman"/>
        </w:rPr>
        <w:t xml:space="preserve">, Bari, Laterza, 2003, pp. 23-111. </w:t>
      </w:r>
    </w:p>
  </w:footnote>
  <w:footnote w:id="758">
    <w:p w14:paraId="46AAA91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 Thom., </w:t>
      </w:r>
      <w:r w:rsidRPr="00796A9D">
        <w:rPr>
          <w:rFonts w:ascii="Times New Roman" w:hAnsi="Times New Roman" w:cs="Times New Roman"/>
          <w:i/>
        </w:rPr>
        <w:t>Summ. Teol</w:t>
      </w:r>
      <w:r w:rsidRPr="00796A9D">
        <w:rPr>
          <w:rFonts w:ascii="Times New Roman" w:hAnsi="Times New Roman" w:cs="Times New Roman"/>
        </w:rPr>
        <w:t>, Suppl., q. XLII</w:t>
      </w:r>
      <w:r w:rsidRPr="00796A9D">
        <w:rPr>
          <w:rFonts w:ascii="Times New Roman" w:hAnsi="Times New Roman" w:cs="Times New Roman"/>
          <w:i/>
        </w:rPr>
        <w:t>, De matrimonio</w:t>
      </w:r>
      <w:r w:rsidRPr="00796A9D">
        <w:rPr>
          <w:rFonts w:ascii="Times New Roman" w:hAnsi="Times New Roman" w:cs="Times New Roman"/>
        </w:rPr>
        <w:t xml:space="preserve">: </w:t>
      </w:r>
      <w:r w:rsidRPr="00796A9D">
        <w:rPr>
          <w:rFonts w:ascii="Times New Roman" w:hAnsi="Times New Roman" w:cs="Times New Roman"/>
          <w:i/>
        </w:rPr>
        <w:t>verba, quibus consensus matrimonialis exprimitur, sunt forma huius sacramenti: non autem benedictio sacerdotis, quae est quoddam sacramentale</w:t>
      </w:r>
      <w:r w:rsidRPr="00796A9D">
        <w:rPr>
          <w:rFonts w:ascii="Times New Roman" w:hAnsi="Times New Roman" w:cs="Times New Roman"/>
        </w:rPr>
        <w:t xml:space="preserve">. Sull’uso di fare benedire gli sposi nel tardo medioevo e sulla citazione delle virtù esemplari della Vergine nelle formule notarili sponsali dell’epoca si rinvia alle osservazioni di </w:t>
      </w:r>
      <w:r w:rsidRPr="00796A9D">
        <w:rPr>
          <w:rFonts w:ascii="Times New Roman" w:hAnsi="Times New Roman" w:cs="Times New Roman"/>
          <w:smallCaps/>
        </w:rPr>
        <w:t>D. Quaglioni</w:t>
      </w:r>
      <w:r w:rsidRPr="00796A9D">
        <w:rPr>
          <w:rFonts w:ascii="Times New Roman" w:hAnsi="Times New Roman" w:cs="Times New Roman"/>
        </w:rPr>
        <w:t xml:space="preserve">, </w:t>
      </w:r>
      <w:r w:rsidRPr="00796A9D">
        <w:rPr>
          <w:rFonts w:ascii="Times New Roman" w:hAnsi="Times New Roman" w:cs="Times New Roman"/>
          <w:i/>
        </w:rPr>
        <w:t>Segni rituali e simboli nuziali nel diritto</w:t>
      </w:r>
      <w:r w:rsidRPr="00796A9D">
        <w:rPr>
          <w:rFonts w:ascii="Times New Roman" w:hAnsi="Times New Roman" w:cs="Times New Roman"/>
        </w:rPr>
        <w:t xml:space="preserve">, in </w:t>
      </w:r>
      <w:r w:rsidRPr="00796A9D">
        <w:rPr>
          <w:rFonts w:ascii="Times New Roman" w:hAnsi="Times New Roman" w:cs="Times New Roman"/>
          <w:i/>
        </w:rPr>
        <w:t>I tribunali del matrimonio (secoli XV-XVIII)</w:t>
      </w:r>
      <w:r w:rsidRPr="00796A9D">
        <w:rPr>
          <w:rFonts w:ascii="Times New Roman" w:hAnsi="Times New Roman" w:cs="Times New Roman"/>
        </w:rPr>
        <w:t xml:space="preserve">, cit., pp.43-63. </w:t>
      </w:r>
    </w:p>
  </w:footnote>
  <w:footnote w:id="759">
    <w:p w14:paraId="1C24BBE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L’aumento dell’importanza della cerimonia pubblica e religiosa dell’inanellamento andrà forse messa anche in rapporto al culto, fiorente nell’epoca di cui trattiamo, per l’anello della Vergine. Nel 1473 la reliquia, conservata nel monastero di Chiusi, fu trafugata da un francescano, che la portò a Perugia, dove venne esposta in una cappella della chiesa di San Francesco. Per ornare degnamente tale cappella fu commissionata a Raffaello la celebre tela dello </w:t>
      </w:r>
      <w:r w:rsidRPr="00475906">
        <w:rPr>
          <w:rFonts w:ascii="Times New Roman" w:hAnsi="Times New Roman" w:cs="Times New Roman"/>
          <w:i/>
        </w:rPr>
        <w:t>Sposalizio della Vergine</w:t>
      </w:r>
      <w:r w:rsidRPr="00796A9D">
        <w:rPr>
          <w:rFonts w:ascii="Times New Roman" w:hAnsi="Times New Roman" w:cs="Times New Roman"/>
        </w:rPr>
        <w:t xml:space="preserve">. Cfr. </w:t>
      </w:r>
      <w:r w:rsidRPr="00796A9D">
        <w:rPr>
          <w:rFonts w:ascii="Times New Roman" w:hAnsi="Times New Roman" w:cs="Times New Roman"/>
          <w:smallCaps/>
        </w:rPr>
        <w:t>S. Seidel Menchi</w:t>
      </w:r>
      <w:r w:rsidRPr="00796A9D">
        <w:rPr>
          <w:rFonts w:ascii="Times New Roman" w:hAnsi="Times New Roman" w:cs="Times New Roman"/>
        </w:rPr>
        <w:t xml:space="preserve">, </w:t>
      </w:r>
      <w:r w:rsidRPr="00796A9D">
        <w:rPr>
          <w:rFonts w:ascii="Times New Roman" w:hAnsi="Times New Roman" w:cs="Times New Roman"/>
          <w:i/>
        </w:rPr>
        <w:t>Cause matrimoniali e iconografia nuziale</w:t>
      </w:r>
      <w:r w:rsidRPr="00796A9D">
        <w:rPr>
          <w:rFonts w:ascii="Times New Roman" w:hAnsi="Times New Roman" w:cs="Times New Roman"/>
        </w:rPr>
        <w:t>, cit., pp. 697-700</w:t>
      </w:r>
      <w:r w:rsidRPr="00796A9D">
        <w:rPr>
          <w:rFonts w:ascii="Times New Roman" w:hAnsi="Times New Roman" w:cs="Times New Roman"/>
          <w:i/>
        </w:rPr>
        <w:t>.</w:t>
      </w:r>
    </w:p>
  </w:footnote>
  <w:footnote w:id="760">
    <w:p w14:paraId="48488440"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1473 la cappella musicale estense contava 14 cantori: 2 fiamminghi, 3 francesi, 3 “garzoni tedeschi”, 2 spagnoli, 4 italiani. Nel medesimo anno era registrato quale maestro di cappella il musicista francese Johannes Brebis, primo a rivestire tale carica a Ferrara. cfr. </w:t>
      </w:r>
      <w:r w:rsidRPr="00796A9D">
        <w:rPr>
          <w:rFonts w:ascii="Times New Roman" w:hAnsi="Times New Roman" w:cs="Times New Roman"/>
          <w:smallCaps/>
        </w:rPr>
        <w:t>L. Lockwood</w:t>
      </w:r>
      <w:r w:rsidRPr="00796A9D">
        <w:rPr>
          <w:rFonts w:ascii="Times New Roman" w:hAnsi="Times New Roman" w:cs="Times New Roman"/>
        </w:rPr>
        <w:t xml:space="preserve">, </w:t>
      </w:r>
      <w:r w:rsidRPr="00796A9D">
        <w:rPr>
          <w:rFonts w:ascii="Times New Roman" w:hAnsi="Times New Roman" w:cs="Times New Roman"/>
          <w:i/>
        </w:rPr>
        <w:t xml:space="preserve">Music in Renaissance Ferrara. </w:t>
      </w:r>
      <w:r w:rsidRPr="00796A9D">
        <w:rPr>
          <w:rFonts w:ascii="Times New Roman" w:hAnsi="Times New Roman" w:cs="Times New Roman"/>
          <w:i/>
          <w:lang w:val="en-US"/>
        </w:rPr>
        <w:t>The Creation of a Music Centre in the Fifteenth Century</w:t>
      </w:r>
      <w:r w:rsidRPr="00796A9D">
        <w:rPr>
          <w:rFonts w:ascii="Times New Roman" w:hAnsi="Times New Roman" w:cs="Times New Roman"/>
          <w:lang w:val="en-US"/>
        </w:rPr>
        <w:t xml:space="preserve">, Oxford, Clarendon Press, 1984, pp. 149-154.  </w:t>
      </w:r>
    </w:p>
  </w:footnote>
  <w:footnote w:id="761">
    <w:p w14:paraId="2106591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vasi e le suppellettili d’oro e d’argento per le nozze di Eleonora furono fusi a Venezia dall’orefice Gherardo da Vicenza. La documentazione in merito a questa committenza è raccolta e discussa in </w:t>
      </w:r>
      <w:r w:rsidRPr="00796A9D">
        <w:rPr>
          <w:rFonts w:ascii="Times New Roman" w:hAnsi="Times New Roman" w:cs="Times New Roman"/>
          <w:smallCaps/>
        </w:rPr>
        <w:t>M. Toffanello</w:t>
      </w:r>
      <w:r w:rsidRPr="00796A9D">
        <w:rPr>
          <w:rFonts w:ascii="Times New Roman" w:hAnsi="Times New Roman" w:cs="Times New Roman"/>
        </w:rPr>
        <w:t xml:space="preserve">, </w:t>
      </w:r>
      <w:r w:rsidRPr="00796A9D">
        <w:rPr>
          <w:rFonts w:ascii="Times New Roman" w:hAnsi="Times New Roman" w:cs="Times New Roman"/>
          <w:i/>
        </w:rPr>
        <w:t>Le arti a Ferrara nel Quattrocento: gli artisti e la corte</w:t>
      </w:r>
      <w:r w:rsidRPr="00796A9D">
        <w:rPr>
          <w:rFonts w:ascii="Times New Roman" w:hAnsi="Times New Roman" w:cs="Times New Roman"/>
        </w:rPr>
        <w:t xml:space="preserve">, Ferrara, Edisai, 2010, pp. 226-233. </w:t>
      </w:r>
    </w:p>
  </w:footnote>
  <w:footnote w:id="762">
    <w:p w14:paraId="0B9509B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Appendice III</w:t>
      </w:r>
      <w:r w:rsidRPr="00796A9D">
        <w:rPr>
          <w:rFonts w:ascii="Times New Roman" w:hAnsi="Times New Roman" w:cs="Times New Roman"/>
        </w:rPr>
        <w:t xml:space="preserve">, documento 4. </w:t>
      </w:r>
    </w:p>
  </w:footnote>
  <w:footnote w:id="763">
    <w:p w14:paraId="6FA2B86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L’indicazione della celebrazione della missa </w:t>
      </w:r>
      <w:r w:rsidRPr="00796A9D">
        <w:rPr>
          <w:rFonts w:ascii="Times New Roman" w:hAnsi="Times New Roman" w:cs="Times New Roman"/>
          <w:i/>
        </w:rPr>
        <w:t>pro sponso et sponsa</w:t>
      </w:r>
      <w:r w:rsidRPr="00796A9D">
        <w:rPr>
          <w:rFonts w:ascii="Times New Roman" w:hAnsi="Times New Roman" w:cs="Times New Roman"/>
        </w:rPr>
        <w:t xml:space="preserve"> parrebbe ovvia; ma, come visto in precedenza, nelle nozze milanesi del 1493 di Bianca Maria Sforza e in quelle napoletane del 1477 di Giovanna d’Aragona l’officiante cantò invece quella </w:t>
      </w:r>
      <w:r w:rsidRPr="00796A9D">
        <w:rPr>
          <w:rFonts w:ascii="Times New Roman" w:hAnsi="Times New Roman" w:cs="Times New Roman"/>
          <w:i/>
        </w:rPr>
        <w:t>de Spiritu Sancto</w:t>
      </w:r>
      <w:r w:rsidRPr="00796A9D">
        <w:rPr>
          <w:rFonts w:ascii="Times New Roman" w:hAnsi="Times New Roman" w:cs="Times New Roman"/>
        </w:rPr>
        <w:t xml:space="preserve">. In entrambi i casi si trattò di due messe dell’incoronazione, l’una dell’imperatrice e l’altra della regina di Napoli, ma il </w:t>
      </w:r>
      <w:r w:rsidRPr="00796A9D">
        <w:rPr>
          <w:rFonts w:ascii="Times New Roman" w:hAnsi="Times New Roman" w:cs="Times New Roman"/>
          <w:i/>
        </w:rPr>
        <w:t>Pontificalem romanum</w:t>
      </w:r>
      <w:r w:rsidRPr="00796A9D">
        <w:rPr>
          <w:rFonts w:ascii="Times New Roman" w:hAnsi="Times New Roman" w:cs="Times New Roman"/>
        </w:rPr>
        <w:t xml:space="preserve"> all’epoca in vigore non prevedeva nell’</w:t>
      </w:r>
      <w:r w:rsidRPr="00796A9D">
        <w:rPr>
          <w:rFonts w:ascii="Times New Roman" w:hAnsi="Times New Roman" w:cs="Times New Roman"/>
          <w:i/>
        </w:rPr>
        <w:t xml:space="preserve">Ordo de benedictione et coronatione Reginae </w:t>
      </w:r>
      <w:r w:rsidRPr="00796A9D">
        <w:rPr>
          <w:rFonts w:ascii="Times New Roman" w:hAnsi="Times New Roman" w:cs="Times New Roman"/>
        </w:rPr>
        <w:t xml:space="preserve">la celebrazione di tale messa, che fu forse riservata alle principesse come ulteriore segno di onore. </w:t>
      </w:r>
    </w:p>
  </w:footnote>
  <w:footnote w:id="764">
    <w:p w14:paraId="508A0C9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Antonio Maria Pico della Mirandola, figlio di Giovan Francesco I e fratello del celebre letterato e filosofo Giovanni, fu Signore di Concordia e apprezzato capitano di ventura. Cfr. </w:t>
      </w:r>
      <w:r w:rsidRPr="00796A9D">
        <w:rPr>
          <w:rFonts w:ascii="Times New Roman" w:hAnsi="Times New Roman" w:cs="Times New Roman"/>
          <w:smallCaps/>
        </w:rPr>
        <w:t>F. Bacchelli</w:t>
      </w:r>
      <w:r w:rsidRPr="00796A9D">
        <w:rPr>
          <w:rFonts w:ascii="Times New Roman" w:hAnsi="Times New Roman" w:cs="Times New Roman"/>
        </w:rPr>
        <w:t xml:space="preserve">, s.v. </w:t>
      </w:r>
      <w:r w:rsidRPr="00796A9D">
        <w:rPr>
          <w:rFonts w:ascii="Times New Roman" w:hAnsi="Times New Roman" w:cs="Times New Roman"/>
          <w:i/>
        </w:rPr>
        <w:t>Pico, Giovanni</w:t>
      </w:r>
      <w:r w:rsidRPr="00796A9D">
        <w:rPr>
          <w:rFonts w:ascii="Times New Roman" w:hAnsi="Times New Roman" w:cs="Times New Roman"/>
        </w:rPr>
        <w:t xml:space="preserve">, DBI, 2015, vol. LXXXIII, p. 274. </w:t>
      </w:r>
    </w:p>
  </w:footnote>
  <w:footnote w:id="765">
    <w:p w14:paraId="5B127C6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di Sacromoro Sacromori, datata 25 maggio 1477, si legge in </w:t>
      </w:r>
      <w:r w:rsidRPr="00796A9D">
        <w:rPr>
          <w:rFonts w:ascii="Times New Roman" w:hAnsi="Times New Roman" w:cs="Times New Roman"/>
          <w:smallCaps/>
        </w:rPr>
        <w:t>P.D. Pasolini</w:t>
      </w:r>
      <w:r w:rsidRPr="00796A9D">
        <w:rPr>
          <w:rFonts w:ascii="Times New Roman" w:hAnsi="Times New Roman" w:cs="Times New Roman"/>
        </w:rPr>
        <w:t xml:space="preserve">, </w:t>
      </w:r>
      <w:r w:rsidRPr="00796A9D">
        <w:rPr>
          <w:rFonts w:ascii="Times New Roman" w:hAnsi="Times New Roman" w:cs="Times New Roman"/>
          <w:i/>
        </w:rPr>
        <w:t>Caterina Sforza</w:t>
      </w:r>
      <w:r w:rsidRPr="00796A9D">
        <w:rPr>
          <w:rFonts w:ascii="Times New Roman" w:hAnsi="Times New Roman" w:cs="Times New Roman"/>
        </w:rPr>
        <w:t xml:space="preserve">, cit., vol. III, p. 52. Essa specifica anche come la benedizione alla sposa si sarebbe dovuta svolgere nella Sala del Pappagallo, ma inaspettatamente il papa preferì compierla nella vicina cappella di </w:t>
      </w:r>
      <w:r>
        <w:rPr>
          <w:rFonts w:ascii="Times New Roman" w:hAnsi="Times New Roman" w:cs="Times New Roman"/>
        </w:rPr>
        <w:t>S</w:t>
      </w:r>
      <w:r w:rsidRPr="00796A9D">
        <w:rPr>
          <w:rFonts w:ascii="Times New Roman" w:hAnsi="Times New Roman" w:cs="Times New Roman"/>
        </w:rPr>
        <w:t xml:space="preserve">an Pietro. </w:t>
      </w:r>
    </w:p>
  </w:footnote>
  <w:footnote w:id="766">
    <w:p w14:paraId="6F3C9E4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56. </w:t>
      </w:r>
    </w:p>
  </w:footnote>
  <w:footnote w:id="767">
    <w:p w14:paraId="03907EC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Nel Quattrocento l’ordine dello </w:t>
      </w:r>
      <w:r>
        <w:rPr>
          <w:rFonts w:ascii="Times New Roman" w:hAnsi="Times New Roman" w:cs="Times New Roman"/>
        </w:rPr>
        <w:t>S</w:t>
      </w:r>
      <w:r w:rsidRPr="00796A9D">
        <w:rPr>
          <w:rFonts w:ascii="Times New Roman" w:hAnsi="Times New Roman" w:cs="Times New Roman"/>
        </w:rPr>
        <w:t>peron d’</w:t>
      </w:r>
      <w:r>
        <w:rPr>
          <w:rFonts w:ascii="Times New Roman" w:hAnsi="Times New Roman" w:cs="Times New Roman"/>
        </w:rPr>
        <w:t>O</w:t>
      </w:r>
      <w:r w:rsidRPr="00796A9D">
        <w:rPr>
          <w:rFonts w:ascii="Times New Roman" w:hAnsi="Times New Roman" w:cs="Times New Roman"/>
        </w:rPr>
        <w:t xml:space="preserve">ro o della Milizia Aurata era abitualmente assegnato agli ambasciatori veneziani che terminavano la loro residenza presso la Santa Sede, nel corso delle cerimonie di congedo. Il rito d’investitura è trasmesso da </w:t>
      </w:r>
      <w:r w:rsidRPr="00796A9D">
        <w:rPr>
          <w:rFonts w:ascii="Times New Roman" w:hAnsi="Times New Roman" w:cs="Times New Roman"/>
          <w:i/>
        </w:rPr>
        <w:t>Il Pontificalis Liber di Agostino Patrizi Piccolomini e Giovanni Burcardo (1485)</w:t>
      </w:r>
      <w:r w:rsidRPr="00796A9D">
        <w:rPr>
          <w:rFonts w:ascii="Times New Roman" w:hAnsi="Times New Roman" w:cs="Times New Roman"/>
        </w:rPr>
        <w:t xml:space="preserve">, cit., pp. 312-314. Sulla secolare storia dell’ordine, concesso anche dagli imperatori e che è ancora conferito dai pontefici romani si veda </w:t>
      </w:r>
      <w:r w:rsidRPr="00796A9D">
        <w:rPr>
          <w:rFonts w:ascii="Times New Roman" w:hAnsi="Times New Roman" w:cs="Times New Roman"/>
          <w:smallCaps/>
        </w:rPr>
        <w:t>M. Volpe</w:t>
      </w:r>
      <w:r w:rsidRPr="00796A9D">
        <w:rPr>
          <w:rFonts w:ascii="Times New Roman" w:hAnsi="Times New Roman" w:cs="Times New Roman"/>
        </w:rPr>
        <w:t xml:space="preserve">, </w:t>
      </w:r>
      <w:r w:rsidRPr="00796A9D">
        <w:rPr>
          <w:rFonts w:ascii="Times New Roman" w:hAnsi="Times New Roman" w:cs="Times New Roman"/>
          <w:i/>
        </w:rPr>
        <w:t>Segni d’Onore. Compendio degli ordini cavallereschi e delle onorificenze d’Italia, d’Europa e del resto del Mondo</w:t>
      </w:r>
      <w:r w:rsidRPr="00796A9D">
        <w:rPr>
          <w:rFonts w:ascii="Times New Roman" w:hAnsi="Times New Roman" w:cs="Times New Roman"/>
        </w:rPr>
        <w:t xml:space="preserve">, Roma, Eurografica, 2004, vol. I, p. 95-96; R. </w:t>
      </w:r>
      <w:r w:rsidRPr="00796A9D">
        <w:rPr>
          <w:rFonts w:ascii="Times New Roman" w:hAnsi="Times New Roman" w:cs="Times New Roman"/>
          <w:smallCaps/>
        </w:rPr>
        <w:t>Cuomo</w:t>
      </w:r>
      <w:r w:rsidRPr="00796A9D">
        <w:rPr>
          <w:rFonts w:ascii="Times New Roman" w:hAnsi="Times New Roman" w:cs="Times New Roman"/>
        </w:rPr>
        <w:t xml:space="preserve">, </w:t>
      </w:r>
      <w:r w:rsidRPr="00796A9D">
        <w:rPr>
          <w:rFonts w:ascii="Times New Roman" w:hAnsi="Times New Roman" w:cs="Times New Roman"/>
          <w:i/>
        </w:rPr>
        <w:t>Ordini cavallereschi antichi e moderni</w:t>
      </w:r>
      <w:r w:rsidRPr="00796A9D">
        <w:rPr>
          <w:rFonts w:ascii="Times New Roman" w:hAnsi="Times New Roman" w:cs="Times New Roman"/>
        </w:rPr>
        <w:t xml:space="preserve">, Bologna, Forni, vol. II, pp. 746-751. </w:t>
      </w:r>
    </w:p>
  </w:footnote>
  <w:footnote w:id="768">
    <w:p w14:paraId="595C7DA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w:t>
      </w:r>
      <w:r w:rsidRPr="00796A9D">
        <w:rPr>
          <w:rFonts w:ascii="Times New Roman" w:hAnsi="Times New Roman" w:cs="Times New Roman"/>
          <w:smallCaps/>
        </w:rPr>
        <w:t>S. Degli Arienti</w:t>
      </w:r>
      <w:r w:rsidRPr="00796A9D">
        <w:rPr>
          <w:rFonts w:ascii="Times New Roman" w:hAnsi="Times New Roman" w:cs="Times New Roman"/>
        </w:rPr>
        <w:t xml:space="preserve">, </w:t>
      </w:r>
      <w:r w:rsidRPr="00796A9D">
        <w:rPr>
          <w:rFonts w:ascii="Times New Roman" w:hAnsi="Times New Roman" w:cs="Times New Roman"/>
          <w:i/>
        </w:rPr>
        <w:t>Hymeneus Bentivolus</w:t>
      </w:r>
      <w:r w:rsidRPr="00796A9D">
        <w:rPr>
          <w:rFonts w:ascii="Times New Roman" w:hAnsi="Times New Roman" w:cs="Times New Roman"/>
        </w:rPr>
        <w:t xml:space="preserve">, cit., XXI, p. 71. Discendente di una famiglia aristocratica di parte guelfa, Bernardino Gozzadini fu tra i primi sostenitori dell’ascesa di Giovanni Bentivoglio, ottenendo in tal modo diverse magistrature cittadine, tra cui l’elezione nel consiglio degli Anziani, cfr. </w:t>
      </w:r>
      <w:r w:rsidRPr="00796A9D">
        <w:rPr>
          <w:rFonts w:ascii="Times New Roman" w:hAnsi="Times New Roman" w:cs="Times New Roman"/>
          <w:smallCaps/>
        </w:rPr>
        <w:t>C. Ciuccarelli</w:t>
      </w:r>
      <w:r w:rsidRPr="00796A9D">
        <w:rPr>
          <w:rFonts w:ascii="Times New Roman" w:hAnsi="Times New Roman" w:cs="Times New Roman"/>
        </w:rPr>
        <w:t xml:space="preserve">, s.v, </w:t>
      </w:r>
      <w:r w:rsidRPr="00796A9D">
        <w:rPr>
          <w:rFonts w:ascii="Times New Roman" w:hAnsi="Times New Roman" w:cs="Times New Roman"/>
          <w:i/>
        </w:rPr>
        <w:t>Gozzadini, Bernardino</w:t>
      </w:r>
      <w:r w:rsidRPr="00796A9D">
        <w:rPr>
          <w:rFonts w:ascii="Times New Roman" w:hAnsi="Times New Roman" w:cs="Times New Roman"/>
        </w:rPr>
        <w:t>, DBI, 2002, vol. LVIII, pp. 189-190.</w:t>
      </w:r>
    </w:p>
  </w:footnote>
  <w:footnote w:id="769">
    <w:p w14:paraId="4C4E001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xml:space="preserve">, cit., pp. 281. Aldobrandino Turchi, detto Tegrino, fu gentiluomo del duca, il quale lo inviò come ambasciatore alla corte imperiale nel 1496. Nel 1498 acquistò il palazzo ferrarese che oggi porta il suo nome, sito in via degli Angeli. Francesco Castelli, era figlio di Girolamo e suo successore nell’ incarico di medico di corte. Cfr. </w:t>
      </w:r>
      <w:r w:rsidRPr="00796A9D">
        <w:rPr>
          <w:rFonts w:ascii="Times New Roman" w:hAnsi="Times New Roman" w:cs="Times New Roman"/>
          <w:smallCaps/>
        </w:rPr>
        <w:t>T. Tuohy</w:t>
      </w:r>
      <w:r w:rsidRPr="00796A9D">
        <w:rPr>
          <w:rFonts w:ascii="Times New Roman" w:hAnsi="Times New Roman" w:cs="Times New Roman"/>
        </w:rPr>
        <w:t xml:space="preserve">, </w:t>
      </w:r>
      <w:r w:rsidRPr="00796A9D">
        <w:rPr>
          <w:rFonts w:ascii="Times New Roman" w:hAnsi="Times New Roman" w:cs="Times New Roman"/>
          <w:i/>
        </w:rPr>
        <w:t xml:space="preserve">Herculean Ferrara, </w:t>
      </w:r>
      <w:r w:rsidRPr="00796A9D">
        <w:rPr>
          <w:rFonts w:ascii="Times New Roman" w:hAnsi="Times New Roman" w:cs="Times New Roman"/>
        </w:rPr>
        <w:t>cit.,</w:t>
      </w:r>
      <w:r w:rsidRPr="00796A9D">
        <w:rPr>
          <w:rFonts w:ascii="Times New Roman" w:hAnsi="Times New Roman" w:cs="Times New Roman"/>
          <w:i/>
        </w:rPr>
        <w:t xml:space="preserve"> </w:t>
      </w:r>
      <w:r w:rsidRPr="00796A9D">
        <w:rPr>
          <w:rFonts w:ascii="Times New Roman" w:hAnsi="Times New Roman" w:cs="Times New Roman"/>
        </w:rPr>
        <w:t xml:space="preserve">p. 338. </w:t>
      </w:r>
    </w:p>
  </w:footnote>
  <w:footnote w:id="770">
    <w:p w14:paraId="6766F6B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xml:space="preserve">, cit., p. 284. Una dettagliata descrizione della cerimonia è data anche da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xml:space="preserve">, cit., p. 328. </w:t>
      </w:r>
    </w:p>
  </w:footnote>
  <w:footnote w:id="771">
    <w:p w14:paraId="7414457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M. Sanu</w:t>
      </w:r>
      <w:r>
        <w:rPr>
          <w:rFonts w:ascii="Times New Roman" w:hAnsi="Times New Roman" w:cs="Times New Roman"/>
          <w:smallCaps/>
        </w:rPr>
        <w:t>t</w:t>
      </w:r>
      <w:r w:rsidRPr="00796A9D">
        <w:rPr>
          <w:rFonts w:ascii="Times New Roman" w:hAnsi="Times New Roman" w:cs="Times New Roman"/>
          <w:smallCaps/>
        </w:rPr>
        <w:t>o</w:t>
      </w:r>
      <w:r w:rsidRPr="00796A9D">
        <w:rPr>
          <w:rFonts w:ascii="Times New Roman" w:hAnsi="Times New Roman" w:cs="Times New Roman"/>
        </w:rPr>
        <w:t xml:space="preserve">, </w:t>
      </w:r>
      <w:r w:rsidRPr="00796A9D">
        <w:rPr>
          <w:rFonts w:ascii="Times New Roman" w:hAnsi="Times New Roman" w:cs="Times New Roman"/>
          <w:i/>
        </w:rPr>
        <w:t>I Diarii</w:t>
      </w:r>
      <w:r w:rsidRPr="00796A9D">
        <w:rPr>
          <w:rFonts w:ascii="Times New Roman" w:hAnsi="Times New Roman" w:cs="Times New Roman"/>
        </w:rPr>
        <w:t xml:space="preserve">, cit., vol. IV, p. 284: «[La bolla] era de questa sententia: che essendo consueto de li Summi Pontifici benedire ogni anno la nocte di Natale una spata et uno capello, et donarlo a qualche principe christiano benemerito de la Chiesa, havea electo questo anno la nobeltà sua».   </w:t>
      </w:r>
    </w:p>
  </w:footnote>
  <w:footnote w:id="772">
    <w:p w14:paraId="48BAB94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veda in proposito l’ottima sintesi sulle sorti del ducato di Bari in epoca sforzesca offerta in </w:t>
      </w:r>
      <w:r w:rsidRPr="00796A9D">
        <w:rPr>
          <w:rFonts w:ascii="Times New Roman" w:hAnsi="Times New Roman" w:cs="Times New Roman"/>
          <w:smallCaps/>
        </w:rPr>
        <w:t>V.A. Melchiorre</w:t>
      </w:r>
      <w:r w:rsidRPr="00796A9D">
        <w:rPr>
          <w:rFonts w:ascii="Times New Roman" w:hAnsi="Times New Roman" w:cs="Times New Roman"/>
        </w:rPr>
        <w:t xml:space="preserve">, </w:t>
      </w:r>
      <w:r w:rsidRPr="00796A9D">
        <w:rPr>
          <w:rFonts w:ascii="Times New Roman" w:hAnsi="Times New Roman" w:cs="Times New Roman"/>
          <w:i/>
        </w:rPr>
        <w:t>Il ducato sforzesco di Bari</w:t>
      </w:r>
      <w:r w:rsidRPr="00796A9D">
        <w:rPr>
          <w:rFonts w:ascii="Times New Roman" w:hAnsi="Times New Roman" w:cs="Times New Roman"/>
        </w:rPr>
        <w:t xml:space="preserve">, Bari, Adda, 1990. </w:t>
      </w:r>
    </w:p>
  </w:footnote>
  <w:footnote w:id="773">
    <w:p w14:paraId="3E62D62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Appendice III</w:t>
      </w:r>
      <w:r w:rsidRPr="00796A9D">
        <w:rPr>
          <w:rFonts w:ascii="Times New Roman" w:hAnsi="Times New Roman" w:cs="Times New Roman"/>
        </w:rPr>
        <w:t xml:space="preserve">, documento 3, per la concessione di titoli nobiliari da parte di Ferrante d’Aragona durante le cerimonie nuziali di Ippolita Sforza e Alfonso di Calabria. </w:t>
      </w:r>
    </w:p>
  </w:footnote>
  <w:footnote w:id="774">
    <w:p w14:paraId="70BE453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Magnanimo fu il primo sovrano di un principato estero a essere elevato alla dignità cavalleresca del Toson d’oro. </w:t>
      </w:r>
      <w:r w:rsidRPr="00796A9D">
        <w:rPr>
          <w:rFonts w:ascii="Times New Roman" w:hAnsi="Times New Roman" w:cs="Times New Roman"/>
          <w:lang w:val="en-US"/>
        </w:rPr>
        <w:t xml:space="preserve">Cfr.  M. BELOZERSKAYA, </w:t>
      </w:r>
      <w:r w:rsidRPr="00796A9D">
        <w:rPr>
          <w:rFonts w:ascii="Times New Roman" w:hAnsi="Times New Roman" w:cs="Times New Roman"/>
          <w:i/>
          <w:lang w:val="en-US"/>
        </w:rPr>
        <w:t>Rethinking the Renaissance. Burgundian Art Across Europe</w:t>
      </w:r>
      <w:r w:rsidRPr="00796A9D">
        <w:rPr>
          <w:rFonts w:ascii="Times New Roman" w:hAnsi="Times New Roman" w:cs="Times New Roman"/>
          <w:lang w:val="en-US"/>
        </w:rPr>
        <w:t xml:space="preserve">, Cambridge, Cambridge University Press, 2002, pp. 118-123. </w:t>
      </w:r>
      <w:r w:rsidRPr="00796A9D">
        <w:rPr>
          <w:rFonts w:ascii="Times New Roman" w:hAnsi="Times New Roman" w:cs="Times New Roman"/>
        </w:rPr>
        <w:t xml:space="preserve">A questo studio si rinvia anche per considerazioni in merito ai rapporti diplomatici intercorsi tra le corti di Napoli e di Borgogna. </w:t>
      </w:r>
    </w:p>
  </w:footnote>
  <w:footnote w:id="775">
    <w:p w14:paraId="4E72783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Cronica di Napoli di Notar Giacomo</w:t>
      </w:r>
      <w:r w:rsidRPr="00796A9D">
        <w:rPr>
          <w:rFonts w:ascii="Times New Roman" w:hAnsi="Times New Roman" w:cs="Times New Roman"/>
        </w:rPr>
        <w:t xml:space="preserve">, cit., pp. 136-137. Si veda inoltre </w:t>
      </w:r>
      <w:r w:rsidRPr="00796A9D">
        <w:rPr>
          <w:rFonts w:ascii="Times New Roman" w:hAnsi="Times New Roman" w:cs="Times New Roman"/>
          <w:i/>
        </w:rPr>
        <w:t>Il Pontificalis Liber di Agostino Patrizi Piccolomini e Giovanni Burcardo (1485)</w:t>
      </w:r>
      <w:r w:rsidRPr="00796A9D">
        <w:rPr>
          <w:rFonts w:ascii="Times New Roman" w:hAnsi="Times New Roman" w:cs="Times New Roman"/>
        </w:rPr>
        <w:t>, cit., p. 528 per l’</w:t>
      </w:r>
      <w:r w:rsidRPr="00796A9D">
        <w:rPr>
          <w:rFonts w:ascii="Times New Roman" w:hAnsi="Times New Roman" w:cs="Times New Roman"/>
          <w:i/>
        </w:rPr>
        <w:t>Ordo de benedictione et coronatione reginae</w:t>
      </w:r>
      <w:r w:rsidRPr="00796A9D">
        <w:rPr>
          <w:rFonts w:ascii="Times New Roman" w:hAnsi="Times New Roman" w:cs="Times New Roman"/>
        </w:rPr>
        <w:t>, corrispondente alla descrizione della funzione per Giovanna d’Aragona.</w:t>
      </w:r>
    </w:p>
  </w:footnote>
  <w:footnote w:id="776">
    <w:p w14:paraId="187BC8F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 descrizione di queste cerimonie pubbliche, meno dettagliata ma che conferma le notizie di Notar Giacomo, è trasmessa da </w:t>
      </w:r>
      <w:r w:rsidRPr="00796A9D">
        <w:rPr>
          <w:rFonts w:ascii="Times New Roman" w:hAnsi="Times New Roman" w:cs="Times New Roman"/>
          <w:smallCaps/>
        </w:rPr>
        <w:t>G. Passero</w:t>
      </w:r>
      <w:r w:rsidRPr="00796A9D">
        <w:rPr>
          <w:rFonts w:ascii="Times New Roman" w:hAnsi="Times New Roman" w:cs="Times New Roman"/>
        </w:rPr>
        <w:t xml:space="preserve">, </w:t>
      </w:r>
      <w:r w:rsidRPr="00796A9D">
        <w:rPr>
          <w:rFonts w:ascii="Times New Roman" w:hAnsi="Times New Roman" w:cs="Times New Roman"/>
          <w:i/>
        </w:rPr>
        <w:t>Storie in forma di Giornali</w:t>
      </w:r>
      <w:r w:rsidRPr="00796A9D">
        <w:rPr>
          <w:rFonts w:ascii="Times New Roman" w:hAnsi="Times New Roman" w:cs="Times New Roman"/>
        </w:rPr>
        <w:t xml:space="preserve">, Napoli, Orsino, 1785, p. 35.  </w:t>
      </w:r>
    </w:p>
  </w:footnote>
  <w:footnote w:id="777">
    <w:p w14:paraId="5FD8F7B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similarità tra l’addobbo urbano e quello della sala come elemento di continuità tra i due momenti del trionfo e del banchetto è analizzato in </w:t>
      </w:r>
      <w:r w:rsidRPr="00796A9D">
        <w:rPr>
          <w:rFonts w:ascii="Times New Roman" w:hAnsi="Times New Roman" w:cs="Times New Roman"/>
          <w:smallCaps/>
        </w:rPr>
        <w:t>E. Garbero Zorzi</w:t>
      </w:r>
      <w:r w:rsidRPr="00796A9D">
        <w:rPr>
          <w:rFonts w:ascii="Times New Roman" w:hAnsi="Times New Roman" w:cs="Times New Roman"/>
        </w:rPr>
        <w:t xml:space="preserve">, </w:t>
      </w:r>
      <w:r w:rsidRPr="00796A9D">
        <w:rPr>
          <w:rFonts w:ascii="Times New Roman" w:hAnsi="Times New Roman" w:cs="Times New Roman"/>
          <w:i/>
        </w:rPr>
        <w:t>Le forme dello spettacolo in due città-stato del Rinascimento</w:t>
      </w:r>
      <w:r w:rsidRPr="00796A9D">
        <w:rPr>
          <w:rFonts w:ascii="Times New Roman" w:hAnsi="Times New Roman" w:cs="Times New Roman"/>
        </w:rPr>
        <w:t xml:space="preserve">, cit., p. 278-279.   </w:t>
      </w:r>
    </w:p>
  </w:footnote>
  <w:footnote w:id="778">
    <w:p w14:paraId="21A4988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G.S. Arienti</w:t>
      </w:r>
      <w:r w:rsidRPr="00796A9D">
        <w:rPr>
          <w:rFonts w:ascii="Times New Roman" w:hAnsi="Times New Roman" w:cs="Times New Roman"/>
        </w:rPr>
        <w:t xml:space="preserve">, </w:t>
      </w:r>
      <w:r w:rsidRPr="00796A9D">
        <w:rPr>
          <w:rFonts w:ascii="Times New Roman" w:hAnsi="Times New Roman" w:cs="Times New Roman"/>
          <w:i/>
        </w:rPr>
        <w:t>Hymeneus Bentivolus</w:t>
      </w:r>
      <w:r w:rsidRPr="00796A9D">
        <w:rPr>
          <w:rFonts w:ascii="Times New Roman" w:hAnsi="Times New Roman" w:cs="Times New Roman"/>
        </w:rPr>
        <w:t xml:space="preserve">, cit., VII, p. 41. Anche la sala del banchetto di Roberto Malatesta ed Elisabetta da Montefeltro fu rivestita di arazzi. Gaspare Broglio, dopo aver detto che sulle sue pareti «erano figurati gran parte delli famosi re e imperadori e baroni e cavalieri de cristiani e pagani e d’altri valenti homini di scientia che sonno e stati al tempo anticho, et similemente tucte le famose donne […]» chiariva infatti «perché intendiate voi legitori si me domandate in che forma era figurata la sopradicta parte, rispondo che erano le dicte storie sulli panni d’arazzi tucti composti d’oro e di seta, che non fo mai veduto el più nobile lavoro, né di maggiore pregio». Cfr. A. </w:t>
      </w:r>
      <w:r w:rsidRPr="00796A9D">
        <w:rPr>
          <w:rFonts w:ascii="Times New Roman" w:hAnsi="Times New Roman" w:cs="Times New Roman"/>
          <w:smallCaps/>
        </w:rPr>
        <w:t>Turchini</w:t>
      </w:r>
      <w:r w:rsidRPr="00796A9D">
        <w:rPr>
          <w:rFonts w:ascii="Times New Roman" w:hAnsi="Times New Roman" w:cs="Times New Roman"/>
        </w:rPr>
        <w:t xml:space="preserve">, </w:t>
      </w:r>
      <w:r w:rsidRPr="00796A9D">
        <w:rPr>
          <w:rFonts w:ascii="Times New Roman" w:hAnsi="Times New Roman" w:cs="Times New Roman"/>
          <w:i/>
        </w:rPr>
        <w:t xml:space="preserve">La signoria di Roberto Malatesta, </w:t>
      </w:r>
      <w:r w:rsidRPr="00796A9D">
        <w:rPr>
          <w:rFonts w:ascii="Times New Roman" w:hAnsi="Times New Roman" w:cs="Times New Roman"/>
        </w:rPr>
        <w:t xml:space="preserve">cit., p. 442. </w:t>
      </w:r>
    </w:p>
  </w:footnote>
  <w:footnote w:id="779">
    <w:p w14:paraId="427C337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Questo addobbo floreale della sala, che nel corso del banchetto fa da sfondo alle comparse delle vivande servite da ninfe, da fauni, da messaggeri divini, da Orfeo e che al termine del pranzo rimarrà quale fondale delle recite di egloghe e rappresentazioni allegoriche potrebbe in qualche modo avere anticipato la nascita della scena boschereccia. Cfr. </w:t>
      </w:r>
      <w:r w:rsidRPr="00796A9D">
        <w:rPr>
          <w:rFonts w:ascii="Times New Roman" w:hAnsi="Times New Roman" w:cs="Times New Roman"/>
          <w:smallCaps/>
        </w:rPr>
        <w:t>M. Pieri</w:t>
      </w:r>
      <w:r w:rsidRPr="00796A9D">
        <w:rPr>
          <w:rFonts w:ascii="Times New Roman" w:hAnsi="Times New Roman" w:cs="Times New Roman"/>
        </w:rPr>
        <w:t xml:space="preserve">, </w:t>
      </w:r>
      <w:r w:rsidRPr="00796A9D">
        <w:rPr>
          <w:rFonts w:ascii="Times New Roman" w:hAnsi="Times New Roman" w:cs="Times New Roman"/>
          <w:i/>
        </w:rPr>
        <w:t>La nascita del teatro moderno in Italia tra XV e XVI secolo</w:t>
      </w:r>
      <w:r w:rsidRPr="00796A9D">
        <w:rPr>
          <w:rFonts w:ascii="Times New Roman" w:hAnsi="Times New Roman" w:cs="Times New Roman"/>
        </w:rPr>
        <w:t xml:space="preserve">, pp. 32-33. </w:t>
      </w:r>
    </w:p>
  </w:footnote>
  <w:footnote w:id="780">
    <w:p w14:paraId="31CFD79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soggetto della tavola, insolito nel contesto della pittura nuziale, è ispirato a un episodio narrato da Livio e da Valerio Massimo, nel quale Scipione mostrò la propria continenza rifiutando l’offerta da parte dei suoi soldati di una giovane prigioniera di rara bellezza, che volle invece fosse resa al suo promesso sposo, Aluccio principe dei celtiberi, che riconoscente raccolse le sue truppe per aiutare i romani nella conquista di Cartagine. L’assedio della città è dipinto, infatti, alla destra della scena sponsale. L’opera si assegna a un seguace dello Scheggia, ed è databile agli anni Sessanta del XV secolo. Se ne veda la scheda descrittiva in </w:t>
      </w:r>
      <w:r w:rsidRPr="00796A9D">
        <w:rPr>
          <w:rFonts w:ascii="Times New Roman" w:hAnsi="Times New Roman" w:cs="Times New Roman"/>
          <w:smallCaps/>
        </w:rPr>
        <w:t>C. Cambel</w:t>
      </w:r>
      <w:r w:rsidRPr="00796A9D">
        <w:rPr>
          <w:rFonts w:ascii="Times New Roman" w:hAnsi="Times New Roman" w:cs="Times New Roman"/>
        </w:rPr>
        <w:t xml:space="preserve">, </w:t>
      </w:r>
      <w:r w:rsidRPr="00796A9D">
        <w:rPr>
          <w:rFonts w:ascii="Times New Roman" w:hAnsi="Times New Roman" w:cs="Times New Roman"/>
          <w:i/>
        </w:rPr>
        <w:t>Love and Marriage in Renaissance Florence. The Courtauld Wedding Chest</w:t>
      </w:r>
      <w:r w:rsidRPr="00796A9D">
        <w:rPr>
          <w:rFonts w:ascii="Times New Roman" w:hAnsi="Times New Roman" w:cs="Times New Roman"/>
        </w:rPr>
        <w:t xml:space="preserve">, Catalogo della mostra (Londra, 12 febbraio-17 maggio 2009), London, Holberton, 2009, pp. 92-95. </w:t>
      </w:r>
    </w:p>
  </w:footnote>
  <w:footnote w:id="781">
    <w:p w14:paraId="0D8F8B63"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Se ne veda la scheda descrittiva in </w:t>
      </w:r>
      <w:r w:rsidRPr="00796A9D">
        <w:rPr>
          <w:rFonts w:ascii="Times New Roman" w:hAnsi="Times New Roman" w:cs="Times New Roman"/>
          <w:smallCaps/>
          <w:lang w:val="en-US"/>
        </w:rPr>
        <w:t>D.L. Krohn</w:t>
      </w:r>
      <w:r w:rsidRPr="00796A9D">
        <w:rPr>
          <w:rFonts w:ascii="Times New Roman" w:hAnsi="Times New Roman" w:cs="Times New Roman"/>
          <w:lang w:val="en-US"/>
        </w:rPr>
        <w:t xml:space="preserve">, </w:t>
      </w:r>
      <w:r w:rsidRPr="00796A9D">
        <w:rPr>
          <w:rFonts w:ascii="Times New Roman" w:hAnsi="Times New Roman" w:cs="Times New Roman"/>
          <w:i/>
          <w:lang w:val="en-US"/>
        </w:rPr>
        <w:t>Art and Love in Renaissance Italy</w:t>
      </w:r>
      <w:r w:rsidRPr="00796A9D">
        <w:rPr>
          <w:rFonts w:ascii="Times New Roman" w:hAnsi="Times New Roman" w:cs="Times New Roman"/>
          <w:lang w:val="en-US"/>
        </w:rPr>
        <w:t xml:space="preserve">, edited by A. Bayer, New York, Metropolitan Museum of Art, 2008, pp. 133–134. </w:t>
      </w:r>
    </w:p>
  </w:footnote>
  <w:footnote w:id="782">
    <w:p w14:paraId="56E3174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fronte di cassone, messo in relazione con una seconda tavola rappresentante il viaggio di Alatiel per raggiungere il suo sposo, si ispira a una licenziosa novella</w:t>
      </w:r>
      <w:r w:rsidRPr="00796A9D">
        <w:rPr>
          <w:rFonts w:ascii="Times New Roman" w:hAnsi="Times New Roman" w:cs="Times New Roman"/>
          <w:color w:val="FF0000"/>
        </w:rPr>
        <w:t xml:space="preserve"> </w:t>
      </w:r>
      <w:r w:rsidRPr="00796A9D">
        <w:rPr>
          <w:rFonts w:ascii="Times New Roman" w:hAnsi="Times New Roman" w:cs="Times New Roman"/>
        </w:rPr>
        <w:t xml:space="preserve">di Boccaccio ed è databile agli anni 1460-1465. Per la discussione riguardo alla proposizione del suo soggetto iconografico in contesto nuziale rinvio alla scheda curata da Patricia Lurati edita in </w:t>
      </w:r>
      <w:r w:rsidRPr="00796A9D">
        <w:rPr>
          <w:rFonts w:ascii="Times New Roman" w:hAnsi="Times New Roman" w:cs="Times New Roman"/>
          <w:i/>
        </w:rPr>
        <w:t>Virtù d'amore: pittura nuziale nel Quattrocento fiorentino</w:t>
      </w:r>
      <w:r w:rsidRPr="00796A9D">
        <w:rPr>
          <w:rFonts w:ascii="Times New Roman" w:hAnsi="Times New Roman" w:cs="Times New Roman"/>
        </w:rPr>
        <w:t xml:space="preserve">, cit., pp. 192-193. Si osservi inoltre come la presenza sulla tavola principesca del baldacchino potrebbe anche richiamare alla memoria, come osserva Marzia Pieri, l’attraversamento dell’arco trionfale durante l’ingresso. Cfr. </w:t>
      </w:r>
      <w:r w:rsidRPr="00796A9D">
        <w:rPr>
          <w:rFonts w:ascii="Times New Roman" w:hAnsi="Times New Roman" w:cs="Times New Roman"/>
          <w:smallCaps/>
        </w:rPr>
        <w:t>M. Pieri</w:t>
      </w:r>
      <w:r w:rsidRPr="00796A9D">
        <w:rPr>
          <w:rFonts w:ascii="Times New Roman" w:hAnsi="Times New Roman" w:cs="Times New Roman"/>
        </w:rPr>
        <w:t xml:space="preserve">, </w:t>
      </w:r>
      <w:r w:rsidRPr="00796A9D">
        <w:rPr>
          <w:rFonts w:ascii="Times New Roman" w:hAnsi="Times New Roman" w:cs="Times New Roman"/>
          <w:i/>
        </w:rPr>
        <w:t>La nascita del teatro moderno in Italia tra XV e XVI secolo</w:t>
      </w:r>
      <w:r w:rsidRPr="00796A9D">
        <w:rPr>
          <w:rFonts w:ascii="Times New Roman" w:hAnsi="Times New Roman" w:cs="Times New Roman"/>
        </w:rPr>
        <w:t>, p. 33.</w:t>
      </w:r>
    </w:p>
  </w:footnote>
  <w:footnote w:id="783">
    <w:p w14:paraId="6100CF1D"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Il modo nel quale gli elementi decorativi posticci della sala del banchetto potevano delimitare e proteggere uno spazio provvisorio incantato, ma pur sempre minacciato dall’ingresso di presenze di disturbo, è discusso in C. </w:t>
      </w:r>
      <w:r w:rsidRPr="00796A9D">
        <w:rPr>
          <w:rFonts w:ascii="Times New Roman" w:hAnsi="Times New Roman" w:cs="Times New Roman"/>
          <w:smallCaps/>
          <w:sz w:val="20"/>
          <w:szCs w:val="20"/>
        </w:rPr>
        <w:t>Normore</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A Feast for the Eyes. Art, Performance, and Late Medieval Banquet</w:t>
      </w:r>
      <w:r w:rsidRPr="00796A9D">
        <w:rPr>
          <w:rFonts w:ascii="Times New Roman" w:hAnsi="Times New Roman" w:cs="Times New Roman"/>
          <w:sz w:val="20"/>
          <w:szCs w:val="20"/>
        </w:rPr>
        <w:t xml:space="preserve">, Chicago, University of Chicago Press, 2015, pp. 53-55, dove si prendono in considerazione gli ingressi degli </w:t>
      </w:r>
      <w:r w:rsidRPr="00796A9D">
        <w:rPr>
          <w:rFonts w:ascii="Times New Roman" w:hAnsi="Times New Roman" w:cs="Times New Roman"/>
          <w:i/>
          <w:sz w:val="20"/>
          <w:szCs w:val="20"/>
        </w:rPr>
        <w:t>entremets</w:t>
      </w:r>
      <w:r w:rsidRPr="00796A9D">
        <w:rPr>
          <w:rFonts w:ascii="Times New Roman" w:hAnsi="Times New Roman" w:cs="Times New Roman"/>
          <w:sz w:val="20"/>
          <w:szCs w:val="20"/>
        </w:rPr>
        <w:t xml:space="preserve"> del Banchetto del Fagiano, offerto da Filippo il Buono, per segnalare come nel convito fosse possibile il continuo passaggio dal mondo ideale a quello reale, dal quale potevano giungere messaggi capaci di turbare l’equilibrio della festa. L’</w:t>
      </w:r>
      <w:r w:rsidRPr="00796A9D">
        <w:rPr>
          <w:rFonts w:ascii="Times New Roman" w:hAnsi="Times New Roman" w:cs="Times New Roman"/>
          <w:i/>
          <w:sz w:val="20"/>
          <w:szCs w:val="20"/>
        </w:rPr>
        <w:t>entremet</w:t>
      </w:r>
      <w:r w:rsidRPr="00796A9D">
        <w:rPr>
          <w:rFonts w:ascii="Times New Roman" w:hAnsi="Times New Roman" w:cs="Times New Roman"/>
          <w:sz w:val="20"/>
          <w:szCs w:val="20"/>
        </w:rPr>
        <w:t xml:space="preserve"> più importante di questo banchetto borgognone consisteva, ad esempio, nell’ingresso dell’allegoria della Chiesa, che attraversava la sala della corte su un elefante governato da un gigante armato in abito verde e turbante. La Chiesa, prigioniera dei turchi in Terra Santa domandava l’aiuto del principe, che rispondeva giurando di organizzare presto una crociata. Alla sua promessa si univano prontamente i cavalieri dell’ordine del Toson d’Oro. Il passaggio dalla realtà alla finzione, attraverso gli strumenti comunicativi dell’allegoria e della recitazione, trovava dunque nel banchetto uno spazio privilegiato di attuazione, destinato ad avere ricadute sulla condotta della politica estera del ducato.  </w:t>
      </w:r>
    </w:p>
  </w:footnote>
  <w:footnote w:id="784">
    <w:p w14:paraId="771680F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G. Pontano</w:t>
      </w:r>
      <w:r w:rsidRPr="00796A9D">
        <w:rPr>
          <w:rFonts w:ascii="Times New Roman" w:hAnsi="Times New Roman" w:cs="Times New Roman"/>
        </w:rPr>
        <w:t xml:space="preserve">, </w:t>
      </w:r>
      <w:r w:rsidRPr="00796A9D">
        <w:rPr>
          <w:rFonts w:ascii="Times New Roman" w:hAnsi="Times New Roman" w:cs="Times New Roman"/>
          <w:i/>
        </w:rPr>
        <w:t>De conviventia</w:t>
      </w:r>
      <w:r w:rsidRPr="00796A9D">
        <w:rPr>
          <w:rFonts w:ascii="Times New Roman" w:hAnsi="Times New Roman" w:cs="Times New Roman"/>
        </w:rPr>
        <w:t xml:space="preserve">, in </w:t>
      </w:r>
      <w:r w:rsidRPr="00796A9D">
        <w:rPr>
          <w:rFonts w:ascii="Times New Roman" w:hAnsi="Times New Roman" w:cs="Times New Roman"/>
          <w:smallCaps/>
        </w:rPr>
        <w:t>Idem</w:t>
      </w:r>
      <w:r w:rsidRPr="00796A9D">
        <w:rPr>
          <w:rFonts w:ascii="Times New Roman" w:hAnsi="Times New Roman" w:cs="Times New Roman"/>
        </w:rPr>
        <w:t xml:space="preserve">, </w:t>
      </w:r>
      <w:r w:rsidRPr="00796A9D">
        <w:rPr>
          <w:rFonts w:ascii="Times New Roman" w:hAnsi="Times New Roman" w:cs="Times New Roman"/>
          <w:i/>
        </w:rPr>
        <w:t>I libri delle virtù sociali</w:t>
      </w:r>
      <w:r w:rsidRPr="00796A9D">
        <w:rPr>
          <w:rFonts w:ascii="Times New Roman" w:hAnsi="Times New Roman" w:cs="Times New Roman"/>
        </w:rPr>
        <w:t xml:space="preserve">, cit., pp. 153-154.  </w:t>
      </w:r>
    </w:p>
  </w:footnote>
  <w:footnote w:id="785">
    <w:p w14:paraId="355DB5F5"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Gli ambasciatori borgognoni erano stati inviati a Roma per rendere omaggio al neoeletto Sisto IV. Un ricordo delle feste e dei banchetti organizzati a Napoli per il loro passaggio nei giorni del carnevale è dato in </w:t>
      </w:r>
      <w:r w:rsidRPr="00796A9D">
        <w:rPr>
          <w:rFonts w:ascii="Times New Roman" w:hAnsi="Times New Roman" w:cs="Times New Roman"/>
          <w:smallCaps/>
        </w:rPr>
        <w:t>A. De Tummulillis</w:t>
      </w:r>
      <w:r w:rsidRPr="00796A9D">
        <w:rPr>
          <w:rFonts w:ascii="Times New Roman" w:hAnsi="Times New Roman" w:cs="Times New Roman"/>
        </w:rPr>
        <w:t xml:space="preserve">, </w:t>
      </w:r>
      <w:r w:rsidRPr="00796A9D">
        <w:rPr>
          <w:rFonts w:ascii="Times New Roman" w:hAnsi="Times New Roman" w:cs="Times New Roman"/>
          <w:i/>
        </w:rPr>
        <w:t>Notabilia temporum</w:t>
      </w:r>
      <w:r w:rsidRPr="00796A9D">
        <w:rPr>
          <w:rFonts w:ascii="Times New Roman" w:hAnsi="Times New Roman" w:cs="Times New Roman"/>
        </w:rPr>
        <w:t xml:space="preserve">, cit., pp. 185-186, dove purtroppo non si fa riferimento agli interventi dei </w:t>
      </w:r>
      <w:r w:rsidRPr="00796A9D">
        <w:rPr>
          <w:rFonts w:ascii="Times New Roman" w:hAnsi="Times New Roman" w:cs="Times New Roman"/>
          <w:i/>
        </w:rPr>
        <w:t>mimi</w:t>
      </w:r>
      <w:r w:rsidRPr="00796A9D">
        <w:rPr>
          <w:rFonts w:ascii="Times New Roman" w:hAnsi="Times New Roman" w:cs="Times New Roman"/>
        </w:rPr>
        <w:t xml:space="preserve"> nel convito ai quali accenna Pontano. Per un inquadramento dei rapporti tra Carlo il Temerario e Napoli si veda inoltre G. </w:t>
      </w:r>
      <w:r w:rsidRPr="00796A9D">
        <w:rPr>
          <w:rFonts w:ascii="Times New Roman" w:hAnsi="Times New Roman" w:cs="Times New Roman"/>
          <w:smallCaps/>
        </w:rPr>
        <w:t>Toscano</w:t>
      </w:r>
      <w:r w:rsidRPr="00796A9D">
        <w:rPr>
          <w:rFonts w:ascii="Times New Roman" w:hAnsi="Times New Roman" w:cs="Times New Roman"/>
        </w:rPr>
        <w:t xml:space="preserve">, </w:t>
      </w:r>
      <w:r w:rsidRPr="00796A9D">
        <w:rPr>
          <w:rFonts w:ascii="Times New Roman" w:hAnsi="Times New Roman" w:cs="Times New Roman"/>
          <w:i/>
        </w:rPr>
        <w:t xml:space="preserve">Naples et la cour de Bourgogne à l’époque des rois d’Aragon (1442-1494), </w:t>
      </w:r>
      <w:r w:rsidRPr="00796A9D">
        <w:rPr>
          <w:rFonts w:ascii="Times New Roman" w:hAnsi="Times New Roman" w:cs="Times New Roman"/>
        </w:rPr>
        <w:t xml:space="preserve">in </w:t>
      </w:r>
      <w:r w:rsidRPr="00796A9D">
        <w:rPr>
          <w:rFonts w:ascii="Times New Roman" w:hAnsi="Times New Roman" w:cs="Times New Roman"/>
          <w:i/>
        </w:rPr>
        <w:t xml:space="preserve">La Cour de Bourgogne et l’Europe. </w:t>
      </w:r>
      <w:r w:rsidRPr="00796A9D">
        <w:rPr>
          <w:rFonts w:ascii="Times New Roman" w:hAnsi="Times New Roman" w:cs="Times New Roman"/>
          <w:i/>
          <w:lang w:val="en-US"/>
        </w:rPr>
        <w:t>Le rayonnement et les limites d’un modèle culturel.</w:t>
      </w:r>
      <w:r w:rsidRPr="00796A9D">
        <w:rPr>
          <w:rFonts w:ascii="Times New Roman" w:hAnsi="Times New Roman" w:cs="Times New Roman"/>
          <w:lang w:val="en-US"/>
        </w:rPr>
        <w:t xml:space="preserve"> Actes du colloque international tenu à Paris les 9, 10 et 11 octobre 2007, Paris, Verlag, 2013, pp. 559-579.</w:t>
      </w:r>
    </w:p>
  </w:footnote>
  <w:footnote w:id="786">
    <w:p w14:paraId="671A3D29"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Per l’impiego del </w:t>
      </w:r>
      <w:r w:rsidRPr="00796A9D">
        <w:rPr>
          <w:rFonts w:ascii="Times New Roman" w:hAnsi="Times New Roman" w:cs="Times New Roman"/>
          <w:i/>
          <w:sz w:val="20"/>
          <w:szCs w:val="20"/>
        </w:rPr>
        <w:t>De Conviventia</w:t>
      </w:r>
      <w:r w:rsidRPr="00796A9D">
        <w:rPr>
          <w:rFonts w:ascii="Times New Roman" w:hAnsi="Times New Roman" w:cs="Times New Roman"/>
          <w:sz w:val="20"/>
          <w:szCs w:val="20"/>
        </w:rPr>
        <w:t xml:space="preserve"> come fonte per lo studio della cultura del banchetto rinascimentale rinvio a C. </w:t>
      </w:r>
      <w:r w:rsidRPr="00796A9D">
        <w:rPr>
          <w:rFonts w:ascii="Times New Roman" w:hAnsi="Times New Roman" w:cs="Times New Roman"/>
          <w:smallCaps/>
          <w:sz w:val="20"/>
          <w:szCs w:val="20"/>
        </w:rPr>
        <w:t>Benporat</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Feste e banchetti. Convivialità italiana fra Tre e Quattrocento</w:t>
      </w:r>
      <w:r w:rsidRPr="00796A9D">
        <w:rPr>
          <w:rFonts w:ascii="Times New Roman" w:hAnsi="Times New Roman" w:cs="Times New Roman"/>
          <w:sz w:val="20"/>
          <w:szCs w:val="20"/>
        </w:rPr>
        <w:t xml:space="preserve">, Firenze, Olschki, 2001, pp. 93-98. </w:t>
      </w:r>
    </w:p>
  </w:footnote>
  <w:footnote w:id="787">
    <w:p w14:paraId="74A940D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F. Beroaldo</w:t>
      </w:r>
      <w:r w:rsidRPr="00796A9D">
        <w:rPr>
          <w:rFonts w:ascii="Times New Roman" w:hAnsi="Times New Roman" w:cs="Times New Roman"/>
        </w:rPr>
        <w:t xml:space="preserve">, </w:t>
      </w:r>
      <w:r w:rsidRPr="00796A9D">
        <w:rPr>
          <w:rFonts w:ascii="Times New Roman" w:hAnsi="Times New Roman" w:cs="Times New Roman"/>
          <w:i/>
        </w:rPr>
        <w:t>Nuptiae Bentivolorum</w:t>
      </w:r>
      <w:r w:rsidRPr="00796A9D">
        <w:rPr>
          <w:rFonts w:ascii="Times New Roman" w:hAnsi="Times New Roman" w:cs="Times New Roman"/>
        </w:rPr>
        <w:t xml:space="preserve">, cit., pp. 174-176. </w:t>
      </w:r>
    </w:p>
  </w:footnote>
  <w:footnote w:id="788">
    <w:p w14:paraId="1C291DA6"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Il </w:t>
      </w:r>
      <w:r w:rsidRPr="00796A9D">
        <w:rPr>
          <w:rFonts w:ascii="Times New Roman" w:hAnsi="Times New Roman" w:cs="Times New Roman"/>
          <w:i/>
          <w:sz w:val="20"/>
          <w:szCs w:val="20"/>
        </w:rPr>
        <w:t>De honesta voluptate et valetudine</w:t>
      </w:r>
      <w:r w:rsidRPr="00796A9D">
        <w:rPr>
          <w:rFonts w:ascii="Times New Roman" w:hAnsi="Times New Roman" w:cs="Times New Roman"/>
          <w:sz w:val="20"/>
          <w:szCs w:val="20"/>
        </w:rPr>
        <w:t xml:space="preserve"> di Battista Platina, edito a Roma verso il 1475 da Ulrich Han con dedica al cardinale Bartolomeo Rovella (IGI 7847), raccomandava la moderazione nell’apparecchiare i convivi, senza trascurare il diletto nell’ornamentazione delle sale e delle vivande. L’</w:t>
      </w:r>
      <w:r w:rsidRPr="00796A9D">
        <w:rPr>
          <w:rFonts w:ascii="Times New Roman" w:hAnsi="Times New Roman" w:cs="Times New Roman"/>
          <w:i/>
          <w:sz w:val="20"/>
          <w:szCs w:val="20"/>
        </w:rPr>
        <w:t xml:space="preserve">Opusculum de fructibus vescendis et tractatus de modo confitiendi ordaceum </w:t>
      </w:r>
      <w:r w:rsidRPr="00796A9D">
        <w:rPr>
          <w:rFonts w:ascii="Times New Roman" w:hAnsi="Times New Roman" w:cs="Times New Roman"/>
          <w:sz w:val="20"/>
          <w:szCs w:val="20"/>
        </w:rPr>
        <w:t xml:space="preserve">di Battista Massi d’Argentea, offerto a Ercole I d’Este (s.n.t. BMC, V 211), raccoglieva invece le conoscenze degli antichi sulle proprietà nutritive e medicamentose dei frutti e delle erbe. Temi che ritornano nella </w:t>
      </w:r>
      <w:r w:rsidRPr="00796A9D">
        <w:rPr>
          <w:rFonts w:ascii="Times New Roman" w:hAnsi="Times New Roman" w:cs="Times New Roman"/>
          <w:i/>
          <w:sz w:val="20"/>
          <w:szCs w:val="20"/>
        </w:rPr>
        <w:t>Coena</w:t>
      </w:r>
      <w:r w:rsidRPr="00796A9D">
        <w:rPr>
          <w:rFonts w:ascii="Times New Roman" w:hAnsi="Times New Roman" w:cs="Times New Roman"/>
          <w:sz w:val="20"/>
          <w:szCs w:val="20"/>
        </w:rPr>
        <w:t xml:space="preserve"> di Giovan Battista Fiera, impressa a Roma da Eucario Silber con dedica a Raffaele Riario e preceduta da un epigramma di Pomponio Leto (IGI 3877), che attesta il coinvolgimento di personalità di altissima erudizione nella discussione intorno alla cucina rinascimentale. Riguardo all’influenza di questi scritti sulla preparazione dei banchetti della corte di Ferrara si veda E. </w:t>
      </w:r>
      <w:r w:rsidRPr="00796A9D">
        <w:rPr>
          <w:rFonts w:ascii="Times New Roman" w:hAnsi="Times New Roman" w:cs="Times New Roman"/>
          <w:smallCaps/>
          <w:sz w:val="20"/>
          <w:szCs w:val="20"/>
        </w:rPr>
        <w:t>Faccioli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Scenicità dei banchetti estensi</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Il Rinascimento nelle corti padane. Società e cultura</w:t>
      </w:r>
      <w:r w:rsidRPr="00796A9D">
        <w:rPr>
          <w:rFonts w:ascii="Times New Roman" w:hAnsi="Times New Roman" w:cs="Times New Roman"/>
          <w:sz w:val="20"/>
          <w:szCs w:val="20"/>
        </w:rPr>
        <w:t xml:space="preserve">, Bari, De Donato, 1977, pp. 597-606. Sulla </w:t>
      </w:r>
      <w:r w:rsidRPr="00796A9D">
        <w:rPr>
          <w:rFonts w:ascii="Times New Roman" w:hAnsi="Times New Roman" w:cs="Times New Roman"/>
          <w:i/>
          <w:sz w:val="20"/>
          <w:szCs w:val="20"/>
        </w:rPr>
        <w:t>Coena</w:t>
      </w:r>
      <w:r w:rsidRPr="00796A9D">
        <w:rPr>
          <w:rFonts w:ascii="Times New Roman" w:hAnsi="Times New Roman" w:cs="Times New Roman"/>
          <w:sz w:val="20"/>
          <w:szCs w:val="20"/>
        </w:rPr>
        <w:t xml:space="preserve"> di Fiera, che attirò persino le attenzioni di Josse Bade</w:t>
      </w:r>
      <w:r>
        <w:rPr>
          <w:rFonts w:ascii="Times New Roman" w:hAnsi="Times New Roman" w:cs="Times New Roman"/>
          <w:sz w:val="20"/>
          <w:szCs w:val="20"/>
        </w:rPr>
        <w:t>, il quale</w:t>
      </w:r>
      <w:r w:rsidRPr="00796A9D">
        <w:rPr>
          <w:rFonts w:ascii="Times New Roman" w:hAnsi="Times New Roman" w:cs="Times New Roman"/>
          <w:sz w:val="20"/>
          <w:szCs w:val="20"/>
        </w:rPr>
        <w:t xml:space="preserve"> dopo il suo viaggio in Italia ne curò due edizioni a Parigi, nel 1503 e nel 1508, vedi l’introduzione all’edizione </w:t>
      </w:r>
      <w:r w:rsidRPr="00796A9D">
        <w:rPr>
          <w:rFonts w:ascii="Times New Roman" w:hAnsi="Times New Roman" w:cs="Times New Roman"/>
          <w:smallCaps/>
          <w:sz w:val="20"/>
          <w:szCs w:val="20"/>
        </w:rPr>
        <w:t>G.B. Fiera</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Coena. Delle virtù delle erbe e quella parte dell’Arte medica che consiste nella regola del vitto</w:t>
      </w:r>
      <w:r w:rsidRPr="00796A9D">
        <w:rPr>
          <w:rFonts w:ascii="Times New Roman" w:hAnsi="Times New Roman" w:cs="Times New Roman"/>
          <w:sz w:val="20"/>
          <w:szCs w:val="20"/>
        </w:rPr>
        <w:t xml:space="preserve">, a cura di </w:t>
      </w:r>
      <w:r w:rsidRPr="00796A9D">
        <w:rPr>
          <w:rFonts w:ascii="Times New Roman" w:hAnsi="Times New Roman" w:cs="Times New Roman"/>
          <w:smallCaps/>
          <w:sz w:val="20"/>
          <w:szCs w:val="20"/>
        </w:rPr>
        <w:t>M. G. Fiorini Galassi</w:t>
      </w:r>
      <w:r w:rsidRPr="00796A9D">
        <w:rPr>
          <w:rFonts w:ascii="Times New Roman" w:hAnsi="Times New Roman" w:cs="Times New Roman"/>
          <w:sz w:val="20"/>
          <w:szCs w:val="20"/>
        </w:rPr>
        <w:t xml:space="preserve">, Mantova, Publi-Fiorini, 1992, pp. 4-12. </w:t>
      </w:r>
    </w:p>
  </w:footnote>
  <w:footnote w:id="789">
    <w:p w14:paraId="70631CE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Virg. </w:t>
      </w:r>
      <w:r w:rsidRPr="00796A9D">
        <w:rPr>
          <w:rFonts w:ascii="Times New Roman" w:hAnsi="Times New Roman" w:cs="Times New Roman"/>
          <w:i/>
          <w:lang w:val="en-US"/>
        </w:rPr>
        <w:t>Aen</w:t>
      </w:r>
      <w:r w:rsidRPr="00796A9D">
        <w:rPr>
          <w:rFonts w:ascii="Times New Roman" w:hAnsi="Times New Roman" w:cs="Times New Roman"/>
          <w:lang w:val="en-US"/>
        </w:rPr>
        <w:t>., I, 701-702: «</w:t>
      </w:r>
      <w:r w:rsidRPr="00796A9D">
        <w:rPr>
          <w:rFonts w:ascii="Times New Roman" w:hAnsi="Times New Roman" w:cs="Times New Roman"/>
          <w:i/>
          <w:lang w:val="en-US"/>
        </w:rPr>
        <w:t>Dant famuli manibus lymphas, Cereremque canistris</w:t>
      </w:r>
      <w:r w:rsidRPr="00796A9D">
        <w:rPr>
          <w:rFonts w:ascii="Times New Roman" w:hAnsi="Times New Roman" w:cs="Times New Roman"/>
          <w:lang w:val="en-US"/>
        </w:rPr>
        <w:t xml:space="preserve"> / </w:t>
      </w:r>
      <w:r w:rsidRPr="00796A9D">
        <w:rPr>
          <w:rFonts w:ascii="Times New Roman" w:hAnsi="Times New Roman" w:cs="Times New Roman"/>
          <w:i/>
          <w:lang w:val="en-US"/>
        </w:rPr>
        <w:t>expediunt, tonsisque ferunt mantelia villis</w:t>
      </w:r>
      <w:r w:rsidRPr="00796A9D">
        <w:rPr>
          <w:rFonts w:ascii="Times New Roman" w:hAnsi="Times New Roman" w:cs="Times New Roman"/>
          <w:lang w:val="en-US"/>
        </w:rPr>
        <w:t xml:space="preserve">». </w:t>
      </w:r>
      <w:r w:rsidRPr="00796A9D">
        <w:rPr>
          <w:rFonts w:ascii="Times New Roman" w:hAnsi="Times New Roman" w:cs="Times New Roman"/>
        </w:rPr>
        <w:t>L’acqua di rose si otteneva lasciando in macerazione i petali del fiore in appositi catini. In alternativa, per renderla odorifera, si potevano usare limoni, bacche di mirto, muschi. Sulle varianti nella sua preparazione e sul significato rituale del lavacro delle mani, associabile anche all’immaginario cristiano della messa, nella quale il sacerdote prima dell’offertorio lava le mani pronunciando le parole «</w:t>
      </w:r>
      <w:r w:rsidRPr="00796A9D">
        <w:rPr>
          <w:rFonts w:ascii="Times New Roman" w:hAnsi="Times New Roman" w:cs="Times New Roman"/>
          <w:i/>
        </w:rPr>
        <w:t>Lavabo inter innocentes manus meas</w:t>
      </w:r>
      <w:r w:rsidRPr="00796A9D">
        <w:rPr>
          <w:rFonts w:ascii="Times New Roman" w:hAnsi="Times New Roman" w:cs="Times New Roman"/>
        </w:rPr>
        <w:t xml:space="preserve">» cfr. </w:t>
      </w:r>
      <w:r w:rsidRPr="00796A9D">
        <w:rPr>
          <w:rFonts w:ascii="Times New Roman" w:hAnsi="Times New Roman" w:cs="Times New Roman"/>
          <w:smallCaps/>
        </w:rPr>
        <w:t>G. Malacarne</w:t>
      </w:r>
      <w:r w:rsidRPr="00796A9D">
        <w:rPr>
          <w:rFonts w:ascii="Times New Roman" w:hAnsi="Times New Roman" w:cs="Times New Roman"/>
        </w:rPr>
        <w:t xml:space="preserve">, </w:t>
      </w:r>
      <w:r w:rsidRPr="00796A9D">
        <w:rPr>
          <w:rFonts w:ascii="Times New Roman" w:hAnsi="Times New Roman" w:cs="Times New Roman"/>
          <w:i/>
        </w:rPr>
        <w:t>Sulla mensa del principe. Alimentazione e banchetti alla Corte dei Gonzaga</w:t>
      </w:r>
      <w:r w:rsidRPr="00796A9D">
        <w:rPr>
          <w:rFonts w:ascii="Times New Roman" w:hAnsi="Times New Roman" w:cs="Times New Roman"/>
        </w:rPr>
        <w:t xml:space="preserve">, Modena, il Bulino, 2000, p. 66.  </w:t>
      </w:r>
    </w:p>
  </w:footnote>
  <w:footnote w:id="790">
    <w:p w14:paraId="2559B61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Petr. </w:t>
      </w:r>
      <w:r w:rsidRPr="00796A9D">
        <w:rPr>
          <w:rFonts w:ascii="Times New Roman" w:hAnsi="Times New Roman" w:cs="Times New Roman"/>
          <w:i/>
        </w:rPr>
        <w:t>Satyr</w:t>
      </w:r>
      <w:r w:rsidRPr="00796A9D">
        <w:rPr>
          <w:rFonts w:ascii="Times New Roman" w:hAnsi="Times New Roman" w:cs="Times New Roman"/>
        </w:rPr>
        <w:t>., XXXV, 2: «</w:t>
      </w:r>
      <w:r w:rsidRPr="00796A9D">
        <w:rPr>
          <w:rFonts w:ascii="Times New Roman" w:hAnsi="Times New Roman" w:cs="Times New Roman"/>
          <w:i/>
        </w:rPr>
        <w:t>Rotundum enim repositorium duodecim habebat signa in orbe disposita, super quae proprium convenientemque materiae structor imposuerat cibum</w:t>
      </w:r>
      <w:r w:rsidRPr="00796A9D">
        <w:rPr>
          <w:rFonts w:ascii="Times New Roman" w:hAnsi="Times New Roman" w:cs="Times New Roman"/>
        </w:rPr>
        <w:t xml:space="preserve">». L’immagine del convito degli astri sulla tavola di Trimalcione quale modello del banchetto sponsale di Costanzo Sforza è stata proposta da </w:t>
      </w:r>
      <w:r w:rsidRPr="00796A9D">
        <w:rPr>
          <w:rFonts w:ascii="Times New Roman" w:hAnsi="Times New Roman" w:cs="Times New Roman"/>
          <w:smallCaps/>
        </w:rPr>
        <w:t>G. Meloni</w:t>
      </w:r>
      <w:r w:rsidRPr="00796A9D">
        <w:rPr>
          <w:rFonts w:ascii="Times New Roman" w:hAnsi="Times New Roman" w:cs="Times New Roman"/>
        </w:rPr>
        <w:t xml:space="preserve">, </w:t>
      </w:r>
      <w:r w:rsidRPr="00796A9D">
        <w:rPr>
          <w:rFonts w:ascii="Times New Roman" w:hAnsi="Times New Roman" w:cs="Times New Roman"/>
          <w:i/>
        </w:rPr>
        <w:t xml:space="preserve">Mitologia, astrologia e arte della cucina, </w:t>
      </w:r>
      <w:r w:rsidRPr="00796A9D">
        <w:rPr>
          <w:rFonts w:ascii="Times New Roman" w:hAnsi="Times New Roman" w:cs="Times New Roman"/>
        </w:rPr>
        <w:t xml:space="preserve">cit., p. 104. </w:t>
      </w:r>
    </w:p>
  </w:footnote>
  <w:footnote w:id="791">
    <w:p w14:paraId="7DAAA1AF"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Il ripetersi rituale dell’evento fondatore della nutrizione e la presa di coscienza dei segni e dei significati di tale </w:t>
      </w:r>
      <w:r>
        <w:rPr>
          <w:rFonts w:ascii="Times New Roman" w:hAnsi="Times New Roman" w:cs="Times New Roman"/>
          <w:sz w:val="20"/>
          <w:szCs w:val="20"/>
        </w:rPr>
        <w:t xml:space="preserve">atto </w:t>
      </w:r>
      <w:r w:rsidRPr="00796A9D">
        <w:rPr>
          <w:rFonts w:ascii="Times New Roman" w:hAnsi="Times New Roman" w:cs="Times New Roman"/>
          <w:sz w:val="20"/>
          <w:szCs w:val="20"/>
        </w:rPr>
        <w:t xml:space="preserve">sarebbero già gli elementi ontologici dello spettacolo del banchetto, sui quali la cultura degli organizzatori e dei fruitori dell’evento agirebbe per ampliarne la capacità di comunicazione: cfr. E. </w:t>
      </w:r>
      <w:r w:rsidRPr="00796A9D">
        <w:rPr>
          <w:rFonts w:ascii="Times New Roman" w:hAnsi="Times New Roman" w:cs="Times New Roman"/>
          <w:smallCaps/>
          <w:sz w:val="20"/>
          <w:szCs w:val="20"/>
        </w:rPr>
        <w:t>Faccioli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Scenicità dei banchetti estensi</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Il Rinascimento nelle corti padane. Società e cultura</w:t>
      </w:r>
      <w:r w:rsidRPr="00796A9D">
        <w:rPr>
          <w:rFonts w:ascii="Times New Roman" w:hAnsi="Times New Roman" w:cs="Times New Roman"/>
          <w:sz w:val="20"/>
          <w:szCs w:val="20"/>
        </w:rPr>
        <w:t xml:space="preserve">, Bari, De Donato, 1977, pp. 597-606.   </w:t>
      </w:r>
    </w:p>
  </w:footnote>
  <w:footnote w:id="792">
    <w:p w14:paraId="1609ABE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Sui concetti di scenicità organica e spettacolo “esterno” del banchetto d’onore rinascimentale vedi </w:t>
      </w:r>
      <w:r w:rsidRPr="00796A9D">
        <w:rPr>
          <w:rFonts w:ascii="Times New Roman" w:hAnsi="Times New Roman" w:cs="Times New Roman"/>
          <w:smallCaps/>
        </w:rPr>
        <w:t>E. Garbero Zorzi</w:t>
      </w:r>
      <w:r w:rsidRPr="00796A9D">
        <w:rPr>
          <w:rFonts w:ascii="Times New Roman" w:hAnsi="Times New Roman" w:cs="Times New Roman"/>
        </w:rPr>
        <w:t xml:space="preserve">, </w:t>
      </w:r>
      <w:r w:rsidRPr="00796A9D">
        <w:rPr>
          <w:rFonts w:ascii="Times New Roman" w:hAnsi="Times New Roman" w:cs="Times New Roman"/>
          <w:i/>
        </w:rPr>
        <w:t>La festa cerimoniale del Rinascimento. L’ingresso trionfale e il banchetto d’onore</w:t>
      </w:r>
      <w:r w:rsidRPr="00796A9D">
        <w:rPr>
          <w:rFonts w:ascii="Times New Roman" w:hAnsi="Times New Roman" w:cs="Times New Roman"/>
        </w:rPr>
        <w:t xml:space="preserve">, in </w:t>
      </w:r>
      <w:r w:rsidRPr="00796A9D">
        <w:rPr>
          <w:rFonts w:ascii="Times New Roman" w:hAnsi="Times New Roman" w:cs="Times New Roman"/>
          <w:i/>
        </w:rPr>
        <w:t>Scene e figure del teatro italiano</w:t>
      </w:r>
      <w:r w:rsidRPr="00796A9D">
        <w:rPr>
          <w:rFonts w:ascii="Times New Roman" w:hAnsi="Times New Roman" w:cs="Times New Roman"/>
        </w:rPr>
        <w:t xml:space="preserve">, a cura di </w:t>
      </w:r>
      <w:r w:rsidRPr="00796A9D">
        <w:rPr>
          <w:rFonts w:ascii="Times New Roman" w:hAnsi="Times New Roman" w:cs="Times New Roman"/>
          <w:smallCaps/>
        </w:rPr>
        <w:t>Eadem, S. Romagnoli</w:t>
      </w:r>
      <w:r w:rsidRPr="00796A9D">
        <w:rPr>
          <w:rFonts w:ascii="Times New Roman" w:hAnsi="Times New Roman" w:cs="Times New Roman"/>
        </w:rPr>
        <w:t xml:space="preserve">, Bologna, il Mulino, 1985, pp. 63-80. </w:t>
      </w:r>
    </w:p>
  </w:footnote>
  <w:footnote w:id="793">
    <w:p w14:paraId="0C14F4D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Sull’ordine del banchetto come rappresentazione della gerarchia dei membri della corte e trasposizione all’interno della sala del sistema delle precedenze del corteo nuziale vedi </w:t>
      </w:r>
      <w:r w:rsidRPr="00796A9D">
        <w:rPr>
          <w:rFonts w:ascii="Times New Roman" w:hAnsi="Times New Roman" w:cs="Times New Roman"/>
          <w:smallCaps/>
        </w:rPr>
        <w:t>D.H. Bodart, V. Boudier</w:t>
      </w:r>
      <w:r w:rsidRPr="00796A9D">
        <w:rPr>
          <w:rFonts w:ascii="Times New Roman" w:hAnsi="Times New Roman" w:cs="Times New Roman"/>
        </w:rPr>
        <w:t xml:space="preserve">, </w:t>
      </w:r>
      <w:r w:rsidRPr="00796A9D">
        <w:rPr>
          <w:rFonts w:ascii="Times New Roman" w:hAnsi="Times New Roman" w:cs="Times New Roman"/>
          <w:i/>
        </w:rPr>
        <w:t>Le banquet de la Renaissance: images et usages</w:t>
      </w:r>
      <w:r w:rsidRPr="00796A9D">
        <w:rPr>
          <w:rFonts w:ascii="Times New Roman" w:hAnsi="Times New Roman" w:cs="Times New Roman"/>
        </w:rPr>
        <w:t xml:space="preserve">, in </w:t>
      </w:r>
      <w:r w:rsidRPr="00796A9D">
        <w:rPr>
          <w:rFonts w:ascii="Times New Roman" w:hAnsi="Times New Roman" w:cs="Times New Roman"/>
          <w:smallCaps/>
        </w:rPr>
        <w:t>Iidem</w:t>
      </w:r>
      <w:r w:rsidRPr="00796A9D">
        <w:rPr>
          <w:rFonts w:ascii="Times New Roman" w:hAnsi="Times New Roman" w:cs="Times New Roman"/>
        </w:rPr>
        <w:t xml:space="preserve">, </w:t>
      </w:r>
      <w:r w:rsidRPr="00796A9D">
        <w:rPr>
          <w:rFonts w:ascii="Times New Roman" w:hAnsi="Times New Roman" w:cs="Times New Roman"/>
          <w:i/>
        </w:rPr>
        <w:t>Le banquet de la Renaissance: images et usages</w:t>
      </w:r>
      <w:r w:rsidRPr="00796A9D">
        <w:rPr>
          <w:rFonts w:ascii="Times New Roman" w:hAnsi="Times New Roman" w:cs="Times New Roman"/>
        </w:rPr>
        <w:t>, Pisa, ETS, 2013, pp. 9-21.</w:t>
      </w:r>
    </w:p>
  </w:footnote>
  <w:footnote w:id="794">
    <w:p w14:paraId="1B02BFB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un quadro generale della varietà culinaria delle corti italiane del Quattrocento, letto attraverso il </w:t>
      </w:r>
      <w:r w:rsidRPr="00796A9D">
        <w:rPr>
          <w:rFonts w:ascii="Times New Roman" w:hAnsi="Times New Roman" w:cs="Times New Roman"/>
          <w:i/>
        </w:rPr>
        <w:t>Libro de arte coquinaria</w:t>
      </w:r>
      <w:r w:rsidRPr="00796A9D">
        <w:rPr>
          <w:rFonts w:ascii="Times New Roman" w:hAnsi="Times New Roman" w:cs="Times New Roman"/>
        </w:rPr>
        <w:t xml:space="preserve"> di Mastro Martino, primissimo esempio di ricettario rinascimentale, si veda </w:t>
      </w:r>
      <w:r w:rsidRPr="00796A9D">
        <w:rPr>
          <w:rFonts w:ascii="Times New Roman" w:hAnsi="Times New Roman" w:cs="Times New Roman"/>
          <w:smallCaps/>
        </w:rPr>
        <w:t>C. Benporat</w:t>
      </w:r>
      <w:r w:rsidRPr="00796A9D">
        <w:rPr>
          <w:rFonts w:ascii="Times New Roman" w:hAnsi="Times New Roman" w:cs="Times New Roman"/>
        </w:rPr>
        <w:t xml:space="preserve">, </w:t>
      </w:r>
      <w:r w:rsidRPr="00796A9D">
        <w:rPr>
          <w:rFonts w:ascii="Times New Roman" w:hAnsi="Times New Roman" w:cs="Times New Roman"/>
          <w:i/>
        </w:rPr>
        <w:t>Cucina italiana del Quattrocento</w:t>
      </w:r>
      <w:r w:rsidRPr="00796A9D">
        <w:rPr>
          <w:rFonts w:ascii="Times New Roman" w:hAnsi="Times New Roman" w:cs="Times New Roman"/>
        </w:rPr>
        <w:t xml:space="preserve">, Firenze, Olschki, 1996. La conoscenza dei ricchi menù dei pranzi nuziali principeschi, come del resto quella delle differenti tipologie di spettacoli offerti, dipende dalla sensibilità dei cronisti delle feste. Maddalena Gonzaga, ad esempio, descrisse con dovizia di particolari a suo fratello Francesco II le tredici portate del pranzo offertole a Pesaro dal marito, Giovanni Sforza, il 28 ottobre 1489. Nulla però scrisse sul modo in cui furono presentate le vivande o dei possibili entremets recitati, limitandosi a fare menzione di una «dimonstrazione del Monte Parnasio cum le Nove et certi altri Dei, le quali recitaveno versi ad honore et laude de la Casa de Gonzaga et de Casa Sforza» inscenata al termine del desinare. La lettera della Gonzaga con la descrizione dello sposalizio, non datata, è pubblicata in </w:t>
      </w:r>
      <w:r w:rsidRPr="00796A9D">
        <w:rPr>
          <w:rFonts w:ascii="Times New Roman" w:hAnsi="Times New Roman" w:cs="Times New Roman"/>
          <w:smallCaps/>
        </w:rPr>
        <w:t>G. Carra</w:t>
      </w:r>
      <w:r w:rsidRPr="00796A9D">
        <w:rPr>
          <w:rFonts w:ascii="Times New Roman" w:hAnsi="Times New Roman" w:cs="Times New Roman"/>
        </w:rPr>
        <w:t xml:space="preserve">, </w:t>
      </w:r>
      <w:r w:rsidRPr="00796A9D">
        <w:rPr>
          <w:rFonts w:ascii="Times New Roman" w:hAnsi="Times New Roman" w:cs="Times New Roman"/>
          <w:i/>
        </w:rPr>
        <w:t>Feste e pranzo di nozze di Maddalena Gonzaga (1489)</w:t>
      </w:r>
      <w:r w:rsidRPr="00796A9D">
        <w:rPr>
          <w:rFonts w:ascii="Times New Roman" w:hAnsi="Times New Roman" w:cs="Times New Roman"/>
        </w:rPr>
        <w:t xml:space="preserve">, «Civiltà mantovana», VI, 1972, pp. 422-431. </w:t>
      </w:r>
    </w:p>
  </w:footnote>
  <w:footnote w:id="795">
    <w:p w14:paraId="5381ABD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Città del Vaticano, Biblioteca Apostolica Vaticana, Urb. Lat. 1248. Il testo, diviso in sessantaquattro paragrafi introdotti da un titolo riassuntivo del contenuto, è edito integralmente in </w:t>
      </w:r>
      <w:r w:rsidRPr="00796A9D">
        <w:rPr>
          <w:rFonts w:ascii="Times New Roman" w:hAnsi="Times New Roman" w:cs="Times New Roman"/>
          <w:i/>
        </w:rPr>
        <w:t xml:space="preserve">Ordine et officij de casa de lo illustrissimo signor duca de Urbino, </w:t>
      </w:r>
      <w:r w:rsidRPr="00796A9D">
        <w:rPr>
          <w:rFonts w:ascii="Times New Roman" w:hAnsi="Times New Roman" w:cs="Times New Roman"/>
        </w:rPr>
        <w:t xml:space="preserve">a cura di S. Eiche, Urbino, Accademia Raffaello, 1999. </w:t>
      </w:r>
    </w:p>
  </w:footnote>
  <w:footnote w:id="796">
    <w:p w14:paraId="30AB3C1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90-91. </w:t>
      </w:r>
    </w:p>
  </w:footnote>
  <w:footnote w:id="797">
    <w:p w14:paraId="342C188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92. </w:t>
      </w:r>
    </w:p>
  </w:footnote>
  <w:footnote w:id="798">
    <w:p w14:paraId="1AB6411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94. Sul sistema dei ruoli dei servitori delle tavole del banchetto tra XV e XVI secolo si veda inoltre </w:t>
      </w:r>
      <w:r w:rsidRPr="00796A9D">
        <w:rPr>
          <w:rFonts w:ascii="Times New Roman" w:hAnsi="Times New Roman" w:cs="Times New Roman"/>
          <w:smallCaps/>
        </w:rPr>
        <w:t>A. Manciulli</w:t>
      </w:r>
      <w:r w:rsidRPr="00796A9D">
        <w:rPr>
          <w:rFonts w:ascii="Times New Roman" w:hAnsi="Times New Roman" w:cs="Times New Roman"/>
        </w:rPr>
        <w:t xml:space="preserve">, </w:t>
      </w:r>
      <w:r w:rsidRPr="00796A9D">
        <w:rPr>
          <w:rFonts w:ascii="Times New Roman" w:hAnsi="Times New Roman" w:cs="Times New Roman"/>
          <w:i/>
        </w:rPr>
        <w:t>Le arti della tavola</w:t>
      </w:r>
      <w:r w:rsidRPr="00796A9D">
        <w:rPr>
          <w:rFonts w:ascii="Times New Roman" w:hAnsi="Times New Roman" w:cs="Times New Roman"/>
        </w:rPr>
        <w:t xml:space="preserve">, in </w:t>
      </w:r>
      <w:r w:rsidRPr="00796A9D">
        <w:rPr>
          <w:rFonts w:ascii="Times New Roman" w:hAnsi="Times New Roman" w:cs="Times New Roman"/>
          <w:i/>
        </w:rPr>
        <w:t>Et coquatur ponendo. Cultura della cucina e della tavola in Europa tra medioevo ed età moderna</w:t>
      </w:r>
      <w:r w:rsidRPr="00796A9D">
        <w:rPr>
          <w:rFonts w:ascii="Times New Roman" w:hAnsi="Times New Roman" w:cs="Times New Roman"/>
        </w:rPr>
        <w:t xml:space="preserve">, Prato, Istituto internazionale di Storia economica, 1996, pp. 325-340, con ampia trattazione relativa alle testimonianze manoscritte e a stampa riguardanti l’arte del servizio di tavola. </w:t>
      </w:r>
    </w:p>
  </w:footnote>
  <w:footnote w:id="799">
    <w:p w14:paraId="5CEC233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Oltre al Pontano, anche </w:t>
      </w:r>
      <w:bookmarkStart w:id="503" w:name="_Hlk536008634"/>
      <w:r w:rsidRPr="00796A9D">
        <w:rPr>
          <w:rFonts w:ascii="Times New Roman" w:hAnsi="Times New Roman" w:cs="Times New Roman"/>
        </w:rPr>
        <w:t>Johannes Tinctoris</w:t>
      </w:r>
      <w:bookmarkEnd w:id="503"/>
      <w:r w:rsidRPr="00796A9D">
        <w:rPr>
          <w:rFonts w:ascii="Times New Roman" w:hAnsi="Times New Roman" w:cs="Times New Roman"/>
        </w:rPr>
        <w:t xml:space="preserve">, musico e teorico franco-fiammingo, nel suo </w:t>
      </w:r>
      <w:r w:rsidRPr="00796A9D">
        <w:rPr>
          <w:rFonts w:ascii="Times New Roman" w:hAnsi="Times New Roman" w:cs="Times New Roman"/>
          <w:i/>
        </w:rPr>
        <w:t>Complexus effectuum musices</w:t>
      </w:r>
      <w:r w:rsidRPr="00796A9D">
        <w:rPr>
          <w:rFonts w:ascii="Times New Roman" w:hAnsi="Times New Roman" w:cs="Times New Roman"/>
        </w:rPr>
        <w:t xml:space="preserve"> aveva dichiarato come la musica fosse un elemento fondamentale del convito principesco, citando a sostegno della sua affermazione diverse fonti classiche e bibliche: le </w:t>
      </w:r>
      <w:r w:rsidRPr="00796A9D">
        <w:rPr>
          <w:rFonts w:ascii="Times New Roman" w:hAnsi="Times New Roman" w:cs="Times New Roman"/>
          <w:i/>
        </w:rPr>
        <w:t>Ecclesiastiche</w:t>
      </w:r>
      <w:r w:rsidRPr="00796A9D">
        <w:rPr>
          <w:rFonts w:ascii="Times New Roman" w:hAnsi="Times New Roman" w:cs="Times New Roman"/>
        </w:rPr>
        <w:t xml:space="preserve">, Isaia, </w:t>
      </w:r>
      <w:r w:rsidRPr="00796A9D">
        <w:rPr>
          <w:rFonts w:ascii="Times New Roman" w:hAnsi="Times New Roman" w:cs="Times New Roman"/>
          <w:i/>
        </w:rPr>
        <w:t>Eneide</w:t>
      </w:r>
      <w:r w:rsidRPr="00796A9D">
        <w:rPr>
          <w:rFonts w:ascii="Times New Roman" w:hAnsi="Times New Roman" w:cs="Times New Roman"/>
        </w:rPr>
        <w:t xml:space="preserve">, </w:t>
      </w:r>
      <w:r w:rsidRPr="00796A9D">
        <w:rPr>
          <w:rFonts w:ascii="Times New Roman" w:hAnsi="Times New Roman" w:cs="Times New Roman"/>
          <w:i/>
        </w:rPr>
        <w:t>Istitutio oratoria</w:t>
      </w:r>
      <w:r w:rsidRPr="00796A9D">
        <w:rPr>
          <w:rFonts w:ascii="Times New Roman" w:hAnsi="Times New Roman" w:cs="Times New Roman"/>
        </w:rPr>
        <w:t xml:space="preserve">, le </w:t>
      </w:r>
      <w:r w:rsidRPr="00796A9D">
        <w:rPr>
          <w:rFonts w:ascii="Times New Roman" w:hAnsi="Times New Roman" w:cs="Times New Roman"/>
          <w:i/>
        </w:rPr>
        <w:t>Odi</w:t>
      </w:r>
      <w:r w:rsidRPr="00796A9D">
        <w:rPr>
          <w:rFonts w:ascii="Times New Roman" w:hAnsi="Times New Roman" w:cs="Times New Roman"/>
        </w:rPr>
        <w:t xml:space="preserve"> di Orazio. </w:t>
      </w:r>
      <w:r w:rsidRPr="00796A9D">
        <w:rPr>
          <w:rFonts w:ascii="Times New Roman" w:hAnsi="Times New Roman" w:cs="Times New Roman"/>
          <w:lang w:val="en-US"/>
        </w:rPr>
        <w:t xml:space="preserve">Cfr. </w:t>
      </w:r>
      <w:r w:rsidRPr="00796A9D">
        <w:rPr>
          <w:rFonts w:ascii="Times New Roman" w:hAnsi="Times New Roman" w:cs="Times New Roman"/>
          <w:smallCaps/>
          <w:lang w:val="en-US"/>
        </w:rPr>
        <w:t>J. Tinctoris</w:t>
      </w:r>
      <w:r w:rsidRPr="00796A9D">
        <w:rPr>
          <w:rFonts w:ascii="Times New Roman" w:hAnsi="Times New Roman" w:cs="Times New Roman"/>
          <w:lang w:val="en-US"/>
        </w:rPr>
        <w:t xml:space="preserve">, </w:t>
      </w:r>
      <w:r w:rsidRPr="00796A9D">
        <w:rPr>
          <w:rFonts w:ascii="Times New Roman" w:hAnsi="Times New Roman" w:cs="Times New Roman"/>
          <w:i/>
          <w:lang w:val="en-US"/>
        </w:rPr>
        <w:t>Complexus effectuum musices</w:t>
      </w:r>
      <w:r w:rsidRPr="00796A9D">
        <w:rPr>
          <w:rFonts w:ascii="Times New Roman" w:hAnsi="Times New Roman" w:cs="Times New Roman"/>
          <w:lang w:val="en-US"/>
        </w:rPr>
        <w:t xml:space="preserve">, in </w:t>
      </w:r>
      <w:r w:rsidRPr="00796A9D">
        <w:rPr>
          <w:rFonts w:ascii="Times New Roman" w:hAnsi="Times New Roman" w:cs="Times New Roman"/>
          <w:smallCaps/>
          <w:lang w:val="en-US"/>
        </w:rPr>
        <w:t>Idem</w:t>
      </w:r>
      <w:r w:rsidRPr="00796A9D">
        <w:rPr>
          <w:rFonts w:ascii="Times New Roman" w:hAnsi="Times New Roman" w:cs="Times New Roman"/>
          <w:lang w:val="en-US"/>
        </w:rPr>
        <w:t xml:space="preserve">, </w:t>
      </w:r>
      <w:r w:rsidRPr="00796A9D">
        <w:rPr>
          <w:rFonts w:ascii="Times New Roman" w:hAnsi="Times New Roman" w:cs="Times New Roman"/>
          <w:i/>
          <w:lang w:val="en-US"/>
        </w:rPr>
        <w:t>Opera theorica</w:t>
      </w:r>
      <w:r w:rsidRPr="00796A9D">
        <w:rPr>
          <w:rFonts w:ascii="Times New Roman" w:hAnsi="Times New Roman" w:cs="Times New Roman"/>
          <w:lang w:val="en-US"/>
        </w:rPr>
        <w:t xml:space="preserve">, a cura di </w:t>
      </w:r>
      <w:r w:rsidRPr="00796A9D">
        <w:rPr>
          <w:rFonts w:ascii="Times New Roman" w:hAnsi="Times New Roman" w:cs="Times New Roman"/>
          <w:smallCaps/>
          <w:lang w:val="en-US"/>
        </w:rPr>
        <w:t>A. Seay</w:t>
      </w:r>
      <w:r w:rsidRPr="00796A9D">
        <w:rPr>
          <w:rFonts w:ascii="Times New Roman" w:hAnsi="Times New Roman" w:cs="Times New Roman"/>
          <w:lang w:val="en-US"/>
        </w:rPr>
        <w:t xml:space="preserve">, </w:t>
      </w:r>
      <w:r w:rsidRPr="00796A9D">
        <w:rPr>
          <w:rFonts w:ascii="Times New Roman" w:hAnsi="Times New Roman" w:cs="Times New Roman"/>
          <w:color w:val="000000"/>
          <w:lang w:val="en-US"/>
        </w:rPr>
        <w:t>«Corpus Scriptorum de musica»</w:t>
      </w:r>
      <w:r w:rsidRPr="00796A9D">
        <w:rPr>
          <w:rFonts w:ascii="Times New Roman" w:hAnsi="Times New Roman" w:cs="Times New Roman"/>
          <w:lang w:val="en-US"/>
        </w:rPr>
        <w:t xml:space="preserve">, XXII, 1975, p. 176. </w:t>
      </w:r>
      <w:r w:rsidRPr="00796A9D">
        <w:rPr>
          <w:rFonts w:ascii="Times New Roman" w:hAnsi="Times New Roman" w:cs="Times New Roman"/>
        </w:rPr>
        <w:t xml:space="preserve">Il richiamo a questi autori da parte del musico mi pare fosse effetto di quella più ampia discussione quattrocentesca intorno ai banchetti degli antichi cui abbiamo accennato citando Beroaldo e Pontano. </w:t>
      </w:r>
    </w:p>
  </w:footnote>
  <w:footnote w:id="800">
    <w:p w14:paraId="6A0ED0B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P. Besutti</w:t>
      </w:r>
      <w:r w:rsidRPr="00796A9D">
        <w:rPr>
          <w:rFonts w:ascii="Times New Roman" w:hAnsi="Times New Roman" w:cs="Times New Roman"/>
        </w:rPr>
        <w:t xml:space="preserve">, </w:t>
      </w:r>
      <w:r w:rsidRPr="00796A9D">
        <w:rPr>
          <w:rFonts w:ascii="Times New Roman" w:hAnsi="Times New Roman" w:cs="Times New Roman"/>
          <w:i/>
        </w:rPr>
        <w:t>Musiche e musici alla tavola dei Gonzaga</w:t>
      </w:r>
      <w:r w:rsidRPr="00796A9D">
        <w:rPr>
          <w:rFonts w:ascii="Times New Roman" w:hAnsi="Times New Roman" w:cs="Times New Roman"/>
        </w:rPr>
        <w:t xml:space="preserve">, in </w:t>
      </w:r>
      <w:r w:rsidRPr="00796A9D">
        <w:rPr>
          <w:rFonts w:ascii="Times New Roman" w:hAnsi="Times New Roman" w:cs="Times New Roman"/>
          <w:i/>
        </w:rPr>
        <w:t>Le tavole di corte tra Cinquecento e Settecento</w:t>
      </w:r>
      <w:r w:rsidRPr="00796A9D">
        <w:rPr>
          <w:rFonts w:ascii="Times New Roman" w:hAnsi="Times New Roman" w:cs="Times New Roman"/>
        </w:rPr>
        <w:t xml:space="preserve">, a cura di </w:t>
      </w:r>
      <w:r w:rsidRPr="00796A9D">
        <w:rPr>
          <w:rFonts w:ascii="Times New Roman" w:hAnsi="Times New Roman" w:cs="Times New Roman"/>
          <w:smallCaps/>
        </w:rPr>
        <w:t>A. Merlotti</w:t>
      </w:r>
      <w:r w:rsidRPr="00796A9D">
        <w:rPr>
          <w:rFonts w:ascii="Times New Roman" w:hAnsi="Times New Roman" w:cs="Times New Roman"/>
        </w:rPr>
        <w:t xml:space="preserve">, Roma, Bulzoni, 2013, pp. 185-215. L’autrice descrive cinque funzioni svolte dalla musica durante il banchetto: edonistica, educativa, ludica, organizzativa e ostentativa. Allo studio si rinvia anche per la discussione della bibliografia disponibile sul tema della musica nei conviti del Rinascimento, in vero scarsa e principalmente dedicata alla corte estense. </w:t>
      </w:r>
    </w:p>
  </w:footnote>
  <w:footnote w:id="801">
    <w:p w14:paraId="556AB68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creazione di un’esperienza sinestetica attraverso il convito vedi S. </w:t>
      </w:r>
      <w:r w:rsidRPr="00796A9D">
        <w:rPr>
          <w:rFonts w:ascii="Times New Roman" w:hAnsi="Times New Roman" w:cs="Times New Roman"/>
          <w:smallCaps/>
        </w:rPr>
        <w:t>Lorenzetti</w:t>
      </w:r>
      <w:r w:rsidRPr="00796A9D">
        <w:rPr>
          <w:rFonts w:ascii="Times New Roman" w:hAnsi="Times New Roman" w:cs="Times New Roman"/>
        </w:rPr>
        <w:t xml:space="preserve">, </w:t>
      </w:r>
      <w:r w:rsidRPr="00796A9D">
        <w:rPr>
          <w:rFonts w:ascii="Times New Roman" w:hAnsi="Times New Roman" w:cs="Times New Roman"/>
          <w:i/>
        </w:rPr>
        <w:t>«Ad ogni cenno del Signore»: la musica nel banchetto: una cornucopia dei sensi</w:t>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pp. 75-94. </w:t>
      </w:r>
    </w:p>
  </w:footnote>
  <w:footnote w:id="802">
    <w:p w14:paraId="79E8568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Corio</w:t>
      </w:r>
      <w:r w:rsidRPr="00796A9D">
        <w:rPr>
          <w:rFonts w:ascii="Times New Roman" w:hAnsi="Times New Roman" w:cs="Times New Roman"/>
        </w:rPr>
        <w:t xml:space="preserve">, </w:t>
      </w:r>
      <w:r w:rsidRPr="00796A9D">
        <w:rPr>
          <w:rFonts w:ascii="Times New Roman" w:hAnsi="Times New Roman" w:cs="Times New Roman"/>
          <w:i/>
        </w:rPr>
        <w:t>Dell’Historie milanesi</w:t>
      </w:r>
      <w:r w:rsidRPr="00796A9D">
        <w:rPr>
          <w:rFonts w:ascii="Times New Roman" w:hAnsi="Times New Roman" w:cs="Times New Roman"/>
        </w:rPr>
        <w:t xml:space="preserve">. Cito la fonte dall’edizione fornita </w:t>
      </w:r>
      <w:r w:rsidRPr="00796A9D">
        <w:rPr>
          <w:rFonts w:ascii="Times New Roman" w:hAnsi="Times New Roman" w:cs="Times New Roman"/>
          <w:smallCaps/>
        </w:rPr>
        <w:t>F. Cruciani</w:t>
      </w:r>
      <w:r w:rsidRPr="00796A9D">
        <w:rPr>
          <w:rFonts w:ascii="Times New Roman" w:hAnsi="Times New Roman" w:cs="Times New Roman"/>
        </w:rPr>
        <w:t xml:space="preserve">, </w:t>
      </w:r>
      <w:r w:rsidRPr="00796A9D">
        <w:rPr>
          <w:rFonts w:ascii="Times New Roman" w:hAnsi="Times New Roman" w:cs="Times New Roman"/>
          <w:i/>
        </w:rPr>
        <w:t>Teatro nel Rinascimento</w:t>
      </w:r>
      <w:r w:rsidRPr="00796A9D">
        <w:rPr>
          <w:rFonts w:ascii="Times New Roman" w:hAnsi="Times New Roman" w:cs="Times New Roman"/>
        </w:rPr>
        <w:t xml:space="preserve">. Roma 1450-1550, cit., p. 162. Anche per il pranzo imbandito ad Imola nel giorno dell’ingresso di Caterina Sforza apprendiamo dai </w:t>
      </w:r>
      <w:r w:rsidRPr="00796A9D">
        <w:rPr>
          <w:rFonts w:ascii="Times New Roman" w:hAnsi="Times New Roman" w:cs="Times New Roman"/>
          <w:i/>
        </w:rPr>
        <w:t>Servitores aulici</w:t>
      </w:r>
      <w:r w:rsidRPr="00796A9D">
        <w:rPr>
          <w:rFonts w:ascii="Times New Roman" w:hAnsi="Times New Roman" w:cs="Times New Roman"/>
        </w:rPr>
        <w:t xml:space="preserve"> della presenza di «una richa credenza et bene fornita d’oro et d’argento de la quale per grande moltitudine mangiaseno non se ne moveva un solo pezo». Cfr. </w:t>
      </w:r>
      <w:r w:rsidRPr="00796A9D">
        <w:rPr>
          <w:rFonts w:ascii="Times New Roman" w:hAnsi="Times New Roman" w:cs="Times New Roman"/>
          <w:smallCaps/>
        </w:rPr>
        <w:t>P.D. Pasolini</w:t>
      </w:r>
      <w:r w:rsidRPr="00796A9D">
        <w:rPr>
          <w:rFonts w:ascii="Times New Roman" w:hAnsi="Times New Roman" w:cs="Times New Roman"/>
        </w:rPr>
        <w:t xml:space="preserve">, </w:t>
      </w:r>
      <w:r w:rsidRPr="00796A9D">
        <w:rPr>
          <w:rFonts w:ascii="Times New Roman" w:hAnsi="Times New Roman" w:cs="Times New Roman"/>
          <w:i/>
        </w:rPr>
        <w:t>Caterina Sforza</w:t>
      </w:r>
      <w:r w:rsidRPr="00796A9D">
        <w:rPr>
          <w:rFonts w:ascii="Times New Roman" w:hAnsi="Times New Roman" w:cs="Times New Roman"/>
        </w:rPr>
        <w:t>, cit., vol. III, p. 44.</w:t>
      </w:r>
    </w:p>
  </w:footnote>
  <w:footnote w:id="803">
    <w:p w14:paraId="614BF61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funzione magica di uno di questi oggetti, il corno di serpente, incastonato in montatura d’oro ed usato per eliminare i veleni dai cibi è ricordata, ad esempio, in un passo del </w:t>
      </w:r>
      <w:r w:rsidRPr="00796A9D">
        <w:rPr>
          <w:rFonts w:ascii="Times New Roman" w:hAnsi="Times New Roman" w:cs="Times New Roman"/>
          <w:i/>
        </w:rPr>
        <w:t>De vita solitaria</w:t>
      </w:r>
      <w:r w:rsidRPr="00796A9D">
        <w:rPr>
          <w:rFonts w:ascii="Times New Roman" w:hAnsi="Times New Roman" w:cs="Times New Roman"/>
        </w:rPr>
        <w:t xml:space="preserve"> di Petrarca (I, II, 13). Cfr. </w:t>
      </w:r>
      <w:r w:rsidRPr="00796A9D">
        <w:rPr>
          <w:rFonts w:ascii="Times New Roman" w:hAnsi="Times New Roman" w:cs="Times New Roman"/>
          <w:smallCaps/>
        </w:rPr>
        <w:t>P. Cherchi</w:t>
      </w:r>
      <w:r w:rsidRPr="00796A9D">
        <w:rPr>
          <w:rFonts w:ascii="Times New Roman" w:hAnsi="Times New Roman" w:cs="Times New Roman"/>
        </w:rPr>
        <w:t xml:space="preserve">, </w:t>
      </w:r>
      <w:r w:rsidRPr="00796A9D">
        <w:rPr>
          <w:rFonts w:ascii="Times New Roman" w:hAnsi="Times New Roman" w:cs="Times New Roman"/>
          <w:i/>
        </w:rPr>
        <w:t>Tre note al</w:t>
      </w:r>
      <w:r w:rsidRPr="00796A9D">
        <w:rPr>
          <w:rFonts w:ascii="Times New Roman" w:hAnsi="Times New Roman" w:cs="Times New Roman"/>
        </w:rPr>
        <w:t xml:space="preserve"> De vita </w:t>
      </w:r>
      <w:r>
        <w:rPr>
          <w:rFonts w:ascii="Times New Roman" w:hAnsi="Times New Roman" w:cs="Times New Roman"/>
        </w:rPr>
        <w:t>s</w:t>
      </w:r>
      <w:r w:rsidRPr="00796A9D">
        <w:rPr>
          <w:rFonts w:ascii="Times New Roman" w:hAnsi="Times New Roman" w:cs="Times New Roman"/>
        </w:rPr>
        <w:t xml:space="preserve">olitaria, «Giornale storico della letteratura italiana», CLXXXVII, 2010, pp. 39-50, al quale si rinvia anche per maggiori indicazioni bibliografiche sull’uso delle probe nel Rinascimento e sulla rarità dell’occorrenza lessicografica del temine “probe”, tanto insolito da indurre in errore diversi degli interpreti del passo di Petrarca in cui esse sono citate. </w:t>
      </w:r>
    </w:p>
  </w:footnote>
  <w:footnote w:id="804">
    <w:p w14:paraId="3A2DD9F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 apparizione delle credenze </w:t>
      </w:r>
      <w:r>
        <w:rPr>
          <w:rFonts w:ascii="Times New Roman" w:hAnsi="Times New Roman" w:cs="Times New Roman"/>
        </w:rPr>
        <w:t>su</w:t>
      </w:r>
      <w:r w:rsidRPr="00796A9D">
        <w:rPr>
          <w:rFonts w:ascii="Times New Roman" w:hAnsi="Times New Roman" w:cs="Times New Roman"/>
        </w:rPr>
        <w:t xml:space="preserve">lla mensa del principe vedi C. </w:t>
      </w:r>
      <w:r w:rsidRPr="00796A9D">
        <w:rPr>
          <w:rFonts w:ascii="Times New Roman" w:hAnsi="Times New Roman" w:cs="Times New Roman"/>
          <w:smallCaps/>
        </w:rPr>
        <w:t>Benporat</w:t>
      </w:r>
      <w:r w:rsidRPr="00796A9D">
        <w:rPr>
          <w:rFonts w:ascii="Times New Roman" w:hAnsi="Times New Roman" w:cs="Times New Roman"/>
        </w:rPr>
        <w:t xml:space="preserve">, </w:t>
      </w:r>
      <w:r w:rsidRPr="00796A9D">
        <w:rPr>
          <w:rFonts w:ascii="Times New Roman" w:hAnsi="Times New Roman" w:cs="Times New Roman"/>
          <w:i/>
        </w:rPr>
        <w:t>Feste e banchetti.</w:t>
      </w:r>
      <w:r w:rsidRPr="00796A9D">
        <w:rPr>
          <w:rFonts w:ascii="Times New Roman" w:hAnsi="Times New Roman" w:cs="Times New Roman"/>
        </w:rPr>
        <w:t xml:space="preserve">, cit., pp. 105-106. </w:t>
      </w:r>
    </w:p>
  </w:footnote>
  <w:footnote w:id="805">
    <w:p w14:paraId="0C0F458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 xml:space="preserve">Anonimo, </w:t>
      </w:r>
      <w:r w:rsidRPr="00796A9D">
        <w:rPr>
          <w:rFonts w:ascii="Times New Roman" w:hAnsi="Times New Roman" w:cs="Times New Roman"/>
          <w:i/>
        </w:rPr>
        <w:t xml:space="preserve">Ordine de le noze de lo Illustrissimo Signor misir Costantio Sfortia, </w:t>
      </w:r>
      <w:r w:rsidRPr="00796A9D">
        <w:rPr>
          <w:rFonts w:ascii="Times New Roman" w:hAnsi="Times New Roman" w:cs="Times New Roman"/>
        </w:rPr>
        <w:t xml:space="preserve">cit., c. b3r. una seconda esposizione delle credenze sulla tavola di Costanzo e Camilla fu effettuata all’inizio della seconda parte del banchetto, introdotta dalla Luna. </w:t>
      </w:r>
    </w:p>
  </w:footnote>
  <w:footnote w:id="806">
    <w:p w14:paraId="40EBF8E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lang w:val="en-US"/>
        </w:rPr>
        <w:t xml:space="preserve"> C. </w:t>
      </w:r>
      <w:r w:rsidRPr="00796A9D">
        <w:rPr>
          <w:rFonts w:ascii="Times New Roman" w:hAnsi="Times New Roman" w:cs="Times New Roman"/>
          <w:smallCaps/>
          <w:lang w:val="en-US"/>
        </w:rPr>
        <w:t>Normore</w:t>
      </w:r>
      <w:r w:rsidRPr="00796A9D">
        <w:rPr>
          <w:rFonts w:ascii="Times New Roman" w:hAnsi="Times New Roman" w:cs="Times New Roman"/>
          <w:lang w:val="en-US"/>
        </w:rPr>
        <w:t xml:space="preserve">, </w:t>
      </w:r>
      <w:r w:rsidRPr="00796A9D">
        <w:rPr>
          <w:rFonts w:ascii="Times New Roman" w:hAnsi="Times New Roman" w:cs="Times New Roman"/>
          <w:i/>
          <w:lang w:val="en-US"/>
        </w:rPr>
        <w:t>A Feast for the Eyes</w:t>
      </w:r>
      <w:r w:rsidRPr="00796A9D">
        <w:rPr>
          <w:rFonts w:ascii="Times New Roman" w:hAnsi="Times New Roman" w:cs="Times New Roman"/>
          <w:lang w:val="en-US"/>
        </w:rPr>
        <w:t xml:space="preserve">, cit., pp. 24-24. </w:t>
      </w:r>
      <w:r w:rsidRPr="00796A9D">
        <w:rPr>
          <w:rFonts w:ascii="Times New Roman" w:hAnsi="Times New Roman" w:cs="Times New Roman"/>
        </w:rPr>
        <w:t xml:space="preserve">L’autrice riscontra come il termine </w:t>
      </w:r>
      <w:r w:rsidRPr="00796A9D">
        <w:rPr>
          <w:rFonts w:ascii="Times New Roman" w:hAnsi="Times New Roman" w:cs="Times New Roman"/>
          <w:i/>
        </w:rPr>
        <w:t>entremet</w:t>
      </w:r>
      <w:r w:rsidRPr="00796A9D">
        <w:rPr>
          <w:rFonts w:ascii="Times New Roman" w:hAnsi="Times New Roman" w:cs="Times New Roman"/>
        </w:rPr>
        <w:t xml:space="preserve"> nelle cronache quattrocentesche fosse impiegato per riferire della componente visiva più che di quella performativa degli spettacoli conviviali. Ciò rende difficile comprendere il loro svolgimento. La stessa difficoltà si riscontra nella lettura delle descrizioni italiane, dove spesso gli autori danno solo sporadiche indicazioni sull’uso di carri, di ingegni o sull’esecuzione di passi di danza da parte dei figuranti.    </w:t>
      </w:r>
    </w:p>
  </w:footnote>
  <w:footnote w:id="807">
    <w:p w14:paraId="37B7B49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C. Corvisieri</w:t>
      </w:r>
      <w:r w:rsidRPr="00796A9D">
        <w:rPr>
          <w:rFonts w:ascii="Times New Roman" w:hAnsi="Times New Roman" w:cs="Times New Roman"/>
        </w:rPr>
        <w:t xml:space="preserve">, </w:t>
      </w:r>
      <w:r w:rsidRPr="00796A9D">
        <w:rPr>
          <w:rFonts w:ascii="Times New Roman" w:hAnsi="Times New Roman" w:cs="Times New Roman"/>
          <w:i/>
        </w:rPr>
        <w:t>Il trionfo romano di Eleonora d’Aragona</w:t>
      </w:r>
      <w:r w:rsidRPr="00796A9D">
        <w:rPr>
          <w:rFonts w:ascii="Times New Roman" w:hAnsi="Times New Roman" w:cs="Times New Roman"/>
        </w:rPr>
        <w:t xml:space="preserve">, cit., p. 644. Con i tre vocaboli la duchessa indicò il terzo, il quarto e il quinto </w:t>
      </w:r>
      <w:r w:rsidRPr="00796A9D">
        <w:rPr>
          <w:rFonts w:ascii="Times New Roman" w:hAnsi="Times New Roman" w:cs="Times New Roman"/>
          <w:i/>
        </w:rPr>
        <w:t>entremet</w:t>
      </w:r>
      <w:r w:rsidRPr="00796A9D">
        <w:rPr>
          <w:rFonts w:ascii="Times New Roman" w:hAnsi="Times New Roman" w:cs="Times New Roman"/>
        </w:rPr>
        <w:t xml:space="preserve"> del ricevimento, limitandosi ad introdurre i successivi con le espressioni «venne uno», «apparve poi».</w:t>
      </w:r>
    </w:p>
  </w:footnote>
  <w:footnote w:id="808">
    <w:p w14:paraId="1D97F16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L’apparato fatto erigere dal cardinale Riario occupò interamente la piazza antistante il suo palazzo, al centro della quale si trovava un pennone con alla base una fontana. Da questo si dispiegava un velario per riparare l’area dal sole. Sui lati del piazzale erano posti due padiglioni lignei. Il primo era destinato alle recite di commedie e di sacre rappresentazioni preparate per quei giorni di festa; il secondo, diviso in tre aule all’antica aperte su un lato, ospitava le tavole d’onore del convito ed era rivestito di tappezzerie ricercate. Le due strutture incorniciavano la facciata della chiesa dei Santi Apostoli – all’epoca in ristrutturazione – e anticipavano, probabilmente, i progetti di riqualifica dell’area avviati proprio nel 1473 da Pietro Riario. Per il confronto tra le fonti che descrivono questo luogo teatrale Cfr. </w:t>
      </w:r>
      <w:r w:rsidRPr="00796A9D">
        <w:rPr>
          <w:rFonts w:ascii="Times New Roman" w:hAnsi="Times New Roman" w:cs="Times New Roman"/>
          <w:smallCaps/>
        </w:rPr>
        <w:t>C. Falletti Cruciani</w:t>
      </w:r>
      <w:r w:rsidRPr="00796A9D">
        <w:rPr>
          <w:rFonts w:ascii="Times New Roman" w:hAnsi="Times New Roman" w:cs="Times New Roman"/>
        </w:rPr>
        <w:t xml:space="preserve">, </w:t>
      </w:r>
      <w:r w:rsidRPr="00796A9D">
        <w:rPr>
          <w:rFonts w:ascii="Times New Roman" w:hAnsi="Times New Roman" w:cs="Times New Roman"/>
          <w:i/>
        </w:rPr>
        <w:t>Le feste per Eleonora d’Aragona fra Napoli e Roma nel 1473</w:t>
      </w:r>
      <w:r w:rsidRPr="00796A9D">
        <w:rPr>
          <w:rFonts w:ascii="Times New Roman" w:hAnsi="Times New Roman" w:cs="Times New Roman"/>
        </w:rPr>
        <w:t xml:space="preserve">, in </w:t>
      </w:r>
      <w:r w:rsidRPr="00796A9D">
        <w:rPr>
          <w:rFonts w:ascii="Times New Roman" w:hAnsi="Times New Roman" w:cs="Times New Roman"/>
          <w:i/>
        </w:rPr>
        <w:t>L’attore del Parnaso. Profili di attori-musici e drammaturgie d’occasione</w:t>
      </w:r>
      <w:r w:rsidRPr="00796A9D">
        <w:rPr>
          <w:rFonts w:ascii="Times New Roman" w:hAnsi="Times New Roman" w:cs="Times New Roman"/>
        </w:rPr>
        <w:t xml:space="preserve">, a cura di </w:t>
      </w:r>
      <w:r w:rsidRPr="00796A9D">
        <w:rPr>
          <w:rFonts w:ascii="Times New Roman" w:hAnsi="Times New Roman" w:cs="Times New Roman"/>
          <w:smallCaps/>
        </w:rPr>
        <w:t>F. Bortoletti</w:t>
      </w:r>
      <w:r w:rsidRPr="00796A9D">
        <w:rPr>
          <w:rFonts w:ascii="Times New Roman" w:hAnsi="Times New Roman" w:cs="Times New Roman"/>
        </w:rPr>
        <w:t xml:space="preserve">, Milano, Mimesis, 2012, pp. 199-207, cui si rinvia anche per la citazione dei poemi di Pandone, che paragonò l’apparato al doppio teatro mobile di Marco Scauro, e di Boccabella. A. </w:t>
      </w:r>
      <w:r w:rsidRPr="00796A9D">
        <w:rPr>
          <w:rFonts w:ascii="Times New Roman" w:hAnsi="Times New Roman" w:cs="Times New Roman"/>
          <w:smallCaps/>
        </w:rPr>
        <w:t>Perosa</w:t>
      </w:r>
      <w:r w:rsidRPr="00796A9D">
        <w:rPr>
          <w:rFonts w:ascii="Times New Roman" w:hAnsi="Times New Roman" w:cs="Times New Roman"/>
        </w:rPr>
        <w:t xml:space="preserve">, </w:t>
      </w:r>
      <w:r w:rsidRPr="00796A9D">
        <w:rPr>
          <w:rFonts w:ascii="Times New Roman" w:hAnsi="Times New Roman" w:cs="Times New Roman"/>
          <w:i/>
        </w:rPr>
        <w:t>Epigrammi conviviali di Domizio Calderini</w:t>
      </w:r>
      <w:r w:rsidRPr="00796A9D">
        <w:rPr>
          <w:rFonts w:ascii="Times New Roman" w:hAnsi="Times New Roman" w:cs="Times New Roman"/>
        </w:rPr>
        <w:t xml:space="preserve">, «Annali della Scuola Normale Superiore di Pisa. Classe di Lettere e Filosofia», IV, 1974, pp. 791-804 pubblica dodici epigrammi – trasmessi dai ff. 211r-211v del ms. Riccardiano 915 – composti dal veronese </w:t>
      </w:r>
      <w:bookmarkStart w:id="508" w:name="_Hlk536009101"/>
      <w:r w:rsidRPr="00796A9D">
        <w:rPr>
          <w:rFonts w:ascii="Times New Roman" w:hAnsi="Times New Roman" w:cs="Times New Roman"/>
        </w:rPr>
        <w:t xml:space="preserve">Domizio Calderini </w:t>
      </w:r>
      <w:bookmarkEnd w:id="508"/>
      <w:r w:rsidRPr="00796A9D">
        <w:rPr>
          <w:rFonts w:ascii="Times New Roman" w:hAnsi="Times New Roman" w:cs="Times New Roman"/>
        </w:rPr>
        <w:t xml:space="preserve">per il banchetto, i quali coincidono con dieci dei componimenti riportati da Eleonora d’Aragona. L’umanista, protetto dei cardinali Riario e dello stesso Sisto IV, fu pertanto l’autore dei testi agiti durante la festa.          </w:t>
      </w:r>
    </w:p>
  </w:footnote>
  <w:footnote w:id="809">
    <w:p w14:paraId="6915C40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C. Corvisieri</w:t>
      </w:r>
      <w:r w:rsidRPr="00796A9D">
        <w:rPr>
          <w:rFonts w:ascii="Times New Roman" w:hAnsi="Times New Roman" w:cs="Times New Roman"/>
        </w:rPr>
        <w:t xml:space="preserve">, </w:t>
      </w:r>
      <w:r w:rsidRPr="00796A9D">
        <w:rPr>
          <w:rFonts w:ascii="Times New Roman" w:hAnsi="Times New Roman" w:cs="Times New Roman"/>
          <w:i/>
        </w:rPr>
        <w:t>Il trionfo romano di Eleonora d’Aragona</w:t>
      </w:r>
      <w:r w:rsidRPr="00796A9D">
        <w:rPr>
          <w:rFonts w:ascii="Times New Roman" w:hAnsi="Times New Roman" w:cs="Times New Roman"/>
        </w:rPr>
        <w:t>, cit., p. 645.</w:t>
      </w:r>
    </w:p>
  </w:footnote>
  <w:footnote w:id="810">
    <w:p w14:paraId="030D394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Ibidem</w:t>
      </w:r>
      <w:r w:rsidRPr="00796A9D">
        <w:rPr>
          <w:rFonts w:ascii="Times New Roman" w:hAnsi="Times New Roman" w:cs="Times New Roman"/>
        </w:rPr>
        <w:t xml:space="preserve">. </w:t>
      </w:r>
    </w:p>
  </w:footnote>
  <w:footnote w:id="811">
    <w:p w14:paraId="2D5BF7C5" w14:textId="77777777" w:rsidR="00CF5CFB" w:rsidRPr="00796A9D" w:rsidRDefault="00CF5CFB" w:rsidP="00796A9D">
      <w:pPr>
        <w:spacing w:after="0"/>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Interessanti riflessioni sul continuo scambio dei piani reale e rappresentativo e sui meccanismi e le finalità di attualizzazione della mitografia pagana negli spettacoli conviviali italiani del Quattrocento si leggono in </w:t>
      </w:r>
      <w:r w:rsidRPr="00796A9D">
        <w:rPr>
          <w:rFonts w:ascii="Times New Roman" w:hAnsi="Times New Roman" w:cs="Times New Roman"/>
          <w:smallCaps/>
          <w:sz w:val="20"/>
          <w:szCs w:val="20"/>
        </w:rPr>
        <w:t>F. Bortoletti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Les dieux au grand banquet: textes et spectacles des cours italiennes du XV</w:t>
      </w:r>
      <w:r w:rsidRPr="00796A9D">
        <w:rPr>
          <w:rFonts w:ascii="Times New Roman" w:hAnsi="Times New Roman" w:cs="Times New Roman"/>
          <w:i/>
          <w:sz w:val="20"/>
          <w:szCs w:val="20"/>
          <w:vertAlign w:val="superscript"/>
        </w:rPr>
        <w:t>e</w:t>
      </w:r>
      <w:r w:rsidRPr="00796A9D">
        <w:rPr>
          <w:rFonts w:ascii="Times New Roman" w:hAnsi="Times New Roman" w:cs="Times New Roman"/>
          <w:i/>
          <w:sz w:val="20"/>
          <w:szCs w:val="20"/>
        </w:rPr>
        <w:t xml:space="preserve"> siècle</w:t>
      </w:r>
      <w:r w:rsidRPr="00796A9D">
        <w:rPr>
          <w:rFonts w:ascii="Times New Roman" w:hAnsi="Times New Roman" w:cs="Times New Roman"/>
          <w:sz w:val="20"/>
          <w:szCs w:val="20"/>
        </w:rPr>
        <w:t xml:space="preserve">, dans </w:t>
      </w:r>
      <w:r w:rsidRPr="00796A9D">
        <w:rPr>
          <w:rFonts w:ascii="Times New Roman" w:hAnsi="Times New Roman" w:cs="Times New Roman"/>
          <w:i/>
          <w:sz w:val="20"/>
          <w:szCs w:val="20"/>
        </w:rPr>
        <w:t>Dieu et les dieux dans le théâtre de la Renaissance</w:t>
      </w:r>
      <w:r w:rsidRPr="00796A9D">
        <w:rPr>
          <w:rFonts w:ascii="Times New Roman" w:hAnsi="Times New Roman" w:cs="Times New Roman"/>
          <w:sz w:val="20"/>
          <w:szCs w:val="20"/>
        </w:rPr>
        <w:t xml:space="preserve">. </w:t>
      </w:r>
      <w:r w:rsidRPr="00796A9D">
        <w:rPr>
          <w:rFonts w:ascii="Times New Roman" w:hAnsi="Times New Roman" w:cs="Times New Roman"/>
          <w:sz w:val="20"/>
          <w:szCs w:val="20"/>
          <w:lang w:val="en-US"/>
        </w:rPr>
        <w:t>Actes du XLV</w:t>
      </w:r>
      <w:r w:rsidRPr="00796A9D">
        <w:rPr>
          <w:rFonts w:ascii="Times New Roman" w:hAnsi="Times New Roman" w:cs="Times New Roman"/>
          <w:sz w:val="20"/>
          <w:szCs w:val="20"/>
          <w:vertAlign w:val="superscript"/>
          <w:lang w:val="en-US"/>
        </w:rPr>
        <w:t>e</w:t>
      </w:r>
      <w:r w:rsidRPr="00796A9D">
        <w:rPr>
          <w:rFonts w:ascii="Times New Roman" w:hAnsi="Times New Roman" w:cs="Times New Roman"/>
          <w:sz w:val="20"/>
          <w:szCs w:val="20"/>
          <w:lang w:val="en-US"/>
        </w:rPr>
        <w:t xml:space="preserve"> Colloque International d’Etudes Humanistes (01-06 juillet 2002), sous la direction de </w:t>
      </w:r>
      <w:r w:rsidRPr="00796A9D">
        <w:rPr>
          <w:rFonts w:ascii="Times New Roman" w:hAnsi="Times New Roman" w:cs="Times New Roman"/>
          <w:smallCaps/>
          <w:sz w:val="20"/>
          <w:szCs w:val="20"/>
          <w:lang w:val="en-US"/>
        </w:rPr>
        <w:t>J.P. Bordier, A. Lascombes</w:t>
      </w:r>
      <w:r w:rsidRPr="00796A9D">
        <w:rPr>
          <w:rFonts w:ascii="Times New Roman" w:hAnsi="Times New Roman" w:cs="Times New Roman"/>
          <w:sz w:val="20"/>
          <w:szCs w:val="20"/>
          <w:lang w:val="en-US"/>
        </w:rPr>
        <w:t xml:space="preserve"> Turnhout, Brepols, 2006, pp. 453-468. </w:t>
      </w:r>
      <w:r w:rsidRPr="00796A9D">
        <w:rPr>
          <w:rFonts w:ascii="Times New Roman" w:hAnsi="Times New Roman" w:cs="Times New Roman"/>
          <w:sz w:val="20"/>
          <w:szCs w:val="20"/>
        </w:rPr>
        <w:t xml:space="preserve">Sulla figura di Ercole, quale immagine perfetta del processo d’elevazione della natura umana alla condizione divina e sull’impiego delle sue fatiche quale soggetto iconografico nei percorsi trionfali delle feste dinastiche della casata estense, in osservanza alla ripresa rinascimentale delle dottrine di Evemero vedi </w:t>
      </w:r>
      <w:r w:rsidRPr="00796A9D">
        <w:rPr>
          <w:rFonts w:ascii="Times New Roman" w:hAnsi="Times New Roman" w:cs="Times New Roman"/>
          <w:smallCaps/>
          <w:sz w:val="20"/>
          <w:szCs w:val="20"/>
        </w:rPr>
        <w:t>S. Mamone</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Il terzo Seneca e l’Ercole rapito</w:t>
      </w:r>
      <w:r w:rsidRPr="00796A9D">
        <w:rPr>
          <w:rFonts w:ascii="Times New Roman" w:hAnsi="Times New Roman" w:cs="Times New Roman"/>
          <w:sz w:val="20"/>
          <w:szCs w:val="20"/>
        </w:rPr>
        <w:t xml:space="preserve">, in </w:t>
      </w:r>
      <w:r w:rsidRPr="00796A9D">
        <w:rPr>
          <w:rFonts w:ascii="Times New Roman" w:hAnsi="Times New Roman" w:cs="Times New Roman"/>
          <w:smallCaps/>
          <w:sz w:val="20"/>
          <w:szCs w:val="20"/>
        </w:rPr>
        <w:t>Eadem,</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Dèi, semidei e uomini. Lo spettacolo a Firenze tra neoplatonismo e realtà borghese (XV-XVII secolo),</w:t>
      </w:r>
      <w:r w:rsidRPr="00796A9D">
        <w:rPr>
          <w:rFonts w:ascii="Times New Roman" w:hAnsi="Times New Roman" w:cs="Times New Roman"/>
          <w:sz w:val="20"/>
          <w:szCs w:val="20"/>
        </w:rPr>
        <w:t xml:space="preserve"> cit., pp.  81-107. </w:t>
      </w:r>
    </w:p>
  </w:footnote>
  <w:footnote w:id="812">
    <w:p w14:paraId="3C3D0E4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Mantova e Urbino</w:t>
      </w:r>
      <w:r w:rsidRPr="00796A9D">
        <w:rPr>
          <w:rFonts w:ascii="Times New Roman" w:hAnsi="Times New Roman" w:cs="Times New Roman"/>
        </w:rPr>
        <w:t>, cit., p. 19.</w:t>
      </w:r>
    </w:p>
  </w:footnote>
  <w:footnote w:id="813">
    <w:p w14:paraId="0D59456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J. De Vries</w:t>
      </w:r>
      <w:r w:rsidRPr="00796A9D">
        <w:rPr>
          <w:rFonts w:ascii="Times New Roman" w:hAnsi="Times New Roman" w:cs="Times New Roman"/>
        </w:rPr>
        <w:t xml:space="preserve">, </w:t>
      </w:r>
      <w:r w:rsidRPr="00796A9D">
        <w:rPr>
          <w:rFonts w:ascii="Times New Roman" w:hAnsi="Times New Roman" w:cs="Times New Roman"/>
          <w:i/>
        </w:rPr>
        <w:t xml:space="preserve">Caterina Sforza and the Art of Appearances, </w:t>
      </w:r>
      <w:r w:rsidRPr="00796A9D">
        <w:rPr>
          <w:rFonts w:ascii="Times New Roman" w:hAnsi="Times New Roman" w:cs="Times New Roman"/>
        </w:rPr>
        <w:t xml:space="preserve">cit., p. 26. Il Palazzo Corsini sorge nei pressi di Campo dei Fiori. Per raggiungerlo il corteo nuziale attraversò il Ponte Sant’Angelo, proseguendo in direzione di Piazza Navona per arrivare quindi al Piazzale. La sfarzosa decorazione floreale delle vie destò la perplessità dei contemporanei, che non gradirono lo svolgimento di questo matrimonio principesco nella città dei pontefici.       </w:t>
      </w:r>
    </w:p>
  </w:footnote>
  <w:footnote w:id="814">
    <w:p w14:paraId="34C8868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missiva da Roma dei </w:t>
      </w:r>
      <w:r w:rsidRPr="00796A9D">
        <w:rPr>
          <w:rFonts w:ascii="Times New Roman" w:hAnsi="Times New Roman" w:cs="Times New Roman"/>
          <w:i/>
        </w:rPr>
        <w:t>servitores aulici</w:t>
      </w:r>
      <w:r w:rsidRPr="00796A9D">
        <w:rPr>
          <w:rFonts w:ascii="Times New Roman" w:hAnsi="Times New Roman" w:cs="Times New Roman"/>
        </w:rPr>
        <w:t xml:space="preserve"> è datata 28 maggio 1477. È pubblicata in P.D. </w:t>
      </w:r>
      <w:r w:rsidRPr="00796A9D">
        <w:rPr>
          <w:rFonts w:ascii="Times New Roman" w:hAnsi="Times New Roman" w:cs="Times New Roman"/>
          <w:smallCaps/>
        </w:rPr>
        <w:t>Pasolini</w:t>
      </w:r>
      <w:r w:rsidRPr="00796A9D">
        <w:rPr>
          <w:rFonts w:ascii="Times New Roman" w:hAnsi="Times New Roman" w:cs="Times New Roman"/>
        </w:rPr>
        <w:t xml:space="preserve">, </w:t>
      </w:r>
      <w:r w:rsidRPr="00796A9D">
        <w:rPr>
          <w:rFonts w:ascii="Times New Roman" w:hAnsi="Times New Roman" w:cs="Times New Roman"/>
          <w:i/>
        </w:rPr>
        <w:t>Caterina Sforza</w:t>
      </w:r>
      <w:r w:rsidRPr="00796A9D">
        <w:rPr>
          <w:rFonts w:ascii="Times New Roman" w:hAnsi="Times New Roman" w:cs="Times New Roman"/>
        </w:rPr>
        <w:t xml:space="preserve">, cit., vol. III, pp. 57-58. </w:t>
      </w:r>
    </w:p>
  </w:footnote>
  <w:footnote w:id="815">
    <w:p w14:paraId="0BDE3B3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P.D. </w:t>
      </w:r>
      <w:r w:rsidRPr="00796A9D">
        <w:rPr>
          <w:rFonts w:ascii="Times New Roman" w:hAnsi="Times New Roman" w:cs="Times New Roman"/>
          <w:smallCaps/>
        </w:rPr>
        <w:t>Pasolini</w:t>
      </w:r>
      <w:r w:rsidRPr="00796A9D">
        <w:rPr>
          <w:rFonts w:ascii="Times New Roman" w:hAnsi="Times New Roman" w:cs="Times New Roman"/>
        </w:rPr>
        <w:t xml:space="preserve">, </w:t>
      </w:r>
      <w:r w:rsidRPr="00796A9D">
        <w:rPr>
          <w:rFonts w:ascii="Times New Roman" w:hAnsi="Times New Roman" w:cs="Times New Roman"/>
          <w:i/>
        </w:rPr>
        <w:t>Caterina Sforza</w:t>
      </w:r>
      <w:r w:rsidRPr="00796A9D">
        <w:rPr>
          <w:rFonts w:ascii="Times New Roman" w:hAnsi="Times New Roman" w:cs="Times New Roman"/>
        </w:rPr>
        <w:t>, cit., vol. III, p. 47.</w:t>
      </w:r>
    </w:p>
  </w:footnote>
  <w:footnote w:id="816">
    <w:p w14:paraId="67929A1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Alcune tecniche di doratura degli alimenti e di cottura delle carni in modo che gli animali sembrassero vivi sono tramandate dal </w:t>
      </w:r>
      <w:r w:rsidRPr="00796A9D">
        <w:rPr>
          <w:rFonts w:ascii="Times New Roman" w:hAnsi="Times New Roman" w:cs="Times New Roman"/>
          <w:i/>
        </w:rPr>
        <w:t>Viandier</w:t>
      </w:r>
      <w:r w:rsidRPr="00796A9D">
        <w:rPr>
          <w:rFonts w:ascii="Times New Roman" w:hAnsi="Times New Roman" w:cs="Times New Roman"/>
        </w:rPr>
        <w:t xml:space="preserve"> di Guillaume Taillevent, uno dei primi trattati medievali di cucina scritto dal cuoco dei re di Francia Carlo V e VI e circolante anche in Italia, che attesta come alla fine del Trecento tali pratiche fossero già ampiamente diffuse. Cfr. C. </w:t>
      </w:r>
      <w:r w:rsidRPr="00796A9D">
        <w:rPr>
          <w:rFonts w:ascii="Times New Roman" w:hAnsi="Times New Roman" w:cs="Times New Roman"/>
          <w:smallCaps/>
        </w:rPr>
        <w:t>Benporat</w:t>
      </w:r>
      <w:r w:rsidRPr="00796A9D">
        <w:rPr>
          <w:rFonts w:ascii="Times New Roman" w:hAnsi="Times New Roman" w:cs="Times New Roman"/>
        </w:rPr>
        <w:t xml:space="preserve">, </w:t>
      </w:r>
      <w:r w:rsidRPr="00796A9D">
        <w:rPr>
          <w:rFonts w:ascii="Times New Roman" w:hAnsi="Times New Roman" w:cs="Times New Roman"/>
          <w:i/>
        </w:rPr>
        <w:t>Feste e banchetti.</w:t>
      </w:r>
      <w:r w:rsidRPr="00796A9D">
        <w:rPr>
          <w:rFonts w:ascii="Times New Roman" w:hAnsi="Times New Roman" w:cs="Times New Roman"/>
        </w:rPr>
        <w:t xml:space="preserve">, cit., pp. 48-53. </w:t>
      </w:r>
    </w:p>
  </w:footnote>
  <w:footnote w:id="817">
    <w:p w14:paraId="7E2DB6B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 significato contradditorio del banchetto quale occasione di passaggio dalla morte alla vita, dalla realtà inanimata a quella animata, dal mondo della realtà a quello della finzione si rinvia alle considerazioni espresse in </w:t>
      </w:r>
      <w:r w:rsidRPr="00796A9D">
        <w:rPr>
          <w:rFonts w:ascii="Times New Roman" w:hAnsi="Times New Roman" w:cs="Times New Roman"/>
          <w:smallCaps/>
        </w:rPr>
        <w:t>A. Gareffi</w:t>
      </w:r>
      <w:r w:rsidRPr="00796A9D">
        <w:rPr>
          <w:rFonts w:ascii="Times New Roman" w:hAnsi="Times New Roman" w:cs="Times New Roman"/>
        </w:rPr>
        <w:t xml:space="preserve">, </w:t>
      </w:r>
      <w:r w:rsidRPr="00796A9D">
        <w:rPr>
          <w:rFonts w:ascii="Times New Roman" w:hAnsi="Times New Roman" w:cs="Times New Roman"/>
          <w:i/>
        </w:rPr>
        <w:t>La scrittura e la festa. Teatro festa e letteratura nella Firenze del Rinascimento</w:t>
      </w:r>
      <w:r w:rsidRPr="00796A9D">
        <w:rPr>
          <w:rFonts w:ascii="Times New Roman" w:hAnsi="Times New Roman" w:cs="Times New Roman"/>
        </w:rPr>
        <w:t>, Bologna, il Mulino, 1991, pp. 46-58.</w:t>
      </w:r>
    </w:p>
  </w:footnote>
  <w:footnote w:id="818">
    <w:p w14:paraId="3AC7BFA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L’apparizione di un figurante nelle vesti di Apicio fu assolutamente inedita in un banchetto rinascimentale, cfr.  A. </w:t>
      </w:r>
      <w:r w:rsidRPr="003B02D7">
        <w:rPr>
          <w:rFonts w:ascii="Times New Roman" w:hAnsi="Times New Roman" w:cs="Times New Roman"/>
          <w:smallCaps/>
        </w:rPr>
        <w:t>Tissoni Benvenuti</w:t>
      </w:r>
      <w:r w:rsidRPr="00796A9D">
        <w:rPr>
          <w:rFonts w:ascii="Times New Roman" w:hAnsi="Times New Roman" w:cs="Times New Roman"/>
        </w:rPr>
        <w:t xml:space="preserve">, </w:t>
      </w:r>
      <w:r w:rsidRPr="00796A9D">
        <w:rPr>
          <w:rFonts w:ascii="Times New Roman" w:hAnsi="Times New Roman" w:cs="Times New Roman"/>
          <w:i/>
        </w:rPr>
        <w:t>Il teatro volgare della Milano sforzesca</w:t>
      </w:r>
      <w:r w:rsidRPr="00796A9D">
        <w:rPr>
          <w:rFonts w:ascii="Times New Roman" w:hAnsi="Times New Roman" w:cs="Times New Roman"/>
        </w:rPr>
        <w:t xml:space="preserve">, in </w:t>
      </w:r>
      <w:r w:rsidRPr="00796A9D">
        <w:rPr>
          <w:rFonts w:ascii="Times New Roman" w:hAnsi="Times New Roman" w:cs="Times New Roman"/>
          <w:i/>
        </w:rPr>
        <w:t>Milano nell’età di Ludovico il Moro</w:t>
      </w:r>
      <w:r w:rsidRPr="00796A9D">
        <w:rPr>
          <w:rFonts w:ascii="Times New Roman" w:hAnsi="Times New Roman" w:cs="Times New Roman"/>
        </w:rPr>
        <w:t xml:space="preserve">, Atti del convegno internazionale (Milano, 28 febbraio-4 marzo 1983), Milano, Comune di Milano e Biblioteca Trivulziana 1983, pp. 333-351. La divisione del banchetto di Bergonzio Botta in due sezioni, di grasso e di magro, alludeva alla globalità degli alimenti su cui agirono gli apparatori del convito. Nella prima sezione undici portate, in cinque servizi, furono presentate da Mercurio, Giasone, Atalanta, Diana Iris, Orfeo, Pan, Vetumno e Pomona, Apicio, cui seguì l’ingresso di Ebe per offrire ai commensali ambrosia e nettare. Ad Apicio, che con l’arte della cucina aveva tramutato gli alimenti in pietanze, spettò il compito di marcare il passaggio alla seconda parte del banchetto, ossia di segnalare l’alternanza tra le specialità di terra e di mare. Presentarono allora i loro doni il Po, le Naiadi, Silvano, Ulisse, Bacco, Fauno, Glauco. Quest’ultimo, come già il cuoco degli antichi, rappresentava il potere della metamorfosi quale passaggio da una condizione dell’esistenza ad un’altra, sublimata attraverso l’esperienza del banchetto. </w:t>
      </w:r>
    </w:p>
  </w:footnote>
  <w:footnote w:id="819">
    <w:p w14:paraId="1C1071F7" w14:textId="77777777" w:rsidR="00CF5CFB" w:rsidRPr="00796A9D" w:rsidRDefault="00CF5CFB" w:rsidP="00796A9D">
      <w:pPr>
        <w:pStyle w:val="Testonotaapidipagina"/>
        <w:jc w:val="both"/>
        <w:rPr>
          <w:rFonts w:ascii="Times New Roman" w:hAnsi="Times New Roman" w:cs="Times New Roman"/>
          <w:lang w:val="en-US"/>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primato dell’aspetto estetico di questi trionfi di zucchero e per lo spettacolare spreco di denaro necessario alla loro creazione come dimostrazione della </w:t>
      </w:r>
      <w:r w:rsidRPr="00796A9D">
        <w:rPr>
          <w:rFonts w:ascii="Times New Roman" w:hAnsi="Times New Roman" w:cs="Times New Roman"/>
          <w:i/>
        </w:rPr>
        <w:t>magnificentia</w:t>
      </w:r>
      <w:r w:rsidRPr="00796A9D">
        <w:rPr>
          <w:rFonts w:ascii="Times New Roman" w:hAnsi="Times New Roman" w:cs="Times New Roman"/>
        </w:rPr>
        <w:t xml:space="preserve"> del principe cfr. </w:t>
      </w:r>
      <w:r w:rsidRPr="00796A9D">
        <w:rPr>
          <w:rFonts w:ascii="Times New Roman" w:hAnsi="Times New Roman" w:cs="Times New Roman"/>
          <w:smallCaps/>
        </w:rPr>
        <w:t>J. Imorde,</w:t>
      </w:r>
      <w:r w:rsidRPr="00796A9D">
        <w:rPr>
          <w:rFonts w:ascii="Times New Roman" w:hAnsi="Times New Roman" w:cs="Times New Roman"/>
        </w:rPr>
        <w:t xml:space="preserve"> </w:t>
      </w:r>
      <w:r w:rsidRPr="00796A9D">
        <w:rPr>
          <w:rFonts w:ascii="Times New Roman" w:hAnsi="Times New Roman" w:cs="Times New Roman"/>
          <w:i/>
        </w:rPr>
        <w:t>Edible prestige</w:t>
      </w:r>
      <w:r w:rsidRPr="00796A9D">
        <w:rPr>
          <w:rFonts w:ascii="Times New Roman" w:hAnsi="Times New Roman" w:cs="Times New Roman"/>
        </w:rPr>
        <w:t xml:space="preserve">, in </w:t>
      </w:r>
      <w:r w:rsidRPr="00796A9D">
        <w:rPr>
          <w:rFonts w:ascii="Times New Roman" w:hAnsi="Times New Roman" w:cs="Times New Roman"/>
          <w:i/>
        </w:rPr>
        <w:t xml:space="preserve">The Edible Monument. </w:t>
      </w:r>
      <w:r w:rsidRPr="00796A9D">
        <w:rPr>
          <w:rFonts w:ascii="Times New Roman" w:hAnsi="Times New Roman" w:cs="Times New Roman"/>
          <w:i/>
          <w:lang w:val="en-US"/>
        </w:rPr>
        <w:t>The Art of Food for Festivals</w:t>
      </w:r>
      <w:r w:rsidRPr="00796A9D">
        <w:rPr>
          <w:rFonts w:ascii="Times New Roman" w:hAnsi="Times New Roman" w:cs="Times New Roman"/>
          <w:lang w:val="en-US"/>
        </w:rPr>
        <w:t xml:space="preserve">, edited by </w:t>
      </w:r>
      <w:r w:rsidRPr="00796A9D">
        <w:rPr>
          <w:rFonts w:ascii="Times New Roman" w:hAnsi="Times New Roman" w:cs="Times New Roman"/>
          <w:smallCaps/>
          <w:lang w:val="en-US"/>
        </w:rPr>
        <w:t>M. Reed</w:t>
      </w:r>
      <w:r w:rsidRPr="00796A9D">
        <w:rPr>
          <w:rFonts w:ascii="Times New Roman" w:hAnsi="Times New Roman" w:cs="Times New Roman"/>
          <w:lang w:val="en-US"/>
        </w:rPr>
        <w:t xml:space="preserve">, Los Angeles, Getty Research Istitute, 2015, pp. 101-125. </w:t>
      </w:r>
    </w:p>
  </w:footnote>
  <w:footnote w:id="820">
    <w:p w14:paraId="3DF0D3B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ricordino anche i magnifici castelli di zucchero ad imitazione del Castello di Urbino, di quello di Pavia, di Castel Santangelo, del Bagno termale di Ercole d’Este che, come detto nel capitolo II, sfilarono durante la colazione del matrimonio di Annibale Bentivoglio e Lucrezia d’Este per omaggiare gli oratori dei duchi di Urbino, di Milano e della Santa Sede e lo stesso duca di Ferrara, presente alle nozze. Sull’episodio si rinvia alle pagine del capitolo II, paragrafo 2 di questa tesi. </w:t>
      </w:r>
    </w:p>
  </w:footnote>
  <w:footnote w:id="821">
    <w:p w14:paraId="5AF6FC2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danze della festa nuziale cortigiana, non ancora affidate a soli danzatori professionisti e capaci di coinvolgere gli spettatori nelle coreografie eseguite durante e dopo l</w:t>
      </w:r>
      <w:r>
        <w:rPr>
          <w:rFonts w:ascii="Times New Roman" w:hAnsi="Times New Roman" w:cs="Times New Roman"/>
        </w:rPr>
        <w:t>e</w:t>
      </w:r>
      <w:r w:rsidRPr="00796A9D">
        <w:rPr>
          <w:rFonts w:ascii="Times New Roman" w:hAnsi="Times New Roman" w:cs="Times New Roman"/>
        </w:rPr>
        <w:t xml:space="preserve"> recit</w:t>
      </w:r>
      <w:r>
        <w:rPr>
          <w:rFonts w:ascii="Times New Roman" w:hAnsi="Times New Roman" w:cs="Times New Roman"/>
        </w:rPr>
        <w:t>e</w:t>
      </w:r>
      <w:r w:rsidRPr="00796A9D">
        <w:rPr>
          <w:rFonts w:ascii="Times New Roman" w:hAnsi="Times New Roman" w:cs="Times New Roman"/>
        </w:rPr>
        <w:t xml:space="preserve"> di farse allegoriche o commedie classiche, furono dunque spettacolo della corte e per la corte, parafrasi del potere costituito. Cfr. A. </w:t>
      </w:r>
      <w:r w:rsidRPr="00796A9D">
        <w:rPr>
          <w:rFonts w:ascii="Times New Roman" w:hAnsi="Times New Roman" w:cs="Times New Roman"/>
          <w:smallCaps/>
        </w:rPr>
        <w:t>Pontremoli</w:t>
      </w:r>
      <w:r w:rsidRPr="00796A9D">
        <w:rPr>
          <w:rFonts w:ascii="Times New Roman" w:hAnsi="Times New Roman" w:cs="Times New Roman"/>
        </w:rPr>
        <w:t xml:space="preserve">, </w:t>
      </w:r>
      <w:r w:rsidRPr="00796A9D">
        <w:rPr>
          <w:rFonts w:ascii="Times New Roman" w:hAnsi="Times New Roman" w:cs="Times New Roman"/>
          <w:i/>
        </w:rPr>
        <w:t>Danza e Rinascimento. Cultura coreica e “buone maniere” nella società di corte del XV secolo</w:t>
      </w:r>
      <w:r w:rsidRPr="00796A9D">
        <w:rPr>
          <w:rFonts w:ascii="Times New Roman" w:hAnsi="Times New Roman" w:cs="Times New Roman"/>
        </w:rPr>
        <w:t xml:space="preserve">, Macerata, Ephemeria, 2011, p. 112, che riprende la lezione di Ludovico Zorzi sulla dinamica di autocontemplazione che presiede alle forme rinascimentali di spettacolo cortigiano. </w:t>
      </w:r>
    </w:p>
  </w:footnote>
  <w:footnote w:id="822">
    <w:p w14:paraId="50345AD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xml:space="preserve">, cit., p. 89. </w:t>
      </w:r>
    </w:p>
  </w:footnote>
  <w:footnote w:id="823">
    <w:p w14:paraId="038E529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 xml:space="preserve">Anonimo, </w:t>
      </w:r>
      <w:r w:rsidRPr="00796A9D">
        <w:rPr>
          <w:rFonts w:ascii="Times New Roman" w:hAnsi="Times New Roman" w:cs="Times New Roman"/>
          <w:i/>
        </w:rPr>
        <w:t xml:space="preserve">Ordine de le noze de lo Illustrissimo Signor misir Costantio Sfortia, </w:t>
      </w:r>
      <w:r w:rsidRPr="00796A9D">
        <w:rPr>
          <w:rFonts w:ascii="Times New Roman" w:hAnsi="Times New Roman" w:cs="Times New Roman"/>
        </w:rPr>
        <w:t>cit, c. a3v.</w:t>
      </w:r>
    </w:p>
  </w:footnote>
  <w:footnote w:id="824">
    <w:p w14:paraId="0603F65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A. De Tummulillis</w:t>
      </w:r>
      <w:r w:rsidRPr="00796A9D">
        <w:rPr>
          <w:rFonts w:ascii="Times New Roman" w:hAnsi="Times New Roman" w:cs="Times New Roman"/>
        </w:rPr>
        <w:t xml:space="preserve">, </w:t>
      </w:r>
      <w:r w:rsidRPr="00796A9D">
        <w:rPr>
          <w:rFonts w:ascii="Times New Roman" w:hAnsi="Times New Roman" w:cs="Times New Roman"/>
          <w:i/>
        </w:rPr>
        <w:t>Notabilia temporum</w:t>
      </w:r>
      <w:r w:rsidRPr="00796A9D">
        <w:rPr>
          <w:rFonts w:ascii="Times New Roman" w:hAnsi="Times New Roman" w:cs="Times New Roman"/>
        </w:rPr>
        <w:t>, cit., p. 221-222.</w:t>
      </w:r>
    </w:p>
  </w:footnote>
  <w:footnote w:id="825">
    <w:p w14:paraId="610E9FB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Pr>
          <w:rFonts w:ascii="Times New Roman" w:hAnsi="Times New Roman" w:cs="Times New Roman"/>
        </w:rPr>
        <w:t>N</w:t>
      </w:r>
      <w:r w:rsidRPr="00796A9D">
        <w:rPr>
          <w:rFonts w:ascii="Times New Roman" w:hAnsi="Times New Roman" w:cs="Times New Roman"/>
        </w:rPr>
        <w:t>ella seconda metà del Quattrocento</w:t>
      </w:r>
      <w:r>
        <w:rPr>
          <w:rFonts w:ascii="Times New Roman" w:hAnsi="Times New Roman" w:cs="Times New Roman"/>
        </w:rPr>
        <w:t>,</w:t>
      </w:r>
      <w:r w:rsidRPr="00796A9D">
        <w:rPr>
          <w:rFonts w:ascii="Times New Roman" w:hAnsi="Times New Roman" w:cs="Times New Roman"/>
        </w:rPr>
        <w:t xml:space="preserve"> </w:t>
      </w:r>
      <w:r>
        <w:rPr>
          <w:rFonts w:ascii="Times New Roman" w:hAnsi="Times New Roman" w:cs="Times New Roman"/>
        </w:rPr>
        <w:t>l</w:t>
      </w:r>
      <w:r w:rsidRPr="00796A9D">
        <w:rPr>
          <w:rFonts w:ascii="Times New Roman" w:hAnsi="Times New Roman" w:cs="Times New Roman"/>
        </w:rPr>
        <w:t xml:space="preserve">a danza </w:t>
      </w:r>
      <w:r>
        <w:rPr>
          <w:rFonts w:ascii="Times New Roman" w:hAnsi="Times New Roman" w:cs="Times New Roman"/>
        </w:rPr>
        <w:t xml:space="preserve">fu ritenuta </w:t>
      </w:r>
      <w:r w:rsidRPr="00796A9D">
        <w:rPr>
          <w:rFonts w:ascii="Times New Roman" w:hAnsi="Times New Roman" w:cs="Times New Roman"/>
        </w:rPr>
        <w:t xml:space="preserve">ottimo esercizio fisico e </w:t>
      </w:r>
      <w:r>
        <w:rPr>
          <w:rFonts w:ascii="Times New Roman" w:hAnsi="Times New Roman" w:cs="Times New Roman"/>
        </w:rPr>
        <w:t xml:space="preserve">mezzo </w:t>
      </w:r>
      <w:r w:rsidRPr="00796A9D">
        <w:rPr>
          <w:rFonts w:ascii="Times New Roman" w:hAnsi="Times New Roman" w:cs="Times New Roman"/>
        </w:rPr>
        <w:t xml:space="preserve">per </w:t>
      </w:r>
      <w:r>
        <w:rPr>
          <w:rFonts w:ascii="Times New Roman" w:hAnsi="Times New Roman" w:cs="Times New Roman"/>
        </w:rPr>
        <w:t>l’</w:t>
      </w:r>
      <w:r w:rsidRPr="00796A9D">
        <w:rPr>
          <w:rFonts w:ascii="Times New Roman" w:hAnsi="Times New Roman" w:cs="Times New Roman"/>
        </w:rPr>
        <w:t>acquisi</w:t>
      </w:r>
      <w:r>
        <w:rPr>
          <w:rFonts w:ascii="Times New Roman" w:hAnsi="Times New Roman" w:cs="Times New Roman"/>
        </w:rPr>
        <w:t>zione di</w:t>
      </w:r>
      <w:r w:rsidRPr="00796A9D">
        <w:rPr>
          <w:rFonts w:ascii="Times New Roman" w:hAnsi="Times New Roman" w:cs="Times New Roman"/>
        </w:rPr>
        <w:t xml:space="preserve"> un portamento nobile all’interno d</w:t>
      </w:r>
      <w:r>
        <w:rPr>
          <w:rFonts w:ascii="Times New Roman" w:hAnsi="Times New Roman" w:cs="Times New Roman"/>
        </w:rPr>
        <w:t>e</w:t>
      </w:r>
      <w:r w:rsidRPr="00796A9D">
        <w:rPr>
          <w:rFonts w:ascii="Times New Roman" w:hAnsi="Times New Roman" w:cs="Times New Roman"/>
        </w:rPr>
        <w:t xml:space="preserve">i </w:t>
      </w:r>
      <w:r>
        <w:rPr>
          <w:rFonts w:ascii="Times New Roman" w:hAnsi="Times New Roman" w:cs="Times New Roman"/>
        </w:rPr>
        <w:t>programmi</w:t>
      </w:r>
      <w:r w:rsidRPr="00796A9D">
        <w:rPr>
          <w:rFonts w:ascii="Times New Roman" w:hAnsi="Times New Roman" w:cs="Times New Roman"/>
        </w:rPr>
        <w:t xml:space="preserve"> pedagogi</w:t>
      </w:r>
      <w:r>
        <w:rPr>
          <w:rFonts w:ascii="Times New Roman" w:hAnsi="Times New Roman" w:cs="Times New Roman"/>
        </w:rPr>
        <w:t>ci</w:t>
      </w:r>
      <w:r w:rsidRPr="00796A9D">
        <w:rPr>
          <w:rFonts w:ascii="Times New Roman" w:hAnsi="Times New Roman" w:cs="Times New Roman"/>
        </w:rPr>
        <w:t xml:space="preserve"> umanistic</w:t>
      </w:r>
      <w:r>
        <w:rPr>
          <w:rFonts w:ascii="Times New Roman" w:hAnsi="Times New Roman" w:cs="Times New Roman"/>
        </w:rPr>
        <w:t>i</w:t>
      </w:r>
      <w:r w:rsidRPr="00796A9D">
        <w:rPr>
          <w:rFonts w:ascii="Times New Roman" w:hAnsi="Times New Roman" w:cs="Times New Roman"/>
        </w:rPr>
        <w:t xml:space="preserve"> promot</w:t>
      </w:r>
      <w:r>
        <w:rPr>
          <w:rFonts w:ascii="Times New Roman" w:hAnsi="Times New Roman" w:cs="Times New Roman"/>
        </w:rPr>
        <w:t>ori</w:t>
      </w:r>
      <w:r w:rsidRPr="00796A9D">
        <w:rPr>
          <w:rFonts w:ascii="Times New Roman" w:hAnsi="Times New Roman" w:cs="Times New Roman"/>
        </w:rPr>
        <w:t xml:space="preserve"> dell’educazione dello spirito e del corpo. Nella società delle corti essa era inoltre strumento di relazioni sociali che ogni giovane, sia </w:t>
      </w:r>
      <w:r>
        <w:rPr>
          <w:rFonts w:ascii="Times New Roman" w:hAnsi="Times New Roman" w:cs="Times New Roman"/>
        </w:rPr>
        <w:t xml:space="preserve">uomo </w:t>
      </w:r>
      <w:r w:rsidRPr="00796A9D">
        <w:rPr>
          <w:rFonts w:ascii="Times New Roman" w:hAnsi="Times New Roman" w:cs="Times New Roman"/>
        </w:rPr>
        <w:t xml:space="preserve">che </w:t>
      </w:r>
      <w:r>
        <w:rPr>
          <w:rFonts w:ascii="Times New Roman" w:hAnsi="Times New Roman" w:cs="Times New Roman"/>
        </w:rPr>
        <w:t>don</w:t>
      </w:r>
      <w:r w:rsidRPr="00796A9D">
        <w:rPr>
          <w:rFonts w:ascii="Times New Roman" w:hAnsi="Times New Roman" w:cs="Times New Roman"/>
        </w:rPr>
        <w:t>na, doveva necessariamente sapere</w:t>
      </w:r>
      <w:r>
        <w:rPr>
          <w:rFonts w:ascii="Times New Roman" w:hAnsi="Times New Roman" w:cs="Times New Roman"/>
        </w:rPr>
        <w:t xml:space="preserve"> utilizzare</w:t>
      </w:r>
      <w:r w:rsidRPr="00796A9D">
        <w:rPr>
          <w:rFonts w:ascii="Times New Roman" w:hAnsi="Times New Roman" w:cs="Times New Roman"/>
        </w:rPr>
        <w:t xml:space="preserve">. Cfr. </w:t>
      </w:r>
      <w:r w:rsidRPr="00796A9D">
        <w:rPr>
          <w:rFonts w:ascii="Times New Roman" w:hAnsi="Times New Roman" w:cs="Times New Roman"/>
          <w:smallCaps/>
        </w:rPr>
        <w:t>A. Pontremoli, P. La Rocca</w:t>
      </w:r>
      <w:r w:rsidRPr="00796A9D">
        <w:rPr>
          <w:rFonts w:ascii="Times New Roman" w:hAnsi="Times New Roman" w:cs="Times New Roman"/>
        </w:rPr>
        <w:t xml:space="preserve">, </w:t>
      </w:r>
      <w:r w:rsidRPr="00796A9D">
        <w:rPr>
          <w:rFonts w:ascii="Times New Roman" w:hAnsi="Times New Roman" w:cs="Times New Roman"/>
          <w:i/>
        </w:rPr>
        <w:t>Il ballare lombardo</w:t>
      </w:r>
      <w:r w:rsidRPr="00796A9D">
        <w:rPr>
          <w:rFonts w:ascii="Times New Roman" w:hAnsi="Times New Roman" w:cs="Times New Roman"/>
        </w:rPr>
        <w:t>, cit., pp. 134-139.</w:t>
      </w:r>
    </w:p>
  </w:footnote>
  <w:footnote w:id="826">
    <w:p w14:paraId="0911A16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L. Olivi</w:t>
      </w:r>
      <w:r w:rsidRPr="00796A9D">
        <w:rPr>
          <w:rFonts w:ascii="Times New Roman" w:hAnsi="Times New Roman" w:cs="Times New Roman"/>
        </w:rPr>
        <w:t xml:space="preserve">, </w:t>
      </w:r>
      <w:r w:rsidRPr="00796A9D">
        <w:rPr>
          <w:rFonts w:ascii="Times New Roman" w:hAnsi="Times New Roman" w:cs="Times New Roman"/>
          <w:i/>
        </w:rPr>
        <w:t>Delle nozze di Ercole I d’Este con Eleonora d’Aragona</w:t>
      </w:r>
      <w:r w:rsidRPr="00796A9D">
        <w:rPr>
          <w:rFonts w:ascii="Times New Roman" w:hAnsi="Times New Roman" w:cs="Times New Roman"/>
        </w:rPr>
        <w:t>, cit., p.20.</w:t>
      </w:r>
    </w:p>
  </w:footnote>
  <w:footnote w:id="827">
    <w:p w14:paraId="046973D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xml:space="preserve">, cit., p. 324. </w:t>
      </w:r>
    </w:p>
  </w:footnote>
  <w:footnote w:id="828">
    <w:p w14:paraId="5C8DB1E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 ruolo diplomatico della danza all’interno della festa di corte e in particolare sulla mostra di abiti e gioielli costosi quale ostentazione della magnificenza del principe in presenza di ambasciatori </w:t>
      </w:r>
      <w:r>
        <w:rPr>
          <w:rFonts w:ascii="Times New Roman" w:hAnsi="Times New Roman" w:cs="Times New Roman"/>
        </w:rPr>
        <w:t xml:space="preserve">stranieri </w:t>
      </w:r>
      <w:r w:rsidRPr="00796A9D">
        <w:rPr>
          <w:rFonts w:ascii="Times New Roman" w:hAnsi="Times New Roman" w:cs="Times New Roman"/>
        </w:rPr>
        <w:t xml:space="preserve">si veda </w:t>
      </w:r>
      <w:bookmarkStart w:id="510" w:name="_Hlk528501722"/>
      <w:r w:rsidRPr="00796A9D">
        <w:rPr>
          <w:rFonts w:ascii="Times New Roman" w:hAnsi="Times New Roman" w:cs="Times New Roman"/>
          <w:smallCaps/>
        </w:rPr>
        <w:t>B.</w:t>
      </w:r>
      <w:r>
        <w:rPr>
          <w:rFonts w:ascii="Times New Roman" w:hAnsi="Times New Roman" w:cs="Times New Roman"/>
          <w:smallCaps/>
        </w:rPr>
        <w:t xml:space="preserve"> </w:t>
      </w:r>
      <w:r w:rsidRPr="00796A9D">
        <w:rPr>
          <w:rFonts w:ascii="Times New Roman" w:hAnsi="Times New Roman" w:cs="Times New Roman"/>
          <w:smallCaps/>
        </w:rPr>
        <w:t>Sparti</w:t>
      </w:r>
      <w:r w:rsidRPr="00796A9D">
        <w:rPr>
          <w:rFonts w:ascii="Times New Roman" w:hAnsi="Times New Roman" w:cs="Times New Roman"/>
        </w:rPr>
        <w:t xml:space="preserve">, </w:t>
      </w:r>
      <w:r w:rsidRPr="00796A9D">
        <w:rPr>
          <w:rFonts w:ascii="Times New Roman" w:hAnsi="Times New Roman" w:cs="Times New Roman"/>
          <w:i/>
        </w:rPr>
        <w:t>La danza come politica al tempo di Machiavelli</w:t>
      </w:r>
      <w:r w:rsidRPr="00796A9D">
        <w:rPr>
          <w:rFonts w:ascii="Times New Roman" w:hAnsi="Times New Roman" w:cs="Times New Roman"/>
        </w:rPr>
        <w:t xml:space="preserve">, in </w:t>
      </w:r>
      <w:r w:rsidRPr="00796A9D">
        <w:rPr>
          <w:rFonts w:ascii="Times New Roman" w:hAnsi="Times New Roman" w:cs="Times New Roman"/>
          <w:i/>
        </w:rPr>
        <w:t>La lingua e le lingue di Machiavelli</w:t>
      </w:r>
      <w:r w:rsidRPr="00796A9D">
        <w:rPr>
          <w:rFonts w:ascii="Times New Roman" w:hAnsi="Times New Roman" w:cs="Times New Roman"/>
        </w:rPr>
        <w:t xml:space="preserve">. Atti del Convegno internazionale di studi (Torino, 2-4 dicembre 1999), a cura di </w:t>
      </w:r>
      <w:r w:rsidRPr="00796A9D">
        <w:rPr>
          <w:rFonts w:ascii="Times New Roman" w:hAnsi="Times New Roman" w:cs="Times New Roman"/>
          <w:smallCaps/>
        </w:rPr>
        <w:t>A. Pontremoli</w:t>
      </w:r>
      <w:r w:rsidRPr="00796A9D">
        <w:rPr>
          <w:rFonts w:ascii="Times New Roman" w:hAnsi="Times New Roman" w:cs="Times New Roman"/>
        </w:rPr>
        <w:t xml:space="preserve">, Firenze, Olschki, 2001, pp. 295-315. </w:t>
      </w:r>
    </w:p>
    <w:bookmarkEnd w:id="510"/>
  </w:footnote>
  <w:footnote w:id="829">
    <w:p w14:paraId="42EEF0F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L’autobiografia del maestro di danza Guglielmo Ebreo da Pesaro è trasmessa dalle carte 72r – 90v del manoscritto Parigi, Bibliothèque Nationale de France, Ms. It. 476. L’edizione integrale del testo si legge in </w:t>
      </w:r>
      <w:bookmarkStart w:id="511" w:name="_Hlk528501801"/>
      <w:r w:rsidRPr="00796A9D">
        <w:rPr>
          <w:rFonts w:ascii="Times New Roman" w:hAnsi="Times New Roman" w:cs="Times New Roman"/>
          <w:smallCaps/>
        </w:rPr>
        <w:t>A. Gallo</w:t>
      </w:r>
      <w:r w:rsidRPr="00796A9D">
        <w:rPr>
          <w:rFonts w:ascii="Times New Roman" w:hAnsi="Times New Roman" w:cs="Times New Roman"/>
        </w:rPr>
        <w:t xml:space="preserve">, </w:t>
      </w:r>
      <w:r w:rsidRPr="00796A9D">
        <w:rPr>
          <w:rFonts w:ascii="Times New Roman" w:hAnsi="Times New Roman" w:cs="Times New Roman"/>
          <w:i/>
        </w:rPr>
        <w:t>L’autobiografia artistica di Giovanni Ambrosio (Guglielmo Ebreo) da Pesaro</w:t>
      </w:r>
      <w:r w:rsidRPr="00796A9D">
        <w:rPr>
          <w:rFonts w:ascii="Times New Roman" w:hAnsi="Times New Roman" w:cs="Times New Roman"/>
        </w:rPr>
        <w:t>, «Studi musicali», XII, 1983, pp. 189-202</w:t>
      </w:r>
      <w:bookmarkEnd w:id="511"/>
      <w:r w:rsidRPr="00796A9D">
        <w:rPr>
          <w:rFonts w:ascii="Times New Roman" w:hAnsi="Times New Roman" w:cs="Times New Roman"/>
        </w:rPr>
        <w:t xml:space="preserve">: 201. </w:t>
      </w:r>
    </w:p>
  </w:footnote>
  <w:footnote w:id="830">
    <w:p w14:paraId="639F0BD8"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Per l’importazione a Napoli e l’esportazione di culture diverse della danza grazie ai matrimoni delle donne della casa d’Aragona si vedano le considerazioni di </w:t>
      </w:r>
      <w:bookmarkStart w:id="512" w:name="_Hlk528501912"/>
      <w:r w:rsidRPr="00796A9D">
        <w:rPr>
          <w:rFonts w:ascii="Times New Roman" w:hAnsi="Times New Roman" w:cs="Times New Roman"/>
          <w:smallCaps/>
          <w:sz w:val="20"/>
          <w:szCs w:val="20"/>
        </w:rPr>
        <w:t>C. Nocilli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Coreografare l’identità</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La danza alla corte aragonese di Napoli (1443-1502),</w:t>
      </w:r>
      <w:r w:rsidRPr="00796A9D">
        <w:rPr>
          <w:rFonts w:ascii="Times New Roman" w:hAnsi="Times New Roman" w:cs="Times New Roman"/>
          <w:sz w:val="20"/>
          <w:szCs w:val="20"/>
        </w:rPr>
        <w:t xml:space="preserve"> Torino, UTET, 2011</w:t>
      </w:r>
      <w:bookmarkEnd w:id="512"/>
      <w:r w:rsidRPr="00796A9D">
        <w:rPr>
          <w:rFonts w:ascii="Times New Roman" w:hAnsi="Times New Roman" w:cs="Times New Roman"/>
          <w:sz w:val="20"/>
          <w:szCs w:val="20"/>
        </w:rPr>
        <w:t xml:space="preserve">, pp. 118-126, dove si osserva come Beatrice d’Aragona, giunta alla corte di Buda, fosse capace, ad esempio, di ballare uno </w:t>
      </w:r>
      <w:r w:rsidRPr="00796A9D">
        <w:rPr>
          <w:rFonts w:ascii="Times New Roman" w:hAnsi="Times New Roman" w:cs="Times New Roman"/>
          <w:i/>
          <w:sz w:val="20"/>
          <w:szCs w:val="20"/>
        </w:rPr>
        <w:t xml:space="preserve">Zauner </w:t>
      </w:r>
      <w:r w:rsidRPr="00796A9D">
        <w:rPr>
          <w:rFonts w:ascii="Times New Roman" w:hAnsi="Times New Roman" w:cs="Times New Roman"/>
          <w:sz w:val="20"/>
          <w:szCs w:val="20"/>
        </w:rPr>
        <w:t xml:space="preserve">tedesco, destando l’ammirazione dei diplomatici di Mattia Corvino che non avevano mai visto tale ballo. Alla corte di Napoli la giovane aveva quindi appreso anche questa coreografia straniera.   </w:t>
      </w:r>
    </w:p>
  </w:footnote>
  <w:footnote w:id="831">
    <w:p w14:paraId="67964EA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missiva, datata 24 febbraio 1494 è edita in </w:t>
      </w:r>
      <w:bookmarkStart w:id="513" w:name="_Hlk528501957"/>
      <w:r w:rsidRPr="00796A9D">
        <w:rPr>
          <w:rFonts w:ascii="Times New Roman" w:hAnsi="Times New Roman" w:cs="Times New Roman"/>
        </w:rPr>
        <w:t xml:space="preserve">P. NEGRI, </w:t>
      </w:r>
      <w:r w:rsidRPr="00796A9D">
        <w:rPr>
          <w:rFonts w:ascii="Times New Roman" w:hAnsi="Times New Roman" w:cs="Times New Roman"/>
          <w:i/>
        </w:rPr>
        <w:t>Milano, Ferrara e Impero durante l’impresa di Carlo VIII in Italia</w:t>
      </w:r>
      <w:r w:rsidRPr="00796A9D">
        <w:rPr>
          <w:rFonts w:ascii="Times New Roman" w:hAnsi="Times New Roman" w:cs="Times New Roman"/>
        </w:rPr>
        <w:t>, «Archivio Storico Lombardo», V, 1917, pp. 423-571</w:t>
      </w:r>
      <w:bookmarkEnd w:id="513"/>
      <w:r w:rsidRPr="00796A9D">
        <w:rPr>
          <w:rFonts w:ascii="Times New Roman" w:hAnsi="Times New Roman" w:cs="Times New Roman"/>
        </w:rPr>
        <w:t xml:space="preserve">: 441. </w:t>
      </w:r>
    </w:p>
  </w:footnote>
  <w:footnote w:id="832">
    <w:p w14:paraId="0C557B0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P. Ventrone</w:t>
      </w:r>
      <w:r w:rsidRPr="00796A9D">
        <w:rPr>
          <w:rFonts w:ascii="Times New Roman" w:hAnsi="Times New Roman" w:cs="Times New Roman"/>
        </w:rPr>
        <w:t xml:space="preserve">, </w:t>
      </w:r>
      <w:r w:rsidRPr="00796A9D">
        <w:rPr>
          <w:rFonts w:ascii="Times New Roman" w:hAnsi="Times New Roman" w:cs="Times New Roman"/>
          <w:i/>
        </w:rPr>
        <w:t>Modelli ideologici e culturali nel teatro milanese di età viscontea e sforzesca</w:t>
      </w:r>
      <w:r w:rsidRPr="00796A9D">
        <w:rPr>
          <w:rFonts w:ascii="Times New Roman" w:hAnsi="Times New Roman" w:cs="Times New Roman"/>
        </w:rPr>
        <w:t xml:space="preserve">, cit., pp. 267-279. </w:t>
      </w:r>
    </w:p>
  </w:footnote>
  <w:footnote w:id="833">
    <w:p w14:paraId="465D5AC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E. </w:t>
      </w:r>
      <w:r w:rsidRPr="00796A9D">
        <w:rPr>
          <w:rFonts w:ascii="Times New Roman" w:hAnsi="Times New Roman" w:cs="Times New Roman"/>
          <w:smallCaps/>
        </w:rPr>
        <w:t>Solmi</w:t>
      </w:r>
      <w:r w:rsidRPr="00796A9D">
        <w:rPr>
          <w:rFonts w:ascii="Times New Roman" w:hAnsi="Times New Roman" w:cs="Times New Roman"/>
        </w:rPr>
        <w:t xml:space="preserve">, </w:t>
      </w:r>
      <w:r w:rsidRPr="00796A9D">
        <w:rPr>
          <w:rFonts w:ascii="Times New Roman" w:hAnsi="Times New Roman" w:cs="Times New Roman"/>
          <w:i/>
        </w:rPr>
        <w:t>La festa del Paradiso di Leonardo da Vinci</w:t>
      </w:r>
      <w:r w:rsidRPr="00796A9D">
        <w:rPr>
          <w:rFonts w:ascii="Times New Roman" w:hAnsi="Times New Roman" w:cs="Times New Roman"/>
        </w:rPr>
        <w:t>, cit., pp. 83-86.</w:t>
      </w:r>
    </w:p>
  </w:footnote>
  <w:footnote w:id="834">
    <w:p w14:paraId="0670C76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6: «Le mura de sopto da dicta cornixe erano tutte coperte de rasi con certi quadriti de tella, dove era dopinto certe ystorie antiche et molte cose de quelle che fece lo ill.mo et ex.mo duca Francesco». Concordo con Solmi nel sostenere che i “quadriti” con le imprese del primo duca Sforza fossero già stati esposti durante l’ingresso della sposa a Milano dell’anno precedente e specifico che si trattò presumibilmente dei pannelli dell’arco trionfale di Piazza Duomo. </w:t>
      </w:r>
    </w:p>
  </w:footnote>
  <w:footnote w:id="835">
    <w:p w14:paraId="2F9EBA5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nome di Domenico da Piacenza compare nelle liste dei salariati della corte estense a partire dal 1439. Nel 1455 fu a Milano per le nozze di Beatrice d’Este e Tristano Sforza, nel corso delle quali danzò con la duchessa Bianca Maria. Il manoscritto del suo </w:t>
      </w:r>
      <w:r w:rsidRPr="00796A9D">
        <w:rPr>
          <w:rFonts w:ascii="Times New Roman" w:hAnsi="Times New Roman" w:cs="Times New Roman"/>
          <w:i/>
        </w:rPr>
        <w:t>De arte saltandi et choreas ducendi</w:t>
      </w:r>
      <w:r w:rsidRPr="00796A9D">
        <w:rPr>
          <w:rFonts w:ascii="Times New Roman" w:hAnsi="Times New Roman" w:cs="Times New Roman"/>
        </w:rPr>
        <w:t xml:space="preserve"> (ms. It 972 della Bibliothèque Nationale de France) fu probabilmente presentato in tale occasione alla corte milanese. Sempre nel 1455 Antonio Cornazzaro offrì a Ippolita Sforza la prima redazione del suo </w:t>
      </w:r>
      <w:r w:rsidRPr="00796A9D">
        <w:rPr>
          <w:rFonts w:ascii="Times New Roman" w:hAnsi="Times New Roman" w:cs="Times New Roman"/>
          <w:i/>
        </w:rPr>
        <w:t>Libro dell’arte del danzare</w:t>
      </w:r>
      <w:r w:rsidRPr="00796A9D">
        <w:rPr>
          <w:rFonts w:ascii="Times New Roman" w:hAnsi="Times New Roman" w:cs="Times New Roman"/>
        </w:rPr>
        <w:t xml:space="preserve">, e la seconda a Sforza Secondo Sforza (Città del Vaticano, Biblioteca Apostolica Vaticana, Capponiano 203). A Galeazzo Maria Sforza Guglielmo Ebreo offrì infine, nel 1463 il </w:t>
      </w:r>
      <w:r w:rsidRPr="00796A9D">
        <w:rPr>
          <w:rFonts w:ascii="Times New Roman" w:hAnsi="Times New Roman" w:cs="Times New Roman"/>
          <w:i/>
        </w:rPr>
        <w:t>De pratica seu arte tripudii</w:t>
      </w:r>
      <w:r w:rsidRPr="00796A9D">
        <w:rPr>
          <w:rFonts w:ascii="Times New Roman" w:hAnsi="Times New Roman" w:cs="Times New Roman"/>
        </w:rPr>
        <w:t xml:space="preserve"> (Parigi, Bibliothèque Nationale de France, ms. It. 973). Tutti i trattati sono dunque giunti nella loro copia di dedica destinata alla biblioteca di Pavia. cfr. </w:t>
      </w:r>
      <w:bookmarkStart w:id="516" w:name="_Hlk528502059"/>
      <w:r w:rsidRPr="00796A9D">
        <w:rPr>
          <w:rFonts w:ascii="Times New Roman" w:hAnsi="Times New Roman" w:cs="Times New Roman"/>
          <w:smallCaps/>
        </w:rPr>
        <w:t>Guglielmo Ebreo da Pesaro</w:t>
      </w:r>
      <w:r w:rsidRPr="00796A9D">
        <w:rPr>
          <w:rFonts w:ascii="Times New Roman" w:hAnsi="Times New Roman" w:cs="Times New Roman"/>
        </w:rPr>
        <w:t xml:space="preserve">, </w:t>
      </w:r>
      <w:r w:rsidRPr="00796A9D">
        <w:rPr>
          <w:rFonts w:ascii="Times New Roman" w:hAnsi="Times New Roman" w:cs="Times New Roman"/>
          <w:i/>
        </w:rPr>
        <w:t>De pratica seu arte tripudii</w:t>
      </w:r>
      <w:r w:rsidRPr="00796A9D">
        <w:rPr>
          <w:rFonts w:ascii="Times New Roman" w:hAnsi="Times New Roman" w:cs="Times New Roman"/>
        </w:rPr>
        <w:t xml:space="preserve">, edited by </w:t>
      </w:r>
      <w:r w:rsidRPr="00796A9D">
        <w:rPr>
          <w:rFonts w:ascii="Times New Roman" w:hAnsi="Times New Roman" w:cs="Times New Roman"/>
          <w:smallCaps/>
        </w:rPr>
        <w:t>B. Sparti</w:t>
      </w:r>
      <w:r w:rsidRPr="00796A9D">
        <w:rPr>
          <w:rFonts w:ascii="Times New Roman" w:hAnsi="Times New Roman" w:cs="Times New Roman"/>
        </w:rPr>
        <w:t>, Oxford, Clarendon Press, 1993</w:t>
      </w:r>
      <w:bookmarkEnd w:id="516"/>
      <w:r w:rsidRPr="00796A9D">
        <w:rPr>
          <w:rFonts w:ascii="Times New Roman" w:hAnsi="Times New Roman" w:cs="Times New Roman"/>
        </w:rPr>
        <w:t xml:space="preserve">, pp. 3-7; e inoltre </w:t>
      </w:r>
      <w:r w:rsidRPr="00796A9D">
        <w:rPr>
          <w:rFonts w:ascii="Times New Roman" w:hAnsi="Times New Roman" w:cs="Times New Roman"/>
          <w:smallCaps/>
        </w:rPr>
        <w:t>A. Gallo</w:t>
      </w:r>
      <w:r w:rsidRPr="00796A9D">
        <w:rPr>
          <w:rFonts w:ascii="Times New Roman" w:hAnsi="Times New Roman" w:cs="Times New Roman"/>
        </w:rPr>
        <w:t xml:space="preserve">, </w:t>
      </w:r>
      <w:r w:rsidRPr="00796A9D">
        <w:rPr>
          <w:rFonts w:ascii="Times New Roman" w:hAnsi="Times New Roman" w:cs="Times New Roman"/>
          <w:i/>
        </w:rPr>
        <w:t>L’autobiografia artistica di Giovanni Ambrosio (Guglielmo Ebreo) da Pesaro</w:t>
      </w:r>
      <w:r w:rsidRPr="00796A9D">
        <w:rPr>
          <w:rFonts w:ascii="Times New Roman" w:hAnsi="Times New Roman" w:cs="Times New Roman"/>
        </w:rPr>
        <w:t xml:space="preserve">, cit., pp. 194-195 per indicazioni sugli esemplari dell’opera presenti nelle biblioteche di Federico da Montefeltro e di Alessandro Sforza.  </w:t>
      </w:r>
    </w:p>
  </w:footnote>
  <w:footnote w:id="836">
    <w:p w14:paraId="775EB7F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presenza di maestri di danza fu annotata spesso anche nelle liste dei cortigiani componenti il seguito delle spose nei loro viaggi nuziali. Giovanni Martino, ad esempio, fu nella comitiva napoletana che giunse a Ferrara per lo sposalizio di Eleonora d’Aragona nel 1473. Sull’importanza degli spostamenti dei danzatori in occasione di feste nuziali per la circolazione di modelli e prassi coreutiche tra una corte e l’altra dell’Italia rinascimentale rinvio a </w:t>
      </w:r>
      <w:r w:rsidRPr="00796A9D">
        <w:rPr>
          <w:rFonts w:ascii="Times New Roman" w:hAnsi="Times New Roman" w:cs="Times New Roman"/>
          <w:smallCaps/>
        </w:rPr>
        <w:t>L. Acone</w:t>
      </w:r>
      <w:r w:rsidRPr="00796A9D">
        <w:rPr>
          <w:rFonts w:ascii="Times New Roman" w:hAnsi="Times New Roman" w:cs="Times New Roman"/>
        </w:rPr>
        <w:t xml:space="preserve">, </w:t>
      </w:r>
      <w:r w:rsidRPr="00796A9D">
        <w:rPr>
          <w:rFonts w:ascii="Times New Roman" w:hAnsi="Times New Roman" w:cs="Times New Roman"/>
          <w:i/>
        </w:rPr>
        <w:t>L’ordine et le mouvement, la danse et les fêtes de mariage. Alliances, cérémonies et représentations allégoriques</w:t>
      </w:r>
      <w:r w:rsidRPr="00796A9D">
        <w:rPr>
          <w:rFonts w:ascii="Times New Roman" w:hAnsi="Times New Roman" w:cs="Times New Roman"/>
        </w:rPr>
        <w:t xml:space="preserve">, dans </w:t>
      </w:r>
      <w:r w:rsidRPr="00796A9D">
        <w:rPr>
          <w:rFonts w:ascii="Times New Roman" w:hAnsi="Times New Roman" w:cs="Times New Roman"/>
          <w:i/>
        </w:rPr>
        <w:t>Contre-champs. Études oﬀertes à Jean-Philippe Genet</w:t>
      </w:r>
      <w:r w:rsidRPr="00796A9D">
        <w:rPr>
          <w:rFonts w:ascii="Times New Roman" w:hAnsi="Times New Roman" w:cs="Times New Roman"/>
        </w:rPr>
        <w:t xml:space="preserve">, sous la direction de </w:t>
      </w:r>
      <w:r w:rsidRPr="00796A9D">
        <w:rPr>
          <w:rFonts w:ascii="Times New Roman" w:hAnsi="Times New Roman" w:cs="Times New Roman"/>
          <w:smallCaps/>
        </w:rPr>
        <w:t>A. Mairey, S. Abélès, F. Madeline</w:t>
      </w:r>
      <w:r w:rsidRPr="00796A9D">
        <w:rPr>
          <w:rFonts w:ascii="Times New Roman" w:hAnsi="Times New Roman" w:cs="Times New Roman"/>
        </w:rPr>
        <w:t>, Paris, Garnier, 2016, pp. 297-318.</w:t>
      </w:r>
    </w:p>
  </w:footnote>
  <w:footnote w:id="837">
    <w:p w14:paraId="07C3CF2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le feste elencate da Guglielmo, che probabilmente furono una selezione accurata d</w:t>
      </w:r>
      <w:r>
        <w:rPr>
          <w:rFonts w:ascii="Times New Roman" w:hAnsi="Times New Roman" w:cs="Times New Roman"/>
        </w:rPr>
        <w:t>i quelle</w:t>
      </w:r>
      <w:r w:rsidRPr="00796A9D">
        <w:rPr>
          <w:rFonts w:ascii="Times New Roman" w:hAnsi="Times New Roman" w:cs="Times New Roman"/>
        </w:rPr>
        <w:t xml:space="preserve"> più prestigiose cui in realtà partecipò cfr. </w:t>
      </w:r>
      <w:r w:rsidRPr="00796A9D">
        <w:rPr>
          <w:rFonts w:ascii="Times New Roman" w:hAnsi="Times New Roman" w:cs="Times New Roman"/>
          <w:smallCaps/>
        </w:rPr>
        <w:t>A. Gallo</w:t>
      </w:r>
      <w:r w:rsidRPr="00796A9D">
        <w:rPr>
          <w:rFonts w:ascii="Times New Roman" w:hAnsi="Times New Roman" w:cs="Times New Roman"/>
        </w:rPr>
        <w:t xml:space="preserve">, </w:t>
      </w:r>
      <w:r w:rsidRPr="00796A9D">
        <w:rPr>
          <w:rFonts w:ascii="Times New Roman" w:hAnsi="Times New Roman" w:cs="Times New Roman"/>
          <w:i/>
        </w:rPr>
        <w:t>L’autobiografia artistica di Giovanni Ambrosio (Guglielmo Ebreo) da Pesaro</w:t>
      </w:r>
      <w:r w:rsidRPr="00796A9D">
        <w:rPr>
          <w:rFonts w:ascii="Times New Roman" w:hAnsi="Times New Roman" w:cs="Times New Roman"/>
        </w:rPr>
        <w:t xml:space="preserve">, cit., pp. 191-192. </w:t>
      </w:r>
    </w:p>
  </w:footnote>
  <w:footnote w:id="838">
    <w:p w14:paraId="7DEED7F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Mantova e Urbino</w:t>
      </w:r>
      <w:r w:rsidRPr="00796A9D">
        <w:rPr>
          <w:rFonts w:ascii="Times New Roman" w:hAnsi="Times New Roman" w:cs="Times New Roman"/>
        </w:rPr>
        <w:t xml:space="preserve">, cit., pp. 42-43 hanno pubblicato le lettere riguardanti Lorenzo Lavagnolo inviate da Elisabetta Gonzaga alla corte di Mantova, dove si era sparsa la voce che il danzatore avesse parlato male del marchese durante il suo soggiorno urbinate. Le missive sono tutte dedicate a dissipare tali dicerie e non contengono informazioni sul genere di balli insegnati dal maestro. Per un inquadramento della carriera artistica di Lavagnolo si vedano inoltre le brevi note a lui dedicate in </w:t>
      </w:r>
      <w:r w:rsidRPr="00796A9D">
        <w:rPr>
          <w:rFonts w:ascii="Times New Roman" w:hAnsi="Times New Roman" w:cs="Times New Roman"/>
          <w:smallCaps/>
        </w:rPr>
        <w:t>J. Sasportes</w:t>
      </w:r>
      <w:r w:rsidRPr="00796A9D">
        <w:rPr>
          <w:rFonts w:ascii="Times New Roman" w:hAnsi="Times New Roman" w:cs="Times New Roman"/>
        </w:rPr>
        <w:t xml:space="preserve">, </w:t>
      </w:r>
      <w:r w:rsidRPr="00796A9D">
        <w:rPr>
          <w:rFonts w:ascii="Times New Roman" w:hAnsi="Times New Roman" w:cs="Times New Roman"/>
          <w:i/>
        </w:rPr>
        <w:t>Storia della danza italiana dalle origini ai giorni nostri</w:t>
      </w:r>
      <w:r w:rsidRPr="00796A9D">
        <w:rPr>
          <w:rFonts w:ascii="Times New Roman" w:hAnsi="Times New Roman" w:cs="Times New Roman"/>
        </w:rPr>
        <w:t xml:space="preserve">, Torino, EDT, 2011, pp. 7-8.  </w:t>
      </w:r>
    </w:p>
  </w:footnote>
  <w:footnote w:id="839">
    <w:p w14:paraId="4EE025E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Mantova, ASMn, b. 2442, c. 103. La missiva è datata 24 agosto 1492 e fu inviata dalla località Due Castelli. </w:t>
      </w:r>
    </w:p>
  </w:footnote>
  <w:footnote w:id="840">
    <w:p w14:paraId="081ADC7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 particolare tipologia di giostra, quella “alla quintana”, vedeva il cavaliere impegnato nell’assestare un colpo preciso ad un bersaglio mobile, il quale ruotava su se stesso colpendo il giostrante se questi aveva sbagliato la mossa. Non ho riscontrato memorie di uno spettacolo equestre simile nelle descrizioni di feste nuziali del secondo Quattrocento. Per una precisa esposizione delle caratteristiche delle varietà dei tornei e delle giostre quattrocenteschi rimando a </w:t>
      </w:r>
      <w:r w:rsidRPr="00796A9D">
        <w:rPr>
          <w:rFonts w:ascii="Times New Roman" w:hAnsi="Times New Roman" w:cs="Times New Roman"/>
          <w:smallCaps/>
        </w:rPr>
        <w:t>P. Ventrone, A. Zorzi</w:t>
      </w:r>
      <w:r w:rsidRPr="00796A9D">
        <w:rPr>
          <w:rFonts w:ascii="Times New Roman" w:hAnsi="Times New Roman" w:cs="Times New Roman"/>
        </w:rPr>
        <w:t xml:space="preserve">, </w:t>
      </w:r>
      <w:r w:rsidRPr="00796A9D">
        <w:rPr>
          <w:rFonts w:ascii="Times New Roman" w:hAnsi="Times New Roman" w:cs="Times New Roman"/>
          <w:i/>
        </w:rPr>
        <w:t>Guerre e duello come gioco e rituale</w:t>
      </w:r>
      <w:r w:rsidRPr="00796A9D">
        <w:rPr>
          <w:rFonts w:ascii="Times New Roman" w:hAnsi="Times New Roman" w:cs="Times New Roman"/>
        </w:rPr>
        <w:t xml:space="preserve">, in </w:t>
      </w:r>
      <w:r w:rsidRPr="00796A9D">
        <w:rPr>
          <w:rFonts w:ascii="Times New Roman" w:hAnsi="Times New Roman" w:cs="Times New Roman"/>
          <w:i/>
        </w:rPr>
        <w:t>La società in costume. Giostre e tornei nell’Italia di Antico Regime</w:t>
      </w:r>
      <w:r w:rsidRPr="00796A9D">
        <w:rPr>
          <w:rFonts w:ascii="Times New Roman" w:hAnsi="Times New Roman" w:cs="Times New Roman"/>
        </w:rPr>
        <w:t xml:space="preserve">, Foligno, dell’Arquata, 1986, pp. 61-95.  </w:t>
      </w:r>
    </w:p>
  </w:footnote>
  <w:footnote w:id="841">
    <w:p w14:paraId="0988C15D"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Per le caratteristiche del ludo del passo d’armi e per il suo successo alla corte di Borgogna vedi </w:t>
      </w:r>
      <w:r w:rsidRPr="00796A9D">
        <w:rPr>
          <w:rFonts w:ascii="Times New Roman" w:hAnsi="Times New Roman" w:cs="Times New Roman"/>
          <w:smallCaps/>
          <w:sz w:val="20"/>
          <w:szCs w:val="20"/>
        </w:rPr>
        <w:t>T. Hiltmann</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Un état de noblesse et de chevalerie sans pareilles? Tournois et hérauts d’armes à la cour des ducs de Bourgogne</w:t>
      </w:r>
      <w:r w:rsidRPr="00796A9D">
        <w:rPr>
          <w:rFonts w:ascii="Times New Roman" w:hAnsi="Times New Roman" w:cs="Times New Roman"/>
          <w:sz w:val="20"/>
          <w:szCs w:val="20"/>
        </w:rPr>
        <w:t xml:space="preserve">, in </w:t>
      </w:r>
      <w:r w:rsidRPr="00796A9D">
        <w:rPr>
          <w:rFonts w:ascii="Times New Roman" w:hAnsi="Times New Roman" w:cs="Times New Roman"/>
          <w:i/>
          <w:sz w:val="20"/>
          <w:szCs w:val="20"/>
        </w:rPr>
        <w:t>La Cour de Bougogne et l’Europe. Le rayonnement et les limites d’un modèle culturel</w:t>
      </w:r>
      <w:r w:rsidRPr="00796A9D">
        <w:rPr>
          <w:rFonts w:ascii="Times New Roman" w:hAnsi="Times New Roman" w:cs="Times New Roman"/>
          <w:sz w:val="20"/>
          <w:szCs w:val="20"/>
        </w:rPr>
        <w:t xml:space="preserve">. Actes du colloque international tenu à Paris les 9, 10 et 11 octobre 2007, Paris, Jan Thorbecke Verlag, 2013, pp. 253-288. </w:t>
      </w:r>
    </w:p>
  </w:footnote>
  <w:footnote w:id="842">
    <w:p w14:paraId="5E6EB12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il fascino esercitato dall’immaginario letterario dei cicli bretone e carolingio sulle forme del torneo quattrocentesco delle feste cerimoniali di corte si vedano le considerazioni di </w:t>
      </w:r>
      <w:r w:rsidRPr="00796A9D">
        <w:rPr>
          <w:rFonts w:ascii="Times New Roman" w:hAnsi="Times New Roman" w:cs="Times New Roman"/>
          <w:smallCaps/>
        </w:rPr>
        <w:t>F. Cardini</w:t>
      </w:r>
      <w:r w:rsidRPr="00796A9D">
        <w:rPr>
          <w:rFonts w:ascii="Times New Roman" w:hAnsi="Times New Roman" w:cs="Times New Roman"/>
        </w:rPr>
        <w:t xml:space="preserve">, </w:t>
      </w:r>
      <w:r w:rsidRPr="00796A9D">
        <w:rPr>
          <w:rFonts w:ascii="Times New Roman" w:hAnsi="Times New Roman" w:cs="Times New Roman"/>
          <w:i/>
        </w:rPr>
        <w:t>L’acciar de’ cavalieri. Studi sulla cavalleria nel mondo toscano e italico (secc. XII-XV)</w:t>
      </w:r>
      <w:r w:rsidRPr="00796A9D">
        <w:rPr>
          <w:rFonts w:ascii="Times New Roman" w:hAnsi="Times New Roman" w:cs="Times New Roman"/>
        </w:rPr>
        <w:t xml:space="preserve">, Firenze, Le Lettere, 1997, pp. 111-122, dove si analizza anche il progressivo allentamento, nel secolo XV, delle tensioni agonistiche delle competizioni in favore di una ritualizzazione e di una drammatizzazione del «gioco della guerra». </w:t>
      </w:r>
    </w:p>
  </w:footnote>
  <w:footnote w:id="843">
    <w:p w14:paraId="578DF62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G. Passero</w:t>
      </w:r>
      <w:r w:rsidRPr="00796A9D">
        <w:rPr>
          <w:rFonts w:ascii="Times New Roman" w:hAnsi="Times New Roman" w:cs="Times New Roman"/>
        </w:rPr>
        <w:t xml:space="preserve">, </w:t>
      </w:r>
      <w:r w:rsidRPr="00796A9D">
        <w:rPr>
          <w:rFonts w:ascii="Times New Roman" w:hAnsi="Times New Roman" w:cs="Times New Roman"/>
          <w:i/>
        </w:rPr>
        <w:t>Storie in forma di Giornali</w:t>
      </w:r>
      <w:r w:rsidRPr="00796A9D">
        <w:rPr>
          <w:rFonts w:ascii="Times New Roman" w:hAnsi="Times New Roman" w:cs="Times New Roman"/>
        </w:rPr>
        <w:t xml:space="preserve">, cit., pp. 35-36. </w:t>
      </w:r>
    </w:p>
  </w:footnote>
  <w:footnote w:id="844">
    <w:p w14:paraId="7C286A9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J. Molina Figueras</w:t>
      </w:r>
      <w:r w:rsidRPr="00796A9D">
        <w:rPr>
          <w:rFonts w:ascii="Times New Roman" w:hAnsi="Times New Roman" w:cs="Times New Roman"/>
        </w:rPr>
        <w:t xml:space="preserve">, </w:t>
      </w:r>
      <w:r w:rsidRPr="00796A9D">
        <w:rPr>
          <w:rFonts w:ascii="Times New Roman" w:hAnsi="Times New Roman" w:cs="Times New Roman"/>
          <w:i/>
        </w:rPr>
        <w:t>Un emblema arturiano per Alfonso d’Aragona. Storia, mito, propaganda</w:t>
      </w:r>
      <w:r w:rsidRPr="00796A9D">
        <w:rPr>
          <w:rFonts w:ascii="Times New Roman" w:hAnsi="Times New Roman" w:cs="Times New Roman"/>
        </w:rPr>
        <w:t>, «Bollettino dell'istituto storico italiano per il medio evo», CXIV, 2012, pp. 241-263.</w:t>
      </w:r>
    </w:p>
  </w:footnote>
  <w:footnote w:id="845">
    <w:p w14:paraId="358D0BF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alcuni casi, era possibile anche premiare un tavoliere che si fosse distinto per una strategica gestione del gioco. Nella giostra in onore delle nozze del signore di Pesaro del 1475, ad esempio, Niccolò da Barignano ricevette un palio di velluto per la bravura dimostrata in tale ruolo. Cfr. </w:t>
      </w:r>
      <w:r w:rsidRPr="00796A9D">
        <w:rPr>
          <w:rFonts w:ascii="Times New Roman" w:hAnsi="Times New Roman" w:cs="Times New Roman"/>
          <w:smallCaps/>
        </w:rPr>
        <w:t xml:space="preserve">Anonimo, </w:t>
      </w:r>
      <w:r w:rsidRPr="00796A9D">
        <w:rPr>
          <w:rFonts w:ascii="Times New Roman" w:hAnsi="Times New Roman" w:cs="Times New Roman"/>
          <w:i/>
        </w:rPr>
        <w:t xml:space="preserve">Ordine de le noze de lo Illustrissimo Signor misir Costantio Sfortia, </w:t>
      </w:r>
      <w:r w:rsidRPr="00796A9D">
        <w:rPr>
          <w:rFonts w:ascii="Times New Roman" w:hAnsi="Times New Roman" w:cs="Times New Roman"/>
        </w:rPr>
        <w:t xml:space="preserve">cit., c. f1v. </w:t>
      </w:r>
    </w:p>
  </w:footnote>
  <w:footnote w:id="846">
    <w:p w14:paraId="7F104A0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Cronica di Napoli di Notar Giacomo</w:t>
      </w:r>
      <w:r w:rsidRPr="00796A9D">
        <w:rPr>
          <w:rFonts w:ascii="Times New Roman" w:hAnsi="Times New Roman" w:cs="Times New Roman"/>
        </w:rPr>
        <w:t xml:space="preserve">, cit., p. 112. </w:t>
      </w:r>
    </w:p>
  </w:footnote>
  <w:footnote w:id="847">
    <w:p w14:paraId="2EF41BA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139. Su queste giostre e sulla drammatizzazione delle armeggerie alla corte aragonese si veda </w:t>
      </w:r>
      <w:r w:rsidRPr="00796A9D">
        <w:rPr>
          <w:rFonts w:ascii="Times New Roman" w:hAnsi="Times New Roman" w:cs="Times New Roman"/>
          <w:smallCaps/>
        </w:rPr>
        <w:t>C.A. Addesso</w:t>
      </w:r>
      <w:r w:rsidRPr="00796A9D">
        <w:rPr>
          <w:rFonts w:ascii="Times New Roman" w:hAnsi="Times New Roman" w:cs="Times New Roman"/>
        </w:rPr>
        <w:t xml:space="preserve">, </w:t>
      </w:r>
      <w:r w:rsidRPr="00796A9D">
        <w:rPr>
          <w:rFonts w:ascii="Times New Roman" w:hAnsi="Times New Roman" w:cs="Times New Roman"/>
          <w:i/>
        </w:rPr>
        <w:t>Teatro e festività nella Napoli Aragonese</w:t>
      </w:r>
      <w:r w:rsidRPr="00796A9D">
        <w:rPr>
          <w:rFonts w:ascii="Times New Roman" w:hAnsi="Times New Roman" w:cs="Times New Roman"/>
        </w:rPr>
        <w:t xml:space="preserve">, cit., pp. 66-67; M. </w:t>
      </w:r>
      <w:r w:rsidRPr="00796A9D">
        <w:rPr>
          <w:rFonts w:ascii="Times New Roman" w:hAnsi="Times New Roman" w:cs="Times New Roman"/>
          <w:smallCaps/>
        </w:rPr>
        <w:t>Pieri</w:t>
      </w:r>
      <w:r w:rsidRPr="00796A9D">
        <w:rPr>
          <w:rFonts w:ascii="Times New Roman" w:hAnsi="Times New Roman" w:cs="Times New Roman"/>
        </w:rPr>
        <w:t xml:space="preserve">, </w:t>
      </w:r>
      <w:r w:rsidRPr="00796A9D">
        <w:rPr>
          <w:rFonts w:ascii="Times New Roman" w:hAnsi="Times New Roman" w:cs="Times New Roman"/>
          <w:i/>
        </w:rPr>
        <w:t>«Sumptuosissime pompe»</w:t>
      </w:r>
      <w:r w:rsidRPr="00796A9D">
        <w:rPr>
          <w:rFonts w:ascii="Times New Roman" w:hAnsi="Times New Roman" w:cs="Times New Roman"/>
        </w:rPr>
        <w:t>, cit., pp. 40-42.</w:t>
      </w:r>
    </w:p>
  </w:footnote>
  <w:footnote w:id="848">
    <w:p w14:paraId="65D6738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 </w:t>
      </w:r>
      <w:r w:rsidRPr="00796A9D">
        <w:rPr>
          <w:rFonts w:ascii="Times New Roman" w:hAnsi="Times New Roman" w:cs="Times New Roman"/>
          <w:smallCaps/>
        </w:rPr>
        <w:t>Turchini</w:t>
      </w:r>
      <w:r w:rsidRPr="00796A9D">
        <w:rPr>
          <w:rFonts w:ascii="Times New Roman" w:hAnsi="Times New Roman" w:cs="Times New Roman"/>
        </w:rPr>
        <w:t xml:space="preserve">, </w:t>
      </w:r>
      <w:r w:rsidRPr="00796A9D">
        <w:rPr>
          <w:rFonts w:ascii="Times New Roman" w:hAnsi="Times New Roman" w:cs="Times New Roman"/>
          <w:i/>
        </w:rPr>
        <w:t xml:space="preserve">La signoria di Roberto Malatesta, </w:t>
      </w:r>
      <w:r w:rsidRPr="00796A9D">
        <w:rPr>
          <w:rFonts w:ascii="Times New Roman" w:hAnsi="Times New Roman" w:cs="Times New Roman"/>
        </w:rPr>
        <w:t xml:space="preserve">cit., p. 461. </w:t>
      </w:r>
    </w:p>
  </w:footnote>
  <w:footnote w:id="849">
    <w:p w14:paraId="6F1A8D9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pp. 464-465. </w:t>
      </w:r>
    </w:p>
  </w:footnote>
  <w:footnote w:id="850">
    <w:p w14:paraId="68B665E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Giovanni della Rovere, nipote di Sisto IV, aveva appreso l’arte della condotta militare proprio da Federico da Montefeltro, del quale avrebbe sposato la figlia, Giovanna, nel 1478. Grazie alla promessa di queste nozze, firmata in vaticano il 10 ottobre 1474, egli aveva ottenuto il vicariato papale sulle terre di Senigallia e Mondavio. All’epoca delle feste del Malatesta il suo prestigio era quindi in ascesa e si comprende bene per quale ragione Roberto volesse assegnare a lui il primato del passo d’armi, nella prospettiva di un consolidamento delle proprie alleanze tanto con il della Rovere quanto con il Montefeltro. Cfr. </w:t>
      </w:r>
      <w:r w:rsidRPr="00796A9D">
        <w:rPr>
          <w:rFonts w:ascii="Times New Roman" w:hAnsi="Times New Roman" w:cs="Times New Roman"/>
          <w:smallCaps/>
        </w:rPr>
        <w:t>F. Petrucci</w:t>
      </w:r>
      <w:r w:rsidRPr="00796A9D">
        <w:rPr>
          <w:rFonts w:ascii="Times New Roman" w:hAnsi="Times New Roman" w:cs="Times New Roman"/>
        </w:rPr>
        <w:t xml:space="preserve">, s.v. </w:t>
      </w:r>
      <w:r w:rsidRPr="00796A9D">
        <w:rPr>
          <w:rFonts w:ascii="Times New Roman" w:hAnsi="Times New Roman" w:cs="Times New Roman"/>
          <w:i/>
        </w:rPr>
        <w:t>della Rovere, Giovanni</w:t>
      </w:r>
      <w:r w:rsidRPr="00796A9D">
        <w:rPr>
          <w:rFonts w:ascii="Times New Roman" w:hAnsi="Times New Roman" w:cs="Times New Roman"/>
        </w:rPr>
        <w:t xml:space="preserve">, DBI, 1989, vol. XXXVII, pp. 347-350.  </w:t>
      </w:r>
    </w:p>
  </w:footnote>
  <w:footnote w:id="851">
    <w:p w14:paraId="3870CBA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Mediolanensium et Estensium principum</w:t>
      </w:r>
      <w:r w:rsidRPr="00796A9D">
        <w:rPr>
          <w:rFonts w:ascii="Times New Roman" w:hAnsi="Times New Roman" w:cs="Times New Roman"/>
        </w:rPr>
        <w:t xml:space="preserve">, cit., pp. 94-95. Il brano è citato e commentato in M. </w:t>
      </w:r>
      <w:r w:rsidRPr="00796A9D">
        <w:rPr>
          <w:rFonts w:ascii="Times New Roman" w:hAnsi="Times New Roman" w:cs="Times New Roman"/>
          <w:smallCaps/>
        </w:rPr>
        <w:t>Mazzocchi Doglio</w:t>
      </w:r>
      <w:r w:rsidRPr="00796A9D">
        <w:rPr>
          <w:rFonts w:ascii="Times New Roman" w:hAnsi="Times New Roman" w:cs="Times New Roman"/>
        </w:rPr>
        <w:t xml:space="preserve">, </w:t>
      </w:r>
      <w:r w:rsidRPr="00796A9D">
        <w:rPr>
          <w:rFonts w:ascii="Times New Roman" w:hAnsi="Times New Roman" w:cs="Times New Roman"/>
          <w:i/>
        </w:rPr>
        <w:t>Leonardo apparatore di spettacoli a Milano per la corte degli Sforza</w:t>
      </w:r>
      <w:r w:rsidRPr="00796A9D">
        <w:rPr>
          <w:rFonts w:ascii="Times New Roman" w:hAnsi="Times New Roman" w:cs="Times New Roman"/>
        </w:rPr>
        <w:t xml:space="preserve">, in </w:t>
      </w:r>
      <w:r w:rsidRPr="00796A9D">
        <w:rPr>
          <w:rFonts w:ascii="Times New Roman" w:hAnsi="Times New Roman" w:cs="Times New Roman"/>
          <w:i/>
        </w:rPr>
        <w:t>Leonardo e gli spettacoli del suo tempo</w:t>
      </w:r>
      <w:r w:rsidRPr="00796A9D">
        <w:rPr>
          <w:rFonts w:ascii="Times New Roman" w:hAnsi="Times New Roman" w:cs="Times New Roman"/>
        </w:rPr>
        <w:t xml:space="preserve">, Catalogo della mostra (Milano, 2 luglio-16 ottobre 1983), Milano, Electa, 1983, pp. 46-48, al quale si rinvia anche per l’ampia trattazione relativa al disegno del British Museum di Londra, identificato come il ritratto di Galeazzo Sanseverino in armatura da parata, e a quello del </w:t>
      </w:r>
      <w:bookmarkStart w:id="522" w:name="_Hlk528699961"/>
      <w:r w:rsidRPr="00796A9D">
        <w:rPr>
          <w:rFonts w:ascii="Times New Roman" w:hAnsi="Times New Roman" w:cs="Times New Roman"/>
        </w:rPr>
        <w:t xml:space="preserve">f. 12370v </w:t>
      </w:r>
      <w:bookmarkEnd w:id="522"/>
      <w:r w:rsidRPr="00796A9D">
        <w:rPr>
          <w:rFonts w:ascii="Times New Roman" w:hAnsi="Times New Roman" w:cs="Times New Roman"/>
        </w:rPr>
        <w:t>del codice Windsor recante il progetto di una armatura da giostra.</w:t>
      </w:r>
    </w:p>
  </w:footnote>
  <w:footnote w:id="852">
    <w:p w14:paraId="5A4192F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Parigi, Bibliothèque Nationale de France, ms. It. 1593, f. 169r trasmette ad esempio notizia al duca di Milano dell’arrivo alla corte di Francia di un messaggero recante la notizia del compiuto rituale di deposizione in effige del re Enrico IV di Castiglia, noto come </w:t>
      </w:r>
      <w:r w:rsidRPr="00796A9D">
        <w:rPr>
          <w:rFonts w:ascii="Times New Roman" w:hAnsi="Times New Roman" w:cs="Times New Roman"/>
          <w:i/>
        </w:rPr>
        <w:t>Farsa de Avila</w:t>
      </w:r>
      <w:r w:rsidRPr="00796A9D">
        <w:rPr>
          <w:rFonts w:ascii="Times New Roman" w:hAnsi="Times New Roman" w:cs="Times New Roman"/>
        </w:rPr>
        <w:t xml:space="preserve">. Nei pressi di tale località, il 5 giugno 1465, alcuni aristocratici castigliani, alla presenza dell’arcivescovo di Toledo, processarono pubblicamente su un palco un fantoccio raffigurante il sovrano, reputato indegno di regnare sulla Castiglia e pertanto spogliato delle insegne rege e precipitato dal trono. Cfr. </w:t>
      </w:r>
      <w:r w:rsidRPr="00796A9D">
        <w:rPr>
          <w:rFonts w:ascii="Times New Roman" w:hAnsi="Times New Roman" w:cs="Times New Roman"/>
          <w:smallCaps/>
        </w:rPr>
        <w:t>O. Shima</w:t>
      </w:r>
      <w:r w:rsidRPr="00796A9D">
        <w:rPr>
          <w:rFonts w:ascii="Times New Roman" w:hAnsi="Times New Roman" w:cs="Times New Roman"/>
        </w:rPr>
        <w:t xml:space="preserve">, </w:t>
      </w:r>
      <w:r w:rsidRPr="00796A9D">
        <w:rPr>
          <w:rFonts w:ascii="Times New Roman" w:hAnsi="Times New Roman" w:cs="Times New Roman"/>
          <w:i/>
        </w:rPr>
        <w:t>La propaganda política en torno al conflicto sucesorio de Enrique IV (1457-1474</w:t>
      </w:r>
      <w:r w:rsidRPr="00796A9D">
        <w:rPr>
          <w:rFonts w:ascii="Times New Roman" w:hAnsi="Times New Roman" w:cs="Times New Roman"/>
        </w:rPr>
        <w:t xml:space="preserve">), Alicante, Biblioteca Virtual Miguel de Cervantes, 2004, pp. 168-174.    </w:t>
      </w:r>
    </w:p>
  </w:footnote>
  <w:footnote w:id="853">
    <w:p w14:paraId="20B1058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G. Porro Lambertenghi</w:t>
      </w:r>
      <w:r w:rsidRPr="00796A9D">
        <w:rPr>
          <w:rFonts w:ascii="Times New Roman" w:hAnsi="Times New Roman" w:cs="Times New Roman"/>
        </w:rPr>
        <w:t xml:space="preserve">, </w:t>
      </w:r>
      <w:r w:rsidRPr="00796A9D">
        <w:rPr>
          <w:rFonts w:ascii="Times New Roman" w:hAnsi="Times New Roman" w:cs="Times New Roman"/>
          <w:i/>
        </w:rPr>
        <w:t>Nozze di Beatrice d’Este e di Anna Sforza.</w:t>
      </w:r>
      <w:r w:rsidRPr="00796A9D">
        <w:rPr>
          <w:rFonts w:ascii="Times New Roman" w:hAnsi="Times New Roman" w:cs="Times New Roman"/>
        </w:rPr>
        <w:t xml:space="preserve">, cit., p. 521-523. La missiva comunica anche l’assegnazione dei premi a Galeazzo Sanseverico e a Mariolo Guiscardo e reca una nota in cui si richiede al copista della cancelleria addetto alla realizzazione delle copie di apporre una nota in quella destinata all’oratore bolognese con le lodi delle abilità dimostrate negli scontri da Annibale Bentivoglio.  </w:t>
      </w:r>
    </w:p>
  </w:footnote>
  <w:footnote w:id="854">
    <w:p w14:paraId="422CB03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 ripresa dei moduli dell’ambasceria in questa giostra e per l’analisi della capacità di Leonardo di donare ai suoi costumi e ai suoi apparati un aspetto estroso, segnato tanto da aspirazioni classicheggianti quanto da influenze delle mode cortigiane franco-borgognone cfr. </w:t>
      </w:r>
      <w:r w:rsidRPr="00796A9D">
        <w:rPr>
          <w:rFonts w:ascii="Times New Roman" w:hAnsi="Times New Roman" w:cs="Times New Roman"/>
          <w:smallCaps/>
        </w:rPr>
        <w:t>P. Ventrone</w:t>
      </w:r>
      <w:r w:rsidRPr="00796A9D">
        <w:rPr>
          <w:rFonts w:ascii="Times New Roman" w:hAnsi="Times New Roman" w:cs="Times New Roman"/>
        </w:rPr>
        <w:t xml:space="preserve">, </w:t>
      </w:r>
      <w:r w:rsidRPr="00796A9D">
        <w:rPr>
          <w:rFonts w:ascii="Times New Roman" w:hAnsi="Times New Roman" w:cs="Times New Roman"/>
          <w:i/>
        </w:rPr>
        <w:t>Modelli ideologici e culturali nel teatro milanese di età viscontea e sforzesca</w:t>
      </w:r>
      <w:r w:rsidRPr="00796A9D">
        <w:rPr>
          <w:rFonts w:ascii="Times New Roman" w:hAnsi="Times New Roman" w:cs="Times New Roman"/>
        </w:rPr>
        <w:t>, cit., pp. 278-280.</w:t>
      </w:r>
    </w:p>
  </w:footnote>
  <w:footnote w:id="855">
    <w:p w14:paraId="4770974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Ivi</w:t>
      </w:r>
      <w:r w:rsidRPr="00796A9D">
        <w:rPr>
          <w:rFonts w:ascii="Times New Roman" w:hAnsi="Times New Roman" w:cs="Times New Roman"/>
        </w:rPr>
        <w:t xml:space="preserve">, pp. 530-533, dove si pubblica anche il </w:t>
      </w:r>
      <w:r w:rsidRPr="00796A9D">
        <w:rPr>
          <w:rFonts w:ascii="Times New Roman" w:hAnsi="Times New Roman" w:cs="Times New Roman"/>
          <w:i/>
        </w:rPr>
        <w:t>Quaterno de quelli hano corso a la giostra</w:t>
      </w:r>
      <w:r w:rsidRPr="00796A9D">
        <w:rPr>
          <w:rFonts w:ascii="Times New Roman" w:hAnsi="Times New Roman" w:cs="Times New Roman"/>
        </w:rPr>
        <w:t xml:space="preserve">, corrotto da diverse lacune, recante l’elenco dei contendenti che si affrontarono il 26 gennaio, quello delle tre mude del 27 e 28 gennaio, e la lista parziale dei punteggi riportati dai giostranti. </w:t>
      </w:r>
    </w:p>
  </w:footnote>
  <w:footnote w:id="856">
    <w:p w14:paraId="4568573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T. Calco</w:t>
      </w:r>
      <w:r w:rsidRPr="00796A9D">
        <w:rPr>
          <w:rFonts w:ascii="Times New Roman" w:hAnsi="Times New Roman" w:cs="Times New Roman"/>
        </w:rPr>
        <w:t xml:space="preserve">, </w:t>
      </w:r>
      <w:r w:rsidRPr="00796A9D">
        <w:rPr>
          <w:rFonts w:ascii="Times New Roman" w:hAnsi="Times New Roman" w:cs="Times New Roman"/>
          <w:i/>
        </w:rPr>
        <w:t>Nuptiae Mediolanensium et Estensium principum</w:t>
      </w:r>
      <w:r w:rsidRPr="00796A9D">
        <w:rPr>
          <w:rFonts w:ascii="Times New Roman" w:hAnsi="Times New Roman" w:cs="Times New Roman"/>
        </w:rPr>
        <w:t>, cit., p. 95.</w:t>
      </w:r>
    </w:p>
  </w:footnote>
  <w:footnote w:id="857">
    <w:p w14:paraId="4EE672FB" w14:textId="77777777" w:rsidR="00CF5CFB" w:rsidRPr="00796A9D" w:rsidRDefault="00CF5CFB" w:rsidP="00796A9D">
      <w:pPr>
        <w:pStyle w:val="Testonotaapidipagina"/>
        <w:jc w:val="both"/>
        <w:rPr>
          <w:rFonts w:ascii="Times New Roman" w:hAnsi="Times New Roman" w:cs="Times New Roman"/>
          <w:i/>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richieste di invio di cavalieri per la giostra vennero inviate dalla cancelleria sforzesca nel dicembre del 1490.  Le copie delle missive sono pubblicate in </w:t>
      </w:r>
      <w:r w:rsidRPr="00796A9D">
        <w:rPr>
          <w:rFonts w:ascii="Times New Roman" w:hAnsi="Times New Roman" w:cs="Times New Roman"/>
          <w:smallCaps/>
        </w:rPr>
        <w:t>G. Porro</w:t>
      </w:r>
      <w:r w:rsidRPr="00796A9D">
        <w:rPr>
          <w:rFonts w:ascii="Times New Roman" w:hAnsi="Times New Roman" w:cs="Times New Roman"/>
          <w:i/>
        </w:rPr>
        <w:t xml:space="preserve">, Nozze di Beatrice d'Este e di Anna Sforza., </w:t>
      </w:r>
      <w:r w:rsidRPr="00796A9D">
        <w:rPr>
          <w:rFonts w:ascii="Times New Roman" w:hAnsi="Times New Roman" w:cs="Times New Roman"/>
        </w:rPr>
        <w:t>cit., pp. 493-496</w:t>
      </w:r>
      <w:r w:rsidRPr="00796A9D">
        <w:rPr>
          <w:rFonts w:ascii="Times New Roman" w:hAnsi="Times New Roman" w:cs="Times New Roman"/>
          <w:i/>
        </w:rPr>
        <w:t xml:space="preserve">. </w:t>
      </w:r>
    </w:p>
  </w:footnote>
  <w:footnote w:id="858">
    <w:p w14:paraId="79D5E22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G.S. Arienti</w:t>
      </w:r>
      <w:r w:rsidRPr="00796A9D">
        <w:rPr>
          <w:rFonts w:ascii="Times New Roman" w:hAnsi="Times New Roman" w:cs="Times New Roman"/>
        </w:rPr>
        <w:t xml:space="preserve">, </w:t>
      </w:r>
      <w:r w:rsidRPr="00796A9D">
        <w:rPr>
          <w:rFonts w:ascii="Times New Roman" w:hAnsi="Times New Roman" w:cs="Times New Roman"/>
          <w:i/>
        </w:rPr>
        <w:t>Hymeneus Bentivolus</w:t>
      </w:r>
      <w:r w:rsidRPr="00796A9D">
        <w:rPr>
          <w:rFonts w:ascii="Times New Roman" w:hAnsi="Times New Roman" w:cs="Times New Roman"/>
        </w:rPr>
        <w:t>, cit., LIII, p. 131. La sfilata del vincitore della giostra o del torneo esalta egualmente l’organizzatore dei giochi, come esplica perfettamente l’Arienti: «La quale citate ancora iubilante vivi che esso marchese de la gloria riportasse palma, essendo venuto cum fede et amore ad onorare le nuptie felice del figlio del principe Bentivoglio».</w:t>
      </w:r>
    </w:p>
  </w:footnote>
  <w:footnote w:id="859">
    <w:p w14:paraId="1D5192E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S. Infessura</w:t>
      </w:r>
      <w:r w:rsidRPr="00796A9D">
        <w:rPr>
          <w:rFonts w:ascii="Times New Roman" w:hAnsi="Times New Roman" w:cs="Times New Roman"/>
        </w:rPr>
        <w:t xml:space="preserve">, </w:t>
      </w:r>
      <w:r w:rsidRPr="00796A9D">
        <w:rPr>
          <w:rFonts w:ascii="Times New Roman" w:hAnsi="Times New Roman" w:cs="Times New Roman"/>
          <w:i/>
        </w:rPr>
        <w:t>Diario della città di Roma</w:t>
      </w:r>
      <w:r w:rsidRPr="00796A9D">
        <w:rPr>
          <w:rFonts w:ascii="Times New Roman" w:hAnsi="Times New Roman" w:cs="Times New Roman"/>
        </w:rPr>
        <w:t xml:space="preserve">, a cura di </w:t>
      </w:r>
      <w:r w:rsidRPr="00796A9D">
        <w:rPr>
          <w:rFonts w:ascii="Times New Roman" w:hAnsi="Times New Roman" w:cs="Times New Roman"/>
          <w:smallCaps/>
        </w:rPr>
        <w:t>O. Tommasini</w:t>
      </w:r>
      <w:r w:rsidRPr="00796A9D">
        <w:rPr>
          <w:rFonts w:ascii="Times New Roman" w:hAnsi="Times New Roman" w:cs="Times New Roman"/>
        </w:rPr>
        <w:t xml:space="preserve">, Roma, Forzani, 1890, p. 77. </w:t>
      </w:r>
    </w:p>
  </w:footnote>
  <w:footnote w:id="860">
    <w:p w14:paraId="5D7DDD0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C. Corvisieri</w:t>
      </w:r>
      <w:r w:rsidRPr="00796A9D">
        <w:rPr>
          <w:rFonts w:ascii="Times New Roman" w:hAnsi="Times New Roman" w:cs="Times New Roman"/>
        </w:rPr>
        <w:t xml:space="preserve">, </w:t>
      </w:r>
      <w:r w:rsidRPr="00796A9D">
        <w:rPr>
          <w:rFonts w:ascii="Times New Roman" w:hAnsi="Times New Roman" w:cs="Times New Roman"/>
          <w:i/>
        </w:rPr>
        <w:t>Il trionfo romano di Eleonora d’Aragona</w:t>
      </w:r>
      <w:r w:rsidRPr="00796A9D">
        <w:rPr>
          <w:rFonts w:ascii="Times New Roman" w:hAnsi="Times New Roman" w:cs="Times New Roman"/>
        </w:rPr>
        <w:t xml:space="preserve">, cit., p. 643. Il testo della </w:t>
      </w:r>
      <w:r w:rsidRPr="00796A9D">
        <w:rPr>
          <w:rFonts w:ascii="Times New Roman" w:hAnsi="Times New Roman" w:cs="Times New Roman"/>
          <w:i/>
        </w:rPr>
        <w:t>Festa di Susanna</w:t>
      </w:r>
      <w:r w:rsidRPr="00796A9D">
        <w:rPr>
          <w:rFonts w:ascii="Times New Roman" w:hAnsi="Times New Roman" w:cs="Times New Roman"/>
        </w:rPr>
        <w:t xml:space="preserve">, tramandato da tre manoscritti databili 1463, circa 1477 e 1482 e da due edizioni incunabole, è edito da </w:t>
      </w:r>
      <w:r w:rsidRPr="00796A9D">
        <w:rPr>
          <w:rFonts w:ascii="Times New Roman" w:hAnsi="Times New Roman" w:cs="Times New Roman"/>
          <w:smallCaps/>
        </w:rPr>
        <w:t>N. Newbigin</w:t>
      </w:r>
      <w:r w:rsidRPr="00796A9D">
        <w:rPr>
          <w:rFonts w:ascii="Times New Roman" w:hAnsi="Times New Roman" w:cs="Times New Roman"/>
        </w:rPr>
        <w:t xml:space="preserve">, </w:t>
      </w:r>
      <w:r w:rsidRPr="00796A9D">
        <w:rPr>
          <w:rFonts w:ascii="Times New Roman" w:hAnsi="Times New Roman" w:cs="Times New Roman"/>
          <w:i/>
        </w:rPr>
        <w:t>Nuovo corpus di sacre rappresentazioni ﬁorentine del Quattrocento</w:t>
      </w:r>
      <w:r w:rsidRPr="00796A9D">
        <w:rPr>
          <w:rFonts w:ascii="Times New Roman" w:hAnsi="Times New Roman" w:cs="Times New Roman"/>
        </w:rPr>
        <w:t>, Bologna, Commissione per i Testi di Lingua, 1983, pp. 137-159.</w:t>
      </w:r>
    </w:p>
  </w:footnote>
  <w:footnote w:id="861">
    <w:p w14:paraId="4094E3A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L. Finocchi Ghersi</w:t>
      </w:r>
      <w:r w:rsidRPr="00796A9D">
        <w:rPr>
          <w:rFonts w:ascii="Times New Roman" w:hAnsi="Times New Roman" w:cs="Times New Roman"/>
        </w:rPr>
        <w:t xml:space="preserve">, </w:t>
      </w:r>
      <w:r w:rsidRPr="00796A9D">
        <w:rPr>
          <w:rFonts w:ascii="Times New Roman" w:hAnsi="Times New Roman" w:cs="Times New Roman"/>
          <w:i/>
        </w:rPr>
        <w:t>La basilica dei SS. Apostoli a Roma. Storia, arte e architettura,</w:t>
      </w:r>
      <w:r w:rsidRPr="00796A9D">
        <w:rPr>
          <w:rFonts w:ascii="Times New Roman" w:hAnsi="Times New Roman" w:cs="Times New Roman"/>
        </w:rPr>
        <w:t xml:space="preserve"> Roma, Artemide, 2011, pp. 7-17, cui si rinvia anche per le ipotesi ricostruttive dell’aspetto della basilica durante gli anni in cui fu assegnata ai cardinali Bessarione (1439-1472) e Riario (1472-1474).</w:t>
      </w:r>
    </w:p>
  </w:footnote>
  <w:footnote w:id="862">
    <w:p w14:paraId="2AED770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Di diversa opinione invece </w:t>
      </w:r>
      <w:r w:rsidRPr="00796A9D">
        <w:rPr>
          <w:rFonts w:ascii="Times New Roman" w:hAnsi="Times New Roman" w:cs="Times New Roman"/>
          <w:smallCaps/>
        </w:rPr>
        <w:t>N. Newbigin</w:t>
      </w:r>
      <w:r w:rsidRPr="00796A9D">
        <w:rPr>
          <w:rFonts w:ascii="Times New Roman" w:hAnsi="Times New Roman" w:cs="Times New Roman"/>
        </w:rPr>
        <w:t xml:space="preserve">, </w:t>
      </w:r>
      <w:r w:rsidRPr="00796A9D">
        <w:rPr>
          <w:rFonts w:ascii="Times New Roman" w:hAnsi="Times New Roman" w:cs="Times New Roman"/>
          <w:i/>
        </w:rPr>
        <w:t>Dieci sacre rappresentazioni inedite fra Quattro e Cinquecento</w:t>
      </w:r>
      <w:r w:rsidRPr="00796A9D">
        <w:rPr>
          <w:rFonts w:ascii="Times New Roman" w:hAnsi="Times New Roman" w:cs="Times New Roman"/>
        </w:rPr>
        <w:t xml:space="preserve">, «Letteratura italiana antica», X, 2009, pp. 21-397: 23, che propone l’identificazione della recita del 9 giugno 1473, che sarebbe la quarta offerta alla sposa, con un allestimento della </w:t>
      </w:r>
      <w:r w:rsidRPr="00796A9D">
        <w:rPr>
          <w:rFonts w:ascii="Times New Roman" w:hAnsi="Times New Roman" w:cs="Times New Roman"/>
          <w:i/>
        </w:rPr>
        <w:t>Rappresentazione di San Jacopo Maggiore</w:t>
      </w:r>
      <w:r w:rsidRPr="00796A9D">
        <w:rPr>
          <w:rFonts w:ascii="Times New Roman" w:hAnsi="Times New Roman" w:cs="Times New Roman"/>
        </w:rPr>
        <w:t xml:space="preserve"> o con la </w:t>
      </w:r>
      <w:r w:rsidRPr="00796A9D">
        <w:rPr>
          <w:rFonts w:ascii="Times New Roman" w:hAnsi="Times New Roman" w:cs="Times New Roman"/>
          <w:i/>
        </w:rPr>
        <w:t>Rappresentazione del pellegrino che va a san Jacopo di Galizia</w:t>
      </w:r>
      <w:r w:rsidRPr="00796A9D">
        <w:rPr>
          <w:rFonts w:ascii="Times New Roman" w:hAnsi="Times New Roman" w:cs="Times New Roman"/>
        </w:rPr>
        <w:t>, inscenata a Ferrara nel 1476.</w:t>
      </w:r>
    </w:p>
  </w:footnote>
  <w:footnote w:id="863">
    <w:p w14:paraId="72FBEB5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S. Infessura</w:t>
      </w:r>
      <w:r w:rsidRPr="00796A9D">
        <w:rPr>
          <w:rFonts w:ascii="Times New Roman" w:hAnsi="Times New Roman" w:cs="Times New Roman"/>
        </w:rPr>
        <w:t xml:space="preserve">, </w:t>
      </w:r>
      <w:r w:rsidRPr="00796A9D">
        <w:rPr>
          <w:rFonts w:ascii="Times New Roman" w:hAnsi="Times New Roman" w:cs="Times New Roman"/>
          <w:i/>
        </w:rPr>
        <w:t>Diario della città di Roma</w:t>
      </w:r>
      <w:r w:rsidRPr="00796A9D">
        <w:rPr>
          <w:rFonts w:ascii="Times New Roman" w:hAnsi="Times New Roman" w:cs="Times New Roman"/>
        </w:rPr>
        <w:t xml:space="preserve">, cit., p. 78. L’assenza di ulteriori indicazioni su apparati nuovi predisposti nella piazza lascia intendere che le due recite per la festa patronale si fossero svolte sugli stessi palchi montati per le accoglienze a Eleonora d’Aragona. Sulla festa dei santi Pietro e Paolo del 1473 e sull’intervento dei fiorentini per i due spettacoli teatrali si veda anche </w:t>
      </w:r>
      <w:r w:rsidRPr="00796A9D">
        <w:rPr>
          <w:rFonts w:ascii="Times New Roman" w:hAnsi="Times New Roman" w:cs="Times New Roman"/>
          <w:smallCaps/>
        </w:rPr>
        <w:t>I.L. Gatti</w:t>
      </w:r>
      <w:r w:rsidRPr="00796A9D">
        <w:rPr>
          <w:rFonts w:ascii="Times New Roman" w:hAnsi="Times New Roman" w:cs="Times New Roman"/>
        </w:rPr>
        <w:t xml:space="preserve">, </w:t>
      </w:r>
      <w:r w:rsidRPr="00796A9D">
        <w:rPr>
          <w:rFonts w:ascii="Times New Roman" w:hAnsi="Times New Roman" w:cs="Times New Roman"/>
          <w:i/>
        </w:rPr>
        <w:t>Pietro Riario da Savona. Francescano cardinale, vescovo di Treviso (1445-1474). Profilo storico</w:t>
      </w:r>
      <w:r w:rsidRPr="00796A9D">
        <w:rPr>
          <w:rFonts w:ascii="Times New Roman" w:hAnsi="Times New Roman" w:cs="Times New Roman"/>
        </w:rPr>
        <w:t xml:space="preserve">, Padova, Centro Studi Antoniniani, 2003, pp. 79-81. </w:t>
      </w:r>
    </w:p>
  </w:footnote>
  <w:footnote w:id="864">
    <w:p w14:paraId="4580FB8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G. Ferroni</w:t>
      </w:r>
      <w:r w:rsidRPr="00796A9D">
        <w:rPr>
          <w:rFonts w:ascii="Times New Roman" w:hAnsi="Times New Roman" w:cs="Times New Roman"/>
        </w:rPr>
        <w:t xml:space="preserve">, </w:t>
      </w:r>
      <w:r w:rsidRPr="00796A9D">
        <w:rPr>
          <w:rFonts w:ascii="Times New Roman" w:hAnsi="Times New Roman" w:cs="Times New Roman"/>
          <w:i/>
        </w:rPr>
        <w:t>Appunti sulla politica festiva di Pietro Riario</w:t>
      </w:r>
      <w:r w:rsidRPr="00796A9D">
        <w:rPr>
          <w:rFonts w:ascii="Times New Roman" w:hAnsi="Times New Roman" w:cs="Times New Roman"/>
        </w:rPr>
        <w:t xml:space="preserve">, in </w:t>
      </w:r>
      <w:r w:rsidRPr="00796A9D">
        <w:rPr>
          <w:rFonts w:ascii="Times New Roman" w:hAnsi="Times New Roman" w:cs="Times New Roman"/>
          <w:i/>
        </w:rPr>
        <w:t>Umanesimo a Roma nel Quattrocento</w:t>
      </w:r>
      <w:r w:rsidRPr="00796A9D">
        <w:rPr>
          <w:rFonts w:ascii="Times New Roman" w:hAnsi="Times New Roman" w:cs="Times New Roman"/>
        </w:rPr>
        <w:t xml:space="preserve">, Atti del convegno internazionale di studi (New York 1-4 dicembre 1981), a cura di </w:t>
      </w:r>
      <w:r w:rsidRPr="00796A9D">
        <w:rPr>
          <w:rFonts w:ascii="Times New Roman" w:hAnsi="Times New Roman" w:cs="Times New Roman"/>
          <w:smallCaps/>
        </w:rPr>
        <w:t>P. Brezzi, M. de Panizza Lorch</w:t>
      </w:r>
      <w:r w:rsidRPr="00796A9D">
        <w:rPr>
          <w:rFonts w:ascii="Times New Roman" w:hAnsi="Times New Roman" w:cs="Times New Roman"/>
        </w:rPr>
        <w:t xml:space="preserve">, Roma, Istituto di studi romani, 1984, pp. 47-66. Una lettera di Giovanni Antonio Ferrofino a Galeazzo Maria Sforza del 4 marzo 1473 precisa come il cardinale avesse dato un apporto all’organizzazione dei ludi carnevaleschi del 21 e 22 febbraio 1473, abitualmente offerti dalla municipalità romana. Il prelato aggiunse a proprie spese, in tale occasione, un banchetto e una giostra ospitati nel piazzale antistante la sua residenza romana, ispirati al tema degli scontri, all’epoca in corso, tra Uzun Hasan, principe turco alleato dei veneziani, e Maometto II. Il proposito del Riario di impiegare tali spettacoli per il controllo della vita festiva della città è analizzato in </w:t>
      </w:r>
      <w:r w:rsidRPr="00796A9D">
        <w:rPr>
          <w:rFonts w:ascii="Times New Roman" w:hAnsi="Times New Roman" w:cs="Times New Roman"/>
          <w:smallCaps/>
        </w:rPr>
        <w:t>P. Farenga</w:t>
      </w:r>
      <w:r w:rsidRPr="00796A9D">
        <w:rPr>
          <w:rFonts w:ascii="Times New Roman" w:hAnsi="Times New Roman" w:cs="Times New Roman"/>
        </w:rPr>
        <w:t xml:space="preserve">, Monumenta Memoriae, </w:t>
      </w:r>
      <w:r w:rsidRPr="00796A9D">
        <w:rPr>
          <w:rFonts w:ascii="Times New Roman" w:hAnsi="Times New Roman" w:cs="Times New Roman"/>
          <w:i/>
        </w:rPr>
        <w:t>Pietro Riario fra mito e storia</w:t>
      </w:r>
      <w:r w:rsidRPr="00796A9D">
        <w:rPr>
          <w:rFonts w:ascii="Times New Roman" w:hAnsi="Times New Roman" w:cs="Times New Roman"/>
        </w:rPr>
        <w:t xml:space="preserve">, in </w:t>
      </w:r>
      <w:r w:rsidRPr="00796A9D">
        <w:rPr>
          <w:rFonts w:ascii="Times New Roman" w:hAnsi="Times New Roman" w:cs="Times New Roman"/>
          <w:i/>
        </w:rPr>
        <w:t>Un pontificato ed una Città. Sisto IV (1471-1484)</w:t>
      </w:r>
      <w:r w:rsidRPr="00796A9D">
        <w:rPr>
          <w:rFonts w:ascii="Times New Roman" w:hAnsi="Times New Roman" w:cs="Times New Roman"/>
        </w:rPr>
        <w:t xml:space="preserve">, cit., pp. 179- 216. L’edizione parziale della lettera del Ferrofino si legge in F. </w:t>
      </w:r>
      <w:r w:rsidRPr="00796A9D">
        <w:rPr>
          <w:rFonts w:ascii="Times New Roman" w:hAnsi="Times New Roman" w:cs="Times New Roman"/>
          <w:smallCaps/>
        </w:rPr>
        <w:t>Cruciani</w:t>
      </w:r>
      <w:r w:rsidRPr="00796A9D">
        <w:rPr>
          <w:rFonts w:ascii="Times New Roman" w:hAnsi="Times New Roman" w:cs="Times New Roman"/>
        </w:rPr>
        <w:t xml:space="preserve">, </w:t>
      </w:r>
      <w:r w:rsidRPr="00796A9D">
        <w:rPr>
          <w:rFonts w:ascii="Times New Roman" w:hAnsi="Times New Roman" w:cs="Times New Roman"/>
          <w:i/>
        </w:rPr>
        <w:t>Teatro nel Rinascimento. Roma 1450-1550</w:t>
      </w:r>
      <w:r w:rsidRPr="00796A9D">
        <w:rPr>
          <w:rFonts w:ascii="Times New Roman" w:hAnsi="Times New Roman" w:cs="Times New Roman"/>
        </w:rPr>
        <w:t xml:space="preserve">, cit., p. 169. Per l’inquadramento degli eventi festivi promossi dal Riario nel contesto della moltiplicazione dei luoghi dello spettacolo a Roma determinata dalla presenza di più corti cardinalizie si veda </w:t>
      </w:r>
      <w:r w:rsidRPr="00796A9D">
        <w:rPr>
          <w:rFonts w:ascii="Times New Roman" w:hAnsi="Times New Roman" w:cs="Times New Roman"/>
          <w:smallCaps/>
        </w:rPr>
        <w:t>R. Guarino</w:t>
      </w:r>
      <w:r w:rsidRPr="00796A9D">
        <w:rPr>
          <w:rFonts w:ascii="Times New Roman" w:hAnsi="Times New Roman" w:cs="Times New Roman"/>
        </w:rPr>
        <w:t xml:space="preserve">, </w:t>
      </w:r>
      <w:r w:rsidRPr="00796A9D">
        <w:rPr>
          <w:rFonts w:ascii="Times New Roman" w:hAnsi="Times New Roman" w:cs="Times New Roman"/>
          <w:i/>
        </w:rPr>
        <w:t>Ambienti dello spettacolo e ambiente urbano. Studi e ricerche sul Rinascimento a Roma</w:t>
      </w:r>
      <w:r w:rsidRPr="00796A9D">
        <w:rPr>
          <w:rFonts w:ascii="Times New Roman" w:hAnsi="Times New Roman" w:cs="Times New Roman"/>
        </w:rPr>
        <w:t>, «Teatro e Storia», X, 1995, pp. 341-363.</w:t>
      </w:r>
    </w:p>
  </w:footnote>
  <w:footnote w:id="865">
    <w:p w14:paraId="003DE1B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G.</w:t>
      </w:r>
      <w:r>
        <w:rPr>
          <w:rFonts w:ascii="Times New Roman" w:hAnsi="Times New Roman" w:cs="Times New Roman"/>
          <w:smallCaps/>
        </w:rPr>
        <w:t xml:space="preserve"> </w:t>
      </w:r>
      <w:r w:rsidRPr="00796A9D">
        <w:rPr>
          <w:rFonts w:ascii="Times New Roman" w:hAnsi="Times New Roman" w:cs="Times New Roman"/>
          <w:smallCaps/>
        </w:rPr>
        <w:t>A</w:t>
      </w:r>
      <w:r>
        <w:rPr>
          <w:rFonts w:ascii="Times New Roman" w:hAnsi="Times New Roman" w:cs="Times New Roman"/>
          <w:smallCaps/>
        </w:rPr>
        <w:t>mmannati</w:t>
      </w:r>
      <w:r w:rsidRPr="00796A9D">
        <w:rPr>
          <w:rFonts w:ascii="Times New Roman" w:hAnsi="Times New Roman" w:cs="Times New Roman"/>
          <w:smallCaps/>
        </w:rPr>
        <w:t xml:space="preserve"> Piccolomini</w:t>
      </w:r>
      <w:r w:rsidRPr="00796A9D">
        <w:rPr>
          <w:rFonts w:ascii="Times New Roman" w:hAnsi="Times New Roman" w:cs="Times New Roman"/>
        </w:rPr>
        <w:t xml:space="preserve">, </w:t>
      </w:r>
      <w:r w:rsidRPr="00796A9D">
        <w:rPr>
          <w:rFonts w:ascii="Times New Roman" w:hAnsi="Times New Roman" w:cs="Times New Roman"/>
          <w:i/>
        </w:rPr>
        <w:t>Epistolae et commentarii</w:t>
      </w:r>
      <w:r w:rsidRPr="00796A9D">
        <w:rPr>
          <w:rFonts w:ascii="Times New Roman" w:hAnsi="Times New Roman" w:cs="Times New Roman"/>
        </w:rPr>
        <w:t xml:space="preserve">, Milano, Minuziano, 1506, c. 572r. </w:t>
      </w:r>
    </w:p>
  </w:footnote>
  <w:footnote w:id="866">
    <w:p w14:paraId="6109703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nomina, invisa ai Medici, fu in vero molto breve. Il cardinale morì, infatti, il 5 gennaio 1474. Cfr. </w:t>
      </w:r>
      <w:r w:rsidRPr="00796A9D">
        <w:rPr>
          <w:rFonts w:ascii="Times New Roman" w:hAnsi="Times New Roman" w:cs="Times New Roman"/>
          <w:smallCaps/>
        </w:rPr>
        <w:t>M. Giansante</w:t>
      </w:r>
      <w:r w:rsidRPr="00796A9D">
        <w:rPr>
          <w:rFonts w:ascii="Times New Roman" w:hAnsi="Times New Roman" w:cs="Times New Roman"/>
        </w:rPr>
        <w:t xml:space="preserve">, s.v. </w:t>
      </w:r>
      <w:r w:rsidRPr="00796A9D">
        <w:rPr>
          <w:rFonts w:ascii="Times New Roman" w:hAnsi="Times New Roman" w:cs="Times New Roman"/>
          <w:i/>
        </w:rPr>
        <w:t>Riario, Pietro</w:t>
      </w:r>
      <w:r w:rsidRPr="00796A9D">
        <w:rPr>
          <w:rFonts w:ascii="Times New Roman" w:hAnsi="Times New Roman" w:cs="Times New Roman"/>
        </w:rPr>
        <w:t xml:space="preserve">, DBI, 2016, vol. 87, pp. 97-98. </w:t>
      </w:r>
    </w:p>
  </w:footnote>
  <w:footnote w:id="867">
    <w:p w14:paraId="4221D68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Lo studio più aggiornato sulla sacra rappresentazione fiorentina e</w:t>
      </w:r>
      <w:r>
        <w:rPr>
          <w:rFonts w:ascii="Times New Roman" w:hAnsi="Times New Roman" w:cs="Times New Roman"/>
        </w:rPr>
        <w:t xml:space="preserve"> che ha chiarito per la prima volta le modalità d’invenzione e</w:t>
      </w:r>
      <w:r w:rsidRPr="00796A9D">
        <w:rPr>
          <w:rFonts w:ascii="Times New Roman" w:hAnsi="Times New Roman" w:cs="Times New Roman"/>
        </w:rPr>
        <w:t xml:space="preserve"> gli intenti pedagogici di questo genere teatrale in relazione alla vita religiosa e civile della </w:t>
      </w:r>
      <w:r>
        <w:rPr>
          <w:rFonts w:ascii="Times New Roman" w:hAnsi="Times New Roman" w:cs="Times New Roman"/>
        </w:rPr>
        <w:t xml:space="preserve">Firenze medicea </w:t>
      </w:r>
      <w:r w:rsidRPr="00796A9D">
        <w:rPr>
          <w:rFonts w:ascii="Times New Roman" w:hAnsi="Times New Roman" w:cs="Times New Roman"/>
        </w:rPr>
        <w:t xml:space="preserve">è quello di </w:t>
      </w:r>
      <w:r w:rsidRPr="00796A9D">
        <w:rPr>
          <w:rFonts w:ascii="Times New Roman" w:eastAsia="Times New Roman" w:hAnsi="Times New Roman" w:cs="Times New Roman"/>
          <w:smallCaps/>
        </w:rPr>
        <w:t>P. Ventrone</w:t>
      </w:r>
      <w:r w:rsidRPr="00796A9D">
        <w:rPr>
          <w:rFonts w:ascii="Times New Roman" w:eastAsia="Times New Roman" w:hAnsi="Times New Roman" w:cs="Times New Roman"/>
        </w:rPr>
        <w:t xml:space="preserve">, </w:t>
      </w:r>
      <w:r w:rsidRPr="00796A9D">
        <w:rPr>
          <w:rFonts w:ascii="Times New Roman" w:eastAsia="Times New Roman" w:hAnsi="Times New Roman" w:cs="Times New Roman"/>
          <w:i/>
        </w:rPr>
        <w:t>Teatro civile e sacra rappresentazione a Firenze nel Rinascimento</w:t>
      </w:r>
      <w:r w:rsidRPr="00796A9D">
        <w:rPr>
          <w:rFonts w:ascii="Times New Roman" w:eastAsia="Times New Roman" w:hAnsi="Times New Roman" w:cs="Times New Roman"/>
        </w:rPr>
        <w:t>, cit., al quale si rinvia anche per l’ampia bibliografia precedente esistente sul tema.</w:t>
      </w:r>
    </w:p>
  </w:footnote>
  <w:footnote w:id="868">
    <w:p w14:paraId="2730C3C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testimonianza proviene dal </w:t>
      </w:r>
      <w:r w:rsidRPr="00796A9D">
        <w:rPr>
          <w:rFonts w:ascii="Times New Roman" w:hAnsi="Times New Roman" w:cs="Times New Roman"/>
          <w:i/>
        </w:rPr>
        <w:t>Diario nepesino</w:t>
      </w:r>
      <w:r w:rsidRPr="00796A9D">
        <w:rPr>
          <w:rFonts w:ascii="Times New Roman" w:hAnsi="Times New Roman" w:cs="Times New Roman"/>
        </w:rPr>
        <w:t xml:space="preserve"> di Antonio Lotieri de Pisaro che cito da </w:t>
      </w:r>
      <w:r w:rsidRPr="00796A9D">
        <w:rPr>
          <w:rFonts w:ascii="Times New Roman" w:hAnsi="Times New Roman" w:cs="Times New Roman"/>
          <w:smallCaps/>
        </w:rPr>
        <w:t>L. Mariti</w:t>
      </w:r>
      <w:r w:rsidRPr="00796A9D">
        <w:rPr>
          <w:rFonts w:ascii="Times New Roman" w:hAnsi="Times New Roman" w:cs="Times New Roman"/>
        </w:rPr>
        <w:t xml:space="preserve">, </w:t>
      </w:r>
      <w:r w:rsidRPr="00796A9D">
        <w:rPr>
          <w:rFonts w:ascii="Times New Roman" w:hAnsi="Times New Roman" w:cs="Times New Roman"/>
          <w:i/>
        </w:rPr>
        <w:t>La Giuditta. La tradizione in vita di una Sacra rappresentazione anonima del Quattrocento</w:t>
      </w:r>
      <w:r w:rsidRPr="00796A9D">
        <w:rPr>
          <w:rFonts w:ascii="Times New Roman" w:hAnsi="Times New Roman" w:cs="Times New Roman"/>
        </w:rPr>
        <w:t>, Ronciglione, Centro Ricerche e Studi Ronciglione, 2011, p. 81, dove si considera anche un altro allestimento teatrale dell’episodio biblico del sacrificio di Isacco, probabilmente sul testo di Feo Belcari, inscenato ad Acquapendente il 27 giugno 1467 su sollecitazione del francescano Bernardino da Firenze.</w:t>
      </w:r>
    </w:p>
  </w:footnote>
  <w:footnote w:id="869">
    <w:p w14:paraId="14D379F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di Feo Belcari, datata 13 febbraio 1469, con la notizia dell’invio del manoscritto alla corte di Mantova è edita in </w:t>
      </w:r>
      <w:r w:rsidRPr="00796A9D">
        <w:rPr>
          <w:rFonts w:ascii="Times New Roman" w:hAnsi="Times New Roman" w:cs="Times New Roman"/>
          <w:smallCaps/>
        </w:rPr>
        <w:t>S. Cremonini</w:t>
      </w:r>
      <w:r w:rsidRPr="00796A9D">
        <w:rPr>
          <w:rFonts w:ascii="Times New Roman" w:hAnsi="Times New Roman" w:cs="Times New Roman"/>
        </w:rPr>
        <w:t xml:space="preserve">, </w:t>
      </w:r>
      <w:r w:rsidRPr="00796A9D">
        <w:rPr>
          <w:rFonts w:ascii="Times New Roman" w:hAnsi="Times New Roman" w:cs="Times New Roman"/>
          <w:i/>
        </w:rPr>
        <w:t>Sacre rappresentazioni nel Nord: riflessioni e presenze</w:t>
      </w:r>
      <w:r w:rsidRPr="00796A9D">
        <w:rPr>
          <w:rFonts w:ascii="Times New Roman" w:hAnsi="Times New Roman" w:cs="Times New Roman"/>
        </w:rPr>
        <w:t>, in</w:t>
      </w:r>
      <w:r w:rsidRPr="00796A9D">
        <w:rPr>
          <w:rFonts w:ascii="Times New Roman" w:hAnsi="Times New Roman" w:cs="Times New Roman"/>
          <w:i/>
        </w:rPr>
        <w:t xml:space="preserve"> Boiardo, il teatro, i cavalieri in scena</w:t>
      </w:r>
      <w:r w:rsidRPr="00796A9D">
        <w:rPr>
          <w:rFonts w:ascii="Times New Roman" w:hAnsi="Times New Roman" w:cs="Times New Roman"/>
        </w:rPr>
        <w:t xml:space="preserve">, Atti del Convegno (Scandiano, 15-16 maggio 2009), a cura di </w:t>
      </w:r>
      <w:r w:rsidRPr="00796A9D">
        <w:rPr>
          <w:rFonts w:ascii="Times New Roman" w:hAnsi="Times New Roman" w:cs="Times New Roman"/>
          <w:smallCaps/>
        </w:rPr>
        <w:t>G. Anceschi, W. Spaggiari</w:t>
      </w:r>
      <w:r w:rsidRPr="00796A9D">
        <w:rPr>
          <w:rFonts w:ascii="Times New Roman" w:hAnsi="Times New Roman" w:cs="Times New Roman"/>
        </w:rPr>
        <w:t xml:space="preserve">, Novara, Interlinea, 2010, pp. 101-127: 102. </w:t>
      </w:r>
    </w:p>
  </w:footnote>
  <w:footnote w:id="870">
    <w:p w14:paraId="0FFBD0C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 conferma di questa ipotesi mi pare corretto osservare come tale racconto biblico f</w:t>
      </w:r>
      <w:r>
        <w:rPr>
          <w:rFonts w:ascii="Times New Roman" w:hAnsi="Times New Roman" w:cs="Times New Roman"/>
        </w:rPr>
        <w:t>osse stato</w:t>
      </w:r>
      <w:r w:rsidRPr="00796A9D">
        <w:rPr>
          <w:rFonts w:ascii="Times New Roman" w:hAnsi="Times New Roman" w:cs="Times New Roman"/>
        </w:rPr>
        <w:t xml:space="preserve"> più volte scelto anche come soggetto per la decorazione di cassoni nuziali fiorentini. Per citare un solo esempio si pensi al fronte di cassone di Giovanni di ser Giovanni databile al quinto decennio del secolo XV oggi conservato presso il Museo di Palazzo Davanzati. Se ne veda la scheda descrittiva di L. </w:t>
      </w:r>
      <w:r w:rsidRPr="00796A9D">
        <w:rPr>
          <w:rFonts w:ascii="Times New Roman" w:hAnsi="Times New Roman" w:cs="Times New Roman"/>
          <w:smallCaps/>
        </w:rPr>
        <w:t>Cavazzini</w:t>
      </w:r>
      <w:r w:rsidRPr="00796A9D">
        <w:rPr>
          <w:rFonts w:ascii="Times New Roman" w:hAnsi="Times New Roman" w:cs="Times New Roman"/>
        </w:rPr>
        <w:t xml:space="preserve">, </w:t>
      </w:r>
      <w:r w:rsidRPr="00796A9D">
        <w:rPr>
          <w:rFonts w:ascii="Times New Roman" w:hAnsi="Times New Roman" w:cs="Times New Roman"/>
          <w:i/>
        </w:rPr>
        <w:t>Il fratello di Masaccio. Giovanni di ser Giovanni detto lo Scheggia</w:t>
      </w:r>
      <w:r w:rsidRPr="00796A9D">
        <w:rPr>
          <w:rFonts w:ascii="Times New Roman" w:hAnsi="Times New Roman" w:cs="Times New Roman"/>
        </w:rPr>
        <w:t xml:space="preserve">, Firenze, Maschietto &amp; Musolino, 1999, pp. 66-67. </w:t>
      </w:r>
    </w:p>
  </w:footnote>
  <w:footnote w:id="871">
    <w:p w14:paraId="4A8625E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N. Newbigin</w:t>
      </w:r>
      <w:r w:rsidRPr="00796A9D">
        <w:rPr>
          <w:rFonts w:ascii="Times New Roman" w:hAnsi="Times New Roman" w:cs="Times New Roman"/>
        </w:rPr>
        <w:t xml:space="preserve">, </w:t>
      </w:r>
      <w:r w:rsidRPr="00796A9D">
        <w:rPr>
          <w:rFonts w:ascii="Times New Roman" w:hAnsi="Times New Roman" w:cs="Times New Roman"/>
          <w:i/>
        </w:rPr>
        <w:t>Dieci sacre rappresentazioni inedite fra Quattro e Cinquecento</w:t>
      </w:r>
      <w:r w:rsidRPr="00796A9D">
        <w:rPr>
          <w:rFonts w:ascii="Times New Roman" w:hAnsi="Times New Roman" w:cs="Times New Roman"/>
        </w:rPr>
        <w:t xml:space="preserve">, cit., pp. 75-97 pubblica il testo della </w:t>
      </w:r>
      <w:r w:rsidRPr="00796A9D">
        <w:rPr>
          <w:rFonts w:ascii="Times New Roman" w:hAnsi="Times New Roman" w:cs="Times New Roman"/>
          <w:i/>
        </w:rPr>
        <w:t>Rappresentatione de uno miracolo del Corpo di Cristo</w:t>
      </w:r>
      <w:r w:rsidRPr="00796A9D">
        <w:rPr>
          <w:rFonts w:ascii="Times New Roman" w:hAnsi="Times New Roman" w:cs="Times New Roman"/>
        </w:rPr>
        <w:t xml:space="preserve"> e fornisce notizie intorno ai due allestimenti fiorentini ricordati. </w:t>
      </w:r>
    </w:p>
  </w:footnote>
  <w:footnote w:id="872">
    <w:p w14:paraId="1769228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L’edizione della </w:t>
      </w:r>
      <w:r w:rsidRPr="00796A9D">
        <w:rPr>
          <w:rFonts w:ascii="Times New Roman" w:hAnsi="Times New Roman" w:cs="Times New Roman"/>
          <w:i/>
        </w:rPr>
        <w:t>Rappresentatione di san Giovanni quando fu decollato</w:t>
      </w:r>
      <w:r w:rsidRPr="00796A9D">
        <w:rPr>
          <w:rFonts w:ascii="Times New Roman" w:hAnsi="Times New Roman" w:cs="Times New Roman"/>
        </w:rPr>
        <w:t xml:space="preserve"> si legge in </w:t>
      </w:r>
      <w:r w:rsidRPr="00796A9D">
        <w:rPr>
          <w:rFonts w:ascii="Times New Roman" w:hAnsi="Times New Roman" w:cs="Times New Roman"/>
          <w:smallCaps/>
        </w:rPr>
        <w:t>N. Newbigin</w:t>
      </w:r>
      <w:r w:rsidRPr="00796A9D">
        <w:rPr>
          <w:rFonts w:ascii="Times New Roman" w:hAnsi="Times New Roman" w:cs="Times New Roman"/>
        </w:rPr>
        <w:t xml:space="preserve">, </w:t>
      </w:r>
      <w:r w:rsidRPr="00796A9D">
        <w:rPr>
          <w:rFonts w:ascii="Times New Roman" w:hAnsi="Times New Roman" w:cs="Times New Roman"/>
          <w:i/>
        </w:rPr>
        <w:t>Nuovo corpus di sacre rappresentazioni fiorentine</w:t>
      </w:r>
      <w:r w:rsidRPr="00796A9D">
        <w:rPr>
          <w:rFonts w:ascii="Times New Roman" w:hAnsi="Times New Roman" w:cs="Times New Roman"/>
        </w:rPr>
        <w:t xml:space="preserve">, cit., pp. 109-133. Per la discussione sugli effetti scenici che si desumono dalle didascalie del testo e per il suo più antico allestimento fiorentino, offerto sul prato di Porta alla Giustizia e annotato nei </w:t>
      </w:r>
      <w:r w:rsidRPr="00796A9D">
        <w:rPr>
          <w:rFonts w:ascii="Times New Roman" w:hAnsi="Times New Roman" w:cs="Times New Roman"/>
          <w:i/>
        </w:rPr>
        <w:t>Diari</w:t>
      </w:r>
      <w:r w:rsidRPr="00796A9D">
        <w:rPr>
          <w:rFonts w:ascii="Times New Roman" w:hAnsi="Times New Roman" w:cs="Times New Roman"/>
        </w:rPr>
        <w:t xml:space="preserve"> di Giusto D’Anghiari, si veda </w:t>
      </w:r>
      <w:r w:rsidRPr="00796A9D">
        <w:rPr>
          <w:rFonts w:ascii="Times New Roman" w:eastAsia="Times New Roman" w:hAnsi="Times New Roman" w:cs="Times New Roman"/>
          <w:smallCaps/>
        </w:rPr>
        <w:t>P. Ventrone</w:t>
      </w:r>
      <w:r w:rsidRPr="00796A9D">
        <w:rPr>
          <w:rFonts w:ascii="Times New Roman" w:eastAsia="Times New Roman" w:hAnsi="Times New Roman" w:cs="Times New Roman"/>
        </w:rPr>
        <w:t xml:space="preserve">, </w:t>
      </w:r>
      <w:r w:rsidRPr="00796A9D">
        <w:rPr>
          <w:rFonts w:ascii="Times New Roman" w:eastAsia="Times New Roman" w:hAnsi="Times New Roman" w:cs="Times New Roman"/>
          <w:i/>
        </w:rPr>
        <w:t>Teatro civile e sacra rappresentazione a Firenze nel Rinascimento</w:t>
      </w:r>
      <w:r w:rsidRPr="00796A9D">
        <w:rPr>
          <w:rFonts w:ascii="Times New Roman" w:eastAsia="Times New Roman" w:hAnsi="Times New Roman" w:cs="Times New Roman"/>
        </w:rPr>
        <w:t xml:space="preserve">, cit., pp. 158-159. </w:t>
      </w:r>
    </w:p>
  </w:footnote>
  <w:footnote w:id="873">
    <w:p w14:paraId="375E687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soste dei novelli sposi nelle cittadine di Cagli e di Cantiano e il loro ingresso a Gubbio sono descritti in una lettera inviata il 24 aprile 1488 da Silvestro Calandra a Francesco Gonzaga, edita in </w:t>
      </w:r>
      <w:r w:rsidRPr="00796A9D">
        <w:rPr>
          <w:rFonts w:ascii="Times New Roman" w:hAnsi="Times New Roman" w:cs="Times New Roman"/>
          <w:smallCaps/>
        </w:rPr>
        <w:t>A. Luzio, R. Renier</w:t>
      </w:r>
      <w:r w:rsidRPr="00796A9D">
        <w:rPr>
          <w:rFonts w:ascii="Times New Roman" w:hAnsi="Times New Roman" w:cs="Times New Roman"/>
        </w:rPr>
        <w:t xml:space="preserve">, </w:t>
      </w:r>
      <w:r w:rsidRPr="00796A9D">
        <w:rPr>
          <w:rFonts w:ascii="Times New Roman" w:hAnsi="Times New Roman" w:cs="Times New Roman"/>
          <w:i/>
        </w:rPr>
        <w:t>Mantova e Urbino (1471-1539</w:t>
      </w:r>
      <w:r w:rsidRPr="00796A9D">
        <w:rPr>
          <w:rFonts w:ascii="Times New Roman" w:hAnsi="Times New Roman" w:cs="Times New Roman"/>
        </w:rPr>
        <w:t>), cit., pp. 37-39.</w:t>
      </w:r>
      <w:r w:rsidRPr="00796A9D">
        <w:rPr>
          <w:rFonts w:ascii="Times New Roman" w:hAnsi="Times New Roman" w:cs="Times New Roman"/>
          <w:i/>
        </w:rPr>
        <w:t xml:space="preserve">  </w:t>
      </w:r>
      <w:r w:rsidRPr="00796A9D">
        <w:rPr>
          <w:rFonts w:ascii="Times New Roman" w:hAnsi="Times New Roman" w:cs="Times New Roman"/>
        </w:rPr>
        <w:t xml:space="preserve"> </w:t>
      </w:r>
    </w:p>
  </w:footnote>
  <w:footnote w:id="874">
    <w:p w14:paraId="3BD970E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prime testimonianze di interventi di Francesco di Giorgio Martini commissionati da Federico per il castello di Gubbio si datano al 1477. Cfr. </w:t>
      </w:r>
      <w:r w:rsidRPr="00796A9D">
        <w:rPr>
          <w:rFonts w:ascii="Times New Roman" w:hAnsi="Times New Roman" w:cs="Times New Roman"/>
          <w:smallCaps/>
        </w:rPr>
        <w:t>S. Capannelli</w:t>
      </w:r>
      <w:r w:rsidRPr="00796A9D">
        <w:rPr>
          <w:rFonts w:ascii="Times New Roman" w:hAnsi="Times New Roman" w:cs="Times New Roman"/>
        </w:rPr>
        <w:t xml:space="preserve">, </w:t>
      </w:r>
      <w:r w:rsidRPr="00796A9D">
        <w:rPr>
          <w:rFonts w:ascii="Times New Roman" w:hAnsi="Times New Roman" w:cs="Times New Roman"/>
          <w:i/>
        </w:rPr>
        <w:t>Note sul palazzo ducale di Gubbio e il suo giardino pensile</w:t>
      </w:r>
      <w:r w:rsidRPr="00796A9D">
        <w:rPr>
          <w:rFonts w:ascii="Times New Roman" w:hAnsi="Times New Roman" w:cs="Times New Roman"/>
        </w:rPr>
        <w:t xml:space="preserve">, in </w:t>
      </w:r>
      <w:r w:rsidRPr="00796A9D">
        <w:rPr>
          <w:rFonts w:ascii="Times New Roman" w:hAnsi="Times New Roman" w:cs="Times New Roman"/>
          <w:i/>
        </w:rPr>
        <w:t>I giardini del duca. Luoghi di delizia dai Montefeltro ai Della Rovere</w:t>
      </w:r>
      <w:r w:rsidRPr="00796A9D">
        <w:rPr>
          <w:rFonts w:ascii="Times New Roman" w:hAnsi="Times New Roman" w:cs="Times New Roman"/>
        </w:rPr>
        <w:t xml:space="preserve">, Catalogo della mostra (Urbino, 28 marzo-10 giugno 2018), a cura di A. </w:t>
      </w:r>
      <w:r w:rsidRPr="00796A9D">
        <w:rPr>
          <w:rFonts w:ascii="Times New Roman" w:hAnsi="Times New Roman" w:cs="Times New Roman"/>
          <w:smallCaps/>
        </w:rPr>
        <w:t>Cerboni Baiardi</w:t>
      </w:r>
      <w:r w:rsidRPr="00796A9D">
        <w:rPr>
          <w:rFonts w:ascii="Times New Roman" w:hAnsi="Times New Roman" w:cs="Times New Roman"/>
        </w:rPr>
        <w:t xml:space="preserve">, Cinisello Balsamo, Silvana, 2018, pp. 115-117. Scarse le testimonianze intorno alla residenza di Casteldurante, sorta sulle antiche case della famiglia Brancaleoni, e sui lavori di ammodernamento che il complesso richiese durante i ducati di Federico e Guidubaldo da Montefeltro. Alcune considerazioni in merito si leggono in </w:t>
      </w:r>
      <w:r w:rsidRPr="00796A9D">
        <w:rPr>
          <w:rFonts w:ascii="Times New Roman" w:hAnsi="Times New Roman" w:cs="Times New Roman"/>
          <w:smallCaps/>
        </w:rPr>
        <w:t>S. Eiche</w:t>
      </w:r>
      <w:r w:rsidRPr="00796A9D">
        <w:rPr>
          <w:rFonts w:ascii="Times New Roman" w:hAnsi="Times New Roman" w:cs="Times New Roman"/>
        </w:rPr>
        <w:t xml:space="preserve">, </w:t>
      </w:r>
      <w:r w:rsidRPr="00796A9D">
        <w:rPr>
          <w:rFonts w:ascii="Times New Roman" w:hAnsi="Times New Roman" w:cs="Times New Roman"/>
          <w:i/>
        </w:rPr>
        <w:t>Il palazzo ducale di Urbania</w:t>
      </w:r>
      <w:r w:rsidRPr="00796A9D">
        <w:rPr>
          <w:rFonts w:ascii="Times New Roman" w:hAnsi="Times New Roman" w:cs="Times New Roman"/>
        </w:rPr>
        <w:t xml:space="preserve">, in </w:t>
      </w:r>
      <w:r w:rsidRPr="00796A9D">
        <w:rPr>
          <w:rFonts w:ascii="Times New Roman" w:hAnsi="Times New Roman" w:cs="Times New Roman"/>
          <w:i/>
        </w:rPr>
        <w:t>Urbania Casteldurante</w:t>
      </w:r>
      <w:r w:rsidRPr="00796A9D">
        <w:rPr>
          <w:rFonts w:ascii="Times New Roman" w:hAnsi="Times New Roman" w:cs="Times New Roman"/>
        </w:rPr>
        <w:t xml:space="preserve">, Museo civico, a cura di </w:t>
      </w:r>
      <w:r w:rsidRPr="00796A9D">
        <w:rPr>
          <w:rFonts w:ascii="Times New Roman" w:hAnsi="Times New Roman" w:cs="Times New Roman"/>
          <w:smallCaps/>
        </w:rPr>
        <w:t>B. Cleri, F. Paoli</w:t>
      </w:r>
      <w:r w:rsidRPr="00796A9D">
        <w:rPr>
          <w:rFonts w:ascii="Times New Roman" w:hAnsi="Times New Roman" w:cs="Times New Roman"/>
        </w:rPr>
        <w:t xml:space="preserve">, Bologna, Calderini, 1998, pp. VII-XVI. </w:t>
      </w:r>
    </w:p>
  </w:footnote>
  <w:footnote w:id="875">
    <w:p w14:paraId="1FCCE3B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Ivi</w:t>
      </w:r>
      <w:r w:rsidRPr="00796A9D">
        <w:rPr>
          <w:rFonts w:ascii="Times New Roman" w:hAnsi="Times New Roman" w:cs="Times New Roman"/>
        </w:rPr>
        <w:t xml:space="preserve">, pp. 44-46. </w:t>
      </w:r>
    </w:p>
  </w:footnote>
  <w:footnote w:id="876">
    <w:p w14:paraId="1249049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Dal momento che Francesco II Gonzaga sostenne solo pochi interventi architettonici nel castello di san Giorgio, prediligendo invece l’ammodernamento delle delizie gonzaghesche</w:t>
      </w:r>
      <w:r>
        <w:rPr>
          <w:rFonts w:ascii="Times New Roman" w:hAnsi="Times New Roman" w:cs="Times New Roman"/>
        </w:rPr>
        <w:t xml:space="preserve"> di</w:t>
      </w:r>
      <w:r w:rsidRPr="00796A9D">
        <w:rPr>
          <w:rFonts w:ascii="Times New Roman" w:hAnsi="Times New Roman" w:cs="Times New Roman"/>
        </w:rPr>
        <w:t xml:space="preserve"> Marmirolo e </w:t>
      </w:r>
      <w:r>
        <w:rPr>
          <w:rFonts w:ascii="Times New Roman" w:hAnsi="Times New Roman" w:cs="Times New Roman"/>
        </w:rPr>
        <w:t xml:space="preserve">di </w:t>
      </w:r>
      <w:r w:rsidRPr="00796A9D">
        <w:rPr>
          <w:rFonts w:ascii="Times New Roman" w:hAnsi="Times New Roman" w:cs="Times New Roman"/>
        </w:rPr>
        <w:t xml:space="preserve">Poggio Reale, credo che il «cortile de la corte de V.S.» </w:t>
      </w:r>
      <w:r>
        <w:rPr>
          <w:rFonts w:ascii="Times New Roman" w:hAnsi="Times New Roman" w:cs="Times New Roman"/>
        </w:rPr>
        <w:t xml:space="preserve">al quale </w:t>
      </w:r>
      <w:r w:rsidRPr="00796A9D">
        <w:rPr>
          <w:rFonts w:ascii="Times New Roman" w:hAnsi="Times New Roman" w:cs="Times New Roman"/>
        </w:rPr>
        <w:t>accenn</w:t>
      </w:r>
      <w:r>
        <w:rPr>
          <w:rFonts w:ascii="Times New Roman" w:hAnsi="Times New Roman" w:cs="Times New Roman"/>
        </w:rPr>
        <w:t>ò</w:t>
      </w:r>
      <w:r w:rsidRPr="00796A9D">
        <w:rPr>
          <w:rFonts w:ascii="Times New Roman" w:hAnsi="Times New Roman" w:cs="Times New Roman"/>
        </w:rPr>
        <w:t xml:space="preserve"> Capilupi fosse il ricordato cortile d’onore ai cui lavori sovraintese il Fancelli per volere del marchese Ludovico II. Cfr. </w:t>
      </w:r>
      <w:r w:rsidRPr="00796A9D">
        <w:rPr>
          <w:rFonts w:ascii="Times New Roman" w:hAnsi="Times New Roman" w:cs="Times New Roman"/>
          <w:smallCaps/>
        </w:rPr>
        <w:t>A.M. Lorenzoni</w:t>
      </w:r>
      <w:r w:rsidRPr="00796A9D">
        <w:rPr>
          <w:rFonts w:ascii="Times New Roman" w:hAnsi="Times New Roman" w:cs="Times New Roman"/>
        </w:rPr>
        <w:t xml:space="preserve">, </w:t>
      </w:r>
      <w:r w:rsidRPr="00796A9D">
        <w:rPr>
          <w:rFonts w:ascii="Times New Roman" w:hAnsi="Times New Roman" w:cs="Times New Roman"/>
          <w:i/>
        </w:rPr>
        <w:t>Il principe e l’architetto. Luca Fancelli al servizio di Ludovico II Gonzaga</w:t>
      </w:r>
      <w:r w:rsidRPr="00796A9D">
        <w:rPr>
          <w:rFonts w:ascii="Times New Roman" w:hAnsi="Times New Roman" w:cs="Times New Roman"/>
        </w:rPr>
        <w:t xml:space="preserve">, in </w:t>
      </w:r>
      <w:r w:rsidRPr="00796A9D">
        <w:rPr>
          <w:rFonts w:ascii="Times New Roman" w:hAnsi="Times New Roman" w:cs="Times New Roman"/>
          <w:i/>
        </w:rPr>
        <w:t>La corte di Mantova nell’età di Andrea Mantegna</w:t>
      </w:r>
      <w:r w:rsidRPr="00796A9D">
        <w:rPr>
          <w:rFonts w:ascii="Times New Roman" w:hAnsi="Times New Roman" w:cs="Times New Roman"/>
        </w:rPr>
        <w:t xml:space="preserve">. Atti del convegno (Londra, 6-8 marzo 1992/Mantova, 28 marzo 1992), a cura di </w:t>
      </w:r>
      <w:r w:rsidRPr="00796A9D">
        <w:rPr>
          <w:rFonts w:ascii="Times New Roman" w:hAnsi="Times New Roman" w:cs="Times New Roman"/>
          <w:smallCaps/>
        </w:rPr>
        <w:t>C. Mozzarelli, R. Oresko</w:t>
      </w:r>
      <w:r w:rsidRPr="00796A9D">
        <w:rPr>
          <w:rFonts w:ascii="Times New Roman" w:hAnsi="Times New Roman" w:cs="Times New Roman"/>
        </w:rPr>
        <w:t xml:space="preserve">, Roma, Bulzoni, 1997, pp. 235-242. </w:t>
      </w:r>
    </w:p>
  </w:footnote>
  <w:footnote w:id="877">
    <w:p w14:paraId="1641697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Alla scena a luoghi deputati di questa sacra rappresentazione ha dedicato alcune osservazione </w:t>
      </w:r>
      <w:r w:rsidRPr="00796A9D">
        <w:rPr>
          <w:rFonts w:ascii="Times New Roman" w:hAnsi="Times New Roman" w:cs="Times New Roman"/>
          <w:smallCaps/>
        </w:rPr>
        <w:t>M.L. Angiolillo</w:t>
      </w:r>
      <w:r w:rsidRPr="00796A9D">
        <w:rPr>
          <w:rFonts w:ascii="Times New Roman" w:hAnsi="Times New Roman" w:cs="Times New Roman"/>
        </w:rPr>
        <w:t xml:space="preserve">, </w:t>
      </w:r>
      <w:r w:rsidRPr="00796A9D">
        <w:rPr>
          <w:rFonts w:ascii="Times New Roman" w:hAnsi="Times New Roman" w:cs="Times New Roman"/>
          <w:i/>
        </w:rPr>
        <w:t>Festa di corte e di popolo nell’Italia del primo Rinascimento</w:t>
      </w:r>
      <w:r w:rsidRPr="00796A9D">
        <w:rPr>
          <w:rFonts w:ascii="Times New Roman" w:hAnsi="Times New Roman" w:cs="Times New Roman"/>
        </w:rPr>
        <w:t>, Roma, SEAM, 1996, pp. 43-44.</w:t>
      </w:r>
    </w:p>
  </w:footnote>
  <w:footnote w:id="878">
    <w:p w14:paraId="66781A4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Mi sembra che la fonte voglia ricordare una nuvola simile a quella che Vasari nella </w:t>
      </w:r>
      <w:r w:rsidRPr="00796A9D">
        <w:rPr>
          <w:rFonts w:ascii="Times New Roman" w:hAnsi="Times New Roman" w:cs="Times New Roman"/>
          <w:i/>
        </w:rPr>
        <w:t>Vita di Filippo Brunelleschi</w:t>
      </w:r>
      <w:r w:rsidRPr="00796A9D">
        <w:rPr>
          <w:rFonts w:ascii="Times New Roman" w:hAnsi="Times New Roman" w:cs="Times New Roman"/>
        </w:rPr>
        <w:t xml:space="preserve"> descrive presentando l’Ascensione della chiesa del Carmine. Si trattava di una macchina rotonda, formata da dischi concentrici e ruotanti su cui erano applicate le sagome di alcuni angeli di cuoio rosso. Alla destra e alla sinistra di questa struttura si trovavano due basamenti rivestiti di bambagia su cui potevano posare altri due angeli. Cfr. </w:t>
      </w:r>
      <w:r w:rsidRPr="00796A9D">
        <w:rPr>
          <w:rFonts w:ascii="Times New Roman" w:hAnsi="Times New Roman" w:cs="Times New Roman"/>
          <w:smallCaps/>
        </w:rPr>
        <w:t>P. Ventrone</w:t>
      </w:r>
      <w:r w:rsidRPr="00796A9D">
        <w:rPr>
          <w:rFonts w:ascii="Times New Roman" w:hAnsi="Times New Roman" w:cs="Times New Roman"/>
        </w:rPr>
        <w:t xml:space="preserve">, </w:t>
      </w:r>
      <w:r w:rsidRPr="00796A9D">
        <w:rPr>
          <w:rFonts w:ascii="Times New Roman" w:hAnsi="Times New Roman" w:cs="Times New Roman"/>
          <w:i/>
        </w:rPr>
        <w:t>Teatro civile e sacra rappresentazione a Firenze nel Rinascimento</w:t>
      </w:r>
      <w:r w:rsidRPr="00796A9D">
        <w:rPr>
          <w:rFonts w:ascii="Times New Roman" w:hAnsi="Times New Roman" w:cs="Times New Roman"/>
        </w:rPr>
        <w:t>, cit., pp. 73-76. L’uso a Casteldurante di un ingegno simile consentirebbe di spiegare come mai Capilupi avesse scritto «discese tre volte angeli» specificando poi però che solo uno fu incaricato di portare i messaggi divini.</w:t>
      </w:r>
    </w:p>
  </w:footnote>
  <w:footnote w:id="879">
    <w:p w14:paraId="2894EF0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fiorentina </w:t>
      </w:r>
      <w:r w:rsidRPr="00796A9D">
        <w:rPr>
          <w:rFonts w:ascii="Times New Roman" w:hAnsi="Times New Roman" w:cs="Times New Roman"/>
          <w:i/>
        </w:rPr>
        <w:t xml:space="preserve">Rappresentatione di san Giovanni quando fu decollato </w:t>
      </w:r>
      <w:r w:rsidRPr="00796A9D">
        <w:rPr>
          <w:rFonts w:ascii="Times New Roman" w:hAnsi="Times New Roman" w:cs="Times New Roman"/>
        </w:rPr>
        <w:t xml:space="preserve">pubblicata da </w:t>
      </w:r>
      <w:r w:rsidRPr="00796A9D">
        <w:rPr>
          <w:rFonts w:ascii="Times New Roman" w:hAnsi="Times New Roman" w:cs="Times New Roman"/>
          <w:smallCaps/>
        </w:rPr>
        <w:t>N. Newbigin</w:t>
      </w:r>
      <w:r w:rsidRPr="00796A9D">
        <w:rPr>
          <w:rFonts w:ascii="Times New Roman" w:hAnsi="Times New Roman" w:cs="Times New Roman"/>
        </w:rPr>
        <w:t xml:space="preserve">, </w:t>
      </w:r>
      <w:r w:rsidRPr="00796A9D">
        <w:rPr>
          <w:rFonts w:ascii="Times New Roman" w:hAnsi="Times New Roman" w:cs="Times New Roman"/>
          <w:i/>
        </w:rPr>
        <w:t>Nuovo corpus di sacre rappresentazioni ﬁorentine</w:t>
      </w:r>
      <w:r w:rsidRPr="00796A9D">
        <w:rPr>
          <w:rFonts w:ascii="Times New Roman" w:hAnsi="Times New Roman" w:cs="Times New Roman"/>
        </w:rPr>
        <w:t>, cit., pp. 109-133 si avvia, dopo l’annuncio dell’angelo, con la predicazione del Battista nel deserto</w:t>
      </w:r>
      <w:r>
        <w:rPr>
          <w:rFonts w:ascii="Times New Roman" w:hAnsi="Times New Roman" w:cs="Times New Roman"/>
        </w:rPr>
        <w:t>. N</w:t>
      </w:r>
      <w:r w:rsidRPr="00796A9D">
        <w:rPr>
          <w:rFonts w:ascii="Times New Roman" w:hAnsi="Times New Roman" w:cs="Times New Roman"/>
        </w:rPr>
        <w:t>on presenta</w:t>
      </w:r>
      <w:r w:rsidRPr="00796A9D">
        <w:rPr>
          <w:rFonts w:ascii="Times New Roman" w:hAnsi="Times New Roman" w:cs="Times New Roman"/>
          <w:i/>
        </w:rPr>
        <w:t xml:space="preserve"> </w:t>
      </w:r>
      <w:r w:rsidRPr="00796A9D">
        <w:rPr>
          <w:rFonts w:ascii="Times New Roman" w:hAnsi="Times New Roman" w:cs="Times New Roman"/>
        </w:rPr>
        <w:t>quindi gli annunci angelici rivolti a Zaccaria e forse, come da me proposto, a Maria. Per la messinscena fu quindi impiegato un altro testo.</w:t>
      </w:r>
      <w:r w:rsidRPr="00796A9D">
        <w:rPr>
          <w:rFonts w:ascii="Times New Roman" w:hAnsi="Times New Roman" w:cs="Times New Roman"/>
          <w:i/>
        </w:rPr>
        <w:t xml:space="preserve"> </w:t>
      </w:r>
    </w:p>
  </w:footnote>
  <w:footnote w:id="880">
    <w:p w14:paraId="74A2EC8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cit., p. 205.</w:t>
      </w:r>
    </w:p>
  </w:footnote>
  <w:footnote w:id="881">
    <w:p w14:paraId="2959FDF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w:t>
      </w:r>
      <w:r w:rsidRPr="00796A9D">
        <w:rPr>
          <w:rFonts w:ascii="Times New Roman" w:hAnsi="Times New Roman" w:cs="Times New Roman"/>
          <w:smallCaps/>
        </w:rPr>
        <w:t>. D.G. Lipani</w:t>
      </w:r>
      <w:r w:rsidRPr="00796A9D">
        <w:rPr>
          <w:rFonts w:ascii="Times New Roman" w:hAnsi="Times New Roman" w:cs="Times New Roman"/>
        </w:rPr>
        <w:t xml:space="preserve">, </w:t>
      </w:r>
      <w:r w:rsidRPr="00796A9D">
        <w:rPr>
          <w:rFonts w:ascii="Times New Roman" w:hAnsi="Times New Roman" w:cs="Times New Roman"/>
          <w:i/>
        </w:rPr>
        <w:t>Devota magnificentia</w:t>
      </w:r>
      <w:r w:rsidRPr="00796A9D">
        <w:rPr>
          <w:rFonts w:ascii="Times New Roman" w:hAnsi="Times New Roman" w:cs="Times New Roman"/>
        </w:rPr>
        <w:t xml:space="preserve">, cit., pp. 226-236. Riguardo la possibile influenza della scena dei </w:t>
      </w:r>
      <w:r w:rsidRPr="00796A9D">
        <w:rPr>
          <w:rFonts w:ascii="Times New Roman" w:hAnsi="Times New Roman" w:cs="Times New Roman"/>
          <w:i/>
        </w:rPr>
        <w:t>mystères</w:t>
      </w:r>
      <w:r w:rsidRPr="00796A9D">
        <w:rPr>
          <w:rFonts w:ascii="Times New Roman" w:hAnsi="Times New Roman" w:cs="Times New Roman"/>
        </w:rPr>
        <w:t xml:space="preserve"> di area francese sulle soluzioni scenotecniche delle maestranze ingaggiate per le Passioni estensi si veda inoltre </w:t>
      </w:r>
      <w:r w:rsidRPr="00796A9D">
        <w:rPr>
          <w:rFonts w:ascii="Times New Roman" w:hAnsi="Times New Roman" w:cs="Times New Roman"/>
          <w:smallCaps/>
        </w:rPr>
        <w:t>G. Guccini</w:t>
      </w:r>
      <w:r w:rsidRPr="00796A9D">
        <w:rPr>
          <w:rFonts w:ascii="Times New Roman" w:hAnsi="Times New Roman" w:cs="Times New Roman"/>
        </w:rPr>
        <w:t xml:space="preserve">, </w:t>
      </w:r>
      <w:r w:rsidRPr="00796A9D">
        <w:rPr>
          <w:rFonts w:ascii="Times New Roman" w:hAnsi="Times New Roman" w:cs="Times New Roman"/>
          <w:i/>
        </w:rPr>
        <w:t>Le fauci sceniche. Note sulla visione del teatro medievale</w:t>
      </w:r>
      <w:r w:rsidRPr="00796A9D">
        <w:rPr>
          <w:rFonts w:ascii="Times New Roman" w:hAnsi="Times New Roman" w:cs="Times New Roman"/>
        </w:rPr>
        <w:t xml:space="preserve">, «Quaderni di teatro», XVI, 1982, pp. 20-30. </w:t>
      </w:r>
    </w:p>
  </w:footnote>
  <w:footnote w:id="882">
    <w:p w14:paraId="7C6FF83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D. Seragnoli</w:t>
      </w:r>
      <w:r w:rsidRPr="00796A9D">
        <w:rPr>
          <w:rFonts w:ascii="Times New Roman" w:hAnsi="Times New Roman" w:cs="Times New Roman"/>
        </w:rPr>
        <w:t xml:space="preserve">, </w:t>
      </w:r>
      <w:r w:rsidRPr="00796A9D">
        <w:rPr>
          <w:rFonts w:ascii="Times New Roman" w:hAnsi="Times New Roman" w:cs="Times New Roman"/>
          <w:i/>
        </w:rPr>
        <w:t>Immaginazione e significati. Giovanni Santi e le culture della rappresentazione</w:t>
      </w:r>
      <w:r w:rsidRPr="00796A9D">
        <w:rPr>
          <w:rFonts w:ascii="Times New Roman" w:hAnsi="Times New Roman" w:cs="Times New Roman"/>
        </w:rPr>
        <w:t xml:space="preserve">, cit., pp. 128-129. Lo studioso indica nella committenza del Montefeltro un ulteriore dato che confermerebbe l’ingaggio del Santi sia per le feste urbinati sia per quelle di Casteldurante. Nell’incipit della sua lettera al marchese di Mantova Capilupi dichiara però che Guidubaldo fu incalzato dagli abitanti della cittadina affinché concedesse che la rappresentazione da loro preparata fosse inscenata. Ciò mi induce a pensare che anche la scelta e il pagamento delle maestranze apparatrici fosse dovuto ai castellani della rocca. </w:t>
      </w:r>
    </w:p>
  </w:footnote>
  <w:footnote w:id="883">
    <w:p w14:paraId="6E9244DF" w14:textId="77777777" w:rsidR="00CF5CFB" w:rsidRPr="00796A9D" w:rsidRDefault="00CF5CFB" w:rsidP="00796A9D">
      <w:pPr>
        <w:pStyle w:val="Testonotaapidipagina"/>
        <w:jc w:val="both"/>
        <w:rPr>
          <w:rFonts w:ascii="Times New Roman" w:hAnsi="Times New Roman" w:cs="Times New Roman"/>
          <w:b/>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di Giovanni Gonzaga del 30 ottobre 1488 con le notizie sullo svolgimento delle feste è pubblicata da G. </w:t>
      </w:r>
      <w:r w:rsidRPr="00796A9D">
        <w:rPr>
          <w:rFonts w:ascii="Times New Roman" w:hAnsi="Times New Roman" w:cs="Times New Roman"/>
          <w:smallCaps/>
        </w:rPr>
        <w:t>Mondovì</w:t>
      </w:r>
      <w:r w:rsidRPr="00796A9D">
        <w:rPr>
          <w:rFonts w:ascii="Times New Roman" w:hAnsi="Times New Roman" w:cs="Times New Roman"/>
        </w:rPr>
        <w:t xml:space="preserve">, </w:t>
      </w:r>
      <w:r w:rsidRPr="00796A9D">
        <w:rPr>
          <w:rStyle w:val="Enfasigrassetto"/>
          <w:rFonts w:ascii="Times New Roman" w:hAnsi="Times New Roman" w:cs="Times New Roman"/>
          <w:b w:val="0"/>
          <w:i/>
        </w:rPr>
        <w:t>Per le fauste nozze Rimini-Todesco-Assagioli: 9 settembre 1883</w:t>
      </w:r>
      <w:r w:rsidRPr="00796A9D">
        <w:rPr>
          <w:rStyle w:val="Enfasigrassetto"/>
          <w:rFonts w:ascii="Times New Roman" w:hAnsi="Times New Roman" w:cs="Times New Roman"/>
          <w:b w:val="0"/>
        </w:rPr>
        <w:t xml:space="preserve">, Mantova, 1883. </w:t>
      </w:r>
    </w:p>
  </w:footnote>
  <w:footnote w:id="884">
    <w:p w14:paraId="7C69189E" w14:textId="77777777" w:rsidR="00CF5CFB" w:rsidRPr="00796A9D" w:rsidRDefault="00CF5CFB" w:rsidP="00796A9D">
      <w:pPr>
        <w:pStyle w:val="Nessunaspaziatura"/>
        <w:jc w:val="both"/>
        <w:rPr>
          <w:rFonts w:ascii="Times New Roman" w:hAnsi="Times New Roman" w:cs="Times New Roman"/>
          <w:bCs/>
          <w:color w:val="000000"/>
          <w:sz w:val="20"/>
          <w:szCs w:val="20"/>
          <w:shd w:val="clear" w:color="auto" w:fill="FFFFFF"/>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w:t>
      </w:r>
      <w:r w:rsidRPr="00796A9D">
        <w:rPr>
          <w:rFonts w:ascii="Times New Roman" w:hAnsi="Times New Roman" w:cs="Times New Roman"/>
          <w:smallCaps/>
          <w:sz w:val="20"/>
          <w:szCs w:val="20"/>
        </w:rPr>
        <w:t>G. Carra</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Feste e pranzo di nozze di Maddalena Gonzaga (1489)</w:t>
      </w:r>
      <w:r w:rsidRPr="00796A9D">
        <w:rPr>
          <w:rFonts w:ascii="Times New Roman" w:hAnsi="Times New Roman" w:cs="Times New Roman"/>
          <w:sz w:val="20"/>
          <w:szCs w:val="20"/>
        </w:rPr>
        <w:t xml:space="preserve">, cit., p. 426. Alcune su considerazioni su questo spettacolo, l’unico di cui la principessa ricordi l’allestimento nelle sue feste nuziali, si leggono in </w:t>
      </w:r>
      <w:r w:rsidRPr="00796A9D">
        <w:rPr>
          <w:rFonts w:ascii="Times New Roman" w:hAnsi="Times New Roman" w:cs="Times New Roman"/>
          <w:bCs/>
          <w:color w:val="000000"/>
          <w:sz w:val="20"/>
          <w:szCs w:val="20"/>
          <w:shd w:val="clear" w:color="auto" w:fill="FFFFFF"/>
        </w:rPr>
        <w:t xml:space="preserve">P. </w:t>
      </w:r>
      <w:r w:rsidRPr="00796A9D">
        <w:rPr>
          <w:rFonts w:ascii="Times New Roman" w:hAnsi="Times New Roman" w:cs="Times New Roman"/>
          <w:bCs/>
          <w:smallCaps/>
          <w:color w:val="000000"/>
          <w:sz w:val="20"/>
          <w:szCs w:val="20"/>
          <w:shd w:val="clear" w:color="auto" w:fill="FFFFFF"/>
        </w:rPr>
        <w:t>Castelli</w:t>
      </w:r>
      <w:r w:rsidRPr="00796A9D">
        <w:rPr>
          <w:rFonts w:ascii="Times New Roman" w:hAnsi="Times New Roman" w:cs="Times New Roman"/>
          <w:bCs/>
          <w:color w:val="000000"/>
          <w:sz w:val="20"/>
          <w:szCs w:val="20"/>
          <w:shd w:val="clear" w:color="auto" w:fill="FFFFFF"/>
        </w:rPr>
        <w:t xml:space="preserve">, </w:t>
      </w:r>
      <w:r w:rsidRPr="00796A9D">
        <w:rPr>
          <w:rFonts w:ascii="Times New Roman" w:hAnsi="Times New Roman" w:cs="Times New Roman"/>
          <w:bCs/>
          <w:i/>
          <w:color w:val="000000"/>
          <w:sz w:val="20"/>
          <w:szCs w:val="20"/>
          <w:shd w:val="clear" w:color="auto" w:fill="FFFFFF"/>
        </w:rPr>
        <w:t>Cronache dei loro tempi. Le allegrezze degli Sforza di Pesaro 1445-1512</w:t>
      </w:r>
      <w:r w:rsidRPr="00796A9D">
        <w:rPr>
          <w:rFonts w:ascii="Times New Roman" w:hAnsi="Times New Roman" w:cs="Times New Roman"/>
          <w:bCs/>
          <w:color w:val="000000"/>
          <w:sz w:val="20"/>
          <w:szCs w:val="20"/>
          <w:shd w:val="clear" w:color="auto" w:fill="FFFFFF"/>
        </w:rPr>
        <w:t xml:space="preserve">, in </w:t>
      </w:r>
      <w:r w:rsidRPr="00796A9D">
        <w:rPr>
          <w:rFonts w:ascii="Times New Roman" w:hAnsi="Times New Roman" w:cs="Times New Roman"/>
          <w:bCs/>
          <w:i/>
          <w:color w:val="000000"/>
          <w:sz w:val="20"/>
          <w:szCs w:val="20"/>
          <w:shd w:val="clear" w:color="auto" w:fill="FFFFFF"/>
        </w:rPr>
        <w:t>Pesaro tra Medioevo e Rinascimento</w:t>
      </w:r>
      <w:r w:rsidRPr="00796A9D">
        <w:rPr>
          <w:rFonts w:ascii="Times New Roman" w:hAnsi="Times New Roman" w:cs="Times New Roman"/>
          <w:bCs/>
          <w:color w:val="000000"/>
          <w:sz w:val="20"/>
          <w:szCs w:val="20"/>
          <w:shd w:val="clear" w:color="auto" w:fill="FFFFFF"/>
        </w:rPr>
        <w:t xml:space="preserve">, a cura di M.R. </w:t>
      </w:r>
      <w:r w:rsidRPr="00796A9D">
        <w:rPr>
          <w:rFonts w:ascii="Times New Roman" w:hAnsi="Times New Roman" w:cs="Times New Roman"/>
          <w:bCs/>
          <w:smallCaps/>
          <w:color w:val="000000"/>
          <w:sz w:val="20"/>
          <w:szCs w:val="20"/>
          <w:shd w:val="clear" w:color="auto" w:fill="FFFFFF"/>
        </w:rPr>
        <w:t>Valazzi</w:t>
      </w:r>
      <w:r w:rsidRPr="00796A9D">
        <w:rPr>
          <w:rFonts w:ascii="Times New Roman" w:hAnsi="Times New Roman" w:cs="Times New Roman"/>
          <w:bCs/>
          <w:color w:val="000000"/>
          <w:sz w:val="20"/>
          <w:szCs w:val="20"/>
          <w:shd w:val="clear" w:color="auto" w:fill="FFFFFF"/>
        </w:rPr>
        <w:t>, Venezia, Marsilio Editore 1989, pp. 223-254.</w:t>
      </w:r>
    </w:p>
    <w:p w14:paraId="66E25E1B" w14:textId="77777777" w:rsidR="00CF5CFB" w:rsidRPr="00796A9D" w:rsidRDefault="00CF5CFB" w:rsidP="00796A9D">
      <w:pPr>
        <w:pStyle w:val="Testonotaapidipagina"/>
        <w:jc w:val="both"/>
        <w:rPr>
          <w:rFonts w:ascii="Times New Roman" w:hAnsi="Times New Roman" w:cs="Times New Roman"/>
        </w:rPr>
      </w:pPr>
    </w:p>
  </w:footnote>
  <w:footnote w:id="885">
    <w:p w14:paraId="154123A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Una mappa degli allestimenti delle commedie di Plauto e Terenzio nel secolo XV, fenomeno che interessò le città di Firenze, Roma, Ferrara, Mantova, è stata disegnata da </w:t>
      </w:r>
      <w:r w:rsidRPr="00796A9D">
        <w:rPr>
          <w:rFonts w:ascii="Times New Roman" w:hAnsi="Times New Roman" w:cs="Times New Roman"/>
          <w:smallCaps/>
        </w:rPr>
        <w:t>G. Pedullà</w:t>
      </w:r>
      <w:r w:rsidRPr="00796A9D">
        <w:rPr>
          <w:rFonts w:ascii="Times New Roman" w:hAnsi="Times New Roman" w:cs="Times New Roman"/>
        </w:rPr>
        <w:t xml:space="preserve">, </w:t>
      </w:r>
      <w:r w:rsidRPr="00796A9D">
        <w:rPr>
          <w:rFonts w:ascii="Times New Roman" w:hAnsi="Times New Roman" w:cs="Times New Roman"/>
          <w:i/>
        </w:rPr>
        <w:t>Prima di Ariosto: le rappresentazioni di Plauto e Terenzio in volgare</w:t>
      </w:r>
      <w:r w:rsidRPr="00796A9D">
        <w:rPr>
          <w:rFonts w:ascii="Times New Roman" w:hAnsi="Times New Roman" w:cs="Times New Roman"/>
        </w:rPr>
        <w:t xml:space="preserve">, in </w:t>
      </w:r>
      <w:r w:rsidRPr="00796A9D">
        <w:rPr>
          <w:rFonts w:ascii="Times New Roman" w:hAnsi="Times New Roman" w:cs="Times New Roman"/>
          <w:i/>
        </w:rPr>
        <w:t>Atlante della letteratura italiana</w:t>
      </w:r>
      <w:r w:rsidRPr="00796A9D">
        <w:rPr>
          <w:rFonts w:ascii="Times New Roman" w:hAnsi="Times New Roman" w:cs="Times New Roman"/>
        </w:rPr>
        <w:t xml:space="preserve">, vol. I, </w:t>
      </w:r>
      <w:r w:rsidRPr="00796A9D">
        <w:rPr>
          <w:rFonts w:ascii="Times New Roman" w:hAnsi="Times New Roman" w:cs="Times New Roman"/>
          <w:i/>
        </w:rPr>
        <w:t>Dalle origini al Rinascimento</w:t>
      </w:r>
      <w:r w:rsidRPr="00796A9D">
        <w:rPr>
          <w:rFonts w:ascii="Times New Roman" w:hAnsi="Times New Roman" w:cs="Times New Roman"/>
        </w:rPr>
        <w:t xml:space="preserve">, Torino, Einaudi, 2010, pp. 793-795, che considera tanto le recite in latino quanto quelle dei loro volgarizzamenti.  </w:t>
      </w:r>
    </w:p>
  </w:footnote>
  <w:footnote w:id="886">
    <w:p w14:paraId="7F008797" w14:textId="77777777" w:rsidR="00CF5CFB" w:rsidRPr="00796A9D" w:rsidRDefault="00CF5CFB" w:rsidP="00796A9D">
      <w:pPr>
        <w:spacing w:after="0" w:line="240" w:lineRule="auto"/>
        <w:jc w:val="both"/>
        <w:rPr>
          <w:rFonts w:ascii="Times New Roman" w:hAnsi="Times New Roman" w:cs="Times New Roman"/>
          <w:sz w:val="20"/>
          <w:szCs w:val="20"/>
          <w:shd w:val="clear" w:color="auto" w:fill="F9F9F9"/>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Il commento di Donato all’opera di Terenzio fu ritrovato da Giovanni Aurispa nel 1433 a Magonza. Insieme alla scoperta di Niccolò Cusano nel 1429 del codice contenente le dodici commedie di Plauto sconosciute nel medioevo</w:t>
      </w:r>
      <w:r>
        <w:rPr>
          <w:rFonts w:ascii="Times New Roman" w:hAnsi="Times New Roman" w:cs="Times New Roman"/>
          <w:sz w:val="20"/>
          <w:szCs w:val="20"/>
        </w:rPr>
        <w:t xml:space="preserve"> contribuì </w:t>
      </w:r>
      <w:r w:rsidRPr="00796A9D">
        <w:rPr>
          <w:rFonts w:ascii="Times New Roman" w:hAnsi="Times New Roman" w:cs="Times New Roman"/>
          <w:sz w:val="20"/>
          <w:szCs w:val="20"/>
        </w:rPr>
        <w:t xml:space="preserve">alla diffusione di un nuovo vivace interesse per il teatro classico. Espressioni immediate di tale interesse sarebbero da considerarsi anche i corsi universitari preparati da Guarino Veronese e </w:t>
      </w:r>
      <w:bookmarkStart w:id="529" w:name="_Hlk536015767"/>
      <w:r w:rsidRPr="00796A9D">
        <w:rPr>
          <w:rFonts w:ascii="Times New Roman" w:hAnsi="Times New Roman" w:cs="Times New Roman"/>
          <w:sz w:val="20"/>
          <w:szCs w:val="20"/>
        </w:rPr>
        <w:t>Gasparino Barziz</w:t>
      </w:r>
      <w:r>
        <w:rPr>
          <w:rFonts w:ascii="Times New Roman" w:hAnsi="Times New Roman" w:cs="Times New Roman"/>
          <w:sz w:val="20"/>
          <w:szCs w:val="20"/>
        </w:rPr>
        <w:t>z</w:t>
      </w:r>
      <w:r w:rsidRPr="00796A9D">
        <w:rPr>
          <w:rFonts w:ascii="Times New Roman" w:hAnsi="Times New Roman" w:cs="Times New Roman"/>
          <w:sz w:val="20"/>
          <w:szCs w:val="20"/>
        </w:rPr>
        <w:t>a</w:t>
      </w:r>
      <w:bookmarkEnd w:id="529"/>
      <w:r w:rsidRPr="00796A9D">
        <w:rPr>
          <w:rFonts w:ascii="Times New Roman" w:hAnsi="Times New Roman" w:cs="Times New Roman"/>
          <w:sz w:val="20"/>
          <w:szCs w:val="20"/>
        </w:rPr>
        <w:t xml:space="preserve">, di cui purtroppo non abbiamo testimonianze manoscritte. Cfr. </w:t>
      </w:r>
      <w:r w:rsidRPr="00796A9D">
        <w:rPr>
          <w:rFonts w:ascii="Times New Roman" w:hAnsi="Times New Roman" w:cs="Times New Roman"/>
          <w:smallCaps/>
          <w:sz w:val="20"/>
          <w:szCs w:val="20"/>
        </w:rPr>
        <w:t>E. Garin</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L’educazione in Europa</w:t>
      </w:r>
      <w:r w:rsidRPr="00796A9D">
        <w:rPr>
          <w:rFonts w:ascii="Times New Roman" w:hAnsi="Times New Roman" w:cs="Times New Roman"/>
          <w:sz w:val="20"/>
          <w:szCs w:val="20"/>
        </w:rPr>
        <w:t>, Bari, Laterza, 1957, pp. 137-148.</w:t>
      </w:r>
    </w:p>
  </w:footnote>
  <w:footnote w:id="887">
    <w:p w14:paraId="525E9D3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rappresentazione fiorentina dell’</w:t>
      </w:r>
      <w:r w:rsidRPr="00796A9D">
        <w:rPr>
          <w:rFonts w:ascii="Times New Roman" w:hAnsi="Times New Roman" w:cs="Times New Roman"/>
          <w:i/>
        </w:rPr>
        <w:t>Andria</w:t>
      </w:r>
      <w:r w:rsidRPr="00796A9D">
        <w:rPr>
          <w:rFonts w:ascii="Times New Roman" w:hAnsi="Times New Roman" w:cs="Times New Roman"/>
        </w:rPr>
        <w:t xml:space="preserve"> di Terenzio fu presentata per la prima volta all’interno della scuola del Vespucci e successivamente in casa di Lorenzo de’ Medici, con una terza replica alla presenza dei magistrati della città. Dell’evento, che è il primo allestimento quattrocentesco noto di una commedia classica, fornisce testimonianza una lettera del 26 febbraio 1476 di </w:t>
      </w:r>
      <w:bookmarkStart w:id="531" w:name="_Hlk536015833"/>
      <w:r w:rsidRPr="00796A9D">
        <w:rPr>
          <w:rFonts w:ascii="Times New Roman" w:hAnsi="Times New Roman" w:cs="Times New Roman"/>
        </w:rPr>
        <w:t xml:space="preserve">Pietro Cennini </w:t>
      </w:r>
      <w:bookmarkEnd w:id="531"/>
      <w:r w:rsidRPr="00796A9D">
        <w:rPr>
          <w:rFonts w:ascii="Times New Roman" w:hAnsi="Times New Roman" w:cs="Times New Roman"/>
        </w:rPr>
        <w:t xml:space="preserve">ad Alamanno Rinuccini, in cui leggiamo anche alcune sintetiche indicazioni sulle tecniche recitative adottate dagli scolari. Per il testo della lettera rinvio a C. </w:t>
      </w:r>
      <w:r w:rsidRPr="00796A9D">
        <w:rPr>
          <w:rFonts w:ascii="Times New Roman" w:hAnsi="Times New Roman" w:cs="Times New Roman"/>
          <w:smallCaps/>
        </w:rPr>
        <w:t>Marchesi</w:t>
      </w:r>
      <w:r w:rsidRPr="00796A9D">
        <w:rPr>
          <w:rFonts w:ascii="Times New Roman" w:hAnsi="Times New Roman" w:cs="Times New Roman"/>
        </w:rPr>
        <w:t xml:space="preserve">, </w:t>
      </w:r>
      <w:r w:rsidRPr="00796A9D">
        <w:rPr>
          <w:rFonts w:ascii="Times New Roman" w:hAnsi="Times New Roman" w:cs="Times New Roman"/>
          <w:i/>
        </w:rPr>
        <w:t>Documenti inediti sugli umanisti fiorentini della seconda metà del sec. XV</w:t>
      </w:r>
      <w:r w:rsidRPr="00796A9D">
        <w:rPr>
          <w:rFonts w:ascii="Times New Roman" w:hAnsi="Times New Roman" w:cs="Times New Roman"/>
        </w:rPr>
        <w:t xml:space="preserve">, Catania, Giannotta, 1899, pp. XXI-XXII. </w:t>
      </w:r>
    </w:p>
  </w:footnote>
  <w:footnote w:id="888">
    <w:p w14:paraId="12C266CE" w14:textId="77777777" w:rsidR="00CF5CFB" w:rsidRPr="00796A9D" w:rsidRDefault="00CF5CFB" w:rsidP="00796A9D">
      <w:pPr>
        <w:spacing w:after="0" w:line="240" w:lineRule="auto"/>
        <w:jc w:val="both"/>
        <w:rPr>
          <w:rFonts w:ascii="Times New Roman" w:hAnsi="Times New Roman" w:cs="Times New Roman"/>
          <w:smallCaps/>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Sul tema della pratica recitativa come strumento di affinamento delle capacità retoriche, della valenza culturale dell’operazione del Vespucci e dell’impiego del teatro con finalità educative nella Firenze di età laurenziana si veda P. </w:t>
      </w:r>
      <w:r w:rsidRPr="00796A9D">
        <w:rPr>
          <w:rFonts w:ascii="Times New Roman" w:hAnsi="Times New Roman" w:cs="Times New Roman"/>
          <w:smallCaps/>
          <w:sz w:val="20"/>
          <w:szCs w:val="20"/>
        </w:rPr>
        <w:t>Ventrone</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Teatro civile e sacra rappresentazione</w:t>
      </w:r>
      <w:r w:rsidRPr="00796A9D">
        <w:rPr>
          <w:rFonts w:ascii="Times New Roman" w:hAnsi="Times New Roman" w:cs="Times New Roman"/>
          <w:sz w:val="20"/>
          <w:szCs w:val="20"/>
        </w:rPr>
        <w:t>, cit., pp. 247-261. Ad esso rinvio per un inquadramento più preciso della riproposta fiorentina del teatro classico, in cui l’autrice segnala anche l’importanza delle recite classiche promosse da Luca de’ Bernardi da San Gimignano presso lo Studio fiorentino tra il 1485 e il 1498, e almeno un’interpretazione dell’</w:t>
      </w:r>
      <w:r w:rsidRPr="00796A9D">
        <w:rPr>
          <w:rFonts w:ascii="Times New Roman" w:hAnsi="Times New Roman" w:cs="Times New Roman"/>
          <w:i/>
          <w:sz w:val="20"/>
          <w:szCs w:val="20"/>
        </w:rPr>
        <w:t>Electra</w:t>
      </w:r>
      <w:r w:rsidRPr="00796A9D">
        <w:rPr>
          <w:rFonts w:ascii="Times New Roman" w:hAnsi="Times New Roman" w:cs="Times New Roman"/>
          <w:sz w:val="20"/>
          <w:szCs w:val="20"/>
        </w:rPr>
        <w:t xml:space="preserve"> di Sofocle di Alessandra Scala in casa del padre Bartolomeo, ricordata da Poliziano, nel 1493. È ancora nel contesto di esercitazioni scolastiche che si collocò l’allestimento, nel 1488, dei </w:t>
      </w:r>
      <w:r w:rsidRPr="00796A9D">
        <w:rPr>
          <w:rFonts w:ascii="Times New Roman" w:hAnsi="Times New Roman" w:cs="Times New Roman"/>
          <w:i/>
          <w:sz w:val="20"/>
          <w:szCs w:val="20"/>
        </w:rPr>
        <w:t>Menaechmi</w:t>
      </w:r>
      <w:r w:rsidRPr="00796A9D">
        <w:rPr>
          <w:rFonts w:ascii="Times New Roman" w:hAnsi="Times New Roman" w:cs="Times New Roman"/>
          <w:sz w:val="20"/>
          <w:szCs w:val="20"/>
        </w:rPr>
        <w:t xml:space="preserve"> di Plauto, inscenato dagli allievi di Paolo Comparini da Prato, per il quale Poliziano compose un polemico prologo contro i detrattori dell’uso del teatro classico a fini educativi. Cfr. G. </w:t>
      </w:r>
      <w:r w:rsidRPr="00796A9D">
        <w:rPr>
          <w:rFonts w:ascii="Times New Roman" w:hAnsi="Times New Roman" w:cs="Times New Roman"/>
          <w:smallCaps/>
          <w:sz w:val="20"/>
          <w:szCs w:val="20"/>
        </w:rPr>
        <w:t>Bombieri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Osservazioni sul Prologo ai Menaecmi di Angelo Poliziano</w:t>
      </w:r>
      <w:r w:rsidRPr="00796A9D">
        <w:rPr>
          <w:rFonts w:ascii="Times New Roman" w:hAnsi="Times New Roman" w:cs="Times New Roman"/>
          <w:sz w:val="20"/>
          <w:szCs w:val="20"/>
        </w:rPr>
        <w:t xml:space="preserve">, in </w:t>
      </w:r>
      <w:r w:rsidRPr="00796A9D">
        <w:rPr>
          <w:rFonts w:ascii="Times New Roman" w:hAnsi="Times New Roman" w:cs="Times New Roman"/>
          <w:smallCaps/>
          <w:sz w:val="20"/>
          <w:szCs w:val="20"/>
        </w:rPr>
        <w:t>R. Cardini</w:t>
      </w:r>
      <w:r>
        <w:rPr>
          <w:rFonts w:ascii="Times New Roman" w:hAnsi="Times New Roman" w:cs="Times New Roman"/>
          <w:smallCaps/>
          <w:sz w:val="20"/>
          <w:szCs w:val="20"/>
        </w:rPr>
        <w:t>,</w:t>
      </w:r>
      <w:r w:rsidRPr="00796A9D">
        <w:rPr>
          <w:rFonts w:ascii="Times New Roman" w:hAnsi="Times New Roman" w:cs="Times New Roman"/>
          <w:smallCaps/>
          <w:sz w:val="20"/>
          <w:szCs w:val="20"/>
        </w:rPr>
        <w:t xml:space="preserve"> E. Garin</w:t>
      </w:r>
      <w:r>
        <w:rPr>
          <w:rFonts w:ascii="Times New Roman" w:hAnsi="Times New Roman" w:cs="Times New Roman"/>
          <w:smallCaps/>
          <w:sz w:val="20"/>
          <w:szCs w:val="20"/>
        </w:rPr>
        <w:t>,</w:t>
      </w:r>
      <w:r w:rsidRPr="00796A9D">
        <w:rPr>
          <w:rFonts w:ascii="Times New Roman" w:hAnsi="Times New Roman" w:cs="Times New Roman"/>
          <w:smallCaps/>
          <w:sz w:val="20"/>
          <w:szCs w:val="20"/>
        </w:rPr>
        <w:t xml:space="preserve"> L. Cesarini Martinelli</w:t>
      </w:r>
      <w:r>
        <w:rPr>
          <w:rFonts w:ascii="Times New Roman" w:hAnsi="Times New Roman" w:cs="Times New Roman"/>
          <w:smallCaps/>
          <w:sz w:val="20"/>
          <w:szCs w:val="20"/>
        </w:rPr>
        <w:t xml:space="preserve">, </w:t>
      </w:r>
      <w:r w:rsidRPr="00796A9D">
        <w:rPr>
          <w:rFonts w:ascii="Times New Roman" w:hAnsi="Times New Roman" w:cs="Times New Roman"/>
          <w:smallCaps/>
          <w:sz w:val="20"/>
          <w:szCs w:val="20"/>
        </w:rPr>
        <w:t>G. Pascucci</w:t>
      </w:r>
      <w:r w:rsidRPr="00796A9D">
        <w:rPr>
          <w:rFonts w:ascii="Times New Roman" w:hAnsi="Times New Roman" w:cs="Times New Roman"/>
          <w:sz w:val="20"/>
          <w:szCs w:val="20"/>
        </w:rPr>
        <w:t xml:space="preserve"> a cura di,</w:t>
      </w:r>
      <w:r w:rsidRPr="00796A9D">
        <w:rPr>
          <w:rFonts w:ascii="Times New Roman" w:hAnsi="Times New Roman" w:cs="Times New Roman"/>
          <w:i/>
          <w:sz w:val="20"/>
          <w:szCs w:val="20"/>
        </w:rPr>
        <w:t xml:space="preserve"> Tradizione classica e letteratura umanistica. Per Alessandro Perosa</w:t>
      </w:r>
      <w:r w:rsidRPr="00796A9D">
        <w:rPr>
          <w:rFonts w:ascii="Times New Roman" w:hAnsi="Times New Roman" w:cs="Times New Roman"/>
          <w:sz w:val="20"/>
          <w:szCs w:val="20"/>
        </w:rPr>
        <w:t>, Roma, Bulzoni, 1985, II, pp. 489-506. Di tutte queste esperienze si segnalano il legame con l’ambito dell’insegnamento o con cenacoli eruditi e il fatto che nessuna di esse ottenne mai piena ufficialità nel contesto della cultura cittadina contemporanea.</w:t>
      </w:r>
    </w:p>
  </w:footnote>
  <w:footnote w:id="889">
    <w:p w14:paraId="46EEB12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l’analisi degli aspetti bibliografici dell’</w:t>
      </w:r>
      <w:r w:rsidRPr="00796A9D">
        <w:rPr>
          <w:rFonts w:ascii="Times New Roman" w:hAnsi="Times New Roman" w:cs="Times New Roman"/>
          <w:i/>
        </w:rPr>
        <w:t>editio</w:t>
      </w:r>
      <w:r w:rsidRPr="00796A9D">
        <w:rPr>
          <w:rFonts w:ascii="Times New Roman" w:hAnsi="Times New Roman" w:cs="Times New Roman"/>
        </w:rPr>
        <w:t xml:space="preserve"> </w:t>
      </w:r>
      <w:r w:rsidRPr="00796A9D">
        <w:rPr>
          <w:rFonts w:ascii="Times New Roman" w:hAnsi="Times New Roman" w:cs="Times New Roman"/>
          <w:i/>
        </w:rPr>
        <w:t>princeps</w:t>
      </w:r>
      <w:r w:rsidRPr="00796A9D">
        <w:rPr>
          <w:rFonts w:ascii="Times New Roman" w:hAnsi="Times New Roman" w:cs="Times New Roman"/>
        </w:rPr>
        <w:t xml:space="preserve"> di Vitruvio si vedano IGI 10346; BMC IV 124; GW M</w:t>
      </w:r>
      <w:r>
        <w:rPr>
          <w:rFonts w:ascii="Times New Roman" w:hAnsi="Times New Roman" w:cs="Times New Roman"/>
        </w:rPr>
        <w:t xml:space="preserve"> </w:t>
      </w:r>
      <w:r w:rsidRPr="00796A9D">
        <w:rPr>
          <w:rFonts w:ascii="Times New Roman" w:hAnsi="Times New Roman" w:cs="Times New Roman"/>
        </w:rPr>
        <w:t>51000</w:t>
      </w:r>
      <w:r w:rsidRPr="00796A9D">
        <w:rPr>
          <w:rFonts w:ascii="Times New Roman" w:hAnsi="Times New Roman" w:cs="Times New Roman"/>
          <w:color w:val="000000"/>
          <w:shd w:val="clear" w:color="auto" w:fill="FFFFFF"/>
        </w:rPr>
        <w:t>.</w:t>
      </w:r>
    </w:p>
  </w:footnote>
  <w:footnote w:id="890">
    <w:p w14:paraId="4E0FB1A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Credo che la menzione della </w:t>
      </w:r>
      <w:r w:rsidRPr="00796A9D">
        <w:rPr>
          <w:rFonts w:ascii="Times New Roman" w:hAnsi="Times New Roman" w:cs="Times New Roman"/>
          <w:i/>
        </w:rPr>
        <w:t>picturatae scenae faciem</w:t>
      </w:r>
      <w:r w:rsidRPr="00796A9D">
        <w:rPr>
          <w:rFonts w:ascii="Times New Roman" w:hAnsi="Times New Roman" w:cs="Times New Roman"/>
        </w:rPr>
        <w:t xml:space="preserve"> richiami semplicemente l’impiego di una scena dipinta che non prevedesse disegni in prospettiva e avesse, come osserva Marzia Pieri, una struttura simile a quella degli apparati che fanno da sfondo alle vignette dell’edizione lionese stampata da Richard Trechsel nel 1493. Cfr. </w:t>
      </w:r>
      <w:r w:rsidRPr="00796A9D">
        <w:rPr>
          <w:rFonts w:ascii="Times New Roman" w:hAnsi="Times New Roman" w:cs="Times New Roman"/>
          <w:smallCaps/>
        </w:rPr>
        <w:t>M. Pieri</w:t>
      </w:r>
      <w:r w:rsidRPr="00796A9D">
        <w:rPr>
          <w:rFonts w:ascii="Times New Roman" w:hAnsi="Times New Roman" w:cs="Times New Roman"/>
        </w:rPr>
        <w:t xml:space="preserve">, </w:t>
      </w:r>
      <w:r w:rsidRPr="00796A9D">
        <w:rPr>
          <w:rFonts w:ascii="Times New Roman" w:hAnsi="Times New Roman" w:cs="Times New Roman"/>
          <w:i/>
        </w:rPr>
        <w:t>La nascita del teatro moderno in Italia tra XV e XVI secolo</w:t>
      </w:r>
      <w:r w:rsidRPr="00796A9D">
        <w:rPr>
          <w:rFonts w:ascii="Times New Roman" w:hAnsi="Times New Roman" w:cs="Times New Roman"/>
        </w:rPr>
        <w:t xml:space="preserve">, cit., pp. 70-71. In tal caso la scena pomponiana potrebbe allinearsi alle altre adozioni quattro-cinquecentesche della scena a portico, ovvero di una struttura ispirata alle </w:t>
      </w:r>
      <w:r w:rsidRPr="00796A9D">
        <w:rPr>
          <w:rFonts w:ascii="Times New Roman" w:hAnsi="Times New Roman" w:cs="Times New Roman"/>
          <w:i/>
        </w:rPr>
        <w:t>fornices</w:t>
      </w:r>
      <w:r w:rsidRPr="00796A9D">
        <w:rPr>
          <w:rFonts w:ascii="Times New Roman" w:hAnsi="Times New Roman" w:cs="Times New Roman"/>
        </w:rPr>
        <w:t xml:space="preserve"> che caratterizzavano il registro inferiore della </w:t>
      </w:r>
      <w:r w:rsidRPr="00796A9D">
        <w:rPr>
          <w:rFonts w:ascii="Times New Roman" w:hAnsi="Times New Roman" w:cs="Times New Roman"/>
          <w:i/>
        </w:rPr>
        <w:t>frons-scaenae</w:t>
      </w:r>
      <w:r w:rsidRPr="00796A9D">
        <w:rPr>
          <w:rFonts w:ascii="Times New Roman" w:hAnsi="Times New Roman" w:cs="Times New Roman"/>
        </w:rPr>
        <w:t xml:space="preserve"> dei teatri romani. Essa ebbe larga fortuna nel Rinascimento perché permetteva agli interpreti di servirsene come sfondo per altri elementi scenografici: su tutto questo cfr. L. </w:t>
      </w:r>
      <w:r w:rsidRPr="00796A9D">
        <w:rPr>
          <w:rFonts w:ascii="Times New Roman" w:hAnsi="Times New Roman" w:cs="Times New Roman"/>
          <w:smallCaps/>
        </w:rPr>
        <w:t>Zorzi</w:t>
      </w:r>
      <w:r w:rsidRPr="00796A9D">
        <w:rPr>
          <w:rFonts w:ascii="Times New Roman" w:hAnsi="Times New Roman" w:cs="Times New Roman"/>
        </w:rPr>
        <w:t xml:space="preserve">, </w:t>
      </w:r>
      <w:r w:rsidRPr="00796A9D">
        <w:rPr>
          <w:rFonts w:ascii="Times New Roman" w:hAnsi="Times New Roman" w:cs="Times New Roman"/>
          <w:i/>
        </w:rPr>
        <w:t>Note sul motivo della scena a portico</w:t>
      </w:r>
      <w:r w:rsidRPr="00796A9D">
        <w:rPr>
          <w:rFonts w:ascii="Times New Roman" w:hAnsi="Times New Roman" w:cs="Times New Roman"/>
        </w:rPr>
        <w:t xml:space="preserve">, in </w:t>
      </w:r>
      <w:r w:rsidRPr="00796A9D">
        <w:rPr>
          <w:rFonts w:ascii="Times New Roman" w:hAnsi="Times New Roman" w:cs="Times New Roman"/>
          <w:smallCaps/>
        </w:rPr>
        <w:t>Idem</w:t>
      </w:r>
      <w:r w:rsidRPr="00796A9D">
        <w:rPr>
          <w:rFonts w:ascii="Times New Roman" w:hAnsi="Times New Roman" w:cs="Times New Roman"/>
        </w:rPr>
        <w:t xml:space="preserve">, </w:t>
      </w:r>
      <w:r w:rsidRPr="00796A9D">
        <w:rPr>
          <w:rFonts w:ascii="Times New Roman" w:hAnsi="Times New Roman" w:cs="Times New Roman"/>
          <w:i/>
        </w:rPr>
        <w:t xml:space="preserve">Il teatro e la città, </w:t>
      </w:r>
      <w:r w:rsidRPr="00796A9D">
        <w:rPr>
          <w:rFonts w:ascii="Times New Roman" w:hAnsi="Times New Roman" w:cs="Times New Roman"/>
        </w:rPr>
        <w:t>cit., pp. 295-326.</w:t>
      </w:r>
    </w:p>
  </w:footnote>
  <w:footnote w:id="891">
    <w:p w14:paraId="4B1E8D1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È una lettera di Alessandro Cortese al cardinale Francesco Baroni inviata alle idi di aprile del 1486 a segnalare i due spettacoli teatrali. Vi si legge come l’</w:t>
      </w:r>
      <w:r w:rsidRPr="00796A9D">
        <w:rPr>
          <w:rFonts w:ascii="Times New Roman" w:hAnsi="Times New Roman" w:cs="Times New Roman"/>
          <w:i/>
        </w:rPr>
        <w:t>Epidicus</w:t>
      </w:r>
      <w:r w:rsidRPr="00796A9D">
        <w:rPr>
          <w:rFonts w:ascii="Times New Roman" w:hAnsi="Times New Roman" w:cs="Times New Roman"/>
        </w:rPr>
        <w:t>, interpretato da mimi romani, fosse stato inscenato in Campidoglio, mentre l’</w:t>
      </w:r>
      <w:r w:rsidRPr="00796A9D">
        <w:rPr>
          <w:rFonts w:ascii="Times New Roman" w:hAnsi="Times New Roman" w:cs="Times New Roman"/>
          <w:i/>
        </w:rPr>
        <w:t>Ippolito</w:t>
      </w:r>
      <w:r w:rsidRPr="00796A9D">
        <w:rPr>
          <w:rFonts w:ascii="Times New Roman" w:hAnsi="Times New Roman" w:cs="Times New Roman"/>
        </w:rPr>
        <w:t xml:space="preserve"> in Campo dei Fiori, dinnanzi al palazzo del cardinale Raffaele Riario. Su questa testimonianza e più in generale sul contributo dei pomponiani alla riscoperta del teatro classico rinvio a F. </w:t>
      </w:r>
      <w:r w:rsidRPr="00796A9D">
        <w:rPr>
          <w:rFonts w:ascii="Times New Roman" w:hAnsi="Times New Roman" w:cs="Times New Roman"/>
          <w:smallCaps/>
        </w:rPr>
        <w:t>Cruciani</w:t>
      </w:r>
      <w:r w:rsidRPr="00796A9D">
        <w:rPr>
          <w:rFonts w:ascii="Times New Roman" w:hAnsi="Times New Roman" w:cs="Times New Roman"/>
        </w:rPr>
        <w:t xml:space="preserve">, </w:t>
      </w:r>
      <w:r w:rsidRPr="00796A9D">
        <w:rPr>
          <w:rFonts w:ascii="Times New Roman" w:hAnsi="Times New Roman" w:cs="Times New Roman"/>
          <w:i/>
        </w:rPr>
        <w:t xml:space="preserve">Teatro nel Rinascimento. </w:t>
      </w:r>
      <w:r w:rsidRPr="00796A9D">
        <w:rPr>
          <w:rFonts w:ascii="Times New Roman" w:hAnsi="Times New Roman" w:cs="Times New Roman"/>
          <w:i/>
          <w:lang w:val="en-GB"/>
        </w:rPr>
        <w:t>Roma 1450-1550</w:t>
      </w:r>
      <w:r w:rsidRPr="00796A9D">
        <w:rPr>
          <w:rFonts w:ascii="Times New Roman" w:hAnsi="Times New Roman" w:cs="Times New Roman"/>
          <w:lang w:val="en-GB"/>
        </w:rPr>
        <w:t xml:space="preserve">, cit., pp. 219-226. </w:t>
      </w:r>
    </w:p>
  </w:footnote>
  <w:footnote w:id="892">
    <w:p w14:paraId="6E175AC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Francesca Bortoletti ha proposto la possibilità d’identificare con l’egloga </w:t>
      </w:r>
      <w:r w:rsidRPr="00796A9D">
        <w:rPr>
          <w:rFonts w:ascii="Times New Roman" w:hAnsi="Times New Roman" w:cs="Times New Roman"/>
          <w:i/>
        </w:rPr>
        <w:t>Sylvan, mai mosse il ciel tanta ruina</w:t>
      </w:r>
      <w:r w:rsidRPr="00796A9D">
        <w:rPr>
          <w:rFonts w:ascii="Times New Roman" w:hAnsi="Times New Roman" w:cs="Times New Roman"/>
        </w:rPr>
        <w:t xml:space="preserve"> – un dialogo tra i pastori Hyrcano, Sylvano e Palemon sul tema di un amore non corrisposto – il testo del Ciminelli rappresentato per lo sposalizio Sforza-Borgia. Cfr. </w:t>
      </w:r>
      <w:r w:rsidRPr="00796A9D">
        <w:rPr>
          <w:rFonts w:ascii="Times New Roman" w:hAnsi="Times New Roman" w:cs="Times New Roman"/>
          <w:smallCaps/>
        </w:rPr>
        <w:t>F. Bortoletti</w:t>
      </w:r>
      <w:r w:rsidRPr="00796A9D">
        <w:rPr>
          <w:rFonts w:ascii="Times New Roman" w:hAnsi="Times New Roman" w:cs="Times New Roman"/>
          <w:i/>
        </w:rPr>
        <w:t>, Egloga e spettacolo nel primo Rinascimento</w:t>
      </w:r>
      <w:r w:rsidRPr="00796A9D">
        <w:rPr>
          <w:rFonts w:ascii="Times New Roman" w:hAnsi="Times New Roman" w:cs="Times New Roman"/>
        </w:rPr>
        <w:t>, cit., pp. 203-208.</w:t>
      </w:r>
    </w:p>
  </w:footnote>
  <w:footnote w:id="893">
    <w:p w14:paraId="1102AA0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di Pietro Varano, datata 18 giugno 1493, è parzialmente edita </w:t>
      </w:r>
      <w:r w:rsidRPr="00796A9D">
        <w:rPr>
          <w:rFonts w:ascii="Times New Roman" w:hAnsi="Times New Roman" w:cs="Times New Roman"/>
          <w:i/>
        </w:rPr>
        <w:t>Ivi</w:t>
      </w:r>
      <w:r w:rsidRPr="00796A9D">
        <w:rPr>
          <w:rFonts w:ascii="Times New Roman" w:hAnsi="Times New Roman" w:cs="Times New Roman"/>
        </w:rPr>
        <w:t xml:space="preserve">, p. 262. </w:t>
      </w:r>
    </w:p>
  </w:footnote>
  <w:footnote w:id="894">
    <w:p w14:paraId="2E41ED0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J. Burckardus</w:t>
      </w:r>
      <w:r w:rsidRPr="00796A9D">
        <w:rPr>
          <w:rFonts w:ascii="Times New Roman" w:hAnsi="Times New Roman" w:cs="Times New Roman"/>
        </w:rPr>
        <w:t xml:space="preserve">, </w:t>
      </w:r>
      <w:r w:rsidRPr="00796A9D">
        <w:rPr>
          <w:rFonts w:ascii="Times New Roman" w:hAnsi="Times New Roman" w:cs="Times New Roman"/>
          <w:i/>
        </w:rPr>
        <w:t>Liber notarum ab anno MCCCCLXXXIII usque ad annum MDVI</w:t>
      </w:r>
      <w:r w:rsidRPr="00796A9D">
        <w:rPr>
          <w:rFonts w:ascii="Times New Roman" w:hAnsi="Times New Roman" w:cs="Times New Roman"/>
        </w:rPr>
        <w:t xml:space="preserve">, in </w:t>
      </w:r>
      <w:r w:rsidRPr="00796A9D">
        <w:rPr>
          <w:rFonts w:ascii="Times New Roman" w:hAnsi="Times New Roman" w:cs="Times New Roman"/>
          <w:i/>
        </w:rPr>
        <w:t>Rerum Italicarum Scriptores</w:t>
      </w:r>
      <w:r w:rsidRPr="00796A9D">
        <w:rPr>
          <w:rFonts w:ascii="Times New Roman" w:hAnsi="Times New Roman" w:cs="Times New Roman"/>
        </w:rPr>
        <w:t>, Città di Castello, Lapi, tomo XXXII, vol. I, p. 446.</w:t>
      </w:r>
    </w:p>
  </w:footnote>
  <w:footnote w:id="895">
    <w:p w14:paraId="322E92D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F. </w:t>
      </w:r>
      <w:r w:rsidRPr="00796A9D">
        <w:rPr>
          <w:rFonts w:ascii="Times New Roman" w:hAnsi="Times New Roman" w:cs="Times New Roman"/>
          <w:smallCaps/>
        </w:rPr>
        <w:t>Cruciani</w:t>
      </w:r>
      <w:r w:rsidRPr="00796A9D">
        <w:rPr>
          <w:rFonts w:ascii="Times New Roman" w:hAnsi="Times New Roman" w:cs="Times New Roman"/>
        </w:rPr>
        <w:t xml:space="preserve">, </w:t>
      </w:r>
      <w:r w:rsidRPr="00796A9D">
        <w:rPr>
          <w:rFonts w:ascii="Times New Roman" w:hAnsi="Times New Roman" w:cs="Times New Roman"/>
          <w:i/>
        </w:rPr>
        <w:t xml:space="preserve">Teatro nel Rinascimento. </w:t>
      </w:r>
      <w:r w:rsidRPr="00796A9D">
        <w:rPr>
          <w:rFonts w:ascii="Times New Roman" w:hAnsi="Times New Roman" w:cs="Times New Roman"/>
          <w:i/>
          <w:lang w:val="en-GB"/>
        </w:rPr>
        <w:t>Roma 1450-1550</w:t>
      </w:r>
      <w:r w:rsidRPr="00796A9D">
        <w:rPr>
          <w:rFonts w:ascii="Times New Roman" w:hAnsi="Times New Roman" w:cs="Times New Roman"/>
          <w:lang w:val="en-GB"/>
        </w:rPr>
        <w:t>, cit., p. 255.</w:t>
      </w:r>
    </w:p>
  </w:footnote>
  <w:footnote w:id="896">
    <w:p w14:paraId="3FC2FFA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notizie sul Sabino si perdono nell’anno 1527, quando forse morì nei tumulti del sacco di Roma. Fu originario di Palestrina, dove nacque intono al 1470. Frequentò le assemblee dei Pomponiani e svolse un’attività di pedagogo nell’Urbe documentata nel primo decennio del Cinquecento ma presubilmente avviata già in precedenza. Cfr. </w:t>
      </w:r>
      <w:r w:rsidRPr="00796A9D">
        <w:rPr>
          <w:rFonts w:ascii="Times New Roman" w:hAnsi="Times New Roman" w:cs="Times New Roman"/>
          <w:smallCaps/>
        </w:rPr>
        <w:t>M. Ceresa</w:t>
      </w:r>
      <w:r w:rsidRPr="00796A9D">
        <w:rPr>
          <w:rFonts w:ascii="Times New Roman" w:hAnsi="Times New Roman" w:cs="Times New Roman"/>
        </w:rPr>
        <w:t xml:space="preserve">, </w:t>
      </w:r>
      <w:r w:rsidRPr="00796A9D">
        <w:rPr>
          <w:rFonts w:ascii="Times New Roman" w:hAnsi="Times New Roman" w:cs="Times New Roman"/>
          <w:i/>
        </w:rPr>
        <w:t>Andrea Fulvio erudito, antiquario e classicista</w:t>
      </w:r>
      <w:r w:rsidRPr="00796A9D">
        <w:rPr>
          <w:rFonts w:ascii="Times New Roman" w:hAnsi="Times New Roman" w:cs="Times New Roman"/>
        </w:rPr>
        <w:t xml:space="preserve">, in </w:t>
      </w:r>
      <w:r w:rsidRPr="00796A9D">
        <w:rPr>
          <w:rFonts w:ascii="Times New Roman" w:hAnsi="Times New Roman" w:cs="Times New Roman"/>
          <w:i/>
        </w:rPr>
        <w:t>Roma nella svolta tra Quattrocento e Cinquecento</w:t>
      </w:r>
      <w:r w:rsidRPr="00796A9D">
        <w:rPr>
          <w:rFonts w:ascii="Times New Roman" w:hAnsi="Times New Roman" w:cs="Times New Roman"/>
        </w:rPr>
        <w:t xml:space="preserve">, Atti del convegno internazionale di studi (Roma, 28-31 ottobre 1996), Roma, De Luca, 2004, pp. 143-150. L’elenco dei membri dell’Accademia Pomponiana e alcune notizie biografiche su di loro sono disponibili online all’indirizzo www.repertoriumpomponianum.it. Data ultima visita 10/12/2018. </w:t>
      </w:r>
    </w:p>
  </w:footnote>
  <w:footnote w:id="897">
    <w:p w14:paraId="36D70F4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missiva, datata 2 gennaio 1503, è pubblicata in F. </w:t>
      </w:r>
      <w:r w:rsidRPr="00796A9D">
        <w:rPr>
          <w:rFonts w:ascii="Times New Roman" w:hAnsi="Times New Roman" w:cs="Times New Roman"/>
          <w:smallCaps/>
        </w:rPr>
        <w:t>Cruciani</w:t>
      </w:r>
      <w:r w:rsidRPr="00796A9D">
        <w:rPr>
          <w:rFonts w:ascii="Times New Roman" w:hAnsi="Times New Roman" w:cs="Times New Roman"/>
        </w:rPr>
        <w:t xml:space="preserve">, </w:t>
      </w:r>
      <w:r w:rsidRPr="00796A9D">
        <w:rPr>
          <w:rFonts w:ascii="Times New Roman" w:hAnsi="Times New Roman" w:cs="Times New Roman"/>
          <w:i/>
        </w:rPr>
        <w:t xml:space="preserve">Teatro nel Rinascimento. </w:t>
      </w:r>
      <w:r w:rsidRPr="00796A9D">
        <w:rPr>
          <w:rFonts w:ascii="Times New Roman" w:hAnsi="Times New Roman" w:cs="Times New Roman"/>
          <w:i/>
          <w:lang w:val="en-GB"/>
        </w:rPr>
        <w:t>Roma 1450-1550</w:t>
      </w:r>
      <w:r w:rsidRPr="00796A9D">
        <w:rPr>
          <w:rFonts w:ascii="Times New Roman" w:hAnsi="Times New Roman" w:cs="Times New Roman"/>
          <w:lang w:val="en-GB"/>
        </w:rPr>
        <w:t xml:space="preserve">, cit., p. 298. </w:t>
      </w:r>
    </w:p>
  </w:footnote>
  <w:footnote w:id="898">
    <w:p w14:paraId="7370D2B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i/>
        </w:rPr>
        <w:t>Ivi</w:t>
      </w:r>
      <w:r w:rsidRPr="00796A9D">
        <w:rPr>
          <w:rFonts w:ascii="Times New Roman" w:hAnsi="Times New Roman" w:cs="Times New Roman"/>
        </w:rPr>
        <w:t>, pp.  290-291</w:t>
      </w:r>
      <w:r>
        <w:rPr>
          <w:rFonts w:ascii="Times New Roman" w:hAnsi="Times New Roman" w:cs="Times New Roman"/>
        </w:rPr>
        <w:t>,</w:t>
      </w:r>
      <w:r w:rsidRPr="00796A9D">
        <w:rPr>
          <w:rFonts w:ascii="Times New Roman" w:hAnsi="Times New Roman" w:cs="Times New Roman"/>
        </w:rPr>
        <w:t xml:space="preserve"> </w:t>
      </w:r>
      <w:r>
        <w:rPr>
          <w:rFonts w:ascii="Times New Roman" w:hAnsi="Times New Roman" w:cs="Times New Roman"/>
        </w:rPr>
        <w:t>c</w:t>
      </w:r>
      <w:r w:rsidRPr="00796A9D">
        <w:rPr>
          <w:rFonts w:ascii="Times New Roman" w:hAnsi="Times New Roman" w:cs="Times New Roman"/>
        </w:rPr>
        <w:t xml:space="preserve">ui si rinvia anche per la lettera che il Prete da Correggio inviò il 2 gennaio 1503 a Isabella d’Este con la descrizione delle feste, lì alle pp. 296-297. Sull’egloga del Capodiferro e su altre quattro rappresentazioni di soggetto pastorale offerte durante le nozze romane della Borgia nel 1502 vedi </w:t>
      </w:r>
      <w:r w:rsidRPr="00796A9D">
        <w:rPr>
          <w:rFonts w:ascii="Times New Roman" w:hAnsi="Times New Roman" w:cs="Times New Roman"/>
          <w:smallCaps/>
        </w:rPr>
        <w:t>F. Bortoletti</w:t>
      </w:r>
      <w:r w:rsidRPr="00796A9D">
        <w:rPr>
          <w:rFonts w:ascii="Times New Roman" w:hAnsi="Times New Roman" w:cs="Times New Roman"/>
          <w:i/>
        </w:rPr>
        <w:t>, Egloga e spettacolo nel primo Rinascimento</w:t>
      </w:r>
      <w:r w:rsidRPr="00796A9D">
        <w:rPr>
          <w:rFonts w:ascii="Times New Roman" w:hAnsi="Times New Roman" w:cs="Times New Roman"/>
        </w:rPr>
        <w:t>, cit., pp. 203-208.</w:t>
      </w:r>
    </w:p>
  </w:footnote>
  <w:footnote w:id="899">
    <w:p w14:paraId="4A503608" w14:textId="77777777" w:rsidR="00CF5CFB" w:rsidRPr="00796A9D" w:rsidRDefault="00CF5CFB" w:rsidP="003C5AD8">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M. Camaioni</w:t>
      </w:r>
      <w:r w:rsidRPr="00796A9D">
        <w:rPr>
          <w:rFonts w:ascii="Times New Roman" w:hAnsi="Times New Roman" w:cs="Times New Roman"/>
        </w:rPr>
        <w:t xml:space="preserve">, s.v. </w:t>
      </w:r>
      <w:r w:rsidRPr="00796A9D">
        <w:rPr>
          <w:rFonts w:ascii="Times New Roman" w:hAnsi="Times New Roman" w:cs="Times New Roman"/>
          <w:i/>
        </w:rPr>
        <w:t>Riario Sansoni, Raffaele</w:t>
      </w:r>
      <w:r w:rsidRPr="00796A9D">
        <w:rPr>
          <w:rFonts w:ascii="Times New Roman" w:hAnsi="Times New Roman" w:cs="Times New Roman"/>
        </w:rPr>
        <w:t>, DBI, 2016, vol. LXXXVII, pp. 100-105.</w:t>
      </w:r>
    </w:p>
  </w:footnote>
  <w:footnote w:id="900">
    <w:p w14:paraId="0235A774" w14:textId="77777777" w:rsidR="00CF5CFB" w:rsidRPr="00BD1290" w:rsidRDefault="00CF5CFB">
      <w:pPr>
        <w:pStyle w:val="Testonotaapidipagina"/>
        <w:rPr>
          <w:rFonts w:ascii="Times New Roman" w:hAnsi="Times New Roman" w:cs="Times New Roman"/>
        </w:rPr>
      </w:pPr>
      <w:r w:rsidRPr="00BD1290">
        <w:rPr>
          <w:rStyle w:val="Rimandonotaapidipagina"/>
          <w:rFonts w:ascii="Times New Roman" w:hAnsi="Times New Roman" w:cs="Times New Roman"/>
        </w:rPr>
        <w:footnoteRef/>
      </w:r>
      <w:r w:rsidRPr="00BD1290">
        <w:rPr>
          <w:rFonts w:ascii="Times New Roman" w:hAnsi="Times New Roman" w:cs="Times New Roman"/>
        </w:rPr>
        <w:t xml:space="preserve"> </w:t>
      </w:r>
      <w:r w:rsidRPr="00BD1290">
        <w:rPr>
          <w:rFonts w:ascii="Times New Roman" w:hAnsi="Times New Roman" w:cs="Times New Roman"/>
          <w:smallCaps/>
        </w:rPr>
        <w:t>B. Zambotti</w:t>
      </w:r>
      <w:r w:rsidRPr="00BD1290">
        <w:rPr>
          <w:rFonts w:ascii="Times New Roman" w:hAnsi="Times New Roman" w:cs="Times New Roman"/>
        </w:rPr>
        <w:t xml:space="preserve">, </w:t>
      </w:r>
      <w:r w:rsidRPr="00BD1290">
        <w:rPr>
          <w:rFonts w:ascii="Times New Roman" w:hAnsi="Times New Roman" w:cs="Times New Roman"/>
          <w:i/>
        </w:rPr>
        <w:t>Diario ferrarese</w:t>
      </w:r>
      <w:r w:rsidRPr="00BD1290">
        <w:rPr>
          <w:rFonts w:ascii="Times New Roman" w:hAnsi="Times New Roman" w:cs="Times New Roman"/>
        </w:rPr>
        <w:t>, cit., pp. 170-171.</w:t>
      </w:r>
    </w:p>
  </w:footnote>
  <w:footnote w:id="901">
    <w:p w14:paraId="5F65B8B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L. </w:t>
      </w:r>
      <w:r w:rsidRPr="00796A9D">
        <w:rPr>
          <w:rFonts w:ascii="Times New Roman" w:hAnsi="Times New Roman" w:cs="Times New Roman"/>
          <w:smallCaps/>
        </w:rPr>
        <w:t>Zorzi</w:t>
      </w:r>
      <w:r w:rsidRPr="00796A9D">
        <w:rPr>
          <w:rFonts w:ascii="Times New Roman" w:hAnsi="Times New Roman" w:cs="Times New Roman"/>
        </w:rPr>
        <w:t xml:space="preserve">, </w:t>
      </w:r>
      <w:r w:rsidRPr="00796A9D">
        <w:rPr>
          <w:rFonts w:ascii="Times New Roman" w:hAnsi="Times New Roman" w:cs="Times New Roman"/>
          <w:i/>
        </w:rPr>
        <w:t>Ferrara: il sipario ducale</w:t>
      </w:r>
      <w:r w:rsidRPr="00796A9D">
        <w:rPr>
          <w:rFonts w:ascii="Times New Roman" w:hAnsi="Times New Roman" w:cs="Times New Roman"/>
        </w:rPr>
        <w:t xml:space="preserve">, cit., p. 20. </w:t>
      </w:r>
    </w:p>
  </w:footnote>
  <w:footnote w:id="902">
    <w:p w14:paraId="5C6D6CA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Franco Ruffini ipotizzò che nelle feste ferraresi del 1486 fosse stato recitato un volgorizzamento composto da Battista Guarini, autore di un carme latino commemorativo dello spettacolo e già dal 1479 al lavoro su traduzioni delle </w:t>
      </w:r>
      <w:r w:rsidRPr="00796A9D">
        <w:rPr>
          <w:rFonts w:ascii="Times New Roman" w:hAnsi="Times New Roman" w:cs="Times New Roman"/>
          <w:i/>
        </w:rPr>
        <w:t>Comoediae</w:t>
      </w:r>
      <w:r w:rsidRPr="00796A9D">
        <w:rPr>
          <w:rFonts w:ascii="Times New Roman" w:hAnsi="Times New Roman" w:cs="Times New Roman"/>
        </w:rPr>
        <w:t xml:space="preserve"> di Plauto destinate alla corte estense. Cfr. </w:t>
      </w:r>
      <w:r w:rsidRPr="00796A9D">
        <w:rPr>
          <w:rFonts w:ascii="Times New Roman" w:hAnsi="Times New Roman" w:cs="Times New Roman"/>
          <w:smallCaps/>
        </w:rPr>
        <w:t>F. Ruffini</w:t>
      </w:r>
      <w:r w:rsidRPr="00796A9D">
        <w:rPr>
          <w:rFonts w:ascii="Times New Roman" w:hAnsi="Times New Roman" w:cs="Times New Roman"/>
        </w:rPr>
        <w:t xml:space="preserve">, </w:t>
      </w:r>
      <w:r w:rsidRPr="00796A9D">
        <w:rPr>
          <w:rFonts w:ascii="Times New Roman" w:hAnsi="Times New Roman" w:cs="Times New Roman"/>
          <w:i/>
        </w:rPr>
        <w:t>Preliminari per un’analisi dei Menaechmi ferraresi del 1486</w:t>
      </w:r>
      <w:r w:rsidRPr="00796A9D">
        <w:rPr>
          <w:rFonts w:ascii="Times New Roman" w:hAnsi="Times New Roman" w:cs="Times New Roman"/>
        </w:rPr>
        <w:t xml:space="preserve">, «Schifanoia», III, 1987, pp. 125-135. L’edizione critica del volgarizzamento dei </w:t>
      </w:r>
      <w:r w:rsidRPr="00796A9D">
        <w:rPr>
          <w:rFonts w:ascii="Times New Roman" w:hAnsi="Times New Roman" w:cs="Times New Roman"/>
          <w:i/>
        </w:rPr>
        <w:t>Menechini</w:t>
      </w:r>
      <w:r w:rsidRPr="00796A9D">
        <w:rPr>
          <w:rFonts w:ascii="Times New Roman" w:hAnsi="Times New Roman" w:cs="Times New Roman"/>
        </w:rPr>
        <w:t xml:space="preserve"> attribuito a Guarini e trasmesso dal codice Sessoriano 413 della Biblioteca Nazionale Centrale di Roma è offerta in </w:t>
      </w:r>
      <w:r w:rsidRPr="00796A9D">
        <w:rPr>
          <w:rFonts w:ascii="Times New Roman" w:hAnsi="Times New Roman" w:cs="Times New Roman"/>
          <w:i/>
        </w:rPr>
        <w:t>I Menechini di Plauto.Volgarizzamenti rinascimentali</w:t>
      </w:r>
      <w:r w:rsidRPr="00796A9D">
        <w:rPr>
          <w:rFonts w:ascii="Times New Roman" w:hAnsi="Times New Roman" w:cs="Times New Roman"/>
        </w:rPr>
        <w:t xml:space="preserve">, a cura di </w:t>
      </w:r>
      <w:r w:rsidRPr="00796A9D">
        <w:rPr>
          <w:rFonts w:ascii="Times New Roman" w:hAnsi="Times New Roman" w:cs="Times New Roman"/>
          <w:smallCaps/>
        </w:rPr>
        <w:t>M.L. Uberti</w:t>
      </w:r>
      <w:r w:rsidRPr="00796A9D">
        <w:rPr>
          <w:rFonts w:ascii="Times New Roman" w:hAnsi="Times New Roman" w:cs="Times New Roman"/>
        </w:rPr>
        <w:t xml:space="preserve">, Ravenna, Longo, 1985. Più recentemente è stato però osservato come la composizione di versi in volgare per tale recita costituirebbe un </w:t>
      </w:r>
      <w:r w:rsidRPr="00796A9D">
        <w:rPr>
          <w:rFonts w:ascii="Times New Roman" w:hAnsi="Times New Roman" w:cs="Times New Roman"/>
          <w:i/>
        </w:rPr>
        <w:t>hapax</w:t>
      </w:r>
      <w:r w:rsidRPr="00796A9D">
        <w:rPr>
          <w:rFonts w:ascii="Times New Roman" w:hAnsi="Times New Roman" w:cs="Times New Roman"/>
        </w:rPr>
        <w:t xml:space="preserve"> nell’intera carriera dell’umanista, che probabilm</w:t>
      </w:r>
      <w:r>
        <w:rPr>
          <w:rFonts w:ascii="Times New Roman" w:hAnsi="Times New Roman" w:cs="Times New Roman"/>
        </w:rPr>
        <w:t>e</w:t>
      </w:r>
      <w:r w:rsidRPr="00796A9D">
        <w:rPr>
          <w:rFonts w:ascii="Times New Roman" w:hAnsi="Times New Roman" w:cs="Times New Roman"/>
        </w:rPr>
        <w:t xml:space="preserve">nte fornì solo delle traduzioni in prosa poi versificate da altri letterati di corte. Cfr. </w:t>
      </w:r>
      <w:r w:rsidRPr="00796A9D">
        <w:rPr>
          <w:rFonts w:ascii="Times New Roman" w:hAnsi="Times New Roman" w:cs="Times New Roman"/>
          <w:smallCaps/>
        </w:rPr>
        <w:t>G. Guastella</w:t>
      </w:r>
      <w:r w:rsidRPr="00796A9D">
        <w:rPr>
          <w:rFonts w:ascii="Times New Roman" w:hAnsi="Times New Roman" w:cs="Times New Roman"/>
        </w:rPr>
        <w:t xml:space="preserve">, </w:t>
      </w:r>
      <w:r w:rsidRPr="00796A9D">
        <w:rPr>
          <w:rFonts w:ascii="Times New Roman" w:hAnsi="Times New Roman" w:cs="Times New Roman"/>
          <w:i/>
        </w:rPr>
        <w:t>Menaechmi e Menechini: Plauto ritorna sulla scena</w:t>
      </w:r>
      <w:r w:rsidRPr="00796A9D">
        <w:rPr>
          <w:rFonts w:ascii="Times New Roman" w:hAnsi="Times New Roman" w:cs="Times New Roman"/>
        </w:rPr>
        <w:t xml:space="preserve">, in </w:t>
      </w:r>
      <w:r w:rsidRPr="00796A9D">
        <w:rPr>
          <w:rFonts w:ascii="Times New Roman" w:hAnsi="Times New Roman" w:cs="Times New Roman"/>
          <w:i/>
        </w:rPr>
        <w:t>Lecturae Plautinae Sarsinates. X. Menaechmi</w:t>
      </w:r>
      <w:r w:rsidRPr="00796A9D">
        <w:rPr>
          <w:rFonts w:ascii="Times New Roman" w:hAnsi="Times New Roman" w:cs="Times New Roman"/>
        </w:rPr>
        <w:t xml:space="preserve">, a cura di </w:t>
      </w:r>
      <w:r w:rsidRPr="00796A9D">
        <w:rPr>
          <w:rFonts w:ascii="Times New Roman" w:hAnsi="Times New Roman" w:cs="Times New Roman"/>
          <w:smallCaps/>
        </w:rPr>
        <w:t>R. Raffaelli, A. Tontini</w:t>
      </w:r>
      <w:r w:rsidRPr="00796A9D">
        <w:rPr>
          <w:rFonts w:ascii="Times New Roman" w:hAnsi="Times New Roman" w:cs="Times New Roman"/>
        </w:rPr>
        <w:t xml:space="preserve">, Urbino, QuattroVenti, 2007, pp. 69-150. </w:t>
      </w:r>
    </w:p>
  </w:footnote>
  <w:footnote w:id="903">
    <w:p w14:paraId="6CEE176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U. Caleffini</w:t>
      </w:r>
      <w:r w:rsidRPr="00796A9D">
        <w:rPr>
          <w:rFonts w:ascii="Times New Roman" w:hAnsi="Times New Roman" w:cs="Times New Roman"/>
        </w:rPr>
        <w:t xml:space="preserve">, </w:t>
      </w:r>
      <w:r w:rsidRPr="00796A9D">
        <w:rPr>
          <w:rFonts w:ascii="Times New Roman" w:hAnsi="Times New Roman" w:cs="Times New Roman"/>
          <w:i/>
        </w:rPr>
        <w:t>Croniche 1471-1494</w:t>
      </w:r>
      <w:r w:rsidRPr="00796A9D">
        <w:rPr>
          <w:rFonts w:ascii="Times New Roman" w:hAnsi="Times New Roman" w:cs="Times New Roman"/>
        </w:rPr>
        <w:t xml:space="preserve">, p. 668. </w:t>
      </w:r>
      <w:r w:rsidRPr="00796A9D">
        <w:rPr>
          <w:rFonts w:ascii="Times New Roman" w:hAnsi="Times New Roman" w:cs="Times New Roman"/>
          <w:smallCaps/>
        </w:rPr>
        <w:t>L. Lockwood</w:t>
      </w:r>
      <w:r w:rsidRPr="00796A9D">
        <w:rPr>
          <w:rFonts w:ascii="Times New Roman" w:hAnsi="Times New Roman" w:cs="Times New Roman"/>
        </w:rPr>
        <w:t xml:space="preserve">, </w:t>
      </w:r>
      <w:r w:rsidRPr="00796A9D">
        <w:rPr>
          <w:rFonts w:ascii="Times New Roman" w:hAnsi="Times New Roman" w:cs="Times New Roman"/>
          <w:i/>
        </w:rPr>
        <w:t>La musica a Ferrara nel Rinascimento</w:t>
      </w:r>
      <w:r w:rsidRPr="00796A9D">
        <w:rPr>
          <w:rFonts w:ascii="Times New Roman" w:hAnsi="Times New Roman" w:cs="Times New Roman"/>
        </w:rPr>
        <w:t xml:space="preserve">, cit., p. 280 considera cautamente l’affermazione di Caleffini riguardo l’uso del canto e avanza l’ipotesi che tutto il testo plautino fosse semplicemente intonato dagli interpreti. Analogamente Paola Ventrone osserva come una prassi di declamazione monodica recitativa fosse piuttosto comune nel secondo Quattrocento italiano e riguardasse tanto le sacre rappresentazioni quanto questo primo allestimento plautino ferrarese. Cfr. </w:t>
      </w:r>
      <w:r w:rsidRPr="00796A9D">
        <w:rPr>
          <w:rFonts w:ascii="Times New Roman" w:hAnsi="Times New Roman" w:cs="Times New Roman"/>
          <w:smallCaps/>
        </w:rPr>
        <w:t>P. Ventrone</w:t>
      </w:r>
      <w:r w:rsidRPr="00796A9D">
        <w:rPr>
          <w:rFonts w:ascii="Times New Roman" w:hAnsi="Times New Roman" w:cs="Times New Roman"/>
        </w:rPr>
        <w:t xml:space="preserve">, </w:t>
      </w:r>
      <w:r w:rsidRPr="00796A9D">
        <w:rPr>
          <w:rFonts w:ascii="Times New Roman" w:hAnsi="Times New Roman" w:cs="Times New Roman"/>
          <w:i/>
        </w:rPr>
        <w:t xml:space="preserve">Gli araldi della commedia, </w:t>
      </w:r>
      <w:r w:rsidRPr="00796A9D">
        <w:rPr>
          <w:rFonts w:ascii="Times New Roman" w:hAnsi="Times New Roman" w:cs="Times New Roman"/>
        </w:rPr>
        <w:t>cit., pp. 129-130.</w:t>
      </w:r>
      <w:r w:rsidRPr="00796A9D">
        <w:rPr>
          <w:rFonts w:ascii="Times New Roman" w:hAnsi="Times New Roman" w:cs="Times New Roman"/>
          <w:i/>
        </w:rPr>
        <w:t xml:space="preserve"> </w:t>
      </w:r>
    </w:p>
  </w:footnote>
  <w:footnote w:id="904">
    <w:p w14:paraId="050501B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Cfr. </w:t>
      </w:r>
      <w:r w:rsidRPr="00796A9D">
        <w:rPr>
          <w:rFonts w:ascii="Times New Roman" w:hAnsi="Times New Roman" w:cs="Times New Roman"/>
          <w:smallCaps/>
        </w:rPr>
        <w:t>F. Cruciani, C. Falletti, F. Ruffini</w:t>
      </w:r>
      <w:r w:rsidRPr="00796A9D">
        <w:rPr>
          <w:rFonts w:ascii="Times New Roman" w:hAnsi="Times New Roman" w:cs="Times New Roman"/>
        </w:rPr>
        <w:t xml:space="preserve">, </w:t>
      </w:r>
      <w:r w:rsidRPr="00796A9D">
        <w:rPr>
          <w:rFonts w:ascii="Times New Roman" w:hAnsi="Times New Roman" w:cs="Times New Roman"/>
          <w:i/>
        </w:rPr>
        <w:t>La sperimentazione a Ferrara negli anni di Ercole I e Ludovico Ariosto</w:t>
      </w:r>
      <w:r w:rsidRPr="00796A9D">
        <w:rPr>
          <w:rFonts w:ascii="Times New Roman" w:hAnsi="Times New Roman" w:cs="Times New Roman"/>
        </w:rPr>
        <w:t xml:space="preserve">, «Teatro e Storia», IX, 1994, pp. 133-144. A questo studio si rinvia anche per una valutazione dell’importanza dell’esperienza delle recite plautine per l’elaborazione di una cultura teatrale cortigiana nell’età di Ercole d’Este.  </w:t>
      </w:r>
    </w:p>
  </w:footnote>
  <w:footnote w:id="905">
    <w:p w14:paraId="2C1EC88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 nomi degli interpreti della commedia sono riportati dalla </w:t>
      </w:r>
      <w:r w:rsidRPr="00796A9D">
        <w:rPr>
          <w:rFonts w:ascii="Times New Roman" w:hAnsi="Times New Roman" w:cs="Times New Roman"/>
          <w:i/>
        </w:rPr>
        <w:t>Cronaca ferrarese</w:t>
      </w:r>
      <w:r w:rsidRPr="00796A9D">
        <w:rPr>
          <w:rFonts w:ascii="Times New Roman" w:hAnsi="Times New Roman" w:cs="Times New Roman"/>
        </w:rPr>
        <w:t xml:space="preserve"> di Giovanni Maria Ferrarini, Modena, Biblioteca estense, ms. It. 178, f. 206r. Edizione parziale di questa fonte è data in </w:t>
      </w:r>
      <w:r w:rsidRPr="00796A9D">
        <w:rPr>
          <w:rFonts w:ascii="Times New Roman" w:hAnsi="Times New Roman" w:cs="Times New Roman"/>
          <w:smallCaps/>
        </w:rPr>
        <w:t>D.G. Lipani</w:t>
      </w:r>
      <w:r w:rsidRPr="00796A9D">
        <w:rPr>
          <w:rFonts w:ascii="Times New Roman" w:hAnsi="Times New Roman" w:cs="Times New Roman"/>
        </w:rPr>
        <w:t xml:space="preserve">, </w:t>
      </w:r>
      <w:r w:rsidRPr="00796A9D">
        <w:rPr>
          <w:rFonts w:ascii="Times New Roman" w:hAnsi="Times New Roman" w:cs="Times New Roman"/>
          <w:i/>
        </w:rPr>
        <w:t>Devota magnificentia</w:t>
      </w:r>
      <w:r w:rsidRPr="00796A9D">
        <w:rPr>
          <w:rFonts w:ascii="Times New Roman" w:hAnsi="Times New Roman" w:cs="Times New Roman"/>
        </w:rPr>
        <w:t xml:space="preserve">, cit., p. 309-310.  </w:t>
      </w:r>
    </w:p>
  </w:footnote>
  <w:footnote w:id="906">
    <w:p w14:paraId="33FFCC1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In occasione dello sposalizio a Bianchini fu richiesto anche di dorare sei carrette usate dalla sposa, da Eleonora d’Aragona e da Beatrice d’Este in quei giorni di festa; nove cassoni per il corredo nuziale; le trombe degli araldi. Sempre a lui furono commissionate le decorazioni del palco per gli spettacoli </w:t>
      </w:r>
      <w:r>
        <w:rPr>
          <w:rFonts w:ascii="Times New Roman" w:hAnsi="Times New Roman" w:cs="Times New Roman"/>
        </w:rPr>
        <w:t xml:space="preserve">e </w:t>
      </w:r>
      <w:r w:rsidRPr="00796A9D">
        <w:rPr>
          <w:rFonts w:ascii="Times New Roman" w:hAnsi="Times New Roman" w:cs="Times New Roman"/>
        </w:rPr>
        <w:t xml:space="preserve">i seggi posti nel cortile ducale. Si veda in proposito la scheda dedicata all’attivita del pittore alla corte estense pubblicata in </w:t>
      </w:r>
      <w:r w:rsidRPr="00796A9D">
        <w:rPr>
          <w:rFonts w:ascii="Times New Roman" w:hAnsi="Times New Roman" w:cs="Times New Roman"/>
          <w:smallCaps/>
        </w:rPr>
        <w:t>M. Toffanello</w:t>
      </w:r>
      <w:r w:rsidRPr="00796A9D">
        <w:rPr>
          <w:rFonts w:ascii="Times New Roman" w:hAnsi="Times New Roman" w:cs="Times New Roman"/>
        </w:rPr>
        <w:t xml:space="preserve">, </w:t>
      </w:r>
      <w:r w:rsidRPr="00796A9D">
        <w:rPr>
          <w:rFonts w:ascii="Times New Roman" w:hAnsi="Times New Roman" w:cs="Times New Roman"/>
          <w:i/>
        </w:rPr>
        <w:t>Le arti a Ferrara nel Quattrocento</w:t>
      </w:r>
      <w:r w:rsidRPr="00796A9D">
        <w:rPr>
          <w:rFonts w:ascii="Times New Roman" w:hAnsi="Times New Roman" w:cs="Times New Roman"/>
        </w:rPr>
        <w:t xml:space="preserve">, cit., p. 278-283. I documenti riguardo i pagamenti sostenuti dalla camera ducale estense per la festa di Anfitrione sono pubblicati in </w:t>
      </w:r>
      <w:r w:rsidRPr="00796A9D">
        <w:rPr>
          <w:rFonts w:ascii="Times New Roman" w:hAnsi="Times New Roman" w:cs="Times New Roman"/>
          <w:smallCaps/>
        </w:rPr>
        <w:t>D.G. Lipani</w:t>
      </w:r>
      <w:r w:rsidRPr="00796A9D">
        <w:rPr>
          <w:rFonts w:ascii="Times New Roman" w:hAnsi="Times New Roman" w:cs="Times New Roman"/>
        </w:rPr>
        <w:t xml:space="preserve">, </w:t>
      </w:r>
      <w:r w:rsidRPr="00796A9D">
        <w:rPr>
          <w:rFonts w:ascii="Times New Roman" w:hAnsi="Times New Roman" w:cs="Times New Roman"/>
          <w:i/>
        </w:rPr>
        <w:t>Devota magnificentia</w:t>
      </w:r>
      <w:r w:rsidRPr="00796A9D">
        <w:rPr>
          <w:rFonts w:ascii="Times New Roman" w:hAnsi="Times New Roman" w:cs="Times New Roman"/>
        </w:rPr>
        <w:t>, cit., pp. 311-312</w:t>
      </w:r>
      <w:r>
        <w:rPr>
          <w:rFonts w:ascii="Times New Roman" w:hAnsi="Times New Roman" w:cs="Times New Roman"/>
        </w:rPr>
        <w:t xml:space="preserve"> e</w:t>
      </w:r>
      <w:r w:rsidRPr="00796A9D">
        <w:rPr>
          <w:rFonts w:ascii="Times New Roman" w:hAnsi="Times New Roman" w:cs="Times New Roman"/>
        </w:rPr>
        <w:t xml:space="preserve"> attestano la partecipazione anche dell’intagliatore </w:t>
      </w:r>
      <w:bookmarkStart w:id="543" w:name="_Hlk536017445"/>
      <w:r w:rsidRPr="00796A9D">
        <w:rPr>
          <w:rFonts w:ascii="Times New Roman" w:hAnsi="Times New Roman" w:cs="Times New Roman"/>
        </w:rPr>
        <w:t xml:space="preserve">Girolamo Zuccola </w:t>
      </w:r>
      <w:bookmarkEnd w:id="543"/>
      <w:r w:rsidRPr="00796A9D">
        <w:rPr>
          <w:rFonts w:ascii="Times New Roman" w:hAnsi="Times New Roman" w:cs="Times New Roman"/>
        </w:rPr>
        <w:t xml:space="preserve">alla preparazione del paradiso.  </w:t>
      </w:r>
    </w:p>
  </w:footnote>
  <w:footnote w:id="907">
    <w:p w14:paraId="7745818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xml:space="preserve">, cit., p. 179. </w:t>
      </w:r>
    </w:p>
  </w:footnote>
  <w:footnote w:id="908">
    <w:p w14:paraId="4086AC2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cit., p. 122.</w:t>
      </w:r>
    </w:p>
  </w:footnote>
  <w:footnote w:id="909">
    <w:p w14:paraId="0986152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scelta di allestire gli spettacoli all’interno del palazzo decretò l’esclusione definitiva dei sudditti del ducato dai divertimenti cortigiani, solo parziale nelle recite del 1486 e del 1487. Per l’alternanza dei luoghi destinati a ospitare il teatro a Ferrara durante le feste plautine e per l’elenco completo delle commedie classiche inscenate in città dal 1486 al 1503 si veda </w:t>
      </w:r>
      <w:r w:rsidRPr="00796A9D">
        <w:rPr>
          <w:rFonts w:ascii="Times New Roman" w:hAnsi="Times New Roman" w:cs="Times New Roman"/>
          <w:smallCaps/>
        </w:rPr>
        <w:t>A. Santorio</w:t>
      </w:r>
      <w:r w:rsidRPr="00796A9D">
        <w:rPr>
          <w:rFonts w:ascii="Times New Roman" w:hAnsi="Times New Roman" w:cs="Times New Roman"/>
        </w:rPr>
        <w:t xml:space="preserve">, </w:t>
      </w:r>
      <w:r w:rsidRPr="00796A9D">
        <w:rPr>
          <w:rFonts w:ascii="Times New Roman" w:hAnsi="Times New Roman" w:cs="Times New Roman"/>
          <w:i/>
        </w:rPr>
        <w:t>Pellegrino Prisciani e la pratica teatrale alla corte d’Este di Ferrara</w:t>
      </w:r>
      <w:r w:rsidRPr="00796A9D">
        <w:rPr>
          <w:rFonts w:ascii="Times New Roman" w:hAnsi="Times New Roman" w:cs="Times New Roman"/>
        </w:rPr>
        <w:t xml:space="preserve">, «Engramma», rivista online, LXXXV, novembre 2010, http://www.engramma.it/eOS/index.php?id_articolo=578, ultima visita, 21/12/2018. Fino e Bernardino Marsigli, Niccolò del Cuogo e Antonio Pochettino furono gli apparatori della decorazione della sala, delle gradinate per gli spettatori, del palco e della scena per le commedie (questa volta munita solo di quattro case), cfr. </w:t>
      </w:r>
      <w:r w:rsidRPr="00796A9D">
        <w:rPr>
          <w:rFonts w:ascii="Times New Roman" w:hAnsi="Times New Roman" w:cs="Times New Roman"/>
          <w:smallCaps/>
        </w:rPr>
        <w:t>D.G. Lipani</w:t>
      </w:r>
      <w:r w:rsidRPr="00796A9D">
        <w:rPr>
          <w:rFonts w:ascii="Times New Roman" w:hAnsi="Times New Roman" w:cs="Times New Roman"/>
        </w:rPr>
        <w:t xml:space="preserve">, </w:t>
      </w:r>
      <w:r w:rsidRPr="00796A9D">
        <w:rPr>
          <w:rFonts w:ascii="Times New Roman" w:hAnsi="Times New Roman" w:cs="Times New Roman"/>
          <w:i/>
        </w:rPr>
        <w:t>Devota magnificentia</w:t>
      </w:r>
      <w:r w:rsidRPr="00796A9D">
        <w:rPr>
          <w:rFonts w:ascii="Times New Roman" w:hAnsi="Times New Roman" w:cs="Times New Roman"/>
        </w:rPr>
        <w:t>, cit., pp. 314-315.</w:t>
      </w:r>
    </w:p>
  </w:footnote>
  <w:footnote w:id="910">
    <w:p w14:paraId="77E7391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U. Caleffini</w:t>
      </w:r>
      <w:r w:rsidRPr="00796A9D">
        <w:rPr>
          <w:rFonts w:ascii="Times New Roman" w:hAnsi="Times New Roman" w:cs="Times New Roman"/>
        </w:rPr>
        <w:t xml:space="preserve">, </w:t>
      </w:r>
      <w:r w:rsidRPr="00796A9D">
        <w:rPr>
          <w:rFonts w:ascii="Times New Roman" w:hAnsi="Times New Roman" w:cs="Times New Roman"/>
          <w:i/>
        </w:rPr>
        <w:t>Croniche</w:t>
      </w:r>
      <w:r w:rsidRPr="00796A9D">
        <w:rPr>
          <w:rFonts w:ascii="Times New Roman" w:hAnsi="Times New Roman" w:cs="Times New Roman"/>
        </w:rPr>
        <w:t xml:space="preserve">, cit., p. 781. </w:t>
      </w:r>
    </w:p>
  </w:footnote>
  <w:footnote w:id="911">
    <w:p w14:paraId="7C86D83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cit., p. 221.</w:t>
      </w:r>
    </w:p>
  </w:footnote>
  <w:footnote w:id="912">
    <w:p w14:paraId="5C2279B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Secondo Daniele Seragnoli l’impiego dell’ingegno del paradiso, partrimonio scenetecnico acquisito dalle maestranze locali, importò a Ferrara una progressiva consapevolezza delle possibilità di sfruttamento dello spazio scenico in direzione verticale, </w:t>
      </w:r>
      <w:r>
        <w:rPr>
          <w:rFonts w:ascii="Times New Roman" w:hAnsi="Times New Roman" w:cs="Times New Roman"/>
        </w:rPr>
        <w:t xml:space="preserve">verificata poi </w:t>
      </w:r>
      <w:r w:rsidRPr="00796A9D">
        <w:rPr>
          <w:rFonts w:ascii="Times New Roman" w:hAnsi="Times New Roman" w:cs="Times New Roman"/>
        </w:rPr>
        <w:t xml:space="preserve">nelle rappresentazioni della </w:t>
      </w:r>
      <w:r w:rsidRPr="00796A9D">
        <w:rPr>
          <w:rFonts w:ascii="Times New Roman" w:hAnsi="Times New Roman" w:cs="Times New Roman"/>
          <w:i/>
        </w:rPr>
        <w:t>Passione</w:t>
      </w:r>
      <w:r w:rsidRPr="00796A9D">
        <w:rPr>
          <w:rFonts w:ascii="Times New Roman" w:hAnsi="Times New Roman" w:cs="Times New Roman"/>
        </w:rPr>
        <w:t>, dell’</w:t>
      </w:r>
      <w:r w:rsidRPr="00796A9D">
        <w:rPr>
          <w:rFonts w:ascii="Times New Roman" w:hAnsi="Times New Roman" w:cs="Times New Roman"/>
          <w:i/>
        </w:rPr>
        <w:t>Annunciazione</w:t>
      </w:r>
      <w:r w:rsidRPr="00796A9D">
        <w:rPr>
          <w:rFonts w:ascii="Times New Roman" w:hAnsi="Times New Roman" w:cs="Times New Roman"/>
        </w:rPr>
        <w:t xml:space="preserve"> e della </w:t>
      </w:r>
      <w:r w:rsidRPr="00796A9D">
        <w:rPr>
          <w:rFonts w:ascii="Times New Roman" w:hAnsi="Times New Roman" w:cs="Times New Roman"/>
          <w:i/>
        </w:rPr>
        <w:t>Adorazione dei magi</w:t>
      </w:r>
      <w:r w:rsidRPr="00796A9D">
        <w:rPr>
          <w:rFonts w:ascii="Times New Roman" w:hAnsi="Times New Roman" w:cs="Times New Roman"/>
        </w:rPr>
        <w:t xml:space="preserve"> allestite nel Duomo cittadino in occasione della Pasqua del 1503. Cfr. </w:t>
      </w:r>
      <w:r w:rsidRPr="00796A9D">
        <w:rPr>
          <w:rFonts w:ascii="Times New Roman" w:hAnsi="Times New Roman" w:cs="Times New Roman"/>
          <w:smallCaps/>
        </w:rPr>
        <w:t>D. Seragnoli</w:t>
      </w:r>
      <w:r w:rsidRPr="00796A9D">
        <w:rPr>
          <w:rFonts w:ascii="Times New Roman" w:hAnsi="Times New Roman" w:cs="Times New Roman"/>
        </w:rPr>
        <w:t xml:space="preserve">, </w:t>
      </w:r>
      <w:r w:rsidRPr="00796A9D">
        <w:rPr>
          <w:rFonts w:ascii="Times New Roman" w:hAnsi="Times New Roman" w:cs="Times New Roman"/>
          <w:i/>
        </w:rPr>
        <w:t>L’età di Alfonso I e la pittura del Dosso</w:t>
      </w:r>
      <w:r w:rsidRPr="00796A9D">
        <w:rPr>
          <w:rFonts w:ascii="Times New Roman" w:hAnsi="Times New Roman" w:cs="Times New Roman"/>
        </w:rPr>
        <w:t xml:space="preserve">, Atti del convegno internazionale di studi (Ferrara, 9-12 dicembre 1998), Modena, Panini, 2004, pp. 57-69, al quale si rinvia anche per considerazioni sull’adattamrnto dell’ingegno alle recite all’antica della corte estense.  </w:t>
      </w:r>
    </w:p>
  </w:footnote>
  <w:footnote w:id="913">
    <w:p w14:paraId="31A5694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missiva, datata 15 febbraio 1491, è pubblicata in </w:t>
      </w:r>
      <w:r w:rsidRPr="00796A9D">
        <w:rPr>
          <w:rFonts w:ascii="Times New Roman" w:hAnsi="Times New Roman" w:cs="Times New Roman"/>
          <w:smallCaps/>
        </w:rPr>
        <w:t>P. Ghinzoni</w:t>
      </w:r>
      <w:r w:rsidRPr="00796A9D">
        <w:rPr>
          <w:rFonts w:ascii="Times New Roman" w:hAnsi="Times New Roman" w:cs="Times New Roman"/>
        </w:rPr>
        <w:t xml:space="preserve">, </w:t>
      </w:r>
      <w:r w:rsidRPr="00796A9D">
        <w:rPr>
          <w:rFonts w:ascii="Times New Roman" w:hAnsi="Times New Roman" w:cs="Times New Roman"/>
          <w:i/>
        </w:rPr>
        <w:t>Nozze e commedie alla corte di Ferrara nel febbraio 1491</w:t>
      </w:r>
      <w:r w:rsidRPr="00796A9D">
        <w:rPr>
          <w:rFonts w:ascii="Times New Roman" w:hAnsi="Times New Roman" w:cs="Times New Roman"/>
        </w:rPr>
        <w:t>, «Archivio Storico Lombardo», XI, 1884, pp. 753-757.</w:t>
      </w:r>
    </w:p>
  </w:footnote>
  <w:footnote w:id="914">
    <w:p w14:paraId="31C4C14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U. Caleffini</w:t>
      </w:r>
      <w:r w:rsidRPr="00796A9D">
        <w:rPr>
          <w:rFonts w:ascii="Times New Roman" w:hAnsi="Times New Roman" w:cs="Times New Roman"/>
        </w:rPr>
        <w:t xml:space="preserve">, </w:t>
      </w:r>
      <w:r w:rsidRPr="00796A9D">
        <w:rPr>
          <w:rFonts w:ascii="Times New Roman" w:hAnsi="Times New Roman" w:cs="Times New Roman"/>
          <w:i/>
        </w:rPr>
        <w:t>Croniche</w:t>
      </w:r>
      <w:r w:rsidRPr="00796A9D">
        <w:rPr>
          <w:rFonts w:ascii="Times New Roman" w:hAnsi="Times New Roman" w:cs="Times New Roman"/>
        </w:rPr>
        <w:t xml:space="preserve">, cit., p. 782. Lo sfoggio di maschere da parte dei cantori </w:t>
      </w:r>
      <w:r>
        <w:rPr>
          <w:rFonts w:ascii="Times New Roman" w:hAnsi="Times New Roman" w:cs="Times New Roman"/>
        </w:rPr>
        <w:t>era giustificato d</w:t>
      </w:r>
      <w:r w:rsidRPr="00796A9D">
        <w:rPr>
          <w:rFonts w:ascii="Times New Roman" w:hAnsi="Times New Roman" w:cs="Times New Roman"/>
        </w:rPr>
        <w:t xml:space="preserve">ai concomitanti festeggiamenti </w:t>
      </w:r>
      <w:r>
        <w:rPr>
          <w:rFonts w:ascii="Times New Roman" w:hAnsi="Times New Roman" w:cs="Times New Roman"/>
        </w:rPr>
        <w:t>per il</w:t>
      </w:r>
      <w:r w:rsidRPr="00796A9D">
        <w:rPr>
          <w:rFonts w:ascii="Times New Roman" w:hAnsi="Times New Roman" w:cs="Times New Roman"/>
        </w:rPr>
        <w:t xml:space="preserve"> Carnevale.</w:t>
      </w:r>
    </w:p>
  </w:footnote>
  <w:footnote w:id="915">
    <w:p w14:paraId="64379DA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Ivi</w:t>
      </w:r>
      <w:r w:rsidRPr="00796A9D">
        <w:rPr>
          <w:rFonts w:ascii="Times New Roman" w:hAnsi="Times New Roman" w:cs="Times New Roman"/>
        </w:rPr>
        <w:t xml:space="preserve">, p. 783. La Sala grande del palazzo ducale aveva pianta rettangolare, con uno dei lati maggiori (50 metri) rivolto verso la cattedrale e uno dei minori (16 metri) verso il Castello. L’accesso, attraverso una scala che conduceva al Cortile Nuovo, era posto sulla parete di sud-est, sulla quale </w:t>
      </w:r>
      <w:r>
        <w:rPr>
          <w:rFonts w:ascii="Times New Roman" w:hAnsi="Times New Roman" w:cs="Times New Roman"/>
        </w:rPr>
        <w:t xml:space="preserve">era stata collocata </w:t>
      </w:r>
      <w:r w:rsidRPr="00796A9D">
        <w:rPr>
          <w:rFonts w:ascii="Times New Roman" w:hAnsi="Times New Roman" w:cs="Times New Roman"/>
        </w:rPr>
        <w:t xml:space="preserve">anche una credenza per l’esposizione degli oggetti preziosi appartenenti alla casa d’Este; sul lato opposto vi era una finestra con vista sul Castello. Vi erano altre finestre sulla parete di sud-est, mentre la parete che dava sul cortile interno non recava finestre. Per la descrizione di questa sala e per i suoi impieghi come luogo teatrale nelle feste </w:t>
      </w:r>
      <w:r>
        <w:rPr>
          <w:rFonts w:ascii="Times New Roman" w:hAnsi="Times New Roman" w:cs="Times New Roman"/>
        </w:rPr>
        <w:t xml:space="preserve">della </w:t>
      </w:r>
      <w:r w:rsidRPr="00796A9D">
        <w:rPr>
          <w:rFonts w:ascii="Times New Roman" w:hAnsi="Times New Roman" w:cs="Times New Roman"/>
        </w:rPr>
        <w:t xml:space="preserve">corte estense tra XV e XVI secolo cfr. </w:t>
      </w:r>
      <w:r w:rsidRPr="00796A9D">
        <w:rPr>
          <w:rFonts w:ascii="Times New Roman" w:hAnsi="Times New Roman" w:cs="Times New Roman"/>
          <w:smallCaps/>
        </w:rPr>
        <w:t>S. Costola</w:t>
      </w:r>
      <w:r w:rsidRPr="00796A9D">
        <w:rPr>
          <w:rFonts w:ascii="Times New Roman" w:hAnsi="Times New Roman" w:cs="Times New Roman"/>
        </w:rPr>
        <w:t xml:space="preserve">, </w:t>
      </w:r>
      <w:r w:rsidRPr="00796A9D">
        <w:rPr>
          <w:rFonts w:ascii="Times New Roman" w:hAnsi="Times New Roman" w:cs="Times New Roman"/>
          <w:i/>
        </w:rPr>
        <w:t>La prima rappresentazione dei Suppositi di Ariosto nel 1509</w:t>
      </w:r>
      <w:r w:rsidRPr="00796A9D">
        <w:rPr>
          <w:rFonts w:ascii="Times New Roman" w:hAnsi="Times New Roman" w:cs="Times New Roman"/>
        </w:rPr>
        <w:t xml:space="preserve">, in </w:t>
      </w:r>
      <w:r w:rsidRPr="00796A9D">
        <w:rPr>
          <w:rFonts w:ascii="Times New Roman" w:hAnsi="Times New Roman" w:cs="Times New Roman"/>
          <w:i/>
        </w:rPr>
        <w:t>Lucrezia Borgia. Storia e mito</w:t>
      </w:r>
      <w:r w:rsidRPr="00487B4B">
        <w:rPr>
          <w:rFonts w:ascii="Times New Roman" w:hAnsi="Times New Roman" w:cs="Times New Roman"/>
        </w:rPr>
        <w:t xml:space="preserve">, a cura di </w:t>
      </w:r>
      <w:r w:rsidRPr="00487B4B">
        <w:rPr>
          <w:rFonts w:ascii="Times New Roman" w:hAnsi="Times New Roman" w:cs="Times New Roman"/>
          <w:smallCaps/>
        </w:rPr>
        <w:t>M. Bordin, P. Trovato</w:t>
      </w:r>
      <w:r w:rsidRPr="00487B4B">
        <w:rPr>
          <w:rFonts w:ascii="Times New Roman" w:hAnsi="Times New Roman" w:cs="Times New Roman"/>
        </w:rPr>
        <w:t>, Firenze, Olschki, 2006</w:t>
      </w:r>
      <w:r w:rsidRPr="00796A9D">
        <w:rPr>
          <w:rFonts w:ascii="Times New Roman" w:hAnsi="Times New Roman" w:cs="Times New Roman"/>
        </w:rPr>
        <w:t xml:space="preserve">, pp. </w:t>
      </w:r>
      <w:r>
        <w:rPr>
          <w:rFonts w:ascii="Times New Roman" w:hAnsi="Times New Roman" w:cs="Times New Roman"/>
        </w:rPr>
        <w:t>75-96.</w:t>
      </w:r>
    </w:p>
  </w:footnote>
  <w:footnote w:id="916">
    <w:p w14:paraId="44A7055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L’importanza della scelta di distinguere nettamente per la prima volta la sala destinata alle rappresentazioni teatrali da quelle dedicate ai balli e agli altri festeggiamenti è sottolineata da </w:t>
      </w:r>
      <w:r w:rsidRPr="00796A9D">
        <w:rPr>
          <w:rFonts w:ascii="Times New Roman" w:hAnsi="Times New Roman" w:cs="Times New Roman"/>
          <w:smallCaps/>
        </w:rPr>
        <w:t>M. Pieri</w:t>
      </w:r>
      <w:r w:rsidRPr="00796A9D">
        <w:rPr>
          <w:rFonts w:ascii="Times New Roman" w:hAnsi="Times New Roman" w:cs="Times New Roman"/>
        </w:rPr>
        <w:t xml:space="preserve">, </w:t>
      </w:r>
      <w:r w:rsidRPr="00796A9D">
        <w:rPr>
          <w:rFonts w:ascii="Times New Roman" w:hAnsi="Times New Roman" w:cs="Times New Roman"/>
          <w:i/>
        </w:rPr>
        <w:t>Raccontare e rappresentare: Boiardo e il palcoscenico di Ercole</w:t>
      </w:r>
      <w:r w:rsidRPr="00796A9D">
        <w:rPr>
          <w:rFonts w:ascii="Times New Roman" w:hAnsi="Times New Roman" w:cs="Times New Roman"/>
        </w:rPr>
        <w:t xml:space="preserve">, in </w:t>
      </w:r>
      <w:r w:rsidRPr="00796A9D">
        <w:rPr>
          <w:rFonts w:ascii="Times New Roman" w:hAnsi="Times New Roman" w:cs="Times New Roman"/>
          <w:i/>
        </w:rPr>
        <w:t>Boiardo a Scandiano. Dieci anni di studi</w:t>
      </w:r>
      <w:r w:rsidRPr="00796A9D">
        <w:rPr>
          <w:rFonts w:ascii="Times New Roman" w:hAnsi="Times New Roman" w:cs="Times New Roman"/>
        </w:rPr>
        <w:t xml:space="preserve">, a cura di </w:t>
      </w:r>
      <w:r w:rsidRPr="00796A9D">
        <w:rPr>
          <w:rFonts w:ascii="Times New Roman" w:hAnsi="Times New Roman" w:cs="Times New Roman"/>
          <w:smallCaps/>
        </w:rPr>
        <w:t>A. Canova, G. Ruozzi</w:t>
      </w:r>
      <w:r w:rsidRPr="00796A9D">
        <w:rPr>
          <w:rFonts w:ascii="Times New Roman" w:hAnsi="Times New Roman" w:cs="Times New Roman"/>
        </w:rPr>
        <w:t>, Novara, Interlinea, 2012, p. 68.</w:t>
      </w:r>
    </w:p>
  </w:footnote>
  <w:footnote w:id="917">
    <w:p w14:paraId="56851BB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notizia è data da una lettera di Isabella d’Este indirizzata 29 gennaio 1502 a Francesco Gonzaga e pubblicata in </w:t>
      </w:r>
      <w:r w:rsidRPr="00796A9D">
        <w:rPr>
          <w:rFonts w:ascii="Times New Roman" w:hAnsi="Times New Roman" w:cs="Times New Roman"/>
          <w:i/>
        </w:rPr>
        <w:t>Il teatro italiano. La commedia del Cinquecento</w:t>
      </w:r>
      <w:r w:rsidRPr="00796A9D">
        <w:rPr>
          <w:rFonts w:ascii="Times New Roman" w:hAnsi="Times New Roman" w:cs="Times New Roman"/>
        </w:rPr>
        <w:t xml:space="preserve">, a cura di </w:t>
      </w:r>
      <w:r w:rsidRPr="00796A9D">
        <w:rPr>
          <w:rFonts w:ascii="Times New Roman" w:hAnsi="Times New Roman" w:cs="Times New Roman"/>
          <w:smallCaps/>
        </w:rPr>
        <w:t>G. Davico Bonino</w:t>
      </w:r>
      <w:r w:rsidRPr="00796A9D">
        <w:rPr>
          <w:rFonts w:ascii="Times New Roman" w:hAnsi="Times New Roman" w:cs="Times New Roman"/>
        </w:rPr>
        <w:t xml:space="preserve">, </w:t>
      </w:r>
      <w:r>
        <w:rPr>
          <w:rFonts w:ascii="Times New Roman" w:hAnsi="Times New Roman" w:cs="Times New Roman"/>
        </w:rPr>
        <w:t xml:space="preserve">Torino, Einaudi, 1985, </w:t>
      </w:r>
      <w:r w:rsidRPr="00796A9D">
        <w:rPr>
          <w:rFonts w:ascii="Times New Roman" w:hAnsi="Times New Roman" w:cs="Times New Roman"/>
        </w:rPr>
        <w:t>vol. II, parte I, p. 412. La marchesa ricordò nella sua missiva anche la presenza</w:t>
      </w:r>
      <w:r>
        <w:rPr>
          <w:rFonts w:ascii="Times New Roman" w:hAnsi="Times New Roman" w:cs="Times New Roman"/>
        </w:rPr>
        <w:t>,</w:t>
      </w:r>
      <w:r w:rsidRPr="00796A9D">
        <w:rPr>
          <w:rFonts w:ascii="Times New Roman" w:hAnsi="Times New Roman" w:cs="Times New Roman"/>
        </w:rPr>
        <w:t xml:space="preserve"> sul soffitto della sala del Palazzo della Ragione</w:t>
      </w:r>
      <w:r>
        <w:rPr>
          <w:rFonts w:ascii="Times New Roman" w:hAnsi="Times New Roman" w:cs="Times New Roman"/>
        </w:rPr>
        <w:t>,</w:t>
      </w:r>
      <w:r w:rsidRPr="00796A9D">
        <w:rPr>
          <w:rFonts w:ascii="Times New Roman" w:hAnsi="Times New Roman" w:cs="Times New Roman"/>
        </w:rPr>
        <w:t xml:space="preserve"> degli stemmi di Alessandro VI, del re di Francia, degli Este e quello congiunto delle case Borgia ed Este. </w:t>
      </w:r>
    </w:p>
  </w:footnote>
  <w:footnote w:id="918">
    <w:p w14:paraId="4B8458E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M. Sanuto</w:t>
      </w:r>
      <w:r w:rsidRPr="00796A9D">
        <w:rPr>
          <w:rFonts w:ascii="Times New Roman" w:hAnsi="Times New Roman" w:cs="Times New Roman"/>
        </w:rPr>
        <w:t xml:space="preserve">, </w:t>
      </w:r>
      <w:r w:rsidRPr="00796A9D">
        <w:rPr>
          <w:rFonts w:ascii="Times New Roman" w:hAnsi="Times New Roman" w:cs="Times New Roman"/>
          <w:i/>
        </w:rPr>
        <w:t>I Diarii</w:t>
      </w:r>
      <w:r w:rsidRPr="00796A9D">
        <w:rPr>
          <w:rFonts w:ascii="Times New Roman" w:hAnsi="Times New Roman" w:cs="Times New Roman"/>
        </w:rPr>
        <w:t>, vol. IV, cc. 222-230.</w:t>
      </w:r>
    </w:p>
  </w:footnote>
  <w:footnote w:id="919">
    <w:p w14:paraId="2F5261B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missiva della marchesa i Mantova è edita integralmente in </w:t>
      </w:r>
      <w:r w:rsidRPr="00796A9D">
        <w:rPr>
          <w:rFonts w:ascii="Times New Roman" w:hAnsi="Times New Roman" w:cs="Times New Roman"/>
          <w:smallCaps/>
        </w:rPr>
        <w:t>C. D’Arco</w:t>
      </w:r>
      <w:r w:rsidRPr="00796A9D">
        <w:rPr>
          <w:rFonts w:ascii="Times New Roman" w:hAnsi="Times New Roman" w:cs="Times New Roman"/>
        </w:rPr>
        <w:t xml:space="preserve">, </w:t>
      </w:r>
      <w:r w:rsidRPr="00796A9D">
        <w:rPr>
          <w:rFonts w:ascii="Times New Roman" w:hAnsi="Times New Roman" w:cs="Times New Roman"/>
          <w:i/>
        </w:rPr>
        <w:t>Notizie di Isabella estense moglie a Francesco Gonzaga</w:t>
      </w:r>
      <w:r w:rsidRPr="00796A9D">
        <w:rPr>
          <w:rFonts w:ascii="Times New Roman" w:hAnsi="Times New Roman" w:cs="Times New Roman"/>
        </w:rPr>
        <w:t xml:space="preserve">, «Archivio storico italiano», Appendice II, 1845, pp. 205-326: 306. </w:t>
      </w:r>
    </w:p>
  </w:footnote>
  <w:footnote w:id="920">
    <w:p w14:paraId="067B893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Sulle componenti musicali degli spettacoli offeti per le nozze ferraresi della Borgia vedi </w:t>
      </w:r>
      <w:r w:rsidRPr="00796A9D">
        <w:rPr>
          <w:rFonts w:ascii="Times New Roman" w:hAnsi="Times New Roman" w:cs="Times New Roman"/>
          <w:smallCaps/>
        </w:rPr>
        <w:t>P. Gargiulo</w:t>
      </w:r>
      <w:r w:rsidRPr="00796A9D">
        <w:rPr>
          <w:rFonts w:ascii="Times New Roman" w:hAnsi="Times New Roman" w:cs="Times New Roman"/>
        </w:rPr>
        <w:t xml:space="preserve">, </w:t>
      </w:r>
      <w:r w:rsidRPr="00796A9D">
        <w:rPr>
          <w:rStyle w:val="Enfasicorsivo"/>
          <w:rFonts w:ascii="Times New Roman" w:hAnsi="Times New Roman" w:cs="Times New Roman"/>
          <w:color w:val="333333"/>
        </w:rPr>
        <w:t>Lucrezia e la «città ferrarese»: scena e musica per la duchessa estense</w:t>
      </w:r>
      <w:r w:rsidRPr="00796A9D">
        <w:rPr>
          <w:rFonts w:ascii="Times New Roman" w:hAnsi="Times New Roman" w:cs="Times New Roman"/>
          <w:color w:val="333333"/>
        </w:rPr>
        <w:t xml:space="preserve">, in </w:t>
      </w:r>
      <w:r w:rsidRPr="00796A9D">
        <w:rPr>
          <w:rStyle w:val="Enfasicorsivo"/>
          <w:rFonts w:ascii="Times New Roman" w:hAnsi="Times New Roman" w:cs="Times New Roman"/>
          <w:color w:val="333333"/>
        </w:rPr>
        <w:t>Lucrezia Borgia a Ferrara. Testmionianze librarie e documentarie di un mito</w:t>
      </w:r>
      <w:r w:rsidRPr="00796A9D">
        <w:rPr>
          <w:rFonts w:ascii="Times New Roman" w:hAnsi="Times New Roman" w:cs="Times New Roman"/>
          <w:color w:val="333333"/>
        </w:rPr>
        <w:t xml:space="preserve">, Catalogo della mostra (Ferrara, Palazzo Paradiso, ottobre 2002), a cura di </w:t>
      </w:r>
      <w:r w:rsidRPr="00796A9D">
        <w:rPr>
          <w:rFonts w:ascii="Times New Roman" w:hAnsi="Times New Roman" w:cs="Times New Roman"/>
          <w:smallCaps/>
          <w:color w:val="333333"/>
        </w:rPr>
        <w:t>A. Farinelli Toselli</w:t>
      </w:r>
      <w:r w:rsidRPr="00796A9D">
        <w:rPr>
          <w:rFonts w:ascii="Times New Roman" w:hAnsi="Times New Roman" w:cs="Times New Roman"/>
          <w:color w:val="333333"/>
        </w:rPr>
        <w:t>, Ferrara, Ferrara arte, 2002, pp. 43-50. Mi sembra interessante notare come il solo relatore ad annotare particolari sui recitati delle commedie fosse il Cagnolo, la cui descrizione era destinata a circolare alla corte di Francia. La necessità di specificare la presenza di dialoghi “notandi” potrebbe dunque essere stata dovuta al bisogno di far comprendere a dei lettori stranier</w:t>
      </w:r>
      <w:r>
        <w:rPr>
          <w:rFonts w:ascii="Times New Roman" w:hAnsi="Times New Roman" w:cs="Times New Roman"/>
          <w:color w:val="333333"/>
        </w:rPr>
        <w:t>i</w:t>
      </w:r>
      <w:r w:rsidRPr="00796A9D">
        <w:rPr>
          <w:rFonts w:ascii="Times New Roman" w:hAnsi="Times New Roman" w:cs="Times New Roman"/>
          <w:color w:val="333333"/>
        </w:rPr>
        <w:t xml:space="preserve"> come si svolgesse un tipo di spettacolo in cui l’intonazione di sezione del testo dovette essere</w:t>
      </w:r>
      <w:r>
        <w:rPr>
          <w:rFonts w:ascii="Times New Roman" w:hAnsi="Times New Roman" w:cs="Times New Roman"/>
          <w:color w:val="333333"/>
        </w:rPr>
        <w:t xml:space="preserve"> prassi </w:t>
      </w:r>
      <w:r w:rsidRPr="00796A9D">
        <w:rPr>
          <w:rFonts w:ascii="Times New Roman" w:hAnsi="Times New Roman" w:cs="Times New Roman"/>
          <w:color w:val="333333"/>
        </w:rPr>
        <w:t>usuale</w:t>
      </w:r>
      <w:r>
        <w:rPr>
          <w:rFonts w:ascii="Times New Roman" w:hAnsi="Times New Roman" w:cs="Times New Roman"/>
          <w:color w:val="333333"/>
        </w:rPr>
        <w:t xml:space="preserve">, invece, per il pubblico dei cortigiani italiani, tanto da non essere segnalata in altre testimonianze. </w:t>
      </w:r>
    </w:p>
  </w:footnote>
  <w:footnote w:id="921">
    <w:p w14:paraId="4C4CC83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xml:space="preserve">, cit., p. 325. </w:t>
      </w:r>
    </w:p>
  </w:footnote>
  <w:footnote w:id="922">
    <w:p w14:paraId="38AADF9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M. Sanuto</w:t>
      </w:r>
      <w:r w:rsidRPr="00796A9D">
        <w:rPr>
          <w:rFonts w:ascii="Times New Roman" w:hAnsi="Times New Roman" w:cs="Times New Roman"/>
        </w:rPr>
        <w:t xml:space="preserve">, </w:t>
      </w:r>
      <w:r w:rsidRPr="00796A9D">
        <w:rPr>
          <w:rFonts w:ascii="Times New Roman" w:hAnsi="Times New Roman" w:cs="Times New Roman"/>
          <w:i/>
        </w:rPr>
        <w:t>I Diarii</w:t>
      </w:r>
      <w:r w:rsidRPr="00796A9D">
        <w:rPr>
          <w:rFonts w:ascii="Times New Roman" w:hAnsi="Times New Roman" w:cs="Times New Roman"/>
        </w:rPr>
        <w:t xml:space="preserve">, cit., vol. IV, c. 225 e </w:t>
      </w:r>
      <w:r w:rsidRPr="00796A9D">
        <w:rPr>
          <w:rFonts w:ascii="Times New Roman" w:hAnsi="Times New Roman" w:cs="Times New Roman"/>
          <w:i/>
        </w:rPr>
        <w:t>Ibidem</w:t>
      </w:r>
      <w:r w:rsidRPr="00796A9D">
        <w:rPr>
          <w:rFonts w:ascii="Times New Roman" w:hAnsi="Times New Roman" w:cs="Times New Roman"/>
        </w:rPr>
        <w:t xml:space="preserve">. </w:t>
      </w:r>
    </w:p>
  </w:footnote>
  <w:footnote w:id="923">
    <w:p w14:paraId="0E519C3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i/>
        </w:rPr>
        <w:t>Ibidem</w:t>
      </w:r>
      <w:r w:rsidRPr="00796A9D">
        <w:rPr>
          <w:rFonts w:ascii="Times New Roman" w:hAnsi="Times New Roman" w:cs="Times New Roman"/>
        </w:rPr>
        <w:t xml:space="preserve">. </w:t>
      </w:r>
    </w:p>
  </w:footnote>
  <w:footnote w:id="924">
    <w:p w14:paraId="6BE2F8C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lettera è pubblicata in </w:t>
      </w:r>
      <w:r w:rsidRPr="00796A9D">
        <w:rPr>
          <w:rFonts w:ascii="Times New Roman" w:hAnsi="Times New Roman" w:cs="Times New Roman"/>
          <w:i/>
        </w:rPr>
        <w:t>Il teatro italiano. La commedia del Cinquecento</w:t>
      </w:r>
      <w:r w:rsidRPr="00796A9D">
        <w:rPr>
          <w:rFonts w:ascii="Times New Roman" w:hAnsi="Times New Roman" w:cs="Times New Roman"/>
        </w:rPr>
        <w:t>, cit., vol. II, parte I, p. 413.</w:t>
      </w:r>
    </w:p>
  </w:footnote>
  <w:footnote w:id="925">
    <w:p w14:paraId="7D6F658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Questa iconografia del matto o, meglio, del folle, recante una vescica di maiale rigonfia e piena di piselli secchi era abbastanza convenzionale nel medioevo, soprattutto nelle corti di Francia e Provenza. Cfr. </w:t>
      </w:r>
      <w:r w:rsidRPr="00796A9D">
        <w:rPr>
          <w:rFonts w:ascii="Times New Roman" w:hAnsi="Times New Roman" w:cs="Times New Roman"/>
          <w:smallCaps/>
        </w:rPr>
        <w:t>G. Mimois</w:t>
      </w:r>
      <w:r w:rsidRPr="00796A9D">
        <w:rPr>
          <w:rFonts w:ascii="Times New Roman" w:hAnsi="Times New Roman" w:cs="Times New Roman"/>
        </w:rPr>
        <w:t xml:space="preserve">, </w:t>
      </w:r>
      <w:r w:rsidRPr="00796A9D">
        <w:rPr>
          <w:rFonts w:ascii="Times New Roman" w:hAnsi="Times New Roman" w:cs="Times New Roman"/>
          <w:i/>
        </w:rPr>
        <w:t>Storia del riso e della derisione</w:t>
      </w:r>
      <w:r w:rsidRPr="00796A9D">
        <w:rPr>
          <w:rFonts w:ascii="Times New Roman" w:hAnsi="Times New Roman" w:cs="Times New Roman"/>
        </w:rPr>
        <w:t xml:space="preserve">, Bari, Dedalo, 2004, p. 269. </w:t>
      </w:r>
    </w:p>
  </w:footnote>
  <w:footnote w:id="926">
    <w:p w14:paraId="3596C78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M. Sanu</w:t>
      </w:r>
      <w:r>
        <w:rPr>
          <w:rFonts w:ascii="Times New Roman" w:hAnsi="Times New Roman" w:cs="Times New Roman"/>
          <w:smallCaps/>
        </w:rPr>
        <w:t>t</w:t>
      </w:r>
      <w:r w:rsidRPr="00796A9D">
        <w:rPr>
          <w:rFonts w:ascii="Times New Roman" w:hAnsi="Times New Roman" w:cs="Times New Roman"/>
          <w:smallCaps/>
        </w:rPr>
        <w:t>o</w:t>
      </w:r>
      <w:r w:rsidRPr="00796A9D">
        <w:rPr>
          <w:rFonts w:ascii="Times New Roman" w:hAnsi="Times New Roman" w:cs="Times New Roman"/>
        </w:rPr>
        <w:t xml:space="preserve">, </w:t>
      </w:r>
      <w:r w:rsidRPr="00796A9D">
        <w:rPr>
          <w:rFonts w:ascii="Times New Roman" w:hAnsi="Times New Roman" w:cs="Times New Roman"/>
          <w:i/>
        </w:rPr>
        <w:t>I Diarii</w:t>
      </w:r>
      <w:r w:rsidRPr="00796A9D">
        <w:rPr>
          <w:rFonts w:ascii="Times New Roman" w:hAnsi="Times New Roman" w:cs="Times New Roman"/>
        </w:rPr>
        <w:t>, cit., vol. IV, c. 227.</w:t>
      </w:r>
    </w:p>
  </w:footnote>
  <w:footnote w:id="927">
    <w:p w14:paraId="74717E0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cit., p. 326.</w:t>
      </w:r>
    </w:p>
  </w:footnote>
  <w:footnote w:id="928">
    <w:p w14:paraId="40FBBEC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M. Sanu</w:t>
      </w:r>
      <w:r>
        <w:rPr>
          <w:rFonts w:ascii="Times New Roman" w:hAnsi="Times New Roman" w:cs="Times New Roman"/>
          <w:smallCaps/>
        </w:rPr>
        <w:t>t</w:t>
      </w:r>
      <w:r w:rsidRPr="00796A9D">
        <w:rPr>
          <w:rFonts w:ascii="Times New Roman" w:hAnsi="Times New Roman" w:cs="Times New Roman"/>
          <w:smallCaps/>
        </w:rPr>
        <w:t>o</w:t>
      </w:r>
      <w:r w:rsidRPr="00796A9D">
        <w:rPr>
          <w:rFonts w:ascii="Times New Roman" w:hAnsi="Times New Roman" w:cs="Times New Roman"/>
        </w:rPr>
        <w:t xml:space="preserve">, </w:t>
      </w:r>
      <w:r w:rsidRPr="00796A9D">
        <w:rPr>
          <w:rFonts w:ascii="Times New Roman" w:hAnsi="Times New Roman" w:cs="Times New Roman"/>
          <w:i/>
        </w:rPr>
        <w:t>I Diarii</w:t>
      </w:r>
      <w:r w:rsidRPr="00796A9D">
        <w:rPr>
          <w:rFonts w:ascii="Times New Roman" w:hAnsi="Times New Roman" w:cs="Times New Roman"/>
        </w:rPr>
        <w:t xml:space="preserve">, cit., vol. IV, c. 227. Il Cagnolo, introdotto lo spettacolo dichiarando come esso fosse stato intervallato dall’esecuzione soltanto di tre moresche, descrisse tuttavia quattro danze: «La terza morescha forno dui cum uno Cupididine allato, cum l'harcho et sagitta accesa in mano, tirando e recitando alchuni versi vulgari a proposito. La quarta morescha venne fora XII zoveni in zipone, la mità de biancho e la mità de brochato d'argento, cum dardi in mano moreschando accomodatamente e facendo certi acti cum epsi dardi, quali lassorno cadere in terra in uno momento, e subito pilgiorno uno pugnaletto in mano per ciaschaduno, tirandose l'uno e l'altro con dextreza grandissima». Credo che quella che Cagnolo definì terza morescha fosse una coreografia introduttiva a quella successiva eseguita dai dodici ballerini, nella quale i versi dei due protagonisti e di Cupido esplicitarono forse il soggetto dell’intermezzo. Poiché nessuna delle fonti specifica in quanti atti fu ripartito il </w:t>
      </w:r>
      <w:r w:rsidRPr="00796A9D">
        <w:rPr>
          <w:rFonts w:ascii="Times New Roman" w:hAnsi="Times New Roman" w:cs="Times New Roman"/>
          <w:i/>
        </w:rPr>
        <w:t>Miles gloriosus</w:t>
      </w:r>
      <w:r w:rsidRPr="00796A9D">
        <w:rPr>
          <w:rFonts w:ascii="Times New Roman" w:hAnsi="Times New Roman" w:cs="Times New Roman"/>
        </w:rPr>
        <w:t xml:space="preserve"> non si può meglio precisare in quale momento della rappresentazione furono presentate le moresche. Cfr.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cit., p. 329.</w:t>
      </w:r>
    </w:p>
  </w:footnote>
  <w:footnote w:id="929">
    <w:p w14:paraId="14D2F75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Sull’attività di questi eccellenti musici e sui loro spostamenti tra le corti padane del primo Cinquecento si veda </w:t>
      </w:r>
      <w:r w:rsidRPr="00796A9D">
        <w:rPr>
          <w:rFonts w:ascii="Times New Roman" w:hAnsi="Times New Roman" w:cs="Times New Roman"/>
          <w:smallCaps/>
        </w:rPr>
        <w:t>E. Paganuzzi</w:t>
      </w:r>
      <w:r w:rsidRPr="00796A9D">
        <w:rPr>
          <w:rFonts w:ascii="Times New Roman" w:hAnsi="Times New Roman" w:cs="Times New Roman"/>
        </w:rPr>
        <w:t xml:space="preserve">, </w:t>
      </w:r>
      <w:r w:rsidRPr="00796A9D">
        <w:rPr>
          <w:rFonts w:ascii="Times New Roman" w:hAnsi="Times New Roman" w:cs="Times New Roman"/>
          <w:i/>
        </w:rPr>
        <w:t>Verona e la musica durante il primo dominio veneziano</w:t>
      </w:r>
      <w:r w:rsidRPr="00796A9D">
        <w:rPr>
          <w:rFonts w:ascii="Times New Roman" w:hAnsi="Times New Roman" w:cs="Times New Roman"/>
        </w:rPr>
        <w:t xml:space="preserve">, in </w:t>
      </w:r>
      <w:r w:rsidRPr="00796A9D">
        <w:rPr>
          <w:rFonts w:ascii="Times New Roman" w:hAnsi="Times New Roman" w:cs="Times New Roman"/>
          <w:i/>
        </w:rPr>
        <w:t>Il primo dominio veneziano a Verona (1405-1509</w:t>
      </w:r>
      <w:r w:rsidRPr="00796A9D">
        <w:rPr>
          <w:rFonts w:ascii="Times New Roman" w:hAnsi="Times New Roman" w:cs="Times New Roman"/>
        </w:rPr>
        <w:t>)</w:t>
      </w:r>
      <w:r w:rsidRPr="00796A9D">
        <w:rPr>
          <w:rFonts w:ascii="Times New Roman" w:hAnsi="Times New Roman" w:cs="Times New Roman"/>
          <w:i/>
        </w:rPr>
        <w:t>,</w:t>
      </w:r>
      <w:r w:rsidRPr="00796A9D">
        <w:rPr>
          <w:rFonts w:ascii="Times New Roman" w:hAnsi="Times New Roman" w:cs="Times New Roman"/>
        </w:rPr>
        <w:t xml:space="preserve"> Atti del convegno (Verona 16-17 settembre 1988), Verona, Fiorni, 1991, pp. 227-256.</w:t>
      </w:r>
    </w:p>
  </w:footnote>
  <w:footnote w:id="930">
    <w:p w14:paraId="7C689C8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M. Sanu</w:t>
      </w:r>
      <w:r>
        <w:rPr>
          <w:rFonts w:ascii="Times New Roman" w:hAnsi="Times New Roman" w:cs="Times New Roman"/>
          <w:smallCaps/>
        </w:rPr>
        <w:t>t</w:t>
      </w:r>
      <w:r w:rsidRPr="00796A9D">
        <w:rPr>
          <w:rFonts w:ascii="Times New Roman" w:hAnsi="Times New Roman" w:cs="Times New Roman"/>
          <w:smallCaps/>
        </w:rPr>
        <w:t>o</w:t>
      </w:r>
      <w:r w:rsidRPr="00796A9D">
        <w:rPr>
          <w:rFonts w:ascii="Times New Roman" w:hAnsi="Times New Roman" w:cs="Times New Roman"/>
        </w:rPr>
        <w:t xml:space="preserve">, </w:t>
      </w:r>
      <w:r w:rsidRPr="00796A9D">
        <w:rPr>
          <w:rFonts w:ascii="Times New Roman" w:hAnsi="Times New Roman" w:cs="Times New Roman"/>
          <w:i/>
        </w:rPr>
        <w:t>I Diarii</w:t>
      </w:r>
      <w:r w:rsidRPr="00796A9D">
        <w:rPr>
          <w:rFonts w:ascii="Times New Roman" w:hAnsi="Times New Roman" w:cs="Times New Roman"/>
        </w:rPr>
        <w:t>, cit., vol. IV, c. 228-229.</w:t>
      </w:r>
    </w:p>
  </w:footnote>
  <w:footnote w:id="931">
    <w:p w14:paraId="5449B68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B. Zambotti</w:t>
      </w:r>
      <w:r w:rsidRPr="00796A9D">
        <w:rPr>
          <w:rFonts w:ascii="Times New Roman" w:hAnsi="Times New Roman" w:cs="Times New Roman"/>
        </w:rPr>
        <w:t xml:space="preserve">, </w:t>
      </w:r>
      <w:r w:rsidRPr="00796A9D">
        <w:rPr>
          <w:rFonts w:ascii="Times New Roman" w:hAnsi="Times New Roman" w:cs="Times New Roman"/>
          <w:i/>
        </w:rPr>
        <w:t>Diario ferrarese</w:t>
      </w:r>
      <w:r w:rsidRPr="00796A9D">
        <w:rPr>
          <w:rFonts w:ascii="Times New Roman" w:hAnsi="Times New Roman" w:cs="Times New Roman"/>
        </w:rPr>
        <w:t>, cit., p. 330.</w:t>
      </w:r>
    </w:p>
  </w:footnote>
  <w:footnote w:id="932">
    <w:p w14:paraId="2AECC1B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Fonts w:ascii="Times New Roman" w:hAnsi="Times New Roman" w:cs="Times New Roman"/>
          <w:smallCaps/>
        </w:rPr>
        <w:t>M. Sanu</w:t>
      </w:r>
      <w:r>
        <w:rPr>
          <w:rFonts w:ascii="Times New Roman" w:hAnsi="Times New Roman" w:cs="Times New Roman"/>
          <w:smallCaps/>
        </w:rPr>
        <w:t>t</w:t>
      </w:r>
      <w:r w:rsidRPr="00796A9D">
        <w:rPr>
          <w:rFonts w:ascii="Times New Roman" w:hAnsi="Times New Roman" w:cs="Times New Roman"/>
          <w:smallCaps/>
        </w:rPr>
        <w:t>o</w:t>
      </w:r>
      <w:r w:rsidRPr="00796A9D">
        <w:rPr>
          <w:rFonts w:ascii="Times New Roman" w:hAnsi="Times New Roman" w:cs="Times New Roman"/>
        </w:rPr>
        <w:t xml:space="preserve">, </w:t>
      </w:r>
      <w:r w:rsidRPr="00796A9D">
        <w:rPr>
          <w:rFonts w:ascii="Times New Roman" w:hAnsi="Times New Roman" w:cs="Times New Roman"/>
          <w:i/>
        </w:rPr>
        <w:t>I Diarii</w:t>
      </w:r>
      <w:r w:rsidRPr="00796A9D">
        <w:rPr>
          <w:rFonts w:ascii="Times New Roman" w:hAnsi="Times New Roman" w:cs="Times New Roman"/>
        </w:rPr>
        <w:t>, cit., vol. IV, c. 229.</w:t>
      </w:r>
    </w:p>
  </w:footnote>
  <w:footnote w:id="933">
    <w:p w14:paraId="57CFA347"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Lo sposalizio ebbe luogo il 3 luglio 1468 e fu seguito da nove giorni di festeggiamenti che si svolsero principalmente presso il palazzo ducale, le cui sale furono impreziosite da arazzi di fine fattura: quelli della sala innanzi alla cappella raffigurarono le storie di re Assuero ed Ester, quelli per le pareti della cappella la </w:t>
      </w:r>
      <w:r w:rsidRPr="00796A9D">
        <w:rPr>
          <w:rFonts w:ascii="Times New Roman" w:hAnsi="Times New Roman" w:cs="Times New Roman"/>
          <w:i/>
          <w:sz w:val="20"/>
          <w:szCs w:val="20"/>
        </w:rPr>
        <w:t>Passione</w:t>
      </w:r>
      <w:r w:rsidRPr="00796A9D">
        <w:rPr>
          <w:rFonts w:ascii="Times New Roman" w:hAnsi="Times New Roman" w:cs="Times New Roman"/>
          <w:sz w:val="20"/>
          <w:szCs w:val="20"/>
        </w:rPr>
        <w:t xml:space="preserve"> e quelli della camera di Margherita le </w:t>
      </w:r>
      <w:r w:rsidRPr="00796A9D">
        <w:rPr>
          <w:rFonts w:ascii="Times New Roman" w:hAnsi="Times New Roman" w:cs="Times New Roman"/>
          <w:i/>
          <w:sz w:val="20"/>
          <w:szCs w:val="20"/>
        </w:rPr>
        <w:t>Storie di Lucrezia</w:t>
      </w:r>
      <w:r w:rsidRPr="00796A9D">
        <w:rPr>
          <w:rFonts w:ascii="Times New Roman" w:hAnsi="Times New Roman" w:cs="Times New Roman"/>
          <w:sz w:val="20"/>
          <w:szCs w:val="20"/>
        </w:rPr>
        <w:t xml:space="preserve">. Nello spiazzo antistante la residenza fu eretto un padiglione, progettato a Bruxelles da Mikiel Goetgoebeur e portato a Bruges via fiume, il quale ospitò i banchetti imbanditi ai nobili invitati e il capitolo dell’ordine del Toson d’oro che si tenne in quegli stessi giorni. Un’analisi dettagliata dei momenti principali della festa è offerta da </w:t>
      </w:r>
      <w:r w:rsidRPr="00796A9D">
        <w:rPr>
          <w:rFonts w:ascii="Times New Roman" w:hAnsi="Times New Roman" w:cs="Times New Roman"/>
          <w:smallCaps/>
          <w:sz w:val="20"/>
          <w:szCs w:val="20"/>
        </w:rPr>
        <w:t>E.A. Tabri</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Political Culture in the Early Northern Renaissance. The Court of Charles the Bold, Duke of Burgundy (1467-1477)</w:t>
      </w:r>
      <w:r w:rsidRPr="00796A9D">
        <w:rPr>
          <w:rFonts w:ascii="Times New Roman" w:hAnsi="Times New Roman" w:cs="Times New Roman"/>
          <w:sz w:val="20"/>
          <w:szCs w:val="20"/>
        </w:rPr>
        <w:t>, Lewiston, Edwin Mellen Press, 2004. Per considerazioni riguardo alla circolazione di notizie provenineti dalla Borgo</w:t>
      </w:r>
      <w:r>
        <w:rPr>
          <w:rFonts w:ascii="Times New Roman" w:hAnsi="Times New Roman" w:cs="Times New Roman"/>
          <w:sz w:val="20"/>
          <w:szCs w:val="20"/>
        </w:rPr>
        <w:t>g</w:t>
      </w:r>
      <w:r w:rsidRPr="00796A9D">
        <w:rPr>
          <w:rFonts w:ascii="Times New Roman" w:hAnsi="Times New Roman" w:cs="Times New Roman"/>
          <w:sz w:val="20"/>
          <w:szCs w:val="20"/>
        </w:rPr>
        <w:t xml:space="preserve">na sugli spettacoli e i piaceri della corte del Temerario vedi inoltre </w:t>
      </w:r>
      <w:r w:rsidRPr="005A1BF2">
        <w:rPr>
          <w:rFonts w:ascii="Times New Roman" w:hAnsi="Times New Roman" w:cs="Times New Roman"/>
          <w:smallCaps/>
          <w:sz w:val="20"/>
          <w:szCs w:val="20"/>
          <w:lang w:val="en-US"/>
        </w:rPr>
        <w:t>M. Belozerskaya</w:t>
      </w:r>
      <w:r w:rsidRPr="00796A9D">
        <w:rPr>
          <w:rFonts w:ascii="Times New Roman" w:hAnsi="Times New Roman" w:cs="Times New Roman"/>
          <w:sz w:val="20"/>
          <w:szCs w:val="20"/>
          <w:lang w:val="en-US"/>
        </w:rPr>
        <w:t xml:space="preserve">, </w:t>
      </w:r>
      <w:r w:rsidRPr="00796A9D">
        <w:rPr>
          <w:rFonts w:ascii="Times New Roman" w:hAnsi="Times New Roman" w:cs="Times New Roman"/>
          <w:i/>
          <w:sz w:val="20"/>
          <w:szCs w:val="20"/>
          <w:lang w:val="en-US"/>
        </w:rPr>
        <w:t>Rethinking the Renaissance</w:t>
      </w:r>
      <w:r w:rsidRPr="00796A9D">
        <w:rPr>
          <w:rFonts w:ascii="Times New Roman" w:hAnsi="Times New Roman" w:cs="Times New Roman"/>
          <w:sz w:val="20"/>
          <w:szCs w:val="20"/>
          <w:lang w:val="en-US"/>
        </w:rPr>
        <w:t>, cit., pp. 135-145.</w:t>
      </w:r>
      <w:r w:rsidRPr="00796A9D">
        <w:rPr>
          <w:rFonts w:ascii="Times New Roman" w:hAnsi="Times New Roman" w:cs="Times New Roman"/>
          <w:sz w:val="20"/>
          <w:szCs w:val="20"/>
        </w:rPr>
        <w:t xml:space="preserve"> </w:t>
      </w:r>
    </w:p>
  </w:footnote>
  <w:footnote w:id="934">
    <w:p w14:paraId="53B7BDEC" w14:textId="77777777" w:rsidR="00CF5CFB" w:rsidRPr="00796A9D" w:rsidRDefault="00CF5CFB" w:rsidP="00796A9D">
      <w:pPr>
        <w:spacing w:after="0" w:line="240" w:lineRule="auto"/>
        <w:jc w:val="both"/>
        <w:rPr>
          <w:rFonts w:ascii="Times New Roman" w:hAnsi="Times New Roman" w:cs="Times New Roman"/>
          <w:sz w:val="20"/>
          <w:szCs w:val="20"/>
        </w:rPr>
      </w:pPr>
      <w:r w:rsidRPr="00796A9D">
        <w:rPr>
          <w:rStyle w:val="Rimandonotaapidipagina"/>
          <w:rFonts w:ascii="Times New Roman" w:hAnsi="Times New Roman" w:cs="Times New Roman"/>
          <w:sz w:val="20"/>
          <w:szCs w:val="20"/>
        </w:rPr>
        <w:footnoteRef/>
      </w:r>
      <w:r w:rsidRPr="00796A9D">
        <w:rPr>
          <w:rFonts w:ascii="Times New Roman" w:hAnsi="Times New Roman" w:cs="Times New Roman"/>
          <w:sz w:val="20"/>
          <w:szCs w:val="20"/>
        </w:rPr>
        <w:t xml:space="preserve"> La descrizione delle </w:t>
      </w:r>
      <w:r w:rsidRPr="00796A9D">
        <w:rPr>
          <w:rFonts w:ascii="Times New Roman" w:hAnsi="Times New Roman" w:cs="Times New Roman"/>
          <w:i/>
          <w:sz w:val="20"/>
          <w:szCs w:val="20"/>
        </w:rPr>
        <w:t>Noces de Charles le Téméraire et Marguerite d’York</w:t>
      </w:r>
      <w:r w:rsidRPr="00796A9D">
        <w:rPr>
          <w:rFonts w:ascii="Times New Roman" w:hAnsi="Times New Roman" w:cs="Times New Roman"/>
          <w:sz w:val="20"/>
          <w:szCs w:val="20"/>
        </w:rPr>
        <w:t xml:space="preserve"> si legge nell’edizione delle </w:t>
      </w:r>
      <w:r w:rsidRPr="00796A9D">
        <w:rPr>
          <w:rFonts w:ascii="Times New Roman" w:hAnsi="Times New Roman" w:cs="Times New Roman"/>
          <w:i/>
          <w:sz w:val="20"/>
          <w:szCs w:val="20"/>
        </w:rPr>
        <w:t>Mémoires</w:t>
      </w:r>
      <w:r w:rsidRPr="00796A9D">
        <w:rPr>
          <w:rFonts w:ascii="Times New Roman" w:hAnsi="Times New Roman" w:cs="Times New Roman"/>
          <w:sz w:val="20"/>
          <w:szCs w:val="20"/>
        </w:rPr>
        <w:t xml:space="preserve"> d’Olivier de la Marche pubblicata da </w:t>
      </w:r>
      <w:r w:rsidRPr="00796A9D">
        <w:rPr>
          <w:rFonts w:ascii="Times New Roman" w:hAnsi="Times New Roman" w:cs="Times New Roman"/>
          <w:i/>
          <w:sz w:val="20"/>
          <w:szCs w:val="20"/>
        </w:rPr>
        <w:t>Splendeurs de la Cour de Bourgogne. Récit et Chroniques</w:t>
      </w:r>
      <w:r w:rsidRPr="00796A9D">
        <w:rPr>
          <w:rFonts w:ascii="Times New Roman" w:hAnsi="Times New Roman" w:cs="Times New Roman"/>
          <w:sz w:val="20"/>
          <w:szCs w:val="20"/>
        </w:rPr>
        <w:t xml:space="preserve">, edition de </w:t>
      </w:r>
      <w:r w:rsidRPr="00B43E2C">
        <w:rPr>
          <w:rFonts w:ascii="Times New Roman" w:hAnsi="Times New Roman" w:cs="Times New Roman"/>
          <w:smallCaps/>
          <w:sz w:val="20"/>
          <w:szCs w:val="20"/>
        </w:rPr>
        <w:t>D. Régnier Bohler</w:t>
      </w:r>
      <w:r w:rsidRPr="00796A9D">
        <w:rPr>
          <w:rFonts w:ascii="Times New Roman" w:hAnsi="Times New Roman" w:cs="Times New Roman"/>
          <w:sz w:val="20"/>
          <w:szCs w:val="20"/>
        </w:rPr>
        <w:t xml:space="preserve">, Paris, Robert Laffont, 1995, pp. 1068-1088. Sull’acquisto di materiali scrittori per preprare libretti con il resoconto ufficiale delle feste rimando a </w:t>
      </w:r>
      <w:r w:rsidRPr="00796A9D">
        <w:rPr>
          <w:rFonts w:ascii="Times New Roman" w:hAnsi="Times New Roman" w:cs="Times New Roman"/>
          <w:smallCaps/>
          <w:sz w:val="20"/>
          <w:szCs w:val="20"/>
        </w:rPr>
        <w:t>F. Barbier</w:t>
      </w:r>
      <w:r w:rsidRPr="00796A9D">
        <w:rPr>
          <w:rFonts w:ascii="Times New Roman" w:hAnsi="Times New Roman" w:cs="Times New Roman"/>
          <w:sz w:val="20"/>
          <w:szCs w:val="20"/>
        </w:rPr>
        <w:t xml:space="preserve">, </w:t>
      </w:r>
      <w:r w:rsidRPr="00796A9D">
        <w:rPr>
          <w:rFonts w:ascii="Times New Roman" w:hAnsi="Times New Roman" w:cs="Times New Roman"/>
          <w:i/>
          <w:sz w:val="20"/>
          <w:szCs w:val="20"/>
        </w:rPr>
        <w:t>Storia del libro dall’antichità al XX secolo</w:t>
      </w:r>
      <w:r w:rsidRPr="00796A9D">
        <w:rPr>
          <w:rFonts w:ascii="Times New Roman" w:hAnsi="Times New Roman" w:cs="Times New Roman"/>
          <w:sz w:val="20"/>
          <w:szCs w:val="20"/>
        </w:rPr>
        <w:t xml:space="preserve">, Bari, Dedalo, 2004, p. 74.  </w:t>
      </w:r>
    </w:p>
    <w:p w14:paraId="4AFDEC7D" w14:textId="77777777" w:rsidR="00CF5CFB" w:rsidRPr="00796A9D" w:rsidRDefault="00CF5CFB" w:rsidP="00796A9D">
      <w:pPr>
        <w:pStyle w:val="Testonotaapidipagina"/>
        <w:jc w:val="both"/>
        <w:rPr>
          <w:rFonts w:ascii="Times New Roman" w:hAnsi="Times New Roman" w:cs="Times New Roman"/>
        </w:rPr>
      </w:pPr>
    </w:p>
  </w:footnote>
  <w:footnote w:id="935">
    <w:p w14:paraId="0A66448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validità di una ricerca su questi temi fu segnalata da </w:t>
      </w:r>
      <w:r w:rsidRPr="00796A9D">
        <w:rPr>
          <w:rFonts w:ascii="Times New Roman" w:hAnsi="Times New Roman" w:cs="Times New Roman"/>
          <w:smallCaps/>
        </w:rPr>
        <w:t>L. Zorzi</w:t>
      </w:r>
      <w:r w:rsidRPr="00796A9D">
        <w:rPr>
          <w:rFonts w:ascii="Times New Roman" w:hAnsi="Times New Roman" w:cs="Times New Roman"/>
        </w:rPr>
        <w:t xml:space="preserve">, </w:t>
      </w:r>
      <w:r w:rsidRPr="00796A9D">
        <w:rPr>
          <w:rFonts w:ascii="Times New Roman" w:hAnsi="Times New Roman" w:cs="Times New Roman"/>
          <w:i/>
        </w:rPr>
        <w:t>Un esempio regionale: notizia sul teatro piemontese dal secolo XIV al secolo XVI</w:t>
      </w:r>
      <w:r w:rsidRPr="00796A9D">
        <w:rPr>
          <w:rFonts w:ascii="Times New Roman" w:hAnsi="Times New Roman" w:cs="Times New Roman"/>
        </w:rPr>
        <w:t xml:space="preserve">, in </w:t>
      </w:r>
      <w:r w:rsidRPr="00796A9D">
        <w:rPr>
          <w:rFonts w:ascii="Times New Roman" w:hAnsi="Times New Roman" w:cs="Times New Roman"/>
          <w:i/>
        </w:rPr>
        <w:t>Scene e figure del teatro italiano</w:t>
      </w:r>
      <w:r w:rsidRPr="00796A9D">
        <w:rPr>
          <w:rFonts w:ascii="Times New Roman" w:hAnsi="Times New Roman" w:cs="Times New Roman"/>
        </w:rPr>
        <w:t xml:space="preserve">, a cura di </w:t>
      </w:r>
      <w:r w:rsidRPr="00796A9D">
        <w:rPr>
          <w:rFonts w:ascii="Times New Roman" w:hAnsi="Times New Roman" w:cs="Times New Roman"/>
          <w:smallCaps/>
        </w:rPr>
        <w:t>S. Romagnoli</w:t>
      </w:r>
      <w:r w:rsidRPr="00796A9D">
        <w:rPr>
          <w:rFonts w:ascii="Times New Roman" w:hAnsi="Times New Roman" w:cs="Times New Roman"/>
        </w:rPr>
        <w:t xml:space="preserve">, </w:t>
      </w:r>
      <w:r w:rsidRPr="00796A9D">
        <w:rPr>
          <w:rFonts w:ascii="Times New Roman" w:hAnsi="Times New Roman" w:cs="Times New Roman"/>
          <w:smallCaps/>
        </w:rPr>
        <w:t>E. Garbero Zorzi</w:t>
      </w:r>
      <w:r w:rsidRPr="00796A9D">
        <w:rPr>
          <w:rFonts w:ascii="Times New Roman" w:hAnsi="Times New Roman" w:cs="Times New Roman"/>
        </w:rPr>
        <w:t>, Bologna, Il Mulino, 1985, pp. 43-62.</w:t>
      </w:r>
    </w:p>
  </w:footnote>
  <w:footnote w:id="936">
    <w:p w14:paraId="105F2BE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Sulla presenza delle filiali delle banche fiorentine e di rappresentanti delle più importanti compagnie commerciali toscane a Roma, a Milano, a Napoli e nelle maggiori città francesi come veicolo per l’esportazione all’estero delle abilità artistiche della città gigliata si veda </w:t>
      </w:r>
      <w:r w:rsidRPr="00796A9D">
        <w:rPr>
          <w:rFonts w:ascii="Times New Roman" w:hAnsi="Times New Roman" w:cs="Times New Roman"/>
          <w:smallCaps/>
        </w:rPr>
        <w:t>F. Franceschi</w:t>
      </w:r>
      <w:r w:rsidRPr="00796A9D">
        <w:rPr>
          <w:rFonts w:ascii="Times New Roman" w:hAnsi="Times New Roman" w:cs="Times New Roman"/>
        </w:rPr>
        <w:t xml:space="preserve">, </w:t>
      </w:r>
      <w:r w:rsidRPr="00796A9D">
        <w:rPr>
          <w:rFonts w:ascii="Times New Roman" w:hAnsi="Times New Roman" w:cs="Times New Roman"/>
          <w:i/>
        </w:rPr>
        <w:t>I mercanti-banchieri fiorentini nel Quattrocento</w:t>
      </w:r>
      <w:r w:rsidRPr="00796A9D">
        <w:rPr>
          <w:rFonts w:ascii="Times New Roman" w:hAnsi="Times New Roman" w:cs="Times New Roman"/>
        </w:rPr>
        <w:t xml:space="preserve">, in </w:t>
      </w:r>
      <w:r w:rsidRPr="00796A9D">
        <w:rPr>
          <w:rFonts w:ascii="Times New Roman" w:hAnsi="Times New Roman" w:cs="Times New Roman"/>
          <w:i/>
        </w:rPr>
        <w:t>Denaro e bellezza. I banchieri, Botticelli e il rogo delle vanità</w:t>
      </w:r>
      <w:r w:rsidRPr="00796A9D">
        <w:rPr>
          <w:rFonts w:ascii="Times New Roman" w:hAnsi="Times New Roman" w:cs="Times New Roman"/>
        </w:rPr>
        <w:t>, Catalogo della mostra (Firenze, 17 settembre 2011-22 gennaio 2012), Firenze, Giunti, 2011, pp. 37-45.</w:t>
      </w:r>
    </w:p>
  </w:footnote>
  <w:footnote w:id="937">
    <w:p w14:paraId="2E2446B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Criteri di edizione: l’edizione del testo ha richiesto una trascrizione quanto più possibile conservativa della lezione tramandata dalla stampa Zarotto nell’esemplare Milano, Biblioteca Nazionale Braidense, AM. X. 79, di cui si è fornita la scheda bibliografica. Si è scelto di mantenere le grafie latine adottate da Dolcino; si è proceduto allo scioglimento delle abbreviazioni; la punteggiatura e i segni diacritici sono stati inseriti concordemente all’uso moderno; si è regolarizzata l’alteranza tra maiuscole e minuscole.</w:t>
      </w:r>
    </w:p>
  </w:footnote>
  <w:footnote w:id="938">
    <w:p w14:paraId="40B98F6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Apul. </w:t>
      </w:r>
      <w:r w:rsidRPr="00796A9D">
        <w:rPr>
          <w:rFonts w:ascii="Times New Roman" w:hAnsi="Times New Roman" w:cs="Times New Roman"/>
          <w:i/>
        </w:rPr>
        <w:t>Met</w:t>
      </w:r>
      <w:r w:rsidRPr="00796A9D">
        <w:rPr>
          <w:rFonts w:ascii="Times New Roman" w:hAnsi="Times New Roman" w:cs="Times New Roman"/>
        </w:rPr>
        <w:t xml:space="preserve">. IV-VI. </w:t>
      </w:r>
    </w:p>
  </w:footnote>
  <w:footnote w:id="939">
    <w:p w14:paraId="29BE5F3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Ovid. </w:t>
      </w:r>
      <w:r w:rsidRPr="00796A9D">
        <w:rPr>
          <w:rFonts w:ascii="Times New Roman" w:hAnsi="Times New Roman" w:cs="Times New Roman"/>
          <w:i/>
        </w:rPr>
        <w:t>Met</w:t>
      </w:r>
      <w:r w:rsidRPr="00796A9D">
        <w:rPr>
          <w:rFonts w:ascii="Times New Roman" w:hAnsi="Times New Roman" w:cs="Times New Roman"/>
        </w:rPr>
        <w:t xml:space="preserve">. II, 708-832. Aglauro, figlia del re di Atene Cecrope, scoperte le visite di Mercurio alla stanza che condivideva con le sorelle Erse e Pandrosa, fu messa al corrente dal dio del segreto rapporto che egli intratteneva con Erse. Su istigazione di Minerva, l'Invidia ispirò malvagi propositi di Aglauro, che tentò di ostacolare gli incontri tra i due amanti sbarrando la porta della camera da letto. Mercurio infuriato, la punì tramutandola in sasso. Cfr. G. </w:t>
      </w:r>
      <w:r w:rsidRPr="00796A9D">
        <w:rPr>
          <w:rFonts w:ascii="Times New Roman" w:hAnsi="Times New Roman" w:cs="Times New Roman"/>
          <w:smallCaps/>
        </w:rPr>
        <w:t>Padoan</w:t>
      </w:r>
      <w:r w:rsidRPr="00796A9D">
        <w:rPr>
          <w:rFonts w:ascii="Times New Roman" w:hAnsi="Times New Roman" w:cs="Times New Roman"/>
        </w:rPr>
        <w:t xml:space="preserve">, s.v. </w:t>
      </w:r>
      <w:r w:rsidRPr="00796A9D">
        <w:rPr>
          <w:rFonts w:ascii="Times New Roman" w:hAnsi="Times New Roman" w:cs="Times New Roman"/>
          <w:i/>
        </w:rPr>
        <w:t>Aglauro</w:t>
      </w:r>
      <w:r w:rsidRPr="00796A9D">
        <w:rPr>
          <w:rFonts w:ascii="Times New Roman" w:hAnsi="Times New Roman" w:cs="Times New Roman"/>
        </w:rPr>
        <w:t xml:space="preserve">, in </w:t>
      </w:r>
      <w:r w:rsidRPr="00796A9D">
        <w:rPr>
          <w:rFonts w:ascii="Times New Roman" w:hAnsi="Times New Roman" w:cs="Times New Roman"/>
          <w:i/>
        </w:rPr>
        <w:t>Enciclopedia Dantesca</w:t>
      </w:r>
      <w:r w:rsidRPr="00796A9D">
        <w:rPr>
          <w:rFonts w:ascii="Times New Roman" w:hAnsi="Times New Roman" w:cs="Times New Roman"/>
        </w:rPr>
        <w:t xml:space="preserve">, Roma, Treccani, 1970, vol. I, p.78  </w:t>
      </w:r>
    </w:p>
  </w:footnote>
  <w:footnote w:id="940">
    <w:p w14:paraId="0757BF2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 Beroaldo, </w:t>
      </w:r>
      <w:r w:rsidRPr="00796A9D">
        <w:rPr>
          <w:rFonts w:ascii="Times New Roman" w:hAnsi="Times New Roman" w:cs="Times New Roman"/>
          <w:i/>
        </w:rPr>
        <w:t>Nuptiae Bentivolorum</w:t>
      </w:r>
      <w:r w:rsidRPr="00796A9D">
        <w:rPr>
          <w:rFonts w:ascii="Times New Roman" w:hAnsi="Times New Roman" w:cs="Times New Roman"/>
        </w:rPr>
        <w:t xml:space="preserve">, cit., p. 154: </w:t>
      </w:r>
      <w:r w:rsidRPr="00796A9D">
        <w:rPr>
          <w:rFonts w:ascii="Times New Roman" w:hAnsi="Times New Roman" w:cs="Times New Roman"/>
          <w:i/>
        </w:rPr>
        <w:t>Et si scio quosdam obtrectatores caperata fronte haec esse lecturos, quibus nihil placet nisi triviale, quibus ita respondere iure optimo possum: Significantissimis vocabulis cuncta per virili parte enarrare contendimus et verba rebus accomodare, quae rerum causa inventa fuerunt.</w:t>
      </w:r>
      <w:r w:rsidRPr="00796A9D">
        <w:rPr>
          <w:rFonts w:ascii="Times New Roman" w:hAnsi="Times New Roman" w:cs="Times New Roman"/>
        </w:rPr>
        <w:t xml:space="preserve"> </w:t>
      </w:r>
    </w:p>
  </w:footnote>
  <w:footnote w:id="941">
    <w:p w14:paraId="4C4D5D3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Plin. </w:t>
      </w:r>
      <w:r w:rsidRPr="00796A9D">
        <w:rPr>
          <w:rFonts w:ascii="Times New Roman" w:hAnsi="Times New Roman" w:cs="Times New Roman"/>
          <w:i/>
        </w:rPr>
        <w:t>Ep</w:t>
      </w:r>
      <w:r w:rsidRPr="00796A9D">
        <w:rPr>
          <w:rFonts w:ascii="Times New Roman" w:hAnsi="Times New Roman" w:cs="Times New Roman"/>
        </w:rPr>
        <w:t xml:space="preserve">. II, 17. Si tratta dell’epistola all’amico Gallo avente per oggetto la descrizione della villa di Laurento. Essa sorgeva circa diciassette miglia a sud di Roma e si affacciava sul mare, ritiro ideale dalle occupazioni dell’urbe. L’impiego di molti tecnicismi di derivazione greca da parte di Plinio nel presentare l’edificio è più volte ricalcato da Dolcino nelle pagine seguenti.   </w:t>
      </w:r>
    </w:p>
  </w:footnote>
  <w:footnote w:id="942">
    <w:p w14:paraId="4EFEC2B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termine </w:t>
      </w:r>
      <w:r w:rsidRPr="00796A9D">
        <w:rPr>
          <w:rFonts w:ascii="Times New Roman" w:hAnsi="Times New Roman" w:cs="Times New Roman"/>
          <w:i/>
        </w:rPr>
        <w:t>ornitrophia</w:t>
      </w:r>
      <w:r w:rsidRPr="00796A9D">
        <w:rPr>
          <w:rFonts w:ascii="Times New Roman" w:hAnsi="Times New Roman" w:cs="Times New Roman"/>
        </w:rPr>
        <w:t xml:space="preserve"> non si legge in Varrone, che invece impiega il neologismo </w:t>
      </w:r>
      <w:r w:rsidRPr="00796A9D">
        <w:rPr>
          <w:rFonts w:ascii="Times New Roman" w:hAnsi="Times New Roman" w:cs="Times New Roman"/>
          <w:i/>
        </w:rPr>
        <w:t>ornithones</w:t>
      </w:r>
      <w:r w:rsidRPr="00796A9D">
        <w:rPr>
          <w:rFonts w:ascii="Times New Roman" w:hAnsi="Times New Roman" w:cs="Times New Roman"/>
        </w:rPr>
        <w:t xml:space="preserve">, uccelliere, in </w:t>
      </w:r>
      <w:r w:rsidRPr="00796A9D">
        <w:rPr>
          <w:rFonts w:ascii="Times New Roman" w:hAnsi="Times New Roman" w:cs="Times New Roman"/>
          <w:i/>
        </w:rPr>
        <w:t>RR</w:t>
      </w:r>
      <w:r w:rsidRPr="00796A9D">
        <w:rPr>
          <w:rFonts w:ascii="Times New Roman" w:hAnsi="Times New Roman" w:cs="Times New Roman"/>
        </w:rPr>
        <w:t xml:space="preserve">. III, 3, 7. </w:t>
      </w:r>
      <w:r w:rsidRPr="00796A9D">
        <w:rPr>
          <w:rFonts w:ascii="Times New Roman" w:hAnsi="Times New Roman" w:cs="Times New Roman"/>
          <w:smallCaps/>
        </w:rPr>
        <w:t>I. Nuovo</w:t>
      </w:r>
      <w:r w:rsidRPr="00796A9D">
        <w:rPr>
          <w:rFonts w:ascii="Times New Roman" w:hAnsi="Times New Roman" w:cs="Times New Roman"/>
        </w:rPr>
        <w:t xml:space="preserve">, </w:t>
      </w:r>
      <w:r w:rsidRPr="00796A9D">
        <w:rPr>
          <w:rFonts w:ascii="Times New Roman" w:hAnsi="Times New Roman" w:cs="Times New Roman"/>
          <w:i/>
        </w:rPr>
        <w:t>La festa tra spettacolo e invenzione: il corteo nuziale di Isabella d’Aragona e Gian Galeazzo Sforza</w:t>
      </w:r>
      <w:r w:rsidRPr="00796A9D">
        <w:rPr>
          <w:rFonts w:ascii="Times New Roman" w:hAnsi="Times New Roman" w:cs="Times New Roman"/>
        </w:rPr>
        <w:t xml:space="preserve">, cit., con cui concordo, sostiene si tratti della traslitterazione latina di un vocabolo greco adottato in Plut. </w:t>
      </w:r>
      <w:r w:rsidRPr="00796A9D">
        <w:rPr>
          <w:rFonts w:ascii="Times New Roman" w:hAnsi="Times New Roman" w:cs="Times New Roman"/>
          <w:i/>
        </w:rPr>
        <w:t>Per</w:t>
      </w:r>
      <w:r w:rsidRPr="00796A9D">
        <w:rPr>
          <w:rFonts w:ascii="Times New Roman" w:hAnsi="Times New Roman" w:cs="Times New Roman"/>
        </w:rPr>
        <w:t xml:space="preserve">. XIII, per indicare genericamente l’abilità di allevare gli uccelli. </w:t>
      </w:r>
    </w:p>
  </w:footnote>
  <w:footnote w:id="943">
    <w:p w14:paraId="1E81440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Gius. Flav. </w:t>
      </w:r>
      <w:r w:rsidRPr="00796A9D">
        <w:rPr>
          <w:rFonts w:ascii="Times New Roman" w:hAnsi="Times New Roman" w:cs="Times New Roman"/>
          <w:i/>
        </w:rPr>
        <w:t>Ant. Giud</w:t>
      </w:r>
      <w:r w:rsidRPr="00796A9D">
        <w:rPr>
          <w:rFonts w:ascii="Times New Roman" w:hAnsi="Times New Roman" w:cs="Times New Roman"/>
        </w:rPr>
        <w:t xml:space="preserve">. VIII. </w:t>
      </w:r>
    </w:p>
  </w:footnote>
  <w:footnote w:id="944">
    <w:p w14:paraId="601C381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riferimento è alla </w:t>
      </w:r>
      <w:r w:rsidRPr="00796A9D">
        <w:rPr>
          <w:rFonts w:ascii="Times New Roman" w:hAnsi="Times New Roman" w:cs="Times New Roman"/>
          <w:i/>
        </w:rPr>
        <w:t>Lettera di Aristea</w:t>
      </w:r>
      <w:r w:rsidRPr="00796A9D">
        <w:rPr>
          <w:rFonts w:ascii="Times New Roman" w:hAnsi="Times New Roman" w:cs="Times New Roman"/>
        </w:rPr>
        <w:t xml:space="preserve"> al fratello Filoirate sul progetto di traduzione della Bibbia nota come Versione dei Settanta. Il mittente dell'epistola era un messo del sovrano d'Egitto Tolomeo II Filadelfo (309-246 a. C.), il quale, su invito del bibliotecario Demetrio Falereo, aveva deciso di fare tradurre in greco il </w:t>
      </w:r>
      <w:r w:rsidRPr="00796A9D">
        <w:rPr>
          <w:rFonts w:ascii="Times New Roman" w:hAnsi="Times New Roman" w:cs="Times New Roman"/>
          <w:i/>
        </w:rPr>
        <w:t>Pentateuco</w:t>
      </w:r>
      <w:r w:rsidRPr="00796A9D">
        <w:rPr>
          <w:rFonts w:ascii="Times New Roman" w:hAnsi="Times New Roman" w:cs="Times New Roman"/>
        </w:rPr>
        <w:t xml:space="preserve"> da 72 interpreti, appositamente reclutati in Giudea. La lettera contiene una descrizione di Gerusalemme, del suo tempio e del culto in esso osservato. La composizione si assegna ad un autore ebreo vivente in Egitto nel secolo II o nei primi decenni del I a. C. Il testo, in greco, ebbe discreto successo nel Rinascimento, e nel 1468 una sua versione in latino curata da Mattia Palmieri fu offerta a papa Paolo II e pubblicata da Arnold Pannartz e Conrad Sweynheym nell’edizione delle </w:t>
      </w:r>
      <w:r w:rsidRPr="00796A9D">
        <w:rPr>
          <w:rFonts w:ascii="Times New Roman" w:hAnsi="Times New Roman" w:cs="Times New Roman"/>
          <w:i/>
        </w:rPr>
        <w:t>Epistolae</w:t>
      </w:r>
      <w:r w:rsidRPr="00796A9D">
        <w:rPr>
          <w:rFonts w:ascii="Times New Roman" w:hAnsi="Times New Roman" w:cs="Times New Roman"/>
        </w:rPr>
        <w:t xml:space="preserve"> di san Girolamo, e successivamente nella Bibbia impressa da loro a Roma nel 1471. Cfr. </w:t>
      </w:r>
      <w:r w:rsidRPr="00796A9D">
        <w:rPr>
          <w:rFonts w:ascii="Times New Roman" w:hAnsi="Times New Roman" w:cs="Times New Roman"/>
          <w:smallCaps/>
        </w:rPr>
        <w:t>E. Valeri</w:t>
      </w:r>
      <w:r w:rsidRPr="00796A9D">
        <w:rPr>
          <w:rFonts w:ascii="Times New Roman" w:hAnsi="Times New Roman" w:cs="Times New Roman"/>
        </w:rPr>
        <w:t xml:space="preserve">, s. v. </w:t>
      </w:r>
      <w:r w:rsidRPr="00796A9D">
        <w:rPr>
          <w:rFonts w:ascii="Times New Roman" w:hAnsi="Times New Roman" w:cs="Times New Roman"/>
          <w:i/>
        </w:rPr>
        <w:t>Mattia Palmieri</w:t>
      </w:r>
      <w:r w:rsidRPr="00796A9D">
        <w:rPr>
          <w:rFonts w:ascii="Times New Roman" w:hAnsi="Times New Roman" w:cs="Times New Roman"/>
        </w:rPr>
        <w:t xml:space="preserve">, DBI, vol. 80 (2014), p. 618.  </w:t>
      </w:r>
    </w:p>
  </w:footnote>
  <w:footnote w:id="945">
    <w:p w14:paraId="35A1430B" w14:textId="77777777" w:rsidR="00CF5CFB" w:rsidRPr="00796A9D" w:rsidRDefault="00CF5CFB" w:rsidP="00796A9D">
      <w:pPr>
        <w:pStyle w:val="Testonotaapidipagina"/>
        <w:jc w:val="both"/>
        <w:rPr>
          <w:rFonts w:ascii="Times New Roman" w:hAnsi="Times New Roman" w:cs="Times New Roman"/>
          <w:i/>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Boeth. </w:t>
      </w:r>
      <w:r w:rsidRPr="00796A9D">
        <w:rPr>
          <w:rFonts w:ascii="Times New Roman" w:hAnsi="Times New Roman" w:cs="Times New Roman"/>
          <w:i/>
        </w:rPr>
        <w:t>Cons. Phil.</w:t>
      </w:r>
      <w:r w:rsidRPr="00796A9D">
        <w:rPr>
          <w:rFonts w:ascii="Times New Roman" w:hAnsi="Times New Roman" w:cs="Times New Roman"/>
        </w:rPr>
        <w:t xml:space="preserve"> IV, 3: </w:t>
      </w:r>
      <w:r w:rsidRPr="00796A9D">
        <w:rPr>
          <w:rFonts w:ascii="Times New Roman" w:hAnsi="Times New Roman" w:cs="Times New Roman"/>
          <w:i/>
        </w:rPr>
        <w:t>Sed cum ultra homines quemque provehere sola probitas possit, necesse est ut, quos ab humana condicione deiecit, infra hominis meritum detrudat improbitas; evenit igitur ut, quem transformatum vitiis videas, hominem aestimare non possis. Avaritia fervet alienarum opum violentus ereptor: lupi similem dixeris. Ferox atque inquies linguam litigiis exercet: cani comparabis. Insidiator occultus subripuisse fraudibus gaudet: vulpeculis exaequetur. Irae intemperans fremit: leonis animum gestare credatur. Pavidus ac fugax non metuenda formidat: cervis</w:t>
      </w:r>
    </w:p>
    <w:p w14:paraId="0695D1AB" w14:textId="77777777" w:rsidR="00CF5CFB" w:rsidRPr="00796A9D" w:rsidRDefault="00CF5CFB" w:rsidP="00796A9D">
      <w:pPr>
        <w:pStyle w:val="Testonotaapidipagina"/>
        <w:jc w:val="both"/>
        <w:rPr>
          <w:rFonts w:ascii="Times New Roman" w:hAnsi="Times New Roman" w:cs="Times New Roman"/>
        </w:rPr>
      </w:pPr>
      <w:r w:rsidRPr="00796A9D">
        <w:rPr>
          <w:rFonts w:ascii="Times New Roman" w:hAnsi="Times New Roman" w:cs="Times New Roman"/>
          <w:i/>
        </w:rPr>
        <w:t>similis habeatur. Segnis ac stupidus torpet: asinum vivit. Levis atque inconstans studia permutat: nihil avibus differt. Foedis immundisque libidinibus immergitur: sordidae suis voluptate detinetur</w:t>
      </w:r>
      <w:r w:rsidRPr="00796A9D">
        <w:rPr>
          <w:rFonts w:ascii="Times New Roman" w:hAnsi="Times New Roman" w:cs="Times New Roman"/>
        </w:rPr>
        <w:t xml:space="preserve">. L’osservazione boeziana, secondo cui la malvagità volge la natura umana in quella ferina, a seconda del vizio degenere praticato, è l’unica cui ritengo Dolcino possa fare riferimento. All’autore spetterebbe però in tal caso un vizio assai disdicevole per un canonico: la lussuria. Si noti tuttavia che nell’ordine in cui Boezio enumera i vizi la bramosia di piaceri carnali risulta anche l’ultimo dei peccati citati, presumibilmente quello che più allontana l’uomo da Dio, rendendolo simile ai porci, che sarebbero così le creature più distanti dalla grazia. Reputo che in questa più generica accezione Dolcino intendesse richiamarsi alla fonte citata e alla propria sciagurata condizione.   </w:t>
      </w:r>
    </w:p>
  </w:footnote>
  <w:footnote w:id="946">
    <w:p w14:paraId="3C994A5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Plin. </w:t>
      </w:r>
      <w:r w:rsidRPr="00796A9D">
        <w:rPr>
          <w:rFonts w:ascii="Times New Roman" w:hAnsi="Times New Roman" w:cs="Times New Roman"/>
          <w:i/>
        </w:rPr>
        <w:t>Nat. Hist</w:t>
      </w:r>
      <w:r w:rsidRPr="00796A9D">
        <w:rPr>
          <w:rFonts w:ascii="Times New Roman" w:hAnsi="Times New Roman" w:cs="Times New Roman"/>
        </w:rPr>
        <w:t xml:space="preserve">. X, 26: </w:t>
      </w:r>
      <w:r w:rsidRPr="00796A9D">
        <w:rPr>
          <w:rFonts w:ascii="Times New Roman" w:hAnsi="Times New Roman" w:cs="Times New Roman"/>
          <w:i/>
        </w:rPr>
        <w:t>Coccyx</w:t>
      </w:r>
      <w:r w:rsidRPr="00796A9D">
        <w:rPr>
          <w:rFonts w:ascii="Times New Roman" w:hAnsi="Times New Roman" w:cs="Times New Roman"/>
        </w:rPr>
        <w:t xml:space="preserve"> </w:t>
      </w:r>
      <w:r w:rsidRPr="00796A9D">
        <w:rPr>
          <w:rFonts w:ascii="Times New Roman" w:hAnsi="Times New Roman" w:cs="Times New Roman"/>
          <w:i/>
        </w:rPr>
        <w:t>partim in alienis nidis, maxime palumbium</w:t>
      </w:r>
      <w:r w:rsidRPr="00796A9D">
        <w:rPr>
          <w:rFonts w:ascii="Times New Roman" w:hAnsi="Times New Roman" w:cs="Times New Roman"/>
        </w:rPr>
        <w:t xml:space="preserve">. Si tratta di un lemma particolarmente ricercato e che attesta la conoscenza effettiva delle osservazioni di Plinio dedicate agli uccelli. </w:t>
      </w:r>
    </w:p>
  </w:footnote>
  <w:footnote w:id="947">
    <w:p w14:paraId="5FC5AE71"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 Beroaldo, </w:t>
      </w:r>
      <w:r w:rsidRPr="00796A9D">
        <w:rPr>
          <w:rFonts w:ascii="Times New Roman" w:hAnsi="Times New Roman" w:cs="Times New Roman"/>
          <w:i/>
        </w:rPr>
        <w:t>Nuptiae Bentivolorum</w:t>
      </w:r>
      <w:r w:rsidRPr="00796A9D">
        <w:rPr>
          <w:rFonts w:ascii="Times New Roman" w:hAnsi="Times New Roman" w:cs="Times New Roman"/>
        </w:rPr>
        <w:t xml:space="preserve">, (c. 1 v): </w:t>
      </w:r>
      <w:r w:rsidRPr="00796A9D">
        <w:rPr>
          <w:rFonts w:ascii="Times New Roman" w:hAnsi="Times New Roman" w:cs="Times New Roman"/>
          <w:i/>
        </w:rPr>
        <w:t>Nolite edentuli invidere dentatis. Notlite oculos, talpae contemnere, quod caecus lucem non videt non est vitium Solis, sed oculorum. Quod vos scripta nostra non intelligitis et ob id ipsum culpatis non est scriptoris vitium, sed lectoris</w:t>
      </w:r>
      <w:r w:rsidRPr="00796A9D">
        <w:rPr>
          <w:rFonts w:ascii="Times New Roman" w:hAnsi="Times New Roman" w:cs="Times New Roman"/>
        </w:rPr>
        <w:t xml:space="preserve">. </w:t>
      </w:r>
    </w:p>
  </w:footnote>
  <w:footnote w:id="948">
    <w:p w14:paraId="3DC1FFCA"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termine </w:t>
      </w:r>
      <w:r w:rsidRPr="00796A9D">
        <w:rPr>
          <w:rFonts w:ascii="Times New Roman" w:hAnsi="Times New Roman" w:cs="Times New Roman"/>
          <w:i/>
        </w:rPr>
        <w:t>olebus</w:t>
      </w:r>
      <w:r w:rsidRPr="00796A9D">
        <w:rPr>
          <w:rFonts w:ascii="Times New Roman" w:hAnsi="Times New Roman" w:cs="Times New Roman"/>
        </w:rPr>
        <w:t xml:space="preserve"> indica un segno grafico di richiamo apposto in margine al testo dagli studiosi medievali per segnalare passi di dubbia autenticità. Si compone di una linea breve orizzontale con un puntino superiore. Ne è attestato l’uso già in epoca alessandrina.</w:t>
      </w:r>
    </w:p>
  </w:footnote>
  <w:footnote w:id="949">
    <w:p w14:paraId="567EC0F2"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Svet. </w:t>
      </w:r>
      <w:r w:rsidRPr="00796A9D">
        <w:rPr>
          <w:rFonts w:ascii="Times New Roman" w:hAnsi="Times New Roman" w:cs="Times New Roman"/>
          <w:i/>
        </w:rPr>
        <w:t>Vit. Aug</w:t>
      </w:r>
      <w:r w:rsidRPr="00796A9D">
        <w:rPr>
          <w:rFonts w:ascii="Times New Roman" w:hAnsi="Times New Roman" w:cs="Times New Roman"/>
        </w:rPr>
        <w:t xml:space="preserve">. 85: </w:t>
      </w:r>
      <w:r w:rsidRPr="00796A9D">
        <w:rPr>
          <w:rFonts w:ascii="Times New Roman" w:hAnsi="Times New Roman" w:cs="Times New Roman"/>
          <w:i/>
        </w:rPr>
        <w:t>Nam tragoediam magno impetu exorsus, non succedenti stilo, abolevit, quaerentibusque amicis, quidnam Aiax ageret, respondit Aiacem suum in spongiam incubuisse</w:t>
      </w:r>
      <w:r w:rsidRPr="00796A9D">
        <w:rPr>
          <w:rFonts w:ascii="Times New Roman" w:hAnsi="Times New Roman" w:cs="Times New Roman"/>
        </w:rPr>
        <w:t>.</w:t>
      </w:r>
    </w:p>
  </w:footnote>
  <w:footnote w:id="950">
    <w:p w14:paraId="57BCF89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riferimento è alle </w:t>
      </w:r>
      <w:r w:rsidRPr="00796A9D">
        <w:rPr>
          <w:rFonts w:ascii="Times New Roman" w:hAnsi="Times New Roman" w:cs="Times New Roman"/>
          <w:i/>
        </w:rPr>
        <w:t>Historiarum ab inclinatione romani imperii Decades</w:t>
      </w:r>
      <w:r w:rsidRPr="00796A9D">
        <w:rPr>
          <w:rFonts w:ascii="Times New Roman" w:hAnsi="Times New Roman" w:cs="Times New Roman"/>
        </w:rPr>
        <w:t xml:space="preserve"> di Flavio Biondo, di cui la </w:t>
      </w:r>
      <w:r w:rsidRPr="00796A9D">
        <w:rPr>
          <w:rFonts w:ascii="Times New Roman" w:hAnsi="Times New Roman" w:cs="Times New Roman"/>
          <w:i/>
        </w:rPr>
        <w:t>princeps</w:t>
      </w:r>
      <w:r w:rsidRPr="00796A9D">
        <w:rPr>
          <w:rFonts w:ascii="Times New Roman" w:hAnsi="Times New Roman" w:cs="Times New Roman"/>
        </w:rPr>
        <w:t xml:space="preserve"> apparve a Venezia per i tipi di Ottaviano Scoto il 16 luglio 1483.  Nella prima decade lo storico aveva trattato le vicende italiane successive al sacco di Roma del 410 d. C., spingendosi fino alla campagna militare di Pipino il Breve in Lombardia del 752. La seconda procedeva fino alla morte di Gian Galeazzo Visconti (1402), e la terza, che si apriva con il ricordo dell’assassinio di Giovanni Maria Visconti, giungeva fino al Concilio di Firenze del 1439. Ad esse si aggiungevano altri due libri di un’incompleta quarta decade, il cui racconto si interrompeva alla data del 1441 con le nozze di Francesco Sforza e Bianca Visconti. Cfr. A. </w:t>
      </w:r>
      <w:r w:rsidRPr="00796A9D">
        <w:rPr>
          <w:rFonts w:ascii="Times New Roman" w:hAnsi="Times New Roman" w:cs="Times New Roman"/>
          <w:smallCaps/>
        </w:rPr>
        <w:t>Mazzocco</w:t>
      </w:r>
      <w:r w:rsidRPr="00796A9D">
        <w:rPr>
          <w:rFonts w:ascii="Times New Roman" w:hAnsi="Times New Roman" w:cs="Times New Roman"/>
        </w:rPr>
        <w:t xml:space="preserve">, </w:t>
      </w:r>
      <w:r w:rsidRPr="00796A9D">
        <w:rPr>
          <w:rFonts w:ascii="Times New Roman" w:hAnsi="Times New Roman" w:cs="Times New Roman"/>
          <w:i/>
        </w:rPr>
        <w:t>Linguistic Theories in Dante and the Humanists: Studies of Language and Intellectual History in Late Medieval and Early Renaissance Italy</w:t>
      </w:r>
      <w:r w:rsidRPr="00796A9D">
        <w:rPr>
          <w:rFonts w:ascii="Times New Roman" w:hAnsi="Times New Roman" w:cs="Times New Roman"/>
        </w:rPr>
        <w:t xml:space="preserve">, New York, E. J. Brill, 1993, p. 219. </w:t>
      </w:r>
    </w:p>
  </w:footnote>
  <w:footnote w:id="951">
    <w:p w14:paraId="0799187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 C. Decembrio, </w:t>
      </w:r>
      <w:r w:rsidRPr="00796A9D">
        <w:rPr>
          <w:rFonts w:ascii="Times New Roman" w:hAnsi="Times New Roman" w:cs="Times New Roman"/>
          <w:i/>
        </w:rPr>
        <w:t>De laudibus Mediolanensium urbis panegyricus</w:t>
      </w:r>
      <w:r w:rsidRPr="00796A9D">
        <w:rPr>
          <w:rFonts w:ascii="Times New Roman" w:hAnsi="Times New Roman" w:cs="Times New Roman"/>
        </w:rPr>
        <w:t xml:space="preserve">, steso intorno al 1436, si opponeva apertamente alla </w:t>
      </w:r>
      <w:r w:rsidRPr="00796A9D">
        <w:rPr>
          <w:rFonts w:ascii="Times New Roman" w:hAnsi="Times New Roman" w:cs="Times New Roman"/>
          <w:i/>
        </w:rPr>
        <w:t>Laudatio Florentinae Urbis</w:t>
      </w:r>
      <w:r w:rsidRPr="00796A9D">
        <w:rPr>
          <w:rFonts w:ascii="Times New Roman" w:hAnsi="Times New Roman" w:cs="Times New Roman"/>
        </w:rPr>
        <w:t xml:space="preserve"> di Leonardo Bruni, esaltando le nobili qualità e il retto governo della capitale del ducato visconteo in opposizione all’immagine della fiorente Repubblica di Firenze propugnata dal cancelliere. Cfr. </w:t>
      </w:r>
      <w:r w:rsidRPr="00796A9D">
        <w:rPr>
          <w:rFonts w:ascii="Times New Roman" w:hAnsi="Times New Roman" w:cs="Times New Roman"/>
          <w:smallCaps/>
        </w:rPr>
        <w:t>V. Zaccaria</w:t>
      </w:r>
      <w:r w:rsidRPr="00796A9D">
        <w:rPr>
          <w:rFonts w:ascii="Times New Roman" w:hAnsi="Times New Roman" w:cs="Times New Roman"/>
        </w:rPr>
        <w:t xml:space="preserve">, </w:t>
      </w:r>
      <w:r w:rsidRPr="00796A9D">
        <w:rPr>
          <w:rFonts w:ascii="Times New Roman" w:hAnsi="Times New Roman" w:cs="Times New Roman"/>
          <w:i/>
        </w:rPr>
        <w:t>Il</w:t>
      </w:r>
      <w:r w:rsidRPr="00796A9D">
        <w:rPr>
          <w:rFonts w:ascii="Times New Roman" w:hAnsi="Times New Roman" w:cs="Times New Roman"/>
        </w:rPr>
        <w:t xml:space="preserve"> De laudibus Mediolanensium urbis panegyricus </w:t>
      </w:r>
      <w:r w:rsidRPr="00796A9D">
        <w:rPr>
          <w:rFonts w:ascii="Times New Roman" w:hAnsi="Times New Roman" w:cs="Times New Roman"/>
          <w:i/>
        </w:rPr>
        <w:t>di P. C. Decembrio</w:t>
      </w:r>
      <w:r w:rsidRPr="00796A9D">
        <w:rPr>
          <w:rFonts w:ascii="Times New Roman" w:hAnsi="Times New Roman" w:cs="Times New Roman"/>
        </w:rPr>
        <w:t xml:space="preserve">, «Archivio Storico Lomabrado», VIII, 1907, pp. 5-45. </w:t>
      </w:r>
    </w:p>
  </w:footnote>
  <w:footnote w:id="952">
    <w:p w14:paraId="174D3B45"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w:t>
      </w:r>
      <w:r w:rsidRPr="00796A9D">
        <w:rPr>
          <w:rFonts w:ascii="Times New Roman" w:hAnsi="Times New Roman" w:cs="Times New Roman"/>
          <w:i/>
        </w:rPr>
        <w:t>De antiquitate Vicecomitum</w:t>
      </w:r>
      <w:r w:rsidRPr="00796A9D">
        <w:rPr>
          <w:rFonts w:ascii="Times New Roman" w:hAnsi="Times New Roman" w:cs="Times New Roman"/>
        </w:rPr>
        <w:t xml:space="preserve"> di Giorgio Merula, commissionato da Ludovico il Moro quale monumentale storia del ducato di Milano, alla morte dell’autore, fu completato dal successore nella carica di storiografo di corte: Tristano Calco. All’epoca in cui Dolcino scriveva la relazione sulle nozze sforzesche il Merula era ancora intento alla stesura del trattato. La citazione risulta dunque perfettamente in linea con la politica culturale ufficiale sforzesca. Si veda a riguardo </w:t>
      </w:r>
      <w:r w:rsidRPr="00796A9D">
        <w:rPr>
          <w:rFonts w:ascii="Times New Roman" w:hAnsi="Times New Roman" w:cs="Times New Roman"/>
          <w:smallCaps/>
        </w:rPr>
        <w:t>G. Soldi Rondinini</w:t>
      </w:r>
      <w:r w:rsidRPr="00796A9D">
        <w:rPr>
          <w:rFonts w:ascii="Times New Roman" w:hAnsi="Times New Roman" w:cs="Times New Roman"/>
        </w:rPr>
        <w:t xml:space="preserve">, </w:t>
      </w:r>
      <w:r w:rsidRPr="00796A9D">
        <w:rPr>
          <w:rFonts w:ascii="Times New Roman" w:hAnsi="Times New Roman" w:cs="Times New Roman"/>
          <w:i/>
        </w:rPr>
        <w:t>Ludovico il Moro nella storiografia coeva</w:t>
      </w:r>
      <w:r w:rsidRPr="00796A9D">
        <w:rPr>
          <w:rFonts w:ascii="Times New Roman" w:hAnsi="Times New Roman" w:cs="Times New Roman"/>
        </w:rPr>
        <w:t xml:space="preserve">, in </w:t>
      </w:r>
      <w:r w:rsidRPr="00796A9D">
        <w:rPr>
          <w:rFonts w:ascii="Times New Roman" w:hAnsi="Times New Roman" w:cs="Times New Roman"/>
          <w:i/>
        </w:rPr>
        <w:t xml:space="preserve">Milano nell’età di Ludovico il Moro, </w:t>
      </w:r>
      <w:r w:rsidRPr="00796A9D">
        <w:rPr>
          <w:rFonts w:ascii="Times New Roman" w:hAnsi="Times New Roman" w:cs="Times New Roman"/>
        </w:rPr>
        <w:t>Atti del convegno internazionale (Milano, 28 febbraio-4 marzo 1983), 29-56.</w:t>
      </w:r>
    </w:p>
  </w:footnote>
  <w:footnote w:id="953">
    <w:p w14:paraId="08E780F7"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tratta dell’epitaffio dettato per la duchessa dal retore e poeta cremonese Bartolomeo Petroni, precettore al servizio dei duchi Sforza dal 1466 al 1488. Esso è edito in </w:t>
      </w:r>
      <w:r w:rsidRPr="00796A9D">
        <w:rPr>
          <w:rFonts w:ascii="Times New Roman" w:hAnsi="Times New Roman" w:cs="Times New Roman"/>
          <w:smallCaps/>
        </w:rPr>
        <w:t>N. Ratti</w:t>
      </w:r>
      <w:r w:rsidRPr="00796A9D">
        <w:rPr>
          <w:rFonts w:ascii="Times New Roman" w:hAnsi="Times New Roman" w:cs="Times New Roman"/>
        </w:rPr>
        <w:t xml:space="preserve">, </w:t>
      </w:r>
      <w:r w:rsidRPr="00796A9D">
        <w:rPr>
          <w:rFonts w:ascii="Times New Roman" w:hAnsi="Times New Roman" w:cs="Times New Roman"/>
          <w:i/>
        </w:rPr>
        <w:t>Della Famiglia Sforza</w:t>
      </w:r>
      <w:r w:rsidRPr="00796A9D">
        <w:rPr>
          <w:rFonts w:ascii="Times New Roman" w:hAnsi="Times New Roman" w:cs="Times New Roman"/>
        </w:rPr>
        <w:t xml:space="preserve">, Roma, 1794, vol. I, p. 4. </w:t>
      </w:r>
    </w:p>
  </w:footnote>
  <w:footnote w:id="954">
    <w:p w14:paraId="344B2E5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Virg. </w:t>
      </w:r>
      <w:r w:rsidRPr="00796A9D">
        <w:rPr>
          <w:rFonts w:ascii="Times New Roman" w:hAnsi="Times New Roman" w:cs="Times New Roman"/>
          <w:i/>
        </w:rPr>
        <w:t>Aen</w:t>
      </w:r>
      <w:r w:rsidRPr="00796A9D">
        <w:rPr>
          <w:rFonts w:ascii="Times New Roman" w:hAnsi="Times New Roman" w:cs="Times New Roman"/>
        </w:rPr>
        <w:t xml:space="preserve">. II, 777.  </w:t>
      </w:r>
    </w:p>
  </w:footnote>
  <w:footnote w:id="955">
    <w:p w14:paraId="433E8D30"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La saccenteria con cui Zoilo di Anfito, retore del IV secolo a. C., aveva criticato i poemi di Omero nei nove libri del suo commentario era proverbiale presso gli umanisti, sebbene fossero noti solo alcuni frammenti a lui attribuibili. In questa sede mi preme osservare che una memoria della polemica letteraria che riguardò l’autore si legge in Vitr. </w:t>
      </w:r>
      <w:r w:rsidRPr="00796A9D">
        <w:rPr>
          <w:rFonts w:ascii="Times New Roman" w:hAnsi="Times New Roman" w:cs="Times New Roman"/>
          <w:i/>
        </w:rPr>
        <w:t>De Arch</w:t>
      </w:r>
      <w:r w:rsidRPr="00796A9D">
        <w:rPr>
          <w:rFonts w:ascii="Times New Roman" w:hAnsi="Times New Roman" w:cs="Times New Roman"/>
        </w:rPr>
        <w:t xml:space="preserve">. VII, </w:t>
      </w:r>
      <w:r w:rsidRPr="00796A9D">
        <w:rPr>
          <w:rFonts w:ascii="Times New Roman" w:hAnsi="Times New Roman" w:cs="Times New Roman"/>
          <w:i/>
        </w:rPr>
        <w:t>Prefatio</w:t>
      </w:r>
      <w:r w:rsidRPr="00796A9D">
        <w:rPr>
          <w:rFonts w:ascii="Times New Roman" w:hAnsi="Times New Roman" w:cs="Times New Roman"/>
        </w:rPr>
        <w:t xml:space="preserve">, 8: </w:t>
      </w:r>
      <w:r w:rsidRPr="00796A9D">
        <w:rPr>
          <w:rFonts w:ascii="Times New Roman" w:hAnsi="Times New Roman" w:cs="Times New Roman"/>
          <w:i/>
        </w:rPr>
        <w:t>Insequentibus annis a Macedonia Zoilus, qui adoptavit cognomen, ut Homeromastix vocitaretur, Alexandriam venit sua que scripta contra Iliadem et Odyssean comparata regi recitavit</w:t>
      </w:r>
      <w:r w:rsidRPr="00796A9D">
        <w:rPr>
          <w:rFonts w:ascii="Times New Roman" w:hAnsi="Times New Roman" w:cs="Times New Roman"/>
        </w:rPr>
        <w:t xml:space="preserve">. La conoscenza del trattato di Vitruvio era dunque familiare al Dolcino. </w:t>
      </w:r>
    </w:p>
  </w:footnote>
  <w:footnote w:id="956">
    <w:p w14:paraId="51BB376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Il termine Cimacia, tra quelli qui elencati trattando dell’ornamento delle colonne, risulta alquanto insolito e non è registrato nei dizionari storici di architettura che ho consultato. Tuttavia, si ritrova in </w:t>
      </w:r>
      <w:r w:rsidRPr="00796A9D">
        <w:rPr>
          <w:rFonts w:ascii="Times New Roman" w:hAnsi="Times New Roman" w:cs="Times New Roman"/>
          <w:smallCaps/>
        </w:rPr>
        <w:t>V. Scamozzi</w:t>
      </w:r>
      <w:r w:rsidRPr="00796A9D">
        <w:rPr>
          <w:rFonts w:ascii="Times New Roman" w:hAnsi="Times New Roman" w:cs="Times New Roman"/>
        </w:rPr>
        <w:t xml:space="preserve">, </w:t>
      </w:r>
      <w:r w:rsidRPr="00796A9D">
        <w:rPr>
          <w:rFonts w:ascii="Times New Roman" w:hAnsi="Times New Roman" w:cs="Times New Roman"/>
          <w:i/>
        </w:rPr>
        <w:t>L’idea dell’architettura universale</w:t>
      </w:r>
      <w:r w:rsidRPr="00796A9D">
        <w:rPr>
          <w:rFonts w:ascii="Times New Roman" w:hAnsi="Times New Roman" w:cs="Times New Roman"/>
        </w:rPr>
        <w:t xml:space="preserve">, Venezia, 1615, Parte seconda, VI, 17, dove nella partizione dei piedistalli si afferma: «il piedistallo è alto il quarto della colonna, cioè duoi moduli manco un ottavo, si divide in cinque parti, le quali si distribuiscono per la Cimacia, Tronco, o Quadrato, e Basamento, e tutte queste parti sono quadre. La cimacia è alta tre ottavi di modulo: divisa in parti cinque e duoi settimi; le quali si danno all’orlo superiore. Ella ha di aggetto più d’un decimo di modulo per parte». </w:t>
      </w:r>
    </w:p>
  </w:footnote>
  <w:footnote w:id="957">
    <w:p w14:paraId="1648BFB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Vitr. </w:t>
      </w:r>
      <w:r w:rsidRPr="00796A9D">
        <w:rPr>
          <w:rFonts w:ascii="Times New Roman" w:hAnsi="Times New Roman" w:cs="Times New Roman"/>
          <w:i/>
        </w:rPr>
        <w:t>De Arch</w:t>
      </w:r>
      <w:r w:rsidRPr="00796A9D">
        <w:rPr>
          <w:rFonts w:ascii="Times New Roman" w:hAnsi="Times New Roman" w:cs="Times New Roman"/>
        </w:rPr>
        <w:t xml:space="preserve">. I, 1, 5: </w:t>
      </w:r>
      <w:r w:rsidRPr="00796A9D">
        <w:rPr>
          <w:rFonts w:ascii="Times New Roman" w:hAnsi="Times New Roman" w:cs="Times New Roman"/>
          <w:i/>
        </w:rPr>
        <w:t>Quemadmodum si quis statuas marmoreas muliebres stolatas, quae cariatides dicuntur, pro columnis in opere statuerit et insuper mutulos et coronas conlocaverit, percontantibus ita reddet rationem Caria, civitas Peloponnensis, cum Persis hostibus contra Graeciam consensit</w:t>
      </w:r>
      <w:r w:rsidRPr="00796A9D">
        <w:rPr>
          <w:rFonts w:ascii="Times New Roman" w:hAnsi="Times New Roman" w:cs="Times New Roman"/>
        </w:rPr>
        <w:t xml:space="preserve">. </w:t>
      </w:r>
    </w:p>
  </w:footnote>
  <w:footnote w:id="958">
    <w:p w14:paraId="7FEF6E6C"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Vitr. </w:t>
      </w:r>
      <w:r w:rsidRPr="00796A9D">
        <w:rPr>
          <w:rFonts w:ascii="Times New Roman" w:hAnsi="Times New Roman" w:cs="Times New Roman"/>
          <w:i/>
        </w:rPr>
        <w:t>De Arch.</w:t>
      </w:r>
      <w:r w:rsidRPr="00796A9D">
        <w:rPr>
          <w:rFonts w:ascii="Times New Roman" w:hAnsi="Times New Roman" w:cs="Times New Roman"/>
        </w:rPr>
        <w:t xml:space="preserve"> I, 1, 6: </w:t>
      </w:r>
      <w:r w:rsidRPr="00796A9D">
        <w:rPr>
          <w:rFonts w:ascii="Times New Roman" w:hAnsi="Times New Roman" w:cs="Times New Roman"/>
          <w:i/>
        </w:rPr>
        <w:t>Itaque ex eo multi statuas Persicas sustinentes epistylia et ornamenta eorum conlocaverunt, et ita ex eo argumento varietates egregias auxerunt operibus</w:t>
      </w:r>
      <w:r w:rsidRPr="00796A9D">
        <w:rPr>
          <w:rFonts w:ascii="Times New Roman" w:hAnsi="Times New Roman" w:cs="Times New Roman"/>
        </w:rPr>
        <w:t>.</w:t>
      </w:r>
    </w:p>
  </w:footnote>
  <w:footnote w:id="959">
    <w:p w14:paraId="1F6C261D" w14:textId="77777777" w:rsidR="00CF5CFB" w:rsidRPr="00796A9D" w:rsidRDefault="00CF5CFB" w:rsidP="00796A9D">
      <w:pPr>
        <w:pStyle w:val="Testonotaapidipagina"/>
        <w:jc w:val="both"/>
        <w:rPr>
          <w:rFonts w:ascii="Times New Roman" w:hAnsi="Times New Roman" w:cs="Times New Roman"/>
          <w:i/>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Plin. </w:t>
      </w:r>
      <w:r w:rsidRPr="00796A9D">
        <w:rPr>
          <w:rFonts w:ascii="Times New Roman" w:hAnsi="Times New Roman" w:cs="Times New Roman"/>
          <w:i/>
        </w:rPr>
        <w:t>Nat. Hist</w:t>
      </w:r>
      <w:r w:rsidRPr="00796A9D">
        <w:rPr>
          <w:rFonts w:ascii="Times New Roman" w:hAnsi="Times New Roman" w:cs="Times New Roman"/>
        </w:rPr>
        <w:t xml:space="preserve">. XXXVI, 9: </w:t>
      </w:r>
      <w:r w:rsidRPr="00796A9D">
        <w:rPr>
          <w:rFonts w:ascii="Times New Roman" w:hAnsi="Times New Roman" w:cs="Times New Roman"/>
          <w:i/>
        </w:rPr>
        <w:t>Marmore scalpendo primi omnium inclaruerunt Dipoenus et Scyllis, geniti in Creta insula etiamnum Medis imperantibus priusque, quam Cyrus in Persis regnare inciperet. hoc est Olympiade circiter quinquagensima.</w:t>
      </w:r>
    </w:p>
  </w:footnote>
  <w:footnote w:id="960">
    <w:p w14:paraId="12FEEA3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Plin. </w:t>
      </w:r>
      <w:r w:rsidRPr="00796A9D">
        <w:rPr>
          <w:rFonts w:ascii="Times New Roman" w:hAnsi="Times New Roman" w:cs="Times New Roman"/>
          <w:i/>
        </w:rPr>
        <w:t>Nat. Hist</w:t>
      </w:r>
      <w:r w:rsidRPr="00796A9D">
        <w:rPr>
          <w:rFonts w:ascii="Times New Roman" w:hAnsi="Times New Roman" w:cs="Times New Roman"/>
        </w:rPr>
        <w:t xml:space="preserve">. XXXVI, 11: </w:t>
      </w:r>
      <w:r w:rsidRPr="00796A9D">
        <w:rPr>
          <w:rFonts w:ascii="Times New Roman" w:hAnsi="Times New Roman" w:cs="Times New Roman"/>
          <w:i/>
        </w:rPr>
        <w:t>Cum hi essent</w:t>
      </w:r>
      <w:r w:rsidRPr="00796A9D">
        <w:rPr>
          <w:rFonts w:ascii="Times New Roman" w:hAnsi="Times New Roman" w:cs="Times New Roman"/>
        </w:rPr>
        <w:t xml:space="preserve"> [</w:t>
      </w:r>
      <w:r w:rsidRPr="00796A9D">
        <w:rPr>
          <w:rFonts w:ascii="Times New Roman" w:hAnsi="Times New Roman" w:cs="Times New Roman"/>
          <w:i/>
        </w:rPr>
        <w:t>Dipoenus et Scyllis</w:t>
      </w:r>
      <w:r w:rsidRPr="00796A9D">
        <w:rPr>
          <w:rFonts w:ascii="Times New Roman" w:hAnsi="Times New Roman" w:cs="Times New Roman"/>
        </w:rPr>
        <w:t xml:space="preserve">], </w:t>
      </w:r>
      <w:r w:rsidRPr="00796A9D">
        <w:rPr>
          <w:rFonts w:ascii="Times New Roman" w:hAnsi="Times New Roman" w:cs="Times New Roman"/>
          <w:i/>
        </w:rPr>
        <w:t>iam fuerat in Chio insula Melas sculptor, dein filius eius Micciades, ac deinde nepos Archermus</w:t>
      </w:r>
      <w:r w:rsidRPr="00796A9D">
        <w:rPr>
          <w:rFonts w:ascii="Times New Roman" w:hAnsi="Times New Roman" w:cs="Times New Roman"/>
        </w:rPr>
        <w:t>.</w:t>
      </w:r>
    </w:p>
  </w:footnote>
  <w:footnote w:id="961">
    <w:p w14:paraId="586B5AD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Plin, </w:t>
      </w:r>
      <w:r w:rsidRPr="00796A9D">
        <w:rPr>
          <w:rFonts w:ascii="Times New Roman" w:hAnsi="Times New Roman" w:cs="Times New Roman"/>
          <w:i/>
        </w:rPr>
        <w:t>Nat. Hist.</w:t>
      </w:r>
      <w:r w:rsidRPr="00796A9D">
        <w:rPr>
          <w:rFonts w:ascii="Times New Roman" w:hAnsi="Times New Roman" w:cs="Times New Roman"/>
        </w:rPr>
        <w:t xml:space="preserve"> </w:t>
      </w:r>
      <w:r w:rsidRPr="00796A9D">
        <w:rPr>
          <w:rFonts w:ascii="Times New Roman" w:hAnsi="Times New Roman" w:cs="Times New Roman"/>
          <w:color w:val="252525"/>
          <w:shd w:val="clear" w:color="auto" w:fill="FFFFFF"/>
        </w:rPr>
        <w:t xml:space="preserve">XXXV, 84: </w:t>
      </w:r>
      <w:r w:rsidRPr="00796A9D">
        <w:rPr>
          <w:rFonts w:ascii="Times New Roman" w:hAnsi="Times New Roman" w:cs="Times New Roman"/>
          <w:i/>
          <w:color w:val="252525"/>
          <w:shd w:val="clear" w:color="auto" w:fill="FFFFFF"/>
        </w:rPr>
        <w:t>Idem perfecta opera proponebat in pergula transeuntibus atque, ipse post tabulam latens, vitia quae notarentur auscultabat, vulgum diligentiorem iudicem quam se praeferens; LXXXV ferunt que reprehensum a sutore, quod in crepidis una pauciores intus fecisset ansas, eodem postero die superbo emendatione pristinae admonitionis cavillante circa crus, indignatum prospexisse denuntiantem, ne supra crepidam sutor iudicaret, quod et ipsum in proverbium abiit</w:t>
      </w:r>
      <w:r w:rsidRPr="00796A9D">
        <w:rPr>
          <w:rFonts w:ascii="Times New Roman" w:hAnsi="Times New Roman" w:cs="Times New Roman"/>
          <w:color w:val="252525"/>
          <w:shd w:val="clear" w:color="auto" w:fill="FFFFFF"/>
        </w:rPr>
        <w:t xml:space="preserve">. Da questo episodio della vita di Apelle narrato da Plinio è tratta l’espressione impiegata da Dolcino, che invitava ad astenersi dal parlare del valore artistico di ciò che non si sa valutare.  </w:t>
      </w:r>
    </w:p>
  </w:footnote>
  <w:footnote w:id="962">
    <w:p w14:paraId="2988489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Vitr. </w:t>
      </w:r>
      <w:r w:rsidRPr="00796A9D">
        <w:rPr>
          <w:rFonts w:ascii="Times New Roman" w:hAnsi="Times New Roman" w:cs="Times New Roman"/>
          <w:i/>
        </w:rPr>
        <w:t>De arch</w:t>
      </w:r>
      <w:r w:rsidRPr="00796A9D">
        <w:rPr>
          <w:rFonts w:ascii="Times New Roman" w:hAnsi="Times New Roman" w:cs="Times New Roman"/>
        </w:rPr>
        <w:t xml:space="preserve">. V, 11: </w:t>
      </w:r>
      <w:r w:rsidRPr="00796A9D">
        <w:rPr>
          <w:rFonts w:ascii="Times New Roman" w:hAnsi="Times New Roman" w:cs="Times New Roman"/>
          <w:i/>
        </w:rPr>
        <w:t>Haec autem porticus xystos apud Graecos vocitatur, quod athletae per hiberna tempora in tectis stadiis exercentur. Proxime autem xystum et duplicem porticum designentur hypaethroe ambulationes, quas Graeci paradromidas, nostri xysta appellant, in quas per hiemem ex xysto sereno caelo athletae prodeuntes exercentur. Faciunda autem xysta sic videntur, ut sint inter duas porticus silvae aut platanones, et in his perficiantur inter arbores ambulationes ibique ex opere signino stationes. Post xystum autem stadium ita figuratum, ut possint hominum copiae cum laxamento athletas certantes spectare</w:t>
      </w:r>
      <w:r w:rsidRPr="00796A9D">
        <w:rPr>
          <w:rFonts w:ascii="Times New Roman" w:hAnsi="Times New Roman" w:cs="Times New Roman"/>
        </w:rPr>
        <w:t xml:space="preserve">. Lo </w:t>
      </w:r>
      <w:r w:rsidRPr="00796A9D">
        <w:rPr>
          <w:rFonts w:ascii="Times New Roman" w:hAnsi="Times New Roman" w:cs="Times New Roman"/>
          <w:i/>
        </w:rPr>
        <w:t>xysto</w:t>
      </w:r>
      <w:r w:rsidRPr="00796A9D">
        <w:rPr>
          <w:rFonts w:ascii="Times New Roman" w:hAnsi="Times New Roman" w:cs="Times New Roman"/>
        </w:rPr>
        <w:t xml:space="preserve"> era dunque un doppio portico, caratterizzante l’edifico della palestra, in cui in inverno gli atleti greci svolgevano gli allenamenti. Il termine </w:t>
      </w:r>
      <w:r w:rsidRPr="00796A9D">
        <w:rPr>
          <w:rFonts w:ascii="Times New Roman" w:hAnsi="Times New Roman" w:cs="Times New Roman"/>
          <w:i/>
        </w:rPr>
        <w:t>paradromides,</w:t>
      </w:r>
      <w:r w:rsidRPr="00796A9D">
        <w:rPr>
          <w:rFonts w:ascii="Times New Roman" w:hAnsi="Times New Roman" w:cs="Times New Roman"/>
        </w:rPr>
        <w:t xml:space="preserve"> secondo Vitruvio, ne sarebbe il corrispondente greco. Lo spazio tra i due portici era caratterizzato da una ricca vegetazione o filari di platani riservati alle passeggiate ricreative degli sportivi.  </w:t>
      </w:r>
    </w:p>
  </w:footnote>
  <w:footnote w:id="963">
    <w:p w14:paraId="6C56817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Ovid. </w:t>
      </w:r>
      <w:r w:rsidRPr="00796A9D">
        <w:rPr>
          <w:rFonts w:ascii="Times New Roman" w:hAnsi="Times New Roman" w:cs="Times New Roman"/>
          <w:i/>
        </w:rPr>
        <w:t>Met</w:t>
      </w:r>
      <w:r w:rsidRPr="00796A9D">
        <w:rPr>
          <w:rFonts w:ascii="Times New Roman" w:hAnsi="Times New Roman" w:cs="Times New Roman"/>
        </w:rPr>
        <w:t xml:space="preserve">. III, 138-252. </w:t>
      </w:r>
    </w:p>
  </w:footnote>
  <w:footnote w:id="964">
    <w:p w14:paraId="4DB137D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Ovid. </w:t>
      </w:r>
      <w:r w:rsidRPr="00796A9D">
        <w:rPr>
          <w:rFonts w:ascii="Times New Roman" w:hAnsi="Times New Roman" w:cs="Times New Roman"/>
          <w:i/>
        </w:rPr>
        <w:t>Met</w:t>
      </w:r>
      <w:r w:rsidRPr="00796A9D">
        <w:rPr>
          <w:rFonts w:ascii="Times New Roman" w:hAnsi="Times New Roman" w:cs="Times New Roman"/>
        </w:rPr>
        <w:t>. IV, 458-459.</w:t>
      </w:r>
    </w:p>
  </w:footnote>
  <w:footnote w:id="965">
    <w:p w14:paraId="22B871A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w:t>
      </w:r>
      <w:r w:rsidRPr="00796A9D">
        <w:rPr>
          <w:rStyle w:val="apple-converted-space"/>
          <w:rFonts w:ascii="Times New Roman" w:hAnsi="Times New Roman" w:cs="Times New Roman"/>
          <w:color w:val="252525"/>
          <w:shd w:val="clear" w:color="auto" w:fill="FFFFFF"/>
        </w:rPr>
        <w:t> </w:t>
      </w:r>
      <w:r w:rsidRPr="00796A9D">
        <w:rPr>
          <w:rFonts w:ascii="Times New Roman" w:hAnsi="Times New Roman" w:cs="Times New Roman"/>
          <w:shd w:val="clear" w:color="auto" w:fill="FFFFFF"/>
        </w:rPr>
        <w:t>Plin.</w:t>
      </w:r>
      <w:r w:rsidRPr="00796A9D">
        <w:rPr>
          <w:rStyle w:val="reference-text"/>
          <w:rFonts w:ascii="Times New Roman" w:hAnsi="Times New Roman" w:cs="Times New Roman"/>
          <w:shd w:val="clear" w:color="auto" w:fill="FFFFFF"/>
        </w:rPr>
        <w:t>,</w:t>
      </w:r>
      <w:r w:rsidRPr="00796A9D">
        <w:rPr>
          <w:rStyle w:val="apple-converted-space"/>
          <w:rFonts w:ascii="Times New Roman" w:hAnsi="Times New Roman" w:cs="Times New Roman"/>
          <w:shd w:val="clear" w:color="auto" w:fill="FFFFFF"/>
        </w:rPr>
        <w:t xml:space="preserve"> </w:t>
      </w:r>
      <w:r w:rsidRPr="00796A9D">
        <w:rPr>
          <w:rStyle w:val="apple-converted-space"/>
          <w:rFonts w:ascii="Times New Roman" w:hAnsi="Times New Roman" w:cs="Times New Roman"/>
          <w:i/>
          <w:shd w:val="clear" w:color="auto" w:fill="FFFFFF"/>
        </w:rPr>
        <w:t>Nat. Hist</w:t>
      </w:r>
      <w:r w:rsidRPr="00796A9D">
        <w:rPr>
          <w:rStyle w:val="reference-text"/>
          <w:rFonts w:ascii="Times New Roman" w:hAnsi="Times New Roman" w:cs="Times New Roman"/>
          <w:shd w:val="clear" w:color="auto" w:fill="FFFFFF"/>
        </w:rPr>
        <w:t>. IX, 35.</w:t>
      </w:r>
    </w:p>
  </w:footnote>
  <w:footnote w:id="966">
    <w:p w14:paraId="18ECC3C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Ovid. </w:t>
      </w:r>
      <w:r w:rsidRPr="00796A9D">
        <w:rPr>
          <w:rFonts w:ascii="Times New Roman" w:hAnsi="Times New Roman" w:cs="Times New Roman"/>
          <w:i/>
        </w:rPr>
        <w:t>Ars</w:t>
      </w:r>
      <w:r w:rsidRPr="00796A9D">
        <w:rPr>
          <w:rFonts w:ascii="Times New Roman" w:hAnsi="Times New Roman" w:cs="Times New Roman"/>
        </w:rPr>
        <w:t xml:space="preserve">, I, 103. </w:t>
      </w:r>
      <w:r w:rsidRPr="00796A9D">
        <w:rPr>
          <w:rFonts w:ascii="Times New Roman" w:hAnsi="Times New Roman" w:cs="Times New Roman"/>
          <w:i/>
        </w:rPr>
        <w:t>Marmoreo pendebant vela theatro</w:t>
      </w:r>
      <w:r w:rsidRPr="00796A9D">
        <w:rPr>
          <w:rFonts w:ascii="Times New Roman" w:hAnsi="Times New Roman" w:cs="Times New Roman"/>
        </w:rPr>
        <w:t>.</w:t>
      </w:r>
    </w:p>
  </w:footnote>
  <w:footnote w:id="967">
    <w:p w14:paraId="4E1F4DEF"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Plin. </w:t>
      </w:r>
      <w:r w:rsidRPr="00796A9D">
        <w:rPr>
          <w:rFonts w:ascii="Times New Roman" w:hAnsi="Times New Roman" w:cs="Times New Roman"/>
          <w:i/>
        </w:rPr>
        <w:t>Nat. Hist</w:t>
      </w:r>
      <w:r w:rsidRPr="00796A9D">
        <w:rPr>
          <w:rFonts w:ascii="Times New Roman" w:hAnsi="Times New Roman" w:cs="Times New Roman"/>
        </w:rPr>
        <w:t xml:space="preserve">. XXXVI, 184. </w:t>
      </w:r>
      <w:r w:rsidRPr="00796A9D">
        <w:rPr>
          <w:rFonts w:ascii="Times New Roman" w:hAnsi="Times New Roman" w:cs="Times New Roman"/>
          <w:i/>
        </w:rPr>
        <w:t>Celeberrimus fuit in hoc genere Sosus, qui Pergami stravit quem vocant asaroton oecon, quoniam purgamenta cenae in pavimentis quaeque everri solent velut relicta fecerat parvis e tessellis tinctisque in varios colores</w:t>
      </w:r>
      <w:r w:rsidRPr="00796A9D">
        <w:rPr>
          <w:rFonts w:ascii="Times New Roman" w:hAnsi="Times New Roman" w:cs="Times New Roman"/>
        </w:rPr>
        <w:t>.</w:t>
      </w:r>
    </w:p>
  </w:footnote>
  <w:footnote w:id="968">
    <w:p w14:paraId="21FD9CD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Vitr. X. 1. 1. </w:t>
      </w:r>
      <w:r w:rsidRPr="00796A9D">
        <w:rPr>
          <w:rFonts w:ascii="Times New Roman" w:hAnsi="Times New Roman" w:cs="Times New Roman"/>
          <w:i/>
        </w:rPr>
        <w:t>Scansorum autem machinae ita fuerunt conlocatae, ut ad altitudinem tignis statutis et transversariis conligatis sine periculo scandatur ad apparatus spectationem; at spirabile, cum spiritus ex expressionibus inpulsus et plagae vocesque organicos exprimantur</w:t>
      </w:r>
      <w:r w:rsidRPr="00796A9D">
        <w:rPr>
          <w:rFonts w:ascii="Times New Roman" w:hAnsi="Times New Roman" w:cs="Times New Roman"/>
        </w:rPr>
        <w:t xml:space="preserve">. </w:t>
      </w:r>
    </w:p>
  </w:footnote>
  <w:footnote w:id="969">
    <w:p w14:paraId="1976EE33"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Le </w:t>
      </w:r>
      <w:r w:rsidRPr="00796A9D">
        <w:rPr>
          <w:rFonts w:ascii="Times New Roman" w:hAnsi="Times New Roman" w:cs="Times New Roman"/>
          <w:i/>
        </w:rPr>
        <w:t>formae Lychnorum Polymixorum pensiles</w:t>
      </w:r>
      <w:r w:rsidRPr="00796A9D">
        <w:rPr>
          <w:rFonts w:ascii="Times New Roman" w:hAnsi="Times New Roman" w:cs="Times New Roman"/>
        </w:rPr>
        <w:t xml:space="preserve"> qui citate da Dolcino credo siano memori dell’epigramma di Mart. </w:t>
      </w:r>
      <w:r w:rsidRPr="00796A9D">
        <w:rPr>
          <w:rFonts w:ascii="Times New Roman" w:hAnsi="Times New Roman" w:cs="Times New Roman"/>
          <w:i/>
        </w:rPr>
        <w:t>Epigram</w:t>
      </w:r>
      <w:r w:rsidRPr="00796A9D">
        <w:rPr>
          <w:rFonts w:ascii="Times New Roman" w:hAnsi="Times New Roman" w:cs="Times New Roman"/>
        </w:rPr>
        <w:t xml:space="preserve">. XIV, 41. </w:t>
      </w:r>
      <w:r w:rsidRPr="00796A9D">
        <w:rPr>
          <w:rFonts w:ascii="Times New Roman" w:hAnsi="Times New Roman" w:cs="Times New Roman"/>
          <w:i/>
        </w:rPr>
        <w:t>Lucerna polymyxos</w:t>
      </w:r>
      <w:r w:rsidRPr="00796A9D">
        <w:rPr>
          <w:rFonts w:ascii="Times New Roman" w:hAnsi="Times New Roman" w:cs="Times New Roman"/>
        </w:rPr>
        <w:t xml:space="preserve">. </w:t>
      </w:r>
      <w:r w:rsidRPr="00796A9D">
        <w:rPr>
          <w:rFonts w:ascii="Times New Roman" w:hAnsi="Times New Roman" w:cs="Times New Roman"/>
          <w:i/>
        </w:rPr>
        <w:t>Inlustrem cum tota meis convivia flammis / Totque geram myxos, una lucerna vocor</w:t>
      </w:r>
      <w:r w:rsidRPr="00796A9D">
        <w:rPr>
          <w:rFonts w:ascii="Times New Roman" w:hAnsi="Times New Roman" w:cs="Times New Roman"/>
        </w:rPr>
        <w:t xml:space="preserve">. Oltre che di un più consueto Plin. </w:t>
      </w:r>
      <w:r w:rsidRPr="00796A9D">
        <w:rPr>
          <w:rFonts w:ascii="Times New Roman" w:hAnsi="Times New Roman" w:cs="Times New Roman"/>
          <w:i/>
        </w:rPr>
        <w:t>Nat. Hist</w:t>
      </w:r>
      <w:r w:rsidRPr="00796A9D">
        <w:rPr>
          <w:rFonts w:ascii="Times New Roman" w:hAnsi="Times New Roman" w:cs="Times New Roman"/>
        </w:rPr>
        <w:t xml:space="preserve">. XXXIV. 14. </w:t>
      </w:r>
      <w:r w:rsidRPr="00796A9D">
        <w:rPr>
          <w:rFonts w:ascii="Times New Roman" w:hAnsi="Times New Roman" w:cs="Times New Roman"/>
          <w:i/>
        </w:rPr>
        <w:t>Placuere et lychnuchi pensiles in delubris aut arborum modo mala ferentium lucentes</w:t>
      </w:r>
      <w:r w:rsidRPr="00796A9D">
        <w:rPr>
          <w:rFonts w:ascii="Times New Roman" w:hAnsi="Times New Roman" w:cs="Times New Roman"/>
        </w:rPr>
        <w:t xml:space="preserve">. </w:t>
      </w:r>
    </w:p>
  </w:footnote>
  <w:footnote w:id="970">
    <w:p w14:paraId="029CEB4E"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 Biondo, </w:t>
      </w:r>
      <w:r w:rsidRPr="00796A9D">
        <w:rPr>
          <w:rFonts w:ascii="Times New Roman" w:hAnsi="Times New Roman" w:cs="Times New Roman"/>
          <w:i/>
        </w:rPr>
        <w:t>Roma Triumphans</w:t>
      </w:r>
      <w:r w:rsidRPr="00796A9D">
        <w:rPr>
          <w:rFonts w:ascii="Times New Roman" w:hAnsi="Times New Roman" w:cs="Times New Roman"/>
        </w:rPr>
        <w:t xml:space="preserve">, X, 215: </w:t>
      </w:r>
      <w:r w:rsidRPr="00796A9D">
        <w:rPr>
          <w:rFonts w:ascii="Times New Roman" w:hAnsi="Times New Roman" w:cs="Times New Roman"/>
          <w:i/>
        </w:rPr>
        <w:t>Singuli vero ordines sacerdotum, singulae sodalitates, singula pegmatum et machinarum agmina suos habuere ludos, et simphoniacos, singulos pantomimos, per quos a praecedentibus collegiis dividerentur. Petreiae enim alicubi fuerunt mulierculae ebrias se gesticulationibus simulantes, quae dum obtorto vacillantibusque gressu in casum et ruinam pendent, seseque vix tandem sustentantes totam paucis sed amplis passibus viam complectuntur, turbas in risum provocant. Et manducos aliqui dignores ditioresque sacerdotes a quibus sua gratior fieret pompa, praemittebant. Erantque hi larvato capite humano maiori, maxillas vasta magnitudine pariter vastis armata dentibus habentes, qui suo tanti oris hiatu dentiumque crepitu sese in utranque partem viae dum flecterent ridentem turbam vertebant in fugam, et quicquid in esum oris applicaretur; tamque deglutientes in sinum demittebant. Utque maiorem varietas delectationem faceret, Ciceriae aliis interiectae ordinibus suos et ipsae risus etiam viris gravibus excivere. Viri erant hi, veste et larvato oris habitu muliebri, quibus cervicis proceritas iusta oblongior appareret, vocis tamen usus ad labia et inter dentes ita respondebant ut verborum proprietas nullatenus desideraretur</w:t>
      </w:r>
      <w:r w:rsidRPr="00796A9D">
        <w:rPr>
          <w:rFonts w:ascii="Times New Roman" w:hAnsi="Times New Roman" w:cs="Times New Roman"/>
        </w:rPr>
        <w:t xml:space="preserve">. Si cita dall’edizione: Blondi Flavii Forliviensis </w:t>
      </w:r>
      <w:r w:rsidRPr="00796A9D">
        <w:rPr>
          <w:rFonts w:ascii="Times New Roman" w:hAnsi="Times New Roman" w:cs="Times New Roman"/>
          <w:i/>
        </w:rPr>
        <w:t>De Roma triumphante libri X priscorum scriptorum lectoribus utilissimi ad totiusque Romanae antiquitatis cognitionem pernecessarii</w:t>
      </w:r>
      <w:r w:rsidRPr="00796A9D">
        <w:rPr>
          <w:rFonts w:ascii="Times New Roman" w:hAnsi="Times New Roman" w:cs="Times New Roman"/>
        </w:rPr>
        <w:t>, Basileae, Froben, MDLIX.</w:t>
      </w:r>
    </w:p>
  </w:footnote>
  <w:footnote w:id="971">
    <w:p w14:paraId="58FBBB7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 Beroaldo, </w:t>
      </w:r>
      <w:r w:rsidRPr="00796A9D">
        <w:rPr>
          <w:rFonts w:ascii="Times New Roman" w:hAnsi="Times New Roman" w:cs="Times New Roman"/>
          <w:i/>
        </w:rPr>
        <w:t>Nuptiae Bentivolorum</w:t>
      </w:r>
      <w:r w:rsidRPr="00796A9D">
        <w:rPr>
          <w:rFonts w:ascii="Times New Roman" w:hAnsi="Times New Roman" w:cs="Times New Roman"/>
        </w:rPr>
        <w:t xml:space="preserve">, (c. 5r): </w:t>
      </w:r>
      <w:r w:rsidRPr="00796A9D">
        <w:rPr>
          <w:rFonts w:ascii="Times New Roman" w:hAnsi="Times New Roman" w:cs="Times New Roman"/>
          <w:i/>
        </w:rPr>
        <w:t>Omnis aetas, sexus, ordo viam Galeriam agminatim compleverant studio visendi exoptatissimam sponsam sponsaeque apparatum. Vix locus quamvis latus et longus capax erat tantae multitudinis catervatim confluentis. Civitas omnis peregrini omnes mira densitate cuncta stipaverant. Multi columnis implexi, non pauci e fenestris semiconspicui, plerique sub dio inter imbres perspectabant; tanta est mortalibus insita cupiditas novitatis</w:t>
      </w:r>
      <w:r w:rsidRPr="00796A9D">
        <w:rPr>
          <w:rFonts w:ascii="Times New Roman" w:hAnsi="Times New Roman" w:cs="Times New Roman"/>
        </w:rPr>
        <w:t xml:space="preserve">.  </w:t>
      </w:r>
    </w:p>
  </w:footnote>
  <w:footnote w:id="972">
    <w:p w14:paraId="4C53C3E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Si tratta del lessico geografico dell’erudito Stefano di Bisanzio, noto con il titolo di</w:t>
      </w:r>
      <w:r w:rsidRPr="00796A9D">
        <w:rPr>
          <w:rStyle w:val="apple-converted-space"/>
          <w:rFonts w:ascii="Times New Roman" w:hAnsi="Times New Roman" w:cs="Times New Roman"/>
          <w:color w:val="000000"/>
        </w:rPr>
        <w:t> </w:t>
      </w:r>
      <w:r w:rsidRPr="00796A9D">
        <w:rPr>
          <w:rFonts w:ascii="Times New Roman" w:hAnsi="Times New Roman" w:cs="Times New Roman"/>
          <w:color w:val="000000"/>
        </w:rPr>
        <w:t>'Εϑνικά e datato intorno alla prima metà del VI sec. d. C. Di esso è giunta</w:t>
      </w:r>
      <w:r w:rsidRPr="00796A9D">
        <w:rPr>
          <w:rFonts w:ascii="Times New Roman" w:hAnsi="Times New Roman" w:cs="Times New Roman"/>
        </w:rPr>
        <w:t xml:space="preserve"> l’epitome che ne trasse il grammatico Ermolao</w:t>
      </w:r>
      <w:r w:rsidRPr="00796A9D">
        <w:rPr>
          <w:rFonts w:ascii="Times New Roman" w:hAnsi="Times New Roman" w:cs="Times New Roman"/>
          <w:color w:val="000000"/>
        </w:rPr>
        <w:t xml:space="preserve">. L’opera forniva sintetiche notizie intorno a tutti i luoghi citati dagli autori dell’antichità, elencati in ordine alfabetico.  </w:t>
      </w:r>
    </w:p>
  </w:footnote>
  <w:footnote w:id="973">
    <w:p w14:paraId="448F9FE8"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Auson.</w:t>
      </w:r>
      <w:r w:rsidRPr="00796A9D">
        <w:rPr>
          <w:rStyle w:val="apple-converted-space"/>
          <w:rFonts w:ascii="Times New Roman" w:hAnsi="Times New Roman" w:cs="Times New Roman"/>
          <w:color w:val="000000"/>
          <w:shd w:val="clear" w:color="auto" w:fill="FFFFFF"/>
        </w:rPr>
        <w:t> </w:t>
      </w:r>
      <w:r w:rsidRPr="00796A9D">
        <w:rPr>
          <w:rFonts w:ascii="Times New Roman" w:hAnsi="Times New Roman" w:cs="Times New Roman"/>
          <w:i/>
          <w:iCs/>
          <w:color w:val="000000"/>
          <w:shd w:val="clear" w:color="auto" w:fill="FFFFFF"/>
        </w:rPr>
        <w:t>Ord. Urb. Nob.</w:t>
      </w:r>
      <w:r w:rsidRPr="00796A9D">
        <w:rPr>
          <w:rFonts w:ascii="Times New Roman" w:hAnsi="Times New Roman" w:cs="Times New Roman"/>
          <w:color w:val="000000"/>
          <w:shd w:val="clear" w:color="auto" w:fill="FFFFFF"/>
        </w:rPr>
        <w:t xml:space="preserve"> VII.</w:t>
      </w:r>
    </w:p>
  </w:footnote>
  <w:footnote w:id="974">
    <w:p w14:paraId="54F64E16"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Dante, </w:t>
      </w:r>
      <w:r w:rsidRPr="00796A9D">
        <w:rPr>
          <w:rFonts w:ascii="Times New Roman" w:hAnsi="Times New Roman" w:cs="Times New Roman"/>
          <w:i/>
        </w:rPr>
        <w:t>Pg</w:t>
      </w:r>
      <w:r w:rsidRPr="00796A9D">
        <w:rPr>
          <w:rFonts w:ascii="Times New Roman" w:hAnsi="Times New Roman" w:cs="Times New Roman"/>
        </w:rPr>
        <w:t xml:space="preserve">. XII, 68: «non vide mei di me chi vide il vero». Corvini, citando erroneamente a memoria, deforma l’endecasillabo. Si tratta del verso con cui Dante commenta l’abilità dell’artefice dei rilievi scolpiti sul pavimento della prima cornice del Purgatorio, dedicati agli esempi di superbia punita. </w:t>
      </w:r>
    </w:p>
  </w:footnote>
  <w:footnote w:id="975">
    <w:p w14:paraId="081E94C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Scarse le notizie intorno a Bonifacio Bembo da Brescia. Nato intorno al 1460 svolse attività di precettore a Castelfranco e a Pavia. Nel 1493, durante il pontificato di Innocenzo VIII fu assegnato allo Studio Romano come docente di retorica. Della sua produzione è pervenuta una elegia in distici </w:t>
      </w:r>
      <w:r w:rsidRPr="00796A9D">
        <w:rPr>
          <w:rFonts w:ascii="Times New Roman" w:hAnsi="Times New Roman" w:cs="Times New Roman"/>
          <w:i/>
        </w:rPr>
        <w:t xml:space="preserve">ad Cassandram Fedelem. </w:t>
      </w:r>
      <w:r w:rsidRPr="00796A9D">
        <w:rPr>
          <w:rFonts w:ascii="Times New Roman" w:hAnsi="Times New Roman" w:cs="Times New Roman"/>
        </w:rPr>
        <w:t xml:space="preserve">Per lui si veda C. </w:t>
      </w:r>
      <w:r w:rsidRPr="00796A9D">
        <w:rPr>
          <w:rFonts w:ascii="Times New Roman" w:hAnsi="Times New Roman" w:cs="Times New Roman"/>
          <w:smallCaps/>
        </w:rPr>
        <w:t>Fedele</w:t>
      </w:r>
      <w:r w:rsidRPr="00796A9D">
        <w:rPr>
          <w:rFonts w:ascii="Times New Roman" w:hAnsi="Times New Roman" w:cs="Times New Roman"/>
        </w:rPr>
        <w:t xml:space="preserve">, </w:t>
      </w:r>
      <w:r w:rsidRPr="00796A9D">
        <w:rPr>
          <w:rFonts w:ascii="Times New Roman" w:hAnsi="Times New Roman" w:cs="Times New Roman"/>
          <w:i/>
        </w:rPr>
        <w:t>Letters and Orations</w:t>
      </w:r>
      <w:r w:rsidRPr="00796A9D">
        <w:rPr>
          <w:rFonts w:ascii="Times New Roman" w:hAnsi="Times New Roman" w:cs="Times New Roman"/>
        </w:rPr>
        <w:t xml:space="preserve">, Edited by D. </w:t>
      </w:r>
      <w:r w:rsidRPr="00796A9D">
        <w:rPr>
          <w:rFonts w:ascii="Times New Roman" w:hAnsi="Times New Roman" w:cs="Times New Roman"/>
          <w:smallCaps/>
        </w:rPr>
        <w:t>Robin</w:t>
      </w:r>
      <w:r w:rsidRPr="00796A9D">
        <w:rPr>
          <w:rFonts w:ascii="Times New Roman" w:hAnsi="Times New Roman" w:cs="Times New Roman"/>
        </w:rPr>
        <w:t xml:space="preserve">, Chicago, The University Press of Chicago, 2007, p. 96, n. 15. </w:t>
      </w:r>
    </w:p>
  </w:footnote>
  <w:footnote w:id="976">
    <w:p w14:paraId="183EA0FD"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Per un’esposizione più dettagliata delle vicende storiche legate all’Archivio sforzesco conservato alla Bibliothèque Nationale de France cfr. G. </w:t>
      </w:r>
      <w:r w:rsidRPr="00796A9D">
        <w:rPr>
          <w:rFonts w:ascii="Times New Roman" w:hAnsi="Times New Roman" w:cs="Times New Roman"/>
          <w:smallCaps/>
        </w:rPr>
        <w:t>Mazzatinti</w:t>
      </w:r>
      <w:r w:rsidRPr="00796A9D">
        <w:rPr>
          <w:rFonts w:ascii="Times New Roman" w:hAnsi="Times New Roman" w:cs="Times New Roman"/>
        </w:rPr>
        <w:t xml:space="preserve">, </w:t>
      </w:r>
      <w:r w:rsidRPr="00796A9D">
        <w:rPr>
          <w:rFonts w:ascii="Times New Roman" w:hAnsi="Times New Roman" w:cs="Times New Roman"/>
          <w:i/>
        </w:rPr>
        <w:t>Inventario dei manoscritti italiani delle biblioteche di Francia</w:t>
      </w:r>
      <w:r w:rsidRPr="00796A9D">
        <w:rPr>
          <w:rFonts w:ascii="Times New Roman" w:hAnsi="Times New Roman" w:cs="Times New Roman"/>
        </w:rPr>
        <w:t xml:space="preserve">, Firenze-Roma, Bencini, 1887, vol. II, pp. 381-396. </w:t>
      </w:r>
    </w:p>
  </w:footnote>
  <w:footnote w:id="977">
    <w:p w14:paraId="35B2C5B4"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Francesco di Orléans-Longueville, sposò nel 1466 Agnese di Savoia, figlia di Ludovico di Savoia e Anna di Cipro. </w:t>
      </w:r>
    </w:p>
  </w:footnote>
  <w:footnote w:id="978">
    <w:p w14:paraId="2657624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Jean d’Orléans, conte di Dunois e Longueville. Detto bastardo d’Orléans.</w:t>
      </w:r>
    </w:p>
  </w:footnote>
  <w:footnote w:id="979">
    <w:p w14:paraId="01624079"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Vedere l’albero genealogico dei d’Almagnac. Credo si tratti di Giovanni V, che è conte dal 1450 al 1473. </w:t>
      </w:r>
    </w:p>
  </w:footnote>
  <w:footnote w:id="980">
    <w:p w14:paraId="31500D0B" w14:textId="77777777" w:rsidR="00CF5CFB" w:rsidRPr="00796A9D" w:rsidRDefault="00CF5CFB" w:rsidP="00796A9D">
      <w:pPr>
        <w:pStyle w:val="Testonotaapidipagina"/>
        <w:jc w:val="both"/>
        <w:rPr>
          <w:rFonts w:ascii="Times New Roman" w:hAnsi="Times New Roman" w:cs="Times New Roman"/>
        </w:rPr>
      </w:pPr>
      <w:r w:rsidRPr="00796A9D">
        <w:rPr>
          <w:rStyle w:val="Rimandonotaapidipagina"/>
          <w:rFonts w:ascii="Times New Roman" w:hAnsi="Times New Roman" w:cs="Times New Roman"/>
        </w:rPr>
        <w:footnoteRef/>
      </w:r>
      <w:r w:rsidRPr="00796A9D">
        <w:rPr>
          <w:rFonts w:ascii="Times New Roman" w:hAnsi="Times New Roman" w:cs="Times New Roman"/>
        </w:rPr>
        <w:t xml:space="preserve"> Maria di Savoia (20 marzo 1448 – 1475) fu contessa di Saint-Pol, di Brienne, di Ligny, e di Conversano.</w:t>
      </w:r>
    </w:p>
    <w:p w14:paraId="6711237B" w14:textId="77777777" w:rsidR="00CF5CFB" w:rsidRPr="00796A9D" w:rsidRDefault="00CF5CFB" w:rsidP="00796A9D">
      <w:pPr>
        <w:pStyle w:val="Testonotaapidipagina"/>
        <w:jc w:val="both"/>
        <w:rPr>
          <w:rFonts w:ascii="Times New Roman" w:hAnsi="Times New Roman" w:cs="Times New Roman"/>
        </w:rPr>
      </w:pPr>
      <w:r w:rsidRPr="00796A9D">
        <w:rPr>
          <w:rFonts w:ascii="Times New Roman" w:hAnsi="Times New Roman" w:cs="Times New Roman"/>
        </w:rPr>
        <w:t>Era figlia di Ludovico, duca di Savoia, e di Anna di Lusignano, principessa di Cipro. Nel 1466 Maria sposò Luigi di Lussemburgo-Saint-Pol, conte di Saint-Pol, Conte di Brienne, di Ligny e di Guisa, vedovo di Giovanna di Bar (1415 - 1462), contessa di Marle e di Soissons, dalla quale aveva già avuto sette figli.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63FE0"/>
    <w:multiLevelType w:val="multilevel"/>
    <w:tmpl w:val="DFA8C7B2"/>
    <w:lvl w:ilvl="0">
      <w:start w:val="1"/>
      <w:numFmt w:val="decimal"/>
      <w:lvlText w:val="%1."/>
      <w:lvlJc w:val="left"/>
      <w:pPr>
        <w:ind w:left="720" w:hanging="360"/>
      </w:pPr>
      <w:rPr>
        <w:rFonts w:hint="default"/>
      </w:rPr>
    </w:lvl>
    <w:lvl w:ilvl="1">
      <w:start w:val="2"/>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 w15:restartNumberingAfterBreak="0">
    <w:nsid w:val="039772A0"/>
    <w:multiLevelType w:val="hybridMultilevel"/>
    <w:tmpl w:val="98D48692"/>
    <w:lvl w:ilvl="0" w:tplc="661A5A88">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9187115"/>
    <w:multiLevelType w:val="hybridMultilevel"/>
    <w:tmpl w:val="2A849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E776D11"/>
    <w:multiLevelType w:val="hybridMultilevel"/>
    <w:tmpl w:val="40F08112"/>
    <w:lvl w:ilvl="0" w:tplc="D9006F82">
      <w:numFmt w:val="bullet"/>
      <w:lvlText w:val="–"/>
      <w:lvlJc w:val="left"/>
      <w:pPr>
        <w:ind w:left="757" w:hanging="360"/>
      </w:pPr>
      <w:rPr>
        <w:rFonts w:ascii="Times New Roman" w:eastAsiaTheme="minorHAnsi" w:hAnsi="Times New Roman" w:cs="Times New Roman" w:hint="default"/>
      </w:rPr>
    </w:lvl>
    <w:lvl w:ilvl="1" w:tplc="04100003" w:tentative="1">
      <w:start w:val="1"/>
      <w:numFmt w:val="bullet"/>
      <w:lvlText w:val="o"/>
      <w:lvlJc w:val="left"/>
      <w:pPr>
        <w:ind w:left="1477" w:hanging="360"/>
      </w:pPr>
      <w:rPr>
        <w:rFonts w:ascii="Courier New" w:hAnsi="Courier New" w:cs="Courier New" w:hint="default"/>
      </w:rPr>
    </w:lvl>
    <w:lvl w:ilvl="2" w:tplc="04100005" w:tentative="1">
      <w:start w:val="1"/>
      <w:numFmt w:val="bullet"/>
      <w:lvlText w:val=""/>
      <w:lvlJc w:val="left"/>
      <w:pPr>
        <w:ind w:left="2197" w:hanging="360"/>
      </w:pPr>
      <w:rPr>
        <w:rFonts w:ascii="Wingdings" w:hAnsi="Wingdings" w:hint="default"/>
      </w:rPr>
    </w:lvl>
    <w:lvl w:ilvl="3" w:tplc="04100001" w:tentative="1">
      <w:start w:val="1"/>
      <w:numFmt w:val="bullet"/>
      <w:lvlText w:val=""/>
      <w:lvlJc w:val="left"/>
      <w:pPr>
        <w:ind w:left="2917" w:hanging="360"/>
      </w:pPr>
      <w:rPr>
        <w:rFonts w:ascii="Symbol" w:hAnsi="Symbol" w:hint="default"/>
      </w:rPr>
    </w:lvl>
    <w:lvl w:ilvl="4" w:tplc="04100003" w:tentative="1">
      <w:start w:val="1"/>
      <w:numFmt w:val="bullet"/>
      <w:lvlText w:val="o"/>
      <w:lvlJc w:val="left"/>
      <w:pPr>
        <w:ind w:left="3637" w:hanging="360"/>
      </w:pPr>
      <w:rPr>
        <w:rFonts w:ascii="Courier New" w:hAnsi="Courier New" w:cs="Courier New" w:hint="default"/>
      </w:rPr>
    </w:lvl>
    <w:lvl w:ilvl="5" w:tplc="04100005" w:tentative="1">
      <w:start w:val="1"/>
      <w:numFmt w:val="bullet"/>
      <w:lvlText w:val=""/>
      <w:lvlJc w:val="left"/>
      <w:pPr>
        <w:ind w:left="4357" w:hanging="360"/>
      </w:pPr>
      <w:rPr>
        <w:rFonts w:ascii="Wingdings" w:hAnsi="Wingdings" w:hint="default"/>
      </w:rPr>
    </w:lvl>
    <w:lvl w:ilvl="6" w:tplc="04100001" w:tentative="1">
      <w:start w:val="1"/>
      <w:numFmt w:val="bullet"/>
      <w:lvlText w:val=""/>
      <w:lvlJc w:val="left"/>
      <w:pPr>
        <w:ind w:left="5077" w:hanging="360"/>
      </w:pPr>
      <w:rPr>
        <w:rFonts w:ascii="Symbol" w:hAnsi="Symbol" w:hint="default"/>
      </w:rPr>
    </w:lvl>
    <w:lvl w:ilvl="7" w:tplc="04100003" w:tentative="1">
      <w:start w:val="1"/>
      <w:numFmt w:val="bullet"/>
      <w:lvlText w:val="o"/>
      <w:lvlJc w:val="left"/>
      <w:pPr>
        <w:ind w:left="5797" w:hanging="360"/>
      </w:pPr>
      <w:rPr>
        <w:rFonts w:ascii="Courier New" w:hAnsi="Courier New" w:cs="Courier New" w:hint="default"/>
      </w:rPr>
    </w:lvl>
    <w:lvl w:ilvl="8" w:tplc="04100005" w:tentative="1">
      <w:start w:val="1"/>
      <w:numFmt w:val="bullet"/>
      <w:lvlText w:val=""/>
      <w:lvlJc w:val="left"/>
      <w:pPr>
        <w:ind w:left="6517" w:hanging="360"/>
      </w:pPr>
      <w:rPr>
        <w:rFonts w:ascii="Wingdings" w:hAnsi="Wingdings" w:hint="default"/>
      </w:rPr>
    </w:lvl>
  </w:abstractNum>
  <w:abstractNum w:abstractNumId="4" w15:restartNumberingAfterBreak="0">
    <w:nsid w:val="52467DE6"/>
    <w:multiLevelType w:val="hybridMultilevel"/>
    <w:tmpl w:val="0C1875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0B41AA6"/>
    <w:multiLevelType w:val="hybridMultilevel"/>
    <w:tmpl w:val="1BE22D74"/>
    <w:lvl w:ilvl="0" w:tplc="04100001">
      <w:start w:val="1"/>
      <w:numFmt w:val="bullet"/>
      <w:lvlText w:val=""/>
      <w:lvlJc w:val="left"/>
      <w:pPr>
        <w:ind w:left="1211" w:hanging="360"/>
      </w:pPr>
      <w:rPr>
        <w:rFonts w:ascii="Symbol" w:hAnsi="Symbol" w:hint="default"/>
        <w:b w:val="0"/>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4"/>
  </w:num>
  <w:num w:numId="2">
    <w:abstractNumId w:val="5"/>
  </w:num>
  <w:num w:numId="3">
    <w:abstractNumId w:val="2"/>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hideSpellingError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276"/>
    <w:rsid w:val="00000099"/>
    <w:rsid w:val="00000869"/>
    <w:rsid w:val="00002C03"/>
    <w:rsid w:val="00003BFA"/>
    <w:rsid w:val="00003C32"/>
    <w:rsid w:val="000049F4"/>
    <w:rsid w:val="000056EC"/>
    <w:rsid w:val="00006AC8"/>
    <w:rsid w:val="00007C53"/>
    <w:rsid w:val="00015F6E"/>
    <w:rsid w:val="00016D2A"/>
    <w:rsid w:val="0001738F"/>
    <w:rsid w:val="00017619"/>
    <w:rsid w:val="00022FFB"/>
    <w:rsid w:val="00024319"/>
    <w:rsid w:val="00030D6C"/>
    <w:rsid w:val="00031480"/>
    <w:rsid w:val="00032861"/>
    <w:rsid w:val="00033A17"/>
    <w:rsid w:val="00034D73"/>
    <w:rsid w:val="00037697"/>
    <w:rsid w:val="00037881"/>
    <w:rsid w:val="000512D4"/>
    <w:rsid w:val="0005346A"/>
    <w:rsid w:val="00054951"/>
    <w:rsid w:val="000565F2"/>
    <w:rsid w:val="00056B58"/>
    <w:rsid w:val="00056D00"/>
    <w:rsid w:val="00057A6F"/>
    <w:rsid w:val="00063935"/>
    <w:rsid w:val="00066E84"/>
    <w:rsid w:val="00070E45"/>
    <w:rsid w:val="00071005"/>
    <w:rsid w:val="00072BAA"/>
    <w:rsid w:val="000756B3"/>
    <w:rsid w:val="00075946"/>
    <w:rsid w:val="0007656D"/>
    <w:rsid w:val="00077E90"/>
    <w:rsid w:val="00077F93"/>
    <w:rsid w:val="00082E75"/>
    <w:rsid w:val="00084924"/>
    <w:rsid w:val="00085B50"/>
    <w:rsid w:val="00091809"/>
    <w:rsid w:val="00092E08"/>
    <w:rsid w:val="000A28D9"/>
    <w:rsid w:val="000A3E67"/>
    <w:rsid w:val="000A4F9E"/>
    <w:rsid w:val="000A67BB"/>
    <w:rsid w:val="000B3488"/>
    <w:rsid w:val="000B4A5D"/>
    <w:rsid w:val="000C1684"/>
    <w:rsid w:val="000C6976"/>
    <w:rsid w:val="000D1493"/>
    <w:rsid w:val="000D2B7F"/>
    <w:rsid w:val="000D4637"/>
    <w:rsid w:val="000E0568"/>
    <w:rsid w:val="000E1E06"/>
    <w:rsid w:val="000E4945"/>
    <w:rsid w:val="000E7C94"/>
    <w:rsid w:val="000F1FB6"/>
    <w:rsid w:val="000F3AA7"/>
    <w:rsid w:val="000F63B9"/>
    <w:rsid w:val="00101753"/>
    <w:rsid w:val="0010363B"/>
    <w:rsid w:val="00105C74"/>
    <w:rsid w:val="00106BB8"/>
    <w:rsid w:val="00110916"/>
    <w:rsid w:val="00114193"/>
    <w:rsid w:val="00117BD3"/>
    <w:rsid w:val="001214AF"/>
    <w:rsid w:val="001236F4"/>
    <w:rsid w:val="00124C70"/>
    <w:rsid w:val="001277F1"/>
    <w:rsid w:val="00136946"/>
    <w:rsid w:val="00136DF3"/>
    <w:rsid w:val="0014131F"/>
    <w:rsid w:val="0014149C"/>
    <w:rsid w:val="00141A3B"/>
    <w:rsid w:val="00141D30"/>
    <w:rsid w:val="00143DFA"/>
    <w:rsid w:val="00145542"/>
    <w:rsid w:val="00146396"/>
    <w:rsid w:val="00150217"/>
    <w:rsid w:val="001508F8"/>
    <w:rsid w:val="00150EE0"/>
    <w:rsid w:val="0015108F"/>
    <w:rsid w:val="00151691"/>
    <w:rsid w:val="00152E32"/>
    <w:rsid w:val="001573B1"/>
    <w:rsid w:val="00163BB6"/>
    <w:rsid w:val="00164AD1"/>
    <w:rsid w:val="00164B95"/>
    <w:rsid w:val="00167348"/>
    <w:rsid w:val="001711E9"/>
    <w:rsid w:val="00185F47"/>
    <w:rsid w:val="00186C2B"/>
    <w:rsid w:val="00190846"/>
    <w:rsid w:val="00192D9D"/>
    <w:rsid w:val="00194828"/>
    <w:rsid w:val="001A5CE5"/>
    <w:rsid w:val="001A6E4E"/>
    <w:rsid w:val="001B2C72"/>
    <w:rsid w:val="001C081F"/>
    <w:rsid w:val="001C1E78"/>
    <w:rsid w:val="001C2ED8"/>
    <w:rsid w:val="001C42CD"/>
    <w:rsid w:val="001C604F"/>
    <w:rsid w:val="001C63D1"/>
    <w:rsid w:val="001C7C1E"/>
    <w:rsid w:val="001D7139"/>
    <w:rsid w:val="001E2C1B"/>
    <w:rsid w:val="001E754F"/>
    <w:rsid w:val="001F5032"/>
    <w:rsid w:val="001F6154"/>
    <w:rsid w:val="0020070D"/>
    <w:rsid w:val="0020243F"/>
    <w:rsid w:val="00203CA7"/>
    <w:rsid w:val="00205CD8"/>
    <w:rsid w:val="002072B5"/>
    <w:rsid w:val="00210572"/>
    <w:rsid w:val="00212920"/>
    <w:rsid w:val="00212A5B"/>
    <w:rsid w:val="002172BE"/>
    <w:rsid w:val="00220216"/>
    <w:rsid w:val="002256CA"/>
    <w:rsid w:val="00225F01"/>
    <w:rsid w:val="00230CE1"/>
    <w:rsid w:val="00232DFB"/>
    <w:rsid w:val="00232E18"/>
    <w:rsid w:val="0024055C"/>
    <w:rsid w:val="00241DAE"/>
    <w:rsid w:val="0024320D"/>
    <w:rsid w:val="00247D1A"/>
    <w:rsid w:val="002518CE"/>
    <w:rsid w:val="00254B59"/>
    <w:rsid w:val="002611D1"/>
    <w:rsid w:val="00261D45"/>
    <w:rsid w:val="00264534"/>
    <w:rsid w:val="002656F7"/>
    <w:rsid w:val="002719C3"/>
    <w:rsid w:val="00273A65"/>
    <w:rsid w:val="0027676B"/>
    <w:rsid w:val="0027767E"/>
    <w:rsid w:val="002801AB"/>
    <w:rsid w:val="002816D2"/>
    <w:rsid w:val="0028229C"/>
    <w:rsid w:val="002828C1"/>
    <w:rsid w:val="002832CB"/>
    <w:rsid w:val="0028436C"/>
    <w:rsid w:val="00284E36"/>
    <w:rsid w:val="00297792"/>
    <w:rsid w:val="002A0B98"/>
    <w:rsid w:val="002A38D6"/>
    <w:rsid w:val="002A3A67"/>
    <w:rsid w:val="002B023B"/>
    <w:rsid w:val="002B1376"/>
    <w:rsid w:val="002B1F3B"/>
    <w:rsid w:val="002B240D"/>
    <w:rsid w:val="002B2488"/>
    <w:rsid w:val="002B428F"/>
    <w:rsid w:val="002C1D9C"/>
    <w:rsid w:val="002C48C8"/>
    <w:rsid w:val="002C63C8"/>
    <w:rsid w:val="002D0D14"/>
    <w:rsid w:val="002D3A26"/>
    <w:rsid w:val="002E338F"/>
    <w:rsid w:val="002F281B"/>
    <w:rsid w:val="002F4886"/>
    <w:rsid w:val="002F4B21"/>
    <w:rsid w:val="002F5D67"/>
    <w:rsid w:val="0030177B"/>
    <w:rsid w:val="003022AB"/>
    <w:rsid w:val="00302889"/>
    <w:rsid w:val="00306325"/>
    <w:rsid w:val="003072D2"/>
    <w:rsid w:val="003076E0"/>
    <w:rsid w:val="003105A7"/>
    <w:rsid w:val="00315F18"/>
    <w:rsid w:val="00317679"/>
    <w:rsid w:val="00322BA0"/>
    <w:rsid w:val="00325741"/>
    <w:rsid w:val="00325900"/>
    <w:rsid w:val="003279F9"/>
    <w:rsid w:val="00327E65"/>
    <w:rsid w:val="00330F1A"/>
    <w:rsid w:val="00335C2C"/>
    <w:rsid w:val="00336237"/>
    <w:rsid w:val="003373A6"/>
    <w:rsid w:val="00337510"/>
    <w:rsid w:val="003379B8"/>
    <w:rsid w:val="00337C20"/>
    <w:rsid w:val="003403A5"/>
    <w:rsid w:val="00341771"/>
    <w:rsid w:val="00341AB5"/>
    <w:rsid w:val="00346F0D"/>
    <w:rsid w:val="00347048"/>
    <w:rsid w:val="00347A4C"/>
    <w:rsid w:val="003508B9"/>
    <w:rsid w:val="00350F68"/>
    <w:rsid w:val="00351986"/>
    <w:rsid w:val="003534E1"/>
    <w:rsid w:val="003540BE"/>
    <w:rsid w:val="00355159"/>
    <w:rsid w:val="00357E48"/>
    <w:rsid w:val="00360D30"/>
    <w:rsid w:val="0036137D"/>
    <w:rsid w:val="00361C3F"/>
    <w:rsid w:val="003669B1"/>
    <w:rsid w:val="00366C36"/>
    <w:rsid w:val="00367DE1"/>
    <w:rsid w:val="00371722"/>
    <w:rsid w:val="0037420B"/>
    <w:rsid w:val="003756B2"/>
    <w:rsid w:val="00376098"/>
    <w:rsid w:val="00377074"/>
    <w:rsid w:val="00383A07"/>
    <w:rsid w:val="00384983"/>
    <w:rsid w:val="003877E5"/>
    <w:rsid w:val="00390A35"/>
    <w:rsid w:val="0039201D"/>
    <w:rsid w:val="00393ED3"/>
    <w:rsid w:val="0039525A"/>
    <w:rsid w:val="00395702"/>
    <w:rsid w:val="00395961"/>
    <w:rsid w:val="00397601"/>
    <w:rsid w:val="003A7435"/>
    <w:rsid w:val="003A782B"/>
    <w:rsid w:val="003B02D7"/>
    <w:rsid w:val="003B2F41"/>
    <w:rsid w:val="003B622F"/>
    <w:rsid w:val="003B7D08"/>
    <w:rsid w:val="003C1EB6"/>
    <w:rsid w:val="003C3099"/>
    <w:rsid w:val="003C5230"/>
    <w:rsid w:val="003C5AD8"/>
    <w:rsid w:val="003C7896"/>
    <w:rsid w:val="003D0E2C"/>
    <w:rsid w:val="003D1A66"/>
    <w:rsid w:val="003D1F77"/>
    <w:rsid w:val="003D6F2C"/>
    <w:rsid w:val="003E044F"/>
    <w:rsid w:val="003E62B4"/>
    <w:rsid w:val="003E7C9E"/>
    <w:rsid w:val="003F6C6C"/>
    <w:rsid w:val="004038FE"/>
    <w:rsid w:val="00405E54"/>
    <w:rsid w:val="00407338"/>
    <w:rsid w:val="00407580"/>
    <w:rsid w:val="004114A3"/>
    <w:rsid w:val="00412A4D"/>
    <w:rsid w:val="00413027"/>
    <w:rsid w:val="00414927"/>
    <w:rsid w:val="00417274"/>
    <w:rsid w:val="00417617"/>
    <w:rsid w:val="004243E6"/>
    <w:rsid w:val="00424880"/>
    <w:rsid w:val="004248A4"/>
    <w:rsid w:val="004264FD"/>
    <w:rsid w:val="00426D6A"/>
    <w:rsid w:val="00432D03"/>
    <w:rsid w:val="00432ED3"/>
    <w:rsid w:val="00437DF0"/>
    <w:rsid w:val="00437E3A"/>
    <w:rsid w:val="0044292D"/>
    <w:rsid w:val="00442DA9"/>
    <w:rsid w:val="004439BC"/>
    <w:rsid w:val="00444A2F"/>
    <w:rsid w:val="00445FAE"/>
    <w:rsid w:val="00450244"/>
    <w:rsid w:val="00451392"/>
    <w:rsid w:val="00452AE2"/>
    <w:rsid w:val="0045402B"/>
    <w:rsid w:val="00455F06"/>
    <w:rsid w:val="00462E15"/>
    <w:rsid w:val="004637E0"/>
    <w:rsid w:val="00465035"/>
    <w:rsid w:val="00471ED0"/>
    <w:rsid w:val="00472A8C"/>
    <w:rsid w:val="00475906"/>
    <w:rsid w:val="00475A69"/>
    <w:rsid w:val="00475A8C"/>
    <w:rsid w:val="00477A3C"/>
    <w:rsid w:val="004830D7"/>
    <w:rsid w:val="00484621"/>
    <w:rsid w:val="00484BCE"/>
    <w:rsid w:val="00485279"/>
    <w:rsid w:val="004872DA"/>
    <w:rsid w:val="00487611"/>
    <w:rsid w:val="00487B4B"/>
    <w:rsid w:val="00495FBF"/>
    <w:rsid w:val="004A05EC"/>
    <w:rsid w:val="004A7B7D"/>
    <w:rsid w:val="004B2156"/>
    <w:rsid w:val="004B2DCE"/>
    <w:rsid w:val="004B3569"/>
    <w:rsid w:val="004B54C6"/>
    <w:rsid w:val="004B6D4A"/>
    <w:rsid w:val="004B71DC"/>
    <w:rsid w:val="004C0C1E"/>
    <w:rsid w:val="004C4EEF"/>
    <w:rsid w:val="004C52BD"/>
    <w:rsid w:val="004D2718"/>
    <w:rsid w:val="004D4457"/>
    <w:rsid w:val="004D6442"/>
    <w:rsid w:val="004E0C8B"/>
    <w:rsid w:val="004E1DD0"/>
    <w:rsid w:val="004E54E4"/>
    <w:rsid w:val="004E59F7"/>
    <w:rsid w:val="004E621C"/>
    <w:rsid w:val="004E63D3"/>
    <w:rsid w:val="004F05E1"/>
    <w:rsid w:val="004F16F2"/>
    <w:rsid w:val="004F321F"/>
    <w:rsid w:val="004F3223"/>
    <w:rsid w:val="004F56BB"/>
    <w:rsid w:val="00503816"/>
    <w:rsid w:val="00506D9F"/>
    <w:rsid w:val="00515448"/>
    <w:rsid w:val="00515A15"/>
    <w:rsid w:val="0052123E"/>
    <w:rsid w:val="00522F47"/>
    <w:rsid w:val="0052379F"/>
    <w:rsid w:val="00523869"/>
    <w:rsid w:val="00527AD8"/>
    <w:rsid w:val="005308A6"/>
    <w:rsid w:val="00530B22"/>
    <w:rsid w:val="00530DD0"/>
    <w:rsid w:val="005327E6"/>
    <w:rsid w:val="00532BF6"/>
    <w:rsid w:val="00535EEC"/>
    <w:rsid w:val="00540D21"/>
    <w:rsid w:val="0054107D"/>
    <w:rsid w:val="005426B1"/>
    <w:rsid w:val="0054279A"/>
    <w:rsid w:val="00542953"/>
    <w:rsid w:val="00544866"/>
    <w:rsid w:val="005467BA"/>
    <w:rsid w:val="00550238"/>
    <w:rsid w:val="00551CA0"/>
    <w:rsid w:val="0055215F"/>
    <w:rsid w:val="00553B93"/>
    <w:rsid w:val="00560525"/>
    <w:rsid w:val="005606BD"/>
    <w:rsid w:val="005734A3"/>
    <w:rsid w:val="0057483B"/>
    <w:rsid w:val="00581755"/>
    <w:rsid w:val="00583639"/>
    <w:rsid w:val="005868B5"/>
    <w:rsid w:val="00587576"/>
    <w:rsid w:val="005977D4"/>
    <w:rsid w:val="005A07C3"/>
    <w:rsid w:val="005A1BF2"/>
    <w:rsid w:val="005B0343"/>
    <w:rsid w:val="005B0928"/>
    <w:rsid w:val="005B6FE5"/>
    <w:rsid w:val="005B74DC"/>
    <w:rsid w:val="005C06A5"/>
    <w:rsid w:val="005C0B51"/>
    <w:rsid w:val="005C40EA"/>
    <w:rsid w:val="005D4C88"/>
    <w:rsid w:val="005D5FCE"/>
    <w:rsid w:val="005D6AE0"/>
    <w:rsid w:val="005D6ECC"/>
    <w:rsid w:val="005D7165"/>
    <w:rsid w:val="005E0514"/>
    <w:rsid w:val="005E21D8"/>
    <w:rsid w:val="005E3CAA"/>
    <w:rsid w:val="005E5B04"/>
    <w:rsid w:val="005F3283"/>
    <w:rsid w:val="005F37C4"/>
    <w:rsid w:val="005F3A8D"/>
    <w:rsid w:val="005F5119"/>
    <w:rsid w:val="00603D4C"/>
    <w:rsid w:val="00605BC8"/>
    <w:rsid w:val="00605D22"/>
    <w:rsid w:val="00611C89"/>
    <w:rsid w:val="006131D4"/>
    <w:rsid w:val="006169BF"/>
    <w:rsid w:val="00616EF3"/>
    <w:rsid w:val="00620C4A"/>
    <w:rsid w:val="00622FD7"/>
    <w:rsid w:val="006243EA"/>
    <w:rsid w:val="0063120C"/>
    <w:rsid w:val="006314DE"/>
    <w:rsid w:val="00634EE7"/>
    <w:rsid w:val="006369CB"/>
    <w:rsid w:val="00644366"/>
    <w:rsid w:val="00650F9D"/>
    <w:rsid w:val="0065227E"/>
    <w:rsid w:val="00652E02"/>
    <w:rsid w:val="00653F83"/>
    <w:rsid w:val="00657215"/>
    <w:rsid w:val="00657531"/>
    <w:rsid w:val="0066395F"/>
    <w:rsid w:val="00663E04"/>
    <w:rsid w:val="006641BB"/>
    <w:rsid w:val="0066564D"/>
    <w:rsid w:val="00667B02"/>
    <w:rsid w:val="00671907"/>
    <w:rsid w:val="00674E2F"/>
    <w:rsid w:val="00681A01"/>
    <w:rsid w:val="006865F9"/>
    <w:rsid w:val="0068710A"/>
    <w:rsid w:val="00691F81"/>
    <w:rsid w:val="006961E5"/>
    <w:rsid w:val="00697A89"/>
    <w:rsid w:val="006A3351"/>
    <w:rsid w:val="006A7199"/>
    <w:rsid w:val="006A78A6"/>
    <w:rsid w:val="006A7E3B"/>
    <w:rsid w:val="006C2278"/>
    <w:rsid w:val="006C340C"/>
    <w:rsid w:val="006C613D"/>
    <w:rsid w:val="006C724C"/>
    <w:rsid w:val="006D10F8"/>
    <w:rsid w:val="006D28C7"/>
    <w:rsid w:val="006D4846"/>
    <w:rsid w:val="006E0739"/>
    <w:rsid w:val="006E12D2"/>
    <w:rsid w:val="006E23CB"/>
    <w:rsid w:val="006E3F10"/>
    <w:rsid w:val="006E4267"/>
    <w:rsid w:val="006E776F"/>
    <w:rsid w:val="006F0D6F"/>
    <w:rsid w:val="006F4DC5"/>
    <w:rsid w:val="006F55E3"/>
    <w:rsid w:val="006F670F"/>
    <w:rsid w:val="007033A7"/>
    <w:rsid w:val="007109CF"/>
    <w:rsid w:val="00711D38"/>
    <w:rsid w:val="007152C5"/>
    <w:rsid w:val="007159CA"/>
    <w:rsid w:val="007171F4"/>
    <w:rsid w:val="00720854"/>
    <w:rsid w:val="007276D2"/>
    <w:rsid w:val="007349B7"/>
    <w:rsid w:val="007359DF"/>
    <w:rsid w:val="00736FBD"/>
    <w:rsid w:val="00740943"/>
    <w:rsid w:val="007439B4"/>
    <w:rsid w:val="00743B69"/>
    <w:rsid w:val="007531AF"/>
    <w:rsid w:val="00761DFD"/>
    <w:rsid w:val="00762324"/>
    <w:rsid w:val="00762C78"/>
    <w:rsid w:val="00764C2A"/>
    <w:rsid w:val="00772531"/>
    <w:rsid w:val="00776834"/>
    <w:rsid w:val="00781E4E"/>
    <w:rsid w:val="0078312A"/>
    <w:rsid w:val="00784E2E"/>
    <w:rsid w:val="00785308"/>
    <w:rsid w:val="00785AC2"/>
    <w:rsid w:val="00786C32"/>
    <w:rsid w:val="00794757"/>
    <w:rsid w:val="00795738"/>
    <w:rsid w:val="00796A9D"/>
    <w:rsid w:val="007978F8"/>
    <w:rsid w:val="007A0246"/>
    <w:rsid w:val="007A205F"/>
    <w:rsid w:val="007A2A20"/>
    <w:rsid w:val="007A76CB"/>
    <w:rsid w:val="007B03F7"/>
    <w:rsid w:val="007B0D59"/>
    <w:rsid w:val="007B1AAE"/>
    <w:rsid w:val="007B1FED"/>
    <w:rsid w:val="007B7A9D"/>
    <w:rsid w:val="007C22E9"/>
    <w:rsid w:val="007C3FBA"/>
    <w:rsid w:val="007C5907"/>
    <w:rsid w:val="007C62AF"/>
    <w:rsid w:val="007D21EA"/>
    <w:rsid w:val="007D23AB"/>
    <w:rsid w:val="007D40F7"/>
    <w:rsid w:val="007D7E1D"/>
    <w:rsid w:val="007E4509"/>
    <w:rsid w:val="007E46BA"/>
    <w:rsid w:val="007F02B4"/>
    <w:rsid w:val="007F3CB5"/>
    <w:rsid w:val="007F48AC"/>
    <w:rsid w:val="008016EE"/>
    <w:rsid w:val="00806874"/>
    <w:rsid w:val="008105EC"/>
    <w:rsid w:val="0081267D"/>
    <w:rsid w:val="008130B6"/>
    <w:rsid w:val="008144B0"/>
    <w:rsid w:val="008147E6"/>
    <w:rsid w:val="00816947"/>
    <w:rsid w:val="00817DB5"/>
    <w:rsid w:val="008215E5"/>
    <w:rsid w:val="00822AFD"/>
    <w:rsid w:val="00827672"/>
    <w:rsid w:val="00830049"/>
    <w:rsid w:val="00830DA8"/>
    <w:rsid w:val="0083472D"/>
    <w:rsid w:val="00841B7F"/>
    <w:rsid w:val="00843138"/>
    <w:rsid w:val="00843FBA"/>
    <w:rsid w:val="008463A3"/>
    <w:rsid w:val="00851932"/>
    <w:rsid w:val="0085736C"/>
    <w:rsid w:val="008647A3"/>
    <w:rsid w:val="00865482"/>
    <w:rsid w:val="00872A9A"/>
    <w:rsid w:val="00873C8E"/>
    <w:rsid w:val="00873F1E"/>
    <w:rsid w:val="008742A3"/>
    <w:rsid w:val="00876F6A"/>
    <w:rsid w:val="00883A5D"/>
    <w:rsid w:val="00885EB4"/>
    <w:rsid w:val="008863B9"/>
    <w:rsid w:val="00886E25"/>
    <w:rsid w:val="00887612"/>
    <w:rsid w:val="00890E91"/>
    <w:rsid w:val="00892E0D"/>
    <w:rsid w:val="0089685D"/>
    <w:rsid w:val="008A1079"/>
    <w:rsid w:val="008A11F3"/>
    <w:rsid w:val="008A5B7C"/>
    <w:rsid w:val="008A65DA"/>
    <w:rsid w:val="008B72B5"/>
    <w:rsid w:val="008C29D4"/>
    <w:rsid w:val="008C459B"/>
    <w:rsid w:val="008C5711"/>
    <w:rsid w:val="008C5C85"/>
    <w:rsid w:val="008C5C91"/>
    <w:rsid w:val="008C7AF2"/>
    <w:rsid w:val="008D5849"/>
    <w:rsid w:val="008E3DE4"/>
    <w:rsid w:val="008E4468"/>
    <w:rsid w:val="008E4B3D"/>
    <w:rsid w:val="008E70B0"/>
    <w:rsid w:val="008F0166"/>
    <w:rsid w:val="008F0278"/>
    <w:rsid w:val="008F1CBE"/>
    <w:rsid w:val="009067C2"/>
    <w:rsid w:val="00907B2F"/>
    <w:rsid w:val="00912C1D"/>
    <w:rsid w:val="00914948"/>
    <w:rsid w:val="00916D21"/>
    <w:rsid w:val="00917412"/>
    <w:rsid w:val="00917AC1"/>
    <w:rsid w:val="00924216"/>
    <w:rsid w:val="009279FA"/>
    <w:rsid w:val="009306DB"/>
    <w:rsid w:val="00931B41"/>
    <w:rsid w:val="00936637"/>
    <w:rsid w:val="0093751C"/>
    <w:rsid w:val="00937EAC"/>
    <w:rsid w:val="009423AF"/>
    <w:rsid w:val="00944163"/>
    <w:rsid w:val="0094477F"/>
    <w:rsid w:val="00945026"/>
    <w:rsid w:val="00947308"/>
    <w:rsid w:val="00950AD6"/>
    <w:rsid w:val="00950CB0"/>
    <w:rsid w:val="009521FE"/>
    <w:rsid w:val="009579F7"/>
    <w:rsid w:val="009601BE"/>
    <w:rsid w:val="009613A8"/>
    <w:rsid w:val="00970090"/>
    <w:rsid w:val="00970A23"/>
    <w:rsid w:val="00971333"/>
    <w:rsid w:val="00973470"/>
    <w:rsid w:val="00982E7E"/>
    <w:rsid w:val="0098413D"/>
    <w:rsid w:val="00984EAC"/>
    <w:rsid w:val="0098509F"/>
    <w:rsid w:val="0098710C"/>
    <w:rsid w:val="009871D6"/>
    <w:rsid w:val="00991FA2"/>
    <w:rsid w:val="009954D0"/>
    <w:rsid w:val="0099587C"/>
    <w:rsid w:val="009A294B"/>
    <w:rsid w:val="009A378A"/>
    <w:rsid w:val="009A5A97"/>
    <w:rsid w:val="009A700E"/>
    <w:rsid w:val="009B076C"/>
    <w:rsid w:val="009B1753"/>
    <w:rsid w:val="009B68F9"/>
    <w:rsid w:val="009C0C3C"/>
    <w:rsid w:val="009C2ECB"/>
    <w:rsid w:val="009C35A7"/>
    <w:rsid w:val="009C4A91"/>
    <w:rsid w:val="009D5146"/>
    <w:rsid w:val="009D62A3"/>
    <w:rsid w:val="009D72FF"/>
    <w:rsid w:val="009E1E78"/>
    <w:rsid w:val="009E2AAF"/>
    <w:rsid w:val="009E2D8D"/>
    <w:rsid w:val="009E400B"/>
    <w:rsid w:val="009E43B4"/>
    <w:rsid w:val="009E5D0B"/>
    <w:rsid w:val="009E6816"/>
    <w:rsid w:val="009E6ED6"/>
    <w:rsid w:val="009E72AF"/>
    <w:rsid w:val="009F0708"/>
    <w:rsid w:val="009F1032"/>
    <w:rsid w:val="009F33D9"/>
    <w:rsid w:val="009F3B23"/>
    <w:rsid w:val="009F56AC"/>
    <w:rsid w:val="009F6180"/>
    <w:rsid w:val="009F7102"/>
    <w:rsid w:val="009F71F4"/>
    <w:rsid w:val="009F7DAD"/>
    <w:rsid w:val="00A01C50"/>
    <w:rsid w:val="00A06E5D"/>
    <w:rsid w:val="00A11721"/>
    <w:rsid w:val="00A118AA"/>
    <w:rsid w:val="00A11A2F"/>
    <w:rsid w:val="00A21C5D"/>
    <w:rsid w:val="00A22FFE"/>
    <w:rsid w:val="00A274F6"/>
    <w:rsid w:val="00A31259"/>
    <w:rsid w:val="00A32B12"/>
    <w:rsid w:val="00A34A9F"/>
    <w:rsid w:val="00A35F6C"/>
    <w:rsid w:val="00A3755E"/>
    <w:rsid w:val="00A41473"/>
    <w:rsid w:val="00A4271D"/>
    <w:rsid w:val="00A466FC"/>
    <w:rsid w:val="00A46E3B"/>
    <w:rsid w:val="00A50AB5"/>
    <w:rsid w:val="00A526AF"/>
    <w:rsid w:val="00A57790"/>
    <w:rsid w:val="00A63D70"/>
    <w:rsid w:val="00A66568"/>
    <w:rsid w:val="00A67C97"/>
    <w:rsid w:val="00A715F7"/>
    <w:rsid w:val="00A73936"/>
    <w:rsid w:val="00A744C8"/>
    <w:rsid w:val="00A746AF"/>
    <w:rsid w:val="00A76B26"/>
    <w:rsid w:val="00A81331"/>
    <w:rsid w:val="00A8325B"/>
    <w:rsid w:val="00A90093"/>
    <w:rsid w:val="00A91333"/>
    <w:rsid w:val="00A949D3"/>
    <w:rsid w:val="00A9677E"/>
    <w:rsid w:val="00A96DC0"/>
    <w:rsid w:val="00A974B2"/>
    <w:rsid w:val="00AA07C9"/>
    <w:rsid w:val="00AA07F6"/>
    <w:rsid w:val="00AB0811"/>
    <w:rsid w:val="00AB3CFA"/>
    <w:rsid w:val="00AB3ED7"/>
    <w:rsid w:val="00AC1290"/>
    <w:rsid w:val="00AC14BA"/>
    <w:rsid w:val="00AC1501"/>
    <w:rsid w:val="00AC2968"/>
    <w:rsid w:val="00AC4824"/>
    <w:rsid w:val="00AC64B5"/>
    <w:rsid w:val="00AC6A02"/>
    <w:rsid w:val="00AD0089"/>
    <w:rsid w:val="00AD0760"/>
    <w:rsid w:val="00AD6D7C"/>
    <w:rsid w:val="00AE2C37"/>
    <w:rsid w:val="00AE43C2"/>
    <w:rsid w:val="00AE4F5A"/>
    <w:rsid w:val="00AE552D"/>
    <w:rsid w:val="00AE7854"/>
    <w:rsid w:val="00AF2E13"/>
    <w:rsid w:val="00AF4EC4"/>
    <w:rsid w:val="00AF4F0D"/>
    <w:rsid w:val="00AF4F22"/>
    <w:rsid w:val="00AF5E14"/>
    <w:rsid w:val="00B00233"/>
    <w:rsid w:val="00B04304"/>
    <w:rsid w:val="00B1024E"/>
    <w:rsid w:val="00B15009"/>
    <w:rsid w:val="00B158C3"/>
    <w:rsid w:val="00B17D05"/>
    <w:rsid w:val="00B20730"/>
    <w:rsid w:val="00B2288A"/>
    <w:rsid w:val="00B240E8"/>
    <w:rsid w:val="00B2434C"/>
    <w:rsid w:val="00B25460"/>
    <w:rsid w:val="00B278A5"/>
    <w:rsid w:val="00B3009B"/>
    <w:rsid w:val="00B33C8B"/>
    <w:rsid w:val="00B40CD2"/>
    <w:rsid w:val="00B4173F"/>
    <w:rsid w:val="00B43E2C"/>
    <w:rsid w:val="00B46A30"/>
    <w:rsid w:val="00B47161"/>
    <w:rsid w:val="00B51F60"/>
    <w:rsid w:val="00B52651"/>
    <w:rsid w:val="00B537E4"/>
    <w:rsid w:val="00B53C15"/>
    <w:rsid w:val="00B55FC8"/>
    <w:rsid w:val="00B6190A"/>
    <w:rsid w:val="00B63588"/>
    <w:rsid w:val="00B6439E"/>
    <w:rsid w:val="00B65217"/>
    <w:rsid w:val="00B66940"/>
    <w:rsid w:val="00B7526F"/>
    <w:rsid w:val="00B75882"/>
    <w:rsid w:val="00B80405"/>
    <w:rsid w:val="00B82D7E"/>
    <w:rsid w:val="00B83542"/>
    <w:rsid w:val="00B8421A"/>
    <w:rsid w:val="00B859FA"/>
    <w:rsid w:val="00B910E9"/>
    <w:rsid w:val="00B92BCD"/>
    <w:rsid w:val="00BA07A0"/>
    <w:rsid w:val="00BA2FD8"/>
    <w:rsid w:val="00BA4F74"/>
    <w:rsid w:val="00BA5E5F"/>
    <w:rsid w:val="00BA5FE7"/>
    <w:rsid w:val="00BA675A"/>
    <w:rsid w:val="00BB0E9A"/>
    <w:rsid w:val="00BB3E4E"/>
    <w:rsid w:val="00BC08D1"/>
    <w:rsid w:val="00BC4716"/>
    <w:rsid w:val="00BD1290"/>
    <w:rsid w:val="00BD1DEE"/>
    <w:rsid w:val="00BD2EAE"/>
    <w:rsid w:val="00BD3461"/>
    <w:rsid w:val="00BD5168"/>
    <w:rsid w:val="00BD5527"/>
    <w:rsid w:val="00BD7B40"/>
    <w:rsid w:val="00BE0683"/>
    <w:rsid w:val="00BE1891"/>
    <w:rsid w:val="00BE2FAF"/>
    <w:rsid w:val="00BE4BE5"/>
    <w:rsid w:val="00BE64AF"/>
    <w:rsid w:val="00BE72A6"/>
    <w:rsid w:val="00BF1405"/>
    <w:rsid w:val="00BF3E5E"/>
    <w:rsid w:val="00BF6210"/>
    <w:rsid w:val="00C03E1D"/>
    <w:rsid w:val="00C1453F"/>
    <w:rsid w:val="00C15D97"/>
    <w:rsid w:val="00C1621B"/>
    <w:rsid w:val="00C162FD"/>
    <w:rsid w:val="00C177DF"/>
    <w:rsid w:val="00C214D3"/>
    <w:rsid w:val="00C21E7A"/>
    <w:rsid w:val="00C25307"/>
    <w:rsid w:val="00C278BE"/>
    <w:rsid w:val="00C30820"/>
    <w:rsid w:val="00C3219B"/>
    <w:rsid w:val="00C33943"/>
    <w:rsid w:val="00C36E28"/>
    <w:rsid w:val="00C4019A"/>
    <w:rsid w:val="00C40B3C"/>
    <w:rsid w:val="00C41B2D"/>
    <w:rsid w:val="00C4283B"/>
    <w:rsid w:val="00C4421F"/>
    <w:rsid w:val="00C4483D"/>
    <w:rsid w:val="00C46E76"/>
    <w:rsid w:val="00C57958"/>
    <w:rsid w:val="00C610FF"/>
    <w:rsid w:val="00C63122"/>
    <w:rsid w:val="00C6461E"/>
    <w:rsid w:val="00C657D6"/>
    <w:rsid w:val="00C665CF"/>
    <w:rsid w:val="00C67E37"/>
    <w:rsid w:val="00C70229"/>
    <w:rsid w:val="00C774A0"/>
    <w:rsid w:val="00C77585"/>
    <w:rsid w:val="00C80F50"/>
    <w:rsid w:val="00C8303D"/>
    <w:rsid w:val="00C84A71"/>
    <w:rsid w:val="00C91641"/>
    <w:rsid w:val="00C9792E"/>
    <w:rsid w:val="00CA1E0B"/>
    <w:rsid w:val="00CA2176"/>
    <w:rsid w:val="00CA3AC6"/>
    <w:rsid w:val="00CB30AE"/>
    <w:rsid w:val="00CB497F"/>
    <w:rsid w:val="00CC0D00"/>
    <w:rsid w:val="00CC1D5C"/>
    <w:rsid w:val="00CC65EB"/>
    <w:rsid w:val="00CD3D11"/>
    <w:rsid w:val="00CD4FDC"/>
    <w:rsid w:val="00CE0340"/>
    <w:rsid w:val="00CE4901"/>
    <w:rsid w:val="00CE748E"/>
    <w:rsid w:val="00CE77D7"/>
    <w:rsid w:val="00CF1043"/>
    <w:rsid w:val="00CF27A8"/>
    <w:rsid w:val="00CF33B1"/>
    <w:rsid w:val="00CF4901"/>
    <w:rsid w:val="00CF5CFB"/>
    <w:rsid w:val="00D06D0D"/>
    <w:rsid w:val="00D06EAF"/>
    <w:rsid w:val="00D07FDC"/>
    <w:rsid w:val="00D12ABA"/>
    <w:rsid w:val="00D203E1"/>
    <w:rsid w:val="00D20E25"/>
    <w:rsid w:val="00D21156"/>
    <w:rsid w:val="00D22C4C"/>
    <w:rsid w:val="00D25FCB"/>
    <w:rsid w:val="00D26557"/>
    <w:rsid w:val="00D30B40"/>
    <w:rsid w:val="00D35937"/>
    <w:rsid w:val="00D37800"/>
    <w:rsid w:val="00D409F2"/>
    <w:rsid w:val="00D44B37"/>
    <w:rsid w:val="00D44CF1"/>
    <w:rsid w:val="00D46288"/>
    <w:rsid w:val="00D471B3"/>
    <w:rsid w:val="00D47931"/>
    <w:rsid w:val="00D47C03"/>
    <w:rsid w:val="00D50FE5"/>
    <w:rsid w:val="00D52D45"/>
    <w:rsid w:val="00D618A2"/>
    <w:rsid w:val="00D65916"/>
    <w:rsid w:val="00D6679F"/>
    <w:rsid w:val="00D7186F"/>
    <w:rsid w:val="00D7196D"/>
    <w:rsid w:val="00D74A82"/>
    <w:rsid w:val="00D75319"/>
    <w:rsid w:val="00D81716"/>
    <w:rsid w:val="00D84E5D"/>
    <w:rsid w:val="00D956E2"/>
    <w:rsid w:val="00D95E92"/>
    <w:rsid w:val="00DA1C8E"/>
    <w:rsid w:val="00DA3A41"/>
    <w:rsid w:val="00DA3F4A"/>
    <w:rsid w:val="00DA4C80"/>
    <w:rsid w:val="00DB0672"/>
    <w:rsid w:val="00DB1A11"/>
    <w:rsid w:val="00DB356E"/>
    <w:rsid w:val="00DB62E6"/>
    <w:rsid w:val="00DB6503"/>
    <w:rsid w:val="00DB6A97"/>
    <w:rsid w:val="00DB6CD2"/>
    <w:rsid w:val="00DB7397"/>
    <w:rsid w:val="00DB78D3"/>
    <w:rsid w:val="00DB7A8F"/>
    <w:rsid w:val="00DC063C"/>
    <w:rsid w:val="00DC23BD"/>
    <w:rsid w:val="00DD0692"/>
    <w:rsid w:val="00DD5D6D"/>
    <w:rsid w:val="00DE1D3E"/>
    <w:rsid w:val="00DE2049"/>
    <w:rsid w:val="00DE25BF"/>
    <w:rsid w:val="00DE27A6"/>
    <w:rsid w:val="00DE3B82"/>
    <w:rsid w:val="00DE6706"/>
    <w:rsid w:val="00DF19F8"/>
    <w:rsid w:val="00DF1F3A"/>
    <w:rsid w:val="00DF274D"/>
    <w:rsid w:val="00DF346B"/>
    <w:rsid w:val="00DF5419"/>
    <w:rsid w:val="00DF5A17"/>
    <w:rsid w:val="00DF5B2D"/>
    <w:rsid w:val="00DF611C"/>
    <w:rsid w:val="00DF630F"/>
    <w:rsid w:val="00E00D49"/>
    <w:rsid w:val="00E06785"/>
    <w:rsid w:val="00E06CDE"/>
    <w:rsid w:val="00E07189"/>
    <w:rsid w:val="00E12B61"/>
    <w:rsid w:val="00E12C76"/>
    <w:rsid w:val="00E15276"/>
    <w:rsid w:val="00E166C8"/>
    <w:rsid w:val="00E23F84"/>
    <w:rsid w:val="00E3044B"/>
    <w:rsid w:val="00E311CB"/>
    <w:rsid w:val="00E36663"/>
    <w:rsid w:val="00E374DA"/>
    <w:rsid w:val="00E415AF"/>
    <w:rsid w:val="00E421B1"/>
    <w:rsid w:val="00E42885"/>
    <w:rsid w:val="00E51CE5"/>
    <w:rsid w:val="00E52034"/>
    <w:rsid w:val="00E556DE"/>
    <w:rsid w:val="00E61192"/>
    <w:rsid w:val="00E64A26"/>
    <w:rsid w:val="00E64C54"/>
    <w:rsid w:val="00E72185"/>
    <w:rsid w:val="00E74A80"/>
    <w:rsid w:val="00E74FC7"/>
    <w:rsid w:val="00E77E76"/>
    <w:rsid w:val="00E813FD"/>
    <w:rsid w:val="00E8145A"/>
    <w:rsid w:val="00E81663"/>
    <w:rsid w:val="00E81B4D"/>
    <w:rsid w:val="00E81BCD"/>
    <w:rsid w:val="00E82C91"/>
    <w:rsid w:val="00E83409"/>
    <w:rsid w:val="00E86483"/>
    <w:rsid w:val="00E94388"/>
    <w:rsid w:val="00E96922"/>
    <w:rsid w:val="00EA04F5"/>
    <w:rsid w:val="00EA162B"/>
    <w:rsid w:val="00EA7BA3"/>
    <w:rsid w:val="00EB19AD"/>
    <w:rsid w:val="00EB4540"/>
    <w:rsid w:val="00EC1496"/>
    <w:rsid w:val="00EC2F02"/>
    <w:rsid w:val="00EC3C29"/>
    <w:rsid w:val="00EC6283"/>
    <w:rsid w:val="00EC6547"/>
    <w:rsid w:val="00ED398D"/>
    <w:rsid w:val="00ED7CA5"/>
    <w:rsid w:val="00EE06BD"/>
    <w:rsid w:val="00EE0CEB"/>
    <w:rsid w:val="00EE54D5"/>
    <w:rsid w:val="00EE65B7"/>
    <w:rsid w:val="00EF7996"/>
    <w:rsid w:val="00EF7F2C"/>
    <w:rsid w:val="00F00624"/>
    <w:rsid w:val="00F03E04"/>
    <w:rsid w:val="00F04BA3"/>
    <w:rsid w:val="00F051BB"/>
    <w:rsid w:val="00F1143A"/>
    <w:rsid w:val="00F13F87"/>
    <w:rsid w:val="00F16A1D"/>
    <w:rsid w:val="00F252B5"/>
    <w:rsid w:val="00F305E9"/>
    <w:rsid w:val="00F30F8A"/>
    <w:rsid w:val="00F347EE"/>
    <w:rsid w:val="00F3590E"/>
    <w:rsid w:val="00F40C33"/>
    <w:rsid w:val="00F40E3F"/>
    <w:rsid w:val="00F40E92"/>
    <w:rsid w:val="00F425A1"/>
    <w:rsid w:val="00F4314D"/>
    <w:rsid w:val="00F43C52"/>
    <w:rsid w:val="00F43F62"/>
    <w:rsid w:val="00F45EE3"/>
    <w:rsid w:val="00F46BC8"/>
    <w:rsid w:val="00F47AF6"/>
    <w:rsid w:val="00F51B12"/>
    <w:rsid w:val="00F51DB9"/>
    <w:rsid w:val="00F53F01"/>
    <w:rsid w:val="00F548A5"/>
    <w:rsid w:val="00F5520F"/>
    <w:rsid w:val="00F620A5"/>
    <w:rsid w:val="00F70D7A"/>
    <w:rsid w:val="00F75E18"/>
    <w:rsid w:val="00F8365F"/>
    <w:rsid w:val="00F83C5A"/>
    <w:rsid w:val="00F84045"/>
    <w:rsid w:val="00F852F0"/>
    <w:rsid w:val="00F857B1"/>
    <w:rsid w:val="00F85A51"/>
    <w:rsid w:val="00F97D70"/>
    <w:rsid w:val="00FA2C75"/>
    <w:rsid w:val="00FA6235"/>
    <w:rsid w:val="00FA76AD"/>
    <w:rsid w:val="00FA76DF"/>
    <w:rsid w:val="00FB2166"/>
    <w:rsid w:val="00FB27BC"/>
    <w:rsid w:val="00FB2803"/>
    <w:rsid w:val="00FB2E94"/>
    <w:rsid w:val="00FB42D4"/>
    <w:rsid w:val="00FB4458"/>
    <w:rsid w:val="00FB47A6"/>
    <w:rsid w:val="00FB523C"/>
    <w:rsid w:val="00FB6CF2"/>
    <w:rsid w:val="00FC0794"/>
    <w:rsid w:val="00FC14AC"/>
    <w:rsid w:val="00FC275E"/>
    <w:rsid w:val="00FC4526"/>
    <w:rsid w:val="00FC58EE"/>
    <w:rsid w:val="00FD004F"/>
    <w:rsid w:val="00FD159B"/>
    <w:rsid w:val="00FD2279"/>
    <w:rsid w:val="00FE49C6"/>
    <w:rsid w:val="00FF3570"/>
    <w:rsid w:val="00FF51E2"/>
    <w:rsid w:val="00FF78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1912C25"/>
  <w15:chartTrackingRefBased/>
  <w15:docId w15:val="{75A0E60A-6403-459D-AC4E-EE4A87B0F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E15276"/>
    <w:pPr>
      <w:spacing w:line="256" w:lineRule="auto"/>
    </w:pPr>
  </w:style>
  <w:style w:type="paragraph" w:styleId="Titolo1">
    <w:name w:val="heading 1"/>
    <w:basedOn w:val="Normale"/>
    <w:next w:val="Normale"/>
    <w:link w:val="Titolo1Carattere"/>
    <w:uiPriority w:val="9"/>
    <w:qFormat/>
    <w:rsid w:val="00395702"/>
    <w:pPr>
      <w:keepNext/>
      <w:keepLines/>
      <w:spacing w:before="320" w:after="80" w:line="240" w:lineRule="auto"/>
      <w:jc w:val="center"/>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395702"/>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Titolo3">
    <w:name w:val="heading 3"/>
    <w:basedOn w:val="Normale"/>
    <w:next w:val="Normale"/>
    <w:link w:val="Titolo3Carattere"/>
    <w:uiPriority w:val="9"/>
    <w:semiHidden/>
    <w:unhideWhenUsed/>
    <w:qFormat/>
    <w:rsid w:val="00395702"/>
    <w:pPr>
      <w:keepNext/>
      <w:keepLines/>
      <w:spacing w:before="160" w:after="0" w:line="240" w:lineRule="auto"/>
      <w:outlineLvl w:val="2"/>
    </w:pPr>
    <w:rPr>
      <w:rFonts w:asciiTheme="majorHAnsi" w:eastAsiaTheme="majorEastAsia" w:hAnsiTheme="majorHAnsi" w:cstheme="majorBidi"/>
      <w:sz w:val="32"/>
      <w:szCs w:val="32"/>
    </w:rPr>
  </w:style>
  <w:style w:type="paragraph" w:styleId="Titolo4">
    <w:name w:val="heading 4"/>
    <w:basedOn w:val="Normale"/>
    <w:next w:val="Normale"/>
    <w:link w:val="Titolo4Carattere"/>
    <w:uiPriority w:val="9"/>
    <w:semiHidden/>
    <w:unhideWhenUsed/>
    <w:qFormat/>
    <w:rsid w:val="00395702"/>
    <w:pPr>
      <w:keepNext/>
      <w:keepLines/>
      <w:spacing w:before="80" w:after="0" w:line="300" w:lineRule="auto"/>
      <w:outlineLvl w:val="3"/>
    </w:pPr>
    <w:rPr>
      <w:rFonts w:asciiTheme="majorHAnsi" w:eastAsiaTheme="majorEastAsia" w:hAnsiTheme="majorHAnsi" w:cstheme="majorBidi"/>
      <w:i/>
      <w:iCs/>
      <w:sz w:val="30"/>
      <w:szCs w:val="30"/>
    </w:rPr>
  </w:style>
  <w:style w:type="paragraph" w:styleId="Titolo5">
    <w:name w:val="heading 5"/>
    <w:basedOn w:val="Normale"/>
    <w:next w:val="Normale"/>
    <w:link w:val="Titolo5Carattere"/>
    <w:uiPriority w:val="9"/>
    <w:semiHidden/>
    <w:unhideWhenUsed/>
    <w:qFormat/>
    <w:rsid w:val="00395702"/>
    <w:pPr>
      <w:keepNext/>
      <w:keepLines/>
      <w:spacing w:before="40" w:after="0" w:line="300" w:lineRule="auto"/>
      <w:outlineLvl w:val="4"/>
    </w:pPr>
    <w:rPr>
      <w:rFonts w:asciiTheme="majorHAnsi" w:eastAsiaTheme="majorEastAsia" w:hAnsiTheme="majorHAnsi" w:cstheme="majorBidi"/>
      <w:sz w:val="28"/>
      <w:szCs w:val="28"/>
    </w:rPr>
  </w:style>
  <w:style w:type="paragraph" w:styleId="Titolo6">
    <w:name w:val="heading 6"/>
    <w:basedOn w:val="Normale"/>
    <w:next w:val="Normale"/>
    <w:link w:val="Titolo6Carattere"/>
    <w:uiPriority w:val="9"/>
    <w:semiHidden/>
    <w:unhideWhenUsed/>
    <w:qFormat/>
    <w:rsid w:val="00395702"/>
    <w:pPr>
      <w:keepNext/>
      <w:keepLines/>
      <w:spacing w:before="40" w:after="0" w:line="300" w:lineRule="auto"/>
      <w:outlineLvl w:val="5"/>
    </w:pPr>
    <w:rPr>
      <w:rFonts w:asciiTheme="majorHAnsi" w:eastAsiaTheme="majorEastAsia" w:hAnsiTheme="majorHAnsi" w:cstheme="majorBidi"/>
      <w:i/>
      <w:iCs/>
      <w:sz w:val="26"/>
      <w:szCs w:val="26"/>
    </w:rPr>
  </w:style>
  <w:style w:type="paragraph" w:styleId="Titolo7">
    <w:name w:val="heading 7"/>
    <w:basedOn w:val="Normale"/>
    <w:next w:val="Normale"/>
    <w:link w:val="Titolo7Carattere"/>
    <w:uiPriority w:val="9"/>
    <w:semiHidden/>
    <w:unhideWhenUsed/>
    <w:qFormat/>
    <w:rsid w:val="00395702"/>
    <w:pPr>
      <w:keepNext/>
      <w:keepLines/>
      <w:spacing w:before="40" w:after="0" w:line="300" w:lineRule="auto"/>
      <w:outlineLvl w:val="6"/>
    </w:pPr>
    <w:rPr>
      <w:rFonts w:asciiTheme="majorHAnsi" w:eastAsiaTheme="majorEastAsia" w:hAnsiTheme="majorHAnsi" w:cstheme="majorBidi"/>
      <w:sz w:val="24"/>
      <w:szCs w:val="24"/>
    </w:rPr>
  </w:style>
  <w:style w:type="paragraph" w:styleId="Titolo8">
    <w:name w:val="heading 8"/>
    <w:basedOn w:val="Normale"/>
    <w:next w:val="Normale"/>
    <w:link w:val="Titolo8Carattere"/>
    <w:uiPriority w:val="9"/>
    <w:semiHidden/>
    <w:unhideWhenUsed/>
    <w:qFormat/>
    <w:rsid w:val="00395702"/>
    <w:pPr>
      <w:keepNext/>
      <w:keepLines/>
      <w:spacing w:before="40" w:after="0" w:line="300" w:lineRule="auto"/>
      <w:outlineLvl w:val="7"/>
    </w:pPr>
    <w:rPr>
      <w:rFonts w:asciiTheme="majorHAnsi" w:eastAsiaTheme="majorEastAsia" w:hAnsiTheme="majorHAnsi" w:cstheme="majorBidi"/>
      <w:i/>
      <w:iCs/>
    </w:rPr>
  </w:style>
  <w:style w:type="paragraph" w:styleId="Titolo9">
    <w:name w:val="heading 9"/>
    <w:basedOn w:val="Normale"/>
    <w:next w:val="Normale"/>
    <w:link w:val="Titolo9Carattere"/>
    <w:uiPriority w:val="9"/>
    <w:semiHidden/>
    <w:unhideWhenUsed/>
    <w:qFormat/>
    <w:rsid w:val="00395702"/>
    <w:pPr>
      <w:keepNext/>
      <w:keepLines/>
      <w:spacing w:before="40" w:after="0" w:line="300" w:lineRule="auto"/>
      <w:outlineLvl w:val="8"/>
    </w:pPr>
    <w:rPr>
      <w:rFonts w:eastAsiaTheme="minorEastAsia"/>
      <w:b/>
      <w:bCs/>
      <w:i/>
      <w:iCs/>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95702"/>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395702"/>
    <w:rPr>
      <w:rFonts w:asciiTheme="majorHAnsi" w:eastAsiaTheme="majorEastAsia" w:hAnsiTheme="majorHAnsi" w:cstheme="majorBidi"/>
      <w:sz w:val="32"/>
      <w:szCs w:val="32"/>
    </w:rPr>
  </w:style>
  <w:style w:type="character" w:customStyle="1" w:styleId="Titolo3Carattere">
    <w:name w:val="Titolo 3 Carattere"/>
    <w:basedOn w:val="Carpredefinitoparagrafo"/>
    <w:link w:val="Titolo3"/>
    <w:uiPriority w:val="9"/>
    <w:semiHidden/>
    <w:rsid w:val="00395702"/>
    <w:rPr>
      <w:rFonts w:asciiTheme="majorHAnsi" w:eastAsiaTheme="majorEastAsia" w:hAnsiTheme="majorHAnsi" w:cstheme="majorBidi"/>
      <w:sz w:val="32"/>
      <w:szCs w:val="32"/>
    </w:rPr>
  </w:style>
  <w:style w:type="character" w:customStyle="1" w:styleId="Titolo4Carattere">
    <w:name w:val="Titolo 4 Carattere"/>
    <w:basedOn w:val="Carpredefinitoparagrafo"/>
    <w:link w:val="Titolo4"/>
    <w:uiPriority w:val="9"/>
    <w:semiHidden/>
    <w:rsid w:val="00395702"/>
    <w:rPr>
      <w:rFonts w:asciiTheme="majorHAnsi" w:eastAsiaTheme="majorEastAsia" w:hAnsiTheme="majorHAnsi" w:cstheme="majorBidi"/>
      <w:i/>
      <w:iCs/>
      <w:sz w:val="30"/>
      <w:szCs w:val="30"/>
    </w:rPr>
  </w:style>
  <w:style w:type="character" w:customStyle="1" w:styleId="Titolo5Carattere">
    <w:name w:val="Titolo 5 Carattere"/>
    <w:basedOn w:val="Carpredefinitoparagrafo"/>
    <w:link w:val="Titolo5"/>
    <w:uiPriority w:val="9"/>
    <w:semiHidden/>
    <w:rsid w:val="00395702"/>
    <w:rPr>
      <w:rFonts w:asciiTheme="majorHAnsi" w:eastAsiaTheme="majorEastAsia" w:hAnsiTheme="majorHAnsi" w:cstheme="majorBidi"/>
      <w:sz w:val="28"/>
      <w:szCs w:val="28"/>
    </w:rPr>
  </w:style>
  <w:style w:type="character" w:customStyle="1" w:styleId="Titolo6Carattere">
    <w:name w:val="Titolo 6 Carattere"/>
    <w:basedOn w:val="Carpredefinitoparagrafo"/>
    <w:link w:val="Titolo6"/>
    <w:uiPriority w:val="9"/>
    <w:semiHidden/>
    <w:rsid w:val="00395702"/>
    <w:rPr>
      <w:rFonts w:asciiTheme="majorHAnsi" w:eastAsiaTheme="majorEastAsia" w:hAnsiTheme="majorHAnsi" w:cstheme="majorBidi"/>
      <w:i/>
      <w:iCs/>
      <w:sz w:val="26"/>
      <w:szCs w:val="26"/>
    </w:rPr>
  </w:style>
  <w:style w:type="character" w:customStyle="1" w:styleId="Titolo7Carattere">
    <w:name w:val="Titolo 7 Carattere"/>
    <w:basedOn w:val="Carpredefinitoparagrafo"/>
    <w:link w:val="Titolo7"/>
    <w:uiPriority w:val="9"/>
    <w:semiHidden/>
    <w:rsid w:val="00395702"/>
    <w:rPr>
      <w:rFonts w:asciiTheme="majorHAnsi" w:eastAsiaTheme="majorEastAsia" w:hAnsiTheme="majorHAnsi" w:cstheme="majorBidi"/>
      <w:sz w:val="24"/>
      <w:szCs w:val="24"/>
    </w:rPr>
  </w:style>
  <w:style w:type="character" w:customStyle="1" w:styleId="Titolo8Carattere">
    <w:name w:val="Titolo 8 Carattere"/>
    <w:basedOn w:val="Carpredefinitoparagrafo"/>
    <w:link w:val="Titolo8"/>
    <w:uiPriority w:val="9"/>
    <w:semiHidden/>
    <w:rsid w:val="00395702"/>
    <w:rPr>
      <w:rFonts w:asciiTheme="majorHAnsi" w:eastAsiaTheme="majorEastAsia" w:hAnsiTheme="majorHAnsi" w:cstheme="majorBidi"/>
      <w:i/>
      <w:iCs/>
    </w:rPr>
  </w:style>
  <w:style w:type="character" w:customStyle="1" w:styleId="Titolo9Carattere">
    <w:name w:val="Titolo 9 Carattere"/>
    <w:basedOn w:val="Carpredefinitoparagrafo"/>
    <w:link w:val="Titolo9"/>
    <w:uiPriority w:val="9"/>
    <w:semiHidden/>
    <w:rsid w:val="00395702"/>
    <w:rPr>
      <w:rFonts w:eastAsiaTheme="minorEastAsia"/>
      <w:b/>
      <w:bCs/>
      <w:i/>
      <w:iCs/>
      <w:sz w:val="21"/>
      <w:szCs w:val="21"/>
    </w:rPr>
  </w:style>
  <w:style w:type="character" w:customStyle="1" w:styleId="TestonotaapidipaginaCarattere">
    <w:name w:val="Testo nota a piè di pagina Carattere"/>
    <w:basedOn w:val="Carpredefinitoparagrafo"/>
    <w:link w:val="Testonotaapidipagina"/>
    <w:uiPriority w:val="99"/>
    <w:rsid w:val="00E15276"/>
    <w:rPr>
      <w:sz w:val="20"/>
      <w:szCs w:val="20"/>
    </w:rPr>
  </w:style>
  <w:style w:type="paragraph" w:styleId="Testonotaapidipagina">
    <w:name w:val="footnote text"/>
    <w:basedOn w:val="Normale"/>
    <w:link w:val="TestonotaapidipaginaCarattere"/>
    <w:uiPriority w:val="99"/>
    <w:unhideWhenUsed/>
    <w:rsid w:val="00E15276"/>
    <w:pPr>
      <w:spacing w:after="0" w:line="240" w:lineRule="auto"/>
    </w:pPr>
    <w:rPr>
      <w:sz w:val="20"/>
      <w:szCs w:val="20"/>
    </w:rPr>
  </w:style>
  <w:style w:type="character" w:customStyle="1" w:styleId="TestonotaapidipaginaCarattere1">
    <w:name w:val="Testo nota a piè di pagina Carattere1"/>
    <w:basedOn w:val="Carpredefinitoparagrafo"/>
    <w:uiPriority w:val="99"/>
    <w:semiHidden/>
    <w:rsid w:val="00E15276"/>
    <w:rPr>
      <w:sz w:val="20"/>
      <w:szCs w:val="20"/>
    </w:rPr>
  </w:style>
  <w:style w:type="character" w:styleId="Rimandonotaapidipagina">
    <w:name w:val="footnote reference"/>
    <w:basedOn w:val="Carpredefinitoparagrafo"/>
    <w:uiPriority w:val="99"/>
    <w:semiHidden/>
    <w:unhideWhenUsed/>
    <w:rsid w:val="00E15276"/>
    <w:rPr>
      <w:vertAlign w:val="superscript"/>
    </w:rPr>
  </w:style>
  <w:style w:type="paragraph" w:styleId="Nessunaspaziatura">
    <w:name w:val="No Spacing"/>
    <w:link w:val="NessunaspaziaturaCarattere"/>
    <w:uiPriority w:val="1"/>
    <w:qFormat/>
    <w:rsid w:val="00426D6A"/>
    <w:pPr>
      <w:spacing w:after="0" w:line="240" w:lineRule="auto"/>
    </w:pPr>
  </w:style>
  <w:style w:type="character" w:customStyle="1" w:styleId="NessunaspaziaturaCarattere">
    <w:name w:val="Nessuna spaziatura Carattere"/>
    <w:basedOn w:val="Carpredefinitoparagrafo"/>
    <w:link w:val="Nessunaspaziatura"/>
    <w:uiPriority w:val="1"/>
    <w:rsid w:val="00426D6A"/>
  </w:style>
  <w:style w:type="character" w:styleId="Rimandocommento">
    <w:name w:val="annotation reference"/>
    <w:basedOn w:val="Carpredefinitoparagrafo"/>
    <w:uiPriority w:val="99"/>
    <w:semiHidden/>
    <w:unhideWhenUsed/>
    <w:rsid w:val="00426D6A"/>
    <w:rPr>
      <w:sz w:val="16"/>
      <w:szCs w:val="16"/>
    </w:rPr>
  </w:style>
  <w:style w:type="paragraph" w:styleId="Intestazione">
    <w:name w:val="header"/>
    <w:basedOn w:val="Normale"/>
    <w:link w:val="IntestazioneCarattere"/>
    <w:uiPriority w:val="99"/>
    <w:unhideWhenUsed/>
    <w:rsid w:val="00033A1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33A17"/>
  </w:style>
  <w:style w:type="paragraph" w:styleId="Pidipagina">
    <w:name w:val="footer"/>
    <w:basedOn w:val="Normale"/>
    <w:link w:val="PidipaginaCarattere"/>
    <w:uiPriority w:val="99"/>
    <w:unhideWhenUsed/>
    <w:rsid w:val="00033A1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33A17"/>
  </w:style>
  <w:style w:type="character" w:customStyle="1" w:styleId="ample-display-content">
    <w:name w:val="ample-display-content"/>
    <w:basedOn w:val="Carpredefinitoparagrafo"/>
    <w:rsid w:val="00D20E25"/>
  </w:style>
  <w:style w:type="character" w:styleId="Enfasigrassetto">
    <w:name w:val="Strong"/>
    <w:basedOn w:val="Carpredefinitoparagrafo"/>
    <w:uiPriority w:val="22"/>
    <w:qFormat/>
    <w:rsid w:val="00D20E25"/>
    <w:rPr>
      <w:b/>
      <w:bCs/>
    </w:rPr>
  </w:style>
  <w:style w:type="character" w:styleId="Enfasicorsivo">
    <w:name w:val="Emphasis"/>
    <w:basedOn w:val="Carpredefinitoparagrafo"/>
    <w:uiPriority w:val="20"/>
    <w:qFormat/>
    <w:rsid w:val="00D20E25"/>
    <w:rPr>
      <w:i/>
      <w:iCs/>
    </w:rPr>
  </w:style>
  <w:style w:type="character" w:customStyle="1" w:styleId="istc-shortdisplay-content">
    <w:name w:val="istc-shortdisplay-content"/>
    <w:basedOn w:val="Carpredefinitoparagrafo"/>
    <w:rsid w:val="00D20E25"/>
  </w:style>
  <w:style w:type="paragraph" w:customStyle="1" w:styleId="Testonotaapidipagina1">
    <w:name w:val="Testo nota a piè di pagina1"/>
    <w:basedOn w:val="Normale"/>
    <w:rsid w:val="00970090"/>
    <w:pPr>
      <w:suppressAutoHyphens/>
      <w:spacing w:after="200" w:line="240" w:lineRule="auto"/>
      <w:ind w:left="283" w:hanging="283"/>
      <w:jc w:val="both"/>
    </w:pPr>
    <w:rPr>
      <w:rFonts w:ascii="Calibri" w:eastAsia="Times New Roman" w:hAnsi="Calibri" w:cs="Calibri"/>
      <w:kern w:val="1"/>
      <w:sz w:val="20"/>
      <w:szCs w:val="20"/>
      <w:lang w:val="fr-FR" w:eastAsia="zh-CN"/>
    </w:rPr>
  </w:style>
  <w:style w:type="character" w:customStyle="1" w:styleId="apple-converted-space">
    <w:name w:val="apple-converted-space"/>
    <w:basedOn w:val="Carpredefinitoparagrafo"/>
    <w:rsid w:val="000A28D9"/>
  </w:style>
  <w:style w:type="character" w:customStyle="1" w:styleId="addmd">
    <w:name w:val="addmd"/>
    <w:basedOn w:val="Carpredefinitoparagrafo"/>
    <w:rsid w:val="000A28D9"/>
  </w:style>
  <w:style w:type="character" w:customStyle="1" w:styleId="PreformattatoHTMLCarattere">
    <w:name w:val="Preformattato HTML Carattere"/>
    <w:basedOn w:val="Carpredefinitoparagrafo"/>
    <w:link w:val="PreformattatoHTML"/>
    <w:uiPriority w:val="99"/>
    <w:rsid w:val="00D22C4C"/>
    <w:rPr>
      <w:rFonts w:ascii="Courier New" w:eastAsia="Times New Roman" w:hAnsi="Courier New" w:cs="Courier New"/>
      <w:sz w:val="20"/>
      <w:szCs w:val="20"/>
      <w:lang w:eastAsia="it-IT"/>
    </w:rPr>
  </w:style>
  <w:style w:type="paragraph" w:styleId="PreformattatoHTML">
    <w:name w:val="HTML Preformatted"/>
    <w:basedOn w:val="Normale"/>
    <w:link w:val="PreformattatoHTMLCarattere"/>
    <w:uiPriority w:val="99"/>
    <w:unhideWhenUsed/>
    <w:rsid w:val="00D22C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1">
    <w:name w:val="Preformattato HTML Carattere1"/>
    <w:basedOn w:val="Carpredefinitoparagrafo"/>
    <w:uiPriority w:val="99"/>
    <w:semiHidden/>
    <w:rsid w:val="00D22C4C"/>
    <w:rPr>
      <w:rFonts w:ascii="Consolas" w:hAnsi="Consolas"/>
      <w:sz w:val="20"/>
      <w:szCs w:val="20"/>
    </w:rPr>
  </w:style>
  <w:style w:type="character" w:customStyle="1" w:styleId="TestocommentoCarattere">
    <w:name w:val="Testo commento Carattere"/>
    <w:basedOn w:val="Carpredefinitoparagrafo"/>
    <w:link w:val="Testocommento"/>
    <w:uiPriority w:val="99"/>
    <w:semiHidden/>
    <w:rsid w:val="00395702"/>
    <w:rPr>
      <w:sz w:val="20"/>
      <w:szCs w:val="20"/>
    </w:rPr>
  </w:style>
  <w:style w:type="paragraph" w:styleId="Testocommento">
    <w:name w:val="annotation text"/>
    <w:basedOn w:val="Normale"/>
    <w:link w:val="TestocommentoCarattere"/>
    <w:uiPriority w:val="99"/>
    <w:semiHidden/>
    <w:unhideWhenUsed/>
    <w:rsid w:val="00395702"/>
    <w:pPr>
      <w:spacing w:line="240" w:lineRule="auto"/>
    </w:pPr>
    <w:rPr>
      <w:sz w:val="20"/>
      <w:szCs w:val="20"/>
    </w:rPr>
  </w:style>
  <w:style w:type="character" w:customStyle="1" w:styleId="TestocommentoCarattere1">
    <w:name w:val="Testo commento Carattere1"/>
    <w:basedOn w:val="Carpredefinitoparagrafo"/>
    <w:uiPriority w:val="99"/>
    <w:semiHidden/>
    <w:rsid w:val="00395702"/>
    <w:rPr>
      <w:sz w:val="20"/>
      <w:szCs w:val="20"/>
    </w:rPr>
  </w:style>
  <w:style w:type="character" w:customStyle="1" w:styleId="SoggettocommentoCarattere">
    <w:name w:val="Soggetto commento Carattere"/>
    <w:basedOn w:val="TestocommentoCarattere"/>
    <w:link w:val="Soggettocommento"/>
    <w:uiPriority w:val="99"/>
    <w:semiHidden/>
    <w:rsid w:val="00395702"/>
    <w:rPr>
      <w:b/>
      <w:bCs/>
      <w:sz w:val="20"/>
      <w:szCs w:val="20"/>
    </w:rPr>
  </w:style>
  <w:style w:type="paragraph" w:styleId="Soggettocommento">
    <w:name w:val="annotation subject"/>
    <w:basedOn w:val="Testocommento"/>
    <w:next w:val="Testocommento"/>
    <w:link w:val="SoggettocommentoCarattere"/>
    <w:uiPriority w:val="99"/>
    <w:semiHidden/>
    <w:unhideWhenUsed/>
    <w:rsid w:val="00395702"/>
    <w:rPr>
      <w:b/>
      <w:bCs/>
    </w:rPr>
  </w:style>
  <w:style w:type="character" w:customStyle="1" w:styleId="SoggettocommentoCarattere1">
    <w:name w:val="Soggetto commento Carattere1"/>
    <w:basedOn w:val="TestocommentoCarattere1"/>
    <w:uiPriority w:val="99"/>
    <w:semiHidden/>
    <w:rsid w:val="00395702"/>
    <w:rPr>
      <w:b/>
      <w:bCs/>
      <w:sz w:val="20"/>
      <w:szCs w:val="20"/>
    </w:rPr>
  </w:style>
  <w:style w:type="character" w:customStyle="1" w:styleId="TestofumettoCarattere">
    <w:name w:val="Testo fumetto Carattere"/>
    <w:basedOn w:val="Carpredefinitoparagrafo"/>
    <w:link w:val="Testofumetto"/>
    <w:uiPriority w:val="99"/>
    <w:semiHidden/>
    <w:rsid w:val="00395702"/>
    <w:rPr>
      <w:rFonts w:ascii="Segoe UI" w:hAnsi="Segoe UI" w:cs="Segoe UI"/>
      <w:sz w:val="18"/>
      <w:szCs w:val="18"/>
    </w:rPr>
  </w:style>
  <w:style w:type="paragraph" w:styleId="Testofumetto">
    <w:name w:val="Balloon Text"/>
    <w:basedOn w:val="Normale"/>
    <w:link w:val="TestofumettoCarattere"/>
    <w:uiPriority w:val="99"/>
    <w:semiHidden/>
    <w:unhideWhenUsed/>
    <w:rsid w:val="00395702"/>
    <w:pPr>
      <w:spacing w:after="0" w:line="240" w:lineRule="auto"/>
    </w:pPr>
    <w:rPr>
      <w:rFonts w:ascii="Segoe UI" w:hAnsi="Segoe UI" w:cs="Segoe UI"/>
      <w:sz w:val="18"/>
      <w:szCs w:val="18"/>
    </w:rPr>
  </w:style>
  <w:style w:type="character" w:customStyle="1" w:styleId="TestofumettoCarattere1">
    <w:name w:val="Testo fumetto Carattere1"/>
    <w:basedOn w:val="Carpredefinitoparagrafo"/>
    <w:uiPriority w:val="99"/>
    <w:semiHidden/>
    <w:rsid w:val="00395702"/>
    <w:rPr>
      <w:rFonts w:ascii="Segoe UI" w:hAnsi="Segoe UI" w:cs="Segoe UI"/>
      <w:sz w:val="18"/>
      <w:szCs w:val="18"/>
    </w:rPr>
  </w:style>
  <w:style w:type="character" w:customStyle="1" w:styleId="TitoloCarattere">
    <w:name w:val="Titolo Carattere"/>
    <w:basedOn w:val="Carpredefinitoparagrafo"/>
    <w:link w:val="Titolo"/>
    <w:uiPriority w:val="10"/>
    <w:rsid w:val="00395702"/>
    <w:rPr>
      <w:rFonts w:asciiTheme="majorHAnsi" w:eastAsiaTheme="majorEastAsia" w:hAnsiTheme="majorHAnsi" w:cstheme="majorBidi"/>
      <w:caps/>
      <w:color w:val="44546A" w:themeColor="text2"/>
      <w:spacing w:val="30"/>
      <w:sz w:val="72"/>
      <w:szCs w:val="72"/>
    </w:rPr>
  </w:style>
  <w:style w:type="paragraph" w:styleId="Titolo">
    <w:name w:val="Title"/>
    <w:basedOn w:val="Normale"/>
    <w:next w:val="Normale"/>
    <w:link w:val="TitoloCarattere"/>
    <w:uiPriority w:val="10"/>
    <w:qFormat/>
    <w:rsid w:val="00395702"/>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oloCarattere1">
    <w:name w:val="Titolo Carattere1"/>
    <w:basedOn w:val="Carpredefinitoparagrafo"/>
    <w:uiPriority w:val="10"/>
    <w:rsid w:val="00395702"/>
    <w:rPr>
      <w:rFonts w:asciiTheme="majorHAnsi" w:eastAsiaTheme="majorEastAsia" w:hAnsiTheme="majorHAnsi" w:cstheme="majorBidi"/>
      <w:spacing w:val="-10"/>
      <w:kern w:val="28"/>
      <w:sz w:val="56"/>
      <w:szCs w:val="56"/>
    </w:rPr>
  </w:style>
  <w:style w:type="character" w:styleId="Collegamentoipertestuale">
    <w:name w:val="Hyperlink"/>
    <w:basedOn w:val="Carpredefinitoparagrafo"/>
    <w:uiPriority w:val="99"/>
    <w:unhideWhenUsed/>
    <w:rsid w:val="00395702"/>
    <w:rPr>
      <w:color w:val="0563C1" w:themeColor="hyperlink"/>
      <w:u w:val="single"/>
    </w:rPr>
  </w:style>
  <w:style w:type="paragraph" w:styleId="Sottotitolo">
    <w:name w:val="Subtitle"/>
    <w:basedOn w:val="Normale"/>
    <w:next w:val="Normale"/>
    <w:link w:val="SottotitoloCarattere"/>
    <w:uiPriority w:val="11"/>
    <w:qFormat/>
    <w:rsid w:val="00395702"/>
    <w:pPr>
      <w:numPr>
        <w:ilvl w:val="1"/>
      </w:numPr>
      <w:spacing w:line="300" w:lineRule="auto"/>
      <w:jc w:val="center"/>
    </w:pPr>
    <w:rPr>
      <w:rFonts w:eastAsiaTheme="minorEastAsia"/>
      <w:color w:val="44546A" w:themeColor="text2"/>
      <w:sz w:val="28"/>
      <w:szCs w:val="28"/>
    </w:rPr>
  </w:style>
  <w:style w:type="character" w:customStyle="1" w:styleId="SottotitoloCarattere">
    <w:name w:val="Sottotitolo Carattere"/>
    <w:basedOn w:val="Carpredefinitoparagrafo"/>
    <w:link w:val="Sottotitolo"/>
    <w:uiPriority w:val="11"/>
    <w:rsid w:val="00395702"/>
    <w:rPr>
      <w:rFonts w:eastAsiaTheme="minorEastAsia"/>
      <w:color w:val="44546A" w:themeColor="text2"/>
      <w:sz w:val="28"/>
      <w:szCs w:val="28"/>
    </w:rPr>
  </w:style>
  <w:style w:type="character" w:customStyle="1" w:styleId="reference-text">
    <w:name w:val="reference-text"/>
    <w:basedOn w:val="Carpredefinitoparagrafo"/>
    <w:rsid w:val="00395702"/>
  </w:style>
  <w:style w:type="paragraph" w:styleId="Paragrafoelenco">
    <w:name w:val="List Paragraph"/>
    <w:basedOn w:val="Normale"/>
    <w:uiPriority w:val="34"/>
    <w:qFormat/>
    <w:rsid w:val="00395702"/>
    <w:pPr>
      <w:spacing w:line="300" w:lineRule="auto"/>
      <w:ind w:left="720"/>
      <w:contextualSpacing/>
    </w:pPr>
    <w:rPr>
      <w:rFonts w:eastAsiaTheme="minorEastAsia"/>
      <w:sz w:val="21"/>
      <w:szCs w:val="21"/>
    </w:rPr>
  </w:style>
  <w:style w:type="paragraph" w:styleId="Didascalia">
    <w:name w:val="caption"/>
    <w:basedOn w:val="Normale"/>
    <w:next w:val="Normale"/>
    <w:uiPriority w:val="35"/>
    <w:unhideWhenUsed/>
    <w:qFormat/>
    <w:rsid w:val="00395702"/>
    <w:pPr>
      <w:spacing w:line="240" w:lineRule="auto"/>
    </w:pPr>
    <w:rPr>
      <w:rFonts w:eastAsiaTheme="minorEastAsia"/>
      <w:b/>
      <w:bCs/>
      <w:color w:val="404040" w:themeColor="text1" w:themeTint="BF"/>
      <w:sz w:val="16"/>
      <w:szCs w:val="16"/>
    </w:rPr>
  </w:style>
  <w:style w:type="paragraph" w:styleId="Citazione">
    <w:name w:val="Quote"/>
    <w:basedOn w:val="Normale"/>
    <w:next w:val="Normale"/>
    <w:link w:val="CitazioneCarattere"/>
    <w:uiPriority w:val="29"/>
    <w:qFormat/>
    <w:rsid w:val="00395702"/>
    <w:pPr>
      <w:spacing w:before="160" w:line="300" w:lineRule="auto"/>
      <w:ind w:left="720" w:right="720"/>
      <w:jc w:val="center"/>
    </w:pPr>
    <w:rPr>
      <w:rFonts w:eastAsiaTheme="minorEastAsia"/>
      <w:i/>
      <w:iCs/>
      <w:color w:val="7B7B7B" w:themeColor="accent3" w:themeShade="BF"/>
      <w:sz w:val="24"/>
      <w:szCs w:val="24"/>
    </w:rPr>
  </w:style>
  <w:style w:type="character" w:customStyle="1" w:styleId="CitazioneCarattere">
    <w:name w:val="Citazione Carattere"/>
    <w:basedOn w:val="Carpredefinitoparagrafo"/>
    <w:link w:val="Citazione"/>
    <w:uiPriority w:val="29"/>
    <w:rsid w:val="00395702"/>
    <w:rPr>
      <w:rFonts w:eastAsiaTheme="minorEastAsia"/>
      <w:i/>
      <w:iCs/>
      <w:color w:val="7B7B7B" w:themeColor="accent3" w:themeShade="BF"/>
      <w:sz w:val="24"/>
      <w:szCs w:val="24"/>
    </w:rPr>
  </w:style>
  <w:style w:type="paragraph" w:styleId="Citazioneintensa">
    <w:name w:val="Intense Quote"/>
    <w:basedOn w:val="Normale"/>
    <w:next w:val="Normale"/>
    <w:link w:val="CitazioneintensaCarattere"/>
    <w:uiPriority w:val="30"/>
    <w:qFormat/>
    <w:rsid w:val="00395702"/>
    <w:pPr>
      <w:spacing w:before="160" w:line="276" w:lineRule="auto"/>
      <w:ind w:left="936" w:right="936"/>
      <w:jc w:val="center"/>
    </w:pPr>
    <w:rPr>
      <w:rFonts w:asciiTheme="majorHAnsi" w:eastAsiaTheme="majorEastAsia" w:hAnsiTheme="majorHAnsi" w:cstheme="majorBidi"/>
      <w:caps/>
      <w:color w:val="2F5496" w:themeColor="accent1" w:themeShade="BF"/>
      <w:sz w:val="28"/>
      <w:szCs w:val="28"/>
    </w:rPr>
  </w:style>
  <w:style w:type="character" w:customStyle="1" w:styleId="CitazioneintensaCarattere">
    <w:name w:val="Citazione intensa Carattere"/>
    <w:basedOn w:val="Carpredefinitoparagrafo"/>
    <w:link w:val="Citazioneintensa"/>
    <w:uiPriority w:val="30"/>
    <w:rsid w:val="00395702"/>
    <w:rPr>
      <w:rFonts w:asciiTheme="majorHAnsi" w:eastAsiaTheme="majorEastAsia" w:hAnsiTheme="majorHAnsi" w:cstheme="majorBidi"/>
      <w:caps/>
      <w:color w:val="2F5496" w:themeColor="accent1" w:themeShade="BF"/>
      <w:sz w:val="28"/>
      <w:szCs w:val="28"/>
    </w:rPr>
  </w:style>
  <w:style w:type="character" w:styleId="Enfasidelicata">
    <w:name w:val="Subtle Emphasis"/>
    <w:basedOn w:val="Carpredefinitoparagrafo"/>
    <w:uiPriority w:val="19"/>
    <w:qFormat/>
    <w:rsid w:val="00395702"/>
    <w:rPr>
      <w:i/>
      <w:iCs/>
      <w:color w:val="595959" w:themeColor="text1" w:themeTint="A6"/>
    </w:rPr>
  </w:style>
  <w:style w:type="character" w:styleId="Enfasiintensa">
    <w:name w:val="Intense Emphasis"/>
    <w:basedOn w:val="Carpredefinitoparagrafo"/>
    <w:uiPriority w:val="21"/>
    <w:qFormat/>
    <w:rsid w:val="00395702"/>
    <w:rPr>
      <w:b/>
      <w:bCs/>
      <w:i/>
      <w:iCs/>
      <w:color w:val="auto"/>
    </w:rPr>
  </w:style>
  <w:style w:type="character" w:styleId="Riferimentodelicato">
    <w:name w:val="Subtle Reference"/>
    <w:basedOn w:val="Carpredefinitoparagrafo"/>
    <w:uiPriority w:val="31"/>
    <w:qFormat/>
    <w:rsid w:val="00395702"/>
    <w:rPr>
      <w:caps w:val="0"/>
      <w:smallCaps/>
      <w:color w:val="404040" w:themeColor="text1" w:themeTint="BF"/>
      <w:spacing w:val="0"/>
      <w:u w:val="single" w:color="7F7F7F" w:themeColor="text1" w:themeTint="80"/>
    </w:rPr>
  </w:style>
  <w:style w:type="character" w:styleId="Riferimentointenso">
    <w:name w:val="Intense Reference"/>
    <w:basedOn w:val="Carpredefinitoparagrafo"/>
    <w:uiPriority w:val="32"/>
    <w:qFormat/>
    <w:rsid w:val="00395702"/>
    <w:rPr>
      <w:b/>
      <w:bCs/>
      <w:caps w:val="0"/>
      <w:smallCaps/>
      <w:color w:val="auto"/>
      <w:spacing w:val="0"/>
      <w:u w:val="single"/>
    </w:rPr>
  </w:style>
  <w:style w:type="character" w:styleId="Titolodellibro">
    <w:name w:val="Book Title"/>
    <w:basedOn w:val="Carpredefinitoparagrafo"/>
    <w:uiPriority w:val="33"/>
    <w:qFormat/>
    <w:rsid w:val="00395702"/>
    <w:rPr>
      <w:b/>
      <w:bCs/>
      <w:caps w:val="0"/>
      <w:smallCaps/>
      <w:spacing w:val="0"/>
    </w:rPr>
  </w:style>
  <w:style w:type="paragraph" w:styleId="Titolosommario">
    <w:name w:val="TOC Heading"/>
    <w:basedOn w:val="Titolo1"/>
    <w:next w:val="Normale"/>
    <w:uiPriority w:val="39"/>
    <w:unhideWhenUsed/>
    <w:qFormat/>
    <w:rsid w:val="00395702"/>
    <w:pPr>
      <w:outlineLvl w:val="9"/>
    </w:pPr>
  </w:style>
  <w:style w:type="paragraph" w:customStyle="1" w:styleId="Titolocapitolo">
    <w:name w:val="Titolo capitolo"/>
    <w:basedOn w:val="Normale"/>
    <w:link w:val="TitolocapitoloCarattere"/>
    <w:qFormat/>
    <w:rsid w:val="00395702"/>
    <w:pPr>
      <w:spacing w:after="0" w:line="360" w:lineRule="auto"/>
      <w:ind w:firstLine="397"/>
      <w:jc w:val="center"/>
    </w:pPr>
    <w:rPr>
      <w:rFonts w:ascii="Times New Roman" w:eastAsiaTheme="minorEastAsia" w:hAnsi="Times New Roman" w:cs="Times New Roman"/>
      <w:smallCaps/>
      <w:sz w:val="24"/>
      <w:szCs w:val="24"/>
    </w:rPr>
  </w:style>
  <w:style w:type="character" w:customStyle="1" w:styleId="TitolocapitoloCarattere">
    <w:name w:val="Titolo capitolo Carattere"/>
    <w:basedOn w:val="Carpredefinitoparagrafo"/>
    <w:link w:val="Titolocapitolo"/>
    <w:rsid w:val="00395702"/>
    <w:rPr>
      <w:rFonts w:ascii="Times New Roman" w:eastAsiaTheme="minorEastAsia" w:hAnsi="Times New Roman" w:cs="Times New Roman"/>
      <w:smallCaps/>
      <w:sz w:val="24"/>
      <w:szCs w:val="24"/>
    </w:rPr>
  </w:style>
  <w:style w:type="paragraph" w:styleId="Sommario2">
    <w:name w:val="toc 2"/>
    <w:basedOn w:val="Normale"/>
    <w:next w:val="Normale"/>
    <w:autoRedefine/>
    <w:uiPriority w:val="39"/>
    <w:unhideWhenUsed/>
    <w:rsid w:val="006641BB"/>
    <w:pPr>
      <w:tabs>
        <w:tab w:val="left" w:pos="851"/>
      </w:tabs>
      <w:spacing w:after="100" w:line="259" w:lineRule="auto"/>
      <w:ind w:left="216"/>
    </w:pPr>
    <w:rPr>
      <w:rFonts w:eastAsiaTheme="minorEastAsia" w:cs="Times New Roman"/>
      <w:lang w:eastAsia="it-IT"/>
    </w:rPr>
  </w:style>
  <w:style w:type="paragraph" w:styleId="Sommario1">
    <w:name w:val="toc 1"/>
    <w:basedOn w:val="Normale"/>
    <w:next w:val="Normale"/>
    <w:autoRedefine/>
    <w:uiPriority w:val="39"/>
    <w:unhideWhenUsed/>
    <w:rsid w:val="00395702"/>
    <w:pPr>
      <w:spacing w:after="100" w:line="259" w:lineRule="auto"/>
    </w:pPr>
    <w:rPr>
      <w:rFonts w:eastAsiaTheme="minorEastAsia" w:cs="Times New Roman"/>
      <w:lang w:eastAsia="it-IT"/>
    </w:rPr>
  </w:style>
  <w:style w:type="paragraph" w:styleId="Sommario3">
    <w:name w:val="toc 3"/>
    <w:basedOn w:val="Normale"/>
    <w:next w:val="Normale"/>
    <w:autoRedefine/>
    <w:uiPriority w:val="39"/>
    <w:unhideWhenUsed/>
    <w:rsid w:val="00395702"/>
    <w:pPr>
      <w:spacing w:after="100" w:line="259" w:lineRule="auto"/>
      <w:ind w:left="440"/>
    </w:pPr>
    <w:rPr>
      <w:rFonts w:eastAsiaTheme="minorEastAsia" w:cs="Times New Roman"/>
      <w:lang w:eastAsia="it-IT"/>
    </w:rPr>
  </w:style>
  <w:style w:type="character" w:styleId="Menzionenonrisolta">
    <w:name w:val="Unresolved Mention"/>
    <w:basedOn w:val="Carpredefinitoparagrafo"/>
    <w:uiPriority w:val="99"/>
    <w:semiHidden/>
    <w:unhideWhenUsed/>
    <w:rsid w:val="00796A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5193743">
      <w:bodyDiv w:val="1"/>
      <w:marLeft w:val="0"/>
      <w:marRight w:val="0"/>
      <w:marTop w:val="0"/>
      <w:marBottom w:val="0"/>
      <w:divBdr>
        <w:top w:val="none" w:sz="0" w:space="0" w:color="auto"/>
        <w:left w:val="none" w:sz="0" w:space="0" w:color="auto"/>
        <w:bottom w:val="none" w:sz="0" w:space="0" w:color="auto"/>
        <w:right w:val="none" w:sz="0" w:space="0" w:color="auto"/>
      </w:divBdr>
    </w:div>
    <w:div w:id="250087362">
      <w:bodyDiv w:val="1"/>
      <w:marLeft w:val="0"/>
      <w:marRight w:val="0"/>
      <w:marTop w:val="0"/>
      <w:marBottom w:val="0"/>
      <w:divBdr>
        <w:top w:val="none" w:sz="0" w:space="0" w:color="auto"/>
        <w:left w:val="none" w:sz="0" w:space="0" w:color="auto"/>
        <w:bottom w:val="none" w:sz="0" w:space="0" w:color="auto"/>
        <w:right w:val="none" w:sz="0" w:space="0" w:color="auto"/>
      </w:divBdr>
    </w:div>
    <w:div w:id="493306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png"/><Relationship Id="rId26" Type="http://schemas.openxmlformats.org/officeDocument/2006/relationships/image" Target="media/image19.jpg"/><Relationship Id="rId39" Type="http://schemas.openxmlformats.org/officeDocument/2006/relationships/image" Target="media/image32.jpg"/><Relationship Id="rId21" Type="http://schemas.openxmlformats.org/officeDocument/2006/relationships/image" Target="media/image14.png"/><Relationship Id="rId34" Type="http://schemas.openxmlformats.org/officeDocument/2006/relationships/image" Target="media/image27.jpg"/><Relationship Id="rId42" Type="http://schemas.openxmlformats.org/officeDocument/2006/relationships/image" Target="media/image35.jpg"/><Relationship Id="rId47" Type="http://schemas.openxmlformats.org/officeDocument/2006/relationships/image" Target="media/image40.jpg"/><Relationship Id="rId50" Type="http://schemas.openxmlformats.org/officeDocument/2006/relationships/image" Target="media/image43.jpg"/><Relationship Id="rId55" Type="http://schemas.openxmlformats.org/officeDocument/2006/relationships/image" Target="media/image48.jpg"/><Relationship Id="rId63" Type="http://schemas.openxmlformats.org/officeDocument/2006/relationships/image" Target="media/image56.jpe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7.png"/><Relationship Id="rId32" Type="http://schemas.openxmlformats.org/officeDocument/2006/relationships/image" Target="media/image25.jpg"/><Relationship Id="rId37" Type="http://schemas.openxmlformats.org/officeDocument/2006/relationships/image" Target="media/image30.jpg"/><Relationship Id="rId40" Type="http://schemas.openxmlformats.org/officeDocument/2006/relationships/image" Target="media/image33.gif"/><Relationship Id="rId45" Type="http://schemas.openxmlformats.org/officeDocument/2006/relationships/image" Target="media/image38.jpg"/><Relationship Id="rId53" Type="http://schemas.openxmlformats.org/officeDocument/2006/relationships/image" Target="media/image46.jpg"/><Relationship Id="rId58" Type="http://schemas.openxmlformats.org/officeDocument/2006/relationships/image" Target="media/image51.jpeg"/><Relationship Id="rId66" Type="http://schemas.openxmlformats.org/officeDocument/2006/relationships/image" Target="media/image59.jpg"/><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png"/><Relationship Id="rId28" Type="http://schemas.openxmlformats.org/officeDocument/2006/relationships/image" Target="media/image21.jp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jpg"/><Relationship Id="rId61" Type="http://schemas.openxmlformats.org/officeDocument/2006/relationships/image" Target="media/image54.jpg"/><Relationship Id="rId10" Type="http://schemas.openxmlformats.org/officeDocument/2006/relationships/image" Target="media/image3.jpg"/><Relationship Id="rId19" Type="http://schemas.openxmlformats.org/officeDocument/2006/relationships/image" Target="media/image12.jpg"/><Relationship Id="rId31" Type="http://schemas.openxmlformats.org/officeDocument/2006/relationships/image" Target="media/image24.jpg"/><Relationship Id="rId44" Type="http://schemas.openxmlformats.org/officeDocument/2006/relationships/image" Target="media/image37.JPEG"/><Relationship Id="rId52" Type="http://schemas.openxmlformats.org/officeDocument/2006/relationships/image" Target="media/image45.jpg"/><Relationship Id="rId60" Type="http://schemas.openxmlformats.org/officeDocument/2006/relationships/image" Target="media/image53.jpeg"/><Relationship Id="rId65" Type="http://schemas.openxmlformats.org/officeDocument/2006/relationships/image" Target="media/image58.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image" Target="media/image15.png"/><Relationship Id="rId27" Type="http://schemas.openxmlformats.org/officeDocument/2006/relationships/image" Target="media/image20.jpg"/><Relationship Id="rId30" Type="http://schemas.openxmlformats.org/officeDocument/2006/relationships/image" Target="media/image23.jpeg"/><Relationship Id="rId35" Type="http://schemas.openxmlformats.org/officeDocument/2006/relationships/image" Target="media/image28.jpg"/><Relationship Id="rId43" Type="http://schemas.openxmlformats.org/officeDocument/2006/relationships/image" Target="media/image36.jpg"/><Relationship Id="rId48" Type="http://schemas.openxmlformats.org/officeDocument/2006/relationships/image" Target="media/image41.jpg"/><Relationship Id="rId56" Type="http://schemas.openxmlformats.org/officeDocument/2006/relationships/image" Target="media/image49.jpeg"/><Relationship Id="rId64" Type="http://schemas.openxmlformats.org/officeDocument/2006/relationships/image" Target="media/image57.jpg"/><Relationship Id="rId69" Type="http://schemas.openxmlformats.org/officeDocument/2006/relationships/theme" Target="theme/theme1.xml"/><Relationship Id="rId8" Type="http://schemas.openxmlformats.org/officeDocument/2006/relationships/image" Target="media/image1.jpg"/><Relationship Id="rId51" Type="http://schemas.openxmlformats.org/officeDocument/2006/relationships/image" Target="media/image44.jpg"/><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18.png"/><Relationship Id="rId33" Type="http://schemas.openxmlformats.org/officeDocument/2006/relationships/image" Target="media/image26.jpg"/><Relationship Id="rId38" Type="http://schemas.openxmlformats.org/officeDocument/2006/relationships/image" Target="media/image31.jpg"/><Relationship Id="rId46" Type="http://schemas.openxmlformats.org/officeDocument/2006/relationships/image" Target="media/image39.jpg"/><Relationship Id="rId59" Type="http://schemas.openxmlformats.org/officeDocument/2006/relationships/image" Target="media/image52.jpg"/><Relationship Id="rId67" Type="http://schemas.openxmlformats.org/officeDocument/2006/relationships/footer" Target="footer1.xml"/><Relationship Id="rId20" Type="http://schemas.openxmlformats.org/officeDocument/2006/relationships/image" Target="media/image13.jpg"/><Relationship Id="rId41" Type="http://schemas.openxmlformats.org/officeDocument/2006/relationships/image" Target="media/image34.jpg"/><Relationship Id="rId54" Type="http://schemas.openxmlformats.org/officeDocument/2006/relationships/image" Target="media/image47.jpg"/><Relationship Id="rId62" Type="http://schemas.openxmlformats.org/officeDocument/2006/relationships/image" Target="media/image55.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8A0504-0CF5-47F7-A719-1DD2C8D31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772</TotalTime>
  <Pages>302</Pages>
  <Words>157482</Words>
  <Characters>897653</Characters>
  <Application>Microsoft Office Word</Application>
  <DocSecurity>0</DocSecurity>
  <Lines>7480</Lines>
  <Paragraphs>2106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1053029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 Passera</dc:creator>
  <cp:keywords/>
  <dc:description/>
  <cp:lastModifiedBy>Claudio Passera</cp:lastModifiedBy>
  <cp:revision>37</cp:revision>
  <cp:lastPrinted>2019-02-08T09:32:00Z</cp:lastPrinted>
  <dcterms:created xsi:type="dcterms:W3CDTF">2019-02-08T09:30:00Z</dcterms:created>
  <dcterms:modified xsi:type="dcterms:W3CDTF">2019-03-10T14:15:00Z</dcterms:modified>
</cp:coreProperties>
</file>