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9D2901" w14:textId="77777777" w:rsidR="00E13622" w:rsidRPr="00E13622" w:rsidRDefault="00E13622" w:rsidP="00E13622">
      <w:pPr>
        <w:spacing w:after="240" w:line="360" w:lineRule="auto"/>
        <w:jc w:val="center"/>
        <w:rPr>
          <w:rFonts w:ascii="Arial" w:hAnsi="Arial" w:cs="Arial"/>
          <w:b/>
        </w:rPr>
      </w:pPr>
    </w:p>
    <w:p w14:paraId="2649EA22" w14:textId="5E3882C8" w:rsidR="00E13622" w:rsidRDefault="00E13622" w:rsidP="00E13622">
      <w:pPr>
        <w:spacing w:after="240" w:line="360" w:lineRule="auto"/>
        <w:jc w:val="center"/>
        <w:rPr>
          <w:rFonts w:ascii="Arial" w:hAnsi="Arial" w:cs="Arial"/>
          <w:b/>
          <w:lang w:val="it-IT"/>
        </w:rPr>
      </w:pPr>
      <w:r w:rsidRPr="00E13622">
        <w:rPr>
          <w:rFonts w:ascii="Arial" w:hAnsi="Arial" w:cs="Arial"/>
          <w:b/>
          <w:lang w:val="it-IT"/>
        </w:rPr>
        <w:t xml:space="preserve"> UNIVERSITA’ DEGLI STUDI DI </w:t>
      </w:r>
      <w:r>
        <w:rPr>
          <w:rFonts w:ascii="Arial" w:hAnsi="Arial" w:cs="Arial"/>
          <w:b/>
          <w:lang w:val="it-IT"/>
        </w:rPr>
        <w:t>TORINO</w:t>
      </w:r>
    </w:p>
    <w:p w14:paraId="38FE0F58" w14:textId="39B01576" w:rsidR="00E13622" w:rsidRDefault="00E13622" w:rsidP="00E13622">
      <w:pPr>
        <w:spacing w:after="240" w:line="360" w:lineRule="auto"/>
        <w:jc w:val="center"/>
        <w:rPr>
          <w:rFonts w:ascii="Arial" w:hAnsi="Arial" w:cs="Arial"/>
          <w:b/>
          <w:lang w:val="it-IT"/>
        </w:rPr>
      </w:pPr>
      <w:r>
        <w:rPr>
          <w:rFonts w:ascii="Arial" w:hAnsi="Arial" w:cs="Arial"/>
          <w:b/>
          <w:lang w:val="it-IT"/>
        </w:rPr>
        <w:t>DIPARTIMENTO DI GIURISPRUDENZA</w:t>
      </w:r>
    </w:p>
    <w:p w14:paraId="33341507" w14:textId="1EAE45C2" w:rsidR="00E13622" w:rsidRDefault="00E13622" w:rsidP="00E13622">
      <w:pPr>
        <w:spacing w:after="240" w:line="360" w:lineRule="auto"/>
        <w:jc w:val="center"/>
        <w:rPr>
          <w:rFonts w:ascii="Arial" w:hAnsi="Arial" w:cs="Arial"/>
          <w:b/>
          <w:lang w:val="it-IT"/>
        </w:rPr>
      </w:pPr>
      <w:r>
        <w:rPr>
          <w:rFonts w:ascii="Arial" w:hAnsi="Arial" w:cs="Arial"/>
          <w:b/>
          <w:lang w:val="it-IT"/>
        </w:rPr>
        <w:t>DOTTORATO DI RICERCA IN DIRITTO, PERSONE E MERCATO</w:t>
      </w:r>
    </w:p>
    <w:p w14:paraId="1EB6D648" w14:textId="7EE60866" w:rsidR="00E13622" w:rsidRPr="00070ECB" w:rsidRDefault="00E13622" w:rsidP="00E13622">
      <w:pPr>
        <w:spacing w:after="240" w:line="360" w:lineRule="auto"/>
        <w:jc w:val="center"/>
        <w:rPr>
          <w:rFonts w:ascii="Arial" w:hAnsi="Arial" w:cs="Arial"/>
          <w:b/>
        </w:rPr>
      </w:pPr>
      <w:r w:rsidRPr="00070ECB">
        <w:rPr>
          <w:rFonts w:ascii="Arial" w:hAnsi="Arial" w:cs="Arial"/>
          <w:b/>
        </w:rPr>
        <w:t>CICLO XXXIV</w:t>
      </w:r>
    </w:p>
    <w:p w14:paraId="6EA6AFBE" w14:textId="77777777" w:rsidR="00A85D1F" w:rsidRPr="00070ECB" w:rsidRDefault="00A85D1F" w:rsidP="00E13622">
      <w:pPr>
        <w:spacing w:after="240" w:line="360" w:lineRule="auto"/>
        <w:jc w:val="center"/>
        <w:rPr>
          <w:rFonts w:ascii="Arial" w:hAnsi="Arial" w:cs="Arial"/>
          <w:b/>
        </w:rPr>
      </w:pPr>
    </w:p>
    <w:p w14:paraId="59DD3141" w14:textId="1276B266" w:rsidR="00E13622" w:rsidRPr="0096481E" w:rsidRDefault="00E13622" w:rsidP="00E13622">
      <w:pPr>
        <w:spacing w:after="240" w:line="360" w:lineRule="auto"/>
        <w:jc w:val="center"/>
        <w:rPr>
          <w:rFonts w:ascii="Arial" w:hAnsi="Arial" w:cs="Arial"/>
          <w:b/>
          <w:sz w:val="32"/>
          <w:szCs w:val="32"/>
        </w:rPr>
      </w:pPr>
      <w:r w:rsidRPr="0096481E">
        <w:rPr>
          <w:rFonts w:ascii="Arial" w:hAnsi="Arial" w:cs="Arial"/>
          <w:b/>
          <w:sz w:val="32"/>
          <w:szCs w:val="32"/>
        </w:rPr>
        <w:t>DERECHO A LA IDENTIDAD SEXUAL Y LA PROBLEMÁTICA JURÍDICA DEL TRANSEXUALISMO: LAS EXPERIENCIAS ITALIANA Y PERUANA</w:t>
      </w:r>
    </w:p>
    <w:p w14:paraId="75198D2B" w14:textId="77777777" w:rsidR="00A85D1F" w:rsidRDefault="00A85D1F" w:rsidP="0096481E">
      <w:pPr>
        <w:spacing w:after="240" w:line="360" w:lineRule="auto"/>
        <w:jc w:val="both"/>
        <w:rPr>
          <w:rFonts w:ascii="Arial" w:hAnsi="Arial" w:cs="Arial"/>
          <w:b/>
        </w:rPr>
      </w:pPr>
    </w:p>
    <w:p w14:paraId="1367E15F" w14:textId="0FA4840B" w:rsidR="00E13622" w:rsidRDefault="00E13622" w:rsidP="0096481E">
      <w:pPr>
        <w:spacing w:after="240" w:line="360" w:lineRule="auto"/>
        <w:jc w:val="both"/>
        <w:rPr>
          <w:rFonts w:ascii="Arial" w:hAnsi="Arial" w:cs="Arial"/>
          <w:b/>
          <w:lang w:val="it-IT"/>
        </w:rPr>
      </w:pPr>
      <w:r w:rsidRPr="00E13622">
        <w:rPr>
          <w:rFonts w:ascii="Arial" w:hAnsi="Arial" w:cs="Arial"/>
          <w:b/>
          <w:lang w:val="it-IT"/>
        </w:rPr>
        <w:t>TESI PRESENTATA DA: SONIA L</w:t>
      </w:r>
      <w:r>
        <w:rPr>
          <w:rFonts w:ascii="Arial" w:hAnsi="Arial" w:cs="Arial"/>
          <w:b/>
          <w:lang w:val="it-IT"/>
        </w:rPr>
        <w:t>IDIA QUEQUEJANA MAMANI</w:t>
      </w:r>
    </w:p>
    <w:p w14:paraId="356A5890" w14:textId="43988F82" w:rsidR="00E13622" w:rsidRDefault="00E13622" w:rsidP="0096481E">
      <w:pPr>
        <w:spacing w:after="240" w:line="360" w:lineRule="auto"/>
        <w:jc w:val="both"/>
        <w:rPr>
          <w:rFonts w:ascii="Arial" w:hAnsi="Arial" w:cs="Arial"/>
          <w:b/>
          <w:lang w:val="it-IT"/>
        </w:rPr>
      </w:pPr>
      <w:r>
        <w:rPr>
          <w:rFonts w:ascii="Arial" w:hAnsi="Arial" w:cs="Arial"/>
          <w:b/>
          <w:lang w:val="it-IT"/>
        </w:rPr>
        <w:t>TUTOR: Prof. MICHELE GRAZIADEI</w:t>
      </w:r>
    </w:p>
    <w:p w14:paraId="024E88C2" w14:textId="055000D8" w:rsidR="00E13622" w:rsidRPr="00E13622" w:rsidRDefault="00E13622" w:rsidP="0096481E">
      <w:pPr>
        <w:spacing w:after="240" w:line="360" w:lineRule="auto"/>
        <w:jc w:val="both"/>
        <w:rPr>
          <w:rFonts w:ascii="Arial" w:hAnsi="Arial" w:cs="Arial"/>
          <w:b/>
          <w:lang w:val="it-IT"/>
        </w:rPr>
      </w:pPr>
      <w:r>
        <w:rPr>
          <w:rFonts w:ascii="Arial" w:hAnsi="Arial" w:cs="Arial"/>
          <w:b/>
          <w:lang w:val="it-IT"/>
        </w:rPr>
        <w:t>COORDINATRICE DEL DOTTORATO: Prof. ELENA D’ALESSANDRO</w:t>
      </w:r>
    </w:p>
    <w:p w14:paraId="406174BD" w14:textId="46D880DA" w:rsidR="00E13622" w:rsidRDefault="00E13622" w:rsidP="0096481E">
      <w:pPr>
        <w:spacing w:after="240" w:line="360" w:lineRule="auto"/>
        <w:jc w:val="both"/>
        <w:rPr>
          <w:rFonts w:ascii="Arial" w:hAnsi="Arial" w:cs="Arial"/>
          <w:b/>
          <w:lang w:val="it-IT"/>
        </w:rPr>
      </w:pPr>
      <w:r>
        <w:rPr>
          <w:rFonts w:ascii="Arial" w:hAnsi="Arial" w:cs="Arial"/>
          <w:b/>
          <w:lang w:val="it-IT"/>
        </w:rPr>
        <w:t>ANNI ACCADEMICI: 2021/2022</w:t>
      </w:r>
    </w:p>
    <w:p w14:paraId="7AD40CD3" w14:textId="26A45447" w:rsidR="00E13622" w:rsidRDefault="00E13622" w:rsidP="0096481E">
      <w:pPr>
        <w:spacing w:after="240" w:line="360" w:lineRule="auto"/>
        <w:jc w:val="both"/>
        <w:rPr>
          <w:rFonts w:ascii="Arial" w:hAnsi="Arial" w:cs="Arial"/>
          <w:b/>
          <w:lang w:val="it-IT"/>
        </w:rPr>
      </w:pPr>
      <w:r>
        <w:rPr>
          <w:rFonts w:ascii="Arial" w:hAnsi="Arial" w:cs="Arial"/>
          <w:b/>
          <w:lang w:val="it-IT"/>
        </w:rPr>
        <w:t xml:space="preserve">SETTORE SCIENTIFICO-DISCIPLINARE DI AFFERENZA: </w:t>
      </w:r>
      <w:r w:rsidR="0096481E" w:rsidRPr="0096481E">
        <w:rPr>
          <w:rFonts w:ascii="Titillium Web" w:hAnsi="Titillium Web"/>
          <w:color w:val="222222"/>
          <w:shd w:val="clear" w:color="auto" w:fill="FFFFFF"/>
          <w:lang w:val="it-IT"/>
        </w:rPr>
        <w:t> </w:t>
      </w:r>
      <w:r w:rsidR="0096481E" w:rsidRPr="0096481E">
        <w:rPr>
          <w:rFonts w:ascii="Arial" w:hAnsi="Arial" w:cs="Arial"/>
          <w:b/>
          <w:lang w:val="it-IT"/>
        </w:rPr>
        <w:t>IUS/02 DIRITTO PRIVATO COMPARATO</w:t>
      </w:r>
    </w:p>
    <w:p w14:paraId="645792BE" w14:textId="0EA57FA2" w:rsidR="0096481E" w:rsidRDefault="0096481E" w:rsidP="00E13622">
      <w:pPr>
        <w:spacing w:after="240" w:line="360" w:lineRule="auto"/>
        <w:jc w:val="center"/>
        <w:rPr>
          <w:rFonts w:ascii="Arial" w:hAnsi="Arial" w:cs="Arial"/>
          <w:b/>
          <w:lang w:val="it-IT"/>
        </w:rPr>
      </w:pPr>
    </w:p>
    <w:p w14:paraId="7E1E1FF2" w14:textId="64BC8CA9" w:rsidR="0096481E" w:rsidRDefault="0096481E" w:rsidP="00E13622">
      <w:pPr>
        <w:spacing w:after="240" w:line="360" w:lineRule="auto"/>
        <w:jc w:val="center"/>
        <w:rPr>
          <w:rFonts w:ascii="Arial" w:hAnsi="Arial" w:cs="Arial"/>
          <w:b/>
          <w:lang w:val="it-IT"/>
        </w:rPr>
      </w:pPr>
    </w:p>
    <w:p w14:paraId="306D1214" w14:textId="635B4535" w:rsidR="0096481E" w:rsidRDefault="0096481E" w:rsidP="00E13622">
      <w:pPr>
        <w:spacing w:after="240" w:line="360" w:lineRule="auto"/>
        <w:jc w:val="center"/>
        <w:rPr>
          <w:rFonts w:ascii="Arial" w:hAnsi="Arial" w:cs="Arial"/>
          <w:b/>
          <w:lang w:val="it-IT"/>
        </w:rPr>
      </w:pPr>
    </w:p>
    <w:p w14:paraId="3F7AE815" w14:textId="692641B2" w:rsidR="0096481E" w:rsidRDefault="0096481E" w:rsidP="00E13622">
      <w:pPr>
        <w:spacing w:after="240" w:line="360" w:lineRule="auto"/>
        <w:jc w:val="center"/>
        <w:rPr>
          <w:rFonts w:ascii="Arial" w:hAnsi="Arial" w:cs="Arial"/>
          <w:b/>
          <w:lang w:val="it-IT"/>
        </w:rPr>
      </w:pPr>
    </w:p>
    <w:p w14:paraId="7BB34238" w14:textId="27006883" w:rsidR="0096481E" w:rsidRDefault="0096481E" w:rsidP="00E13622">
      <w:pPr>
        <w:spacing w:after="240" w:line="360" w:lineRule="auto"/>
        <w:jc w:val="center"/>
        <w:rPr>
          <w:rFonts w:ascii="Arial" w:hAnsi="Arial" w:cs="Arial"/>
          <w:b/>
          <w:lang w:val="it-IT"/>
        </w:rPr>
      </w:pPr>
    </w:p>
    <w:p w14:paraId="55B64154" w14:textId="4BF52841" w:rsidR="0096481E" w:rsidRDefault="0096481E" w:rsidP="00E13622">
      <w:pPr>
        <w:spacing w:after="240" w:line="360" w:lineRule="auto"/>
        <w:jc w:val="center"/>
        <w:rPr>
          <w:rFonts w:ascii="Arial" w:hAnsi="Arial" w:cs="Arial"/>
          <w:b/>
          <w:lang w:val="it-IT"/>
        </w:rPr>
      </w:pPr>
    </w:p>
    <w:p w14:paraId="17161F4E" w14:textId="46BBB712" w:rsidR="0096481E" w:rsidRDefault="0096481E" w:rsidP="00E13622">
      <w:pPr>
        <w:spacing w:after="240" w:line="360" w:lineRule="auto"/>
        <w:jc w:val="center"/>
        <w:rPr>
          <w:rFonts w:ascii="Arial" w:hAnsi="Arial" w:cs="Arial"/>
          <w:b/>
          <w:lang w:val="it-IT"/>
        </w:rPr>
      </w:pPr>
    </w:p>
    <w:p w14:paraId="15257976" w14:textId="77777777" w:rsidR="00DE408C" w:rsidRPr="00A85D1F" w:rsidRDefault="00DE408C" w:rsidP="00DE408C">
      <w:pPr>
        <w:spacing w:after="240" w:line="360" w:lineRule="auto"/>
        <w:jc w:val="center"/>
        <w:rPr>
          <w:rFonts w:ascii="Arial" w:hAnsi="Arial" w:cs="Arial"/>
          <w:b/>
        </w:rPr>
      </w:pPr>
      <w:r w:rsidRPr="00A85D1F">
        <w:rPr>
          <w:rFonts w:ascii="Arial" w:hAnsi="Arial" w:cs="Arial"/>
          <w:b/>
        </w:rPr>
        <w:t>ÍNDICE</w:t>
      </w:r>
    </w:p>
    <w:p w14:paraId="59B1637B"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Capítulo Primero:</w:t>
      </w:r>
    </w:p>
    <w:p w14:paraId="054247B2"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Fundamentos del derecho a la identidad personal</w:t>
      </w:r>
    </w:p>
    <w:p w14:paraId="5AC51B41"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1.- Una renovada concepción del ser humano</w:t>
      </w:r>
      <w:r>
        <w:rPr>
          <w:rFonts w:ascii="Arial" w:hAnsi="Arial" w:cs="Arial"/>
          <w:bCs/>
          <w:lang w:eastAsia="it-IT"/>
        </w:rPr>
        <w:t>………………………………………………6</w:t>
      </w:r>
    </w:p>
    <w:p w14:paraId="56B3712A" w14:textId="544A5185"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2.- La teoría tridimensional del Derecho como pilar</w:t>
      </w:r>
      <w:r>
        <w:rPr>
          <w:rFonts w:ascii="Arial" w:hAnsi="Arial" w:cs="Arial"/>
          <w:bCs/>
          <w:lang w:eastAsia="it-IT"/>
        </w:rPr>
        <w:t>…………………………………</w:t>
      </w:r>
      <w:proofErr w:type="gramStart"/>
      <w:r>
        <w:rPr>
          <w:rFonts w:ascii="Arial" w:hAnsi="Arial" w:cs="Arial"/>
          <w:bCs/>
          <w:lang w:eastAsia="it-IT"/>
        </w:rPr>
        <w:t>…….</w:t>
      </w:r>
      <w:proofErr w:type="gramEnd"/>
      <w:r>
        <w:rPr>
          <w:rFonts w:ascii="Arial" w:hAnsi="Arial" w:cs="Arial"/>
          <w:bCs/>
          <w:lang w:eastAsia="it-IT"/>
        </w:rPr>
        <w:t>.7</w:t>
      </w:r>
    </w:p>
    <w:p w14:paraId="3D094F52"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 xml:space="preserve">3.- Supuesto </w:t>
      </w:r>
      <w:proofErr w:type="spellStart"/>
      <w:r w:rsidRPr="00792B12">
        <w:rPr>
          <w:rFonts w:ascii="Arial" w:hAnsi="Arial" w:cs="Arial"/>
          <w:bCs/>
          <w:lang w:eastAsia="it-IT"/>
        </w:rPr>
        <w:t>jusfilosófico</w:t>
      </w:r>
      <w:proofErr w:type="spellEnd"/>
      <w:r w:rsidRPr="00792B12">
        <w:rPr>
          <w:rFonts w:ascii="Arial" w:hAnsi="Arial" w:cs="Arial"/>
          <w:bCs/>
          <w:lang w:eastAsia="it-IT"/>
        </w:rPr>
        <w:t xml:space="preserve"> del derecho a la identidad personal</w:t>
      </w:r>
      <w:r>
        <w:rPr>
          <w:rFonts w:ascii="Arial" w:hAnsi="Arial" w:cs="Arial"/>
          <w:bCs/>
          <w:lang w:eastAsia="it-IT"/>
        </w:rPr>
        <w:t>……………………………8</w:t>
      </w:r>
    </w:p>
    <w:p w14:paraId="2934C852"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4.- Identidad personal: derecho fundamental del ser humano</w:t>
      </w:r>
      <w:r>
        <w:rPr>
          <w:rFonts w:ascii="Arial" w:hAnsi="Arial" w:cs="Arial"/>
          <w:bCs/>
          <w:lang w:eastAsia="it-IT"/>
        </w:rPr>
        <w:t>………………………</w:t>
      </w:r>
      <w:proofErr w:type="gramStart"/>
      <w:r>
        <w:rPr>
          <w:rFonts w:ascii="Arial" w:hAnsi="Arial" w:cs="Arial"/>
          <w:bCs/>
          <w:lang w:eastAsia="it-IT"/>
        </w:rPr>
        <w:t>…….</w:t>
      </w:r>
      <w:proofErr w:type="gramEnd"/>
      <w:r>
        <w:rPr>
          <w:rFonts w:ascii="Arial" w:hAnsi="Arial" w:cs="Arial"/>
          <w:bCs/>
          <w:lang w:eastAsia="it-IT"/>
        </w:rPr>
        <w:t>8</w:t>
      </w:r>
    </w:p>
    <w:p w14:paraId="68F5A8DC"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5.- Identidad personal y sus tipos</w:t>
      </w:r>
      <w:r>
        <w:rPr>
          <w:rFonts w:ascii="Arial" w:hAnsi="Arial" w:cs="Arial"/>
          <w:bCs/>
          <w:lang w:eastAsia="it-IT"/>
        </w:rPr>
        <w:t>……………………………………………………………10</w:t>
      </w:r>
    </w:p>
    <w:p w14:paraId="335BED2B" w14:textId="77777777" w:rsidR="00DE408C" w:rsidRPr="00792B12" w:rsidRDefault="00DE408C" w:rsidP="00DE408C">
      <w:pPr>
        <w:autoSpaceDE w:val="0"/>
        <w:autoSpaceDN w:val="0"/>
        <w:adjustRightInd w:val="0"/>
        <w:spacing w:after="240" w:line="360" w:lineRule="auto"/>
        <w:ind w:left="708"/>
        <w:jc w:val="both"/>
        <w:rPr>
          <w:rFonts w:ascii="Arial" w:hAnsi="Arial" w:cs="Arial"/>
          <w:bCs/>
          <w:lang w:eastAsia="it-IT"/>
        </w:rPr>
      </w:pPr>
      <w:r w:rsidRPr="00792B12">
        <w:rPr>
          <w:rFonts w:ascii="Arial" w:hAnsi="Arial" w:cs="Arial"/>
          <w:bCs/>
          <w:lang w:eastAsia="it-IT"/>
        </w:rPr>
        <w:t>5.1.- La vertiente estática del derecho a la identidad personal</w:t>
      </w:r>
      <w:r>
        <w:rPr>
          <w:rFonts w:ascii="Arial" w:hAnsi="Arial" w:cs="Arial"/>
          <w:bCs/>
          <w:lang w:eastAsia="it-IT"/>
        </w:rPr>
        <w:t>……………</w:t>
      </w:r>
      <w:proofErr w:type="gramStart"/>
      <w:r>
        <w:rPr>
          <w:rFonts w:ascii="Arial" w:hAnsi="Arial" w:cs="Arial"/>
          <w:bCs/>
          <w:lang w:eastAsia="it-IT"/>
        </w:rPr>
        <w:t>…….</w:t>
      </w:r>
      <w:proofErr w:type="gramEnd"/>
      <w:r>
        <w:rPr>
          <w:rFonts w:ascii="Arial" w:hAnsi="Arial" w:cs="Arial"/>
          <w:bCs/>
          <w:lang w:eastAsia="it-IT"/>
        </w:rPr>
        <w:t>.11</w:t>
      </w:r>
    </w:p>
    <w:p w14:paraId="68A65E04" w14:textId="77777777" w:rsidR="00DE408C" w:rsidRPr="00792B12" w:rsidRDefault="00DE408C" w:rsidP="00DE408C">
      <w:pPr>
        <w:autoSpaceDE w:val="0"/>
        <w:autoSpaceDN w:val="0"/>
        <w:adjustRightInd w:val="0"/>
        <w:spacing w:after="240" w:line="360" w:lineRule="auto"/>
        <w:ind w:left="708"/>
        <w:jc w:val="both"/>
        <w:rPr>
          <w:rFonts w:ascii="Arial" w:hAnsi="Arial" w:cs="Arial"/>
          <w:bCs/>
          <w:lang w:eastAsia="it-IT"/>
        </w:rPr>
      </w:pPr>
      <w:r w:rsidRPr="00792B12">
        <w:rPr>
          <w:rFonts w:ascii="Arial" w:hAnsi="Arial" w:cs="Arial"/>
          <w:bCs/>
          <w:lang w:eastAsia="it-IT"/>
        </w:rPr>
        <w:t>5.2.- La identidad personal en su perspectiva dinámica</w:t>
      </w:r>
      <w:r>
        <w:rPr>
          <w:rFonts w:ascii="Arial" w:hAnsi="Arial" w:cs="Arial"/>
          <w:bCs/>
          <w:lang w:eastAsia="it-IT"/>
        </w:rPr>
        <w:t>……………………</w:t>
      </w:r>
      <w:proofErr w:type="gramStart"/>
      <w:r>
        <w:rPr>
          <w:rFonts w:ascii="Arial" w:hAnsi="Arial" w:cs="Arial"/>
          <w:bCs/>
          <w:lang w:eastAsia="it-IT"/>
        </w:rPr>
        <w:t>…….</w:t>
      </w:r>
      <w:proofErr w:type="gramEnd"/>
      <w:r>
        <w:rPr>
          <w:rFonts w:ascii="Arial" w:hAnsi="Arial" w:cs="Arial"/>
          <w:bCs/>
          <w:lang w:eastAsia="it-IT"/>
        </w:rPr>
        <w:t>12</w:t>
      </w:r>
    </w:p>
    <w:p w14:paraId="51719FA9" w14:textId="77777777" w:rsidR="00DE408C" w:rsidRPr="00792B12" w:rsidRDefault="00DE408C" w:rsidP="00DE408C">
      <w:pPr>
        <w:autoSpaceDE w:val="0"/>
        <w:autoSpaceDN w:val="0"/>
        <w:adjustRightInd w:val="0"/>
        <w:spacing w:after="240" w:line="360" w:lineRule="auto"/>
        <w:ind w:left="708"/>
        <w:jc w:val="both"/>
        <w:rPr>
          <w:rFonts w:ascii="Arial" w:hAnsi="Arial" w:cs="Arial"/>
          <w:bCs/>
          <w:lang w:eastAsia="it-IT"/>
        </w:rPr>
      </w:pPr>
    </w:p>
    <w:p w14:paraId="0F06F8EE"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Capítulo Segundo:</w:t>
      </w:r>
    </w:p>
    <w:p w14:paraId="19887078"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El derecho a la identidad personal y su diferenciación con otros derechos</w:t>
      </w:r>
    </w:p>
    <w:p w14:paraId="224F734D" w14:textId="77777777" w:rsidR="00DE408C" w:rsidRPr="00792B12" w:rsidRDefault="00DE408C" w:rsidP="00DE408C">
      <w:pPr>
        <w:tabs>
          <w:tab w:val="center" w:pos="9498"/>
        </w:tabs>
        <w:spacing w:after="240" w:line="360" w:lineRule="auto"/>
        <w:jc w:val="both"/>
        <w:rPr>
          <w:rFonts w:ascii="Arial" w:hAnsi="Arial" w:cs="Arial"/>
          <w:color w:val="000000"/>
        </w:rPr>
      </w:pPr>
      <w:r w:rsidRPr="00792B12">
        <w:rPr>
          <w:rFonts w:ascii="Arial" w:hAnsi="Arial" w:cs="Arial"/>
          <w:color w:val="000000"/>
        </w:rPr>
        <w:t>1.- Identidad personal y signos distintivos de la persona</w:t>
      </w:r>
      <w:r>
        <w:rPr>
          <w:rFonts w:ascii="Arial" w:hAnsi="Arial" w:cs="Arial"/>
          <w:color w:val="000000"/>
        </w:rPr>
        <w:t>………………………………...13</w:t>
      </w:r>
    </w:p>
    <w:p w14:paraId="5D07244B" w14:textId="77777777" w:rsidR="00DE408C" w:rsidRPr="00792B12" w:rsidRDefault="00DE408C" w:rsidP="00DE408C">
      <w:pPr>
        <w:keepNext/>
        <w:tabs>
          <w:tab w:val="left" w:pos="-720"/>
          <w:tab w:val="center" w:pos="9498"/>
        </w:tabs>
        <w:spacing w:after="240" w:line="360" w:lineRule="auto"/>
        <w:jc w:val="both"/>
        <w:outlineLvl w:val="0"/>
        <w:rPr>
          <w:rFonts w:ascii="Arial" w:eastAsia="Times New Roman" w:hAnsi="Arial" w:cs="Arial"/>
          <w:bCs/>
          <w:color w:val="000000"/>
          <w:kern w:val="32"/>
          <w:lang w:eastAsia="es-ES"/>
        </w:rPr>
      </w:pPr>
      <w:r w:rsidRPr="00792B12">
        <w:rPr>
          <w:rFonts w:ascii="Arial" w:eastAsia="Times New Roman" w:hAnsi="Arial" w:cs="Arial"/>
          <w:bCs/>
          <w:color w:val="000000"/>
          <w:kern w:val="32"/>
          <w:lang w:eastAsia="es-ES"/>
        </w:rPr>
        <w:t>2.- Identidad personal, nombres, imagen: diferencias</w:t>
      </w:r>
      <w:r>
        <w:rPr>
          <w:rFonts w:ascii="Arial" w:eastAsia="Times New Roman" w:hAnsi="Arial" w:cs="Arial"/>
          <w:bCs/>
          <w:color w:val="000000"/>
          <w:kern w:val="32"/>
          <w:lang w:eastAsia="es-ES"/>
        </w:rPr>
        <w:t>………………………………</w:t>
      </w:r>
      <w:proofErr w:type="gramStart"/>
      <w:r>
        <w:rPr>
          <w:rFonts w:ascii="Arial" w:eastAsia="Times New Roman" w:hAnsi="Arial" w:cs="Arial"/>
          <w:bCs/>
          <w:color w:val="000000"/>
          <w:kern w:val="32"/>
          <w:lang w:eastAsia="es-ES"/>
        </w:rPr>
        <w:t>…….</w:t>
      </w:r>
      <w:proofErr w:type="gramEnd"/>
      <w:r>
        <w:rPr>
          <w:rFonts w:ascii="Arial" w:eastAsia="Times New Roman" w:hAnsi="Arial" w:cs="Arial"/>
          <w:bCs/>
          <w:color w:val="000000"/>
          <w:kern w:val="32"/>
          <w:lang w:eastAsia="es-ES"/>
        </w:rPr>
        <w:t>14</w:t>
      </w:r>
    </w:p>
    <w:p w14:paraId="76082A7C" w14:textId="77777777" w:rsidR="00DE408C" w:rsidRPr="00792B12" w:rsidRDefault="00DE408C" w:rsidP="00DE408C">
      <w:pPr>
        <w:keepNext/>
        <w:tabs>
          <w:tab w:val="left" w:pos="-720"/>
          <w:tab w:val="center" w:pos="9498"/>
        </w:tabs>
        <w:spacing w:after="240" w:line="360" w:lineRule="auto"/>
        <w:jc w:val="both"/>
        <w:outlineLvl w:val="0"/>
        <w:rPr>
          <w:rFonts w:ascii="Arial" w:eastAsia="Times New Roman" w:hAnsi="Arial" w:cs="Arial"/>
          <w:bCs/>
          <w:color w:val="000000"/>
          <w:kern w:val="32"/>
          <w:lang w:eastAsia="es-ES"/>
        </w:rPr>
      </w:pPr>
      <w:r w:rsidRPr="00792B12">
        <w:rPr>
          <w:rFonts w:ascii="Arial" w:eastAsia="Times New Roman" w:hAnsi="Arial" w:cs="Arial"/>
          <w:bCs/>
          <w:color w:val="000000"/>
          <w:kern w:val="32"/>
          <w:lang w:eastAsia="es-ES"/>
        </w:rPr>
        <w:t>3.- Diferencias entre el derecho a la intimidad de la vida privada y derecho a la identidad personal</w:t>
      </w:r>
      <w:r>
        <w:rPr>
          <w:rFonts w:ascii="Arial" w:eastAsia="Times New Roman" w:hAnsi="Arial" w:cs="Arial"/>
          <w:bCs/>
          <w:color w:val="000000"/>
          <w:kern w:val="32"/>
          <w:lang w:eastAsia="es-ES"/>
        </w:rPr>
        <w:t>…………………………………………………………………-………………</w:t>
      </w:r>
      <w:proofErr w:type="gramStart"/>
      <w:r>
        <w:rPr>
          <w:rFonts w:ascii="Arial" w:eastAsia="Times New Roman" w:hAnsi="Arial" w:cs="Arial"/>
          <w:bCs/>
          <w:color w:val="000000"/>
          <w:kern w:val="32"/>
          <w:lang w:eastAsia="es-ES"/>
        </w:rPr>
        <w:t>…….</w:t>
      </w:r>
      <w:proofErr w:type="gramEnd"/>
      <w:r>
        <w:rPr>
          <w:rFonts w:ascii="Arial" w:eastAsia="Times New Roman" w:hAnsi="Arial" w:cs="Arial"/>
          <w:bCs/>
          <w:color w:val="000000"/>
          <w:kern w:val="32"/>
          <w:lang w:eastAsia="es-ES"/>
        </w:rPr>
        <w:t>16</w:t>
      </w:r>
    </w:p>
    <w:p w14:paraId="3252BDB3" w14:textId="77777777" w:rsidR="00DE408C" w:rsidRPr="00792B12" w:rsidRDefault="00DE408C" w:rsidP="00DE408C">
      <w:pPr>
        <w:tabs>
          <w:tab w:val="center" w:pos="9498"/>
        </w:tabs>
        <w:spacing w:after="240" w:line="360" w:lineRule="auto"/>
        <w:ind w:left="708"/>
        <w:jc w:val="both"/>
        <w:rPr>
          <w:rFonts w:ascii="Arial" w:hAnsi="Arial" w:cs="Arial"/>
          <w:color w:val="000000"/>
        </w:rPr>
      </w:pPr>
      <w:r w:rsidRPr="00792B12">
        <w:rPr>
          <w:rFonts w:ascii="Arial" w:hAnsi="Arial" w:cs="Arial"/>
          <w:color w:val="000000"/>
        </w:rPr>
        <w:t>3.1.- Antecedentes del derecho a la intimidad en la doctrina, la jurisprudencia y la legislación</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.………...18</w:t>
      </w:r>
    </w:p>
    <w:p w14:paraId="2B44502C" w14:textId="77777777" w:rsidR="00DE408C" w:rsidRPr="00792B12" w:rsidRDefault="00DE408C" w:rsidP="00DE408C">
      <w:pPr>
        <w:tabs>
          <w:tab w:val="center" w:pos="9498"/>
        </w:tabs>
        <w:overflowPunct w:val="0"/>
        <w:autoSpaceDE w:val="0"/>
        <w:autoSpaceDN w:val="0"/>
        <w:adjustRightInd w:val="0"/>
        <w:spacing w:after="240" w:line="360" w:lineRule="auto"/>
        <w:ind w:left="708"/>
        <w:jc w:val="both"/>
        <w:textAlignment w:val="baseline"/>
        <w:rPr>
          <w:rFonts w:ascii="Arial" w:hAnsi="Arial" w:cs="Arial"/>
          <w:color w:val="000000"/>
        </w:rPr>
      </w:pPr>
      <w:r w:rsidRPr="00792B12">
        <w:rPr>
          <w:rFonts w:ascii="Arial" w:hAnsi="Arial" w:cs="Arial"/>
          <w:color w:val="000000"/>
        </w:rPr>
        <w:t>3.2.- Alcances de la noción de intimidad</w:t>
      </w:r>
      <w:r>
        <w:rPr>
          <w:rFonts w:ascii="Arial" w:hAnsi="Arial" w:cs="Arial"/>
          <w:color w:val="000000"/>
        </w:rPr>
        <w:t>…………………………………………...23</w:t>
      </w:r>
    </w:p>
    <w:p w14:paraId="76C48125" w14:textId="77777777" w:rsidR="00DE408C" w:rsidRPr="00792B12" w:rsidRDefault="00DE408C" w:rsidP="00DE408C">
      <w:pPr>
        <w:tabs>
          <w:tab w:val="center" w:pos="9498"/>
        </w:tabs>
        <w:overflowPunct w:val="0"/>
        <w:autoSpaceDE w:val="0"/>
        <w:autoSpaceDN w:val="0"/>
        <w:adjustRightInd w:val="0"/>
        <w:spacing w:after="240" w:line="360" w:lineRule="auto"/>
        <w:ind w:left="708"/>
        <w:jc w:val="both"/>
        <w:textAlignment w:val="baseline"/>
        <w:rPr>
          <w:rFonts w:ascii="Arial" w:hAnsi="Arial" w:cs="Arial"/>
          <w:color w:val="000000"/>
        </w:rPr>
      </w:pPr>
      <w:r w:rsidRPr="00792B12">
        <w:rPr>
          <w:rFonts w:ascii="Arial" w:hAnsi="Arial" w:cs="Arial"/>
          <w:color w:val="000000"/>
        </w:rPr>
        <w:t>3.3.- Limitaciones al derecho a la intimidad personal y familiar</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26</w:t>
      </w:r>
    </w:p>
    <w:p w14:paraId="6B9B6E7C" w14:textId="77777777" w:rsidR="00DE408C" w:rsidRPr="00792B12" w:rsidRDefault="00DE408C" w:rsidP="00DE408C">
      <w:pPr>
        <w:tabs>
          <w:tab w:val="center" w:pos="9498"/>
        </w:tabs>
        <w:overflowPunct w:val="0"/>
        <w:autoSpaceDE w:val="0"/>
        <w:autoSpaceDN w:val="0"/>
        <w:adjustRightInd w:val="0"/>
        <w:spacing w:after="240" w:line="360" w:lineRule="auto"/>
        <w:ind w:left="708"/>
        <w:jc w:val="both"/>
        <w:textAlignment w:val="baseline"/>
        <w:rPr>
          <w:rFonts w:ascii="Arial" w:hAnsi="Arial" w:cs="Arial"/>
          <w:color w:val="000000"/>
        </w:rPr>
      </w:pPr>
      <w:r w:rsidRPr="00792B12">
        <w:rPr>
          <w:rFonts w:ascii="Arial" w:hAnsi="Arial" w:cs="Arial"/>
          <w:color w:val="000000"/>
        </w:rPr>
        <w:t>3.4.- El derecho a la vida privada y el conflicto con la libertad de información</w:t>
      </w:r>
      <w:r>
        <w:rPr>
          <w:rFonts w:ascii="Arial" w:hAnsi="Arial" w:cs="Arial"/>
          <w:color w:val="000000"/>
        </w:rPr>
        <w:t>…28</w:t>
      </w:r>
    </w:p>
    <w:p w14:paraId="44EA899A" w14:textId="77777777" w:rsidR="00DE408C" w:rsidRPr="00792B12" w:rsidRDefault="00DE408C" w:rsidP="00DE408C">
      <w:pPr>
        <w:spacing w:after="240" w:line="360" w:lineRule="auto"/>
        <w:ind w:left="708"/>
        <w:jc w:val="both"/>
        <w:rPr>
          <w:rFonts w:ascii="Arial" w:hAnsi="Arial" w:cs="Arial"/>
          <w:color w:val="000000"/>
        </w:rPr>
      </w:pPr>
      <w:r w:rsidRPr="00792B12">
        <w:rPr>
          <w:rFonts w:ascii="Arial" w:hAnsi="Arial" w:cs="Arial"/>
          <w:lang w:eastAsia="es-ES"/>
        </w:rPr>
        <w:lastRenderedPageBreak/>
        <w:t xml:space="preserve">3.5.- </w:t>
      </w:r>
      <w:r w:rsidRPr="00792B12">
        <w:rPr>
          <w:rFonts w:ascii="Arial" w:hAnsi="Arial" w:cs="Arial"/>
          <w:color w:val="000000"/>
        </w:rPr>
        <w:t>El código civil peruano de 1984 y la intimidad</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30</w:t>
      </w:r>
    </w:p>
    <w:p w14:paraId="74ADAAD7" w14:textId="77777777" w:rsidR="00DE408C" w:rsidRPr="00792B12" w:rsidRDefault="00DE408C" w:rsidP="00DE408C">
      <w:pPr>
        <w:keepNext/>
        <w:tabs>
          <w:tab w:val="left" w:pos="-720"/>
          <w:tab w:val="center" w:pos="9498"/>
        </w:tabs>
        <w:spacing w:after="240" w:line="360" w:lineRule="auto"/>
        <w:jc w:val="both"/>
        <w:outlineLvl w:val="0"/>
        <w:rPr>
          <w:rFonts w:ascii="Arial" w:eastAsia="Times New Roman" w:hAnsi="Arial" w:cs="Arial"/>
          <w:bCs/>
          <w:color w:val="000000"/>
          <w:kern w:val="32"/>
          <w:lang w:eastAsia="es-ES"/>
        </w:rPr>
      </w:pPr>
      <w:r w:rsidRPr="00792B12">
        <w:rPr>
          <w:rFonts w:ascii="Arial" w:eastAsia="Times New Roman" w:hAnsi="Arial" w:cs="Arial"/>
          <w:bCs/>
          <w:color w:val="000000"/>
          <w:kern w:val="32"/>
          <w:lang w:eastAsia="es-ES"/>
        </w:rPr>
        <w:t>4.- Identidad personal, derecho al honor y a la reputación: diferencias</w:t>
      </w:r>
      <w:r>
        <w:rPr>
          <w:rFonts w:ascii="Arial" w:eastAsia="Times New Roman" w:hAnsi="Arial" w:cs="Arial"/>
          <w:bCs/>
          <w:color w:val="000000"/>
          <w:kern w:val="32"/>
          <w:lang w:eastAsia="es-ES"/>
        </w:rPr>
        <w:t>…………</w:t>
      </w:r>
      <w:proofErr w:type="gramStart"/>
      <w:r>
        <w:rPr>
          <w:rFonts w:ascii="Arial" w:eastAsia="Times New Roman" w:hAnsi="Arial" w:cs="Arial"/>
          <w:bCs/>
          <w:color w:val="000000"/>
          <w:kern w:val="32"/>
          <w:lang w:eastAsia="es-ES"/>
        </w:rPr>
        <w:t>…….</w:t>
      </w:r>
      <w:proofErr w:type="gramEnd"/>
      <w:r>
        <w:rPr>
          <w:rFonts w:ascii="Arial" w:eastAsia="Times New Roman" w:hAnsi="Arial" w:cs="Arial"/>
          <w:bCs/>
          <w:color w:val="000000"/>
          <w:kern w:val="32"/>
          <w:lang w:eastAsia="es-ES"/>
        </w:rPr>
        <w:t>.31</w:t>
      </w:r>
    </w:p>
    <w:p w14:paraId="457FE866" w14:textId="77777777" w:rsidR="00DE408C" w:rsidRPr="00792B12" w:rsidRDefault="00DE408C" w:rsidP="00DE408C">
      <w:pPr>
        <w:keepNext/>
        <w:tabs>
          <w:tab w:val="left" w:pos="-720"/>
          <w:tab w:val="center" w:pos="9498"/>
        </w:tabs>
        <w:spacing w:after="240" w:line="360" w:lineRule="auto"/>
        <w:jc w:val="both"/>
        <w:outlineLvl w:val="0"/>
        <w:rPr>
          <w:rFonts w:ascii="Arial" w:eastAsia="Times New Roman" w:hAnsi="Arial" w:cs="Arial"/>
          <w:bCs/>
          <w:color w:val="000000"/>
          <w:kern w:val="32"/>
          <w:lang w:eastAsia="es-ES"/>
        </w:rPr>
      </w:pPr>
      <w:r w:rsidRPr="00792B12">
        <w:rPr>
          <w:rFonts w:ascii="Arial" w:eastAsia="Times New Roman" w:hAnsi="Arial" w:cs="Arial"/>
          <w:bCs/>
          <w:color w:val="000000"/>
          <w:kern w:val="32"/>
          <w:lang w:eastAsia="es-ES"/>
        </w:rPr>
        <w:t>5.- Derecho a la información y el derecho a la identidad personal</w:t>
      </w:r>
      <w:r>
        <w:rPr>
          <w:rFonts w:ascii="Arial" w:eastAsia="Times New Roman" w:hAnsi="Arial" w:cs="Arial"/>
          <w:bCs/>
          <w:color w:val="000000"/>
          <w:kern w:val="32"/>
          <w:lang w:eastAsia="es-ES"/>
        </w:rPr>
        <w:t>………………………34</w:t>
      </w:r>
    </w:p>
    <w:p w14:paraId="57037947"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p>
    <w:p w14:paraId="3B508C09"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Capítulo Tercero:</w:t>
      </w:r>
    </w:p>
    <w:p w14:paraId="1C18F6AF"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El derecho a la identidad sexual</w:t>
      </w:r>
    </w:p>
    <w:p w14:paraId="04BC6102" w14:textId="77777777" w:rsidR="00DE408C" w:rsidRPr="00792B12" w:rsidRDefault="00DE408C" w:rsidP="00DE408C">
      <w:pPr>
        <w:tabs>
          <w:tab w:val="center" w:pos="9498"/>
        </w:tabs>
        <w:spacing w:after="240" w:line="360" w:lineRule="auto"/>
        <w:jc w:val="both"/>
        <w:rPr>
          <w:rFonts w:ascii="Arial" w:hAnsi="Arial" w:cs="Arial"/>
          <w:color w:val="000000"/>
        </w:rPr>
      </w:pPr>
      <w:r w:rsidRPr="00792B12">
        <w:rPr>
          <w:rFonts w:ascii="Arial" w:hAnsi="Arial" w:cs="Arial"/>
          <w:color w:val="000000"/>
        </w:rPr>
        <w:t>1.- La problemática de la identidad sexual y sus tipos</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36</w:t>
      </w:r>
    </w:p>
    <w:p w14:paraId="49E23D80" w14:textId="77777777" w:rsidR="00DE408C" w:rsidRPr="00792B12" w:rsidRDefault="00DE408C" w:rsidP="00DE408C">
      <w:pPr>
        <w:tabs>
          <w:tab w:val="center" w:pos="9498"/>
        </w:tabs>
        <w:spacing w:after="240" w:line="360" w:lineRule="auto"/>
        <w:jc w:val="both"/>
        <w:rPr>
          <w:rFonts w:ascii="Arial" w:hAnsi="Arial" w:cs="Arial"/>
          <w:color w:val="000000"/>
        </w:rPr>
      </w:pPr>
      <w:r w:rsidRPr="00792B12">
        <w:rPr>
          <w:rFonts w:ascii="Arial" w:hAnsi="Arial" w:cs="Arial"/>
          <w:color w:val="000000"/>
        </w:rPr>
        <w:t>2.- La necesaria distinción entre género y sexo</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39</w:t>
      </w:r>
    </w:p>
    <w:p w14:paraId="075E450D" w14:textId="77777777" w:rsidR="00DE408C" w:rsidRPr="00792B12" w:rsidRDefault="00DE408C" w:rsidP="00DE408C">
      <w:pPr>
        <w:tabs>
          <w:tab w:val="center" w:pos="9498"/>
        </w:tabs>
        <w:spacing w:after="240" w:line="360" w:lineRule="auto"/>
        <w:jc w:val="both"/>
        <w:rPr>
          <w:rFonts w:ascii="Arial" w:hAnsi="Arial" w:cs="Arial"/>
          <w:color w:val="000000"/>
        </w:rPr>
      </w:pPr>
      <w:r w:rsidRPr="00792B12">
        <w:rPr>
          <w:rFonts w:ascii="Arial" w:hAnsi="Arial" w:cs="Arial"/>
          <w:color w:val="000000"/>
        </w:rPr>
        <w:t>3.- Elementos de la sexualidad</w:t>
      </w:r>
      <w:r>
        <w:rPr>
          <w:rFonts w:ascii="Arial" w:hAnsi="Arial" w:cs="Arial"/>
          <w:color w:val="000000"/>
        </w:rPr>
        <w:t>………………………………………………………………40</w:t>
      </w:r>
    </w:p>
    <w:p w14:paraId="468BA644" w14:textId="77777777" w:rsidR="00DE408C" w:rsidRPr="00792B12" w:rsidRDefault="00DE408C" w:rsidP="00DE408C">
      <w:pPr>
        <w:tabs>
          <w:tab w:val="center" w:pos="9498"/>
        </w:tabs>
        <w:spacing w:after="240" w:line="360" w:lineRule="auto"/>
        <w:jc w:val="both"/>
        <w:rPr>
          <w:rFonts w:ascii="Arial" w:hAnsi="Arial" w:cs="Arial"/>
          <w:color w:val="000000"/>
        </w:rPr>
      </w:pPr>
      <w:r w:rsidRPr="00792B12">
        <w:rPr>
          <w:rFonts w:ascii="Arial" w:hAnsi="Arial" w:cs="Arial"/>
          <w:color w:val="000000"/>
        </w:rPr>
        <w:t>4.- La complejidad de la sexualidad</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.…………….41</w:t>
      </w:r>
    </w:p>
    <w:p w14:paraId="76764E6D" w14:textId="77777777" w:rsidR="00DE408C" w:rsidRPr="00792B12" w:rsidRDefault="00DE408C" w:rsidP="00DE408C">
      <w:pPr>
        <w:autoSpaceDE w:val="0"/>
        <w:autoSpaceDN w:val="0"/>
        <w:adjustRightInd w:val="0"/>
        <w:spacing w:after="240" w:line="360" w:lineRule="auto"/>
        <w:jc w:val="both"/>
        <w:rPr>
          <w:rFonts w:ascii="Arial" w:hAnsi="Arial" w:cs="Arial"/>
          <w:b/>
          <w:bCs/>
          <w:lang w:eastAsia="it-IT"/>
        </w:rPr>
      </w:pPr>
    </w:p>
    <w:p w14:paraId="33AB8FA1"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Capítulo Cuarto</w:t>
      </w:r>
    </w:p>
    <w:p w14:paraId="57B1D9D8"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El fenómeno del transexualismo y el cambio de sexo</w:t>
      </w:r>
    </w:p>
    <w:p w14:paraId="5CFF22D0"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1.- El fenómeno social del transexualismo</w:t>
      </w:r>
      <w:r>
        <w:rPr>
          <w:rFonts w:ascii="Arial" w:hAnsi="Arial" w:cs="Arial"/>
          <w:bCs/>
          <w:lang w:eastAsia="it-IT"/>
        </w:rPr>
        <w:t>……………………………………………</w:t>
      </w:r>
      <w:proofErr w:type="gramStart"/>
      <w:r>
        <w:rPr>
          <w:rFonts w:ascii="Arial" w:hAnsi="Arial" w:cs="Arial"/>
          <w:bCs/>
          <w:lang w:eastAsia="it-IT"/>
        </w:rPr>
        <w:t>…….</w:t>
      </w:r>
      <w:proofErr w:type="gramEnd"/>
      <w:r>
        <w:rPr>
          <w:rFonts w:ascii="Arial" w:hAnsi="Arial" w:cs="Arial"/>
          <w:bCs/>
          <w:lang w:eastAsia="it-IT"/>
        </w:rPr>
        <w:t>44</w:t>
      </w:r>
    </w:p>
    <w:p w14:paraId="42E75C41"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2.- El síndrome transexual</w:t>
      </w:r>
      <w:r>
        <w:rPr>
          <w:rFonts w:ascii="Arial" w:hAnsi="Arial" w:cs="Arial"/>
          <w:bCs/>
          <w:lang w:eastAsia="it-IT"/>
        </w:rPr>
        <w:t>……………………………………………………………………47</w:t>
      </w:r>
    </w:p>
    <w:p w14:paraId="40CB0986"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 xml:space="preserve">3.- Transexualidad, los estados intersexuales e </w:t>
      </w:r>
      <w:proofErr w:type="spellStart"/>
      <w:r w:rsidRPr="00792B12">
        <w:rPr>
          <w:rFonts w:ascii="Arial" w:hAnsi="Arial" w:cs="Arial"/>
          <w:bCs/>
          <w:lang w:eastAsia="it-IT"/>
        </w:rPr>
        <w:t>isosexualismo</w:t>
      </w:r>
      <w:proofErr w:type="spellEnd"/>
      <w:r>
        <w:rPr>
          <w:rFonts w:ascii="Arial" w:hAnsi="Arial" w:cs="Arial"/>
          <w:bCs/>
          <w:lang w:eastAsia="it-IT"/>
        </w:rPr>
        <w:t>……………………</w:t>
      </w:r>
      <w:proofErr w:type="gramStart"/>
      <w:r>
        <w:rPr>
          <w:rFonts w:ascii="Arial" w:hAnsi="Arial" w:cs="Arial"/>
          <w:bCs/>
          <w:lang w:eastAsia="it-IT"/>
        </w:rPr>
        <w:t>…….</w:t>
      </w:r>
      <w:proofErr w:type="gramEnd"/>
      <w:r>
        <w:rPr>
          <w:rFonts w:ascii="Arial" w:hAnsi="Arial" w:cs="Arial"/>
          <w:bCs/>
          <w:lang w:eastAsia="it-IT"/>
        </w:rPr>
        <w:t>48</w:t>
      </w:r>
    </w:p>
    <w:p w14:paraId="48392056"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4.- Cambio de sexo: alcances jurídicos</w:t>
      </w:r>
      <w:r>
        <w:rPr>
          <w:rFonts w:ascii="Arial" w:hAnsi="Arial" w:cs="Arial"/>
          <w:bCs/>
          <w:lang w:eastAsia="it-IT"/>
        </w:rPr>
        <w:t>……………………………………………</w:t>
      </w:r>
      <w:proofErr w:type="gramStart"/>
      <w:r>
        <w:rPr>
          <w:rFonts w:ascii="Arial" w:hAnsi="Arial" w:cs="Arial"/>
          <w:bCs/>
          <w:lang w:eastAsia="it-IT"/>
        </w:rPr>
        <w:t>…….</w:t>
      </w:r>
      <w:proofErr w:type="gramEnd"/>
      <w:r>
        <w:rPr>
          <w:rFonts w:ascii="Arial" w:hAnsi="Arial" w:cs="Arial"/>
          <w:bCs/>
          <w:lang w:eastAsia="it-IT"/>
        </w:rPr>
        <w:t>…49</w:t>
      </w:r>
    </w:p>
    <w:p w14:paraId="529A6818" w14:textId="77777777"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 xml:space="preserve">5.- El drama existencial de la persona transexual, cambio de sexo y la intervención </w:t>
      </w:r>
    </w:p>
    <w:p w14:paraId="08984D4B" w14:textId="429889D3" w:rsidR="00DE408C" w:rsidRPr="00792B12" w:rsidRDefault="00DE408C" w:rsidP="00DE408C">
      <w:pPr>
        <w:autoSpaceDE w:val="0"/>
        <w:autoSpaceDN w:val="0"/>
        <w:adjustRightInd w:val="0"/>
        <w:spacing w:after="240" w:line="360" w:lineRule="auto"/>
        <w:jc w:val="both"/>
        <w:rPr>
          <w:rFonts w:ascii="Arial" w:hAnsi="Arial" w:cs="Arial"/>
          <w:bCs/>
          <w:lang w:eastAsia="it-IT"/>
        </w:rPr>
      </w:pPr>
      <w:r w:rsidRPr="00792B12">
        <w:rPr>
          <w:rFonts w:ascii="Arial" w:hAnsi="Arial" w:cs="Arial"/>
          <w:bCs/>
          <w:lang w:eastAsia="it-IT"/>
        </w:rPr>
        <w:t xml:space="preserve"> quirúrgica demoledora-reconstructiva</w:t>
      </w:r>
      <w:r>
        <w:rPr>
          <w:rFonts w:ascii="Arial" w:hAnsi="Arial" w:cs="Arial"/>
          <w:bCs/>
          <w:lang w:eastAsia="it-IT"/>
        </w:rPr>
        <w:t>…………………………………………………</w:t>
      </w:r>
      <w:r w:rsidR="00E4398D">
        <w:rPr>
          <w:rFonts w:ascii="Arial" w:hAnsi="Arial" w:cs="Arial"/>
          <w:bCs/>
          <w:lang w:eastAsia="it-IT"/>
        </w:rPr>
        <w:t>.</w:t>
      </w:r>
      <w:r>
        <w:rPr>
          <w:rFonts w:ascii="Arial" w:hAnsi="Arial" w:cs="Arial"/>
          <w:bCs/>
          <w:lang w:eastAsia="it-IT"/>
        </w:rPr>
        <w:t xml:space="preserve"> …50</w:t>
      </w:r>
    </w:p>
    <w:p w14:paraId="55D9F14A"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Capítulo Quinto</w:t>
      </w:r>
    </w:p>
    <w:p w14:paraId="250A82D2"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El derecho a la identidad personal y sexual en la experiencia jurídica italiana</w:t>
      </w:r>
    </w:p>
    <w:p w14:paraId="1F496B16" w14:textId="3430633A" w:rsidR="00DE408C" w:rsidRPr="00792B12" w:rsidRDefault="00DE408C" w:rsidP="00DE408C">
      <w:pPr>
        <w:autoSpaceDE w:val="0"/>
        <w:autoSpaceDN w:val="0"/>
        <w:adjustRightInd w:val="0"/>
        <w:spacing w:after="240" w:line="360" w:lineRule="auto"/>
        <w:jc w:val="both"/>
        <w:rPr>
          <w:rFonts w:ascii="Arial" w:hAnsi="Arial" w:cs="Arial"/>
          <w:color w:val="000000"/>
        </w:rPr>
      </w:pPr>
      <w:r w:rsidRPr="00792B12">
        <w:rPr>
          <w:rFonts w:ascii="Arial" w:hAnsi="Arial" w:cs="Arial"/>
          <w:color w:val="000000"/>
        </w:rPr>
        <w:t xml:space="preserve">1.- Antecedentes jurisprudenciales del derecho a la identidad personal en </w:t>
      </w:r>
      <w:proofErr w:type="gramStart"/>
      <w:r w:rsidRPr="00792B12">
        <w:rPr>
          <w:rFonts w:ascii="Arial" w:hAnsi="Arial" w:cs="Arial"/>
          <w:color w:val="000000"/>
        </w:rPr>
        <w:t>Italia</w:t>
      </w:r>
      <w:r>
        <w:rPr>
          <w:rFonts w:ascii="Arial" w:hAnsi="Arial" w:cs="Arial"/>
          <w:color w:val="000000"/>
        </w:rPr>
        <w:t>…</w:t>
      </w:r>
      <w:r w:rsidR="00E4398D">
        <w:rPr>
          <w:rFonts w:ascii="Arial" w:hAnsi="Arial" w:cs="Arial"/>
          <w:color w:val="000000"/>
        </w:rPr>
        <w:t>.</w:t>
      </w:r>
      <w:proofErr w:type="gramEnd"/>
      <w:r w:rsidR="00E4398D">
        <w:rPr>
          <w:rFonts w:ascii="Arial" w:hAnsi="Arial" w:cs="Arial"/>
          <w:color w:val="000000"/>
        </w:rPr>
        <w:t>.</w:t>
      </w:r>
      <w:r>
        <w:rPr>
          <w:rFonts w:ascii="Arial" w:hAnsi="Arial" w:cs="Arial"/>
          <w:color w:val="000000"/>
        </w:rPr>
        <w:t>…54</w:t>
      </w:r>
    </w:p>
    <w:p w14:paraId="5E9DF8B1" w14:textId="77777777" w:rsidR="00DE408C" w:rsidRPr="00792B12" w:rsidRDefault="00DE408C" w:rsidP="00DE408C">
      <w:pPr>
        <w:autoSpaceDE w:val="0"/>
        <w:autoSpaceDN w:val="0"/>
        <w:adjustRightInd w:val="0"/>
        <w:spacing w:after="240" w:line="360" w:lineRule="auto"/>
        <w:jc w:val="both"/>
        <w:rPr>
          <w:rFonts w:ascii="Arial" w:hAnsi="Arial" w:cs="Arial"/>
          <w:color w:val="000000"/>
        </w:rPr>
      </w:pPr>
    </w:p>
    <w:p w14:paraId="6D5A8600" w14:textId="77777777" w:rsidR="00DE408C" w:rsidRPr="00792B12" w:rsidRDefault="00DE408C" w:rsidP="00DE408C">
      <w:pPr>
        <w:autoSpaceDE w:val="0"/>
        <w:autoSpaceDN w:val="0"/>
        <w:adjustRightInd w:val="0"/>
        <w:spacing w:after="240" w:line="360" w:lineRule="auto"/>
        <w:jc w:val="both"/>
        <w:rPr>
          <w:rFonts w:ascii="Arial" w:hAnsi="Arial" w:cs="Arial"/>
          <w:color w:val="000000"/>
        </w:rPr>
      </w:pPr>
      <w:r w:rsidRPr="00792B12">
        <w:rPr>
          <w:rFonts w:ascii="Arial" w:hAnsi="Arial" w:cs="Arial"/>
          <w:color w:val="000000"/>
        </w:rPr>
        <w:t>2.- Fundamento jurídico de la creatividad jurisprudencial italiana respecto al derecho a la identidad personal: los primeros reconocimientos</w:t>
      </w:r>
      <w:r>
        <w:rPr>
          <w:rFonts w:ascii="Arial" w:hAnsi="Arial" w:cs="Arial"/>
          <w:color w:val="000000"/>
        </w:rPr>
        <w:t>………………………………………56</w:t>
      </w:r>
    </w:p>
    <w:p w14:paraId="44D396D3" w14:textId="77777777" w:rsidR="00DE408C" w:rsidRPr="00792B12" w:rsidRDefault="00DE408C" w:rsidP="00DE408C">
      <w:pPr>
        <w:autoSpaceDE w:val="0"/>
        <w:autoSpaceDN w:val="0"/>
        <w:adjustRightInd w:val="0"/>
        <w:spacing w:after="240" w:line="360" w:lineRule="auto"/>
        <w:jc w:val="both"/>
        <w:rPr>
          <w:rFonts w:ascii="Arial" w:hAnsi="Arial" w:cs="Arial"/>
          <w:color w:val="000000"/>
        </w:rPr>
      </w:pPr>
      <w:r w:rsidRPr="00792B12">
        <w:rPr>
          <w:rFonts w:ascii="Arial" w:hAnsi="Arial" w:cs="Arial"/>
          <w:color w:val="000000"/>
        </w:rPr>
        <w:t>3.- El derecho a la identidad personal en la creativa jurisprudencia italiana: un nuevo derecho de la persona</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.…...58</w:t>
      </w:r>
    </w:p>
    <w:p w14:paraId="044DFAFE" w14:textId="77777777" w:rsidR="00DE408C" w:rsidRPr="00792B12" w:rsidRDefault="00DE408C" w:rsidP="00DE408C">
      <w:pPr>
        <w:autoSpaceDE w:val="0"/>
        <w:autoSpaceDN w:val="0"/>
        <w:adjustRightInd w:val="0"/>
        <w:spacing w:after="240" w:line="360" w:lineRule="auto"/>
        <w:jc w:val="both"/>
        <w:rPr>
          <w:rFonts w:ascii="Arial" w:hAnsi="Arial" w:cs="Arial"/>
          <w:color w:val="000000"/>
        </w:rPr>
      </w:pPr>
      <w:r w:rsidRPr="00792B12">
        <w:rPr>
          <w:rFonts w:ascii="Arial" w:hAnsi="Arial" w:cs="Arial"/>
          <w:color w:val="000000"/>
        </w:rPr>
        <w:t>4.</w:t>
      </w:r>
      <w:proofErr w:type="gramStart"/>
      <w:r w:rsidRPr="00792B12">
        <w:rPr>
          <w:rFonts w:ascii="Arial" w:hAnsi="Arial" w:cs="Arial"/>
          <w:color w:val="000000"/>
        </w:rPr>
        <w:t>-  La</w:t>
      </w:r>
      <w:proofErr w:type="gramEnd"/>
      <w:r w:rsidRPr="00792B12">
        <w:rPr>
          <w:rFonts w:ascii="Arial" w:hAnsi="Arial" w:cs="Arial"/>
          <w:color w:val="000000"/>
        </w:rPr>
        <w:t xml:space="preserve"> consolidación del derecho a la identidad personal</w:t>
      </w:r>
      <w:r>
        <w:rPr>
          <w:rFonts w:ascii="Arial" w:hAnsi="Arial" w:cs="Arial"/>
          <w:color w:val="000000"/>
        </w:rPr>
        <w:t>………………………………..61</w:t>
      </w:r>
    </w:p>
    <w:p w14:paraId="3EA289B0" w14:textId="77777777" w:rsidR="00DE408C" w:rsidRPr="00792B12" w:rsidRDefault="00DE408C" w:rsidP="00DE408C">
      <w:pPr>
        <w:autoSpaceDE w:val="0"/>
        <w:autoSpaceDN w:val="0"/>
        <w:adjustRightInd w:val="0"/>
        <w:spacing w:after="240" w:line="360" w:lineRule="auto"/>
        <w:jc w:val="both"/>
        <w:rPr>
          <w:rFonts w:ascii="Arial" w:hAnsi="Arial" w:cs="Arial"/>
          <w:color w:val="000000"/>
        </w:rPr>
      </w:pPr>
      <w:r w:rsidRPr="00792B12">
        <w:rPr>
          <w:rFonts w:ascii="Arial" w:hAnsi="Arial" w:cs="Arial"/>
          <w:color w:val="000000"/>
        </w:rPr>
        <w:t xml:space="preserve">5.- La ley </w:t>
      </w:r>
      <w:proofErr w:type="spellStart"/>
      <w:r w:rsidRPr="00792B12">
        <w:rPr>
          <w:rFonts w:ascii="Arial" w:hAnsi="Arial" w:cs="Arial"/>
          <w:color w:val="000000"/>
        </w:rPr>
        <w:t>N°</w:t>
      </w:r>
      <w:proofErr w:type="spellEnd"/>
      <w:r w:rsidRPr="00792B12">
        <w:rPr>
          <w:rFonts w:ascii="Arial" w:hAnsi="Arial" w:cs="Arial"/>
          <w:color w:val="000000"/>
        </w:rPr>
        <w:t xml:space="preserve"> 164 de 1982</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64</w:t>
      </w:r>
    </w:p>
    <w:p w14:paraId="7C88ED3D" w14:textId="77777777" w:rsidR="00DE408C" w:rsidRPr="00792B12" w:rsidRDefault="00DE408C" w:rsidP="00DE408C">
      <w:pPr>
        <w:autoSpaceDE w:val="0"/>
        <w:autoSpaceDN w:val="0"/>
        <w:adjustRightInd w:val="0"/>
        <w:spacing w:after="240" w:line="360" w:lineRule="auto"/>
        <w:jc w:val="both"/>
        <w:rPr>
          <w:rFonts w:ascii="Arial" w:hAnsi="Arial" w:cs="Arial"/>
          <w:color w:val="000000"/>
        </w:rPr>
      </w:pPr>
      <w:r w:rsidRPr="00792B12">
        <w:rPr>
          <w:rFonts w:ascii="Arial" w:hAnsi="Arial" w:cs="Arial"/>
          <w:color w:val="000000"/>
        </w:rPr>
        <w:t>6.- El derecho a la identidad personal y la labor de la Corte de Casación</w:t>
      </w:r>
      <w:r>
        <w:rPr>
          <w:rFonts w:ascii="Arial" w:hAnsi="Arial" w:cs="Arial"/>
          <w:color w:val="000000"/>
        </w:rPr>
        <w:t>……………...67</w:t>
      </w:r>
    </w:p>
    <w:p w14:paraId="2C02483B" w14:textId="77777777" w:rsidR="00DE408C" w:rsidRPr="00792B12" w:rsidRDefault="00DE408C" w:rsidP="00DE408C">
      <w:pPr>
        <w:autoSpaceDE w:val="0"/>
        <w:autoSpaceDN w:val="0"/>
        <w:adjustRightInd w:val="0"/>
        <w:spacing w:after="240" w:line="360" w:lineRule="auto"/>
        <w:jc w:val="both"/>
        <w:rPr>
          <w:rFonts w:ascii="Arial" w:hAnsi="Arial" w:cs="Arial"/>
          <w:color w:val="000000"/>
        </w:rPr>
      </w:pPr>
      <w:r w:rsidRPr="00792B12">
        <w:rPr>
          <w:rFonts w:ascii="Arial" w:hAnsi="Arial" w:cs="Arial"/>
          <w:color w:val="000000"/>
        </w:rPr>
        <w:t>7.- El derecho a la identidad personal en la jurisprudencia de la Corte Constitucional.</w:t>
      </w:r>
      <w:r>
        <w:rPr>
          <w:rFonts w:ascii="Arial" w:hAnsi="Arial" w:cs="Arial"/>
          <w:color w:val="000000"/>
        </w:rPr>
        <w:t>70</w:t>
      </w:r>
    </w:p>
    <w:p w14:paraId="6E99B7B4" w14:textId="77777777" w:rsidR="00DE408C" w:rsidRPr="0096481E" w:rsidRDefault="00DE408C" w:rsidP="00DE408C">
      <w:pPr>
        <w:autoSpaceDE w:val="0"/>
        <w:autoSpaceDN w:val="0"/>
        <w:adjustRightInd w:val="0"/>
        <w:spacing w:after="240" w:line="360" w:lineRule="auto"/>
        <w:jc w:val="both"/>
        <w:rPr>
          <w:rFonts w:ascii="Arial" w:hAnsi="Arial" w:cs="Arial"/>
          <w:bCs/>
          <w:lang w:eastAsia="it-IT"/>
        </w:rPr>
      </w:pPr>
      <w:r w:rsidRPr="0096481E">
        <w:rPr>
          <w:rFonts w:ascii="Arial" w:hAnsi="Arial" w:cs="Arial"/>
          <w:bCs/>
          <w:lang w:eastAsia="it-IT"/>
        </w:rPr>
        <w:t xml:space="preserve">8.- Un giro Copérnico: la sentencia de la Corte de Casación </w:t>
      </w:r>
      <w:proofErr w:type="spellStart"/>
      <w:r w:rsidRPr="0096481E">
        <w:rPr>
          <w:rFonts w:ascii="Arial" w:hAnsi="Arial" w:cs="Arial"/>
          <w:bCs/>
          <w:lang w:eastAsia="it-IT"/>
        </w:rPr>
        <w:t>N°</w:t>
      </w:r>
      <w:proofErr w:type="spellEnd"/>
      <w:r w:rsidRPr="0096481E">
        <w:rPr>
          <w:rFonts w:ascii="Arial" w:hAnsi="Arial" w:cs="Arial"/>
          <w:bCs/>
          <w:lang w:eastAsia="it-IT"/>
        </w:rPr>
        <w:t xml:space="preserve"> 15138/2015 del 20 de julio de 2015</w:t>
      </w:r>
      <w:r>
        <w:rPr>
          <w:rFonts w:ascii="Arial" w:hAnsi="Arial" w:cs="Arial"/>
          <w:bCs/>
          <w:lang w:eastAsia="it-IT"/>
        </w:rPr>
        <w:t>…………………………………………………………………………</w:t>
      </w:r>
      <w:proofErr w:type="gramStart"/>
      <w:r>
        <w:rPr>
          <w:rFonts w:ascii="Arial" w:hAnsi="Arial" w:cs="Arial"/>
          <w:bCs/>
          <w:lang w:eastAsia="it-IT"/>
        </w:rPr>
        <w:t>…….</w:t>
      </w:r>
      <w:proofErr w:type="gramEnd"/>
      <w:r>
        <w:rPr>
          <w:rFonts w:ascii="Arial" w:hAnsi="Arial" w:cs="Arial"/>
          <w:bCs/>
          <w:lang w:eastAsia="it-IT"/>
        </w:rPr>
        <w:t>….73</w:t>
      </w:r>
    </w:p>
    <w:p w14:paraId="1A295E0B" w14:textId="77777777" w:rsidR="00DE408C" w:rsidRPr="0096481E" w:rsidRDefault="00DE408C" w:rsidP="00DE408C">
      <w:pPr>
        <w:autoSpaceDE w:val="0"/>
        <w:autoSpaceDN w:val="0"/>
        <w:adjustRightInd w:val="0"/>
        <w:spacing w:after="240" w:line="360" w:lineRule="auto"/>
        <w:jc w:val="both"/>
        <w:rPr>
          <w:rFonts w:ascii="Arial" w:hAnsi="Arial" w:cs="Arial"/>
          <w:bCs/>
          <w:lang w:eastAsia="it-IT"/>
        </w:rPr>
      </w:pPr>
      <w:r w:rsidRPr="0096481E">
        <w:rPr>
          <w:rFonts w:ascii="Arial" w:hAnsi="Arial" w:cs="Arial"/>
          <w:bCs/>
          <w:lang w:eastAsia="it-IT"/>
        </w:rPr>
        <w:t xml:space="preserve">9.- La sentencia </w:t>
      </w:r>
      <w:proofErr w:type="spellStart"/>
      <w:r w:rsidRPr="0096481E">
        <w:rPr>
          <w:rFonts w:ascii="Arial" w:hAnsi="Arial" w:cs="Arial"/>
          <w:bCs/>
          <w:lang w:eastAsia="it-IT"/>
        </w:rPr>
        <w:t>N°</w:t>
      </w:r>
      <w:proofErr w:type="spellEnd"/>
      <w:r w:rsidRPr="0096481E">
        <w:rPr>
          <w:rFonts w:ascii="Arial" w:hAnsi="Arial" w:cs="Arial"/>
          <w:bCs/>
          <w:lang w:eastAsia="it-IT"/>
        </w:rPr>
        <w:t xml:space="preserve"> 221 del 21 de octubre de 2015 de la Corte Constitucional</w:t>
      </w:r>
      <w:r>
        <w:rPr>
          <w:rFonts w:ascii="Arial" w:hAnsi="Arial" w:cs="Arial"/>
          <w:bCs/>
          <w:lang w:eastAsia="it-IT"/>
        </w:rPr>
        <w:t>…</w:t>
      </w:r>
      <w:proofErr w:type="gramStart"/>
      <w:r>
        <w:rPr>
          <w:rFonts w:ascii="Arial" w:hAnsi="Arial" w:cs="Arial"/>
          <w:bCs/>
          <w:lang w:eastAsia="it-IT"/>
        </w:rPr>
        <w:t>…….</w:t>
      </w:r>
      <w:proofErr w:type="gramEnd"/>
      <w:r>
        <w:rPr>
          <w:rFonts w:ascii="Arial" w:hAnsi="Arial" w:cs="Arial"/>
          <w:bCs/>
          <w:lang w:eastAsia="it-IT"/>
        </w:rPr>
        <w:t>77</w:t>
      </w:r>
    </w:p>
    <w:p w14:paraId="400983F8" w14:textId="77777777" w:rsidR="00DE408C" w:rsidRPr="00792B12" w:rsidRDefault="00DE408C" w:rsidP="00DE408C">
      <w:pPr>
        <w:autoSpaceDE w:val="0"/>
        <w:autoSpaceDN w:val="0"/>
        <w:adjustRightInd w:val="0"/>
        <w:spacing w:after="240" w:line="360" w:lineRule="auto"/>
        <w:jc w:val="both"/>
        <w:rPr>
          <w:rFonts w:ascii="Arial" w:hAnsi="Arial" w:cs="Arial"/>
          <w:bCs/>
          <w:sz w:val="24"/>
          <w:szCs w:val="24"/>
          <w:lang w:eastAsia="it-IT"/>
        </w:rPr>
      </w:pPr>
      <w:r w:rsidRPr="00792B12">
        <w:rPr>
          <w:rFonts w:ascii="Arial" w:hAnsi="Arial" w:cs="Arial"/>
          <w:bCs/>
          <w:sz w:val="24"/>
          <w:szCs w:val="24"/>
          <w:lang w:eastAsia="it-IT"/>
        </w:rPr>
        <w:t>10.- El derecho a la identidad personal en Italia: balance</w:t>
      </w:r>
      <w:r>
        <w:rPr>
          <w:rFonts w:ascii="Arial" w:hAnsi="Arial" w:cs="Arial"/>
          <w:bCs/>
          <w:sz w:val="24"/>
          <w:szCs w:val="24"/>
          <w:lang w:eastAsia="it-IT"/>
        </w:rPr>
        <w:t>…………………</w:t>
      </w:r>
      <w:proofErr w:type="gramStart"/>
      <w:r>
        <w:rPr>
          <w:rFonts w:ascii="Arial" w:hAnsi="Arial" w:cs="Arial"/>
          <w:bCs/>
          <w:sz w:val="24"/>
          <w:szCs w:val="24"/>
          <w:lang w:eastAsia="it-IT"/>
        </w:rPr>
        <w:t>…….</w:t>
      </w:r>
      <w:proofErr w:type="gramEnd"/>
      <w:r>
        <w:rPr>
          <w:rFonts w:ascii="Arial" w:hAnsi="Arial" w:cs="Arial"/>
          <w:bCs/>
          <w:sz w:val="24"/>
          <w:szCs w:val="24"/>
          <w:lang w:eastAsia="it-IT"/>
        </w:rPr>
        <w:t>.80</w:t>
      </w:r>
    </w:p>
    <w:p w14:paraId="48188EDF" w14:textId="77777777" w:rsidR="00DE408C" w:rsidRPr="00792B12" w:rsidRDefault="00DE408C" w:rsidP="00DE408C">
      <w:pPr>
        <w:autoSpaceDE w:val="0"/>
        <w:autoSpaceDN w:val="0"/>
        <w:adjustRightInd w:val="0"/>
        <w:spacing w:after="240" w:line="360" w:lineRule="auto"/>
        <w:jc w:val="both"/>
        <w:rPr>
          <w:rFonts w:ascii="Arial" w:hAnsi="Arial" w:cs="Arial"/>
          <w:b/>
          <w:bCs/>
          <w:lang w:eastAsia="it-IT"/>
        </w:rPr>
      </w:pPr>
    </w:p>
    <w:p w14:paraId="712DC951"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Capítulo Sexto</w:t>
      </w:r>
    </w:p>
    <w:p w14:paraId="04910D22" w14:textId="77777777" w:rsidR="00DE408C" w:rsidRPr="00792B12" w:rsidRDefault="00DE408C" w:rsidP="00DE408C">
      <w:pPr>
        <w:autoSpaceDE w:val="0"/>
        <w:autoSpaceDN w:val="0"/>
        <w:adjustRightInd w:val="0"/>
        <w:spacing w:after="240" w:line="360" w:lineRule="auto"/>
        <w:jc w:val="center"/>
        <w:rPr>
          <w:rFonts w:ascii="Arial" w:hAnsi="Arial" w:cs="Arial"/>
          <w:b/>
          <w:bCs/>
          <w:lang w:eastAsia="it-IT"/>
        </w:rPr>
      </w:pPr>
      <w:r w:rsidRPr="00792B12">
        <w:rPr>
          <w:rFonts w:ascii="Arial" w:hAnsi="Arial" w:cs="Arial"/>
          <w:b/>
          <w:bCs/>
          <w:lang w:eastAsia="it-IT"/>
        </w:rPr>
        <w:t>La experiencia jurídica peruana sobre el derecho a la identidad personal y la tutela jurídica de la persona transexual</w:t>
      </w:r>
    </w:p>
    <w:p w14:paraId="4BB1899F" w14:textId="77777777" w:rsidR="00DE408C" w:rsidRPr="00792B12" w:rsidRDefault="00DE408C" w:rsidP="00DE408C">
      <w:pPr>
        <w:tabs>
          <w:tab w:val="center" w:pos="9498"/>
        </w:tabs>
        <w:spacing w:after="240" w:line="360" w:lineRule="auto"/>
        <w:ind w:left="284" w:hanging="284"/>
        <w:jc w:val="both"/>
        <w:rPr>
          <w:rFonts w:ascii="Arial" w:hAnsi="Arial" w:cs="Arial"/>
          <w:color w:val="000000"/>
        </w:rPr>
      </w:pPr>
      <w:r w:rsidRPr="00792B12">
        <w:rPr>
          <w:rFonts w:ascii="Arial" w:hAnsi="Arial" w:cs="Arial"/>
          <w:color w:val="000000"/>
        </w:rPr>
        <w:t xml:space="preserve">1.- Los aportes de la doctrina peruana: la contribución de jurista peruano </w:t>
      </w:r>
      <w:proofErr w:type="gramStart"/>
      <w:r w:rsidRPr="00792B12">
        <w:rPr>
          <w:rFonts w:ascii="Arial" w:hAnsi="Arial" w:cs="Arial"/>
          <w:color w:val="000000"/>
        </w:rPr>
        <w:t>Carlos  Fernández</w:t>
      </w:r>
      <w:proofErr w:type="gramEnd"/>
      <w:r w:rsidRPr="00792B12">
        <w:rPr>
          <w:rFonts w:ascii="Arial" w:hAnsi="Arial" w:cs="Arial"/>
          <w:color w:val="000000"/>
        </w:rPr>
        <w:t xml:space="preserve"> </w:t>
      </w:r>
      <w:proofErr w:type="spellStart"/>
      <w:r w:rsidRPr="00792B12">
        <w:rPr>
          <w:rFonts w:ascii="Arial" w:hAnsi="Arial" w:cs="Arial"/>
          <w:color w:val="000000"/>
        </w:rPr>
        <w:t>Sessarego</w:t>
      </w:r>
      <w:proofErr w:type="spellEnd"/>
      <w:r w:rsidRPr="00792B12">
        <w:rPr>
          <w:rFonts w:ascii="Arial" w:hAnsi="Arial" w:cs="Arial"/>
          <w:color w:val="000000"/>
        </w:rPr>
        <w:t xml:space="preserve"> en el nacimiento del derecho a la identidad personal</w:t>
      </w:r>
      <w:r>
        <w:rPr>
          <w:rFonts w:ascii="Arial" w:hAnsi="Arial" w:cs="Arial"/>
          <w:color w:val="000000"/>
        </w:rPr>
        <w:t>……..82</w:t>
      </w:r>
    </w:p>
    <w:p w14:paraId="74F98268" w14:textId="77777777" w:rsidR="00DE408C" w:rsidRPr="00792B12" w:rsidRDefault="00DE408C" w:rsidP="00DE408C">
      <w:pPr>
        <w:tabs>
          <w:tab w:val="center" w:pos="9498"/>
        </w:tabs>
        <w:spacing w:after="240" w:line="360" w:lineRule="auto"/>
        <w:jc w:val="both"/>
        <w:rPr>
          <w:rFonts w:ascii="Arial" w:hAnsi="Arial" w:cs="Arial"/>
          <w:color w:val="000000"/>
        </w:rPr>
      </w:pPr>
      <w:r w:rsidRPr="00792B12">
        <w:rPr>
          <w:rFonts w:ascii="Arial" w:hAnsi="Arial" w:cs="Arial"/>
          <w:color w:val="000000"/>
        </w:rPr>
        <w:t>2.- En la jurisprudencia peruana</w:t>
      </w:r>
      <w:r>
        <w:rPr>
          <w:rFonts w:ascii="Arial" w:hAnsi="Arial" w:cs="Arial"/>
          <w:color w:val="000000"/>
        </w:rPr>
        <w:t>……………………………………………………………83</w:t>
      </w:r>
    </w:p>
    <w:p w14:paraId="230CD455" w14:textId="77777777" w:rsidR="00DE408C" w:rsidRPr="00792B12" w:rsidRDefault="00DE408C" w:rsidP="00DE408C">
      <w:pPr>
        <w:tabs>
          <w:tab w:val="center" w:pos="9498"/>
        </w:tabs>
        <w:spacing w:after="240" w:line="360" w:lineRule="auto"/>
        <w:rPr>
          <w:rFonts w:ascii="Arial" w:hAnsi="Arial" w:cs="Arial"/>
          <w:b/>
          <w:bCs/>
          <w:lang w:eastAsia="it-IT"/>
        </w:rPr>
      </w:pPr>
      <w:r>
        <w:rPr>
          <w:rFonts w:ascii="Arial" w:hAnsi="Arial" w:cs="Arial"/>
          <w:b/>
          <w:bCs/>
          <w:lang w:eastAsia="it-IT"/>
        </w:rPr>
        <w:t xml:space="preserve">                 I.- </w:t>
      </w:r>
      <w:r w:rsidRPr="00792B12">
        <w:rPr>
          <w:rFonts w:ascii="Arial" w:hAnsi="Arial" w:cs="Arial"/>
          <w:b/>
          <w:bCs/>
          <w:lang w:eastAsia="it-IT"/>
        </w:rPr>
        <w:t>Sentencias del Tribunal Constitucional del Perú</w:t>
      </w:r>
    </w:p>
    <w:p w14:paraId="3E3A80CB"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792B12">
        <w:rPr>
          <w:rFonts w:ascii="Arial" w:hAnsi="Arial" w:cs="Arial"/>
          <w:color w:val="000000"/>
        </w:rPr>
        <w:t xml:space="preserve">2.1. -El caso de “Karen </w:t>
      </w:r>
      <w:proofErr w:type="spellStart"/>
      <w:r w:rsidRPr="00792B12">
        <w:rPr>
          <w:rFonts w:ascii="Arial" w:hAnsi="Arial" w:cs="Arial"/>
          <w:color w:val="000000"/>
        </w:rPr>
        <w:t>Mañuca</w:t>
      </w:r>
      <w:proofErr w:type="spellEnd"/>
      <w:r w:rsidRPr="00792B12">
        <w:rPr>
          <w:rFonts w:ascii="Arial" w:hAnsi="Arial" w:cs="Arial"/>
          <w:color w:val="000000"/>
        </w:rPr>
        <w:t>” del 2006 y el planteamiento del Tribunal Constitucional Peruano</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87</w:t>
      </w:r>
    </w:p>
    <w:p w14:paraId="656BC343"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792B12">
        <w:rPr>
          <w:rFonts w:ascii="Arial" w:hAnsi="Arial" w:cs="Arial"/>
          <w:color w:val="000000"/>
        </w:rPr>
        <w:t>2.2.- Sentencia en el caso de Pamela Estela Mendoza Moreno del 2012</w:t>
      </w:r>
      <w:r>
        <w:rPr>
          <w:rFonts w:ascii="Arial" w:hAnsi="Arial" w:cs="Arial"/>
          <w:color w:val="000000"/>
        </w:rPr>
        <w:t>…89</w:t>
      </w:r>
    </w:p>
    <w:p w14:paraId="722EC12C"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792B12">
        <w:rPr>
          <w:rFonts w:ascii="Arial" w:hAnsi="Arial" w:cs="Arial"/>
          <w:color w:val="000000"/>
        </w:rPr>
        <w:lastRenderedPageBreak/>
        <w:t>2.3. Sentencia en el caso “C.F.A.D.” de junio del 2014</w:t>
      </w:r>
      <w:r>
        <w:rPr>
          <w:rFonts w:ascii="Arial" w:hAnsi="Arial" w:cs="Arial"/>
          <w:color w:val="000000"/>
        </w:rPr>
        <w:t>………………………97</w:t>
      </w:r>
    </w:p>
    <w:p w14:paraId="06B59B0A"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792B12">
        <w:rPr>
          <w:rFonts w:ascii="Arial" w:hAnsi="Arial" w:cs="Arial"/>
          <w:color w:val="000000"/>
        </w:rPr>
        <w:t>2.4.-Sentencia en el caso “José Antonio Álvarez Rojas” del 20 de noviembre del 2014</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……………………98</w:t>
      </w:r>
    </w:p>
    <w:p w14:paraId="00099166"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A63ABC">
        <w:rPr>
          <w:rFonts w:ascii="Arial" w:hAnsi="Arial" w:cs="Arial"/>
          <w:color w:val="000000"/>
        </w:rPr>
        <w:t xml:space="preserve">2.5.- Sentencia 6040-2015-PA/TC del caso Ana Romero </w:t>
      </w:r>
      <w:proofErr w:type="gramStart"/>
      <w:r w:rsidRPr="00A63ABC">
        <w:rPr>
          <w:rFonts w:ascii="Arial" w:hAnsi="Arial" w:cs="Arial"/>
          <w:color w:val="000000"/>
        </w:rPr>
        <w:t>Saldarriaga</w:t>
      </w:r>
      <w:r>
        <w:rPr>
          <w:rFonts w:ascii="Arial" w:hAnsi="Arial" w:cs="Arial"/>
          <w:color w:val="000000"/>
        </w:rPr>
        <w:t>….</w:t>
      </w:r>
      <w:proofErr w:type="gramEnd"/>
      <w:r>
        <w:rPr>
          <w:rFonts w:ascii="Arial" w:hAnsi="Arial" w:cs="Arial"/>
          <w:color w:val="000000"/>
        </w:rPr>
        <w:t>99</w:t>
      </w:r>
    </w:p>
    <w:p w14:paraId="0A1BA377" w14:textId="77777777" w:rsidR="00DE408C" w:rsidRPr="00792B12" w:rsidRDefault="00DE408C" w:rsidP="00DE408C">
      <w:pPr>
        <w:tabs>
          <w:tab w:val="center" w:pos="9498"/>
        </w:tabs>
        <w:spacing w:after="240" w:line="360" w:lineRule="auto"/>
        <w:jc w:val="both"/>
        <w:rPr>
          <w:rFonts w:ascii="Arial" w:hAnsi="Arial" w:cs="Arial"/>
          <w:color w:val="000000"/>
        </w:rPr>
      </w:pPr>
    </w:p>
    <w:p w14:paraId="615AC28E" w14:textId="77777777" w:rsidR="00DE408C" w:rsidRPr="00792B12" w:rsidRDefault="00DE408C" w:rsidP="00DE408C">
      <w:pPr>
        <w:tabs>
          <w:tab w:val="center" w:pos="9498"/>
        </w:tabs>
        <w:spacing w:after="240" w:line="360" w:lineRule="auto"/>
        <w:rPr>
          <w:rFonts w:ascii="Arial" w:hAnsi="Arial" w:cs="Arial"/>
          <w:b/>
          <w:bCs/>
          <w:lang w:eastAsia="it-IT"/>
        </w:rPr>
      </w:pPr>
      <w:r>
        <w:rPr>
          <w:rFonts w:ascii="Arial" w:hAnsi="Arial" w:cs="Arial"/>
          <w:b/>
          <w:bCs/>
          <w:lang w:eastAsia="it-IT"/>
        </w:rPr>
        <w:t xml:space="preserve">                II. </w:t>
      </w:r>
      <w:r w:rsidRPr="00792B12">
        <w:rPr>
          <w:rFonts w:ascii="Arial" w:hAnsi="Arial" w:cs="Arial"/>
          <w:b/>
          <w:bCs/>
          <w:lang w:eastAsia="it-IT"/>
        </w:rPr>
        <w:t>Sentencias emitidas por el Poder Judicial Peruano</w:t>
      </w:r>
    </w:p>
    <w:p w14:paraId="71E69D2A"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792B12">
        <w:rPr>
          <w:rFonts w:ascii="Arial" w:hAnsi="Arial" w:cs="Arial"/>
          <w:color w:val="000000"/>
        </w:rPr>
        <w:t>2.6.- La sentencia del 26 de febrero de 1987 del Vigésimo Segundo Juzgado Civil de Lima</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.100</w:t>
      </w:r>
    </w:p>
    <w:p w14:paraId="37284B3F"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792B12">
        <w:rPr>
          <w:rFonts w:ascii="Arial" w:hAnsi="Arial" w:cs="Arial"/>
          <w:color w:val="000000"/>
        </w:rPr>
        <w:t>2.7.- La sentencia en el caso Carlos Humberto Aldana Pineda del 2006.</w:t>
      </w:r>
      <w:r>
        <w:rPr>
          <w:rFonts w:ascii="Arial" w:hAnsi="Arial" w:cs="Arial"/>
          <w:color w:val="000000"/>
        </w:rPr>
        <w:t>101</w:t>
      </w:r>
    </w:p>
    <w:p w14:paraId="1FDB7473"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792B12">
        <w:rPr>
          <w:rFonts w:ascii="Arial" w:hAnsi="Arial" w:cs="Arial"/>
          <w:color w:val="000000"/>
        </w:rPr>
        <w:t xml:space="preserve">2.8.- El caso de Néstor Harry Cárdenas Calderón de julio de </w:t>
      </w:r>
      <w:proofErr w:type="gramStart"/>
      <w:r w:rsidRPr="00792B12">
        <w:rPr>
          <w:rFonts w:ascii="Arial" w:hAnsi="Arial" w:cs="Arial"/>
          <w:color w:val="000000"/>
        </w:rPr>
        <w:t>2008</w:t>
      </w:r>
      <w:r>
        <w:rPr>
          <w:rFonts w:ascii="Arial" w:hAnsi="Arial" w:cs="Arial"/>
          <w:color w:val="000000"/>
        </w:rPr>
        <w:t>….</w:t>
      </w:r>
      <w:proofErr w:type="gramEnd"/>
      <w:r>
        <w:rPr>
          <w:rFonts w:ascii="Arial" w:hAnsi="Arial" w:cs="Arial"/>
          <w:color w:val="000000"/>
        </w:rPr>
        <w:t>.…107</w:t>
      </w:r>
    </w:p>
    <w:p w14:paraId="410F1AF9"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792B12">
        <w:rPr>
          <w:rFonts w:ascii="Arial" w:hAnsi="Arial" w:cs="Arial"/>
          <w:color w:val="000000"/>
        </w:rPr>
        <w:t xml:space="preserve">2.9.- Sentencia emitida por el Segundo Juzgado Civil de </w:t>
      </w:r>
      <w:proofErr w:type="spellStart"/>
      <w:r w:rsidRPr="00792B12">
        <w:rPr>
          <w:rFonts w:ascii="Arial" w:hAnsi="Arial" w:cs="Arial"/>
          <w:color w:val="000000"/>
        </w:rPr>
        <w:t>Paucaparta</w:t>
      </w:r>
      <w:proofErr w:type="spellEnd"/>
      <w:r w:rsidRPr="00792B12">
        <w:rPr>
          <w:rFonts w:ascii="Arial" w:hAnsi="Arial" w:cs="Arial"/>
          <w:color w:val="000000"/>
        </w:rPr>
        <w:t xml:space="preserve"> (Arequipa) del 05 de enero de 2018</w:t>
      </w:r>
      <w:r>
        <w:rPr>
          <w:rFonts w:ascii="Arial" w:hAnsi="Arial" w:cs="Arial"/>
          <w:color w:val="000000"/>
        </w:rPr>
        <w:t>………………………………………108</w:t>
      </w:r>
    </w:p>
    <w:p w14:paraId="7B8A88F6" w14:textId="77777777" w:rsidR="00DE408C" w:rsidRPr="00792B12" w:rsidRDefault="00DE408C" w:rsidP="00DE408C">
      <w:pPr>
        <w:tabs>
          <w:tab w:val="center" w:pos="9498"/>
        </w:tabs>
        <w:spacing w:after="240" w:line="360" w:lineRule="auto"/>
        <w:ind w:left="1276" w:hanging="283"/>
        <w:jc w:val="both"/>
        <w:rPr>
          <w:rFonts w:ascii="Arial" w:hAnsi="Arial" w:cs="Arial"/>
          <w:color w:val="000000"/>
        </w:rPr>
      </w:pPr>
      <w:r w:rsidRPr="00792B12">
        <w:rPr>
          <w:rFonts w:ascii="Arial" w:hAnsi="Arial" w:cs="Arial"/>
          <w:color w:val="000000"/>
        </w:rPr>
        <w:t>2.10.- Sentencia del Tercer Juzgado Constitucional Transitorio de Lima del 30 de julio de 2020</w:t>
      </w:r>
      <w:r>
        <w:rPr>
          <w:rFonts w:ascii="Arial" w:hAnsi="Arial" w:cs="Arial"/>
          <w:color w:val="000000"/>
        </w:rPr>
        <w:t>………………………………………………………………109</w:t>
      </w:r>
    </w:p>
    <w:p w14:paraId="0CB542A7" w14:textId="77777777" w:rsidR="00DE408C" w:rsidRPr="00792B12" w:rsidRDefault="00DE408C" w:rsidP="00DE408C">
      <w:pPr>
        <w:tabs>
          <w:tab w:val="center" w:pos="9498"/>
        </w:tabs>
        <w:spacing w:after="240" w:line="360" w:lineRule="auto"/>
        <w:jc w:val="both"/>
        <w:rPr>
          <w:rFonts w:ascii="Arial" w:hAnsi="Arial" w:cs="Arial"/>
          <w:color w:val="000000"/>
        </w:rPr>
      </w:pPr>
      <w:r w:rsidRPr="00792B12">
        <w:rPr>
          <w:rFonts w:ascii="Arial" w:hAnsi="Arial" w:cs="Arial"/>
          <w:color w:val="000000"/>
        </w:rPr>
        <w:t>3.- Las Bases para una legislación sobre adecuación de sexo en casos de transexualidad</w:t>
      </w:r>
      <w:r>
        <w:rPr>
          <w:rFonts w:ascii="Arial" w:hAnsi="Arial" w:cs="Arial"/>
          <w:color w:val="000000"/>
        </w:rPr>
        <w:t>………………………………………………………  ………………</w:t>
      </w:r>
      <w:proofErr w:type="gramStart"/>
      <w:r>
        <w:rPr>
          <w:rFonts w:ascii="Arial" w:hAnsi="Arial" w:cs="Arial"/>
          <w:color w:val="000000"/>
        </w:rPr>
        <w:t>…….</w:t>
      </w:r>
      <w:proofErr w:type="gramEnd"/>
      <w:r>
        <w:rPr>
          <w:rFonts w:ascii="Arial" w:hAnsi="Arial" w:cs="Arial"/>
          <w:color w:val="000000"/>
        </w:rPr>
        <w:t>.110</w:t>
      </w:r>
    </w:p>
    <w:p w14:paraId="20CAA8C2" w14:textId="77777777" w:rsidR="00DE408C" w:rsidRDefault="00DE408C" w:rsidP="00DE408C">
      <w:pPr>
        <w:tabs>
          <w:tab w:val="center" w:pos="9498"/>
        </w:tabs>
        <w:spacing w:after="240" w:line="360" w:lineRule="auto"/>
        <w:jc w:val="both"/>
        <w:rPr>
          <w:rFonts w:ascii="Arial" w:hAnsi="Arial" w:cs="Arial"/>
          <w:color w:val="000000"/>
        </w:rPr>
      </w:pPr>
      <w:r w:rsidRPr="0096481E">
        <w:rPr>
          <w:rFonts w:ascii="Arial" w:hAnsi="Arial" w:cs="Arial"/>
          <w:color w:val="000000"/>
        </w:rPr>
        <w:t>4.- Conclusiones</w:t>
      </w:r>
      <w:r>
        <w:rPr>
          <w:rFonts w:ascii="Arial" w:hAnsi="Arial" w:cs="Arial"/>
          <w:color w:val="000000"/>
        </w:rPr>
        <w:t>………………………………………………………………………</w:t>
      </w:r>
      <w:proofErr w:type="gramStart"/>
      <w:r>
        <w:rPr>
          <w:rFonts w:ascii="Arial" w:hAnsi="Arial" w:cs="Arial"/>
          <w:color w:val="000000"/>
        </w:rPr>
        <w:t>…....</w:t>
      </w:r>
      <w:proofErr w:type="gramEnd"/>
      <w:r>
        <w:rPr>
          <w:rFonts w:ascii="Arial" w:hAnsi="Arial" w:cs="Arial"/>
          <w:color w:val="000000"/>
        </w:rPr>
        <w:t>113</w:t>
      </w:r>
    </w:p>
    <w:p w14:paraId="19B8D4C6" w14:textId="375B9D56" w:rsidR="00DE408C" w:rsidRPr="0096481E" w:rsidRDefault="00DE408C" w:rsidP="00DE408C">
      <w:pPr>
        <w:tabs>
          <w:tab w:val="center" w:pos="9498"/>
        </w:tabs>
        <w:spacing w:after="240" w:line="360" w:lineRule="auto"/>
        <w:jc w:val="both"/>
        <w:rPr>
          <w:rFonts w:ascii="Arial" w:hAnsi="Arial" w:cs="Arial"/>
          <w:color w:val="000000"/>
        </w:rPr>
      </w:pPr>
      <w:r>
        <w:rPr>
          <w:rFonts w:ascii="Arial" w:hAnsi="Arial" w:cs="Arial"/>
          <w:color w:val="000000"/>
        </w:rPr>
        <w:t>Bibliografía………………………………………………………</w:t>
      </w:r>
      <w:proofErr w:type="gramStart"/>
      <w:r>
        <w:rPr>
          <w:rFonts w:ascii="Arial" w:hAnsi="Arial" w:cs="Arial"/>
          <w:color w:val="000000"/>
        </w:rPr>
        <w:t>…….</w:t>
      </w:r>
      <w:proofErr w:type="gramEnd"/>
      <w:r>
        <w:rPr>
          <w:rFonts w:ascii="Arial" w:hAnsi="Arial" w:cs="Arial"/>
          <w:color w:val="000000"/>
        </w:rPr>
        <w:t>……………………11</w:t>
      </w:r>
      <w:r w:rsidR="00A66C9B">
        <w:rPr>
          <w:rFonts w:ascii="Arial" w:hAnsi="Arial" w:cs="Arial"/>
          <w:color w:val="000000"/>
        </w:rPr>
        <w:t>8</w:t>
      </w:r>
    </w:p>
    <w:p w14:paraId="4177727D" w14:textId="77777777" w:rsidR="00E13622" w:rsidRPr="0096481E" w:rsidRDefault="00E13622" w:rsidP="00E13622">
      <w:pPr>
        <w:spacing w:after="240" w:line="360" w:lineRule="auto"/>
        <w:jc w:val="center"/>
        <w:rPr>
          <w:rFonts w:ascii="Arial" w:hAnsi="Arial" w:cs="Arial"/>
          <w:b/>
        </w:rPr>
      </w:pPr>
      <w:r w:rsidRPr="0096481E">
        <w:rPr>
          <w:rFonts w:ascii="Arial" w:hAnsi="Arial" w:cs="Arial"/>
          <w:b/>
        </w:rPr>
        <w:br w:type="page"/>
      </w:r>
    </w:p>
    <w:p w14:paraId="1E6FF702" w14:textId="7FC87FAE" w:rsidR="00E13622" w:rsidRDefault="00E13622" w:rsidP="00E13622">
      <w:pPr>
        <w:spacing w:after="240" w:line="360" w:lineRule="auto"/>
        <w:jc w:val="center"/>
        <w:rPr>
          <w:rFonts w:ascii="Arial" w:hAnsi="Arial" w:cs="Arial"/>
          <w:b/>
        </w:rPr>
      </w:pPr>
    </w:p>
    <w:p w14:paraId="49D725C7" w14:textId="77777777" w:rsidR="001B2B15" w:rsidRPr="0096481E" w:rsidRDefault="001B2B15" w:rsidP="00E13622">
      <w:pPr>
        <w:spacing w:after="240" w:line="360" w:lineRule="auto"/>
        <w:jc w:val="center"/>
        <w:rPr>
          <w:rFonts w:ascii="Arial" w:hAnsi="Arial" w:cs="Arial"/>
          <w:b/>
        </w:rPr>
      </w:pPr>
    </w:p>
    <w:p w14:paraId="6FB63832"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Capítulo Primero:</w:t>
      </w:r>
    </w:p>
    <w:p w14:paraId="3C96B925"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Fundamentos del derecho a la identidad personal</w:t>
      </w:r>
    </w:p>
    <w:p w14:paraId="7D499854" w14:textId="77777777" w:rsidR="0096481E" w:rsidRPr="00792B12" w:rsidRDefault="0096481E" w:rsidP="0096481E">
      <w:pPr>
        <w:autoSpaceDE w:val="0"/>
        <w:autoSpaceDN w:val="0"/>
        <w:adjustRightInd w:val="0"/>
        <w:spacing w:after="240" w:line="360" w:lineRule="auto"/>
        <w:jc w:val="both"/>
        <w:rPr>
          <w:rFonts w:ascii="Arial" w:hAnsi="Arial" w:cs="Arial"/>
          <w:b/>
          <w:bCs/>
          <w:lang w:eastAsia="it-IT"/>
        </w:rPr>
      </w:pPr>
      <w:r w:rsidRPr="00792B12">
        <w:rPr>
          <w:rFonts w:ascii="Arial" w:hAnsi="Arial" w:cs="Arial"/>
          <w:b/>
          <w:bCs/>
          <w:lang w:eastAsia="it-IT"/>
        </w:rPr>
        <w:t>1.- Una renovada concepción del ser humano</w:t>
      </w:r>
    </w:p>
    <w:p w14:paraId="0B65D132"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La nueva concepción del ser humano, expuesta en el Perú principalmente por el recordado Maestro Carlos Fernández </w:t>
      </w:r>
      <w:proofErr w:type="spellStart"/>
      <w:r w:rsidRPr="00792B12">
        <w:rPr>
          <w:rFonts w:ascii="Arial" w:hAnsi="Arial" w:cs="Arial"/>
          <w:color w:val="000000"/>
        </w:rPr>
        <w:t>Sessarego</w:t>
      </w:r>
      <w:proofErr w:type="spellEnd"/>
      <w:r w:rsidRPr="00792B12">
        <w:rPr>
          <w:rFonts w:ascii="Arial" w:hAnsi="Arial" w:cs="Arial"/>
          <w:color w:val="000000"/>
        </w:rPr>
        <w:t xml:space="preserve"> (Callao, 06 de marzo de 1926 - Lima, 28 de julio de 2019), que se concreta en la primera mitad del siglo XX, permite superar el hecho de que éste no se reduce a constituirse tan solo como un animal “racional”</w:t>
      </w:r>
      <w:r w:rsidRPr="00792B12">
        <w:rPr>
          <w:rFonts w:ascii="Arial" w:hAnsi="Arial" w:cs="Arial"/>
          <w:color w:val="000000"/>
          <w:vertAlign w:val="superscript"/>
        </w:rPr>
        <w:footnoteReference w:id="1"/>
      </w:r>
      <w:r w:rsidRPr="00792B12">
        <w:rPr>
          <w:rFonts w:ascii="Arial" w:hAnsi="Arial" w:cs="Arial"/>
          <w:color w:val="000000"/>
        </w:rPr>
        <w:t>. Lo que protege el “</w:t>
      </w:r>
      <w:r w:rsidRPr="00792B12">
        <w:rPr>
          <w:rFonts w:ascii="Arial" w:hAnsi="Arial" w:cs="Arial"/>
          <w:i/>
          <w:color w:val="000000"/>
        </w:rPr>
        <w:t>Derecho</w:t>
      </w:r>
      <w:r w:rsidRPr="00792B12">
        <w:rPr>
          <w:rFonts w:ascii="Arial" w:hAnsi="Arial" w:cs="Arial"/>
          <w:color w:val="000000"/>
        </w:rPr>
        <w:t>” es la libertad</w:t>
      </w:r>
      <w:r w:rsidRPr="00792B12">
        <w:rPr>
          <w:rFonts w:ascii="Arial" w:hAnsi="Arial" w:cs="Arial"/>
          <w:color w:val="000000"/>
          <w:vertAlign w:val="superscript"/>
        </w:rPr>
        <w:footnoteReference w:id="2"/>
      </w:r>
      <w:r w:rsidRPr="00792B12">
        <w:rPr>
          <w:rFonts w:ascii="Arial" w:hAnsi="Arial" w:cs="Arial"/>
          <w:color w:val="000000"/>
        </w:rPr>
        <w:t>, a fin de que cada ser humano, en tanto tal, pueda cumplir con su personal “</w:t>
      </w:r>
      <w:r w:rsidRPr="00792B12">
        <w:rPr>
          <w:rFonts w:ascii="Arial" w:hAnsi="Arial" w:cs="Arial"/>
          <w:i/>
          <w:color w:val="000000"/>
        </w:rPr>
        <w:t>proyecto de vida</w:t>
      </w:r>
      <w:r w:rsidRPr="00792B12">
        <w:rPr>
          <w:rFonts w:ascii="Arial" w:hAnsi="Arial" w:cs="Arial"/>
          <w:color w:val="000000"/>
        </w:rPr>
        <w:t>” dentro de la sociedad y participando del bien común</w:t>
      </w:r>
      <w:r w:rsidRPr="00792B12">
        <w:rPr>
          <w:rFonts w:ascii="Arial" w:hAnsi="Arial" w:cs="Arial"/>
          <w:color w:val="000000"/>
          <w:vertAlign w:val="superscript"/>
        </w:rPr>
        <w:footnoteReference w:id="3"/>
      </w:r>
      <w:r w:rsidRPr="00792B12">
        <w:rPr>
          <w:rFonts w:ascii="Arial" w:hAnsi="Arial" w:cs="Arial"/>
          <w:color w:val="000000"/>
        </w:rPr>
        <w:t xml:space="preserve">. La libertad es el </w:t>
      </w:r>
      <w:proofErr w:type="spellStart"/>
      <w:r w:rsidRPr="00792B12">
        <w:rPr>
          <w:rFonts w:ascii="Arial" w:hAnsi="Arial" w:cs="Arial"/>
          <w:i/>
          <w:color w:val="000000"/>
        </w:rPr>
        <w:t>prius</w:t>
      </w:r>
      <w:proofErr w:type="spellEnd"/>
      <w:r w:rsidRPr="00792B12">
        <w:rPr>
          <w:rFonts w:ascii="Arial" w:hAnsi="Arial" w:cs="Arial"/>
          <w:color w:val="000000"/>
          <w:vertAlign w:val="superscript"/>
        </w:rPr>
        <w:footnoteReference w:id="4"/>
      </w:r>
      <w:r w:rsidRPr="00792B12">
        <w:rPr>
          <w:rFonts w:ascii="Arial" w:hAnsi="Arial" w:cs="Arial"/>
          <w:color w:val="000000"/>
        </w:rPr>
        <w:t xml:space="preserve">. </w:t>
      </w:r>
    </w:p>
    <w:p w14:paraId="5C17163F"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El “</w:t>
      </w:r>
      <w:r w:rsidRPr="00792B12">
        <w:rPr>
          <w:rFonts w:ascii="Arial" w:hAnsi="Arial" w:cs="Arial"/>
          <w:i/>
          <w:color w:val="000000"/>
        </w:rPr>
        <w:t>redescubrimiento</w:t>
      </w:r>
      <w:r w:rsidRPr="00792B12">
        <w:rPr>
          <w:rFonts w:ascii="Arial" w:hAnsi="Arial" w:cs="Arial"/>
          <w:color w:val="000000"/>
        </w:rPr>
        <w:t xml:space="preserve">” de la calidad ontológica del </w:t>
      </w:r>
      <w:r w:rsidRPr="00792B12">
        <w:rPr>
          <w:rFonts w:ascii="Arial" w:hAnsi="Arial" w:cs="Arial"/>
          <w:b/>
          <w:color w:val="000000"/>
        </w:rPr>
        <w:t>ser libertad</w:t>
      </w:r>
      <w:r w:rsidRPr="00792B12">
        <w:rPr>
          <w:rFonts w:ascii="Arial" w:hAnsi="Arial" w:cs="Arial"/>
          <w:color w:val="000000"/>
          <w:vertAlign w:val="superscript"/>
        </w:rPr>
        <w:footnoteReference w:id="5"/>
      </w:r>
      <w:r w:rsidRPr="00792B12">
        <w:rPr>
          <w:rFonts w:ascii="Arial" w:hAnsi="Arial" w:cs="Arial"/>
          <w:color w:val="000000"/>
        </w:rPr>
        <w:t xml:space="preserve">, que constituye y sustenta al hombre, ha generado una nueva concepción del Derecho que, a su vez, obliga a una indispensable revisión de sus supuestos, así como de toda la institucionalidad jurídica. La libertad es creativa, estimativa, proyectiva. Solo el ser libre es creador y </w:t>
      </w:r>
      <w:proofErr w:type="spellStart"/>
      <w:r w:rsidRPr="00792B12">
        <w:rPr>
          <w:rFonts w:ascii="Arial" w:hAnsi="Arial" w:cs="Arial"/>
          <w:color w:val="000000"/>
        </w:rPr>
        <w:t>vivenciador</w:t>
      </w:r>
      <w:proofErr w:type="spellEnd"/>
      <w:r w:rsidRPr="00792B12">
        <w:rPr>
          <w:rFonts w:ascii="Arial" w:hAnsi="Arial" w:cs="Arial"/>
          <w:color w:val="000000"/>
        </w:rPr>
        <w:t xml:space="preserve"> de valores. Solo el ser libre es capaz de proyectar su vida prefiriendo unos valores sobre otros y creando su propia vida</w:t>
      </w:r>
      <w:r w:rsidRPr="00792B12">
        <w:rPr>
          <w:rFonts w:ascii="Arial" w:hAnsi="Arial" w:cs="Arial"/>
          <w:color w:val="000000"/>
          <w:vertAlign w:val="superscript"/>
        </w:rPr>
        <w:footnoteReference w:id="6"/>
      </w:r>
      <w:r w:rsidRPr="00792B12">
        <w:rPr>
          <w:rFonts w:ascii="Arial" w:hAnsi="Arial" w:cs="Arial"/>
          <w:color w:val="000000"/>
        </w:rPr>
        <w:t xml:space="preserve">. El Derecho es una </w:t>
      </w:r>
      <w:r w:rsidRPr="00792B12">
        <w:rPr>
          <w:rFonts w:ascii="Arial" w:hAnsi="Arial" w:cs="Arial"/>
          <w:color w:val="000000"/>
        </w:rPr>
        <w:lastRenderedPageBreak/>
        <w:t>exigencia existencial desde que el ser humano es estructuralmente “</w:t>
      </w:r>
      <w:r w:rsidRPr="00792B12">
        <w:rPr>
          <w:rFonts w:ascii="Arial" w:hAnsi="Arial" w:cs="Arial"/>
          <w:i/>
          <w:color w:val="000000"/>
        </w:rPr>
        <w:t>social</w:t>
      </w:r>
      <w:r w:rsidRPr="00792B12">
        <w:rPr>
          <w:rFonts w:ascii="Arial" w:hAnsi="Arial" w:cs="Arial"/>
          <w:color w:val="000000"/>
        </w:rPr>
        <w:t xml:space="preserve">” o </w:t>
      </w:r>
      <w:proofErr w:type="spellStart"/>
      <w:r w:rsidRPr="00792B12">
        <w:rPr>
          <w:rFonts w:ascii="Arial" w:hAnsi="Arial" w:cs="Arial"/>
          <w:color w:val="000000"/>
        </w:rPr>
        <w:t>coexistencial</w:t>
      </w:r>
      <w:proofErr w:type="spellEnd"/>
      <w:r w:rsidRPr="00792B12">
        <w:rPr>
          <w:rFonts w:ascii="Arial" w:hAnsi="Arial" w:cs="Arial"/>
          <w:color w:val="000000"/>
          <w:vertAlign w:val="superscript"/>
        </w:rPr>
        <w:footnoteReference w:id="7"/>
      </w:r>
      <w:r w:rsidRPr="00792B12">
        <w:rPr>
          <w:rFonts w:ascii="Arial" w:hAnsi="Arial" w:cs="Arial"/>
          <w:color w:val="000000"/>
        </w:rPr>
        <w:t xml:space="preserve">. </w:t>
      </w:r>
    </w:p>
    <w:p w14:paraId="7CBD59BB"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La identidad se había jurídicamente confinado en el aspecto biológico del ser humano, aspecto al que se suele designarse con la expresión “</w:t>
      </w:r>
      <w:r w:rsidRPr="00792B12">
        <w:rPr>
          <w:rFonts w:ascii="Arial" w:hAnsi="Arial" w:cs="Arial"/>
          <w:i/>
          <w:color w:val="000000"/>
        </w:rPr>
        <w:t>identificación</w:t>
      </w:r>
      <w:r w:rsidRPr="00792B12">
        <w:rPr>
          <w:rFonts w:ascii="Arial" w:hAnsi="Arial" w:cs="Arial"/>
          <w:color w:val="000000"/>
        </w:rPr>
        <w:t xml:space="preserve">”. Solicitar a una persona que se identifique suponía que ella manifestase solo cuál era su nombre, se verificase sus huellas digitales y, en general, el que proporcionase los datos consignados en su documento de identidad. </w:t>
      </w:r>
    </w:p>
    <w:p w14:paraId="07285BE4"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En tiempos modernos se ha evidenciado que la identidad no se confunde con la identificación</w:t>
      </w:r>
      <w:r w:rsidRPr="00792B12">
        <w:rPr>
          <w:rFonts w:ascii="Arial" w:hAnsi="Arial" w:cs="Arial"/>
          <w:color w:val="000000"/>
          <w:vertAlign w:val="superscript"/>
        </w:rPr>
        <w:footnoteReference w:id="8"/>
      </w:r>
      <w:r w:rsidRPr="00792B12">
        <w:rPr>
          <w:rFonts w:ascii="Arial" w:hAnsi="Arial" w:cs="Arial"/>
          <w:color w:val="000000"/>
        </w:rPr>
        <w:t>, cuyos datos son generalmente invariables, sino que por su calidad ontológica de ser libre el hombre está también dotado de una identidad dinámica, la que está conformada por las características de su personalidad. La identidad está esencialmente vinculada con la libertad, desde que el ejercicio de ésta permite el despliegue de la personalidad en el tiempo</w:t>
      </w:r>
      <w:r w:rsidRPr="00792B12">
        <w:rPr>
          <w:rFonts w:ascii="Arial" w:hAnsi="Arial" w:cs="Arial"/>
          <w:color w:val="000000"/>
          <w:vertAlign w:val="superscript"/>
        </w:rPr>
        <w:footnoteReference w:id="9"/>
      </w:r>
      <w:r w:rsidRPr="00792B12">
        <w:rPr>
          <w:rFonts w:ascii="Arial" w:hAnsi="Arial" w:cs="Arial"/>
          <w:color w:val="000000"/>
        </w:rPr>
        <w:t>.</w:t>
      </w:r>
    </w:p>
    <w:p w14:paraId="3259DE2B" w14:textId="77777777" w:rsidR="0096481E" w:rsidRPr="00792B12" w:rsidRDefault="0096481E" w:rsidP="0096481E">
      <w:pPr>
        <w:autoSpaceDE w:val="0"/>
        <w:autoSpaceDN w:val="0"/>
        <w:adjustRightInd w:val="0"/>
        <w:spacing w:after="240" w:line="360" w:lineRule="auto"/>
        <w:jc w:val="both"/>
        <w:rPr>
          <w:rFonts w:ascii="Arial" w:hAnsi="Arial" w:cs="Arial"/>
          <w:b/>
          <w:bCs/>
          <w:lang w:eastAsia="it-IT"/>
        </w:rPr>
      </w:pPr>
      <w:r w:rsidRPr="00792B12">
        <w:rPr>
          <w:rFonts w:ascii="Arial" w:hAnsi="Arial" w:cs="Arial"/>
          <w:b/>
          <w:bCs/>
          <w:lang w:eastAsia="it-IT"/>
        </w:rPr>
        <w:t>2.- La teoría tridimensional del Derecho como pilar</w:t>
      </w:r>
    </w:p>
    <w:p w14:paraId="3CACF522"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 xml:space="preserve">En la década de los años cuarenta del siglo XX surge simultáneamente en el Brasil y en el Perú una nueva concepción del Derecho, especialmente por la obra del maestro Carlos Fernández </w:t>
      </w:r>
      <w:proofErr w:type="spellStart"/>
      <w:r w:rsidRPr="00792B12">
        <w:rPr>
          <w:rFonts w:ascii="Arial" w:hAnsi="Arial" w:cs="Arial"/>
          <w:bCs/>
          <w:lang w:eastAsia="it-IT"/>
        </w:rPr>
        <w:t>Sessarego</w:t>
      </w:r>
      <w:proofErr w:type="spellEnd"/>
      <w:r w:rsidRPr="00792B12">
        <w:rPr>
          <w:rFonts w:ascii="Arial" w:hAnsi="Arial" w:cs="Arial"/>
          <w:bCs/>
          <w:lang w:eastAsia="it-IT"/>
        </w:rPr>
        <w:t xml:space="preserve">. Ella intenta superar las visiones parciales que nos proponen tanto el </w:t>
      </w:r>
      <w:proofErr w:type="spellStart"/>
      <w:r w:rsidRPr="00792B12">
        <w:rPr>
          <w:rFonts w:ascii="Arial" w:hAnsi="Arial" w:cs="Arial"/>
          <w:bCs/>
          <w:lang w:eastAsia="it-IT"/>
        </w:rPr>
        <w:t>jusnaturalismo</w:t>
      </w:r>
      <w:proofErr w:type="spellEnd"/>
      <w:r w:rsidRPr="00792B12">
        <w:rPr>
          <w:rFonts w:ascii="Arial" w:hAnsi="Arial" w:cs="Arial"/>
          <w:bCs/>
          <w:lang w:eastAsia="it-IT"/>
        </w:rPr>
        <w:t xml:space="preserve"> como el formalismo y el sociologismo jurídico</w:t>
      </w:r>
      <w:r w:rsidRPr="00792B12">
        <w:rPr>
          <w:rFonts w:ascii="Arial" w:hAnsi="Arial" w:cs="Arial"/>
          <w:bCs/>
          <w:vertAlign w:val="superscript"/>
          <w:lang w:eastAsia="it-IT"/>
        </w:rPr>
        <w:footnoteReference w:id="10"/>
      </w:r>
      <w:r w:rsidRPr="00792B12">
        <w:rPr>
          <w:rFonts w:ascii="Arial" w:hAnsi="Arial" w:cs="Arial"/>
          <w:bCs/>
          <w:lang w:eastAsia="it-IT"/>
        </w:rPr>
        <w:t xml:space="preserve">. Se trata del </w:t>
      </w:r>
      <w:proofErr w:type="spellStart"/>
      <w:r w:rsidRPr="00792B12">
        <w:rPr>
          <w:rFonts w:ascii="Arial" w:hAnsi="Arial" w:cs="Arial"/>
          <w:bCs/>
          <w:lang w:eastAsia="it-IT"/>
        </w:rPr>
        <w:t>tridimensionalimo</w:t>
      </w:r>
      <w:proofErr w:type="spellEnd"/>
      <w:r w:rsidRPr="00792B12">
        <w:rPr>
          <w:rFonts w:ascii="Arial" w:hAnsi="Arial" w:cs="Arial"/>
          <w:bCs/>
          <w:lang w:eastAsia="it-IT"/>
        </w:rPr>
        <w:t xml:space="preserve"> jurídico, teoría que nos plantea una explicación global de lo que es el Derecho al considerarlo como la interacción dinámica de tres objetos heterogéneos como son las conductas humanas intersubjetivas, los valores y las normas jurídicas.</w:t>
      </w:r>
    </w:p>
    <w:p w14:paraId="5244E734"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lastRenderedPageBreak/>
        <w:t>En efecto, la interacción dinámica de conductas humanas intersubjetivas, valores y normas jurídicas hace posible el surgimiento del concepto “</w:t>
      </w:r>
      <w:r w:rsidRPr="00792B12">
        <w:rPr>
          <w:rFonts w:ascii="Arial" w:hAnsi="Arial" w:cs="Arial"/>
          <w:bCs/>
          <w:i/>
          <w:lang w:eastAsia="it-IT"/>
        </w:rPr>
        <w:t>Derecho</w:t>
      </w:r>
      <w:r w:rsidRPr="00792B12">
        <w:rPr>
          <w:rFonts w:ascii="Arial" w:hAnsi="Arial" w:cs="Arial"/>
          <w:bCs/>
          <w:lang w:eastAsia="it-IT"/>
        </w:rPr>
        <w:t xml:space="preserve">”. Como está dicho, para su aparición no puede faltar ninguno de tales objetos no obstante que ninguno de ellos, por sí mismo, es “Derecho”. </w:t>
      </w:r>
    </w:p>
    <w:p w14:paraId="3866852A"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El Derecho resulta ser la interacción de vida humana social o conductas humanas intersubjetivas, valores y normas jurídicas. Se trata de una interacción, dinámica, y no de una simple yuxtaposición de vida humana social, valores y normas jurídicas, colocados uno al lado del otro. Se llega a la unidad del concepto “</w:t>
      </w:r>
      <w:r w:rsidRPr="00792B12">
        <w:rPr>
          <w:rFonts w:ascii="Arial" w:hAnsi="Arial" w:cs="Arial"/>
          <w:bCs/>
          <w:i/>
          <w:lang w:eastAsia="it-IT"/>
        </w:rPr>
        <w:t>Derecho</w:t>
      </w:r>
      <w:r w:rsidRPr="00792B12">
        <w:rPr>
          <w:rFonts w:ascii="Arial" w:hAnsi="Arial" w:cs="Arial"/>
          <w:bCs/>
          <w:lang w:eastAsia="it-IT"/>
        </w:rPr>
        <w:t>” solo mediante la interacción de esos tres objetos. Mediante esta teoría contamos con una visión completa, global y unitaria del Derecho</w:t>
      </w:r>
      <w:r w:rsidRPr="00792B12">
        <w:rPr>
          <w:rFonts w:ascii="Arial" w:hAnsi="Arial" w:cs="Arial"/>
          <w:bCs/>
          <w:vertAlign w:val="superscript"/>
          <w:lang w:eastAsia="it-IT"/>
        </w:rPr>
        <w:footnoteReference w:id="11"/>
      </w:r>
      <w:r w:rsidRPr="00792B12">
        <w:rPr>
          <w:rFonts w:ascii="Arial" w:hAnsi="Arial" w:cs="Arial"/>
          <w:bCs/>
          <w:lang w:eastAsia="it-IT"/>
        </w:rPr>
        <w:t xml:space="preserve">. </w:t>
      </w:r>
    </w:p>
    <w:p w14:paraId="500F7CD7" w14:textId="77777777" w:rsidR="0096481E" w:rsidRPr="00792B12" w:rsidRDefault="0096481E" w:rsidP="0096481E">
      <w:pPr>
        <w:autoSpaceDE w:val="0"/>
        <w:autoSpaceDN w:val="0"/>
        <w:adjustRightInd w:val="0"/>
        <w:spacing w:after="240" w:line="360" w:lineRule="auto"/>
        <w:jc w:val="both"/>
        <w:rPr>
          <w:rFonts w:ascii="Arial" w:hAnsi="Arial" w:cs="Arial"/>
          <w:b/>
          <w:bCs/>
          <w:lang w:eastAsia="it-IT"/>
        </w:rPr>
      </w:pPr>
      <w:r w:rsidRPr="00792B12">
        <w:rPr>
          <w:rFonts w:ascii="Arial" w:hAnsi="Arial" w:cs="Arial"/>
          <w:b/>
          <w:bCs/>
          <w:lang w:eastAsia="it-IT"/>
        </w:rPr>
        <w:t xml:space="preserve">3.- Supuesto </w:t>
      </w:r>
      <w:proofErr w:type="spellStart"/>
      <w:r w:rsidRPr="00792B12">
        <w:rPr>
          <w:rFonts w:ascii="Arial" w:hAnsi="Arial" w:cs="Arial"/>
          <w:b/>
          <w:bCs/>
          <w:lang w:eastAsia="it-IT"/>
        </w:rPr>
        <w:t>jusfilosófico</w:t>
      </w:r>
      <w:proofErr w:type="spellEnd"/>
      <w:r w:rsidRPr="00792B12">
        <w:rPr>
          <w:rFonts w:ascii="Arial" w:hAnsi="Arial" w:cs="Arial"/>
          <w:b/>
          <w:bCs/>
          <w:lang w:eastAsia="it-IT"/>
        </w:rPr>
        <w:t xml:space="preserve"> del derecho a la identidad personal</w:t>
      </w:r>
    </w:p>
    <w:p w14:paraId="7D35231C"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 xml:space="preserve">La persona es única, no obstante ser igual a todas las demás. La persona, cada persona, es idéntica a sí misma. Ello es posible por el hecho de que su ser es </w:t>
      </w:r>
      <w:r w:rsidRPr="00792B12">
        <w:rPr>
          <w:rFonts w:ascii="Arial" w:hAnsi="Arial" w:cs="Arial"/>
          <w:bCs/>
          <w:i/>
          <w:lang w:eastAsia="it-IT"/>
        </w:rPr>
        <w:t>“ser libertad</w:t>
      </w:r>
      <w:r w:rsidRPr="00792B12">
        <w:rPr>
          <w:rFonts w:ascii="Arial" w:hAnsi="Arial" w:cs="Arial"/>
          <w:bCs/>
          <w:lang w:eastAsia="it-IT"/>
        </w:rPr>
        <w:t xml:space="preserve">”. </w:t>
      </w:r>
    </w:p>
    <w:p w14:paraId="7A90F5A9"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La identidad personal supone ser “</w:t>
      </w:r>
      <w:r w:rsidRPr="00792B12">
        <w:rPr>
          <w:rFonts w:ascii="Arial" w:hAnsi="Arial" w:cs="Arial"/>
          <w:bCs/>
          <w:i/>
          <w:lang w:eastAsia="it-IT"/>
        </w:rPr>
        <w:t>uno mismo</w:t>
      </w:r>
      <w:r w:rsidRPr="00792B12">
        <w:rPr>
          <w:rFonts w:ascii="Arial" w:hAnsi="Arial" w:cs="Arial"/>
          <w:bCs/>
          <w:lang w:eastAsia="it-IT"/>
        </w:rPr>
        <w:t>” y no otro. La “</w:t>
      </w:r>
      <w:r w:rsidRPr="00792B12">
        <w:rPr>
          <w:rFonts w:ascii="Arial" w:hAnsi="Arial" w:cs="Arial"/>
          <w:bCs/>
          <w:i/>
          <w:lang w:eastAsia="it-IT"/>
        </w:rPr>
        <w:t>identidad</w:t>
      </w:r>
      <w:r w:rsidRPr="00792B12">
        <w:rPr>
          <w:rFonts w:ascii="Arial" w:hAnsi="Arial" w:cs="Arial"/>
          <w:bCs/>
          <w:lang w:eastAsia="it-IT"/>
        </w:rPr>
        <w:t xml:space="preserve">” del ser humano, en cuanto ser libre, se constituye en su dimensión dinámica a través de un continuo proceso </w:t>
      </w:r>
      <w:proofErr w:type="spellStart"/>
      <w:r w:rsidRPr="00792B12">
        <w:rPr>
          <w:rFonts w:ascii="Arial" w:hAnsi="Arial" w:cs="Arial"/>
          <w:bCs/>
          <w:lang w:eastAsia="it-IT"/>
        </w:rPr>
        <w:t>autocreativo</w:t>
      </w:r>
      <w:proofErr w:type="spellEnd"/>
      <w:r w:rsidRPr="00792B12">
        <w:rPr>
          <w:rFonts w:ascii="Arial" w:hAnsi="Arial" w:cs="Arial"/>
          <w:bCs/>
          <w:lang w:eastAsia="it-IT"/>
        </w:rPr>
        <w:t>, mediante una sucesión de quehaceres en que consiste la existencia, así como por la adhesión a una determinada concepción del mundo</w:t>
      </w:r>
    </w:p>
    <w:p w14:paraId="262D446A"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La identidad de la persona presupone un complejo de elementos, una multiplicidad de aspectos esencialmente vinculados entre sí, de los cuales unos son de carácter predominantemente físico o somático, mientras que otros son de diversa índole, ya sea esta psicológica, espiritual, cultural, ideológica, religiosa, profesional o política. Estos múltiples elementos son los que perfilan el ser “</w:t>
      </w:r>
      <w:r w:rsidRPr="00792B12">
        <w:rPr>
          <w:rFonts w:ascii="Arial" w:hAnsi="Arial" w:cs="Arial"/>
          <w:bCs/>
          <w:i/>
          <w:lang w:eastAsia="it-IT"/>
        </w:rPr>
        <w:t>uno mismo</w:t>
      </w:r>
      <w:r w:rsidRPr="00792B12">
        <w:rPr>
          <w:rFonts w:ascii="Arial" w:hAnsi="Arial" w:cs="Arial"/>
          <w:bCs/>
          <w:lang w:eastAsia="it-IT"/>
        </w:rPr>
        <w:t>”, diferente a los demás, no obstante que todos los seres humanos son iguales.</w:t>
      </w:r>
    </w:p>
    <w:p w14:paraId="31A65F44" w14:textId="77777777" w:rsidR="0096481E" w:rsidRPr="00792B12" w:rsidRDefault="0096481E" w:rsidP="0096481E">
      <w:pPr>
        <w:autoSpaceDE w:val="0"/>
        <w:autoSpaceDN w:val="0"/>
        <w:adjustRightInd w:val="0"/>
        <w:spacing w:after="240" w:line="360" w:lineRule="auto"/>
        <w:jc w:val="both"/>
        <w:rPr>
          <w:rFonts w:ascii="Arial" w:hAnsi="Arial" w:cs="Arial"/>
          <w:b/>
          <w:bCs/>
          <w:lang w:eastAsia="it-IT"/>
        </w:rPr>
      </w:pPr>
      <w:r w:rsidRPr="00792B12">
        <w:rPr>
          <w:rFonts w:ascii="Arial" w:hAnsi="Arial" w:cs="Arial"/>
          <w:b/>
          <w:bCs/>
          <w:lang w:eastAsia="it-IT"/>
        </w:rPr>
        <w:t>4.- Identidad personal: derecho fundamental del ser humano</w:t>
      </w:r>
    </w:p>
    <w:p w14:paraId="56A1757D" w14:textId="3D03943F" w:rsidR="0096481E" w:rsidRPr="00792B12" w:rsidRDefault="0096481E" w:rsidP="0096481E">
      <w:pPr>
        <w:spacing w:after="240" w:line="360" w:lineRule="auto"/>
        <w:ind w:firstLine="709"/>
        <w:jc w:val="both"/>
        <w:rPr>
          <w:rFonts w:ascii="Arial" w:hAnsi="Arial" w:cs="Arial"/>
        </w:rPr>
      </w:pPr>
      <w:r w:rsidRPr="00792B12">
        <w:rPr>
          <w:rFonts w:ascii="Arial" w:hAnsi="Arial" w:cs="Arial"/>
        </w:rPr>
        <w:t xml:space="preserve">La identidad personal es uno de los derechos fundamentales del ser humano. Es el conjunto de datos biológicos y de atributos y características que, dentro de la igualdad del género humano, permite distinguir indubitablemente, a una persona de todas las </w:t>
      </w:r>
      <w:r w:rsidRPr="00792B12">
        <w:rPr>
          <w:rFonts w:ascii="Arial" w:hAnsi="Arial" w:cs="Arial"/>
        </w:rPr>
        <w:lastRenderedPageBreak/>
        <w:t>demás. Es decir, la identidad es “ser el que soy y no otro” o dicho</w:t>
      </w:r>
      <w:r w:rsidR="001B2B15">
        <w:rPr>
          <w:rFonts w:ascii="Arial" w:hAnsi="Arial" w:cs="Arial"/>
        </w:rPr>
        <w:t>,</w:t>
      </w:r>
      <w:r w:rsidRPr="00792B12">
        <w:rPr>
          <w:rFonts w:ascii="Arial" w:hAnsi="Arial" w:cs="Arial"/>
        </w:rPr>
        <w:t xml:space="preserve"> en otros términos, “ser uno mismo y no otro”</w:t>
      </w:r>
      <w:r w:rsidRPr="00792B12">
        <w:rPr>
          <w:rFonts w:ascii="Arial" w:hAnsi="Arial" w:cs="Arial"/>
          <w:vertAlign w:val="superscript"/>
        </w:rPr>
        <w:footnoteReference w:id="12"/>
      </w:r>
      <w:r w:rsidRPr="00792B12">
        <w:rPr>
          <w:rFonts w:ascii="Arial" w:hAnsi="Arial" w:cs="Arial"/>
        </w:rPr>
        <w:t>.</w:t>
      </w:r>
    </w:p>
    <w:p w14:paraId="0B2528AF" w14:textId="77777777" w:rsidR="0096481E" w:rsidRPr="00792B12" w:rsidRDefault="0096481E" w:rsidP="0096481E">
      <w:pPr>
        <w:spacing w:after="240" w:line="360" w:lineRule="auto"/>
        <w:ind w:right="-1" w:firstLine="568"/>
        <w:jc w:val="both"/>
        <w:rPr>
          <w:rFonts w:ascii="Arial" w:hAnsi="Arial" w:cs="Arial"/>
        </w:rPr>
      </w:pPr>
      <w:r w:rsidRPr="00792B12">
        <w:rPr>
          <w:rFonts w:ascii="Arial" w:hAnsi="Arial" w:cs="Arial"/>
        </w:rPr>
        <w:t xml:space="preserve">El ser humano es un </w:t>
      </w:r>
      <w:r w:rsidRPr="00792B12">
        <w:rPr>
          <w:rFonts w:ascii="Arial" w:hAnsi="Arial" w:cs="Arial"/>
          <w:b/>
        </w:rPr>
        <w:t>ser libertad</w:t>
      </w:r>
      <w:r w:rsidRPr="00792B12">
        <w:rPr>
          <w:rFonts w:ascii="Arial" w:hAnsi="Arial" w:cs="Arial"/>
        </w:rPr>
        <w:t xml:space="preserve"> y es idéntico a sí mismo. Todos los seres humanos son iguales, pero no hay dos seres humanos idénticos. La identidad se sustenta en la libertad, la que constituye el </w:t>
      </w:r>
      <w:r w:rsidRPr="00792B12">
        <w:rPr>
          <w:rFonts w:ascii="Arial" w:hAnsi="Arial" w:cs="Arial"/>
          <w:b/>
        </w:rPr>
        <w:t>ser</w:t>
      </w:r>
      <w:r w:rsidRPr="00792B12">
        <w:rPr>
          <w:rFonts w:ascii="Arial" w:hAnsi="Arial" w:cs="Arial"/>
        </w:rPr>
        <w:t xml:space="preserve"> del hombre. Ésta permite que cada ser humano realice, de acuerdo con su decisión, su único, singular e irrepetible “</w:t>
      </w:r>
      <w:r w:rsidRPr="00792B12">
        <w:rPr>
          <w:rFonts w:ascii="Arial" w:hAnsi="Arial" w:cs="Arial"/>
          <w:i/>
        </w:rPr>
        <w:t>proyecto de vida</w:t>
      </w:r>
      <w:r w:rsidRPr="00792B12">
        <w:rPr>
          <w:rFonts w:ascii="Arial" w:hAnsi="Arial" w:cs="Arial"/>
        </w:rPr>
        <w:t xml:space="preserve">”, dentro de los condicionamientos y determinismos provenientes de la naturaleza que lo limitan y lo constriñen. </w:t>
      </w:r>
    </w:p>
    <w:p w14:paraId="2B96871C" w14:textId="77777777" w:rsidR="0096481E" w:rsidRPr="00792B12" w:rsidRDefault="0096481E" w:rsidP="0096481E">
      <w:pPr>
        <w:spacing w:after="240" w:line="360" w:lineRule="auto"/>
        <w:ind w:right="-1" w:firstLine="568"/>
        <w:jc w:val="both"/>
        <w:rPr>
          <w:rFonts w:ascii="Arial" w:hAnsi="Arial" w:cs="Arial"/>
        </w:rPr>
      </w:pPr>
      <w:r w:rsidRPr="00792B12">
        <w:rPr>
          <w:rFonts w:ascii="Arial" w:hAnsi="Arial" w:cs="Arial"/>
        </w:rPr>
        <w:t>La pléyade de aquellos múltiples elementos “</w:t>
      </w:r>
      <w:r w:rsidRPr="00792B12">
        <w:rPr>
          <w:rFonts w:ascii="Arial" w:hAnsi="Arial" w:cs="Arial"/>
          <w:i/>
        </w:rPr>
        <w:t xml:space="preserve">en conjunto, globalmente, caracterizan y perfilan el </w:t>
      </w:r>
      <w:proofErr w:type="spellStart"/>
      <w:r w:rsidRPr="00792B12">
        <w:rPr>
          <w:rFonts w:ascii="Arial" w:hAnsi="Arial" w:cs="Arial"/>
          <w:i/>
        </w:rPr>
        <w:t>ʻser</w:t>
      </w:r>
      <w:proofErr w:type="spellEnd"/>
      <w:r w:rsidRPr="00792B12">
        <w:rPr>
          <w:rFonts w:ascii="Arial" w:hAnsi="Arial" w:cs="Arial"/>
          <w:i/>
        </w:rPr>
        <w:t xml:space="preserve"> uno </w:t>
      </w:r>
      <w:proofErr w:type="spellStart"/>
      <w:r w:rsidRPr="00792B12">
        <w:rPr>
          <w:rFonts w:ascii="Arial" w:hAnsi="Arial" w:cs="Arial"/>
          <w:i/>
        </w:rPr>
        <w:t>mismoʼ</w:t>
      </w:r>
      <w:proofErr w:type="spellEnd"/>
      <w:r w:rsidRPr="00792B12">
        <w:rPr>
          <w:rFonts w:ascii="Arial" w:hAnsi="Arial" w:cs="Arial"/>
          <w:i/>
        </w:rPr>
        <w:t>, el ser diferente a los “otros</w:t>
      </w:r>
      <w:r w:rsidRPr="00792B12">
        <w:rPr>
          <w:rFonts w:ascii="Arial" w:hAnsi="Arial" w:cs="Arial"/>
        </w:rPr>
        <w:t>”</w:t>
      </w:r>
      <w:r w:rsidRPr="00792B12">
        <w:rPr>
          <w:rFonts w:ascii="Arial" w:hAnsi="Arial" w:cs="Arial"/>
          <w:vertAlign w:val="superscript"/>
        </w:rPr>
        <w:footnoteReference w:id="13"/>
      </w:r>
      <w:r w:rsidRPr="00792B12">
        <w:rPr>
          <w:rFonts w:ascii="Arial" w:hAnsi="Arial" w:cs="Arial"/>
        </w:rPr>
        <w:t>. El que cada ser humano sea único, singular, irrepetible, idéntico a sí mismo, hace que posea dignidad. Dignidad que fundamenta los derechos humanos básicos.</w:t>
      </w:r>
    </w:p>
    <w:p w14:paraId="48CA063A" w14:textId="77777777" w:rsidR="0096481E" w:rsidRPr="00792B12" w:rsidRDefault="0096481E" w:rsidP="0096481E">
      <w:pPr>
        <w:spacing w:after="240" w:line="360" w:lineRule="auto"/>
        <w:ind w:firstLine="708"/>
        <w:jc w:val="both"/>
        <w:rPr>
          <w:rFonts w:ascii="Arial" w:hAnsi="Arial" w:cs="Arial"/>
        </w:rPr>
      </w:pPr>
      <w:r w:rsidRPr="00792B12">
        <w:rPr>
          <w:rFonts w:ascii="Arial" w:hAnsi="Arial" w:cs="Arial"/>
        </w:rPr>
        <w:t>Con la incorporación del derecho a la identidad personal en la Constitución peruana de 1993 se abre un nuevo capítulo en la constante evolución de los derechos de la persona en el Perú. Poco aún se ha tratado a nivel de la doctrina como de la jurisprudencia comparada sobre este tema, que ofrece tan importantes como novedosas perspectivas. Italia es uno de los países donde más se ha trabajado en este derecho. El derecho a la identidad personal era prácticamente desconocido tanto en el Perú como en el resto de los países latinoamericanos. Es solo en la última década del siglo XX donde aparecen los primeros desarrollos doctrinarios y jurisprudenciales de este derecho que, junto con el derecho a la vida y el derecho a la libertad, constituye el núcleo de los derechos fundamentales de la persona.</w:t>
      </w:r>
    </w:p>
    <w:p w14:paraId="095DBCBC" w14:textId="77777777" w:rsidR="0096481E" w:rsidRPr="00792B12" w:rsidRDefault="0096481E" w:rsidP="0096481E">
      <w:pPr>
        <w:spacing w:after="240" w:line="360" w:lineRule="auto"/>
        <w:ind w:firstLine="708"/>
        <w:jc w:val="both"/>
        <w:rPr>
          <w:rFonts w:ascii="Arial" w:hAnsi="Arial" w:cs="Arial"/>
        </w:rPr>
      </w:pPr>
      <w:r w:rsidRPr="00792B12">
        <w:rPr>
          <w:rFonts w:ascii="Arial" w:hAnsi="Arial" w:cs="Arial"/>
        </w:rPr>
        <w:t xml:space="preserve">No obstante, como afirmaba el Prof. Carlos Fernández </w:t>
      </w:r>
      <w:proofErr w:type="spellStart"/>
      <w:r w:rsidRPr="00792B12">
        <w:rPr>
          <w:rFonts w:ascii="Arial" w:hAnsi="Arial" w:cs="Arial"/>
        </w:rPr>
        <w:t>Sessarego</w:t>
      </w:r>
      <w:proofErr w:type="spellEnd"/>
      <w:r w:rsidRPr="00792B12">
        <w:rPr>
          <w:rFonts w:ascii="Arial" w:hAnsi="Arial" w:cs="Arial"/>
        </w:rPr>
        <w:t>, si bien no fue posible que el derecho a la identidad personal fuera regulado por el Código Civil de 1984, fue incorporado dentro del inciso 1 del artículo 2º de la Constitución de 1993</w:t>
      </w:r>
      <w:r w:rsidRPr="00792B12">
        <w:rPr>
          <w:rFonts w:ascii="Arial" w:hAnsi="Arial" w:cs="Arial"/>
          <w:vertAlign w:val="superscript"/>
        </w:rPr>
        <w:footnoteReference w:id="14"/>
      </w:r>
      <w:r w:rsidRPr="00792B12">
        <w:rPr>
          <w:rFonts w:ascii="Arial" w:hAnsi="Arial" w:cs="Arial"/>
        </w:rPr>
        <w:t xml:space="preserve">. </w:t>
      </w:r>
    </w:p>
    <w:p w14:paraId="6C1E2DB8" w14:textId="77777777" w:rsidR="0096481E" w:rsidRPr="00792B12" w:rsidRDefault="0096481E" w:rsidP="0096481E">
      <w:pPr>
        <w:spacing w:after="240" w:line="360" w:lineRule="auto"/>
        <w:ind w:firstLine="708"/>
        <w:jc w:val="both"/>
        <w:rPr>
          <w:rFonts w:ascii="Arial" w:hAnsi="Arial" w:cs="Arial"/>
        </w:rPr>
      </w:pPr>
      <w:r w:rsidRPr="00792B12">
        <w:rPr>
          <w:rFonts w:ascii="Arial" w:hAnsi="Arial" w:cs="Arial"/>
        </w:rPr>
        <w:lastRenderedPageBreak/>
        <w:t xml:space="preserve">Los redactores de la constitución peruana de 1993 tuvieron conocimiento de la importancia y alcances del derecho a la identidad personal pues, de manera precursora a nivel latinoamericano, ya se había procedido a analizar este derecho en la doctrina jurídica peruana. Es así </w:t>
      </w:r>
      <w:proofErr w:type="gramStart"/>
      <w:r w:rsidRPr="00792B12">
        <w:rPr>
          <w:rFonts w:ascii="Arial" w:hAnsi="Arial" w:cs="Arial"/>
        </w:rPr>
        <w:t>que</w:t>
      </w:r>
      <w:proofErr w:type="gramEnd"/>
      <w:r w:rsidRPr="00792B12">
        <w:rPr>
          <w:rFonts w:ascii="Arial" w:hAnsi="Arial" w:cs="Arial"/>
        </w:rPr>
        <w:t xml:space="preserve">, en el año de 1988, con ocasión de un Congreso Internacional reunido en Lima, el profesor Carlos Fernández </w:t>
      </w:r>
      <w:proofErr w:type="spellStart"/>
      <w:r w:rsidRPr="00792B12">
        <w:rPr>
          <w:rFonts w:ascii="Arial" w:hAnsi="Arial" w:cs="Arial"/>
        </w:rPr>
        <w:t>Sessarego</w:t>
      </w:r>
      <w:proofErr w:type="spellEnd"/>
      <w:r w:rsidRPr="00792B12">
        <w:rPr>
          <w:rFonts w:ascii="Arial" w:hAnsi="Arial" w:cs="Arial"/>
        </w:rPr>
        <w:t xml:space="preserve"> se difundieron los lineamientos conceptuales del derecho a la identidad personal. Ello aconteció a raíz de la sustentación de una ponencia sobre la materia que desarrolló el profesor sanmarquino la oportunidad de sustentar en el marco del referido Congreso Internacional. Posteriormente, en 1992, se editó en la República Argentina un libro de autoría del profesor Fernández </w:t>
      </w:r>
      <w:proofErr w:type="spellStart"/>
      <w:r w:rsidRPr="00792B12">
        <w:rPr>
          <w:rFonts w:ascii="Arial" w:hAnsi="Arial" w:cs="Arial"/>
        </w:rPr>
        <w:t>Sessarego</w:t>
      </w:r>
      <w:proofErr w:type="spellEnd"/>
      <w:r w:rsidRPr="00792B12">
        <w:rPr>
          <w:rFonts w:ascii="Arial" w:hAnsi="Arial" w:cs="Arial"/>
        </w:rPr>
        <w:t xml:space="preserve"> donde se desarrolla la materia, el que circuló limitadamente en el Perú. </w:t>
      </w:r>
    </w:p>
    <w:p w14:paraId="5CCCD93D" w14:textId="77777777" w:rsidR="0096481E" w:rsidRPr="00792B12" w:rsidRDefault="0096481E" w:rsidP="0096481E">
      <w:pPr>
        <w:spacing w:after="240" w:line="360" w:lineRule="auto"/>
        <w:ind w:firstLine="708"/>
        <w:jc w:val="both"/>
        <w:rPr>
          <w:rFonts w:ascii="Arial" w:hAnsi="Arial" w:cs="Arial"/>
        </w:rPr>
      </w:pPr>
      <w:r w:rsidRPr="00792B12">
        <w:rPr>
          <w:rFonts w:ascii="Arial" w:hAnsi="Arial" w:cs="Arial"/>
        </w:rPr>
        <w:t>Fue, así, que el derecho a la identidad personal fue incluido entre los derechos fundamentales de la persona protegidos por el inciso 1 del artículo 2º de la mencionada Constitución Política de 1993. El texto de este inciso es el siguiente:</w:t>
      </w:r>
    </w:p>
    <w:p w14:paraId="39B6DA7E" w14:textId="77777777" w:rsidR="0096481E" w:rsidRPr="00792B12" w:rsidRDefault="0096481E" w:rsidP="0096481E">
      <w:pPr>
        <w:spacing w:after="240" w:line="360" w:lineRule="auto"/>
        <w:ind w:firstLine="708"/>
        <w:jc w:val="both"/>
        <w:rPr>
          <w:rFonts w:ascii="Arial" w:hAnsi="Arial" w:cs="Arial"/>
          <w:i/>
        </w:rPr>
      </w:pPr>
      <w:r w:rsidRPr="00792B12">
        <w:rPr>
          <w:rFonts w:ascii="Arial" w:hAnsi="Arial" w:cs="Arial"/>
          <w:i/>
        </w:rPr>
        <w:t>“Artículo 2º. Toda persona tiene derecho:</w:t>
      </w:r>
    </w:p>
    <w:p w14:paraId="36E8EBBD" w14:textId="77777777" w:rsidR="0096481E" w:rsidRPr="00792B12" w:rsidRDefault="0096481E" w:rsidP="0096481E">
      <w:pPr>
        <w:spacing w:after="240" w:line="360" w:lineRule="auto"/>
        <w:ind w:left="851"/>
        <w:jc w:val="both"/>
        <w:rPr>
          <w:rFonts w:ascii="Arial" w:hAnsi="Arial" w:cs="Arial"/>
          <w:i/>
        </w:rPr>
      </w:pPr>
      <w:smartTag w:uri="urn:schemas-microsoft-com:office:smarttags" w:element="metricconverter">
        <w:smartTagPr>
          <w:attr w:name="ProductID" w:val="1. A"/>
        </w:smartTagPr>
        <w:r w:rsidRPr="00792B12">
          <w:rPr>
            <w:rFonts w:ascii="Arial" w:hAnsi="Arial" w:cs="Arial"/>
            <w:i/>
          </w:rPr>
          <w:t>1. A</w:t>
        </w:r>
      </w:smartTag>
      <w:r w:rsidRPr="00792B12">
        <w:rPr>
          <w:rFonts w:ascii="Arial" w:hAnsi="Arial" w:cs="Arial"/>
          <w:i/>
        </w:rPr>
        <w:t xml:space="preserve"> la vida, a su </w:t>
      </w:r>
      <w:r w:rsidRPr="00792B12">
        <w:rPr>
          <w:rFonts w:ascii="Arial" w:hAnsi="Arial" w:cs="Arial"/>
          <w:b/>
          <w:i/>
        </w:rPr>
        <w:t>identidad</w:t>
      </w:r>
      <w:r w:rsidRPr="00792B12">
        <w:rPr>
          <w:rFonts w:ascii="Arial" w:hAnsi="Arial" w:cs="Arial"/>
          <w:i/>
        </w:rPr>
        <w:t>, a su integridad moral, psíquica y física y a su libre desarrollo y bienestar. El concebido es “sujeto de derecho” en todo cuanto le favorece”.</w:t>
      </w:r>
    </w:p>
    <w:p w14:paraId="20A894F1" w14:textId="698DFF46" w:rsidR="0096481E" w:rsidRPr="00792B12" w:rsidRDefault="0096481E" w:rsidP="0096481E">
      <w:pPr>
        <w:spacing w:after="240" w:line="360" w:lineRule="auto"/>
        <w:ind w:firstLine="708"/>
        <w:jc w:val="both"/>
        <w:rPr>
          <w:rFonts w:ascii="Arial" w:hAnsi="Arial" w:cs="Arial"/>
        </w:rPr>
      </w:pPr>
      <w:r w:rsidRPr="00792B12">
        <w:rPr>
          <w:rFonts w:ascii="Arial" w:hAnsi="Arial" w:cs="Arial"/>
        </w:rPr>
        <w:t>La constitución peruana de 1993 no alude tan solo a la “</w:t>
      </w:r>
      <w:r w:rsidRPr="00792B12">
        <w:rPr>
          <w:rFonts w:ascii="Arial" w:hAnsi="Arial" w:cs="Arial"/>
          <w:i/>
        </w:rPr>
        <w:t>identificación</w:t>
      </w:r>
      <w:r w:rsidRPr="00792B12">
        <w:rPr>
          <w:rFonts w:ascii="Arial" w:hAnsi="Arial" w:cs="Arial"/>
        </w:rPr>
        <w:t xml:space="preserve">”, es decir, a la identidad </w:t>
      </w:r>
      <w:r w:rsidR="001B2B15" w:rsidRPr="00792B12">
        <w:rPr>
          <w:rFonts w:ascii="Arial" w:hAnsi="Arial" w:cs="Arial"/>
        </w:rPr>
        <w:t>estática,</w:t>
      </w:r>
      <w:r w:rsidRPr="00792B12">
        <w:rPr>
          <w:rFonts w:ascii="Arial" w:hAnsi="Arial" w:cs="Arial"/>
        </w:rPr>
        <w:t xml:space="preserve"> sino que comprende además, en este amplio concepto, la identidad dinámica. </w:t>
      </w:r>
    </w:p>
    <w:p w14:paraId="7E66AEE0" w14:textId="42263588" w:rsidR="0096481E" w:rsidRDefault="0096481E" w:rsidP="0096481E">
      <w:pPr>
        <w:spacing w:after="240" w:line="360" w:lineRule="auto"/>
        <w:ind w:firstLine="708"/>
        <w:jc w:val="both"/>
        <w:rPr>
          <w:rFonts w:ascii="Arial" w:hAnsi="Arial" w:cs="Arial"/>
        </w:rPr>
      </w:pPr>
      <w:r w:rsidRPr="00792B12">
        <w:rPr>
          <w:rFonts w:ascii="Arial" w:hAnsi="Arial" w:cs="Arial"/>
        </w:rPr>
        <w:t>En efecto, la incorporación del derecho a la identidad en la constitución peruana de 1993 tiene una gran importancia ya que la identidad, junto con la vida y la libertad, constituyen la trilogía básica y fundamental en lo que a los derechos de la persona se refiere</w:t>
      </w:r>
      <w:r w:rsidRPr="00792B12">
        <w:rPr>
          <w:rFonts w:ascii="Arial" w:hAnsi="Arial" w:cs="Arial"/>
          <w:vertAlign w:val="superscript"/>
        </w:rPr>
        <w:footnoteReference w:id="15"/>
      </w:r>
      <w:r w:rsidRPr="00792B12">
        <w:rPr>
          <w:rFonts w:ascii="Arial" w:hAnsi="Arial" w:cs="Arial"/>
        </w:rPr>
        <w:t>.</w:t>
      </w:r>
    </w:p>
    <w:p w14:paraId="4EE0708E" w14:textId="77777777" w:rsidR="00A706D1" w:rsidRPr="00792B12" w:rsidRDefault="00A706D1" w:rsidP="0096481E">
      <w:pPr>
        <w:spacing w:after="240" w:line="360" w:lineRule="auto"/>
        <w:ind w:firstLine="708"/>
        <w:jc w:val="both"/>
        <w:rPr>
          <w:rFonts w:ascii="Arial" w:hAnsi="Arial" w:cs="Arial"/>
        </w:rPr>
      </w:pPr>
    </w:p>
    <w:p w14:paraId="444FB299" w14:textId="77777777" w:rsidR="0096481E" w:rsidRPr="00792B12" w:rsidRDefault="0096481E" w:rsidP="0096481E">
      <w:pPr>
        <w:autoSpaceDE w:val="0"/>
        <w:autoSpaceDN w:val="0"/>
        <w:adjustRightInd w:val="0"/>
        <w:spacing w:after="240" w:line="360" w:lineRule="auto"/>
        <w:jc w:val="both"/>
        <w:rPr>
          <w:rFonts w:ascii="Arial" w:hAnsi="Arial" w:cs="Arial"/>
          <w:b/>
          <w:bCs/>
          <w:lang w:eastAsia="it-IT"/>
        </w:rPr>
      </w:pPr>
      <w:r w:rsidRPr="00792B12">
        <w:rPr>
          <w:rFonts w:ascii="Arial" w:hAnsi="Arial" w:cs="Arial"/>
          <w:b/>
          <w:bCs/>
          <w:lang w:eastAsia="it-IT"/>
        </w:rPr>
        <w:lastRenderedPageBreak/>
        <w:t>5.- Identidad personal y sus tipos</w:t>
      </w:r>
    </w:p>
    <w:p w14:paraId="40836EB9" w14:textId="77777777" w:rsidR="0096481E" w:rsidRPr="00792B12" w:rsidRDefault="0096481E" w:rsidP="0096481E">
      <w:pPr>
        <w:spacing w:after="240" w:line="360" w:lineRule="auto"/>
        <w:ind w:firstLine="709"/>
        <w:jc w:val="both"/>
        <w:rPr>
          <w:rFonts w:ascii="Arial" w:hAnsi="Arial" w:cs="Arial"/>
        </w:rPr>
      </w:pPr>
      <w:r w:rsidRPr="00792B12">
        <w:rPr>
          <w:rFonts w:ascii="Arial" w:hAnsi="Arial" w:cs="Arial"/>
        </w:rPr>
        <w:t>La identidad es el conjunto de datos biológicos y de atributos y características que permite distinguir al sujeto de derecho de los otros</w:t>
      </w:r>
      <w:r w:rsidRPr="00792B12">
        <w:rPr>
          <w:rFonts w:ascii="Arial" w:hAnsi="Arial" w:cs="Arial"/>
          <w:vertAlign w:val="superscript"/>
        </w:rPr>
        <w:footnoteReference w:id="16"/>
      </w:r>
      <w:r w:rsidRPr="00792B12">
        <w:rPr>
          <w:rFonts w:ascii="Arial" w:hAnsi="Arial" w:cs="Arial"/>
        </w:rPr>
        <w:t>.</w:t>
      </w:r>
    </w:p>
    <w:p w14:paraId="0D3B9291" w14:textId="77777777" w:rsidR="0096481E" w:rsidRPr="00792B12" w:rsidRDefault="0096481E" w:rsidP="0096481E">
      <w:pPr>
        <w:spacing w:after="240" w:line="360" w:lineRule="auto"/>
        <w:ind w:firstLine="709"/>
        <w:jc w:val="both"/>
        <w:rPr>
          <w:rFonts w:ascii="Arial" w:hAnsi="Arial" w:cs="Arial"/>
        </w:rPr>
      </w:pPr>
      <w:r w:rsidRPr="00792B12">
        <w:rPr>
          <w:rFonts w:ascii="Arial" w:hAnsi="Arial" w:cs="Arial"/>
        </w:rPr>
        <w:t>Se puede sostener que la noción de identidad personal es integral. Por consiguiente, comprende no solo los datos biológicos y otros de carácter generalmente estáticos, invariables sino también de aquellos que determinan la personalidad dinámica del sujeto de derecho. Por ende, la identidad personal no se agota en los alcances conceptuales de lo que se suele definir como “</w:t>
      </w:r>
      <w:r w:rsidRPr="00792B12">
        <w:rPr>
          <w:rFonts w:ascii="Arial" w:hAnsi="Arial" w:cs="Arial"/>
          <w:i/>
        </w:rPr>
        <w:t>identificación</w:t>
      </w:r>
      <w:r w:rsidRPr="00792B12">
        <w:rPr>
          <w:rFonts w:ascii="Arial" w:hAnsi="Arial" w:cs="Arial"/>
        </w:rPr>
        <w:t>”, noción que no abarca los aspectos propios de la persona. La identidad personal, abarcando también la identidad sexual</w:t>
      </w:r>
      <w:r w:rsidRPr="00792B12">
        <w:rPr>
          <w:rFonts w:ascii="Arial" w:hAnsi="Arial" w:cs="Arial"/>
          <w:vertAlign w:val="superscript"/>
        </w:rPr>
        <w:footnoteReference w:id="17"/>
      </w:r>
      <w:r w:rsidRPr="00792B12">
        <w:rPr>
          <w:rFonts w:ascii="Arial" w:hAnsi="Arial" w:cs="Arial"/>
        </w:rPr>
        <w:t>, es una noción comprensiva de todas las calidades del ser humano. Es un concepto amplio, rico, complejo, que guarda concordancia con las características existenciales propias del ser humano.</w:t>
      </w:r>
    </w:p>
    <w:p w14:paraId="4172729B" w14:textId="77777777" w:rsidR="0096481E" w:rsidRPr="00792B12" w:rsidRDefault="0096481E" w:rsidP="0096481E">
      <w:pPr>
        <w:autoSpaceDE w:val="0"/>
        <w:autoSpaceDN w:val="0"/>
        <w:adjustRightInd w:val="0"/>
        <w:spacing w:after="240" w:line="360" w:lineRule="auto"/>
        <w:ind w:left="708"/>
        <w:jc w:val="both"/>
        <w:rPr>
          <w:rFonts w:ascii="Arial" w:hAnsi="Arial" w:cs="Arial"/>
          <w:b/>
          <w:bCs/>
          <w:lang w:eastAsia="it-IT"/>
        </w:rPr>
      </w:pPr>
      <w:r w:rsidRPr="00792B12">
        <w:rPr>
          <w:rFonts w:ascii="Arial" w:hAnsi="Arial" w:cs="Arial"/>
          <w:b/>
          <w:bCs/>
          <w:lang w:eastAsia="it-IT"/>
        </w:rPr>
        <w:t>5.1- La vertiente estática del derecho a la identidad personal</w:t>
      </w:r>
    </w:p>
    <w:p w14:paraId="5EA38B69"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Esta surge como resultado de una información genética de base que es singular y única, por lo que permite identificar biológicamente a cada ser humano sin el riesgo de confundirlo con otro. La clave genética y las huellas digitales son claros exponentes de lo que constituye la identidad estática en cuanto ella es invariable. A esta información genética habría que agregarle otros elementos de identificación del sujeto tales como el nombre, la fecha y el lugar del nacimiento, la filiación, los caracteres somáticos en general, entre otros datos. Generalmente, estos datos son invariables, inmodificables. No obstante, alguno de ellos puede sufrir alguna variación. Es el caso concreto del nombre que puede alterarse, por decisión de un juez o Corte, ante una fundada petición.</w:t>
      </w:r>
    </w:p>
    <w:p w14:paraId="43281296" w14:textId="77777777" w:rsidR="0096481E" w:rsidRPr="00792B12" w:rsidRDefault="0096481E" w:rsidP="0096481E">
      <w:pPr>
        <w:autoSpaceDE w:val="0"/>
        <w:autoSpaceDN w:val="0"/>
        <w:adjustRightInd w:val="0"/>
        <w:spacing w:after="240" w:line="360" w:lineRule="auto"/>
        <w:ind w:left="708"/>
        <w:jc w:val="both"/>
        <w:rPr>
          <w:rFonts w:ascii="Arial" w:hAnsi="Arial" w:cs="Arial"/>
          <w:b/>
          <w:bCs/>
          <w:lang w:eastAsia="it-IT"/>
        </w:rPr>
      </w:pPr>
      <w:r w:rsidRPr="00792B12">
        <w:rPr>
          <w:rFonts w:ascii="Arial" w:hAnsi="Arial" w:cs="Arial"/>
          <w:b/>
          <w:bCs/>
          <w:lang w:eastAsia="it-IT"/>
        </w:rPr>
        <w:t>5.2.- La identidad personal en su perspectiva dinámica</w:t>
      </w:r>
    </w:p>
    <w:p w14:paraId="735DDD5B" w14:textId="77777777" w:rsidR="0096481E" w:rsidRPr="00792B12" w:rsidRDefault="0096481E" w:rsidP="0096481E">
      <w:pPr>
        <w:spacing w:after="240" w:line="360" w:lineRule="auto"/>
        <w:ind w:firstLine="709"/>
        <w:jc w:val="both"/>
        <w:rPr>
          <w:rFonts w:ascii="Arial" w:hAnsi="Arial" w:cs="Arial"/>
        </w:rPr>
      </w:pPr>
      <w:r w:rsidRPr="00792B12">
        <w:rPr>
          <w:rFonts w:ascii="Arial" w:hAnsi="Arial" w:cs="Arial"/>
        </w:rPr>
        <w:t xml:space="preserve">La identidad se complementa con un conjunto de atributos y rasgos de la persona. Estos datos, contrariamente a los biológicos, pueden variar, modificándose en </w:t>
      </w:r>
      <w:r w:rsidRPr="00792B12">
        <w:rPr>
          <w:rFonts w:ascii="Arial" w:hAnsi="Arial" w:cs="Arial"/>
        </w:rPr>
        <w:lastRenderedPageBreak/>
        <w:t>el tiempo. Por ello, este conjunto de atributos de la personalidad constituye el elemento dinámico de la identidad.</w:t>
      </w:r>
    </w:p>
    <w:p w14:paraId="7301D63B" w14:textId="77777777" w:rsidR="0096481E" w:rsidRPr="00792B12" w:rsidRDefault="0096481E" w:rsidP="0096481E">
      <w:pPr>
        <w:spacing w:after="240" w:line="360" w:lineRule="auto"/>
        <w:ind w:firstLine="709"/>
        <w:jc w:val="both"/>
        <w:rPr>
          <w:rFonts w:ascii="Arial" w:hAnsi="Arial" w:cs="Arial"/>
        </w:rPr>
      </w:pPr>
      <w:r w:rsidRPr="00792B12">
        <w:rPr>
          <w:rFonts w:ascii="Arial" w:hAnsi="Arial" w:cs="Arial"/>
        </w:rPr>
        <w:t>El elemento dinámico de la identidad está compuesto de las creencias, los rasgos propios de la personalidad, la ideología, la concepción del mundo y del hombre, entre otros elementos. Este grupo de atributos y características individualizadoras del sujeto se exteriorizan, se proyectan al mundo exterior y permiten a los demás identificar al sujeto en el seno de la comunidad.</w:t>
      </w:r>
    </w:p>
    <w:p w14:paraId="28847E1C" w14:textId="64DF2553" w:rsidR="0096481E" w:rsidRPr="00792B12" w:rsidRDefault="0096481E" w:rsidP="0096481E">
      <w:pPr>
        <w:spacing w:after="240" w:line="360" w:lineRule="auto"/>
        <w:ind w:firstLine="709"/>
        <w:jc w:val="both"/>
        <w:rPr>
          <w:rFonts w:ascii="Arial" w:hAnsi="Arial" w:cs="Arial"/>
        </w:rPr>
      </w:pPr>
      <w:r w:rsidRPr="00792B12">
        <w:rPr>
          <w:rFonts w:ascii="Arial" w:hAnsi="Arial" w:cs="Arial"/>
        </w:rPr>
        <w:t xml:space="preserve">La identidad dinámica se constituye a partir de la libertad. En el ejercicio de la libertad ontológica en qué consiste el ser humano, en el despliegue de la libertad, se va constituyendo la personalidad de cada cual. Es la libertad la que permite que cada ser humano decida sobre su propia vida y desarrolle su personalidad en una u otra dirección, según una determinada escala de valores. Sin embargo, la identidad dinámica que se sustenta en la </w:t>
      </w:r>
      <w:r w:rsidR="001B2B15" w:rsidRPr="00792B12">
        <w:rPr>
          <w:rFonts w:ascii="Arial" w:hAnsi="Arial" w:cs="Arial"/>
        </w:rPr>
        <w:t>libertad</w:t>
      </w:r>
      <w:r w:rsidRPr="00792B12">
        <w:rPr>
          <w:rFonts w:ascii="Arial" w:hAnsi="Arial" w:cs="Arial"/>
        </w:rPr>
        <w:t xml:space="preserve"> se despliega en el tiempo.</w:t>
      </w:r>
    </w:p>
    <w:p w14:paraId="7DE6C891" w14:textId="77777777" w:rsidR="0096481E" w:rsidRPr="00792B12" w:rsidRDefault="0096481E" w:rsidP="0096481E">
      <w:pPr>
        <w:spacing w:after="240" w:line="360" w:lineRule="auto"/>
        <w:ind w:firstLine="709"/>
        <w:jc w:val="both"/>
        <w:rPr>
          <w:rFonts w:ascii="Arial" w:hAnsi="Arial" w:cs="Arial"/>
        </w:rPr>
      </w:pPr>
      <w:r w:rsidRPr="00792B12">
        <w:rPr>
          <w:rFonts w:ascii="Arial" w:hAnsi="Arial" w:cs="Arial"/>
        </w:rPr>
        <w:t>La Corte Suprema de Italia, en sentencia del 22 de junio de 1985, describió al derecho a la identidad personal como el evento en el que “</w:t>
      </w:r>
      <w:r w:rsidRPr="00792B12">
        <w:rPr>
          <w:rFonts w:ascii="Arial" w:hAnsi="Arial" w:cs="Arial"/>
          <w:i/>
        </w:rPr>
        <w:t>cada sujeto tiene un interés, generalmente considerado como merecedor de tutela jurídica, de ser representado en la vida de relación con su verdadera identidad, tal como ésta es conocida en la realidad social, general o particular, con aplicación de los criterios de la normal diligencia y de la buena fe subjetiva</w:t>
      </w:r>
      <w:r w:rsidRPr="00792B12">
        <w:rPr>
          <w:rFonts w:ascii="Arial" w:hAnsi="Arial" w:cs="Arial"/>
        </w:rPr>
        <w:t>”</w:t>
      </w:r>
      <w:r w:rsidRPr="00792B12">
        <w:rPr>
          <w:rFonts w:ascii="Arial" w:hAnsi="Arial" w:cs="Arial"/>
          <w:vertAlign w:val="superscript"/>
        </w:rPr>
        <w:footnoteReference w:id="18"/>
      </w:r>
      <w:r w:rsidRPr="00792B12">
        <w:rPr>
          <w:rFonts w:ascii="Arial" w:hAnsi="Arial" w:cs="Arial"/>
        </w:rPr>
        <w:t>.</w:t>
      </w:r>
    </w:p>
    <w:p w14:paraId="19A95F0F" w14:textId="77777777" w:rsidR="0096481E" w:rsidRPr="00792B12" w:rsidRDefault="0096481E" w:rsidP="0096481E">
      <w:pPr>
        <w:spacing w:after="240" w:line="360" w:lineRule="auto"/>
        <w:ind w:firstLine="709"/>
        <w:jc w:val="both"/>
        <w:rPr>
          <w:rFonts w:ascii="Arial" w:hAnsi="Arial" w:cs="Arial"/>
        </w:rPr>
      </w:pPr>
      <w:r w:rsidRPr="00792B12">
        <w:rPr>
          <w:rFonts w:ascii="Arial" w:hAnsi="Arial" w:cs="Arial"/>
        </w:rPr>
        <w:t xml:space="preserve">La verdad personal constituye una noción amplia, debido a que en ella están comprendidas todas las variedades, múltiples y notas que permiten identificar a una persona para distinguirla indubitablemente de todas las demás. En este concepto se incluyen la paternidad de todas las conductas y acciones intersubjetivas provenidas del ejercicio de la libertad, así como sus expresiones escritas o habladas. Al sujeto le corresponde, dentro de su biografía, asumir la titularidad de las mismas. No obstante, al mismo tiempo, tiene el derecho de rechazar aquellas conductas o expresiones que indebida y gratuitamente se le imputan en la medida que él no se reconoce sujeto o protagonista de las mismas. </w:t>
      </w:r>
    </w:p>
    <w:p w14:paraId="11B08A02" w14:textId="77777777" w:rsidR="0096481E" w:rsidRPr="00792B12" w:rsidRDefault="0096481E" w:rsidP="0096481E">
      <w:pPr>
        <w:autoSpaceDE w:val="0"/>
        <w:autoSpaceDN w:val="0"/>
        <w:adjustRightInd w:val="0"/>
        <w:spacing w:after="240" w:line="360" w:lineRule="auto"/>
        <w:ind w:left="708"/>
        <w:jc w:val="both"/>
        <w:rPr>
          <w:rFonts w:ascii="Arial" w:hAnsi="Arial" w:cs="Arial"/>
          <w:b/>
          <w:bCs/>
          <w:lang w:eastAsia="it-IT"/>
        </w:rPr>
      </w:pPr>
      <w:r w:rsidRPr="00792B12">
        <w:rPr>
          <w:rFonts w:ascii="Arial" w:hAnsi="Arial" w:cs="Arial"/>
          <w:bCs/>
          <w:lang w:eastAsia="it-IT"/>
        </w:rPr>
        <w:br w:type="page"/>
      </w:r>
    </w:p>
    <w:p w14:paraId="3CAB341C"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p>
    <w:p w14:paraId="0EFAF7A8"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Capítulo Segundo:</w:t>
      </w:r>
    </w:p>
    <w:p w14:paraId="4CFBA792"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El derecho a la identidad personal y su diferenciación con otros derechos</w:t>
      </w:r>
    </w:p>
    <w:p w14:paraId="73773857" w14:textId="15250D9D" w:rsidR="0096481E" w:rsidRPr="00F4527E" w:rsidRDefault="0096481E" w:rsidP="0096481E">
      <w:pPr>
        <w:tabs>
          <w:tab w:val="center" w:pos="9498"/>
        </w:tabs>
        <w:spacing w:after="240" w:line="360" w:lineRule="auto"/>
        <w:jc w:val="both"/>
        <w:rPr>
          <w:rFonts w:ascii="Arial" w:hAnsi="Arial" w:cs="Arial"/>
          <w:b/>
          <w:color w:val="000000"/>
          <w:sz w:val="24"/>
          <w:szCs w:val="24"/>
        </w:rPr>
      </w:pPr>
      <w:r w:rsidRPr="00792B12">
        <w:rPr>
          <w:rFonts w:ascii="Arial" w:hAnsi="Arial" w:cs="Arial"/>
          <w:b/>
          <w:color w:val="000000"/>
          <w:sz w:val="24"/>
          <w:szCs w:val="24"/>
        </w:rPr>
        <w:t>1.- Identidad personal y signos distintivos de la persona</w:t>
      </w:r>
    </w:p>
    <w:p w14:paraId="41BCC40E" w14:textId="7D5A6B4B" w:rsidR="0096481E" w:rsidRPr="00792B12" w:rsidRDefault="0096481E" w:rsidP="00F4527E">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No resulta tarea sencilla describir el concepto de “</w:t>
      </w:r>
      <w:r w:rsidRPr="00792B12">
        <w:rPr>
          <w:rFonts w:ascii="Arial" w:hAnsi="Arial" w:cs="Arial"/>
          <w:i/>
          <w:color w:val="000000"/>
          <w:sz w:val="24"/>
          <w:szCs w:val="24"/>
        </w:rPr>
        <w:t>identidad personal</w:t>
      </w:r>
      <w:r w:rsidRPr="00792B12">
        <w:rPr>
          <w:rFonts w:ascii="Arial" w:hAnsi="Arial" w:cs="Arial"/>
          <w:color w:val="000000"/>
          <w:sz w:val="24"/>
          <w:szCs w:val="24"/>
        </w:rPr>
        <w:t>” en sentido integral y, además, atendiendo que resultó complicado el que esta figura jurídica fuera aceptada por los juristas y estudiosos de lo jurídico</w:t>
      </w:r>
      <w:r w:rsidRPr="00792B12">
        <w:rPr>
          <w:rFonts w:ascii="Arial" w:hAnsi="Arial" w:cs="Arial"/>
          <w:color w:val="000000"/>
          <w:sz w:val="24"/>
          <w:szCs w:val="24"/>
          <w:vertAlign w:val="superscript"/>
        </w:rPr>
        <w:footnoteReference w:id="19"/>
      </w:r>
      <w:r w:rsidRPr="00792B12">
        <w:rPr>
          <w:rFonts w:ascii="Arial" w:hAnsi="Arial" w:cs="Arial"/>
          <w:color w:val="000000"/>
          <w:sz w:val="24"/>
          <w:szCs w:val="24"/>
        </w:rPr>
        <w:t xml:space="preserve">.  Generó muchas dudas, lo que es comprensible en la medida que para su aprehensión es necesario remitirse a su supuesto o sustento filosófico libertario y a su cabal aplicación en la experiencia jurídica, a través de la teoría tridimensional del Derecho, como fue planteada en Perú por el recordado profesor Carlos Fernández </w:t>
      </w:r>
      <w:proofErr w:type="spellStart"/>
      <w:r w:rsidRPr="00792B12">
        <w:rPr>
          <w:rFonts w:ascii="Arial" w:hAnsi="Arial" w:cs="Arial"/>
          <w:color w:val="000000"/>
          <w:sz w:val="24"/>
          <w:szCs w:val="24"/>
        </w:rPr>
        <w:t>Sessarego</w:t>
      </w:r>
      <w:proofErr w:type="spellEnd"/>
      <w:r w:rsidRPr="00792B12">
        <w:rPr>
          <w:rStyle w:val="Refdenotaalpie"/>
          <w:rFonts w:ascii="Arial" w:hAnsi="Arial" w:cs="Arial"/>
          <w:color w:val="000000"/>
          <w:sz w:val="24"/>
          <w:szCs w:val="24"/>
        </w:rPr>
        <w:footnoteReference w:id="20"/>
      </w:r>
      <w:r w:rsidRPr="00792B12">
        <w:rPr>
          <w:rFonts w:ascii="Arial" w:hAnsi="Arial" w:cs="Arial"/>
          <w:color w:val="000000"/>
          <w:sz w:val="24"/>
          <w:szCs w:val="24"/>
        </w:rPr>
        <w:t>.</w:t>
      </w:r>
    </w:p>
    <w:p w14:paraId="5E34BB1A" w14:textId="3D743207" w:rsidR="0096481E" w:rsidRPr="00792B12" w:rsidRDefault="0096481E" w:rsidP="00F4527E">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En efecto, lo novedoso del concepto de “</w:t>
      </w:r>
      <w:r w:rsidRPr="00792B12">
        <w:rPr>
          <w:rFonts w:ascii="Arial" w:hAnsi="Arial" w:cs="Arial"/>
          <w:i/>
          <w:color w:val="000000"/>
          <w:sz w:val="24"/>
          <w:szCs w:val="24"/>
        </w:rPr>
        <w:t>identidad personal</w:t>
      </w:r>
      <w:r w:rsidRPr="00792B12">
        <w:rPr>
          <w:rFonts w:ascii="Arial" w:hAnsi="Arial" w:cs="Arial"/>
          <w:color w:val="000000"/>
          <w:sz w:val="24"/>
          <w:szCs w:val="24"/>
        </w:rPr>
        <w:t>” originó el que en lo jurídico se le confundiera, por un lado, con otras nociones que le son conceptualmente cercanas como es el caso de los signos distintivos, la intimidad de la vida privada, el honor y la reputación. De otro lado, la confusión se generaba en el hecho que el genérico concepto de “</w:t>
      </w:r>
      <w:r w:rsidRPr="00792B12">
        <w:rPr>
          <w:rFonts w:ascii="Arial" w:hAnsi="Arial" w:cs="Arial"/>
          <w:i/>
          <w:color w:val="000000"/>
          <w:sz w:val="24"/>
          <w:szCs w:val="24"/>
        </w:rPr>
        <w:t>identidad personal</w:t>
      </w:r>
      <w:r w:rsidRPr="00792B12">
        <w:rPr>
          <w:rFonts w:ascii="Arial" w:hAnsi="Arial" w:cs="Arial"/>
          <w:color w:val="000000"/>
          <w:sz w:val="24"/>
          <w:szCs w:val="24"/>
        </w:rPr>
        <w:t>”, tanto en su vertiente estática como en la dinámica, comprende variados aspectos de esta.</w:t>
      </w:r>
    </w:p>
    <w:p w14:paraId="5B893AD1" w14:textId="5FA7D2E4" w:rsidR="0096481E" w:rsidRPr="00792B12"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Al respecto, es necesario recordar que todos los derechos de la persona se encuentran esencialmente vinculados en cuanto todos ellos tienen un mismo y único fundamento, desde que tutelan diversos aspectos de un mismo ser, cual es el ser humano</w:t>
      </w:r>
      <w:r w:rsidRPr="00792B12">
        <w:rPr>
          <w:rFonts w:ascii="Arial" w:hAnsi="Arial" w:cs="Arial"/>
          <w:color w:val="000000"/>
          <w:sz w:val="24"/>
          <w:szCs w:val="24"/>
          <w:vertAlign w:val="superscript"/>
        </w:rPr>
        <w:footnoteReference w:id="21"/>
      </w:r>
      <w:r w:rsidRPr="00792B12">
        <w:rPr>
          <w:rFonts w:ascii="Arial" w:hAnsi="Arial" w:cs="Arial"/>
          <w:color w:val="000000"/>
          <w:sz w:val="24"/>
          <w:szCs w:val="24"/>
        </w:rPr>
        <w:t>. En efecto, todos estos derechos se refieren siempre al “</w:t>
      </w:r>
      <w:r w:rsidRPr="00792B12">
        <w:rPr>
          <w:rFonts w:ascii="Arial" w:hAnsi="Arial" w:cs="Arial"/>
          <w:i/>
          <w:color w:val="000000"/>
          <w:sz w:val="24"/>
          <w:szCs w:val="24"/>
        </w:rPr>
        <w:t>yo</w:t>
      </w:r>
      <w:r w:rsidRPr="00792B12">
        <w:rPr>
          <w:rFonts w:ascii="Arial" w:hAnsi="Arial" w:cs="Arial"/>
          <w:color w:val="000000"/>
          <w:sz w:val="24"/>
          <w:szCs w:val="24"/>
        </w:rPr>
        <w:t xml:space="preserve">”, </w:t>
      </w:r>
      <w:r w:rsidRPr="00792B12">
        <w:rPr>
          <w:rFonts w:ascii="Arial" w:hAnsi="Arial" w:cs="Arial"/>
          <w:color w:val="000000"/>
          <w:sz w:val="24"/>
          <w:szCs w:val="24"/>
        </w:rPr>
        <w:lastRenderedPageBreak/>
        <w:t>en cuanto es a la persona a quien el derecho protege de modo amplio e integral</w:t>
      </w:r>
      <w:r w:rsidRPr="00792B12">
        <w:rPr>
          <w:rStyle w:val="Refdenotaalpie"/>
          <w:rFonts w:ascii="Arial" w:hAnsi="Arial" w:cs="Arial"/>
          <w:color w:val="000000"/>
          <w:sz w:val="24"/>
          <w:szCs w:val="24"/>
        </w:rPr>
        <w:footnoteReference w:id="22"/>
      </w:r>
      <w:r w:rsidRPr="00792B12">
        <w:rPr>
          <w:rFonts w:ascii="Arial" w:hAnsi="Arial" w:cs="Arial"/>
          <w:color w:val="000000"/>
          <w:sz w:val="24"/>
          <w:szCs w:val="24"/>
        </w:rPr>
        <w:t xml:space="preserve">. Es el propio ser humano el único y absoluto fundamento, la razón de ser, de los derechos, así como, indica </w:t>
      </w:r>
      <w:proofErr w:type="spellStart"/>
      <w:r w:rsidRPr="00792B12">
        <w:rPr>
          <w:rFonts w:ascii="Arial" w:hAnsi="Arial" w:cs="Arial"/>
          <w:color w:val="000000"/>
          <w:sz w:val="24"/>
          <w:szCs w:val="24"/>
        </w:rPr>
        <w:t>Vincenzo</w:t>
      </w:r>
      <w:proofErr w:type="spellEnd"/>
      <w:r w:rsidRPr="00792B12">
        <w:rPr>
          <w:rFonts w:ascii="Arial" w:hAnsi="Arial" w:cs="Arial"/>
          <w:color w:val="000000"/>
          <w:sz w:val="24"/>
          <w:szCs w:val="24"/>
        </w:rPr>
        <w:t xml:space="preserve"> </w:t>
      </w:r>
      <w:proofErr w:type="spellStart"/>
      <w:r w:rsidRPr="00792B12">
        <w:rPr>
          <w:rFonts w:ascii="Arial" w:hAnsi="Arial" w:cs="Arial"/>
          <w:color w:val="000000"/>
          <w:sz w:val="24"/>
          <w:szCs w:val="24"/>
        </w:rPr>
        <w:t>Roppo</w:t>
      </w:r>
      <w:proofErr w:type="spellEnd"/>
      <w:r w:rsidRPr="00792B12">
        <w:rPr>
          <w:rStyle w:val="Refdenotaalpie"/>
          <w:rFonts w:ascii="Arial" w:hAnsi="Arial" w:cs="Arial"/>
          <w:color w:val="000000"/>
          <w:sz w:val="24"/>
          <w:szCs w:val="24"/>
        </w:rPr>
        <w:footnoteReference w:id="23"/>
      </w:r>
      <w:r w:rsidRPr="00792B12">
        <w:rPr>
          <w:rFonts w:ascii="Arial" w:hAnsi="Arial" w:cs="Arial"/>
          <w:color w:val="000000"/>
          <w:sz w:val="24"/>
          <w:szCs w:val="24"/>
        </w:rPr>
        <w:t>, su pretensión a la limitación de poderes y comportamientos ajenos que los distorsionen o no lo respeten.</w:t>
      </w:r>
    </w:p>
    <w:p w14:paraId="7E928994" w14:textId="44526AB1" w:rsidR="0096481E" w:rsidRPr="00792B12"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 xml:space="preserve"> La relación fundamental entre los diversos derechos que protegen al ser humano explica la posibilidad de confusión que puede presentarse entre derechos que tutelan aspectos muy cercanos o afines de la persona.</w:t>
      </w:r>
    </w:p>
    <w:p w14:paraId="73B50A0D" w14:textId="28D3D76D" w:rsidR="0096481E" w:rsidRPr="001B2B15"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 xml:space="preserve">Comenzó posteriormente el proceso de distinción entre el derecho a la identidad personal y de los otros intereses existenciales que le son próximos. La diferenciación de los derechos ha sido obra conjunta de la jurisprudencia y del análisis crítico de la doctrina. </w:t>
      </w:r>
    </w:p>
    <w:p w14:paraId="1ABE6BB6" w14:textId="61FC433E" w:rsidR="0096481E" w:rsidRPr="00792B12" w:rsidRDefault="0096481E" w:rsidP="0096481E">
      <w:pPr>
        <w:keepNext/>
        <w:tabs>
          <w:tab w:val="left" w:pos="-720"/>
          <w:tab w:val="center" w:pos="9498"/>
        </w:tabs>
        <w:spacing w:after="240" w:line="360" w:lineRule="auto"/>
        <w:jc w:val="both"/>
        <w:outlineLvl w:val="0"/>
        <w:rPr>
          <w:rFonts w:ascii="Arial" w:eastAsia="Times New Roman" w:hAnsi="Arial" w:cs="Arial"/>
          <w:b/>
          <w:bCs/>
          <w:color w:val="000000"/>
          <w:kern w:val="32"/>
          <w:sz w:val="24"/>
          <w:szCs w:val="24"/>
          <w:lang w:eastAsia="es-ES"/>
        </w:rPr>
      </w:pPr>
      <w:r w:rsidRPr="00792B12">
        <w:rPr>
          <w:rFonts w:ascii="Arial" w:eastAsia="Times New Roman" w:hAnsi="Arial" w:cs="Arial"/>
          <w:b/>
          <w:bCs/>
          <w:color w:val="000000"/>
          <w:kern w:val="32"/>
          <w:sz w:val="24"/>
          <w:szCs w:val="24"/>
          <w:lang w:eastAsia="es-ES"/>
        </w:rPr>
        <w:t>2.- Identidad personal, nombre e imagen: diferencias</w:t>
      </w:r>
    </w:p>
    <w:p w14:paraId="553398F3" w14:textId="2DB00F42" w:rsidR="0096481E" w:rsidRPr="00792B12" w:rsidRDefault="0096481E" w:rsidP="00F4527E">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El nombre se presenta como un signo distintivo de la persona, como el instrumento más simple y directo para su primaria identificación</w:t>
      </w:r>
      <w:r w:rsidRPr="00792B12">
        <w:rPr>
          <w:rFonts w:ascii="Arial" w:hAnsi="Arial" w:cs="Arial"/>
          <w:color w:val="000000"/>
          <w:sz w:val="24"/>
          <w:szCs w:val="24"/>
          <w:vertAlign w:val="superscript"/>
        </w:rPr>
        <w:footnoteReference w:id="24"/>
      </w:r>
      <w:r w:rsidRPr="00792B12">
        <w:rPr>
          <w:rFonts w:ascii="Arial" w:hAnsi="Arial" w:cs="Arial"/>
          <w:color w:val="000000"/>
          <w:sz w:val="24"/>
          <w:szCs w:val="24"/>
        </w:rPr>
        <w:t>.  Se reconoce que el nombre cumple una función identificadora e individualizadora de la persona humana dentro de la sociedad, la afirmación del propio yo</w:t>
      </w:r>
      <w:r w:rsidRPr="00792B12">
        <w:rPr>
          <w:rStyle w:val="Refdenotaalpie"/>
          <w:rFonts w:ascii="Arial" w:hAnsi="Arial" w:cs="Arial"/>
          <w:color w:val="000000"/>
          <w:sz w:val="24"/>
          <w:szCs w:val="24"/>
        </w:rPr>
        <w:footnoteReference w:id="25"/>
      </w:r>
      <w:r w:rsidRPr="00792B12">
        <w:rPr>
          <w:rFonts w:ascii="Arial" w:hAnsi="Arial" w:cs="Arial"/>
          <w:color w:val="000000"/>
          <w:sz w:val="24"/>
          <w:szCs w:val="24"/>
        </w:rPr>
        <w:t>.</w:t>
      </w:r>
    </w:p>
    <w:p w14:paraId="2F64EC9C" w14:textId="6707F94E" w:rsidR="0096481E" w:rsidRPr="00792B12"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El nombre es uno de los medios de identidad estática de la persona, aunque no es un dato ni suficiente ni totalmente seguro para dar cuenta de la identidad de un ser humano. Es un instrumento de identificación de la persona</w:t>
      </w:r>
      <w:r w:rsidRPr="00792B12">
        <w:rPr>
          <w:rStyle w:val="Refdenotaalpie"/>
          <w:rFonts w:ascii="Arial" w:hAnsi="Arial" w:cs="Arial"/>
          <w:color w:val="000000"/>
          <w:sz w:val="24"/>
          <w:szCs w:val="24"/>
        </w:rPr>
        <w:footnoteReference w:id="26"/>
      </w:r>
      <w:r w:rsidRPr="00792B12">
        <w:rPr>
          <w:rFonts w:ascii="Arial" w:hAnsi="Arial" w:cs="Arial"/>
          <w:color w:val="000000"/>
          <w:sz w:val="24"/>
          <w:szCs w:val="24"/>
        </w:rPr>
        <w:t xml:space="preserve">. </w:t>
      </w:r>
      <w:r w:rsidRPr="00792B12">
        <w:rPr>
          <w:rFonts w:ascii="Arial" w:hAnsi="Arial" w:cs="Arial"/>
          <w:color w:val="000000"/>
          <w:sz w:val="24"/>
          <w:szCs w:val="24"/>
        </w:rPr>
        <w:lastRenderedPageBreak/>
        <w:t>No obstante, el nombre no da cuenta de la esencia del sujeto, mientras que la noción globalizante de identidad personal, por el contrario, es una expresión universal que permite la aproximación a la “</w:t>
      </w:r>
      <w:r w:rsidRPr="00792B12">
        <w:rPr>
          <w:rFonts w:ascii="Arial" w:hAnsi="Arial" w:cs="Arial"/>
          <w:i/>
          <w:color w:val="000000"/>
          <w:sz w:val="24"/>
          <w:szCs w:val="24"/>
        </w:rPr>
        <w:t>verdad personal</w:t>
      </w:r>
      <w:r w:rsidRPr="00792B12">
        <w:rPr>
          <w:rFonts w:ascii="Arial" w:hAnsi="Arial" w:cs="Arial"/>
          <w:color w:val="000000"/>
          <w:sz w:val="24"/>
          <w:szCs w:val="24"/>
        </w:rPr>
        <w:t>” de cada sujeto. Lo expresado sobre el nombre es aplicable también al seudónimo, que alcanza la importancia del nombre, tendiendo a sustituirlo.</w:t>
      </w:r>
    </w:p>
    <w:p w14:paraId="20653F0C" w14:textId="37F41C53"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Se ha logrado perfilar conceptualmente el deslinde entre el derecho a la identidad personal, en cuanto proyección social de la persona como su </w:t>
      </w:r>
      <w:r w:rsidRPr="00792B12">
        <w:rPr>
          <w:rFonts w:ascii="Arial" w:hAnsi="Arial" w:cs="Arial"/>
          <w:i/>
          <w:color w:val="000000"/>
          <w:sz w:val="24"/>
          <w:szCs w:val="24"/>
        </w:rPr>
        <w:t>verdad esencial</w:t>
      </w:r>
      <w:r w:rsidRPr="00792B12">
        <w:rPr>
          <w:rFonts w:ascii="Arial" w:hAnsi="Arial" w:cs="Arial"/>
          <w:color w:val="000000"/>
          <w:sz w:val="24"/>
          <w:szCs w:val="24"/>
        </w:rPr>
        <w:t xml:space="preserve">, y los signos distintivos de la persona (nombre, seudónimos, etc.). </w:t>
      </w:r>
    </w:p>
    <w:p w14:paraId="46637C61" w14:textId="3C5E07AD"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Sobe el derecho a la imagen, como han expresado con acierto Guido </w:t>
      </w:r>
      <w:proofErr w:type="spellStart"/>
      <w:r w:rsidRPr="00792B12">
        <w:rPr>
          <w:rFonts w:ascii="Arial" w:hAnsi="Arial" w:cs="Arial"/>
          <w:color w:val="000000"/>
          <w:sz w:val="24"/>
          <w:szCs w:val="24"/>
        </w:rPr>
        <w:t>Alpa</w:t>
      </w:r>
      <w:proofErr w:type="spellEnd"/>
      <w:r w:rsidRPr="00792B12">
        <w:rPr>
          <w:rFonts w:ascii="Arial" w:hAnsi="Arial" w:cs="Arial"/>
          <w:color w:val="000000"/>
          <w:sz w:val="24"/>
          <w:szCs w:val="24"/>
        </w:rPr>
        <w:t xml:space="preserve"> y Giorgio Resta</w:t>
      </w:r>
      <w:r w:rsidRPr="00792B12">
        <w:rPr>
          <w:rStyle w:val="Refdenotaalpie"/>
          <w:rFonts w:ascii="Arial" w:hAnsi="Arial" w:cs="Arial"/>
          <w:color w:val="000000"/>
          <w:sz w:val="24"/>
          <w:szCs w:val="24"/>
        </w:rPr>
        <w:footnoteReference w:id="27"/>
      </w:r>
      <w:r w:rsidRPr="00792B12">
        <w:rPr>
          <w:rFonts w:ascii="Arial" w:hAnsi="Arial" w:cs="Arial"/>
          <w:color w:val="000000"/>
          <w:sz w:val="24"/>
          <w:szCs w:val="24"/>
        </w:rPr>
        <w:t>, su reconocimiento constituye históricamente un aporte de la jurisprudencia francesa, que inicio a ocuparse del tema del siglo XX. En la experiencia jurídica italiana, las primeras sentencias que se ocuparon de la materia se remontan a finales del siglo XIX. Por este motivo se reflejan en manera particularmente nítida la diversa contribución de los modelos franceses y alemanes en la construcción de un sistema de tutela civil de la persona.  Si por cincuenta años se tuvo la influencia francesa, ese sitial fue tomado por la cultura jurídica alemana, por su basamento conceptual y analítico.</w:t>
      </w:r>
    </w:p>
    <w:p w14:paraId="401ADB67" w14:textId="25AC88C7"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Así la atención de la jurisprudencia italiana en las primeras décadas del siglo XX se concentraron en tres aspectos: </w:t>
      </w:r>
      <w:r w:rsidRPr="00792B12">
        <w:rPr>
          <w:rFonts w:ascii="Arial" w:hAnsi="Arial" w:cs="Arial"/>
          <w:i/>
          <w:color w:val="000000"/>
          <w:sz w:val="24"/>
          <w:szCs w:val="24"/>
        </w:rPr>
        <w:t>a</w:t>
      </w:r>
      <w:r w:rsidRPr="00792B12">
        <w:rPr>
          <w:rFonts w:ascii="Arial" w:hAnsi="Arial" w:cs="Arial"/>
          <w:color w:val="000000"/>
          <w:sz w:val="24"/>
          <w:szCs w:val="24"/>
        </w:rPr>
        <w:t xml:space="preserve">) si la imagen es objeto de un derecho subjetivo, o se encuentra protegido solo indirectamente mediante las reglas de la responsabilidad civil y penal; </w:t>
      </w:r>
      <w:r w:rsidRPr="00792B12">
        <w:rPr>
          <w:rFonts w:ascii="Arial" w:hAnsi="Arial" w:cs="Arial"/>
          <w:i/>
          <w:color w:val="000000"/>
          <w:sz w:val="24"/>
          <w:szCs w:val="24"/>
        </w:rPr>
        <w:t>b</w:t>
      </w:r>
      <w:r w:rsidRPr="00792B12">
        <w:rPr>
          <w:rFonts w:ascii="Arial" w:hAnsi="Arial" w:cs="Arial"/>
          <w:color w:val="000000"/>
          <w:sz w:val="24"/>
          <w:szCs w:val="24"/>
        </w:rPr>
        <w:t>) si del derecho a la imagen es posible disponer como de todo otro derecho patrimonial y, especialmente, si en el caso de menores, pueden realizar actos válidos dispositivos sin la intervención de los que ejercen la patria potestad;</w:t>
      </w:r>
      <w:r w:rsidRPr="00792B12">
        <w:rPr>
          <w:rFonts w:ascii="Arial" w:hAnsi="Arial" w:cs="Arial"/>
          <w:i/>
          <w:color w:val="000000"/>
          <w:sz w:val="24"/>
          <w:szCs w:val="24"/>
        </w:rPr>
        <w:t xml:space="preserve"> c</w:t>
      </w:r>
      <w:r w:rsidRPr="00792B12">
        <w:rPr>
          <w:rFonts w:ascii="Arial" w:hAnsi="Arial" w:cs="Arial"/>
          <w:color w:val="000000"/>
          <w:sz w:val="24"/>
          <w:szCs w:val="24"/>
        </w:rPr>
        <w:t>)  si el consentimiento a la publicación del retrato tomado a la persona es revocable.</w:t>
      </w:r>
    </w:p>
    <w:p w14:paraId="3462B460" w14:textId="2AEF60B7"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Efectivamente, la doctrina italiana, desde la mitad del siglo pasado, asumió diferentes posiciones en el contexto de la más general controversia sobre la existencia misma de los derechos de la persona</w:t>
      </w:r>
      <w:r w:rsidRPr="00792B12">
        <w:rPr>
          <w:rStyle w:val="Refdenotaalpie"/>
          <w:rFonts w:ascii="Arial" w:hAnsi="Arial" w:cs="Arial"/>
          <w:color w:val="000000"/>
          <w:sz w:val="24"/>
          <w:szCs w:val="24"/>
        </w:rPr>
        <w:footnoteReference w:id="28"/>
      </w:r>
      <w:r w:rsidRPr="00792B12">
        <w:rPr>
          <w:rFonts w:ascii="Arial" w:hAnsi="Arial" w:cs="Arial"/>
          <w:color w:val="000000"/>
          <w:sz w:val="24"/>
          <w:szCs w:val="24"/>
        </w:rPr>
        <w:t xml:space="preserve">. Se puede afirmar que, en </w:t>
      </w:r>
      <w:r w:rsidRPr="00792B12">
        <w:rPr>
          <w:rFonts w:ascii="Arial" w:hAnsi="Arial" w:cs="Arial"/>
          <w:color w:val="000000"/>
          <w:sz w:val="24"/>
          <w:szCs w:val="24"/>
        </w:rPr>
        <w:lastRenderedPageBreak/>
        <w:t>el ámbito de la protección de la identidad personal, la imagen se presenta como un signo distintivo primordial. Cabe precisar que la problemática de la imagen se volvió más compleja, debido al perfeccionamiento de los medios y técnicas de difusión que caracterizan nuestra sociedad.</w:t>
      </w:r>
    </w:p>
    <w:p w14:paraId="48E5BA58" w14:textId="7E593E5A" w:rsidR="0096481E" w:rsidRPr="00792B12"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 xml:space="preserve">El Derecho se interesa de la protección jurídica del aspecto exterior de la persona, de su perfil somático. El objeto del derecho a la imagen, como indicada en su tiempo Emilio </w:t>
      </w:r>
      <w:proofErr w:type="spellStart"/>
      <w:r w:rsidRPr="00792B12">
        <w:rPr>
          <w:rFonts w:ascii="Arial" w:hAnsi="Arial" w:cs="Arial"/>
          <w:color w:val="000000"/>
          <w:sz w:val="24"/>
          <w:szCs w:val="24"/>
        </w:rPr>
        <w:t>Ondei</w:t>
      </w:r>
      <w:proofErr w:type="spellEnd"/>
      <w:r w:rsidRPr="00792B12">
        <w:rPr>
          <w:rStyle w:val="Refdenotaalpie"/>
          <w:rFonts w:ascii="Arial" w:hAnsi="Arial" w:cs="Arial"/>
          <w:color w:val="000000"/>
          <w:sz w:val="24"/>
          <w:szCs w:val="24"/>
        </w:rPr>
        <w:footnoteReference w:id="29"/>
      </w:r>
      <w:r w:rsidRPr="00792B12">
        <w:rPr>
          <w:rFonts w:ascii="Arial" w:hAnsi="Arial" w:cs="Arial"/>
          <w:color w:val="000000"/>
          <w:sz w:val="24"/>
          <w:szCs w:val="24"/>
        </w:rPr>
        <w:t>, es también la protección del perfil físico de la persona y su reproducción por cualquier medio, que no puede ser necesariamente una copia literalmente fiel y puede ser intencionalmente alterada o deformada. El uso ilegítimo de la imagen puede comportar prejuicio al honor, al decoro y a la reputación del sujeto</w:t>
      </w:r>
      <w:r w:rsidRPr="00792B12">
        <w:rPr>
          <w:rStyle w:val="Refdenotaalpie"/>
          <w:rFonts w:ascii="Arial" w:hAnsi="Arial" w:cs="Arial"/>
          <w:color w:val="000000"/>
          <w:sz w:val="24"/>
          <w:szCs w:val="24"/>
        </w:rPr>
        <w:footnoteReference w:id="30"/>
      </w:r>
      <w:r w:rsidRPr="00792B12">
        <w:rPr>
          <w:rFonts w:ascii="Arial" w:hAnsi="Arial" w:cs="Arial"/>
          <w:color w:val="000000"/>
          <w:sz w:val="24"/>
          <w:szCs w:val="24"/>
        </w:rPr>
        <w:t>, por lo que debe valorarse en cada caso su utilización</w:t>
      </w:r>
      <w:r w:rsidRPr="00792B12">
        <w:rPr>
          <w:rStyle w:val="Refdenotaalpie"/>
          <w:rFonts w:ascii="Arial" w:hAnsi="Arial" w:cs="Arial"/>
          <w:color w:val="000000"/>
          <w:sz w:val="24"/>
          <w:szCs w:val="24"/>
        </w:rPr>
        <w:footnoteReference w:id="31"/>
      </w:r>
      <w:r w:rsidRPr="00792B12">
        <w:rPr>
          <w:rFonts w:ascii="Arial" w:hAnsi="Arial" w:cs="Arial"/>
          <w:color w:val="000000"/>
          <w:sz w:val="24"/>
          <w:szCs w:val="24"/>
        </w:rPr>
        <w:t>.</w:t>
      </w:r>
    </w:p>
    <w:p w14:paraId="6FFE0AF8" w14:textId="3A9DE845" w:rsidR="0096481E" w:rsidRPr="00792B12"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La imagen, junto al nombre, constituye otro elemento para configurar la identidad estática del sujeto</w:t>
      </w:r>
      <w:r w:rsidRPr="00792B12">
        <w:rPr>
          <w:rFonts w:ascii="Arial" w:hAnsi="Arial" w:cs="Arial"/>
          <w:color w:val="000000"/>
          <w:sz w:val="24"/>
          <w:szCs w:val="24"/>
          <w:vertAlign w:val="superscript"/>
        </w:rPr>
        <w:footnoteReference w:id="32"/>
      </w:r>
      <w:r w:rsidRPr="00792B12">
        <w:rPr>
          <w:rFonts w:ascii="Arial" w:hAnsi="Arial" w:cs="Arial"/>
          <w:color w:val="000000"/>
          <w:sz w:val="24"/>
          <w:szCs w:val="24"/>
        </w:rPr>
        <w:t>.  No puede olvidarse los otros aspectos de la persona, de carácter estático, que contribuyen a reconocer su identidad, su verdad social.  Como en el caso de los signos distintivos, y particularmente del nombre. La imagen se presenta insuficiente para dar cuenta, ella sola, de la identidad personal. Con razón, Massimo Dogliotti ha expresado que los signos distintivos ni la imagen agotan la identidad de la persona</w:t>
      </w:r>
      <w:r w:rsidRPr="00792B12">
        <w:rPr>
          <w:rFonts w:ascii="Arial" w:hAnsi="Arial" w:cs="Arial"/>
          <w:color w:val="000000"/>
          <w:sz w:val="24"/>
          <w:szCs w:val="24"/>
          <w:vertAlign w:val="superscript"/>
        </w:rPr>
        <w:footnoteReference w:id="33"/>
      </w:r>
      <w:r w:rsidRPr="00792B12">
        <w:rPr>
          <w:rFonts w:ascii="Arial" w:hAnsi="Arial" w:cs="Arial"/>
          <w:color w:val="000000"/>
          <w:sz w:val="24"/>
          <w:szCs w:val="24"/>
        </w:rPr>
        <w:t>. Estos elementos estáticos no brindan una proyección social completa que definan la identidad personal del sujeto.</w:t>
      </w:r>
    </w:p>
    <w:p w14:paraId="5E5A28E4" w14:textId="56463336" w:rsidR="0096481E" w:rsidRPr="00792B12" w:rsidRDefault="0096481E" w:rsidP="0096481E">
      <w:pPr>
        <w:keepNext/>
        <w:tabs>
          <w:tab w:val="left" w:pos="-720"/>
          <w:tab w:val="center" w:pos="9498"/>
        </w:tabs>
        <w:spacing w:after="240" w:line="360" w:lineRule="auto"/>
        <w:jc w:val="both"/>
        <w:outlineLvl w:val="0"/>
        <w:rPr>
          <w:rFonts w:ascii="Arial" w:eastAsia="Times New Roman" w:hAnsi="Arial" w:cs="Arial"/>
          <w:b/>
          <w:bCs/>
          <w:color w:val="000000"/>
          <w:kern w:val="32"/>
          <w:sz w:val="24"/>
          <w:szCs w:val="24"/>
          <w:lang w:eastAsia="es-ES"/>
        </w:rPr>
      </w:pPr>
      <w:r w:rsidRPr="00792B12">
        <w:rPr>
          <w:rFonts w:ascii="Arial" w:eastAsia="Times New Roman" w:hAnsi="Arial" w:cs="Arial"/>
          <w:b/>
          <w:bCs/>
          <w:color w:val="000000"/>
          <w:kern w:val="32"/>
          <w:sz w:val="24"/>
          <w:szCs w:val="24"/>
          <w:lang w:eastAsia="es-ES"/>
        </w:rPr>
        <w:lastRenderedPageBreak/>
        <w:t>3.- Diferencias entre el derecho a la intimidad de la vida privada y derecho a la identidad personal</w:t>
      </w:r>
    </w:p>
    <w:p w14:paraId="764BDDF0" w14:textId="40B9FFFA" w:rsidR="0096481E" w:rsidRPr="00792B12"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La noción de identidad personal está también vinculada con la de intimidad de la vida privada. En efecto, el derecho a la intimidad protege el interés de la persona de gozar de un ámbito en el cual pueda desarrollar lo que constituye el núcleo de su vida privada. Consiste en el derecho a la no representación hacia el exterior de los propios asuntos personales, es decir de aquellos que el sujeto requiere se sustraigan a la curiosidad ajena. Se trata de aquellas actividades que carecen de trascendencia social. La intimidad es una categoría en sí, madurada para ser utilizada como instrumento jurídico en la sociedad moderna</w:t>
      </w:r>
      <w:r w:rsidRPr="00792B12">
        <w:rPr>
          <w:rStyle w:val="Refdenotaalpie"/>
          <w:rFonts w:ascii="Arial" w:hAnsi="Arial" w:cs="Arial"/>
          <w:color w:val="000000"/>
          <w:sz w:val="24"/>
          <w:szCs w:val="24"/>
        </w:rPr>
        <w:footnoteReference w:id="34"/>
      </w:r>
      <w:r w:rsidRPr="00792B12">
        <w:rPr>
          <w:rFonts w:ascii="Arial" w:hAnsi="Arial" w:cs="Arial"/>
          <w:color w:val="000000"/>
          <w:sz w:val="24"/>
          <w:szCs w:val="24"/>
        </w:rPr>
        <w:t>.</w:t>
      </w:r>
    </w:p>
    <w:p w14:paraId="08AD7E0B" w14:textId="4D3E51C0" w:rsidR="0096481E" w:rsidRPr="00792B12" w:rsidRDefault="0096481E" w:rsidP="00F4527E">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 xml:space="preserve">La intimidad puede describirse, como la desarrollo Adriano De </w:t>
      </w:r>
      <w:proofErr w:type="spellStart"/>
      <w:r w:rsidRPr="00792B12">
        <w:rPr>
          <w:rFonts w:ascii="Arial" w:hAnsi="Arial" w:cs="Arial"/>
          <w:color w:val="000000"/>
          <w:sz w:val="24"/>
          <w:szCs w:val="24"/>
        </w:rPr>
        <w:t>Cupis</w:t>
      </w:r>
      <w:proofErr w:type="spellEnd"/>
      <w:r w:rsidRPr="00792B12">
        <w:rPr>
          <w:rStyle w:val="Refdenotaalpie"/>
          <w:rFonts w:ascii="Arial" w:hAnsi="Arial" w:cs="Arial"/>
          <w:color w:val="000000"/>
          <w:sz w:val="24"/>
          <w:szCs w:val="24"/>
        </w:rPr>
        <w:footnoteReference w:id="35"/>
      </w:r>
      <w:r w:rsidRPr="00792B12">
        <w:rPr>
          <w:rFonts w:ascii="Arial" w:hAnsi="Arial" w:cs="Arial"/>
          <w:color w:val="000000"/>
          <w:sz w:val="24"/>
          <w:szCs w:val="24"/>
        </w:rPr>
        <w:t>,  uno de los más reconocidos especialistas europeos de los derechos de las personas, como el modo de ser del sujeto, en que se excluye al conocimiento ajeno aspectos de su vida. Por ende, comporta la tutela jurídica de situaciones y vivencias particularmente personales y familiares, que no tienen para los terceros un interés socialmente apreciable</w:t>
      </w:r>
      <w:r w:rsidRPr="00792B12">
        <w:rPr>
          <w:rStyle w:val="Refdenotaalpie"/>
          <w:rFonts w:ascii="Arial" w:hAnsi="Arial" w:cs="Arial"/>
          <w:color w:val="000000"/>
          <w:sz w:val="24"/>
          <w:szCs w:val="24"/>
        </w:rPr>
        <w:footnoteReference w:id="36"/>
      </w:r>
      <w:r w:rsidRPr="00792B12">
        <w:rPr>
          <w:rFonts w:ascii="Arial" w:hAnsi="Arial" w:cs="Arial"/>
          <w:color w:val="000000"/>
          <w:sz w:val="24"/>
          <w:szCs w:val="24"/>
        </w:rPr>
        <w:t>. En general, el derecho a la intimidad tutela jurídicamente el interés de mantener en reserva la esfera interna de la persona, evitando su divulgación pública, especialmente a través de los medios de comunicación masivos o redes informáticas, vale decir, protege al sujeto de la curiosidad pública</w:t>
      </w:r>
      <w:r w:rsidRPr="00792B12">
        <w:rPr>
          <w:rStyle w:val="Refdenotaalpie"/>
          <w:rFonts w:ascii="Arial" w:hAnsi="Arial" w:cs="Arial"/>
          <w:color w:val="000000"/>
          <w:sz w:val="24"/>
          <w:szCs w:val="24"/>
        </w:rPr>
        <w:footnoteReference w:id="37"/>
      </w:r>
      <w:r w:rsidRPr="00792B12">
        <w:rPr>
          <w:rFonts w:ascii="Arial" w:hAnsi="Arial" w:cs="Arial"/>
          <w:color w:val="000000"/>
          <w:sz w:val="24"/>
          <w:szCs w:val="24"/>
        </w:rPr>
        <w:t>.</w:t>
      </w:r>
    </w:p>
    <w:p w14:paraId="77EBE095" w14:textId="3A715A95" w:rsidR="0096481E" w:rsidRPr="00792B12"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No obstante, no debe olvidarse que en el derecho a la identidad personal se tutela la “</w:t>
      </w:r>
      <w:r w:rsidRPr="00792B12">
        <w:rPr>
          <w:rFonts w:ascii="Arial" w:hAnsi="Arial" w:cs="Arial"/>
          <w:i/>
          <w:color w:val="000000"/>
          <w:sz w:val="24"/>
          <w:szCs w:val="24"/>
        </w:rPr>
        <w:t>mismidad</w:t>
      </w:r>
      <w:r w:rsidRPr="00792B12">
        <w:rPr>
          <w:rFonts w:ascii="Arial" w:hAnsi="Arial" w:cs="Arial"/>
          <w:color w:val="000000"/>
          <w:sz w:val="24"/>
          <w:szCs w:val="24"/>
        </w:rPr>
        <w:t>” del sujeto, su verdad personal, en tanto que en el derecho a la intimidad de la vida privada no es importante la problemática de la “</w:t>
      </w:r>
      <w:r w:rsidRPr="00792B12">
        <w:rPr>
          <w:rFonts w:ascii="Arial" w:hAnsi="Arial" w:cs="Arial"/>
          <w:i/>
          <w:color w:val="000000"/>
          <w:sz w:val="24"/>
          <w:szCs w:val="24"/>
        </w:rPr>
        <w:t>verdad personal</w:t>
      </w:r>
      <w:r w:rsidRPr="00792B12">
        <w:rPr>
          <w:rFonts w:ascii="Arial" w:hAnsi="Arial" w:cs="Arial"/>
          <w:color w:val="000000"/>
          <w:sz w:val="24"/>
          <w:szCs w:val="24"/>
        </w:rPr>
        <w:t xml:space="preserve">”, por lo que es materia de protección jurídica es la esfera de su </w:t>
      </w:r>
      <w:r w:rsidRPr="00792B12">
        <w:rPr>
          <w:rFonts w:ascii="Arial" w:hAnsi="Arial" w:cs="Arial"/>
          <w:color w:val="000000"/>
          <w:sz w:val="24"/>
          <w:szCs w:val="24"/>
        </w:rPr>
        <w:lastRenderedPageBreak/>
        <w:t xml:space="preserve">privacidad, de aquellos comportamientos que quedan al margen de cualquier forma de intrusiones de parte de </w:t>
      </w:r>
      <w:r w:rsidR="001B2B15" w:rsidRPr="00792B12">
        <w:rPr>
          <w:rFonts w:ascii="Arial" w:hAnsi="Arial" w:cs="Arial"/>
          <w:color w:val="000000"/>
          <w:sz w:val="24"/>
          <w:szCs w:val="24"/>
        </w:rPr>
        <w:t>aquellas personas ajenas</w:t>
      </w:r>
      <w:r w:rsidRPr="00792B12">
        <w:rPr>
          <w:rFonts w:ascii="Arial" w:hAnsi="Arial" w:cs="Arial"/>
          <w:color w:val="000000"/>
          <w:sz w:val="24"/>
          <w:szCs w:val="24"/>
        </w:rPr>
        <w:t xml:space="preserve"> al mundo de la intimidad personal como familiar.</w:t>
      </w:r>
    </w:p>
    <w:p w14:paraId="2378586E" w14:textId="1704C230"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La exigencia existencial de tutelar, mediante lo jurídico, la esfera de la intimidad personal y familiar se encuentra estrechamente vinculada a un determinado momento. La necesidad de tutela jurídica de la intimidad de la vida privada se acentúa con la aparición de las transformaciones y cambios que se hacen evidentes en la sociedad industrial y tecnológica. En la sociedad se acentúan, mediante el notable avance de las comunicaciones, los contactos entre las personas y se debilita la vida comunitaria y decae el valor de la solidaridad</w:t>
      </w:r>
      <w:r w:rsidRPr="00792B12">
        <w:rPr>
          <w:rFonts w:ascii="Arial" w:hAnsi="Arial" w:cs="Arial"/>
          <w:color w:val="000000"/>
          <w:sz w:val="24"/>
          <w:szCs w:val="24"/>
          <w:vertAlign w:val="superscript"/>
        </w:rPr>
        <w:footnoteReference w:id="38"/>
      </w:r>
      <w:r w:rsidRPr="00792B12">
        <w:rPr>
          <w:rFonts w:ascii="Arial" w:hAnsi="Arial" w:cs="Arial"/>
          <w:color w:val="000000"/>
          <w:sz w:val="24"/>
          <w:szCs w:val="24"/>
        </w:rPr>
        <w:t>.</w:t>
      </w:r>
    </w:p>
    <w:p w14:paraId="5AE5403D" w14:textId="77777777" w:rsidR="0096481E" w:rsidRPr="00C76011" w:rsidRDefault="0096481E" w:rsidP="0096481E">
      <w:pPr>
        <w:tabs>
          <w:tab w:val="center" w:pos="9498"/>
        </w:tabs>
        <w:spacing w:after="240" w:line="360" w:lineRule="auto"/>
        <w:jc w:val="both"/>
        <w:rPr>
          <w:rFonts w:ascii="Arial" w:hAnsi="Arial" w:cs="Arial"/>
          <w:b/>
          <w:color w:val="000000"/>
          <w:sz w:val="24"/>
          <w:szCs w:val="24"/>
        </w:rPr>
      </w:pPr>
      <w:r w:rsidRPr="00792B12">
        <w:rPr>
          <w:rFonts w:ascii="Arial" w:hAnsi="Arial" w:cs="Arial"/>
          <w:b/>
          <w:color w:val="000000"/>
          <w:sz w:val="24"/>
          <w:szCs w:val="24"/>
        </w:rPr>
        <w:t xml:space="preserve">3.1.- Antecedentes del derecho a la intimidad en la doctrina, la jurisprudencia y la legislación </w:t>
      </w:r>
    </w:p>
    <w:p w14:paraId="27DE3A8E"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El derecho a la intimidad se encuentra protegida a nivel universal en el artículo 12º de la Declaración Universal de Derechos Humanos de 1948, en el numeral 17.1 del Pacto Internacional de Derechos Civiles y Políticos y en el artículo 8.1 de la Convención Europea para la Protección de los Derechos Humanos y de las Libertades Fundamentales de 1950. </w:t>
      </w:r>
    </w:p>
    <w:p w14:paraId="13791DA0"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Principalmente, el artículo 12º de la Declaración Universal tiene el siguiente texto: </w:t>
      </w:r>
    </w:p>
    <w:p w14:paraId="403E0846" w14:textId="29ACEAAF" w:rsidR="0096481E" w:rsidRPr="00792B12" w:rsidRDefault="0096481E" w:rsidP="001B2B15">
      <w:pPr>
        <w:tabs>
          <w:tab w:val="center" w:pos="9498"/>
        </w:tabs>
        <w:spacing w:after="240" w:line="360" w:lineRule="auto"/>
        <w:ind w:left="709" w:right="707" w:firstLine="708"/>
        <w:jc w:val="both"/>
        <w:rPr>
          <w:rFonts w:ascii="Arial" w:hAnsi="Arial" w:cs="Arial"/>
          <w:i/>
          <w:color w:val="000000"/>
          <w:sz w:val="24"/>
          <w:szCs w:val="24"/>
        </w:rPr>
      </w:pPr>
      <w:r w:rsidRPr="00792B12">
        <w:rPr>
          <w:rFonts w:ascii="Arial" w:hAnsi="Arial" w:cs="Arial"/>
          <w:i/>
          <w:color w:val="000000"/>
          <w:sz w:val="24"/>
          <w:szCs w:val="24"/>
        </w:rPr>
        <w:t>“Artículo 12. Nadie será objeto de injerencias arbitrarias en su vida privada, su familia, su domicilio o su correspondencia, ni de ataques a su honra o a su reputación. Toda persona tiene derecho a la protección de la ley contra tales injerencias o ataques”.</w:t>
      </w:r>
    </w:p>
    <w:p w14:paraId="1D435550" w14:textId="69B40C45"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Es en los Estados Unidos de Norte América donde, por primera vez, surgió la necesidad existencial de proteger la intimidad personal y familiar. El caso más recordado concerniente a la tutela la intimidad es el trabajo de Samuel D. Warren </w:t>
      </w:r>
      <w:r w:rsidRPr="00792B12">
        <w:rPr>
          <w:rFonts w:ascii="Arial" w:hAnsi="Arial" w:cs="Arial"/>
          <w:color w:val="000000"/>
          <w:sz w:val="24"/>
          <w:szCs w:val="24"/>
        </w:rPr>
        <w:lastRenderedPageBreak/>
        <w:t xml:space="preserve">y Louis B. </w:t>
      </w:r>
      <w:proofErr w:type="spellStart"/>
      <w:r w:rsidRPr="00792B12">
        <w:rPr>
          <w:rFonts w:ascii="Arial" w:hAnsi="Arial" w:cs="Arial"/>
          <w:color w:val="000000"/>
          <w:sz w:val="24"/>
          <w:szCs w:val="24"/>
        </w:rPr>
        <w:t>Brandeis</w:t>
      </w:r>
      <w:proofErr w:type="spellEnd"/>
      <w:r w:rsidRPr="00792B12">
        <w:rPr>
          <w:rFonts w:ascii="Arial" w:hAnsi="Arial" w:cs="Arial"/>
          <w:color w:val="000000"/>
          <w:sz w:val="24"/>
          <w:szCs w:val="24"/>
          <w:vertAlign w:val="superscript"/>
        </w:rPr>
        <w:footnoteReference w:id="39"/>
      </w:r>
      <w:r w:rsidRPr="00792B12">
        <w:rPr>
          <w:rFonts w:ascii="Arial" w:hAnsi="Arial" w:cs="Arial"/>
          <w:color w:val="000000"/>
          <w:sz w:val="24"/>
          <w:szCs w:val="24"/>
        </w:rPr>
        <w:t>, dos estudiosos norteamericanos que en 1890 publicaron un reconocido ensayo que ha sido el punto de inicio de desarrollo del estudio del derecho a la intimidad</w:t>
      </w:r>
      <w:r w:rsidRPr="00792B12">
        <w:rPr>
          <w:rFonts w:ascii="Arial" w:hAnsi="Arial" w:cs="Arial"/>
          <w:color w:val="000000"/>
          <w:sz w:val="24"/>
          <w:szCs w:val="24"/>
          <w:vertAlign w:val="superscript"/>
        </w:rPr>
        <w:footnoteReference w:id="40"/>
      </w:r>
      <w:r w:rsidRPr="00792B12">
        <w:rPr>
          <w:rFonts w:ascii="Arial" w:hAnsi="Arial" w:cs="Arial"/>
          <w:color w:val="000000"/>
          <w:sz w:val="24"/>
          <w:szCs w:val="24"/>
        </w:rPr>
        <w:t>.</w:t>
      </w:r>
    </w:p>
    <w:p w14:paraId="377C30F2" w14:textId="3B47A4F5"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En la experiencia jurídica italiana el código civil de 1942 no protege la intimidad personal y familiar. Algunos autores, antes de su promulgación, se habían ya referido al derecho a la </w:t>
      </w:r>
      <w:proofErr w:type="spellStart"/>
      <w:r w:rsidRPr="00792B12">
        <w:rPr>
          <w:rFonts w:ascii="Arial" w:hAnsi="Arial" w:cs="Arial"/>
          <w:i/>
          <w:color w:val="000000"/>
          <w:sz w:val="24"/>
          <w:szCs w:val="24"/>
        </w:rPr>
        <w:t>riservatezza</w:t>
      </w:r>
      <w:proofErr w:type="spellEnd"/>
      <w:r w:rsidRPr="00792B12">
        <w:rPr>
          <w:rFonts w:ascii="Arial" w:hAnsi="Arial" w:cs="Arial"/>
          <w:i/>
          <w:color w:val="000000"/>
          <w:sz w:val="24"/>
          <w:szCs w:val="24"/>
        </w:rPr>
        <w:t>,</w:t>
      </w:r>
      <w:r w:rsidRPr="00792B12">
        <w:rPr>
          <w:rFonts w:ascii="Arial" w:hAnsi="Arial" w:cs="Arial"/>
          <w:color w:val="000000"/>
          <w:sz w:val="24"/>
          <w:szCs w:val="24"/>
        </w:rPr>
        <w:t xml:space="preserve"> como es el caso, entre otros, de Massimo Ferrara Santamaria, que planteaba que se trataba de una configuración específica de los derechos fundamentales de los derechos de las personas, una de sus típicas afirmaciones autónomas</w:t>
      </w:r>
      <w:r w:rsidRPr="00792B12">
        <w:rPr>
          <w:rStyle w:val="Refdenotaalpie"/>
          <w:rFonts w:ascii="Arial" w:hAnsi="Arial" w:cs="Arial"/>
          <w:color w:val="000000"/>
          <w:sz w:val="24"/>
          <w:szCs w:val="24"/>
        </w:rPr>
        <w:footnoteReference w:id="41"/>
      </w:r>
      <w:r w:rsidRPr="00792B12">
        <w:rPr>
          <w:rFonts w:ascii="Arial" w:hAnsi="Arial" w:cs="Arial"/>
          <w:color w:val="000000"/>
          <w:sz w:val="24"/>
          <w:szCs w:val="24"/>
        </w:rPr>
        <w:t xml:space="preserve">. </w:t>
      </w:r>
    </w:p>
    <w:p w14:paraId="326E77BA"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 Muchos otros son los autores que se han ocupado del tema instando a su tutela jurídica, como es el caso de Francesco Carnelutti</w:t>
      </w:r>
      <w:r w:rsidRPr="00792B12">
        <w:rPr>
          <w:rStyle w:val="Refdenotaalpie"/>
          <w:rFonts w:ascii="Arial" w:hAnsi="Arial" w:cs="Arial"/>
          <w:color w:val="000000"/>
          <w:sz w:val="24"/>
          <w:szCs w:val="24"/>
        </w:rPr>
        <w:footnoteReference w:id="42"/>
      </w:r>
      <w:r w:rsidRPr="00792B12">
        <w:rPr>
          <w:rFonts w:ascii="Arial" w:hAnsi="Arial" w:cs="Arial"/>
          <w:color w:val="000000"/>
          <w:sz w:val="24"/>
          <w:szCs w:val="24"/>
        </w:rPr>
        <w:t>, que afirmó que la persona tiene el derecho a que no se viole su privacidad, que no se le exponga al público sin su consentimiento o sin que el interés de la sociedad exija el sacrificio del interés individual. Por su parte, Adolfo Di Majo declaraba que este derecho postula la concreción judicial de diversas situaciones de hecho ilícitas antes que la rígida descripción del contenido de un derecho subjetivo</w:t>
      </w:r>
      <w:r w:rsidRPr="00792B12">
        <w:rPr>
          <w:rStyle w:val="Refdenotaalpie"/>
          <w:rFonts w:ascii="Arial" w:hAnsi="Arial" w:cs="Arial"/>
          <w:color w:val="000000"/>
          <w:sz w:val="24"/>
          <w:szCs w:val="24"/>
        </w:rPr>
        <w:footnoteReference w:id="43"/>
      </w:r>
      <w:r w:rsidRPr="00792B12">
        <w:rPr>
          <w:rFonts w:ascii="Arial" w:hAnsi="Arial" w:cs="Arial"/>
          <w:color w:val="000000"/>
          <w:sz w:val="24"/>
          <w:szCs w:val="24"/>
        </w:rPr>
        <w:t xml:space="preserve">. Entre otros juristas, como Mario </w:t>
      </w:r>
      <w:proofErr w:type="spellStart"/>
      <w:r w:rsidRPr="00792B12">
        <w:rPr>
          <w:rFonts w:ascii="Arial" w:hAnsi="Arial" w:cs="Arial"/>
          <w:color w:val="000000"/>
          <w:sz w:val="24"/>
          <w:szCs w:val="24"/>
        </w:rPr>
        <w:t>Bessone</w:t>
      </w:r>
      <w:proofErr w:type="spellEnd"/>
      <w:r w:rsidRPr="00792B12">
        <w:rPr>
          <w:rStyle w:val="Refdenotaalpie"/>
          <w:rFonts w:ascii="Arial" w:hAnsi="Arial" w:cs="Arial"/>
          <w:color w:val="000000"/>
          <w:sz w:val="24"/>
          <w:szCs w:val="24"/>
        </w:rPr>
        <w:footnoteReference w:id="44"/>
      </w:r>
      <w:r w:rsidRPr="00792B12">
        <w:rPr>
          <w:rFonts w:ascii="Arial" w:hAnsi="Arial" w:cs="Arial"/>
          <w:color w:val="000000"/>
          <w:sz w:val="24"/>
          <w:szCs w:val="24"/>
        </w:rPr>
        <w:t>, señalaba que el derecho a la intimidad e reserva integran la categoría de los derechos de la persona.</w:t>
      </w:r>
    </w:p>
    <w:p w14:paraId="4983ACC2" w14:textId="701DBD8D"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lastRenderedPageBreak/>
        <w:t xml:space="preserve">Por su parte, otros autores, como Franco </w:t>
      </w:r>
      <w:proofErr w:type="spellStart"/>
      <w:r w:rsidRPr="00792B12">
        <w:rPr>
          <w:rFonts w:ascii="Arial" w:hAnsi="Arial" w:cs="Arial"/>
          <w:color w:val="000000"/>
          <w:sz w:val="24"/>
          <w:szCs w:val="24"/>
        </w:rPr>
        <w:t>Ligi</w:t>
      </w:r>
      <w:proofErr w:type="spellEnd"/>
      <w:r w:rsidRPr="00792B12">
        <w:rPr>
          <w:rFonts w:ascii="Arial" w:hAnsi="Arial" w:cs="Arial"/>
          <w:color w:val="000000"/>
          <w:sz w:val="24"/>
          <w:szCs w:val="24"/>
        </w:rPr>
        <w:t>, estimaban que el derecho a la intimidad es el interés existencial de vivir una vida privada, libre de publicidad no deseada, que los aspectos personales privados no sean convertidos en públicos</w:t>
      </w:r>
      <w:r w:rsidRPr="00792B12">
        <w:rPr>
          <w:rStyle w:val="Refdenotaalpie"/>
          <w:rFonts w:ascii="Arial" w:hAnsi="Arial" w:cs="Arial"/>
          <w:color w:val="000000"/>
          <w:sz w:val="24"/>
          <w:szCs w:val="24"/>
        </w:rPr>
        <w:footnoteReference w:id="45"/>
      </w:r>
      <w:r w:rsidRPr="00792B12">
        <w:rPr>
          <w:rFonts w:ascii="Arial" w:hAnsi="Arial" w:cs="Arial"/>
          <w:color w:val="000000"/>
          <w:sz w:val="24"/>
          <w:szCs w:val="24"/>
        </w:rPr>
        <w:t xml:space="preserve">, aunque de ámbito variable </w:t>
      </w:r>
      <w:r w:rsidR="001B2B15" w:rsidRPr="00792B12">
        <w:rPr>
          <w:rFonts w:ascii="Arial" w:hAnsi="Arial" w:cs="Arial"/>
          <w:color w:val="000000"/>
          <w:sz w:val="24"/>
          <w:szCs w:val="24"/>
        </w:rPr>
        <w:t>en relación con</w:t>
      </w:r>
      <w:r w:rsidRPr="00792B12">
        <w:rPr>
          <w:rFonts w:ascii="Arial" w:hAnsi="Arial" w:cs="Arial"/>
          <w:color w:val="000000"/>
          <w:sz w:val="24"/>
          <w:szCs w:val="24"/>
        </w:rPr>
        <w:t xml:space="preserve"> la persona, como señalaba Giorgio </w:t>
      </w:r>
      <w:proofErr w:type="spellStart"/>
      <w:r w:rsidRPr="00792B12">
        <w:rPr>
          <w:rFonts w:ascii="Arial" w:hAnsi="Arial" w:cs="Arial"/>
          <w:color w:val="000000"/>
          <w:sz w:val="24"/>
          <w:szCs w:val="24"/>
        </w:rPr>
        <w:t>Giampiccolo</w:t>
      </w:r>
      <w:proofErr w:type="spellEnd"/>
      <w:r w:rsidRPr="00792B12">
        <w:rPr>
          <w:rStyle w:val="Refdenotaalpie"/>
          <w:rFonts w:ascii="Arial" w:hAnsi="Arial" w:cs="Arial"/>
          <w:color w:val="000000"/>
          <w:sz w:val="24"/>
          <w:szCs w:val="24"/>
        </w:rPr>
        <w:footnoteReference w:id="46"/>
      </w:r>
      <w:r w:rsidRPr="00792B12">
        <w:rPr>
          <w:rFonts w:ascii="Arial" w:hAnsi="Arial" w:cs="Arial"/>
          <w:color w:val="000000"/>
          <w:sz w:val="24"/>
          <w:szCs w:val="24"/>
        </w:rPr>
        <w:t>.</w:t>
      </w:r>
    </w:p>
    <w:p w14:paraId="7291D5ED" w14:textId="489D8B9C" w:rsidR="0096481E" w:rsidRPr="00792B12" w:rsidRDefault="0096481E" w:rsidP="00F4527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Se reconoce a Adriano De </w:t>
      </w:r>
      <w:proofErr w:type="spellStart"/>
      <w:r w:rsidRPr="00792B12">
        <w:rPr>
          <w:rFonts w:ascii="Arial" w:hAnsi="Arial" w:cs="Arial"/>
          <w:color w:val="000000"/>
          <w:sz w:val="24"/>
          <w:szCs w:val="24"/>
        </w:rPr>
        <w:t>Cupis</w:t>
      </w:r>
      <w:proofErr w:type="spellEnd"/>
      <w:r w:rsidRPr="00792B12">
        <w:rPr>
          <w:rStyle w:val="Refdenotaalpie"/>
          <w:rFonts w:ascii="Arial" w:hAnsi="Arial" w:cs="Arial"/>
          <w:color w:val="000000"/>
          <w:sz w:val="24"/>
          <w:szCs w:val="24"/>
        </w:rPr>
        <w:footnoteReference w:id="47"/>
      </w:r>
      <w:r w:rsidRPr="00792B12">
        <w:rPr>
          <w:rFonts w:ascii="Arial" w:hAnsi="Arial" w:cs="Arial"/>
          <w:color w:val="000000"/>
          <w:sz w:val="24"/>
          <w:szCs w:val="24"/>
        </w:rPr>
        <w:t xml:space="preserve"> como el más fiero defensor de un derecho a la intimidad, considerándolo como un derecho general, a pesar de cierta perplejidad en la doctrina, como anotaba Michele </w:t>
      </w:r>
      <w:proofErr w:type="spellStart"/>
      <w:r w:rsidRPr="00792B12">
        <w:rPr>
          <w:rFonts w:ascii="Arial" w:hAnsi="Arial" w:cs="Arial"/>
          <w:color w:val="000000"/>
          <w:sz w:val="24"/>
          <w:szCs w:val="24"/>
        </w:rPr>
        <w:t>Giorganni</w:t>
      </w:r>
      <w:proofErr w:type="spellEnd"/>
      <w:r w:rsidRPr="00792B12">
        <w:rPr>
          <w:rStyle w:val="Refdenotaalpie"/>
          <w:rFonts w:ascii="Arial" w:hAnsi="Arial" w:cs="Arial"/>
          <w:color w:val="000000"/>
          <w:sz w:val="24"/>
          <w:szCs w:val="24"/>
        </w:rPr>
        <w:footnoteReference w:id="48"/>
      </w:r>
      <w:r w:rsidRPr="00792B12">
        <w:rPr>
          <w:rFonts w:ascii="Arial" w:hAnsi="Arial" w:cs="Arial"/>
          <w:color w:val="000000"/>
          <w:sz w:val="24"/>
          <w:szCs w:val="24"/>
        </w:rPr>
        <w:t xml:space="preserve">, en atención también a una intervención jurisprudencial no siempre coherente (como sucede, en otras experiencias, como la alemana, como informa bien Alessandro </w:t>
      </w:r>
      <w:proofErr w:type="spellStart"/>
      <w:r w:rsidRPr="00792B12">
        <w:rPr>
          <w:rFonts w:ascii="Arial" w:hAnsi="Arial" w:cs="Arial"/>
          <w:color w:val="000000"/>
          <w:sz w:val="24"/>
          <w:szCs w:val="24"/>
        </w:rPr>
        <w:t>Somma</w:t>
      </w:r>
      <w:proofErr w:type="spellEnd"/>
      <w:r w:rsidRPr="00792B12">
        <w:rPr>
          <w:rStyle w:val="Refdenotaalpie"/>
          <w:rFonts w:ascii="Arial" w:hAnsi="Arial" w:cs="Arial"/>
          <w:color w:val="000000"/>
          <w:sz w:val="24"/>
          <w:szCs w:val="24"/>
        </w:rPr>
        <w:footnoteReference w:id="49"/>
      </w:r>
      <w:r w:rsidRPr="00792B12">
        <w:rPr>
          <w:rFonts w:ascii="Arial" w:hAnsi="Arial" w:cs="Arial"/>
          <w:color w:val="000000"/>
          <w:sz w:val="24"/>
          <w:szCs w:val="24"/>
        </w:rPr>
        <w:t xml:space="preserve">).  No le falta razón a Pietro </w:t>
      </w:r>
      <w:proofErr w:type="spellStart"/>
      <w:r w:rsidRPr="00792B12">
        <w:rPr>
          <w:rFonts w:ascii="Arial" w:hAnsi="Arial" w:cs="Arial"/>
          <w:color w:val="000000"/>
          <w:sz w:val="24"/>
          <w:szCs w:val="24"/>
        </w:rPr>
        <w:t>Rescigno</w:t>
      </w:r>
      <w:proofErr w:type="spellEnd"/>
      <w:r w:rsidRPr="00792B12">
        <w:rPr>
          <w:rStyle w:val="Refdenotaalpie"/>
          <w:rFonts w:ascii="Arial" w:hAnsi="Arial" w:cs="Arial"/>
          <w:color w:val="000000"/>
          <w:sz w:val="24"/>
          <w:szCs w:val="24"/>
        </w:rPr>
        <w:footnoteReference w:id="50"/>
      </w:r>
      <w:r w:rsidRPr="00792B12">
        <w:rPr>
          <w:rFonts w:ascii="Arial" w:hAnsi="Arial" w:cs="Arial"/>
          <w:color w:val="000000"/>
          <w:sz w:val="24"/>
          <w:szCs w:val="24"/>
        </w:rPr>
        <w:t xml:space="preserve"> cuando afirma que este derecho ha representado una contribución notable a la elaboración de la categoría de los derechos de la persona, que incluso a inicios del siglo XX habían sido criticados sobre la base de objeciones lógicas formales que escondían, en realidad, un rechazo incluso de carácter político.</w:t>
      </w:r>
    </w:p>
    <w:p w14:paraId="5FC8D676" w14:textId="77777777" w:rsidR="0096481E" w:rsidRPr="00792B12" w:rsidRDefault="0096481E" w:rsidP="0096481E">
      <w:pPr>
        <w:tabs>
          <w:tab w:val="center" w:pos="9498"/>
        </w:tabs>
        <w:spacing w:after="240" w:line="360" w:lineRule="auto"/>
        <w:ind w:firstLine="708"/>
        <w:jc w:val="both"/>
        <w:rPr>
          <w:rFonts w:ascii="Arial" w:hAnsi="Arial" w:cs="Arial"/>
          <w:sz w:val="24"/>
          <w:szCs w:val="24"/>
        </w:rPr>
      </w:pPr>
      <w:r w:rsidRPr="00792B12">
        <w:rPr>
          <w:rFonts w:ascii="Arial" w:hAnsi="Arial" w:cs="Arial"/>
          <w:sz w:val="24"/>
          <w:szCs w:val="24"/>
        </w:rPr>
        <w:t>No obstante, la</w:t>
      </w:r>
      <w:r w:rsidRPr="00792B12">
        <w:rPr>
          <w:rFonts w:ascii="Arial" w:hAnsi="Arial" w:cs="Arial"/>
          <w:color w:val="000000"/>
          <w:sz w:val="24"/>
          <w:szCs w:val="24"/>
        </w:rPr>
        <w:t xml:space="preserve"> jurisprudencia italiana asumió prontamente la tutela de la intimidad personal y familiar. Así si bien el código civil italiano de 1942 no reguló en su texto una norma de tutela expresa de la intimidad personal y familiar, el artículo 2º </w:t>
      </w:r>
      <w:r w:rsidRPr="00792B12">
        <w:rPr>
          <w:rFonts w:ascii="Arial" w:hAnsi="Arial" w:cs="Arial"/>
          <w:sz w:val="24"/>
          <w:szCs w:val="24"/>
        </w:rPr>
        <w:t>de la Constitución de Italia de 1947, que reconoce y garantiza “</w:t>
      </w:r>
      <w:r w:rsidRPr="00792B12">
        <w:rPr>
          <w:rFonts w:ascii="Arial" w:hAnsi="Arial" w:cs="Arial"/>
          <w:i/>
          <w:sz w:val="24"/>
          <w:szCs w:val="24"/>
        </w:rPr>
        <w:t>los derechos inviolables del hombre</w:t>
      </w:r>
      <w:r w:rsidRPr="00792B12">
        <w:rPr>
          <w:rFonts w:ascii="Arial" w:hAnsi="Arial" w:cs="Arial"/>
          <w:sz w:val="24"/>
          <w:szCs w:val="24"/>
        </w:rPr>
        <w:t xml:space="preserve">”, actúa como cláusula general que sirve de fundamento para la protección de cualquier derecho natural o interés existencial </w:t>
      </w:r>
      <w:r w:rsidRPr="00792B12">
        <w:rPr>
          <w:rFonts w:ascii="Arial" w:hAnsi="Arial" w:cs="Arial"/>
          <w:sz w:val="24"/>
          <w:szCs w:val="24"/>
        </w:rPr>
        <w:lastRenderedPageBreak/>
        <w:t xml:space="preserve">que se sustenta en la dignidad de la persona, no obstante, algunas voces discrepantes, como la de Francesco </w:t>
      </w:r>
      <w:proofErr w:type="spellStart"/>
      <w:r w:rsidRPr="00792B12">
        <w:rPr>
          <w:rFonts w:ascii="Arial" w:hAnsi="Arial" w:cs="Arial"/>
          <w:sz w:val="24"/>
          <w:szCs w:val="24"/>
        </w:rPr>
        <w:t>Macioce</w:t>
      </w:r>
      <w:proofErr w:type="spellEnd"/>
      <w:r w:rsidRPr="00792B12">
        <w:rPr>
          <w:rStyle w:val="Refdenotaalpie"/>
          <w:rFonts w:ascii="Arial" w:hAnsi="Arial" w:cs="Arial"/>
          <w:sz w:val="24"/>
          <w:szCs w:val="24"/>
        </w:rPr>
        <w:footnoteReference w:id="51"/>
      </w:r>
      <w:r w:rsidRPr="00792B12">
        <w:rPr>
          <w:rFonts w:ascii="Arial" w:hAnsi="Arial" w:cs="Arial"/>
          <w:sz w:val="24"/>
          <w:szCs w:val="24"/>
        </w:rPr>
        <w:t xml:space="preserve">. </w:t>
      </w:r>
    </w:p>
    <w:p w14:paraId="36D86654"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sz w:val="24"/>
          <w:szCs w:val="24"/>
        </w:rPr>
        <w:t>No</w:t>
      </w:r>
      <w:r w:rsidRPr="00792B12">
        <w:rPr>
          <w:rFonts w:ascii="Arial" w:hAnsi="Arial" w:cs="Arial"/>
          <w:color w:val="000000"/>
          <w:sz w:val="24"/>
          <w:szCs w:val="24"/>
        </w:rPr>
        <w:t xml:space="preserve"> es necesario, tratándose de los derechos de la persona, que exista una norma que acoja expresamente un determinado derecho subjetivo para que produzca su tutela. Bastaría recurrir al artículo 2º de la referida Constitución.  Autores como Cesare Massimo Bianca</w:t>
      </w:r>
      <w:r w:rsidRPr="00792B12">
        <w:rPr>
          <w:rStyle w:val="Refdenotaalpie"/>
          <w:rFonts w:ascii="Arial" w:hAnsi="Arial" w:cs="Arial"/>
          <w:color w:val="000000"/>
          <w:sz w:val="24"/>
          <w:szCs w:val="24"/>
        </w:rPr>
        <w:footnoteReference w:id="52"/>
      </w:r>
      <w:r w:rsidRPr="00792B12">
        <w:rPr>
          <w:rFonts w:ascii="Arial" w:hAnsi="Arial" w:cs="Arial"/>
          <w:color w:val="000000"/>
          <w:sz w:val="24"/>
          <w:szCs w:val="24"/>
        </w:rPr>
        <w:t xml:space="preserve">  afirmaban que, respecto al derecho a la intimidad, se pueden evidenciar dos frases de evolución en el derecho italiano. La primera, alrededor de los años setenta, y una segunda fase, actual, caracterizada por la intervención del legislador, especialmente sobre la protección de datos personales.</w:t>
      </w:r>
    </w:p>
    <w:p w14:paraId="23F53FD9" w14:textId="3FFDACC1"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En efecto, el derecho a la intimidad tutela jurídicamente la exigencia de la persona que los hechos y actos de su vida privada no sean divulgados, interés existencial que ha sido reconocido después de un intenso debate jurisprudencial y su respaldo constitucional</w:t>
      </w:r>
      <w:r w:rsidRPr="00792B12">
        <w:rPr>
          <w:rStyle w:val="Refdenotaalpie"/>
          <w:rFonts w:ascii="Arial" w:hAnsi="Arial" w:cs="Arial"/>
          <w:color w:val="000000"/>
          <w:sz w:val="24"/>
          <w:szCs w:val="24"/>
        </w:rPr>
        <w:footnoteReference w:id="53"/>
      </w:r>
      <w:r w:rsidRPr="00792B12">
        <w:rPr>
          <w:rFonts w:ascii="Arial" w:hAnsi="Arial" w:cs="Arial"/>
          <w:color w:val="000000"/>
          <w:sz w:val="24"/>
          <w:szCs w:val="24"/>
        </w:rPr>
        <w:t xml:space="preserve">. Este derecho se diferencia del derecho al secreto, por cuanto éste prohíbe la difusión pública de las situaciones de la vida privada del sujeto, mientras el derecho a la intimidad prohíbe el abusivo conocimiento de la vida privada ajena y la comunicación a terceros de los hechos reservados. Por ello, puede expresarse que la intimidad protege al sujeto frente a la curiosidad pública, en tanto que el derecho al secreto la protege contra la curiosidad individual. Lo que ha llevado a sostener a juristas como Arianna </w:t>
      </w:r>
      <w:proofErr w:type="spellStart"/>
      <w:r w:rsidRPr="00792B12">
        <w:rPr>
          <w:rFonts w:ascii="Arial" w:hAnsi="Arial" w:cs="Arial"/>
          <w:color w:val="000000"/>
          <w:sz w:val="24"/>
          <w:szCs w:val="24"/>
        </w:rPr>
        <w:t>Fusaro</w:t>
      </w:r>
      <w:proofErr w:type="spellEnd"/>
      <w:r w:rsidRPr="00792B12">
        <w:rPr>
          <w:rStyle w:val="Refdenotaalpie"/>
          <w:rFonts w:ascii="Arial" w:hAnsi="Arial" w:cs="Arial"/>
          <w:color w:val="000000"/>
          <w:sz w:val="24"/>
          <w:szCs w:val="24"/>
        </w:rPr>
        <w:footnoteReference w:id="54"/>
      </w:r>
      <w:r w:rsidRPr="00792B12">
        <w:rPr>
          <w:rFonts w:ascii="Arial" w:hAnsi="Arial" w:cs="Arial"/>
          <w:color w:val="000000"/>
          <w:sz w:val="24"/>
          <w:szCs w:val="24"/>
        </w:rPr>
        <w:t xml:space="preserve"> que la necesidad de garantizar jurídicamente la intimidad de la persona se constituye en una exigencia innegable de la sociedad moderna.</w:t>
      </w:r>
    </w:p>
    <w:p w14:paraId="129F3AB5"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Como señala un sector de la doctrina italiana</w:t>
      </w:r>
      <w:r w:rsidRPr="00792B12">
        <w:rPr>
          <w:rStyle w:val="Refdenotaalpie"/>
          <w:rFonts w:ascii="Arial" w:hAnsi="Arial" w:cs="Arial"/>
          <w:color w:val="000000"/>
          <w:sz w:val="24"/>
          <w:szCs w:val="24"/>
        </w:rPr>
        <w:footnoteReference w:id="55"/>
      </w:r>
      <w:r w:rsidRPr="00792B12">
        <w:rPr>
          <w:rFonts w:ascii="Arial" w:hAnsi="Arial" w:cs="Arial"/>
          <w:color w:val="000000"/>
          <w:sz w:val="24"/>
          <w:szCs w:val="24"/>
        </w:rPr>
        <w:t>, el concepto de intimidad (</w:t>
      </w:r>
      <w:proofErr w:type="spellStart"/>
      <w:r w:rsidRPr="00792B12">
        <w:rPr>
          <w:rFonts w:ascii="Arial" w:hAnsi="Arial" w:cs="Arial"/>
          <w:i/>
          <w:color w:val="000000"/>
          <w:sz w:val="24"/>
          <w:szCs w:val="24"/>
        </w:rPr>
        <w:t>riservatezza</w:t>
      </w:r>
      <w:proofErr w:type="spellEnd"/>
      <w:r w:rsidRPr="00792B12">
        <w:rPr>
          <w:rFonts w:ascii="Arial" w:hAnsi="Arial" w:cs="Arial"/>
          <w:color w:val="000000"/>
          <w:sz w:val="24"/>
          <w:szCs w:val="24"/>
        </w:rPr>
        <w:t xml:space="preserve">) traduce en el ordenamiento jurídico de Italia la noción de </w:t>
      </w:r>
      <w:proofErr w:type="spellStart"/>
      <w:r w:rsidRPr="00792B12">
        <w:rPr>
          <w:rFonts w:ascii="Arial" w:hAnsi="Arial" w:cs="Arial"/>
          <w:i/>
          <w:color w:val="000000"/>
          <w:sz w:val="24"/>
          <w:szCs w:val="24"/>
        </w:rPr>
        <w:t>privacy</w:t>
      </w:r>
      <w:proofErr w:type="spellEnd"/>
      <w:r w:rsidRPr="00792B12">
        <w:rPr>
          <w:rFonts w:ascii="Arial" w:hAnsi="Arial" w:cs="Arial"/>
          <w:color w:val="000000"/>
          <w:sz w:val="24"/>
          <w:szCs w:val="24"/>
        </w:rPr>
        <w:t xml:space="preserve">, </w:t>
      </w:r>
      <w:r w:rsidRPr="00792B12">
        <w:rPr>
          <w:rFonts w:ascii="Arial" w:hAnsi="Arial" w:cs="Arial"/>
          <w:color w:val="000000"/>
          <w:sz w:val="24"/>
          <w:szCs w:val="24"/>
        </w:rPr>
        <w:lastRenderedPageBreak/>
        <w:t xml:space="preserve">que tiene sus orígenes en el ordenamiento jurídico de los Estados Unidos, donde es conceptualizado como el </w:t>
      </w:r>
      <w:proofErr w:type="spellStart"/>
      <w:r w:rsidRPr="00792B12">
        <w:rPr>
          <w:rFonts w:ascii="Arial" w:hAnsi="Arial" w:cs="Arial"/>
          <w:i/>
          <w:iCs/>
          <w:color w:val="000000"/>
          <w:sz w:val="24"/>
          <w:szCs w:val="24"/>
        </w:rPr>
        <w:t>right</w:t>
      </w:r>
      <w:proofErr w:type="spellEnd"/>
      <w:r w:rsidRPr="00792B12">
        <w:rPr>
          <w:rFonts w:ascii="Arial" w:hAnsi="Arial" w:cs="Arial"/>
          <w:i/>
          <w:color w:val="000000"/>
          <w:sz w:val="24"/>
          <w:szCs w:val="24"/>
        </w:rPr>
        <w:t xml:space="preserve"> </w:t>
      </w:r>
      <w:proofErr w:type="spellStart"/>
      <w:r w:rsidRPr="00792B12">
        <w:rPr>
          <w:rFonts w:ascii="Arial" w:hAnsi="Arial" w:cs="Arial"/>
          <w:i/>
          <w:color w:val="000000"/>
          <w:sz w:val="24"/>
          <w:szCs w:val="24"/>
        </w:rPr>
        <w:t>to</w:t>
      </w:r>
      <w:proofErr w:type="spellEnd"/>
      <w:r w:rsidRPr="00792B12">
        <w:rPr>
          <w:rFonts w:ascii="Arial" w:hAnsi="Arial" w:cs="Arial"/>
          <w:i/>
          <w:color w:val="000000"/>
          <w:sz w:val="24"/>
          <w:szCs w:val="24"/>
        </w:rPr>
        <w:t xml:space="preserve"> be </w:t>
      </w:r>
      <w:proofErr w:type="spellStart"/>
      <w:r w:rsidRPr="00792B12">
        <w:rPr>
          <w:rFonts w:ascii="Arial" w:hAnsi="Arial" w:cs="Arial"/>
          <w:i/>
          <w:color w:val="000000"/>
          <w:sz w:val="24"/>
          <w:szCs w:val="24"/>
        </w:rPr>
        <w:t>let</w:t>
      </w:r>
      <w:proofErr w:type="spellEnd"/>
      <w:r w:rsidRPr="00792B12">
        <w:rPr>
          <w:rFonts w:ascii="Arial" w:hAnsi="Arial" w:cs="Arial"/>
          <w:i/>
          <w:color w:val="000000"/>
          <w:sz w:val="24"/>
          <w:szCs w:val="24"/>
        </w:rPr>
        <w:t xml:space="preserve"> alone </w:t>
      </w:r>
      <w:r w:rsidRPr="00792B12">
        <w:rPr>
          <w:rFonts w:ascii="Arial" w:hAnsi="Arial" w:cs="Arial"/>
          <w:color w:val="000000"/>
          <w:sz w:val="24"/>
          <w:szCs w:val="24"/>
        </w:rPr>
        <w:t xml:space="preserve"> (en forma literal, el derecho a ser dejado solo), comprendido como poder de exclusión a terceros del conocimiento de hechos personales y de oponerse a la injerencia en la esfera física o moral de la personal.</w:t>
      </w:r>
    </w:p>
    <w:p w14:paraId="019BE130"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En el caso del ordenamiento jurídico peruano la situación es semejante. El artículo 3º de la constitución de 1993 actúa como cláusula general y abierta mediante la cual es posible proteger cualquier derecho de la persona, a pesar de que no se encuentre tipificado como un expreso derecho subjetivo dentro del ordenamiento jurídico positivo.</w:t>
      </w:r>
    </w:p>
    <w:p w14:paraId="1CA2C11B" w14:textId="01D93C90"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En la jurisprudencia italiana es posible encontrar numerosos casos de tutela de la intimidad personal y familiar.  Se puede citar que la corte constitucional de Italia, en su sentencia del 12 de abril de 1973, reconoció expresamente el derecho a la intimidad entre los derechos inviolables del hombre protegidos por el artículo 2º de la Constitución italiana, la que los reconoce y garantiza. La Corte Suprema, por su lado, con fecha 27 de mayo de 1975, siguiendo la indicación de la Corte Constitucional, resolvió el afamado caso en el cual la víctima fue la princesa Soraya, la segunda esposa de Mohammad Reza </w:t>
      </w:r>
      <w:proofErr w:type="spellStart"/>
      <w:r w:rsidRPr="00792B12">
        <w:rPr>
          <w:rFonts w:ascii="Arial" w:hAnsi="Arial" w:cs="Arial"/>
          <w:color w:val="000000"/>
          <w:sz w:val="24"/>
          <w:szCs w:val="24"/>
        </w:rPr>
        <w:t>Pahleví</w:t>
      </w:r>
      <w:proofErr w:type="spellEnd"/>
      <w:r w:rsidRPr="00792B12">
        <w:rPr>
          <w:rFonts w:ascii="Arial" w:hAnsi="Arial" w:cs="Arial"/>
          <w:color w:val="000000"/>
          <w:sz w:val="24"/>
          <w:szCs w:val="24"/>
        </w:rPr>
        <w:t>, último Sah o emperador de Irán. En este último pronunciamiento se configura un autónomo derecho a la intimidad de la vida privada. El fallo de la Corte Suprema representó un vuelco significativo dentro de la jurisprudencia italiana. Cabe recordar también que en el notorio caso del famoso tenor Enrico Caruso, en 1956, emitido casi veinte años antes que el fallo antes citado, la Corte, ignorando la doctrina italiana que desarrollaba por aquellos tiempos la temática de la intimidad, no había resuelto favorablemente la demanda de tutela de la intimidad del reconocido cantante.</w:t>
      </w:r>
    </w:p>
    <w:p w14:paraId="62B4CB8D" w14:textId="11A46F93" w:rsidR="00F4527E" w:rsidRPr="00A706D1" w:rsidRDefault="0096481E" w:rsidP="00A706D1">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No obstante, es necesario tener presente que siete años después de haber dejado de proteger la intimidad de Caruso, la Corte Suprema de Italia, con sentencia de fecha 20 de abril de 1963, tutela los detalles íntimos de las históricas relaciones amorosas entre Benito Mussolini y </w:t>
      </w:r>
      <w:proofErr w:type="spellStart"/>
      <w:r w:rsidRPr="00792B12">
        <w:rPr>
          <w:rFonts w:ascii="Arial" w:hAnsi="Arial" w:cs="Arial"/>
          <w:color w:val="000000"/>
          <w:sz w:val="24"/>
          <w:szCs w:val="24"/>
        </w:rPr>
        <w:t>Claretta</w:t>
      </w:r>
      <w:proofErr w:type="spellEnd"/>
      <w:r w:rsidRPr="00792B12">
        <w:rPr>
          <w:rFonts w:ascii="Arial" w:hAnsi="Arial" w:cs="Arial"/>
          <w:color w:val="000000"/>
          <w:sz w:val="24"/>
          <w:szCs w:val="24"/>
        </w:rPr>
        <w:t xml:space="preserve"> </w:t>
      </w:r>
      <w:proofErr w:type="spellStart"/>
      <w:r w:rsidRPr="00792B12">
        <w:rPr>
          <w:rFonts w:ascii="Arial" w:hAnsi="Arial" w:cs="Arial"/>
          <w:color w:val="000000"/>
          <w:sz w:val="24"/>
          <w:szCs w:val="24"/>
        </w:rPr>
        <w:t>Petacci</w:t>
      </w:r>
      <w:proofErr w:type="spellEnd"/>
      <w:r w:rsidRPr="00792B12">
        <w:rPr>
          <w:rFonts w:ascii="Arial" w:hAnsi="Arial" w:cs="Arial"/>
          <w:color w:val="000000"/>
          <w:sz w:val="24"/>
          <w:szCs w:val="24"/>
        </w:rPr>
        <w:t xml:space="preserve">, expuestas en un filme sobre la vida del primero. La corte, en efecto, reconoció la </w:t>
      </w:r>
      <w:r w:rsidRPr="00792B12">
        <w:rPr>
          <w:rFonts w:ascii="Arial" w:hAnsi="Arial" w:cs="Arial"/>
          <w:color w:val="000000"/>
          <w:sz w:val="24"/>
          <w:szCs w:val="24"/>
        </w:rPr>
        <w:lastRenderedPageBreak/>
        <w:t>intimidad de la vida privada pero sin referirse de modo explícito al derecho a la intimidad. En efecto, la Corte Suprema fundamentó su fallo argumentando que la divulgación de noticias sobre la vida privada de una persona era lesiva a la “</w:t>
      </w:r>
      <w:r w:rsidRPr="00792B12">
        <w:rPr>
          <w:rFonts w:ascii="Arial" w:hAnsi="Arial" w:cs="Arial"/>
          <w:i/>
          <w:color w:val="000000"/>
          <w:sz w:val="24"/>
          <w:szCs w:val="24"/>
        </w:rPr>
        <w:t>libertad de autodeterminación en el desarrollo de la personalidad del hombre como individuo</w:t>
      </w:r>
      <w:r w:rsidRPr="00792B12">
        <w:rPr>
          <w:rFonts w:ascii="Arial" w:hAnsi="Arial" w:cs="Arial"/>
          <w:color w:val="000000"/>
          <w:sz w:val="24"/>
          <w:szCs w:val="24"/>
        </w:rPr>
        <w:t>”</w:t>
      </w:r>
      <w:r w:rsidRPr="00792B12">
        <w:rPr>
          <w:rFonts w:ascii="Arial" w:hAnsi="Arial" w:cs="Arial"/>
          <w:color w:val="000000"/>
          <w:sz w:val="24"/>
          <w:szCs w:val="24"/>
          <w:vertAlign w:val="superscript"/>
        </w:rPr>
        <w:footnoteReference w:id="56"/>
      </w:r>
      <w:r w:rsidRPr="00792B12">
        <w:rPr>
          <w:rFonts w:ascii="Arial" w:hAnsi="Arial" w:cs="Arial"/>
          <w:color w:val="000000"/>
          <w:sz w:val="24"/>
          <w:szCs w:val="24"/>
        </w:rPr>
        <w:t xml:space="preserve">. </w:t>
      </w:r>
    </w:p>
    <w:p w14:paraId="1C2EC1B1" w14:textId="5F01CA25" w:rsidR="0096481E" w:rsidRPr="00792B12" w:rsidRDefault="0096481E" w:rsidP="0096481E">
      <w:pPr>
        <w:tabs>
          <w:tab w:val="center" w:pos="9498"/>
        </w:tabs>
        <w:overflowPunct w:val="0"/>
        <w:autoSpaceDE w:val="0"/>
        <w:autoSpaceDN w:val="0"/>
        <w:adjustRightInd w:val="0"/>
        <w:spacing w:after="240" w:line="360" w:lineRule="auto"/>
        <w:jc w:val="both"/>
        <w:textAlignment w:val="baseline"/>
        <w:rPr>
          <w:rFonts w:ascii="Arial" w:hAnsi="Arial" w:cs="Arial"/>
          <w:b/>
          <w:color w:val="000000"/>
          <w:sz w:val="24"/>
          <w:szCs w:val="24"/>
        </w:rPr>
      </w:pPr>
      <w:r w:rsidRPr="00792B12">
        <w:rPr>
          <w:rFonts w:ascii="Arial" w:hAnsi="Arial" w:cs="Arial"/>
          <w:b/>
          <w:color w:val="000000"/>
          <w:sz w:val="24"/>
          <w:szCs w:val="24"/>
        </w:rPr>
        <w:t>3.2.-Alcances de la noción de intimidad</w:t>
      </w:r>
    </w:p>
    <w:p w14:paraId="48C96DDB" w14:textId="2E4C5746"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Debe considerarse, como lo hace notar Alberto </w:t>
      </w:r>
      <w:proofErr w:type="spellStart"/>
      <w:r w:rsidRPr="00792B12">
        <w:rPr>
          <w:rFonts w:ascii="Arial" w:hAnsi="Arial" w:cs="Arial"/>
          <w:color w:val="000000"/>
          <w:sz w:val="24"/>
          <w:szCs w:val="24"/>
        </w:rPr>
        <w:t>Trabucchi</w:t>
      </w:r>
      <w:proofErr w:type="spellEnd"/>
      <w:r w:rsidRPr="00792B12">
        <w:rPr>
          <w:rStyle w:val="Refdenotaalpie"/>
          <w:rFonts w:ascii="Arial" w:hAnsi="Arial" w:cs="Arial"/>
          <w:color w:val="000000"/>
          <w:sz w:val="24"/>
          <w:szCs w:val="24"/>
        </w:rPr>
        <w:footnoteReference w:id="57"/>
      </w:r>
      <w:r w:rsidRPr="00792B12">
        <w:rPr>
          <w:rFonts w:ascii="Arial" w:hAnsi="Arial" w:cs="Arial"/>
          <w:color w:val="000000"/>
          <w:sz w:val="24"/>
          <w:szCs w:val="24"/>
        </w:rPr>
        <w:t xml:space="preserve">, que cada vez se reconoce un derecho amplio y general a la intimidad, es decir la protección de la vida privada como derecho fundamental de la persona a salvaguardarse de las diversas formas de intrusión en la esfera de la intimidad, así como sobre todo de toda forma de invasiva divulgación de sus actos y hechos personales. </w:t>
      </w:r>
    </w:p>
    <w:p w14:paraId="72883A21"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Por su parte, otro sector de la doctrina italiana</w:t>
      </w:r>
      <w:r w:rsidRPr="00792B12">
        <w:rPr>
          <w:rStyle w:val="Refdenotaalpie"/>
          <w:rFonts w:ascii="Arial" w:hAnsi="Arial" w:cs="Arial"/>
          <w:color w:val="000000"/>
          <w:sz w:val="24"/>
          <w:szCs w:val="24"/>
        </w:rPr>
        <w:footnoteReference w:id="58"/>
      </w:r>
      <w:r w:rsidRPr="00792B12">
        <w:rPr>
          <w:rFonts w:ascii="Arial" w:hAnsi="Arial" w:cs="Arial"/>
          <w:color w:val="000000"/>
          <w:sz w:val="24"/>
          <w:szCs w:val="24"/>
        </w:rPr>
        <w:t>, ha considerado que el derecho a la intimidad del individuo se presenta, a diferencia de otros aspectos de tutela de los derechos de la persona, estrechamente vinculado a las transformaciones profundas que acontecen en la sociedad industrial, que ha introducido un diverso modelo de vida: creciente contacto, pero también, mayor ajenidad entre los sujetos respeto a la dimensión comunitaria de la sociedad, más amplio dinamismo y circulación que permiten a las personas  actuar en ambientes y situaciones entre ellos independientes, revistiendo roles diferentes y proyectando diversos perfiles de la propia persona. No obstante, principalmente por el incesante avance y proceso tecnológico, el perfeccionamiento de los medios de comunicación de masa y de los instrumentos de recopilación de datos y noticias que, actuando en forma inédita, podría ocasionar graves lesiones y agresiones a la intimidad del sujeto, por lo que requieren necesariamente adecuadas y eficaces defensas.</w:t>
      </w:r>
    </w:p>
    <w:p w14:paraId="6F2B0071"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lastRenderedPageBreak/>
        <w:t>El estrecho vínculo con los elementos más característicos de la sociedad industrial explica, como señala Massimo Dogliotti</w:t>
      </w:r>
      <w:r w:rsidRPr="00792B12">
        <w:rPr>
          <w:rStyle w:val="Refdenotaalpie"/>
          <w:rFonts w:ascii="Arial" w:hAnsi="Arial" w:cs="Arial"/>
          <w:color w:val="000000"/>
          <w:sz w:val="24"/>
          <w:szCs w:val="24"/>
        </w:rPr>
        <w:footnoteReference w:id="59"/>
      </w:r>
      <w:r w:rsidRPr="00792B12">
        <w:rPr>
          <w:rFonts w:ascii="Arial" w:hAnsi="Arial" w:cs="Arial"/>
          <w:color w:val="000000"/>
          <w:sz w:val="24"/>
          <w:szCs w:val="24"/>
        </w:rPr>
        <w:t>, como la exigencia de protección de la intimidad de la persona se haya manifestado (hasta la segunda mitad del siglo XIX) en el mundo anglosajón (especialmente en la experiencia jurídica de los Estados Unidos), desarrollándose décadas después en Europa continental, entre contrastes y oposiciones que ponían en discusión la categoría misma de los derechos de las persona, actualmente consolidada. En efecto, como indica Dogliotti</w:t>
      </w:r>
      <w:r w:rsidRPr="00792B12">
        <w:rPr>
          <w:rStyle w:val="Refdenotaalpie"/>
          <w:rFonts w:ascii="Arial" w:hAnsi="Arial" w:cs="Arial"/>
          <w:color w:val="000000"/>
          <w:sz w:val="24"/>
          <w:szCs w:val="24"/>
        </w:rPr>
        <w:footnoteReference w:id="60"/>
      </w:r>
      <w:r w:rsidRPr="00792B12">
        <w:rPr>
          <w:rFonts w:ascii="Arial" w:hAnsi="Arial" w:cs="Arial"/>
          <w:color w:val="000000"/>
          <w:sz w:val="24"/>
          <w:szCs w:val="24"/>
        </w:rPr>
        <w:t>, las polémicas fueron incentivadas, además de la escasez (en realidad, inexistente) de protecciones normativas de los ordenamientos jurídicos por este derecho de la persona, por su contenido a veces indeterminado (a diferencia de otros derechos como el nombre, integridad física, que tienen un objeto más específico y concreto) y susceptible de enriquecimiento y nuevas aperturas.</w:t>
      </w:r>
    </w:p>
    <w:p w14:paraId="6C8435C2" w14:textId="034C47FA" w:rsidR="0096481E" w:rsidRPr="00792B12" w:rsidRDefault="0096481E" w:rsidP="00F4527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Como señala unos los juristas italianos que más ha influenciado en el derecho de las personas en el Perú, Pietro </w:t>
      </w:r>
      <w:proofErr w:type="spellStart"/>
      <w:r w:rsidRPr="00792B12">
        <w:rPr>
          <w:rFonts w:ascii="Arial" w:hAnsi="Arial" w:cs="Arial"/>
          <w:color w:val="000000"/>
          <w:sz w:val="24"/>
          <w:szCs w:val="24"/>
        </w:rPr>
        <w:t>Rescigno</w:t>
      </w:r>
      <w:proofErr w:type="spellEnd"/>
      <w:r w:rsidRPr="00792B12">
        <w:rPr>
          <w:rStyle w:val="Refdenotaalpie"/>
          <w:rFonts w:ascii="Arial" w:hAnsi="Arial" w:cs="Arial"/>
          <w:color w:val="000000"/>
          <w:sz w:val="24"/>
          <w:szCs w:val="24"/>
        </w:rPr>
        <w:footnoteReference w:id="61"/>
      </w:r>
      <w:r w:rsidRPr="00792B12">
        <w:rPr>
          <w:rFonts w:ascii="Arial" w:hAnsi="Arial" w:cs="Arial"/>
          <w:color w:val="000000"/>
          <w:sz w:val="24"/>
          <w:szCs w:val="24"/>
        </w:rPr>
        <w:t xml:space="preserve">, el peligro de agresiones y de invasiones en la esfera interna individual es antiguo como la curiosidad del ser humano. Con razón, afirma también el profesor emérito de la Universidad de Roma “La </w:t>
      </w:r>
      <w:proofErr w:type="spellStart"/>
      <w:r w:rsidRPr="00792B12">
        <w:rPr>
          <w:rFonts w:ascii="Arial" w:hAnsi="Arial" w:cs="Arial"/>
          <w:color w:val="000000"/>
          <w:sz w:val="24"/>
          <w:szCs w:val="24"/>
        </w:rPr>
        <w:t>Sapienza</w:t>
      </w:r>
      <w:proofErr w:type="spellEnd"/>
      <w:r w:rsidRPr="00792B12">
        <w:rPr>
          <w:rFonts w:ascii="Arial" w:hAnsi="Arial" w:cs="Arial"/>
          <w:color w:val="000000"/>
          <w:sz w:val="24"/>
          <w:szCs w:val="24"/>
        </w:rPr>
        <w:t>”, en la materia de los derechos de la persona los problemas más delicados, son precisamente, los que conciernen a la tutela de la intimidad</w:t>
      </w:r>
      <w:r w:rsidRPr="00792B12">
        <w:rPr>
          <w:rStyle w:val="Refdenotaalpie"/>
          <w:rFonts w:ascii="Arial" w:hAnsi="Arial" w:cs="Arial"/>
          <w:color w:val="000000"/>
          <w:sz w:val="24"/>
          <w:szCs w:val="24"/>
        </w:rPr>
        <w:footnoteReference w:id="62"/>
      </w:r>
      <w:r w:rsidRPr="00792B12">
        <w:rPr>
          <w:rFonts w:ascii="Arial" w:hAnsi="Arial" w:cs="Arial"/>
          <w:color w:val="000000"/>
          <w:sz w:val="24"/>
          <w:szCs w:val="24"/>
        </w:rPr>
        <w:t xml:space="preserve">. </w:t>
      </w:r>
    </w:p>
    <w:p w14:paraId="270F382F"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En la actualidad, sostiene </w:t>
      </w:r>
      <w:proofErr w:type="spellStart"/>
      <w:r w:rsidRPr="00792B12">
        <w:rPr>
          <w:rFonts w:ascii="Arial" w:hAnsi="Arial" w:cs="Arial"/>
          <w:color w:val="000000"/>
          <w:sz w:val="24"/>
          <w:szCs w:val="24"/>
        </w:rPr>
        <w:t>Rescigno</w:t>
      </w:r>
      <w:proofErr w:type="spellEnd"/>
      <w:r w:rsidRPr="00792B12">
        <w:rPr>
          <w:rStyle w:val="Refdenotaalpie"/>
          <w:rFonts w:ascii="Arial" w:hAnsi="Arial" w:cs="Arial"/>
          <w:color w:val="000000"/>
          <w:sz w:val="24"/>
          <w:szCs w:val="24"/>
        </w:rPr>
        <w:footnoteReference w:id="63"/>
      </w:r>
      <w:r w:rsidRPr="00792B12">
        <w:rPr>
          <w:rFonts w:ascii="Arial" w:hAnsi="Arial" w:cs="Arial"/>
          <w:color w:val="000000"/>
          <w:sz w:val="24"/>
          <w:szCs w:val="24"/>
        </w:rPr>
        <w:t xml:space="preserve">, la amenaza contra la intimidad de la persona ha crecido por el progreso de la técnica, que crea formas nuevas e imprevisibles de reproducción y de difusión de la palabra, del pensamiento, de la imagen del sujeto. El cine, las fotografías, el internet posan sus ojos en ámbitos, antes recónditos, de la persona. </w:t>
      </w:r>
    </w:p>
    <w:p w14:paraId="0DEB1B59"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lastRenderedPageBreak/>
        <w:t>El profesor de la Universidad Nacional Mayor de San Marcos de Perú, Juan Morales Godo, sostuvo que “</w:t>
      </w:r>
      <w:r w:rsidRPr="00792B12">
        <w:rPr>
          <w:rFonts w:ascii="Arial" w:hAnsi="Arial" w:cs="Arial"/>
          <w:i/>
          <w:color w:val="000000"/>
          <w:sz w:val="24"/>
          <w:szCs w:val="24"/>
        </w:rPr>
        <w:t>lograr una definición del derecho a la vida privada no es fácil</w:t>
      </w:r>
      <w:r w:rsidRPr="00792B12">
        <w:rPr>
          <w:rFonts w:ascii="Arial" w:hAnsi="Arial" w:cs="Arial"/>
          <w:color w:val="000000"/>
          <w:sz w:val="24"/>
          <w:szCs w:val="24"/>
        </w:rPr>
        <w:t xml:space="preserve">”. Para este jurista alcanzar una definición de la intimidad no se ha lograda ni en el sistema del </w:t>
      </w:r>
      <w:proofErr w:type="spellStart"/>
      <w:r w:rsidRPr="00792B12">
        <w:rPr>
          <w:rFonts w:ascii="Arial" w:hAnsi="Arial" w:cs="Arial"/>
          <w:i/>
          <w:color w:val="000000"/>
          <w:sz w:val="24"/>
          <w:szCs w:val="24"/>
        </w:rPr>
        <w:t>common</w:t>
      </w:r>
      <w:proofErr w:type="spellEnd"/>
      <w:r w:rsidRPr="00792B12">
        <w:rPr>
          <w:rFonts w:ascii="Arial" w:hAnsi="Arial" w:cs="Arial"/>
          <w:i/>
          <w:color w:val="000000"/>
          <w:sz w:val="24"/>
          <w:szCs w:val="24"/>
        </w:rPr>
        <w:t xml:space="preserve"> </w:t>
      </w:r>
      <w:proofErr w:type="spellStart"/>
      <w:r w:rsidRPr="00792B12">
        <w:rPr>
          <w:rFonts w:ascii="Arial" w:hAnsi="Arial" w:cs="Arial"/>
          <w:i/>
          <w:color w:val="000000"/>
          <w:sz w:val="24"/>
          <w:szCs w:val="24"/>
        </w:rPr>
        <w:t>law</w:t>
      </w:r>
      <w:proofErr w:type="spellEnd"/>
      <w:r w:rsidRPr="00792B12">
        <w:rPr>
          <w:rFonts w:ascii="Arial" w:hAnsi="Arial" w:cs="Arial"/>
          <w:color w:val="000000"/>
          <w:sz w:val="24"/>
          <w:szCs w:val="24"/>
        </w:rPr>
        <w:t xml:space="preserve"> ni en el romano-germánico al que pertenece nuestro ordenamiento jurídico debido a que ha sido “</w:t>
      </w:r>
      <w:r w:rsidRPr="00792B12">
        <w:rPr>
          <w:rFonts w:ascii="Arial" w:hAnsi="Arial" w:cs="Arial"/>
          <w:i/>
          <w:color w:val="000000"/>
          <w:sz w:val="24"/>
          <w:szCs w:val="24"/>
        </w:rPr>
        <w:t>prácticamente imposible encerrar todas sus posibilidades en una definición</w:t>
      </w:r>
      <w:r w:rsidRPr="00792B12">
        <w:rPr>
          <w:rFonts w:ascii="Arial" w:hAnsi="Arial" w:cs="Arial"/>
          <w:color w:val="000000"/>
          <w:sz w:val="24"/>
          <w:szCs w:val="24"/>
        </w:rPr>
        <w:t>”</w:t>
      </w:r>
      <w:r w:rsidRPr="00792B12">
        <w:rPr>
          <w:rFonts w:ascii="Arial" w:hAnsi="Arial" w:cs="Arial"/>
          <w:color w:val="000000"/>
          <w:sz w:val="24"/>
          <w:szCs w:val="24"/>
          <w:vertAlign w:val="superscript"/>
        </w:rPr>
        <w:footnoteReference w:id="64"/>
      </w:r>
      <w:r w:rsidRPr="00792B12">
        <w:rPr>
          <w:rFonts w:ascii="Arial" w:hAnsi="Arial" w:cs="Arial"/>
          <w:color w:val="000000"/>
          <w:sz w:val="24"/>
          <w:szCs w:val="24"/>
        </w:rPr>
        <w:t xml:space="preserve">. Es por este motivo que la definición se produce en sentido negativo cuando se sostiene que es aquella esfera de la vida de una persona que, por su connotación y sus propias características, debe estar excluida del conocimiento público. </w:t>
      </w:r>
    </w:p>
    <w:p w14:paraId="0F84E89F"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Es factible comprender los alcances del bien jurídico protegido cuando se hace referencia a la “</w:t>
      </w:r>
      <w:r w:rsidRPr="00792B12">
        <w:rPr>
          <w:rFonts w:ascii="Arial" w:hAnsi="Arial" w:cs="Arial"/>
          <w:i/>
          <w:color w:val="000000"/>
          <w:sz w:val="24"/>
          <w:szCs w:val="24"/>
        </w:rPr>
        <w:t>intimidad</w:t>
      </w:r>
      <w:r w:rsidRPr="00792B12">
        <w:rPr>
          <w:rFonts w:ascii="Arial" w:hAnsi="Arial" w:cs="Arial"/>
          <w:color w:val="000000"/>
          <w:sz w:val="24"/>
          <w:szCs w:val="24"/>
        </w:rPr>
        <w:t>”, así como precisar las consecuencias que sufre la persona que ha sido víctima de una ilegítima intrusión a su esfera íntima. Estas consecuencias dependen de la intensidad y gravedad que presente la intromisión o injerencia en el ámbito de la intimidad de la vida privada atendiendo a los parámetros de los usos y costumbres que impidan en el vivir social. De otro lado, es también viable determinar cuáles son los actos y las manifestaciones que pueden considerarse como intrusiones, intromisiones o injerencias en la intimidad de la vida privada.</w:t>
      </w:r>
    </w:p>
    <w:p w14:paraId="4AADE155"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El derecho a la intimidad tiene un contenido dinámico, el mismo que está en función de diversas variables, que, para autores como </w:t>
      </w:r>
      <w:proofErr w:type="spellStart"/>
      <w:r w:rsidRPr="00792B12">
        <w:rPr>
          <w:rFonts w:ascii="Arial" w:hAnsi="Arial" w:cs="Arial"/>
          <w:color w:val="000000"/>
          <w:sz w:val="24"/>
          <w:szCs w:val="24"/>
        </w:rPr>
        <w:t>Vincenzo</w:t>
      </w:r>
      <w:proofErr w:type="spellEnd"/>
      <w:r w:rsidRPr="00792B12">
        <w:rPr>
          <w:rFonts w:ascii="Arial" w:hAnsi="Arial" w:cs="Arial"/>
          <w:color w:val="000000"/>
          <w:sz w:val="24"/>
          <w:szCs w:val="24"/>
        </w:rPr>
        <w:t xml:space="preserve"> </w:t>
      </w:r>
      <w:proofErr w:type="spellStart"/>
      <w:r w:rsidRPr="00792B12">
        <w:rPr>
          <w:rFonts w:ascii="Arial" w:hAnsi="Arial" w:cs="Arial"/>
          <w:color w:val="000000"/>
          <w:sz w:val="24"/>
          <w:szCs w:val="24"/>
        </w:rPr>
        <w:t>Zeno-Zencovich</w:t>
      </w:r>
      <w:proofErr w:type="spellEnd"/>
      <w:r w:rsidRPr="00792B12">
        <w:rPr>
          <w:rFonts w:ascii="Arial" w:hAnsi="Arial" w:cs="Arial"/>
          <w:color w:val="000000"/>
          <w:sz w:val="24"/>
          <w:szCs w:val="24"/>
        </w:rPr>
        <w:t>, están constituidas por los datos, por la modalidad de su obtención o de presentación, por los destinatarios, por el tiempo</w:t>
      </w:r>
      <w:r w:rsidRPr="00792B12">
        <w:rPr>
          <w:rFonts w:ascii="Arial" w:hAnsi="Arial" w:cs="Arial"/>
          <w:color w:val="000000"/>
          <w:sz w:val="24"/>
          <w:szCs w:val="24"/>
          <w:vertAlign w:val="superscript"/>
        </w:rPr>
        <w:footnoteReference w:id="65"/>
      </w:r>
      <w:r w:rsidRPr="00792B12">
        <w:rPr>
          <w:rFonts w:ascii="Arial" w:hAnsi="Arial" w:cs="Arial"/>
          <w:color w:val="000000"/>
          <w:sz w:val="24"/>
          <w:szCs w:val="24"/>
        </w:rPr>
        <w:t>. La noción de intimidad no puede desligarse del ambiente social en el cual vive el “</w:t>
      </w:r>
      <w:r w:rsidRPr="00792B12">
        <w:rPr>
          <w:rFonts w:ascii="Arial" w:hAnsi="Arial" w:cs="Arial"/>
          <w:i/>
          <w:color w:val="000000"/>
          <w:sz w:val="24"/>
          <w:szCs w:val="24"/>
        </w:rPr>
        <w:t>sujeto de derecho</w:t>
      </w:r>
      <w:r w:rsidRPr="00792B12">
        <w:rPr>
          <w:rFonts w:ascii="Arial" w:hAnsi="Arial" w:cs="Arial"/>
          <w:color w:val="000000"/>
          <w:sz w:val="24"/>
          <w:szCs w:val="24"/>
        </w:rPr>
        <w:t xml:space="preserve">”, por lo que su protección puede acentuarse o liberalizarse, según sea el caso. </w:t>
      </w:r>
    </w:p>
    <w:p w14:paraId="0BAA4A6E"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El derecho subjetivo a la intimidad es la respuesta jurídica al interés existencial de la persona de lograr preservar del conocimiento de los demás un restringido espacio de su vida privada. Se presenta el justificado interés que los </w:t>
      </w:r>
      <w:r w:rsidRPr="00792B12">
        <w:rPr>
          <w:rFonts w:ascii="Arial" w:hAnsi="Arial" w:cs="Arial"/>
          <w:color w:val="000000"/>
          <w:sz w:val="24"/>
          <w:szCs w:val="24"/>
        </w:rPr>
        <w:lastRenderedPageBreak/>
        <w:t xml:space="preserve">actos, de cualquier alcance o modalidad, no estén expuestos a la intrusión, curiosidad, fisgoneo o injerencia de parte de los demás.  Por ende, la intimidad de la vida privada está representada por todas aquellas actividades y actitudes, gestos, palabras que, realizados en el ámbito restringido al que se ha hecho mención, carecen normalmente de trascendencia social. </w:t>
      </w:r>
    </w:p>
    <w:p w14:paraId="1EF61B8E"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Sobre el particular, la Corte Suprema de Italia ha señalado que aun en el caso de personajes ampliamente conocidos por el público, el derecho a la intimidad de la vida privada no puede ser rechazado. Solo se exceptúa de esta regla si así lo exigiera “</w:t>
      </w:r>
      <w:r w:rsidRPr="00792B12">
        <w:rPr>
          <w:rFonts w:ascii="Arial" w:hAnsi="Arial" w:cs="Arial"/>
          <w:i/>
          <w:color w:val="000000"/>
          <w:sz w:val="24"/>
          <w:szCs w:val="24"/>
        </w:rPr>
        <w:t>un real interés social a la información u otras exigencias públicas</w:t>
      </w:r>
      <w:r w:rsidRPr="00792B12">
        <w:rPr>
          <w:rFonts w:ascii="Arial" w:hAnsi="Arial" w:cs="Arial"/>
          <w:color w:val="000000"/>
          <w:sz w:val="24"/>
          <w:szCs w:val="24"/>
        </w:rPr>
        <w:t>”</w:t>
      </w:r>
      <w:r w:rsidRPr="00792B12">
        <w:rPr>
          <w:rStyle w:val="Refdenotaalpie"/>
          <w:rFonts w:ascii="Arial" w:hAnsi="Arial" w:cs="Arial"/>
          <w:color w:val="000000"/>
          <w:sz w:val="24"/>
          <w:szCs w:val="24"/>
        </w:rPr>
        <w:footnoteReference w:id="66"/>
      </w:r>
      <w:r w:rsidRPr="00792B12">
        <w:rPr>
          <w:rFonts w:ascii="Arial" w:hAnsi="Arial" w:cs="Arial"/>
          <w:color w:val="000000"/>
          <w:sz w:val="24"/>
          <w:szCs w:val="24"/>
        </w:rPr>
        <w:t>. Los personajes públicos, por ende, tienen una intimidad que debe ser protegida dentro de los límites expuestos.</w:t>
      </w:r>
    </w:p>
    <w:p w14:paraId="39FC6B22" w14:textId="20720196" w:rsidR="001B2B15" w:rsidRPr="00792B12" w:rsidRDefault="0096481E" w:rsidP="00F4527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En tanto, el codificador peruano de 1984 al ser consciente de la importancia que representa para la persona la protección del ámbito de la intimidad de la vida privada personal y familiar, dispuso su tutela mediante el artículo 14º del código civil vigente</w:t>
      </w:r>
      <w:r w:rsidRPr="00792B12">
        <w:rPr>
          <w:rFonts w:ascii="Arial" w:hAnsi="Arial" w:cs="Arial"/>
          <w:color w:val="000000"/>
          <w:sz w:val="24"/>
          <w:szCs w:val="24"/>
          <w:vertAlign w:val="superscript"/>
        </w:rPr>
        <w:footnoteReference w:id="67"/>
      </w:r>
      <w:r w:rsidRPr="00792B12">
        <w:rPr>
          <w:rFonts w:ascii="Arial" w:hAnsi="Arial" w:cs="Arial"/>
          <w:color w:val="000000"/>
          <w:sz w:val="24"/>
          <w:szCs w:val="24"/>
        </w:rPr>
        <w:t xml:space="preserve">. Debido a que el ser humano requiere esta protección para desarrollar su vida libre de intrusiones y de sobresaltos, los que originan alteración de su necesario equilibrio psíquico y serenidad interior. </w:t>
      </w:r>
    </w:p>
    <w:p w14:paraId="4D0E2DF3" w14:textId="23A6D4CA" w:rsidR="0096481E" w:rsidRPr="00792B12" w:rsidRDefault="0096481E" w:rsidP="0096481E">
      <w:pPr>
        <w:tabs>
          <w:tab w:val="center" w:pos="9498"/>
        </w:tabs>
        <w:overflowPunct w:val="0"/>
        <w:autoSpaceDE w:val="0"/>
        <w:autoSpaceDN w:val="0"/>
        <w:adjustRightInd w:val="0"/>
        <w:spacing w:after="240" w:line="360" w:lineRule="auto"/>
        <w:jc w:val="both"/>
        <w:textAlignment w:val="baseline"/>
        <w:rPr>
          <w:rFonts w:ascii="Arial" w:hAnsi="Arial" w:cs="Arial"/>
          <w:b/>
          <w:color w:val="000000"/>
          <w:sz w:val="24"/>
          <w:szCs w:val="24"/>
        </w:rPr>
      </w:pPr>
      <w:r w:rsidRPr="00792B12">
        <w:rPr>
          <w:rFonts w:ascii="Arial" w:hAnsi="Arial" w:cs="Arial"/>
          <w:b/>
          <w:color w:val="000000"/>
          <w:sz w:val="24"/>
          <w:szCs w:val="24"/>
        </w:rPr>
        <w:t>3.3.- Limitaciones al derecho a la intimidad personal y familiar</w:t>
      </w:r>
    </w:p>
    <w:p w14:paraId="3405A210" w14:textId="67B45758"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Se presenta una limitación natural del derecho a la intimidad personal que proviene de las relaciones familiares. En el ámbito de la familia cada uno de sus miembros, si bien de una parte requieren la protección de tales relaciones frente a terceros, </w:t>
      </w:r>
      <w:r w:rsidR="001B2B15" w:rsidRPr="00792B12">
        <w:rPr>
          <w:rFonts w:ascii="Arial" w:hAnsi="Arial" w:cs="Arial"/>
          <w:color w:val="000000"/>
          <w:sz w:val="24"/>
          <w:szCs w:val="24"/>
        </w:rPr>
        <w:t>de la otra renuncia</w:t>
      </w:r>
      <w:r w:rsidRPr="00792B12">
        <w:rPr>
          <w:rFonts w:ascii="Arial" w:hAnsi="Arial" w:cs="Arial"/>
          <w:color w:val="000000"/>
          <w:sz w:val="24"/>
          <w:szCs w:val="24"/>
        </w:rPr>
        <w:t xml:space="preserve"> implícitamente a un tramo de su intimidad que comparte con los componentes de su familia, la que conoce aspectos de dicha intimidad en cuanto producto de una vida en común.</w:t>
      </w:r>
    </w:p>
    <w:p w14:paraId="57271109"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La renuncia natural a una porción de la intimidad entre familiares se origina antes del matrimonio. El no divulgar intimidades, es decir, ciertas graves </w:t>
      </w:r>
      <w:r w:rsidRPr="00792B12">
        <w:rPr>
          <w:rFonts w:ascii="Arial" w:hAnsi="Arial" w:cs="Arial"/>
          <w:color w:val="000000"/>
          <w:sz w:val="24"/>
          <w:szCs w:val="24"/>
        </w:rPr>
        <w:lastRenderedPageBreak/>
        <w:t xml:space="preserve">o comprometedoras situaciones, puede ser razón de impugnación del matrimonio de parte del otro cónyuge.  </w:t>
      </w:r>
    </w:p>
    <w:p w14:paraId="10C55C37"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Como anota bien Pietro </w:t>
      </w:r>
      <w:proofErr w:type="spellStart"/>
      <w:r w:rsidRPr="00792B12">
        <w:rPr>
          <w:rFonts w:ascii="Arial" w:hAnsi="Arial" w:cs="Arial"/>
          <w:color w:val="000000"/>
          <w:sz w:val="24"/>
          <w:szCs w:val="24"/>
        </w:rPr>
        <w:t>Perlingieri</w:t>
      </w:r>
      <w:proofErr w:type="spellEnd"/>
      <w:r w:rsidRPr="00792B12">
        <w:rPr>
          <w:rStyle w:val="Refdenotaalpie"/>
          <w:rFonts w:ascii="Arial" w:hAnsi="Arial" w:cs="Arial"/>
          <w:color w:val="000000"/>
          <w:sz w:val="24"/>
          <w:szCs w:val="24"/>
        </w:rPr>
        <w:footnoteReference w:id="68"/>
      </w:r>
      <w:r w:rsidRPr="00792B12">
        <w:rPr>
          <w:rFonts w:ascii="Arial" w:hAnsi="Arial" w:cs="Arial"/>
          <w:color w:val="000000"/>
          <w:sz w:val="24"/>
          <w:szCs w:val="24"/>
        </w:rPr>
        <w:t>, la intimidad de la vida privada como derecho existencial digno de tutela jurídica asume importancia también en relación con el lugar-comunidad de los afectos. En la más amplia problemática de la intimidad un papel en sí relevante asume la tutela de la intimidad de la vida privada en el ámbito familiar. La posición de los sujetos que constituyen su núcleo concierne a las relaciones internas, caracterizadas por la necesidad de la recíproca discreción, garantizándola al sujeto y al grupo familiar en su conjunto, como a las relaciones externas, por la necesidad que los terceros no realicen búsquedas y divulgaciones lesivas a la intimidad de la vida familiar.</w:t>
      </w:r>
    </w:p>
    <w:p w14:paraId="7E6F6A91"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Asimismo, el conocimiento de las vivencias internas puede encontrar su causa en la correspondencia intercambiada entre los futuros cónyuges. De allí se origina la obligación de que cada uno de ellos de devolverse la referida correspondencia a efecto de preservar de la curiosidad de terceros de aspectos de la intimidad divulgados en ella. En este sentido, el artículo 80º del código civil italiano de 1942 establece que, en caso de ruptura de los esponsales o promesa de matrimonio, se puede demandar la devolución de los regalos que se hubieren recibido con ocasión de dicho acto.  Por analogía, se ha llegado a afirmar, que se ha considerado la existencia de la obligación de la restitución de la correspondencia e incluso de las fotografías y otros recuerdos</w:t>
      </w:r>
      <w:r w:rsidRPr="00792B12">
        <w:rPr>
          <w:rFonts w:ascii="Arial" w:hAnsi="Arial" w:cs="Arial"/>
          <w:color w:val="000000"/>
          <w:sz w:val="24"/>
          <w:szCs w:val="24"/>
          <w:vertAlign w:val="superscript"/>
        </w:rPr>
        <w:footnoteReference w:id="69"/>
      </w:r>
      <w:r w:rsidRPr="00792B12">
        <w:rPr>
          <w:rFonts w:ascii="Arial" w:hAnsi="Arial" w:cs="Arial"/>
          <w:color w:val="000000"/>
          <w:sz w:val="24"/>
          <w:szCs w:val="24"/>
        </w:rPr>
        <w:t>.</w:t>
      </w:r>
    </w:p>
    <w:p w14:paraId="13582C8C"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Debe considerarse también que el derecho a la intimidad entraña ciertos deberes o limitaciones en cuanto a su ejercicio.  Por ser el Derecho una relación entre sujetos, no existen derechos absolutos en cuanto a su ejercicio. Como lo expresada el profesor Carlos Fernández </w:t>
      </w:r>
      <w:proofErr w:type="spellStart"/>
      <w:r w:rsidRPr="00792B12">
        <w:rPr>
          <w:rFonts w:ascii="Arial" w:hAnsi="Arial" w:cs="Arial"/>
          <w:color w:val="000000"/>
          <w:sz w:val="24"/>
          <w:szCs w:val="24"/>
        </w:rPr>
        <w:t>Sessarego</w:t>
      </w:r>
      <w:proofErr w:type="spellEnd"/>
      <w:r w:rsidRPr="00792B12">
        <w:rPr>
          <w:rFonts w:ascii="Arial" w:hAnsi="Arial" w:cs="Arial"/>
          <w:color w:val="000000"/>
          <w:sz w:val="24"/>
          <w:szCs w:val="24"/>
        </w:rPr>
        <w:t xml:space="preserve"> en la Exposición de Motivos del Libro primero del código civil de 1984 dedicado al derecho de las personas, que “</w:t>
      </w:r>
      <w:r w:rsidRPr="00792B12">
        <w:rPr>
          <w:rFonts w:ascii="Arial" w:hAnsi="Arial" w:cs="Arial"/>
          <w:i/>
          <w:color w:val="000000"/>
          <w:sz w:val="24"/>
          <w:szCs w:val="24"/>
        </w:rPr>
        <w:t>la intrusión en la vida privada o su divulgación se justifican cuando existe un definido interés social, una razón de orden público</w:t>
      </w:r>
      <w:r w:rsidRPr="00792B12">
        <w:rPr>
          <w:rFonts w:ascii="Arial" w:hAnsi="Arial" w:cs="Arial"/>
          <w:color w:val="000000"/>
          <w:sz w:val="24"/>
          <w:szCs w:val="24"/>
        </w:rPr>
        <w:t>”.  Es así que “</w:t>
      </w:r>
      <w:r w:rsidRPr="00792B12">
        <w:rPr>
          <w:rFonts w:ascii="Arial" w:hAnsi="Arial" w:cs="Arial"/>
          <w:i/>
          <w:color w:val="000000"/>
          <w:sz w:val="24"/>
          <w:szCs w:val="24"/>
        </w:rPr>
        <w:t xml:space="preserve">frente a una </w:t>
      </w:r>
      <w:r w:rsidRPr="00792B12">
        <w:rPr>
          <w:rFonts w:ascii="Arial" w:hAnsi="Arial" w:cs="Arial"/>
          <w:i/>
          <w:color w:val="000000"/>
          <w:sz w:val="24"/>
          <w:szCs w:val="24"/>
        </w:rPr>
        <w:lastRenderedPageBreak/>
        <w:t>circunstancia de esta naturaleza, como podría ser una indagación policial, no cabe oponer el respeto que la ley reconoce a la privacidad de la persona</w:t>
      </w:r>
      <w:r w:rsidRPr="00792B12">
        <w:rPr>
          <w:rFonts w:ascii="Arial" w:hAnsi="Arial" w:cs="Arial"/>
          <w:color w:val="000000"/>
          <w:sz w:val="24"/>
          <w:szCs w:val="24"/>
        </w:rPr>
        <w:t>”. Por otro lado, el titular del derecho puede prestar su asentimiento para la puesta de manifiesto de su intimidad, siempre que con ello no se cause agravio a las buenas costumbres</w:t>
      </w:r>
      <w:r w:rsidRPr="00792B12">
        <w:rPr>
          <w:rFonts w:ascii="Arial" w:hAnsi="Arial" w:cs="Arial"/>
          <w:color w:val="000000"/>
          <w:sz w:val="24"/>
          <w:szCs w:val="24"/>
          <w:vertAlign w:val="superscript"/>
        </w:rPr>
        <w:footnoteReference w:id="70"/>
      </w:r>
      <w:r w:rsidRPr="00792B12">
        <w:rPr>
          <w:rFonts w:ascii="Arial" w:hAnsi="Arial" w:cs="Arial"/>
          <w:color w:val="000000"/>
          <w:sz w:val="24"/>
          <w:szCs w:val="24"/>
        </w:rPr>
        <w:t>.</w:t>
      </w:r>
    </w:p>
    <w:p w14:paraId="13FA2A3E" w14:textId="592CFAF7" w:rsidR="0096481E" w:rsidRPr="00792B12" w:rsidRDefault="0096481E" w:rsidP="00F4527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Sobre el particular, el interés social por conocer algunos aspectos de la vida privada del sujeto, sin que ello signifique penetrar en el núcleo mismo de su intimidad, se manifiesta especialmente en el caso de personas que, por cualquier circunstancia han adquirido notoriedad pública.  Por tal motivo, se restringe, en cierta medida, la protección de la vida privada de tales personas, sin que ello signifique una indebida injerencia en la esfera misma de la intimidad.  Ello no quiere decir desconocer o poner límites al derecho a la intimidad personal y familiar de los personajes públicos. Estos grupos son titulares del derecho a tener una intimidad que debe ser respetada, aunque algunas actividades de su vida privada puedan ser puestas de manifiesto sin lesionar la intimidad o el honor del sujeto. La intimidad se constituye en el núcleo de la vida privada, salvo excepcionales razones de interés público de conformidad con un mandato legal o judicial.  La notoriedad que adquiera una persona no le priva del derecho a que se respete su intimidad, aunque, por razones de interés social, se restrinja en cierto nivel la tutela de determinados aspectos de su vida privada. Como anota bien Pietro </w:t>
      </w:r>
      <w:proofErr w:type="spellStart"/>
      <w:r w:rsidRPr="00792B12">
        <w:rPr>
          <w:rFonts w:ascii="Arial" w:hAnsi="Arial" w:cs="Arial"/>
          <w:color w:val="000000"/>
          <w:sz w:val="24"/>
          <w:szCs w:val="24"/>
        </w:rPr>
        <w:t>Rescigno</w:t>
      </w:r>
      <w:proofErr w:type="spellEnd"/>
      <w:r w:rsidRPr="00792B12">
        <w:rPr>
          <w:rStyle w:val="Refdenotaalpie"/>
          <w:rFonts w:ascii="Arial" w:hAnsi="Arial" w:cs="Arial"/>
          <w:color w:val="000000"/>
          <w:sz w:val="24"/>
          <w:szCs w:val="24"/>
        </w:rPr>
        <w:footnoteReference w:id="71"/>
      </w:r>
      <w:r w:rsidRPr="00792B12">
        <w:rPr>
          <w:rFonts w:ascii="Arial" w:hAnsi="Arial" w:cs="Arial"/>
          <w:color w:val="000000"/>
          <w:sz w:val="24"/>
          <w:szCs w:val="24"/>
        </w:rPr>
        <w:t>, la prensa, el cine, la radio, la televisión (actualmente las redes sociales), son materia de decisiones de los jueces en caso de lesión a la intimidad, incluso de las personas públicas, materia que no ha sido ajena a los legisladores.</w:t>
      </w:r>
    </w:p>
    <w:p w14:paraId="6ED17326" w14:textId="0C87ADBA" w:rsidR="0096481E" w:rsidRPr="001B2B15" w:rsidRDefault="0096481E" w:rsidP="001B2B15">
      <w:pPr>
        <w:tabs>
          <w:tab w:val="center" w:pos="9498"/>
        </w:tabs>
        <w:overflowPunct w:val="0"/>
        <w:autoSpaceDE w:val="0"/>
        <w:autoSpaceDN w:val="0"/>
        <w:adjustRightInd w:val="0"/>
        <w:spacing w:after="240" w:line="360" w:lineRule="auto"/>
        <w:jc w:val="both"/>
        <w:textAlignment w:val="baseline"/>
        <w:rPr>
          <w:rFonts w:ascii="Arial" w:hAnsi="Arial" w:cs="Arial"/>
          <w:b/>
          <w:color w:val="000000"/>
          <w:sz w:val="24"/>
          <w:szCs w:val="24"/>
        </w:rPr>
      </w:pPr>
      <w:r w:rsidRPr="00792B12">
        <w:rPr>
          <w:rFonts w:ascii="Arial" w:hAnsi="Arial" w:cs="Arial"/>
          <w:b/>
          <w:color w:val="000000"/>
          <w:sz w:val="24"/>
          <w:szCs w:val="24"/>
        </w:rPr>
        <w:t>3.4.- El derecho a la vida privada y el conflicto con la libertad de información</w:t>
      </w:r>
    </w:p>
    <w:p w14:paraId="743B6B38"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Modernamente se presenta en el vivir comunitario dos derechos que, amparados ambos por las constituciones, suelen colisionar. Por un lado, el </w:t>
      </w:r>
      <w:r w:rsidRPr="00792B12">
        <w:rPr>
          <w:rFonts w:ascii="Arial" w:hAnsi="Arial" w:cs="Arial"/>
          <w:color w:val="000000"/>
          <w:sz w:val="24"/>
          <w:szCs w:val="24"/>
        </w:rPr>
        <w:lastRenderedPageBreak/>
        <w:t xml:space="preserve">derecho a la intimidad de la vida privada y, por el otro, el derecho a la información de que goza la comunidad social frente a hechos de interés general.  Debe tenerse en cuenta que, al tratar del derecho a la información, que se sustenta en la libertad de expresión, debemos tener en cuenta su doble vertiente que consiste, por una parte, recoger y brindar información y, de la otra, en el derecho de cada persona, y de la sociedad, a recibirla. </w:t>
      </w:r>
    </w:p>
    <w:p w14:paraId="268D2B45"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Resulta complejo establecer una definitiva demarcación entre ambos derechos que permita al juez contar con un criterio aplicable a los casos en que se presenten conflictos de este tipo. Corresponde a los jueces evaluar las circunstancias a fin de encontrar una adecuada solución al conflicto, vale decir, en los en que sean irreconciliables la protección de la intimidad, de un lado, y la del interés social por conocer detalles que supongan una intrusión en la esfera de la intimidad de la vida privada, por el otro.</w:t>
      </w:r>
    </w:p>
    <w:p w14:paraId="10C1CD83"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Como ha expresado Carlos Fernández </w:t>
      </w:r>
      <w:proofErr w:type="spellStart"/>
      <w:r w:rsidRPr="00792B12">
        <w:rPr>
          <w:rFonts w:ascii="Arial" w:hAnsi="Arial" w:cs="Arial"/>
          <w:color w:val="000000"/>
          <w:sz w:val="24"/>
          <w:szCs w:val="24"/>
        </w:rPr>
        <w:t>Sessarego</w:t>
      </w:r>
      <w:proofErr w:type="spellEnd"/>
      <w:r w:rsidRPr="00792B12">
        <w:rPr>
          <w:rStyle w:val="Refdenotaalpie"/>
          <w:rFonts w:ascii="Arial" w:hAnsi="Arial" w:cs="Arial"/>
          <w:color w:val="000000"/>
          <w:sz w:val="24"/>
          <w:szCs w:val="24"/>
        </w:rPr>
        <w:footnoteReference w:id="72"/>
      </w:r>
      <w:r w:rsidRPr="00792B12">
        <w:rPr>
          <w:rFonts w:ascii="Arial" w:hAnsi="Arial" w:cs="Arial"/>
          <w:color w:val="000000"/>
          <w:sz w:val="24"/>
          <w:szCs w:val="24"/>
        </w:rPr>
        <w:t>,  el problema del contraste de intereses entre el derecho a la identidad y la libertad de información se disipa en forma si se llega a tener en cuenta que lo que es digno de tutela no es la imagen que cada persona tiene sobre sí misma, no se trata de aceptar la pretensión psicológica o mental de la persona que sustenta su identidad en una exclusiva visión de raíz subjetiva. Por el contrario, lo que resulta evidente es que la identidad personal debe apoyarse en elementos objetivos, en comportamientos y situaciones notorias. Evidentemente lo que se trata es tutelar jurídicamente la “</w:t>
      </w:r>
      <w:r w:rsidRPr="00792B12">
        <w:rPr>
          <w:rFonts w:ascii="Arial" w:hAnsi="Arial" w:cs="Arial"/>
          <w:i/>
          <w:color w:val="000000"/>
          <w:sz w:val="24"/>
          <w:szCs w:val="24"/>
        </w:rPr>
        <w:t>verdad históricamente comprobada</w:t>
      </w:r>
      <w:r w:rsidRPr="00792B12">
        <w:rPr>
          <w:rFonts w:ascii="Arial" w:hAnsi="Arial" w:cs="Arial"/>
          <w:color w:val="000000"/>
          <w:sz w:val="24"/>
          <w:szCs w:val="24"/>
        </w:rPr>
        <w:t>”.</w:t>
      </w:r>
    </w:p>
    <w:p w14:paraId="75F5CD17"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Por ello, a Massimo Dogliotti</w:t>
      </w:r>
      <w:r w:rsidRPr="00792B12">
        <w:rPr>
          <w:rStyle w:val="Refdenotaalpie"/>
          <w:rFonts w:ascii="Arial" w:hAnsi="Arial" w:cs="Arial"/>
          <w:color w:val="000000"/>
          <w:sz w:val="24"/>
          <w:szCs w:val="24"/>
        </w:rPr>
        <w:footnoteReference w:id="73"/>
      </w:r>
      <w:r w:rsidRPr="00792B12">
        <w:rPr>
          <w:rFonts w:ascii="Arial" w:hAnsi="Arial" w:cs="Arial"/>
          <w:color w:val="000000"/>
          <w:sz w:val="24"/>
          <w:szCs w:val="24"/>
        </w:rPr>
        <w:t xml:space="preserve">, en la doctrina jurídica italiana, no le ha faltado razón al afirmar que todavía no está resuelto el problema respecto a los límites de la protección de la intimidad de la vida privada y la libertad de expresión. Por ello, se puede evidenciar que no se presenta aún una delimitación precisa entre ambos derechos, cada uno de ellos es merecedor de protección </w:t>
      </w:r>
      <w:r w:rsidRPr="00792B12">
        <w:rPr>
          <w:rFonts w:ascii="Arial" w:hAnsi="Arial" w:cs="Arial"/>
          <w:color w:val="000000"/>
          <w:sz w:val="24"/>
          <w:szCs w:val="24"/>
        </w:rPr>
        <w:lastRenderedPageBreak/>
        <w:t xml:space="preserve">jurídica. En realidad, el problema es el de los límites y compatibilidad entre intereses opuestos. </w:t>
      </w:r>
    </w:p>
    <w:p w14:paraId="671184B7" w14:textId="37C3D0DE" w:rsidR="0096481E" w:rsidRPr="00792B12" w:rsidRDefault="0096481E" w:rsidP="00A706D1">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No obstante, el derecho existencial a la intimidad de la vida privada de una persona es un derecho fundamental, vale decir, una exigencia que deriva de su propia naturaleza de ser libre, no se puede ignorar la importancia que reviste la libertad de información, que es la base de toda organización social respetuosa de la dignidad de la persona. Esta libertad no solo tiene una vertiente individual sino, al mismo tiempo, una vertiente social, debido al interés de la comunidad de estar informada de aquello que de importancia acontezca en ella. </w:t>
      </w:r>
    </w:p>
    <w:p w14:paraId="4EA8BB8A" w14:textId="4F32A682" w:rsidR="0096481E" w:rsidRPr="001B2B15" w:rsidRDefault="0096481E" w:rsidP="001B2B15">
      <w:pPr>
        <w:tabs>
          <w:tab w:val="center" w:pos="9498"/>
        </w:tabs>
        <w:overflowPunct w:val="0"/>
        <w:autoSpaceDE w:val="0"/>
        <w:autoSpaceDN w:val="0"/>
        <w:adjustRightInd w:val="0"/>
        <w:spacing w:after="240" w:line="360" w:lineRule="auto"/>
        <w:jc w:val="both"/>
        <w:textAlignment w:val="baseline"/>
        <w:rPr>
          <w:rFonts w:ascii="Arial" w:hAnsi="Arial" w:cs="Arial"/>
          <w:b/>
          <w:color w:val="000000"/>
          <w:sz w:val="24"/>
          <w:szCs w:val="24"/>
        </w:rPr>
      </w:pPr>
      <w:r w:rsidRPr="00792B12">
        <w:rPr>
          <w:rFonts w:ascii="Arial" w:hAnsi="Arial" w:cs="Arial"/>
          <w:b/>
          <w:color w:val="000000"/>
          <w:sz w:val="24"/>
          <w:szCs w:val="24"/>
        </w:rPr>
        <w:t>3.5.- El código civil peruano de 1984 y la intimidad</w:t>
      </w:r>
    </w:p>
    <w:p w14:paraId="4CF65D78" w14:textId="60D44E70"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El artículo 14º del código civil peruano atinente al derecho a la intimidad personal y familiar tiene como antecedente el artículo 80° del código civil de Portugal, de 1967, y el artículo 18º del código civil de Bolivia de 1975</w:t>
      </w:r>
      <w:r w:rsidRPr="00792B12">
        <w:rPr>
          <w:rStyle w:val="Refdenotaalpie"/>
          <w:rFonts w:ascii="Arial" w:hAnsi="Arial" w:cs="Arial"/>
          <w:color w:val="000000"/>
          <w:sz w:val="24"/>
          <w:szCs w:val="24"/>
        </w:rPr>
        <w:footnoteReference w:id="74"/>
      </w:r>
      <w:r w:rsidRPr="00792B12">
        <w:rPr>
          <w:rFonts w:ascii="Arial" w:hAnsi="Arial" w:cs="Arial"/>
          <w:color w:val="000000"/>
          <w:sz w:val="24"/>
          <w:szCs w:val="24"/>
        </w:rPr>
        <w:t>.</w:t>
      </w:r>
    </w:p>
    <w:p w14:paraId="226CA614"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Como expresaba el Profesor Fernández </w:t>
      </w:r>
      <w:proofErr w:type="spellStart"/>
      <w:r w:rsidRPr="00792B12">
        <w:rPr>
          <w:rFonts w:ascii="Arial" w:hAnsi="Arial" w:cs="Arial"/>
          <w:color w:val="000000"/>
          <w:sz w:val="24"/>
          <w:szCs w:val="24"/>
        </w:rPr>
        <w:t>Sessarego</w:t>
      </w:r>
      <w:proofErr w:type="spellEnd"/>
      <w:r w:rsidRPr="00792B12">
        <w:rPr>
          <w:rFonts w:ascii="Arial" w:hAnsi="Arial" w:cs="Arial"/>
          <w:color w:val="000000"/>
          <w:sz w:val="24"/>
          <w:szCs w:val="24"/>
        </w:rPr>
        <w:t xml:space="preserve"> en la Exposición de Motivos del Libro Primero del código civil peruano de 1984: “</w:t>
      </w:r>
      <w:r w:rsidRPr="00792B12">
        <w:rPr>
          <w:rFonts w:ascii="Arial" w:hAnsi="Arial" w:cs="Arial"/>
          <w:i/>
          <w:color w:val="000000"/>
          <w:sz w:val="24"/>
          <w:szCs w:val="24"/>
        </w:rPr>
        <w:t>la persona carecería del equilibrio psíquico necesario para hacer su vida, en dimensión comunitaria, si no contase con quietud y sosiego psicológicos, con una elemental tranquilidad espiritual, con la seguridad de que los actos de su vida íntima no son ni escudriñados ni divulgados</w:t>
      </w:r>
      <w:r w:rsidRPr="00792B12">
        <w:rPr>
          <w:rFonts w:ascii="Arial" w:hAnsi="Arial" w:cs="Arial"/>
          <w:color w:val="000000"/>
          <w:sz w:val="24"/>
          <w:szCs w:val="24"/>
        </w:rPr>
        <w:t>”</w:t>
      </w:r>
      <w:r w:rsidRPr="00792B12">
        <w:rPr>
          <w:rStyle w:val="Refdenotaalpie"/>
          <w:rFonts w:ascii="Arial" w:hAnsi="Arial" w:cs="Arial"/>
          <w:color w:val="000000"/>
          <w:sz w:val="24"/>
          <w:szCs w:val="24"/>
        </w:rPr>
        <w:footnoteReference w:id="75"/>
      </w:r>
      <w:r w:rsidRPr="00792B12">
        <w:rPr>
          <w:rFonts w:ascii="Arial" w:hAnsi="Arial" w:cs="Arial"/>
          <w:color w:val="000000"/>
          <w:sz w:val="24"/>
          <w:szCs w:val="24"/>
        </w:rPr>
        <w:t>. Fue esta convicción la que llevó al codificador peruano de 1984 a incorporar en el código el derecho a la protección de la intimidad personal y familiar, pese a que eran escasos los antecedentes legislativos en la materia, aunque, por el contrario, eran numerosos los casos protegidos por la jurisprudencia comparada de los países con mayor tradición jurídica aún, en ciertos casos, sin contar con norma expresa que la tutelara jurídicamente.</w:t>
      </w:r>
    </w:p>
    <w:p w14:paraId="5DF415DF" w14:textId="7F264498"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En el texto del vigente artículo 14º se comprenden que, como se menciona en la Exposición de Motivos al Libro Primero del código civil peruano elaborado </w:t>
      </w:r>
      <w:r w:rsidRPr="00792B12">
        <w:rPr>
          <w:rFonts w:ascii="Arial" w:hAnsi="Arial" w:cs="Arial"/>
          <w:color w:val="000000"/>
          <w:sz w:val="24"/>
          <w:szCs w:val="24"/>
        </w:rPr>
        <w:lastRenderedPageBreak/>
        <w:t xml:space="preserve">por el Prof. Fernández </w:t>
      </w:r>
      <w:proofErr w:type="spellStart"/>
      <w:r w:rsidRPr="00792B12">
        <w:rPr>
          <w:rFonts w:ascii="Arial" w:hAnsi="Arial" w:cs="Arial"/>
          <w:color w:val="000000"/>
          <w:sz w:val="24"/>
          <w:szCs w:val="24"/>
        </w:rPr>
        <w:t>Sessarego</w:t>
      </w:r>
      <w:proofErr w:type="spellEnd"/>
      <w:r w:rsidRPr="00792B12">
        <w:rPr>
          <w:rFonts w:ascii="Arial" w:hAnsi="Arial" w:cs="Arial"/>
          <w:color w:val="000000"/>
          <w:sz w:val="24"/>
          <w:szCs w:val="24"/>
        </w:rPr>
        <w:t>, “</w:t>
      </w:r>
      <w:r w:rsidRPr="00792B12">
        <w:rPr>
          <w:rFonts w:ascii="Arial" w:hAnsi="Arial" w:cs="Arial"/>
          <w:i/>
          <w:color w:val="000000"/>
          <w:sz w:val="24"/>
          <w:szCs w:val="24"/>
        </w:rPr>
        <w:t>dos distintas pero conexas situaciones vinculadas a la tutela de la intimidad de la vida privada, ya sea personal o familiar</w:t>
      </w:r>
      <w:r w:rsidRPr="00792B12">
        <w:rPr>
          <w:rFonts w:ascii="Arial" w:hAnsi="Arial" w:cs="Arial"/>
          <w:color w:val="000000"/>
          <w:sz w:val="24"/>
          <w:szCs w:val="24"/>
        </w:rPr>
        <w:t xml:space="preserve">”. Según lo expuesto por el codificador de 1984, Prof. Fernández </w:t>
      </w:r>
      <w:proofErr w:type="spellStart"/>
      <w:r w:rsidRPr="00792B12">
        <w:rPr>
          <w:rFonts w:ascii="Arial" w:hAnsi="Arial" w:cs="Arial"/>
          <w:color w:val="000000"/>
          <w:sz w:val="24"/>
          <w:szCs w:val="24"/>
        </w:rPr>
        <w:t>Sessarego</w:t>
      </w:r>
      <w:proofErr w:type="spellEnd"/>
      <w:r w:rsidRPr="00792B12">
        <w:rPr>
          <w:rFonts w:ascii="Arial" w:hAnsi="Arial" w:cs="Arial"/>
          <w:color w:val="000000"/>
          <w:sz w:val="24"/>
          <w:szCs w:val="24"/>
        </w:rPr>
        <w:t>, en la referida Exposición de Motivos del Libro Primero, en dichas situaciones “</w:t>
      </w:r>
      <w:r w:rsidRPr="00792B12">
        <w:rPr>
          <w:rFonts w:ascii="Arial" w:hAnsi="Arial" w:cs="Arial"/>
          <w:i/>
          <w:color w:val="000000"/>
          <w:sz w:val="24"/>
          <w:szCs w:val="24"/>
        </w:rPr>
        <w:t>consisten tanto en la simple intrusión en dicha esfera como en la divulgación de cualquier acto a ella atinente</w:t>
      </w:r>
      <w:r w:rsidRPr="00792B12">
        <w:rPr>
          <w:rFonts w:ascii="Arial" w:hAnsi="Arial" w:cs="Arial"/>
          <w:color w:val="000000"/>
          <w:sz w:val="24"/>
          <w:szCs w:val="24"/>
        </w:rPr>
        <w:t>”.  Es, así, que “</w:t>
      </w:r>
      <w:r w:rsidRPr="00792B12">
        <w:rPr>
          <w:rFonts w:ascii="Arial" w:hAnsi="Arial" w:cs="Arial"/>
          <w:i/>
          <w:color w:val="000000"/>
          <w:sz w:val="24"/>
          <w:szCs w:val="24"/>
        </w:rPr>
        <w:t>en el primer caso se persigue evitar que, por razones que no responden a un interés social, se mantenga a la persona en constante inquietud o zozobra con la realización de actos motivados únicamente por la injustificada e intranscendente curiosidad de terceros</w:t>
      </w:r>
      <w:r w:rsidRPr="00792B12">
        <w:rPr>
          <w:rFonts w:ascii="Arial" w:hAnsi="Arial" w:cs="Arial"/>
          <w:color w:val="000000"/>
          <w:sz w:val="24"/>
          <w:szCs w:val="24"/>
        </w:rPr>
        <w:t>”. Es, por ello, que la norma “</w:t>
      </w:r>
      <w:r w:rsidRPr="00792B12">
        <w:rPr>
          <w:rFonts w:ascii="Arial" w:hAnsi="Arial" w:cs="Arial"/>
          <w:i/>
          <w:color w:val="000000"/>
          <w:sz w:val="24"/>
          <w:szCs w:val="24"/>
        </w:rPr>
        <w:t>pretende impedir, con el mismo propósito, el despliegue de diversas actitudes que supongan fisgonear y entrometerse en la intimidad de la vida privada o represente una invasión, un hurgamiento o búsqueda indebida en bienes o propiedades de la persona, sin que medie un público interés</w:t>
      </w:r>
      <w:r w:rsidRPr="00792B12">
        <w:rPr>
          <w:rFonts w:ascii="Arial" w:hAnsi="Arial" w:cs="Arial"/>
          <w:color w:val="000000"/>
          <w:sz w:val="24"/>
          <w:szCs w:val="24"/>
        </w:rPr>
        <w:t>”</w:t>
      </w:r>
      <w:r w:rsidRPr="00792B12">
        <w:rPr>
          <w:rFonts w:ascii="Arial" w:hAnsi="Arial" w:cs="Arial"/>
          <w:color w:val="000000"/>
          <w:sz w:val="24"/>
          <w:szCs w:val="24"/>
          <w:vertAlign w:val="superscript"/>
        </w:rPr>
        <w:footnoteReference w:id="76"/>
      </w:r>
      <w:r w:rsidRPr="00792B12">
        <w:rPr>
          <w:rFonts w:ascii="Arial" w:hAnsi="Arial" w:cs="Arial"/>
          <w:color w:val="000000"/>
          <w:sz w:val="24"/>
          <w:szCs w:val="24"/>
        </w:rPr>
        <w:t>.</w:t>
      </w:r>
    </w:p>
    <w:p w14:paraId="77F80072"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En efecto, el codificador de 1984 consideró que en el artículo 14º se protegían dos situaciones vinculadas con la protección de la intimidad, como el hecho de la simple intrusión o entrometimiento en el ámbito de la intimidad personal y familiar, de un lado, y la divulgación de hechos relacionados con la intimidad del sujeto o de su familia, del otro. </w:t>
      </w:r>
    </w:p>
    <w:p w14:paraId="3774CE4D" w14:textId="4BD21287" w:rsidR="0096481E" w:rsidRPr="00792B12" w:rsidRDefault="0096481E" w:rsidP="001B2B15">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Es necesario precisar que el codificador del Libro de derecho de las personas del código civil peruano de 1984  consideró que con la amplia expresión “</w:t>
      </w:r>
      <w:r w:rsidRPr="00792B12">
        <w:rPr>
          <w:rFonts w:ascii="Arial" w:hAnsi="Arial" w:cs="Arial"/>
          <w:i/>
          <w:color w:val="000000"/>
          <w:sz w:val="24"/>
          <w:szCs w:val="24"/>
        </w:rPr>
        <w:t>puesta de manifiesto</w:t>
      </w:r>
      <w:r w:rsidRPr="00792B12">
        <w:rPr>
          <w:rFonts w:ascii="Arial" w:hAnsi="Arial" w:cs="Arial"/>
          <w:color w:val="000000"/>
          <w:sz w:val="24"/>
          <w:szCs w:val="24"/>
        </w:rPr>
        <w:t>” se comprendían dos situaciones distintas pero vinculadas como son, la primaria, referida a la “simple intrusión” en el ámbito de la intimidad, y la secundaria  relacionada con la divulgación de lo que indebidamente se había “</w:t>
      </w:r>
      <w:r w:rsidRPr="00792B12">
        <w:rPr>
          <w:rFonts w:ascii="Arial" w:hAnsi="Arial" w:cs="Arial"/>
          <w:i/>
          <w:color w:val="000000"/>
          <w:sz w:val="24"/>
          <w:szCs w:val="24"/>
        </w:rPr>
        <w:t>puesto de manifiesto</w:t>
      </w:r>
      <w:r w:rsidRPr="00792B12">
        <w:rPr>
          <w:rFonts w:ascii="Arial" w:hAnsi="Arial" w:cs="Arial"/>
          <w:color w:val="000000"/>
          <w:sz w:val="24"/>
          <w:szCs w:val="24"/>
        </w:rPr>
        <w:t xml:space="preserve">” de dicha intimidad mediante una indebida intrusión, vale decir, de lo que se había evidenciado a raíz de dicha intromisión. </w:t>
      </w:r>
    </w:p>
    <w:p w14:paraId="06C2CBF3" w14:textId="551D97D6" w:rsidR="0096481E" w:rsidRPr="00792B12" w:rsidRDefault="0096481E" w:rsidP="0096481E">
      <w:pPr>
        <w:keepNext/>
        <w:tabs>
          <w:tab w:val="left" w:pos="-720"/>
          <w:tab w:val="center" w:pos="9498"/>
        </w:tabs>
        <w:spacing w:after="240" w:line="360" w:lineRule="auto"/>
        <w:jc w:val="both"/>
        <w:outlineLvl w:val="0"/>
        <w:rPr>
          <w:rFonts w:ascii="Arial" w:eastAsia="Times New Roman" w:hAnsi="Arial" w:cs="Arial"/>
          <w:b/>
          <w:bCs/>
          <w:color w:val="000000"/>
          <w:kern w:val="32"/>
          <w:sz w:val="24"/>
          <w:szCs w:val="24"/>
          <w:lang w:eastAsia="es-ES"/>
        </w:rPr>
      </w:pPr>
      <w:r w:rsidRPr="00792B12">
        <w:rPr>
          <w:rFonts w:ascii="Arial" w:eastAsia="Times New Roman" w:hAnsi="Arial" w:cs="Arial"/>
          <w:b/>
          <w:bCs/>
          <w:color w:val="000000"/>
          <w:kern w:val="32"/>
          <w:sz w:val="24"/>
          <w:szCs w:val="24"/>
          <w:lang w:eastAsia="es-ES"/>
        </w:rPr>
        <w:lastRenderedPageBreak/>
        <w:t>4.- Identidad personal, derechos al honor y a la reputación: diferencias</w:t>
      </w:r>
    </w:p>
    <w:p w14:paraId="594253BE" w14:textId="6B56E1ED" w:rsidR="0096481E" w:rsidRPr="00792B12"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 xml:space="preserve">El derecho al honor y el derecho a la reputación protegen intereses existenciales muy cercanos y próximos. En el primero se protege  jurídicamente el sentimiento que posee la persona en vinculación con su propia consideración. Como señalaba Adriano De </w:t>
      </w:r>
      <w:proofErr w:type="spellStart"/>
      <w:r w:rsidRPr="00792B12">
        <w:rPr>
          <w:rFonts w:ascii="Arial" w:hAnsi="Arial" w:cs="Arial"/>
          <w:color w:val="000000"/>
          <w:sz w:val="24"/>
          <w:szCs w:val="24"/>
        </w:rPr>
        <w:t>Cupis</w:t>
      </w:r>
      <w:proofErr w:type="spellEnd"/>
      <w:r w:rsidRPr="00792B12">
        <w:rPr>
          <w:rFonts w:ascii="Arial" w:hAnsi="Arial" w:cs="Arial"/>
          <w:color w:val="000000"/>
          <w:sz w:val="24"/>
          <w:szCs w:val="24"/>
        </w:rPr>
        <w:t>, es “</w:t>
      </w:r>
      <w:r w:rsidRPr="00792B12">
        <w:rPr>
          <w:rFonts w:ascii="Arial" w:hAnsi="Arial" w:cs="Arial"/>
          <w:i/>
          <w:color w:val="000000"/>
          <w:sz w:val="24"/>
          <w:szCs w:val="24"/>
        </w:rPr>
        <w:t>el sentimiento o conciencia de la propia dignidad personal</w:t>
      </w:r>
      <w:r w:rsidRPr="00792B12">
        <w:rPr>
          <w:rFonts w:ascii="Arial" w:hAnsi="Arial" w:cs="Arial"/>
          <w:color w:val="000000"/>
          <w:sz w:val="24"/>
          <w:szCs w:val="24"/>
        </w:rPr>
        <w:t>”</w:t>
      </w:r>
      <w:r w:rsidRPr="00792B12">
        <w:rPr>
          <w:rFonts w:ascii="Arial" w:hAnsi="Arial" w:cs="Arial"/>
          <w:color w:val="000000"/>
          <w:sz w:val="24"/>
          <w:szCs w:val="24"/>
          <w:vertAlign w:val="superscript"/>
        </w:rPr>
        <w:footnoteReference w:id="77"/>
      </w:r>
      <w:r w:rsidRPr="00792B12">
        <w:rPr>
          <w:rFonts w:ascii="Arial" w:hAnsi="Arial" w:cs="Arial"/>
          <w:color w:val="000000"/>
          <w:sz w:val="24"/>
          <w:szCs w:val="24"/>
        </w:rPr>
        <w:t>. Por ende, se trata de una actitud subjetiva de autoestima del sujeto. Por el contrario, en la esfera del derecho a la identidad personal se sitúa en una dimensión objetiva donde lo que se protege es la es la “</w:t>
      </w:r>
      <w:r w:rsidRPr="00792B12">
        <w:rPr>
          <w:rFonts w:ascii="Arial" w:hAnsi="Arial" w:cs="Arial"/>
          <w:i/>
          <w:color w:val="000000"/>
          <w:sz w:val="24"/>
          <w:szCs w:val="24"/>
        </w:rPr>
        <w:t>verdad</w:t>
      </w:r>
      <w:r w:rsidRPr="00792B12">
        <w:rPr>
          <w:rFonts w:ascii="Arial" w:hAnsi="Arial" w:cs="Arial"/>
          <w:color w:val="000000"/>
          <w:sz w:val="24"/>
          <w:szCs w:val="24"/>
        </w:rPr>
        <w:t xml:space="preserve">” personal, la proyección social del sujeto en su plenitud de verdad. </w:t>
      </w:r>
    </w:p>
    <w:p w14:paraId="609383E7" w14:textId="77777777" w:rsidR="0096481E" w:rsidRPr="00792B12" w:rsidRDefault="0096481E" w:rsidP="0096481E">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La reputación, a diferencia del honor, es la valoración que de la persona tienen los demás miembros de la sociedad</w:t>
      </w:r>
      <w:r w:rsidRPr="00792B12">
        <w:rPr>
          <w:rStyle w:val="Refdenotaalpie"/>
          <w:rFonts w:ascii="Arial" w:hAnsi="Arial" w:cs="Arial"/>
          <w:color w:val="000000"/>
          <w:sz w:val="24"/>
          <w:szCs w:val="24"/>
        </w:rPr>
        <w:footnoteReference w:id="78"/>
      </w:r>
      <w:r w:rsidRPr="00792B12">
        <w:rPr>
          <w:rFonts w:ascii="Arial" w:hAnsi="Arial" w:cs="Arial"/>
          <w:color w:val="000000"/>
          <w:sz w:val="24"/>
          <w:szCs w:val="24"/>
        </w:rPr>
        <w:t>. La fama, como también se le conoce, tiene que ver con el juicio crítico que sobre una persona formulan aquellos que la conocen en tanto la frecuentan</w:t>
      </w:r>
      <w:r w:rsidRPr="00792B12">
        <w:rPr>
          <w:rStyle w:val="Refdenotaalpie"/>
          <w:rFonts w:ascii="Arial" w:hAnsi="Arial" w:cs="Arial"/>
          <w:color w:val="000000"/>
          <w:sz w:val="24"/>
          <w:szCs w:val="24"/>
        </w:rPr>
        <w:footnoteReference w:id="79"/>
      </w:r>
      <w:r w:rsidRPr="00792B12">
        <w:rPr>
          <w:rFonts w:ascii="Arial" w:hAnsi="Arial" w:cs="Arial"/>
          <w:color w:val="000000"/>
          <w:sz w:val="24"/>
          <w:szCs w:val="24"/>
        </w:rPr>
        <w:t xml:space="preserve">. Distintamente de la autoestima en que consiste el sentimiento del honor, la reputación es la estima del sujeto tienen los otros, por lo que se diferencia del honor en tanto trasciende el ámbito de la simple subjetividad. </w:t>
      </w:r>
    </w:p>
    <w:p w14:paraId="163813A1" w14:textId="77777777" w:rsidR="0096481E" w:rsidRPr="00792B12" w:rsidRDefault="0096481E" w:rsidP="0096481E">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 xml:space="preserve">En efecto, como ha manifestado </w:t>
      </w:r>
      <w:proofErr w:type="spellStart"/>
      <w:r w:rsidRPr="00792B12">
        <w:rPr>
          <w:rFonts w:ascii="Arial" w:hAnsi="Arial" w:cs="Arial"/>
          <w:color w:val="000000"/>
          <w:sz w:val="24"/>
          <w:szCs w:val="24"/>
        </w:rPr>
        <w:t>Vincenzo</w:t>
      </w:r>
      <w:proofErr w:type="spellEnd"/>
      <w:r w:rsidRPr="00792B12">
        <w:rPr>
          <w:rFonts w:ascii="Arial" w:hAnsi="Arial" w:cs="Arial"/>
          <w:color w:val="000000"/>
          <w:sz w:val="24"/>
          <w:szCs w:val="24"/>
        </w:rPr>
        <w:t xml:space="preserve"> </w:t>
      </w:r>
      <w:proofErr w:type="spellStart"/>
      <w:r w:rsidRPr="00792B12">
        <w:rPr>
          <w:rFonts w:ascii="Arial" w:hAnsi="Arial" w:cs="Arial"/>
          <w:color w:val="000000"/>
          <w:sz w:val="24"/>
          <w:szCs w:val="24"/>
        </w:rPr>
        <w:t>Zeno-Zencovich</w:t>
      </w:r>
      <w:proofErr w:type="spellEnd"/>
      <w:r w:rsidRPr="00792B12">
        <w:rPr>
          <w:rStyle w:val="Refdenotaalpie"/>
          <w:rFonts w:ascii="Arial" w:hAnsi="Arial" w:cs="Arial"/>
          <w:color w:val="000000"/>
          <w:sz w:val="24"/>
          <w:szCs w:val="24"/>
        </w:rPr>
        <w:footnoteReference w:id="80"/>
      </w:r>
      <w:r w:rsidRPr="00792B12">
        <w:rPr>
          <w:rFonts w:ascii="Arial" w:hAnsi="Arial" w:cs="Arial"/>
          <w:color w:val="000000"/>
          <w:sz w:val="24"/>
          <w:szCs w:val="24"/>
        </w:rPr>
        <w:t xml:space="preserve">, entre las diferencias entre la identidad personal y reputación, concierne en que la primera está constituida por la proyección social de la personalidad del sujeto y del conocimiento de que esta tiene la colectividad, la segunda representada un juicio sobre la persona expresada por la sociedad. Por ende, la primera se presenta como un </w:t>
      </w:r>
      <w:proofErr w:type="spellStart"/>
      <w:r w:rsidRPr="00792B12">
        <w:rPr>
          <w:rFonts w:ascii="Arial" w:hAnsi="Arial" w:cs="Arial"/>
          <w:i/>
          <w:color w:val="000000"/>
          <w:sz w:val="24"/>
          <w:szCs w:val="24"/>
        </w:rPr>
        <w:t>prius</w:t>
      </w:r>
      <w:proofErr w:type="spellEnd"/>
      <w:r w:rsidRPr="00792B12">
        <w:rPr>
          <w:rFonts w:ascii="Arial" w:hAnsi="Arial" w:cs="Arial"/>
          <w:i/>
          <w:color w:val="000000"/>
          <w:sz w:val="24"/>
          <w:szCs w:val="24"/>
        </w:rPr>
        <w:t xml:space="preserve"> </w:t>
      </w:r>
      <w:r w:rsidRPr="00792B12">
        <w:rPr>
          <w:rFonts w:ascii="Arial" w:hAnsi="Arial" w:cs="Arial"/>
          <w:color w:val="000000"/>
          <w:sz w:val="24"/>
          <w:szCs w:val="24"/>
        </w:rPr>
        <w:t xml:space="preserve">respecto a la segunda, necesario, pero no suficiente. Así, mientras la identidad concierne al momento gnoseológico de la relación de un sujeto con los otros, pudiéndose resolver en consecuencias positivas, negativas o neutras, </w:t>
      </w:r>
      <w:r w:rsidRPr="00792B12">
        <w:rPr>
          <w:rFonts w:ascii="Arial" w:hAnsi="Arial" w:cs="Arial"/>
          <w:color w:val="000000"/>
          <w:sz w:val="24"/>
          <w:szCs w:val="24"/>
        </w:rPr>
        <w:lastRenderedPageBreak/>
        <w:t>la reputación concierne al momento crítico, en que se da conocimiento de un juicio positivo o negativo.</w:t>
      </w:r>
    </w:p>
    <w:p w14:paraId="775C4016" w14:textId="7A227307" w:rsidR="0096481E" w:rsidRPr="00792B12" w:rsidRDefault="0096481E" w:rsidP="001B2B15">
      <w:pPr>
        <w:tabs>
          <w:tab w:val="center" w:pos="9498"/>
        </w:tabs>
        <w:spacing w:after="240" w:line="360" w:lineRule="auto"/>
        <w:ind w:firstLine="709"/>
        <w:jc w:val="both"/>
        <w:rPr>
          <w:rFonts w:ascii="Arial" w:hAnsi="Arial" w:cs="Arial"/>
          <w:color w:val="000000"/>
          <w:sz w:val="24"/>
          <w:szCs w:val="24"/>
        </w:rPr>
      </w:pPr>
      <w:r w:rsidRPr="00792B12">
        <w:rPr>
          <w:rFonts w:ascii="Arial" w:hAnsi="Arial" w:cs="Arial"/>
          <w:color w:val="000000"/>
          <w:sz w:val="24"/>
          <w:szCs w:val="24"/>
        </w:rPr>
        <w:t>La reputación, por concernir a un juicio de valor que los demás realizan sobre el sujeto, la “</w:t>
      </w:r>
      <w:r w:rsidRPr="00792B12">
        <w:rPr>
          <w:rFonts w:ascii="Arial" w:hAnsi="Arial" w:cs="Arial"/>
          <w:i/>
          <w:color w:val="000000"/>
          <w:sz w:val="24"/>
          <w:szCs w:val="24"/>
        </w:rPr>
        <w:t>verdad personal</w:t>
      </w:r>
      <w:r w:rsidRPr="00792B12">
        <w:rPr>
          <w:rFonts w:ascii="Arial" w:hAnsi="Arial" w:cs="Arial"/>
          <w:color w:val="000000"/>
          <w:sz w:val="24"/>
          <w:szCs w:val="24"/>
        </w:rPr>
        <w:t>” no es un factor prioritario de ella. En cambio, respecto a la identidad personal, lo que es relevante no es la valoración.  Respecto a la identidad personal se trata de una actitud de carácter gnoseológico. En la reputación, por su lado, prepondera la actitud axiológica. Los demás emiten un juicio de valor respecto a la persona, sobre esta base se construye la reputación de la persona, sin que necesariamente sea un factor determinante en cuanto a su formulación.</w:t>
      </w:r>
    </w:p>
    <w:p w14:paraId="29137292"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El sustento y basamento del derecho al honor encuentra en la conciencia de la dignidad, de la calidad moral y en la autoestima de la persona. El honor se constituye en el íntimo valor del sujeto. Es un bien valioso, un sentimiento interior en su ser, una convicción profunda, que parece protección por parte del Derecho</w:t>
      </w:r>
      <w:r w:rsidRPr="00792B12">
        <w:rPr>
          <w:rFonts w:ascii="Arial" w:hAnsi="Arial" w:cs="Arial"/>
          <w:color w:val="000000"/>
          <w:sz w:val="24"/>
          <w:szCs w:val="24"/>
          <w:vertAlign w:val="superscript"/>
        </w:rPr>
        <w:footnoteReference w:id="81"/>
      </w:r>
      <w:r w:rsidRPr="00792B12">
        <w:rPr>
          <w:rFonts w:ascii="Arial" w:hAnsi="Arial" w:cs="Arial"/>
          <w:color w:val="000000"/>
          <w:sz w:val="24"/>
          <w:szCs w:val="24"/>
        </w:rPr>
        <w:t>.</w:t>
      </w:r>
    </w:p>
    <w:p w14:paraId="6A1F2686"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La protección del honor de la persona señala Massimo Dogliotti</w:t>
      </w:r>
      <w:r w:rsidRPr="00792B12">
        <w:rPr>
          <w:rStyle w:val="Refdenotaalpie"/>
          <w:rFonts w:ascii="Arial" w:hAnsi="Arial" w:cs="Arial"/>
          <w:color w:val="000000"/>
          <w:sz w:val="24"/>
          <w:szCs w:val="24"/>
        </w:rPr>
        <w:footnoteReference w:id="82"/>
      </w:r>
      <w:r w:rsidRPr="00792B12">
        <w:rPr>
          <w:rFonts w:ascii="Arial" w:hAnsi="Arial" w:cs="Arial"/>
          <w:color w:val="000000"/>
          <w:sz w:val="24"/>
          <w:szCs w:val="24"/>
        </w:rPr>
        <w:t xml:space="preserve">, proviene de tiempos antiguos. Los romanos consideraron el valor fundamental de la vida social. Este aspecto de la persona fue en el derecho romano garantizado mediante la privada </w:t>
      </w:r>
      <w:proofErr w:type="spellStart"/>
      <w:r w:rsidRPr="00792B12">
        <w:rPr>
          <w:rFonts w:ascii="Arial" w:hAnsi="Arial" w:cs="Arial"/>
          <w:i/>
          <w:color w:val="000000"/>
          <w:sz w:val="24"/>
          <w:szCs w:val="24"/>
        </w:rPr>
        <w:t>actio</w:t>
      </w:r>
      <w:proofErr w:type="spellEnd"/>
      <w:r w:rsidRPr="00792B12">
        <w:rPr>
          <w:rFonts w:ascii="Arial" w:hAnsi="Arial" w:cs="Arial"/>
          <w:i/>
          <w:color w:val="000000"/>
          <w:sz w:val="24"/>
          <w:szCs w:val="24"/>
        </w:rPr>
        <w:t xml:space="preserve"> </w:t>
      </w:r>
      <w:proofErr w:type="spellStart"/>
      <w:r w:rsidRPr="00792B12">
        <w:rPr>
          <w:rFonts w:ascii="Arial" w:hAnsi="Arial" w:cs="Arial"/>
          <w:i/>
          <w:color w:val="000000"/>
          <w:sz w:val="24"/>
          <w:szCs w:val="24"/>
        </w:rPr>
        <w:t>iniurarum</w:t>
      </w:r>
      <w:proofErr w:type="spellEnd"/>
      <w:r w:rsidRPr="00792B12">
        <w:rPr>
          <w:rFonts w:ascii="Arial" w:hAnsi="Arial" w:cs="Arial"/>
          <w:color w:val="000000"/>
          <w:sz w:val="24"/>
          <w:szCs w:val="24"/>
        </w:rPr>
        <w:t xml:space="preserve"> y posteriormente con la acción pública, considerando el interés de la colectividad a la vindicación de la ofensa ocasionado al sujeto.  Castigado en el derecho intermedio con la pena capital, el atentado al honor constituyó supuesto de delito en la mayor parte de los códigos penales modernos (como en los italianos de 1887 y 1930) con el objetivo de titular a la persona y de ordenar la convivencia social, de otra manera, estaría repleta de venganzas y odios</w:t>
      </w:r>
      <w:r w:rsidRPr="00792B12">
        <w:rPr>
          <w:rStyle w:val="Refdenotaalpie"/>
          <w:rFonts w:ascii="Arial" w:hAnsi="Arial" w:cs="Arial"/>
          <w:color w:val="000000"/>
          <w:sz w:val="24"/>
          <w:szCs w:val="24"/>
        </w:rPr>
        <w:footnoteReference w:id="83"/>
      </w:r>
      <w:r w:rsidRPr="00792B12">
        <w:rPr>
          <w:rFonts w:ascii="Arial" w:hAnsi="Arial" w:cs="Arial"/>
          <w:color w:val="000000"/>
          <w:sz w:val="24"/>
          <w:szCs w:val="24"/>
        </w:rPr>
        <w:t>.</w:t>
      </w:r>
    </w:p>
    <w:p w14:paraId="4815DA91"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El honor se materializa no solo como en ser exigente consigo mismo, sino que, en el ámbito social, se manifiesta en la consideración y el respeto que se </w:t>
      </w:r>
      <w:r w:rsidRPr="00792B12">
        <w:rPr>
          <w:rFonts w:ascii="Arial" w:hAnsi="Arial" w:cs="Arial"/>
          <w:color w:val="000000"/>
          <w:sz w:val="24"/>
          <w:szCs w:val="24"/>
        </w:rPr>
        <w:lastRenderedPageBreak/>
        <w:t xml:space="preserve">merecen los demás.  Como ha afirmado Arianna </w:t>
      </w:r>
      <w:proofErr w:type="spellStart"/>
      <w:r w:rsidRPr="00792B12">
        <w:rPr>
          <w:rFonts w:ascii="Arial" w:hAnsi="Arial" w:cs="Arial"/>
          <w:color w:val="000000"/>
          <w:sz w:val="24"/>
          <w:szCs w:val="24"/>
        </w:rPr>
        <w:t>Fusaro</w:t>
      </w:r>
      <w:proofErr w:type="spellEnd"/>
      <w:r w:rsidRPr="00792B12">
        <w:rPr>
          <w:rStyle w:val="Refdenotaalpie"/>
          <w:rFonts w:ascii="Arial" w:hAnsi="Arial" w:cs="Arial"/>
          <w:color w:val="000000"/>
          <w:sz w:val="24"/>
          <w:szCs w:val="24"/>
        </w:rPr>
        <w:footnoteReference w:id="84"/>
      </w:r>
      <w:r w:rsidRPr="00792B12">
        <w:rPr>
          <w:rFonts w:ascii="Arial" w:hAnsi="Arial" w:cs="Arial"/>
          <w:color w:val="000000"/>
          <w:sz w:val="24"/>
          <w:szCs w:val="24"/>
        </w:rPr>
        <w:t xml:space="preserve">, la doctrina civilista y penalista consideran al honor como el sentimiento que cada uno tiene de su propia dignidad moral. Emerge del aspecto subjetivo (honor </w:t>
      </w:r>
      <w:r w:rsidRPr="00792B12">
        <w:rPr>
          <w:rFonts w:ascii="Arial" w:hAnsi="Arial" w:cs="Arial"/>
          <w:i/>
          <w:color w:val="000000"/>
          <w:sz w:val="24"/>
          <w:szCs w:val="24"/>
        </w:rPr>
        <w:t>strictu sensu</w:t>
      </w:r>
      <w:r w:rsidRPr="00792B12">
        <w:rPr>
          <w:rFonts w:ascii="Arial" w:hAnsi="Arial" w:cs="Arial"/>
          <w:color w:val="000000"/>
          <w:sz w:val="24"/>
          <w:szCs w:val="24"/>
        </w:rPr>
        <w:t>), un significado objetivo, que es brindado en el ámbito de estima y respecto en que el sujeto goza al interior de la sociedad, de la comunidad.</w:t>
      </w:r>
    </w:p>
    <w:p w14:paraId="096EB822" w14:textId="77777777" w:rsidR="0096481E" w:rsidRPr="00792B12" w:rsidRDefault="0096481E" w:rsidP="0096481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 xml:space="preserve">En épocas pasadas, es cada vez complejo describir lo que se debe comprender por honor, por lo que se suele confundir con conceptos como la dignidad o autoestima.  Se distingue, por los formantes doctrinario y jurisprudencial, dos aspectos en el honor. Uno de carácter subjetivo y otro objetivo. El primero es el sentimiento de autoestima de la persona y, el segundo, es la estima o consideración que de la persona tienen los demás miembros de la sociedad, de la comunidad a la pertenece el sujeto. Así también el honor se diferencia de la autoestima, porque el honor es a la vez el sentimiento de autoestima de la persona y de la consideración que de ella poseen los miembros del grupo en que se relaciona. </w:t>
      </w:r>
    </w:p>
    <w:p w14:paraId="020A7383" w14:textId="726199F7" w:rsidR="0096481E" w:rsidRPr="00792B12" w:rsidRDefault="0096481E" w:rsidP="00F4527E">
      <w:pPr>
        <w:tabs>
          <w:tab w:val="center" w:pos="9498"/>
        </w:tabs>
        <w:spacing w:after="240" w:line="360" w:lineRule="auto"/>
        <w:ind w:firstLine="708"/>
        <w:jc w:val="both"/>
        <w:rPr>
          <w:rFonts w:ascii="Arial" w:hAnsi="Arial" w:cs="Arial"/>
          <w:color w:val="000000"/>
          <w:sz w:val="24"/>
          <w:szCs w:val="24"/>
        </w:rPr>
      </w:pPr>
      <w:r w:rsidRPr="00792B12">
        <w:rPr>
          <w:rFonts w:ascii="Arial" w:hAnsi="Arial" w:cs="Arial"/>
          <w:color w:val="000000"/>
          <w:sz w:val="24"/>
          <w:szCs w:val="24"/>
        </w:rPr>
        <w:t>Respecto a la dignidad y el honor, no debe olvidarse que la primera es inherente a la persona, en cuanto se sustenta en la calidad de ser libre. En cambio, el honor es un sentimiento de la persona en relación con el aprecio que ella merece de los demás miembros de su comunidad. El honor halla su fundamento en la dignidad de la persona</w:t>
      </w:r>
      <w:r w:rsidR="00F4527E">
        <w:rPr>
          <w:rFonts w:ascii="Arial" w:hAnsi="Arial" w:cs="Arial"/>
          <w:color w:val="000000"/>
          <w:sz w:val="24"/>
          <w:szCs w:val="24"/>
        </w:rPr>
        <w:t>.</w:t>
      </w:r>
    </w:p>
    <w:p w14:paraId="5F84D57D" w14:textId="16A3BE78" w:rsidR="0096481E" w:rsidRPr="001B2B15" w:rsidRDefault="0096481E" w:rsidP="001B2B15">
      <w:pPr>
        <w:keepNext/>
        <w:tabs>
          <w:tab w:val="left" w:pos="-720"/>
          <w:tab w:val="center" w:pos="9498"/>
        </w:tabs>
        <w:spacing w:after="240" w:line="360" w:lineRule="auto"/>
        <w:jc w:val="both"/>
        <w:outlineLvl w:val="0"/>
        <w:rPr>
          <w:rFonts w:ascii="Arial" w:eastAsia="Times New Roman" w:hAnsi="Arial" w:cs="Arial"/>
          <w:b/>
          <w:bCs/>
          <w:color w:val="000000"/>
          <w:kern w:val="32"/>
          <w:sz w:val="24"/>
          <w:szCs w:val="24"/>
          <w:lang w:eastAsia="es-ES"/>
        </w:rPr>
      </w:pPr>
      <w:r w:rsidRPr="00792B12">
        <w:rPr>
          <w:rFonts w:ascii="Arial" w:eastAsia="Times New Roman" w:hAnsi="Arial" w:cs="Arial"/>
          <w:b/>
          <w:bCs/>
          <w:color w:val="000000"/>
          <w:kern w:val="32"/>
          <w:sz w:val="24"/>
          <w:szCs w:val="24"/>
          <w:lang w:eastAsia="es-ES"/>
        </w:rPr>
        <w:t>5.- Derecho a la información y el derecho a la identidad personal</w:t>
      </w:r>
    </w:p>
    <w:p w14:paraId="05FF0012"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sz w:val="24"/>
          <w:szCs w:val="24"/>
        </w:rPr>
      </w:pPr>
      <w:r w:rsidRPr="00792B12">
        <w:rPr>
          <w:rFonts w:ascii="Arial" w:hAnsi="Arial" w:cs="Arial"/>
          <w:color w:val="000000"/>
          <w:sz w:val="24"/>
          <w:szCs w:val="24"/>
        </w:rPr>
        <w:t>Discusiones jurídicas respecto a la identidad personal surgen cuando se tratan la problemática respecto a los límites que dicha situación impondría al derecho a la información, que conlleva, para cierto sector del formante doctrinal, dudas y perplejidades respecto a los alcances del derecho a la identidad personal</w:t>
      </w:r>
      <w:r w:rsidRPr="00792B12">
        <w:rPr>
          <w:rFonts w:ascii="Arial" w:hAnsi="Arial" w:cs="Arial"/>
          <w:color w:val="000000"/>
          <w:sz w:val="24"/>
          <w:szCs w:val="24"/>
          <w:vertAlign w:val="superscript"/>
        </w:rPr>
        <w:footnoteReference w:id="85"/>
      </w:r>
      <w:r w:rsidRPr="00792B12">
        <w:rPr>
          <w:rFonts w:ascii="Arial" w:hAnsi="Arial" w:cs="Arial"/>
          <w:color w:val="000000"/>
          <w:sz w:val="24"/>
          <w:szCs w:val="24"/>
        </w:rPr>
        <w:t>.</w:t>
      </w:r>
    </w:p>
    <w:p w14:paraId="2E9954CD" w14:textId="7335B744" w:rsidR="0096481E" w:rsidRPr="00792B12" w:rsidRDefault="001B2B15" w:rsidP="001B2B15">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sz w:val="24"/>
          <w:szCs w:val="24"/>
        </w:rPr>
      </w:pPr>
      <w:r w:rsidRPr="00792B12">
        <w:rPr>
          <w:rFonts w:ascii="Arial" w:hAnsi="Arial" w:cs="Arial"/>
          <w:color w:val="000000"/>
          <w:sz w:val="24"/>
          <w:szCs w:val="24"/>
        </w:rPr>
        <w:lastRenderedPageBreak/>
        <w:t>Un sector de juristas niega</w:t>
      </w:r>
      <w:r w:rsidR="0096481E" w:rsidRPr="00792B12">
        <w:rPr>
          <w:rFonts w:ascii="Arial" w:hAnsi="Arial" w:cs="Arial"/>
          <w:color w:val="000000"/>
          <w:sz w:val="24"/>
          <w:szCs w:val="24"/>
        </w:rPr>
        <w:t xml:space="preserve"> la autonomía del derecho a la identidad personal o, propugna su dependencia con relación a la libertad de expresión, lo que representa un problema que evidencia el conflicto el interés, principalmente individual, que corresponde a la identidad personal, y el interés, prevalentemente público, respecto a la circulación de las informaciones y al control social que de ella surge. </w:t>
      </w:r>
    </w:p>
    <w:p w14:paraId="4B57156A"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sz w:val="24"/>
          <w:szCs w:val="24"/>
        </w:rPr>
      </w:pPr>
      <w:r w:rsidRPr="00792B12">
        <w:rPr>
          <w:rFonts w:ascii="Arial" w:hAnsi="Arial" w:cs="Arial"/>
          <w:color w:val="000000"/>
          <w:sz w:val="24"/>
          <w:szCs w:val="24"/>
        </w:rPr>
        <w:t>En efecto, se trata de dos intereses merecedores de tutela jurídica, lo que obliga a la labor de conciliar ambas exigencias.  El derecho a la información concierne, por ser una situación jurídica subjetiva, la presencia no solo de una facultad para informar de parte del titular del derecho, sino la de un deber como es el de brindar información veraz, basada en principios de la ética y el orden público.  El cumplimiento del citado deber lo puede requerir los destinatarios de la información sobre la base de lo que la doctrina ha denominado como “</w:t>
      </w:r>
      <w:r w:rsidRPr="00792B12">
        <w:rPr>
          <w:rFonts w:ascii="Arial" w:hAnsi="Arial" w:cs="Arial"/>
          <w:i/>
          <w:color w:val="000000"/>
          <w:sz w:val="24"/>
          <w:szCs w:val="24"/>
        </w:rPr>
        <w:t>interés difuso</w:t>
      </w:r>
      <w:r w:rsidRPr="00792B12">
        <w:rPr>
          <w:rFonts w:ascii="Arial" w:hAnsi="Arial" w:cs="Arial"/>
          <w:color w:val="000000"/>
          <w:sz w:val="24"/>
          <w:szCs w:val="24"/>
        </w:rPr>
        <w:t>”, que no se identifica ni con el interés individual ni con el interés social, debido a que se trataría de un interés de naturaleza diversa</w:t>
      </w:r>
      <w:r w:rsidRPr="00792B12">
        <w:rPr>
          <w:rFonts w:ascii="Arial" w:hAnsi="Arial" w:cs="Arial"/>
          <w:color w:val="000000"/>
          <w:sz w:val="24"/>
          <w:szCs w:val="24"/>
          <w:vertAlign w:val="superscript"/>
        </w:rPr>
        <w:footnoteReference w:id="86"/>
      </w:r>
      <w:r w:rsidRPr="00792B12">
        <w:rPr>
          <w:rFonts w:ascii="Arial" w:hAnsi="Arial" w:cs="Arial"/>
          <w:color w:val="000000"/>
          <w:sz w:val="24"/>
          <w:szCs w:val="24"/>
        </w:rPr>
        <w:t>.</w:t>
      </w:r>
    </w:p>
    <w:p w14:paraId="66DD4E49"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sz w:val="24"/>
          <w:szCs w:val="24"/>
        </w:rPr>
      </w:pPr>
      <w:r w:rsidRPr="00792B12">
        <w:rPr>
          <w:rFonts w:ascii="Arial" w:hAnsi="Arial" w:cs="Arial"/>
          <w:color w:val="000000"/>
          <w:sz w:val="24"/>
          <w:szCs w:val="24"/>
        </w:rPr>
        <w:t xml:space="preserve">Tanto la identidad personal y el derecho a la información deben tutelarse dentro de un plano de igualdad jurídica, por lo que no puede postularse la protección de aquélla de manera residual. No debe olvidarse, como recuerda </w:t>
      </w:r>
      <w:proofErr w:type="spellStart"/>
      <w:r w:rsidRPr="00792B12">
        <w:rPr>
          <w:rFonts w:ascii="Arial" w:hAnsi="Arial" w:cs="Arial"/>
          <w:color w:val="000000"/>
          <w:sz w:val="24"/>
          <w:szCs w:val="24"/>
        </w:rPr>
        <w:t>Vincenzo</w:t>
      </w:r>
      <w:proofErr w:type="spellEnd"/>
      <w:r w:rsidRPr="00792B12">
        <w:rPr>
          <w:rFonts w:ascii="Arial" w:hAnsi="Arial" w:cs="Arial"/>
          <w:color w:val="000000"/>
          <w:sz w:val="24"/>
          <w:szCs w:val="24"/>
        </w:rPr>
        <w:t xml:space="preserve"> </w:t>
      </w:r>
      <w:proofErr w:type="spellStart"/>
      <w:r w:rsidRPr="00792B12">
        <w:rPr>
          <w:rFonts w:ascii="Arial" w:hAnsi="Arial" w:cs="Arial"/>
          <w:color w:val="000000"/>
          <w:sz w:val="24"/>
          <w:szCs w:val="24"/>
        </w:rPr>
        <w:t>Zeno-Zencovich</w:t>
      </w:r>
      <w:proofErr w:type="spellEnd"/>
      <w:r w:rsidRPr="00792B12">
        <w:rPr>
          <w:rStyle w:val="Refdenotaalpie"/>
          <w:rFonts w:ascii="Arial" w:hAnsi="Arial" w:cs="Arial"/>
          <w:color w:val="000000"/>
          <w:sz w:val="24"/>
          <w:szCs w:val="24"/>
        </w:rPr>
        <w:footnoteReference w:id="87"/>
      </w:r>
      <w:r w:rsidRPr="00792B12">
        <w:rPr>
          <w:rFonts w:ascii="Arial" w:hAnsi="Arial" w:cs="Arial"/>
          <w:color w:val="000000"/>
          <w:sz w:val="24"/>
          <w:szCs w:val="24"/>
        </w:rPr>
        <w:t xml:space="preserve">, que el término información ha asumido en la época moderna una multiplicidad de significados, a menudo relevantes para el jurista. En un primer sentido, atendiendo a su contenido, se comprende por información cualquier dato representativo de la realidad que es conservado por un sujeto o comunicado por un sujeto a otro. En un segundo sentido, considerando su aspecto funcional, bajo el término información se agrupan las actividades de comunicación al público desarrollada por los medios (radio, prensa, televisión, internet). En una tercera acepción, considerando su especialidad, la información </w:t>
      </w:r>
      <w:r w:rsidRPr="00792B12">
        <w:rPr>
          <w:rFonts w:ascii="Arial" w:hAnsi="Arial" w:cs="Arial"/>
          <w:color w:val="000000"/>
          <w:sz w:val="24"/>
          <w:szCs w:val="24"/>
        </w:rPr>
        <w:lastRenderedPageBreak/>
        <w:t>integra una obligación en la esfera de algunos sujetos que entran en relación con otros.</w:t>
      </w:r>
    </w:p>
    <w:p w14:paraId="53112AFF" w14:textId="0A3772B4"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sz w:val="24"/>
          <w:szCs w:val="24"/>
        </w:rPr>
      </w:pPr>
      <w:r w:rsidRPr="00792B12">
        <w:rPr>
          <w:rFonts w:ascii="Arial" w:hAnsi="Arial" w:cs="Arial"/>
          <w:color w:val="000000"/>
          <w:sz w:val="24"/>
          <w:szCs w:val="24"/>
        </w:rPr>
        <w:t xml:space="preserve">A nivel del formante doctrinario, se va asentando la tendencia a tutelar autónoma y </w:t>
      </w:r>
      <w:r w:rsidR="001B2B15" w:rsidRPr="00792B12">
        <w:rPr>
          <w:rFonts w:ascii="Arial" w:hAnsi="Arial" w:cs="Arial"/>
          <w:color w:val="000000"/>
          <w:sz w:val="24"/>
          <w:szCs w:val="24"/>
        </w:rPr>
        <w:t>contemporánea ambos</w:t>
      </w:r>
      <w:r w:rsidRPr="00792B12">
        <w:rPr>
          <w:rFonts w:ascii="Arial" w:hAnsi="Arial" w:cs="Arial"/>
          <w:color w:val="000000"/>
          <w:sz w:val="24"/>
          <w:szCs w:val="24"/>
        </w:rPr>
        <w:t xml:space="preserve"> intereses, buscando un punto de equilibrio.  No puede descartarse la presencia de determinados riesgos y dificultades que se originan en la práctica a regular normativamente la compatibilización de los dos derechos subjetivos.  Todo lo señalado explica que, según expresaba </w:t>
      </w:r>
      <w:proofErr w:type="spellStart"/>
      <w:r w:rsidRPr="00792B12">
        <w:rPr>
          <w:rFonts w:ascii="Arial" w:hAnsi="Arial" w:cs="Arial"/>
          <w:color w:val="000000"/>
          <w:sz w:val="24"/>
          <w:szCs w:val="24"/>
        </w:rPr>
        <w:t>Vincenzo</w:t>
      </w:r>
      <w:proofErr w:type="spellEnd"/>
      <w:r w:rsidRPr="00792B12">
        <w:rPr>
          <w:rFonts w:ascii="Arial" w:hAnsi="Arial" w:cs="Arial"/>
          <w:color w:val="000000"/>
          <w:sz w:val="24"/>
          <w:szCs w:val="24"/>
        </w:rPr>
        <w:t xml:space="preserve"> </w:t>
      </w:r>
      <w:proofErr w:type="spellStart"/>
      <w:r w:rsidRPr="00792B12">
        <w:rPr>
          <w:rFonts w:ascii="Arial" w:hAnsi="Arial" w:cs="Arial"/>
          <w:color w:val="000000"/>
          <w:sz w:val="24"/>
          <w:szCs w:val="24"/>
        </w:rPr>
        <w:t>Scalisi</w:t>
      </w:r>
      <w:proofErr w:type="spellEnd"/>
      <w:r w:rsidRPr="00792B12">
        <w:rPr>
          <w:rFonts w:ascii="Arial" w:hAnsi="Arial" w:cs="Arial"/>
          <w:color w:val="000000"/>
          <w:sz w:val="24"/>
          <w:szCs w:val="24"/>
        </w:rPr>
        <w:t>, “</w:t>
      </w:r>
      <w:r w:rsidRPr="00792B12">
        <w:rPr>
          <w:rFonts w:ascii="Arial" w:hAnsi="Arial" w:cs="Arial"/>
          <w:i/>
          <w:color w:val="000000"/>
          <w:sz w:val="24"/>
          <w:szCs w:val="24"/>
        </w:rPr>
        <w:t>la garantía de los derechos de información y de crónica no se puede proponer ni concebir en términos alternativos o, aún peor, de antítesis respecto a la cuestión de la tutela a la identidad personal y viceversa</w:t>
      </w:r>
      <w:r w:rsidRPr="00792B12">
        <w:rPr>
          <w:rFonts w:ascii="Arial" w:hAnsi="Arial" w:cs="Arial"/>
          <w:color w:val="000000"/>
          <w:sz w:val="24"/>
          <w:szCs w:val="24"/>
        </w:rPr>
        <w:t>”</w:t>
      </w:r>
      <w:r w:rsidRPr="00792B12">
        <w:rPr>
          <w:rFonts w:ascii="Arial" w:hAnsi="Arial" w:cs="Arial"/>
          <w:color w:val="000000"/>
          <w:sz w:val="24"/>
          <w:szCs w:val="24"/>
          <w:vertAlign w:val="superscript"/>
        </w:rPr>
        <w:footnoteReference w:id="88"/>
      </w:r>
      <w:r w:rsidRPr="00792B12">
        <w:rPr>
          <w:rFonts w:ascii="Arial" w:hAnsi="Arial" w:cs="Arial"/>
          <w:color w:val="000000"/>
          <w:sz w:val="24"/>
          <w:szCs w:val="24"/>
        </w:rPr>
        <w:t>.  Como este fino jurista observaba, no consiste en privilegiar uno u otro principio, sino de encontrar un equilibrio en la tutela que se atribuirse a ambos intereses.</w:t>
      </w:r>
    </w:p>
    <w:p w14:paraId="54AB68BA"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sz w:val="24"/>
          <w:szCs w:val="24"/>
        </w:rPr>
      </w:pPr>
      <w:r w:rsidRPr="00792B12">
        <w:rPr>
          <w:rFonts w:ascii="Arial" w:hAnsi="Arial" w:cs="Arial"/>
          <w:color w:val="000000"/>
          <w:sz w:val="24"/>
          <w:szCs w:val="24"/>
        </w:rPr>
        <w:t>Estas razones recomiendan no partir del prejuicio de catalogar al derecho a la identidad personal como un límite de la libertad de información</w:t>
      </w:r>
      <w:r w:rsidRPr="00792B12">
        <w:rPr>
          <w:rFonts w:ascii="Arial" w:hAnsi="Arial" w:cs="Arial"/>
          <w:color w:val="000000"/>
          <w:sz w:val="24"/>
          <w:szCs w:val="24"/>
          <w:vertAlign w:val="superscript"/>
        </w:rPr>
        <w:footnoteReference w:id="89"/>
      </w:r>
      <w:r w:rsidRPr="00792B12">
        <w:rPr>
          <w:rFonts w:ascii="Arial" w:hAnsi="Arial" w:cs="Arial"/>
          <w:color w:val="000000"/>
          <w:sz w:val="24"/>
          <w:szCs w:val="24"/>
        </w:rPr>
        <w:t>. La verdad personal y su protección es una exigencia que el legislador y el Estado deben atender, sin desconocer que el derecho a la expresión del pensamiento se erige como una de las más preciosas conquistas de nuestra civilización. La protección jurídica simultánea y armoniosa de ambos intereses parecer ser la postura más coherente a las aspiraciones de la persona. No debe olvidarse que la identidad personal protege la “</w:t>
      </w:r>
      <w:r w:rsidRPr="00792B12">
        <w:rPr>
          <w:rFonts w:ascii="Arial" w:hAnsi="Arial" w:cs="Arial"/>
          <w:i/>
          <w:color w:val="000000"/>
          <w:sz w:val="24"/>
          <w:szCs w:val="24"/>
        </w:rPr>
        <w:t>verdad históricamente comprobada</w:t>
      </w:r>
      <w:r w:rsidRPr="00792B12">
        <w:rPr>
          <w:rFonts w:ascii="Arial" w:hAnsi="Arial" w:cs="Arial"/>
          <w:color w:val="000000"/>
          <w:sz w:val="24"/>
          <w:szCs w:val="24"/>
        </w:rPr>
        <w:t>” de la persona.</w:t>
      </w:r>
    </w:p>
    <w:p w14:paraId="4EDD9D95" w14:textId="77777777" w:rsidR="0096481E" w:rsidRPr="00792B12" w:rsidRDefault="0096481E" w:rsidP="0096481E">
      <w:pPr>
        <w:tabs>
          <w:tab w:val="center" w:pos="9498"/>
        </w:tabs>
        <w:suppressAutoHyphens/>
        <w:autoSpaceDE w:val="0"/>
        <w:autoSpaceDN w:val="0"/>
        <w:adjustRightInd w:val="0"/>
        <w:spacing w:after="240" w:line="360" w:lineRule="auto"/>
        <w:jc w:val="both"/>
        <w:textAlignment w:val="center"/>
        <w:rPr>
          <w:rFonts w:ascii="Arial" w:hAnsi="Arial" w:cs="Arial"/>
          <w:color w:val="000000"/>
          <w:sz w:val="24"/>
          <w:szCs w:val="24"/>
        </w:rPr>
      </w:pPr>
    </w:p>
    <w:p w14:paraId="26F33A31" w14:textId="77777777" w:rsidR="0096481E" w:rsidRPr="00792B12" w:rsidRDefault="0096481E" w:rsidP="0096481E">
      <w:pPr>
        <w:autoSpaceDE w:val="0"/>
        <w:autoSpaceDN w:val="0"/>
        <w:adjustRightInd w:val="0"/>
        <w:spacing w:after="240" w:line="360" w:lineRule="auto"/>
        <w:jc w:val="center"/>
        <w:rPr>
          <w:rFonts w:ascii="Arial" w:hAnsi="Arial" w:cs="Arial"/>
          <w:b/>
          <w:color w:val="000000"/>
        </w:rPr>
      </w:pPr>
    </w:p>
    <w:p w14:paraId="5C0C3434" w14:textId="77777777" w:rsidR="0096481E" w:rsidRPr="00792B12" w:rsidRDefault="0096481E" w:rsidP="0096481E">
      <w:pPr>
        <w:autoSpaceDE w:val="0"/>
        <w:autoSpaceDN w:val="0"/>
        <w:adjustRightInd w:val="0"/>
        <w:spacing w:after="240" w:line="360" w:lineRule="auto"/>
        <w:jc w:val="center"/>
        <w:rPr>
          <w:rFonts w:ascii="Arial" w:hAnsi="Arial" w:cs="Arial"/>
          <w:b/>
          <w:color w:val="000000"/>
        </w:rPr>
      </w:pPr>
    </w:p>
    <w:p w14:paraId="5B3B96E4" w14:textId="77777777" w:rsidR="0096481E" w:rsidRPr="00792B12" w:rsidRDefault="0096481E" w:rsidP="0096481E">
      <w:pPr>
        <w:autoSpaceDE w:val="0"/>
        <w:autoSpaceDN w:val="0"/>
        <w:adjustRightInd w:val="0"/>
        <w:spacing w:after="240" w:line="360" w:lineRule="auto"/>
        <w:jc w:val="center"/>
        <w:rPr>
          <w:rFonts w:ascii="Arial" w:hAnsi="Arial" w:cs="Arial"/>
          <w:b/>
          <w:color w:val="000000"/>
        </w:rPr>
      </w:pPr>
    </w:p>
    <w:p w14:paraId="70C50816" w14:textId="5C8E59E7" w:rsidR="0096481E" w:rsidRDefault="0096481E" w:rsidP="00521C9F">
      <w:pPr>
        <w:autoSpaceDE w:val="0"/>
        <w:autoSpaceDN w:val="0"/>
        <w:adjustRightInd w:val="0"/>
        <w:spacing w:after="240" w:line="360" w:lineRule="auto"/>
        <w:rPr>
          <w:rFonts w:ascii="Arial" w:hAnsi="Arial" w:cs="Arial"/>
          <w:b/>
          <w:color w:val="000000"/>
        </w:rPr>
      </w:pPr>
    </w:p>
    <w:p w14:paraId="5C1BE170" w14:textId="77777777" w:rsidR="00A706D1" w:rsidRPr="00792B12" w:rsidRDefault="00A706D1" w:rsidP="00521C9F">
      <w:pPr>
        <w:autoSpaceDE w:val="0"/>
        <w:autoSpaceDN w:val="0"/>
        <w:adjustRightInd w:val="0"/>
        <w:spacing w:after="240" w:line="360" w:lineRule="auto"/>
        <w:rPr>
          <w:rFonts w:ascii="Arial" w:hAnsi="Arial" w:cs="Arial"/>
          <w:b/>
          <w:color w:val="000000"/>
        </w:rPr>
      </w:pPr>
    </w:p>
    <w:p w14:paraId="51D439D0"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Capítulo Tercero</w:t>
      </w:r>
    </w:p>
    <w:p w14:paraId="55BACA49"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El derecho a la identidad sexual</w:t>
      </w:r>
    </w:p>
    <w:p w14:paraId="79EF37AB" w14:textId="77777777" w:rsidR="0096481E" w:rsidRPr="00792B12" w:rsidRDefault="0096481E" w:rsidP="0096481E">
      <w:pPr>
        <w:tabs>
          <w:tab w:val="center" w:pos="9498"/>
        </w:tabs>
        <w:spacing w:after="240" w:line="360" w:lineRule="auto"/>
        <w:contextualSpacing/>
        <w:jc w:val="both"/>
        <w:rPr>
          <w:rFonts w:ascii="Arial" w:hAnsi="Arial" w:cs="Arial"/>
          <w:b/>
          <w:color w:val="000000"/>
        </w:rPr>
      </w:pPr>
      <w:r w:rsidRPr="00792B12">
        <w:rPr>
          <w:rFonts w:ascii="Arial" w:hAnsi="Arial" w:cs="Arial"/>
          <w:b/>
          <w:color w:val="000000"/>
        </w:rPr>
        <w:t>1.- La problemática de la identidad sexual y sus tipos</w:t>
      </w:r>
    </w:p>
    <w:p w14:paraId="6937A390"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El sexo y su determinación es un problema para el jurista, como señalaba en la doctrina italiana Pietro </w:t>
      </w:r>
      <w:proofErr w:type="spellStart"/>
      <w:r w:rsidRPr="00792B12">
        <w:rPr>
          <w:rFonts w:ascii="Arial" w:hAnsi="Arial" w:cs="Arial"/>
          <w:color w:val="000000"/>
        </w:rPr>
        <w:t>Perlingieri</w:t>
      </w:r>
      <w:proofErr w:type="spellEnd"/>
      <w:r w:rsidRPr="00792B12">
        <w:rPr>
          <w:rFonts w:ascii="Arial" w:hAnsi="Arial" w:cs="Arial"/>
          <w:color w:val="000000"/>
          <w:vertAlign w:val="superscript"/>
        </w:rPr>
        <w:footnoteReference w:id="90"/>
      </w:r>
      <w:r w:rsidRPr="00792B12">
        <w:rPr>
          <w:rFonts w:ascii="Arial" w:hAnsi="Arial" w:cs="Arial"/>
          <w:color w:val="000000"/>
        </w:rPr>
        <w:t>. Cuestión que puede tener diversas respuestas: los aspectos que concurren frecuentemente a unívocamente valorar el sexo de una persona; caracteres relacionados al aspecto subjetivo-psicológico, social, que identifica a la persona en la vida social en relación. La problemática se vuelve más compleja para el jurista atendiendo a la dificultad de identificar las transformaciones sexuales, a fin de atribuirse la relevancia jurídica que requiere.</w:t>
      </w:r>
    </w:p>
    <w:p w14:paraId="168AC2AD"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Como afirma con razón Cesare Massimo Bianca</w:t>
      </w:r>
      <w:r w:rsidRPr="00792B12">
        <w:rPr>
          <w:rFonts w:ascii="Arial" w:hAnsi="Arial" w:cs="Arial"/>
          <w:color w:val="000000"/>
          <w:vertAlign w:val="superscript"/>
        </w:rPr>
        <w:footnoteReference w:id="91"/>
      </w:r>
      <w:r w:rsidRPr="00792B12">
        <w:rPr>
          <w:rFonts w:ascii="Arial" w:hAnsi="Arial" w:cs="Arial"/>
          <w:color w:val="000000"/>
        </w:rPr>
        <w:t>, el sexo es importante como primer signo de la identidad de la persona el contexto social. El sexo influencia en toda la vida del sujeto y en sus relaciones con el ambiente social. Por ello, se comprende la necesidad de la persona al goce de su identidad, es decir al reconocimiento del propio sexo, sentido y vivido.</w:t>
      </w:r>
    </w:p>
    <w:p w14:paraId="645B27E2"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Ciertamente los nuevos conocimientos científicos y nuevas aplicaciones tecnológicas biomédicas ponen en discusión el paradigma del determinismo biológico</w:t>
      </w:r>
      <w:r w:rsidRPr="00792B12">
        <w:rPr>
          <w:rFonts w:ascii="Arial" w:hAnsi="Arial" w:cs="Arial"/>
          <w:color w:val="000000"/>
          <w:vertAlign w:val="superscript"/>
        </w:rPr>
        <w:footnoteReference w:id="92"/>
      </w:r>
      <w:r w:rsidRPr="00792B12">
        <w:rPr>
          <w:rFonts w:ascii="Arial" w:hAnsi="Arial" w:cs="Arial"/>
          <w:color w:val="000000"/>
        </w:rPr>
        <w:t xml:space="preserve">, según el cual la identidad sexual de la persona coincide con el sexo biológico del nacimiento. Efectivamente, de acuerdo con estos estudios la identidad sexual nos es reconducible exclusivamente al factor físico </w:t>
      </w:r>
      <w:proofErr w:type="spellStart"/>
      <w:r w:rsidRPr="00792B12">
        <w:rPr>
          <w:rFonts w:ascii="Arial" w:hAnsi="Arial" w:cs="Arial"/>
          <w:color w:val="000000"/>
        </w:rPr>
        <w:t>pre-social</w:t>
      </w:r>
      <w:proofErr w:type="spellEnd"/>
      <w:r w:rsidRPr="00792B12">
        <w:rPr>
          <w:rFonts w:ascii="Arial" w:hAnsi="Arial" w:cs="Arial"/>
          <w:color w:val="000000"/>
        </w:rPr>
        <w:t xml:space="preserve"> </w:t>
      </w:r>
      <w:proofErr w:type="spellStart"/>
      <w:r w:rsidRPr="00792B12">
        <w:rPr>
          <w:rFonts w:ascii="Arial" w:hAnsi="Arial" w:cs="Arial"/>
          <w:color w:val="000000"/>
        </w:rPr>
        <w:t>pre-cultural</w:t>
      </w:r>
      <w:proofErr w:type="spellEnd"/>
      <w:r w:rsidRPr="00792B12">
        <w:rPr>
          <w:rFonts w:ascii="Arial" w:hAnsi="Arial" w:cs="Arial"/>
          <w:color w:val="000000"/>
        </w:rPr>
        <w:t xml:space="preserve"> (como sostiene el determinismo biológico). </w:t>
      </w:r>
    </w:p>
    <w:p w14:paraId="1815FC6B"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La identidad sexual se presenta, como ha expresado lucidamente Stefano </w:t>
      </w:r>
      <w:proofErr w:type="spellStart"/>
      <w:r w:rsidRPr="00792B12">
        <w:rPr>
          <w:rFonts w:ascii="Arial" w:hAnsi="Arial" w:cs="Arial"/>
          <w:color w:val="000000"/>
        </w:rPr>
        <w:t>Rodotà</w:t>
      </w:r>
      <w:proofErr w:type="spellEnd"/>
      <w:r w:rsidRPr="00792B12">
        <w:rPr>
          <w:rFonts w:ascii="Arial" w:hAnsi="Arial" w:cs="Arial"/>
          <w:color w:val="000000"/>
          <w:vertAlign w:val="superscript"/>
        </w:rPr>
        <w:footnoteReference w:id="93"/>
      </w:r>
      <w:r w:rsidRPr="00792B12">
        <w:rPr>
          <w:rFonts w:ascii="Arial" w:hAnsi="Arial" w:cs="Arial"/>
          <w:color w:val="000000"/>
        </w:rPr>
        <w:t xml:space="preserve">, entre el derecho a la libertad sexual, que pertenece, en primer lugar, a la </w:t>
      </w:r>
      <w:r w:rsidRPr="00792B12">
        <w:rPr>
          <w:rFonts w:ascii="Arial" w:hAnsi="Arial" w:cs="Arial"/>
          <w:color w:val="000000"/>
        </w:rPr>
        <w:lastRenderedPageBreak/>
        <w:t>libertad de elección, a la autodeterminación y el reconocimiento de la orientación sexual, como búsqueda de identidad y expresión de sí mismo, como manifestación de la identidad y modalidades de explicación de fundamentales intereses y necesidades de la persona.</w:t>
      </w:r>
    </w:p>
    <w:p w14:paraId="1E815D41"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El derecho a la identidad personal es ciertamente uno de los derechos fundamentales de la persona, así como uno de los debatidos y complejos que integran la identidad personal</w:t>
      </w:r>
      <w:r w:rsidRPr="00792B12">
        <w:rPr>
          <w:rFonts w:ascii="Arial" w:hAnsi="Arial" w:cs="Arial"/>
          <w:color w:val="000000"/>
          <w:vertAlign w:val="superscript"/>
        </w:rPr>
        <w:footnoteReference w:id="94"/>
      </w:r>
      <w:r w:rsidRPr="00792B12">
        <w:rPr>
          <w:rFonts w:ascii="Arial" w:hAnsi="Arial" w:cs="Arial"/>
          <w:color w:val="000000"/>
        </w:rPr>
        <w:t xml:space="preserve">. </w:t>
      </w:r>
    </w:p>
    <w:p w14:paraId="63E34BEC"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En efecto, la identidad sexual se encuentra en estrecha vinculación con una pluralidad de derechos, como son los concernientes al libre desarrollo de la personalidad, a la tutela jurídica de la salud, a la protección de la integridad psicosomática y con el que se contrae a los actos de disposición del propio cuerpo de la persona</w:t>
      </w:r>
      <w:r w:rsidRPr="00792B12">
        <w:rPr>
          <w:rFonts w:ascii="Arial" w:hAnsi="Arial" w:cs="Arial"/>
          <w:color w:val="000000"/>
          <w:vertAlign w:val="superscript"/>
        </w:rPr>
        <w:footnoteReference w:id="95"/>
      </w:r>
      <w:r w:rsidRPr="00792B12">
        <w:rPr>
          <w:rFonts w:ascii="Arial" w:hAnsi="Arial" w:cs="Arial"/>
          <w:color w:val="000000"/>
        </w:rPr>
        <w:t xml:space="preserve">. Se presenta como elemento de la identidad persona por cuanto la sexualidad se halla en todas sus manifestaciones. </w:t>
      </w:r>
    </w:p>
    <w:p w14:paraId="21E47740"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Se le considera una dimensión del ejercicio de la libertad de la persona. La pertenencia a un sexo caracteriza, individualiza la existencia del sujeto desde su nacimiento, determinando la primera etapa de la vida de relación social</w:t>
      </w:r>
      <w:r w:rsidRPr="00792B12">
        <w:rPr>
          <w:rFonts w:ascii="Arial" w:hAnsi="Arial" w:cs="Arial"/>
          <w:color w:val="000000"/>
          <w:vertAlign w:val="superscript"/>
        </w:rPr>
        <w:footnoteReference w:id="96"/>
      </w:r>
      <w:r w:rsidRPr="00792B12">
        <w:rPr>
          <w:rFonts w:ascii="Arial" w:hAnsi="Arial" w:cs="Arial"/>
          <w:color w:val="000000"/>
        </w:rPr>
        <w:t>.</w:t>
      </w:r>
    </w:p>
    <w:p w14:paraId="54BF95E9"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El sexo tiene dos vertientes, como hemos visto anteriormente, que en determinados casos entrar en conflicto, posibilitando situaciones angustiosas existenciales a la persona. De un lado, el sexo </w:t>
      </w:r>
      <w:r w:rsidRPr="00792B12">
        <w:rPr>
          <w:rFonts w:ascii="Arial" w:hAnsi="Arial" w:cs="Arial"/>
          <w:i/>
          <w:color w:val="000000"/>
        </w:rPr>
        <w:t>visto estáticamente</w:t>
      </w:r>
      <w:r w:rsidRPr="00792B12">
        <w:rPr>
          <w:rFonts w:ascii="Arial" w:hAnsi="Arial" w:cs="Arial"/>
          <w:color w:val="000000"/>
        </w:rPr>
        <w:t>, como elemento inmutable, a esto pertenece el sexo cromosómico. El sexo se identifica, salvo algunas excepciones, por sus caracteres fisiológicos y anatómicos, por su externa morfología. El sexo estático es el que cada persona nace y muere, bajo el cual el sujeto es inscrito, generalmente, en los registros del estado civil. El sexo estático no es modificable. Evidentemente sobre este tipo de sexo no puede hacerse referencia a un “cambio de sexo” sino a una adecuación de la morfología genital y a un consiguiente cambio de prenombre.</w:t>
      </w:r>
    </w:p>
    <w:p w14:paraId="54E6E64F"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lastRenderedPageBreak/>
        <w:t>En cambio, el sexo dinámico, que concerniente a la personalidad misma de la persona, corresponde a la actitud y comportamiento psicosocial, a sus modales y hábitos, a su manera de vivir y sentir. Generalmente estos caracteres son coincidentes con el sexo biológico. No obstante, existen excepciones como son los casos de intersexualidad (pseudohermafroditismo o hermafroditismo) y aquellos en los que se evidencia elocuentemente la disociación entre las dos vertientes de la sexualidad, vale decir, entre la cromosómica o biológica y la psicosocial. Es aquí donde se encuentra el denominado “transexual”.</w:t>
      </w:r>
    </w:p>
    <w:p w14:paraId="391E364C"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Como bien señalaba el médico alemán Harry </w:t>
      </w:r>
      <w:proofErr w:type="spellStart"/>
      <w:r w:rsidRPr="00792B12">
        <w:rPr>
          <w:rFonts w:ascii="Arial" w:hAnsi="Arial" w:cs="Arial"/>
          <w:color w:val="000000"/>
        </w:rPr>
        <w:t>Benjamin</w:t>
      </w:r>
      <w:proofErr w:type="spellEnd"/>
      <w:r w:rsidRPr="00792B12">
        <w:rPr>
          <w:rFonts w:ascii="Arial" w:hAnsi="Arial" w:cs="Arial"/>
          <w:color w:val="000000"/>
          <w:vertAlign w:val="superscript"/>
        </w:rPr>
        <w:footnoteReference w:id="97"/>
      </w:r>
      <w:r w:rsidRPr="00792B12">
        <w:rPr>
          <w:rFonts w:ascii="Arial" w:hAnsi="Arial" w:cs="Arial"/>
          <w:color w:val="000000"/>
        </w:rPr>
        <w:t xml:space="preserve"> (12 de enero de 1885 – 24 de agosto de 1986), uno de los mayores estudiosos del fenómeno del transexualismo, que con el progreso de los estudios biológicos y, especialmente, genéticos, los conceptos de “varón” y “mujer” han devenido en inciertos, no estamos frente a una visión absoluta.</w:t>
      </w:r>
    </w:p>
    <w:p w14:paraId="5715D408" w14:textId="77777777" w:rsidR="0096481E" w:rsidRPr="00792B12" w:rsidRDefault="0096481E" w:rsidP="0096481E">
      <w:pPr>
        <w:tabs>
          <w:tab w:val="center" w:pos="9498"/>
        </w:tabs>
        <w:spacing w:after="240" w:line="360" w:lineRule="auto"/>
        <w:ind w:firstLine="425"/>
        <w:jc w:val="both"/>
        <w:rPr>
          <w:rFonts w:ascii="Arial" w:hAnsi="Arial" w:cs="Arial"/>
          <w:color w:val="000000"/>
        </w:rPr>
      </w:pPr>
      <w:r w:rsidRPr="00792B12">
        <w:rPr>
          <w:rFonts w:ascii="Arial" w:hAnsi="Arial" w:cs="Arial"/>
          <w:color w:val="000000"/>
        </w:rPr>
        <w:t>La distinción que frecuentemente se suele realizar entre el significado estricto que se otorga al concepto “sexo” y el que concierne a la noción “sexualidad”. Esta connotación se ubica dentro de una perspectiva que considera todo lo referente al tema del sexo un hecho complejo, en el que se integran, confluyen e interactúan diversos componentes. Se hace referencia tanto a los factores de orden biológico, psicológicos o de naturaleza jurídico-social. La sexualidad se encuentre en todas las manifestaciones de la persona.</w:t>
      </w:r>
    </w:p>
    <w:p w14:paraId="7B740940" w14:textId="77777777" w:rsidR="0096481E" w:rsidRPr="00792B12" w:rsidRDefault="0096481E" w:rsidP="0096481E">
      <w:pPr>
        <w:tabs>
          <w:tab w:val="center" w:pos="9498"/>
        </w:tabs>
        <w:spacing w:after="240" w:line="360" w:lineRule="auto"/>
        <w:contextualSpacing/>
        <w:jc w:val="both"/>
        <w:rPr>
          <w:rFonts w:ascii="Arial" w:hAnsi="Arial" w:cs="Arial"/>
          <w:b/>
          <w:color w:val="000000"/>
        </w:rPr>
      </w:pPr>
      <w:r w:rsidRPr="00792B12">
        <w:rPr>
          <w:rFonts w:ascii="Arial" w:hAnsi="Arial" w:cs="Arial"/>
          <w:b/>
          <w:color w:val="000000"/>
        </w:rPr>
        <w:t>2.- La necesaria distinción entre género y sexo</w:t>
      </w:r>
    </w:p>
    <w:p w14:paraId="2D93CDFE"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Al afrontar el tema de la identidad sexual, es necesario, como planteaba Carlos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98"/>
      </w:r>
      <w:r w:rsidRPr="00792B12">
        <w:rPr>
          <w:rFonts w:ascii="Arial" w:hAnsi="Arial" w:cs="Arial"/>
          <w:color w:val="000000"/>
        </w:rPr>
        <w:t>, una distinción entre los términos “</w:t>
      </w:r>
      <w:r w:rsidRPr="00792B12">
        <w:rPr>
          <w:rFonts w:ascii="Arial" w:hAnsi="Arial" w:cs="Arial"/>
          <w:i/>
          <w:color w:val="000000"/>
        </w:rPr>
        <w:t>sexo</w:t>
      </w:r>
      <w:r w:rsidRPr="00792B12">
        <w:rPr>
          <w:rFonts w:ascii="Arial" w:hAnsi="Arial" w:cs="Arial"/>
          <w:color w:val="000000"/>
        </w:rPr>
        <w:t>” y “</w:t>
      </w:r>
      <w:r w:rsidRPr="00792B12">
        <w:rPr>
          <w:rFonts w:ascii="Arial" w:hAnsi="Arial" w:cs="Arial"/>
          <w:i/>
          <w:color w:val="000000"/>
        </w:rPr>
        <w:t>género</w:t>
      </w:r>
      <w:r w:rsidRPr="00792B12">
        <w:rPr>
          <w:rFonts w:ascii="Arial" w:hAnsi="Arial" w:cs="Arial"/>
          <w:color w:val="000000"/>
        </w:rPr>
        <w:t>”. Esta distinción se ubica dentro de una perspectiva que estima al sexo como un hecho complejo, en el que confluyen elementos diversos. Los especialistas de este fenómeno hacen referencia a una pléyade de factores como los psicológicos, biológicos o de naturaleza jurídica-social.</w:t>
      </w:r>
    </w:p>
    <w:p w14:paraId="1A5258ED"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lastRenderedPageBreak/>
        <w:t xml:space="preserve">De acuerdo a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99"/>
      </w:r>
      <w:r w:rsidRPr="00792B12">
        <w:rPr>
          <w:rFonts w:ascii="Arial" w:hAnsi="Arial" w:cs="Arial"/>
          <w:color w:val="000000"/>
        </w:rPr>
        <w:t>, estos elementos se presentan vinculados estrechamente, por lo que se suele recurrir a la expresión “</w:t>
      </w:r>
      <w:r w:rsidRPr="00792B12">
        <w:rPr>
          <w:rFonts w:ascii="Arial" w:hAnsi="Arial" w:cs="Arial"/>
          <w:i/>
          <w:color w:val="000000"/>
        </w:rPr>
        <w:t>sexo</w:t>
      </w:r>
      <w:r w:rsidRPr="00792B12">
        <w:rPr>
          <w:rFonts w:ascii="Arial" w:hAnsi="Arial" w:cs="Arial"/>
          <w:color w:val="000000"/>
        </w:rPr>
        <w:t>” para expresar las características fisiológicas y anatómicas, mientras que el término “</w:t>
      </w:r>
      <w:r w:rsidRPr="00792B12">
        <w:rPr>
          <w:rFonts w:ascii="Arial" w:hAnsi="Arial" w:cs="Arial"/>
          <w:i/>
          <w:color w:val="000000"/>
        </w:rPr>
        <w:t>género</w:t>
      </w:r>
      <w:r w:rsidRPr="00792B12">
        <w:rPr>
          <w:rFonts w:ascii="Arial" w:hAnsi="Arial" w:cs="Arial"/>
          <w:color w:val="000000"/>
        </w:rPr>
        <w:t>” se le otorga un contenido conceptualmente más amplio, dentro del cual se comprende todo lo que es innato y de adquirido se encuentra la sexualidad humana y, principalmente, el momento psicológico y cultural</w:t>
      </w:r>
      <w:r w:rsidRPr="00792B12">
        <w:rPr>
          <w:rFonts w:ascii="Arial" w:hAnsi="Arial" w:cs="Arial"/>
          <w:color w:val="000000"/>
          <w:vertAlign w:val="superscript"/>
        </w:rPr>
        <w:footnoteReference w:id="100"/>
      </w:r>
      <w:r w:rsidRPr="00792B12">
        <w:rPr>
          <w:rFonts w:ascii="Arial" w:hAnsi="Arial" w:cs="Arial"/>
          <w:color w:val="000000"/>
        </w:rPr>
        <w:t>.</w:t>
      </w:r>
    </w:p>
    <w:p w14:paraId="642A32CB"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Otro aspecto que llama la atención es la contraposición de lo que es estrictamente de orden “genital” frente a lo que se concreta con la expresión “sexualidad”</w:t>
      </w:r>
      <w:r w:rsidRPr="00792B12">
        <w:rPr>
          <w:rFonts w:ascii="Arial" w:hAnsi="Arial" w:cs="Arial"/>
          <w:color w:val="000000"/>
          <w:vertAlign w:val="superscript"/>
        </w:rPr>
        <w:footnoteReference w:id="101"/>
      </w:r>
      <w:r w:rsidRPr="00792B12">
        <w:rPr>
          <w:rFonts w:ascii="Arial" w:hAnsi="Arial" w:cs="Arial"/>
          <w:color w:val="000000"/>
        </w:rPr>
        <w:t>. En el primer aspecto se hace mención a la anatomía funcional del aparato genital, mientras que a la “sexualidad” se le atribuye un más vasto contenido en tanto comprende todas las manifestaciones del instinto sexual y todas las normas jurídicas, sociales y religiosas que lo regulan y castigan</w:t>
      </w:r>
      <w:r w:rsidRPr="00792B12">
        <w:rPr>
          <w:rFonts w:ascii="Arial" w:hAnsi="Arial" w:cs="Arial"/>
          <w:color w:val="000000"/>
          <w:vertAlign w:val="superscript"/>
        </w:rPr>
        <w:footnoteReference w:id="102"/>
      </w:r>
      <w:r w:rsidRPr="00792B12">
        <w:rPr>
          <w:rFonts w:ascii="Arial" w:hAnsi="Arial" w:cs="Arial"/>
          <w:color w:val="000000"/>
        </w:rPr>
        <w:t>.</w:t>
      </w:r>
    </w:p>
    <w:p w14:paraId="41EB8683"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Ciertamente lo genital no se agota en el aspecto biológico, la sexualidad, aparte de contenerlo, tiene interferencias con diversos órganos, con funciones extraordinariamente diversas dentro de ellos, con distintas disciplinas médicas</w:t>
      </w:r>
      <w:r w:rsidRPr="00792B12">
        <w:rPr>
          <w:rFonts w:ascii="Arial" w:hAnsi="Arial" w:cs="Arial"/>
          <w:color w:val="000000"/>
          <w:vertAlign w:val="superscript"/>
        </w:rPr>
        <w:footnoteReference w:id="103"/>
      </w:r>
      <w:r w:rsidRPr="00792B12">
        <w:rPr>
          <w:rFonts w:ascii="Arial" w:hAnsi="Arial" w:cs="Arial"/>
          <w:color w:val="000000"/>
        </w:rPr>
        <w:t>.</w:t>
      </w:r>
    </w:p>
    <w:p w14:paraId="03943798" w14:textId="77777777" w:rsidR="0096481E" w:rsidRPr="00792B12" w:rsidRDefault="0096481E" w:rsidP="0096481E">
      <w:pPr>
        <w:tabs>
          <w:tab w:val="center" w:pos="9498"/>
        </w:tabs>
        <w:spacing w:after="240" w:line="360" w:lineRule="auto"/>
        <w:contextualSpacing/>
        <w:jc w:val="both"/>
        <w:rPr>
          <w:rFonts w:ascii="Arial" w:hAnsi="Arial" w:cs="Arial"/>
          <w:b/>
          <w:color w:val="000000"/>
        </w:rPr>
      </w:pPr>
      <w:r w:rsidRPr="00792B12">
        <w:rPr>
          <w:rFonts w:ascii="Arial" w:hAnsi="Arial" w:cs="Arial"/>
          <w:b/>
          <w:color w:val="000000"/>
        </w:rPr>
        <w:t>3.- Elementos de la sexualidad</w:t>
      </w:r>
    </w:p>
    <w:p w14:paraId="68257A30" w14:textId="77777777" w:rsidR="0096481E" w:rsidRPr="00792B12" w:rsidRDefault="0096481E" w:rsidP="0096481E">
      <w:pPr>
        <w:tabs>
          <w:tab w:val="center" w:pos="9498"/>
        </w:tabs>
        <w:spacing w:after="240" w:line="360" w:lineRule="auto"/>
        <w:ind w:firstLine="425"/>
        <w:jc w:val="both"/>
        <w:rPr>
          <w:rFonts w:ascii="Arial" w:hAnsi="Arial" w:cs="Arial"/>
          <w:color w:val="000000"/>
        </w:rPr>
      </w:pPr>
      <w:r w:rsidRPr="00792B12">
        <w:rPr>
          <w:rFonts w:ascii="Arial" w:hAnsi="Arial" w:cs="Arial"/>
          <w:color w:val="000000"/>
        </w:rPr>
        <w:t xml:space="preserve">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04"/>
      </w:r>
      <w:r w:rsidRPr="00792B12">
        <w:rPr>
          <w:rFonts w:ascii="Arial" w:hAnsi="Arial" w:cs="Arial"/>
          <w:color w:val="000000"/>
        </w:rPr>
        <w:t>, en la experiencia jurídica peruana, siguiendo los estudios de los especialistas dedicados a la sexualidad humana, identifica sus siguientes elementos:</w:t>
      </w:r>
    </w:p>
    <w:p w14:paraId="00CD7795" w14:textId="77777777" w:rsidR="0096481E" w:rsidRPr="00792B12" w:rsidRDefault="0096481E" w:rsidP="0096481E">
      <w:pPr>
        <w:tabs>
          <w:tab w:val="center" w:pos="9498"/>
        </w:tabs>
        <w:spacing w:after="240" w:line="360" w:lineRule="auto"/>
        <w:jc w:val="both"/>
        <w:rPr>
          <w:rFonts w:ascii="Arial" w:hAnsi="Arial" w:cs="Arial"/>
          <w:color w:val="000000"/>
        </w:rPr>
      </w:pPr>
      <w:r w:rsidRPr="00792B12">
        <w:rPr>
          <w:rFonts w:ascii="Arial" w:hAnsi="Arial" w:cs="Arial"/>
          <w:color w:val="000000"/>
        </w:rPr>
        <w:lastRenderedPageBreak/>
        <w:t>a) El dato cromosómico, que se encuentra constituido por el patrimonio celular heredado en el instante de la concepción y que consiste en 23 pares de cromosomas, de los cuales 22 son comunes a ambos sexos, siendo uno diferente, “y” y “x”, que es inmodificable.</w:t>
      </w:r>
    </w:p>
    <w:p w14:paraId="65713112" w14:textId="77777777" w:rsidR="0096481E" w:rsidRPr="00792B12" w:rsidRDefault="0096481E" w:rsidP="0096481E">
      <w:pPr>
        <w:tabs>
          <w:tab w:val="center" w:pos="9498"/>
        </w:tabs>
        <w:spacing w:after="240" w:line="360" w:lineRule="auto"/>
        <w:jc w:val="both"/>
        <w:rPr>
          <w:rFonts w:ascii="Arial" w:hAnsi="Arial" w:cs="Arial"/>
          <w:color w:val="000000"/>
        </w:rPr>
      </w:pPr>
      <w:r w:rsidRPr="00792B12">
        <w:rPr>
          <w:rFonts w:ascii="Arial" w:hAnsi="Arial" w:cs="Arial"/>
          <w:color w:val="000000"/>
        </w:rPr>
        <w:t>b) El dato cromosómico condiciona los caracteres gonádicos, representados por los ovarios y por los testículos, dependiendo del sexo. Ellos determinan los caracteres sexuales hormonales y genitales.</w:t>
      </w:r>
    </w:p>
    <w:p w14:paraId="4274643E" w14:textId="77777777" w:rsidR="0096481E" w:rsidRPr="00792B12" w:rsidRDefault="0096481E" w:rsidP="0096481E">
      <w:pPr>
        <w:tabs>
          <w:tab w:val="center" w:pos="9498"/>
        </w:tabs>
        <w:spacing w:after="240" w:line="360" w:lineRule="auto"/>
        <w:jc w:val="both"/>
        <w:rPr>
          <w:rFonts w:ascii="Arial" w:hAnsi="Arial" w:cs="Arial"/>
          <w:color w:val="000000"/>
        </w:rPr>
      </w:pPr>
      <w:r w:rsidRPr="00792B12">
        <w:rPr>
          <w:rFonts w:ascii="Arial" w:hAnsi="Arial" w:cs="Arial"/>
          <w:color w:val="000000"/>
        </w:rPr>
        <w:t>c) Los caracteres hormonales, condicionados por la actividad endocrina de específicos órganos anatómicos que primarios que presentan elementos prevalentemente masculinos (testosterona) o femeninos (estrógenos).</w:t>
      </w:r>
    </w:p>
    <w:p w14:paraId="063688A0" w14:textId="77777777" w:rsidR="0096481E" w:rsidRPr="00792B12" w:rsidRDefault="0096481E" w:rsidP="0096481E">
      <w:pPr>
        <w:tabs>
          <w:tab w:val="center" w:pos="9498"/>
        </w:tabs>
        <w:spacing w:after="240" w:line="360" w:lineRule="auto"/>
        <w:jc w:val="both"/>
        <w:rPr>
          <w:rFonts w:ascii="Arial" w:hAnsi="Arial" w:cs="Arial"/>
          <w:color w:val="000000"/>
        </w:rPr>
      </w:pPr>
      <w:r w:rsidRPr="00792B12">
        <w:rPr>
          <w:rFonts w:ascii="Arial" w:hAnsi="Arial" w:cs="Arial"/>
          <w:color w:val="000000"/>
        </w:rPr>
        <w:t>d) Elementos genitales o anatómicos primarios están representados por los caracteres somáticos externos, que permiten una primera diferenciación sexual que hace posible apreciar el sexo del recién nacido con la finalidad registral.</w:t>
      </w:r>
    </w:p>
    <w:p w14:paraId="75241D64" w14:textId="77777777" w:rsidR="0096481E" w:rsidRPr="00792B12" w:rsidRDefault="0096481E" w:rsidP="0096481E">
      <w:pPr>
        <w:tabs>
          <w:tab w:val="center" w:pos="9498"/>
        </w:tabs>
        <w:spacing w:after="240" w:line="360" w:lineRule="auto"/>
        <w:jc w:val="both"/>
        <w:rPr>
          <w:rFonts w:ascii="Arial" w:hAnsi="Arial" w:cs="Arial"/>
          <w:color w:val="000000"/>
        </w:rPr>
      </w:pPr>
      <w:r w:rsidRPr="00792B12">
        <w:rPr>
          <w:rFonts w:ascii="Arial" w:hAnsi="Arial" w:cs="Arial"/>
          <w:color w:val="000000"/>
        </w:rPr>
        <w:t>e) Elementos anatómicos, definidos como secundarios como el desarrollo pélvico o la distribución de la vellosidad. Estos elementos pueden ser modificados a través de determinados productos hormonales.</w:t>
      </w:r>
    </w:p>
    <w:p w14:paraId="0588792C" w14:textId="77777777" w:rsidR="0096481E" w:rsidRPr="00792B12" w:rsidRDefault="0096481E" w:rsidP="0096481E">
      <w:pPr>
        <w:tabs>
          <w:tab w:val="center" w:pos="9498"/>
        </w:tabs>
        <w:spacing w:after="240" w:line="360" w:lineRule="auto"/>
        <w:jc w:val="both"/>
        <w:rPr>
          <w:rFonts w:ascii="Arial" w:hAnsi="Arial" w:cs="Arial"/>
          <w:color w:val="000000"/>
        </w:rPr>
      </w:pPr>
      <w:r w:rsidRPr="00792B12">
        <w:rPr>
          <w:rFonts w:ascii="Arial" w:hAnsi="Arial" w:cs="Arial"/>
          <w:color w:val="000000"/>
        </w:rPr>
        <w:t xml:space="preserve">f) El elemento psicosocial, cuya importancia ha sido en las últimas décadas resaltada. </w:t>
      </w:r>
    </w:p>
    <w:p w14:paraId="2DB64C70" w14:textId="49F0DDD7" w:rsidR="0096481E" w:rsidRPr="00792B12" w:rsidRDefault="0096481E" w:rsidP="001B2B15">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Es necesario indicar que, dentro de la pléyade de variables referidas, el dato cromosómico es el único elemento de certeza para determinar desde un punto de vista biológico el sexo del sujeto, el cual es inmutable desde el instante de la concepción. </w:t>
      </w:r>
    </w:p>
    <w:p w14:paraId="459F3995" w14:textId="77777777" w:rsidR="0096481E" w:rsidRPr="00792B12" w:rsidRDefault="0096481E" w:rsidP="0096481E">
      <w:pPr>
        <w:tabs>
          <w:tab w:val="center" w:pos="9498"/>
        </w:tabs>
        <w:spacing w:after="240" w:line="360" w:lineRule="auto"/>
        <w:contextualSpacing/>
        <w:jc w:val="both"/>
        <w:rPr>
          <w:rFonts w:ascii="Arial" w:hAnsi="Arial" w:cs="Arial"/>
          <w:b/>
          <w:color w:val="000000"/>
        </w:rPr>
      </w:pPr>
      <w:r w:rsidRPr="00792B12">
        <w:rPr>
          <w:rFonts w:ascii="Arial" w:hAnsi="Arial" w:cs="Arial"/>
          <w:b/>
          <w:color w:val="000000"/>
        </w:rPr>
        <w:t>4.- La complejidad de la sexualidad</w:t>
      </w:r>
    </w:p>
    <w:p w14:paraId="0870DB41"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El sexo es un problema complejo, dentro de la rica personalidad humana. El sexo, o más precisamente el género, se presenta como un hecho en el cual se integran e interactúan diversos elementos estrechamente relacionados en un delicado engranaje, que aún falta mucho por conocer</w:t>
      </w:r>
      <w:r w:rsidRPr="00792B12">
        <w:rPr>
          <w:rFonts w:ascii="Arial" w:hAnsi="Arial" w:cs="Arial"/>
          <w:color w:val="000000"/>
          <w:vertAlign w:val="superscript"/>
        </w:rPr>
        <w:footnoteReference w:id="105"/>
      </w:r>
      <w:r w:rsidRPr="00792B12">
        <w:rPr>
          <w:rFonts w:ascii="Arial" w:hAnsi="Arial" w:cs="Arial"/>
          <w:color w:val="000000"/>
        </w:rPr>
        <w:t xml:space="preserve">. </w:t>
      </w:r>
    </w:p>
    <w:p w14:paraId="6C980315"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Así que, a lado del factor representado por lo biológico, deben tenerse en consideración otros elementos como son aquellos constituidos por la vertiente psicológica y por el perfil jurídico-social. Los estudiosos sobre el tema suelen discutir </w:t>
      </w:r>
      <w:r w:rsidRPr="00792B12">
        <w:rPr>
          <w:rFonts w:ascii="Arial" w:hAnsi="Arial" w:cs="Arial"/>
          <w:color w:val="000000"/>
        </w:rPr>
        <w:lastRenderedPageBreak/>
        <w:t>sobre el sexo morfológico, el cromosómico, el gonádico, el psicológico, el social y el jurídico.</w:t>
      </w:r>
    </w:p>
    <w:p w14:paraId="1EBB3EDB"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Los estudios sobre la sexualidad, como anota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06"/>
      </w:r>
      <w:r w:rsidRPr="00792B12">
        <w:rPr>
          <w:rFonts w:ascii="Arial" w:hAnsi="Arial" w:cs="Arial"/>
          <w:color w:val="000000"/>
        </w:rPr>
        <w:t>, han permitido tomar conciencia de lo complejo que es el aspecto del género y la sexualidad en general. La cuestión se acentúa cuando se pretende señalar, dentro los señalados elementos que componen el sexo, aquél que podría ser prevalente, y hasta determinante, en lo que respecta a su constitución.</w:t>
      </w:r>
    </w:p>
    <w:p w14:paraId="106725B6"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La armoniosa conjunción y concordancia de tan diversos elementos resulta ser presupuesto o condición indispensable para el equilibrio sexual de la persona. En efecto, ello depende de una constante convergencia de estos factores o elementos constitutivos del sexo, debido a que un desigual de los mismos ocasionaría situaciones que se alejarían de lo que podría considerarse como un estado sexual falto de anomalías.</w:t>
      </w:r>
    </w:p>
    <w:p w14:paraId="601E7BE6"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Lo ideal sería que, afirma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07"/>
      </w:r>
      <w:r w:rsidRPr="00792B12">
        <w:rPr>
          <w:rFonts w:ascii="Arial" w:hAnsi="Arial" w:cs="Arial"/>
          <w:color w:val="000000"/>
        </w:rPr>
        <w:t>, la equilibrada asociación de los referidos elementos, dentro de una delicada y armoniosa integración en la que cada uno de ellos cumple su rol. Las cuestiones en torno a la incertidumbre en cuanto a la identidad sexual emergen cuando se manifiesta una ausencia de armonía entre los diversos perfiles que definen integralmente al sexo. Por ello una evidente disociación en la que se advierte una serie perturbación de la personalidad que atormenta al sujeto y que debería ser tratada y corregida de la forma más adecuada.</w:t>
      </w:r>
    </w:p>
    <w:p w14:paraId="0C841D05"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 Los elementos que conforman el sexo, que hemos ya tratado, no son estables, por lo que debería descartarse una perspectiva estática o inmutable de la sexualidad. No debe olvidarse que la persona se encuentra en constancia evolución. Siguiendo a Pietro </w:t>
      </w:r>
      <w:proofErr w:type="spellStart"/>
      <w:r w:rsidRPr="00792B12">
        <w:rPr>
          <w:rFonts w:ascii="Arial" w:hAnsi="Arial" w:cs="Arial"/>
          <w:color w:val="000000"/>
        </w:rPr>
        <w:t>Perlingieri</w:t>
      </w:r>
      <w:proofErr w:type="spellEnd"/>
      <w:r w:rsidRPr="00792B12">
        <w:rPr>
          <w:rFonts w:ascii="Arial" w:hAnsi="Arial" w:cs="Arial"/>
          <w:color w:val="000000"/>
          <w:vertAlign w:val="superscript"/>
        </w:rPr>
        <w:footnoteReference w:id="108"/>
      </w:r>
      <w:r w:rsidRPr="00792B12">
        <w:rPr>
          <w:rFonts w:ascii="Arial" w:hAnsi="Arial" w:cs="Arial"/>
          <w:color w:val="000000"/>
        </w:rPr>
        <w:t>, carece de validez el planteamiento que considera al género como un elemento inmutable de la persona, que se adquiere jurídicamente y para siempre con la inscripción en el registro de estado civil.</w:t>
      </w:r>
    </w:p>
    <w:p w14:paraId="435A02F6"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lastRenderedPageBreak/>
        <w:t>La multiplicidad de elementos que se presentan en la conformación del género y que constituyen la sexualidad humana, pueden ocasionar discordancias entre alguno o algunos de ellos. Esta indeseable hipótesis nos ubica en la compleja coyuntura de inquirir, tanto en el plano médico como en el jurídico y en el de la vida de relación social, sobre el cuál de los mencionados elementos conformantes del género es el que prevalecería para el efecto de la determinación del sexo de la persona.</w:t>
      </w:r>
    </w:p>
    <w:p w14:paraId="6F306F68" w14:textId="77777777"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Como afirma bien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09"/>
      </w:r>
      <w:r w:rsidRPr="00792B12">
        <w:rPr>
          <w:rFonts w:ascii="Arial" w:hAnsi="Arial" w:cs="Arial"/>
          <w:color w:val="000000"/>
        </w:rPr>
        <w:t xml:space="preserve">, la solución del problema no es pacífica si se le enfoca desde el planteamiento médico-científico. No lo es tampoco si nos ubicamos en el ámbito jurídico. Para lo jurídico, de acuerdo a Pietro </w:t>
      </w:r>
      <w:proofErr w:type="spellStart"/>
      <w:r w:rsidRPr="00792B12">
        <w:rPr>
          <w:rFonts w:ascii="Arial" w:hAnsi="Arial" w:cs="Arial"/>
          <w:color w:val="000000"/>
        </w:rPr>
        <w:t>Perlingieri</w:t>
      </w:r>
      <w:proofErr w:type="spellEnd"/>
      <w:r w:rsidRPr="00792B12">
        <w:rPr>
          <w:rFonts w:ascii="Arial" w:hAnsi="Arial" w:cs="Arial"/>
          <w:color w:val="000000"/>
          <w:vertAlign w:val="superscript"/>
        </w:rPr>
        <w:footnoteReference w:id="110"/>
      </w:r>
      <w:r w:rsidRPr="00792B12">
        <w:rPr>
          <w:rFonts w:ascii="Arial" w:hAnsi="Arial" w:cs="Arial"/>
          <w:color w:val="000000"/>
        </w:rPr>
        <w:t>, no es solo importante el sexo psicológico-social o el de carácter biológico, sino que no deben descartarse todos y cada uno de los perfiles que concurren a la delicada definición de lo que constituye el género al cual se adscribe la persona. Vale decir que algunos de ellos pueden tener ocasionalmente una mayor importancia para el Derecho. Sin embargo, es necesario señalar, como lo hace cierto sector de la doctrina italiana, que para la mayor parte de las hipótesis es el perfil psicológico, aún más el estructural y el biológico, el que prevalece como criterio calificante en esa disciplina.</w:t>
      </w:r>
    </w:p>
    <w:p w14:paraId="302ED308" w14:textId="77777777" w:rsidR="0096481E" w:rsidRPr="00792B12" w:rsidRDefault="0096481E" w:rsidP="0096481E">
      <w:pPr>
        <w:autoSpaceDE w:val="0"/>
        <w:autoSpaceDN w:val="0"/>
        <w:adjustRightInd w:val="0"/>
        <w:spacing w:after="240" w:line="360" w:lineRule="auto"/>
        <w:ind w:left="708"/>
        <w:jc w:val="both"/>
        <w:rPr>
          <w:rFonts w:ascii="Arial" w:hAnsi="Arial" w:cs="Arial"/>
          <w:b/>
          <w:bCs/>
          <w:lang w:eastAsia="it-IT"/>
        </w:rPr>
      </w:pPr>
      <w:r w:rsidRPr="00792B12">
        <w:rPr>
          <w:rFonts w:ascii="Arial" w:hAnsi="Arial" w:cs="Arial"/>
          <w:bCs/>
          <w:lang w:eastAsia="it-IT"/>
        </w:rPr>
        <w:br w:type="page"/>
      </w:r>
    </w:p>
    <w:p w14:paraId="0F62A344"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p>
    <w:p w14:paraId="561E1482"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Capítulo Cuarto</w:t>
      </w:r>
    </w:p>
    <w:p w14:paraId="5B05B0E4"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El fenómeno del transexualismo y el cambio de sexo frente al Derecho</w:t>
      </w:r>
    </w:p>
    <w:p w14:paraId="046009BA" w14:textId="77777777" w:rsidR="0096481E" w:rsidRPr="00792B12" w:rsidRDefault="0096481E" w:rsidP="0096481E">
      <w:pPr>
        <w:autoSpaceDE w:val="0"/>
        <w:autoSpaceDN w:val="0"/>
        <w:adjustRightInd w:val="0"/>
        <w:spacing w:after="240" w:line="360" w:lineRule="auto"/>
        <w:jc w:val="both"/>
        <w:rPr>
          <w:rFonts w:ascii="Arial" w:hAnsi="Arial" w:cs="Arial"/>
          <w:b/>
          <w:bCs/>
          <w:lang w:eastAsia="it-IT"/>
        </w:rPr>
      </w:pPr>
      <w:r w:rsidRPr="00792B12">
        <w:rPr>
          <w:rFonts w:ascii="Arial" w:hAnsi="Arial" w:cs="Arial"/>
          <w:b/>
          <w:bCs/>
          <w:lang w:eastAsia="it-IT"/>
        </w:rPr>
        <w:t>1.- El fenómeno social del transexualismo</w:t>
      </w:r>
    </w:p>
    <w:p w14:paraId="7361D173" w14:textId="6EB8EEF4" w:rsidR="0096481E" w:rsidRPr="00792B12" w:rsidRDefault="0096481E" w:rsidP="0096481E">
      <w:pPr>
        <w:tabs>
          <w:tab w:val="center" w:pos="9498"/>
        </w:tabs>
        <w:suppressAutoHyphens/>
        <w:autoSpaceDE w:val="0"/>
        <w:autoSpaceDN w:val="0"/>
        <w:adjustRightInd w:val="0"/>
        <w:spacing w:after="240" w:line="360" w:lineRule="auto"/>
        <w:ind w:firstLine="708"/>
        <w:jc w:val="both"/>
        <w:textAlignment w:val="center"/>
        <w:rPr>
          <w:rFonts w:ascii="Arial" w:hAnsi="Arial" w:cs="Arial"/>
          <w:color w:val="000000"/>
        </w:rPr>
      </w:pPr>
      <w:r w:rsidRPr="00792B12">
        <w:rPr>
          <w:rFonts w:ascii="Arial" w:hAnsi="Arial" w:cs="Arial"/>
          <w:color w:val="000000"/>
        </w:rPr>
        <w:t xml:space="preserve">El transexualismo no ha sido suficientemente estudiado por la ciencia médica, como anota bien Carlos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11"/>
      </w:r>
      <w:r w:rsidRPr="00792B12">
        <w:rPr>
          <w:rFonts w:ascii="Arial" w:hAnsi="Arial" w:cs="Arial"/>
          <w:color w:val="000000"/>
        </w:rPr>
        <w:t xml:space="preserve">. Se presentan todavía muchos lugares de penumbras, oscuridades, que no encuentran una respuesta. Para ciertos sectores la transexualidad aun es una patología, posición que ya empieza a ser abandonada, para otros es un dato congénito. Hasta no hace mucho tiempo los jueces no admitían las demandas y procesos dirigidos para conseguir la “reasignación de sexo” o “adecuación de sexo”, se evidencia recientemente una evolución, tanto en el campo de la doctrina como en la jurisprudencia, tendente a la admisión de dicha posibilidad y el consecuente cambio de prenombre en </w:t>
      </w:r>
      <w:r w:rsidR="001B2B15" w:rsidRPr="00792B12">
        <w:rPr>
          <w:rFonts w:ascii="Arial" w:hAnsi="Arial" w:cs="Arial"/>
          <w:color w:val="000000"/>
        </w:rPr>
        <w:t>el registro</w:t>
      </w:r>
      <w:r w:rsidRPr="00792B12">
        <w:rPr>
          <w:rFonts w:ascii="Arial" w:hAnsi="Arial" w:cs="Arial"/>
          <w:color w:val="000000"/>
        </w:rPr>
        <w:t xml:space="preserve"> de estado civil de las personas</w:t>
      </w:r>
      <w:r w:rsidRPr="00792B12">
        <w:rPr>
          <w:rFonts w:ascii="Arial" w:hAnsi="Arial" w:cs="Arial"/>
          <w:color w:val="000000"/>
          <w:vertAlign w:val="superscript"/>
        </w:rPr>
        <w:footnoteReference w:id="112"/>
      </w:r>
      <w:r w:rsidRPr="00792B12">
        <w:rPr>
          <w:rFonts w:ascii="Arial" w:hAnsi="Arial" w:cs="Arial"/>
          <w:color w:val="000000"/>
        </w:rPr>
        <w:t xml:space="preserve">. </w:t>
      </w:r>
    </w:p>
    <w:p w14:paraId="0AAD216A"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No obstante que el sexo no es algo definido, sino que se construye en el proceso existencial de la persona, como con mucha razón señalaba Harry </w:t>
      </w:r>
      <w:proofErr w:type="spellStart"/>
      <w:r w:rsidRPr="00792B12">
        <w:rPr>
          <w:rFonts w:ascii="Arial" w:hAnsi="Arial" w:cs="Arial"/>
          <w:color w:val="000000"/>
        </w:rPr>
        <w:t>Benjamin</w:t>
      </w:r>
      <w:proofErr w:type="spellEnd"/>
      <w:r w:rsidRPr="00792B12">
        <w:rPr>
          <w:rFonts w:ascii="Arial" w:hAnsi="Arial" w:cs="Arial"/>
          <w:color w:val="000000"/>
          <w:vertAlign w:val="superscript"/>
        </w:rPr>
        <w:footnoteReference w:id="113"/>
      </w:r>
      <w:r w:rsidRPr="00792B12">
        <w:rPr>
          <w:rFonts w:ascii="Arial" w:hAnsi="Arial" w:cs="Arial"/>
          <w:color w:val="000000"/>
        </w:rPr>
        <w:t xml:space="preserve"> (12 de enero de 1885 – 24 de agosto de 1986) el más notable estudioso del transexualismo en el siglo XX, muchos autores atribuyen al fenómeno del transexualismo a causas ambientales, familiares, de educación.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14"/>
      </w:r>
      <w:r w:rsidRPr="00792B12">
        <w:rPr>
          <w:rFonts w:ascii="Arial" w:hAnsi="Arial" w:cs="Arial"/>
          <w:color w:val="000000"/>
        </w:rPr>
        <w:t xml:space="preserve"> criticaba esta postura, respecto a considerar causas externas a la transexualidad, debido a que el fenómeno de la transexualidad aparece en el sujeto en las primeras etapas de la infancia, entre los dos y cuatro años. </w:t>
      </w:r>
    </w:p>
    <w:p w14:paraId="2EE7A412"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lastRenderedPageBreak/>
        <w:t xml:space="preserve">Como bien ha indicado el Prof. Fernández </w:t>
      </w:r>
      <w:proofErr w:type="spellStart"/>
      <w:r w:rsidRPr="00792B12">
        <w:rPr>
          <w:rFonts w:ascii="Arial" w:hAnsi="Arial" w:cs="Arial"/>
          <w:color w:val="000000"/>
        </w:rPr>
        <w:t>Sessarego</w:t>
      </w:r>
      <w:proofErr w:type="spellEnd"/>
      <w:r w:rsidRPr="00792B12">
        <w:rPr>
          <w:rFonts w:ascii="Arial" w:hAnsi="Arial" w:cs="Arial"/>
          <w:color w:val="000000"/>
        </w:rPr>
        <w:t>, se están produciendo investigaciones dirigidas a demostrar que la transexualidad tiene un origen biológico</w:t>
      </w:r>
      <w:r w:rsidRPr="00792B12">
        <w:rPr>
          <w:rFonts w:ascii="Arial" w:hAnsi="Arial" w:cs="Arial"/>
          <w:color w:val="000000"/>
          <w:vertAlign w:val="superscript"/>
        </w:rPr>
        <w:footnoteReference w:id="115"/>
      </w:r>
      <w:r w:rsidRPr="00792B12">
        <w:rPr>
          <w:rFonts w:ascii="Arial" w:hAnsi="Arial" w:cs="Arial"/>
          <w:color w:val="000000"/>
        </w:rPr>
        <w:t>. Probablemente se trate de un problema genético, no adquirido en el transcurso de la vida sino más bien congénito, siendo, por ende, aún no aclaradas las causas que conducen a este estado (sea orgánicas o inorgánicas)</w:t>
      </w:r>
      <w:r w:rsidRPr="00792B12">
        <w:rPr>
          <w:rFonts w:ascii="Arial" w:hAnsi="Arial" w:cs="Arial"/>
          <w:color w:val="000000"/>
          <w:vertAlign w:val="superscript"/>
        </w:rPr>
        <w:footnoteReference w:id="116"/>
      </w:r>
      <w:r w:rsidRPr="00792B12">
        <w:rPr>
          <w:rFonts w:ascii="Arial" w:hAnsi="Arial" w:cs="Arial"/>
          <w:color w:val="000000"/>
        </w:rPr>
        <w:t>, por lo que es necesario permitir a la persona recuperar las condiciones de armonía entre elementos internos y externos.</w:t>
      </w:r>
    </w:p>
    <w:p w14:paraId="078E01BC"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Se puede encontrar en la realidad comunitaria el fenómeno designado con la expresión "transexualismo" o “transexualidad”. Es considerada, por cierto sector de la doctrina italiana entre los que resaltan Pasquale </w:t>
      </w:r>
      <w:proofErr w:type="spellStart"/>
      <w:r w:rsidRPr="00792B12">
        <w:rPr>
          <w:rFonts w:ascii="Arial" w:hAnsi="Arial" w:cs="Arial"/>
          <w:color w:val="000000"/>
        </w:rPr>
        <w:t>Stanzione</w:t>
      </w:r>
      <w:proofErr w:type="spellEnd"/>
      <w:r w:rsidRPr="00792B12">
        <w:rPr>
          <w:rFonts w:ascii="Arial" w:hAnsi="Arial" w:cs="Arial"/>
          <w:color w:val="000000"/>
          <w:vertAlign w:val="superscript"/>
        </w:rPr>
        <w:footnoteReference w:id="117"/>
      </w:r>
      <w:r w:rsidRPr="00792B12">
        <w:rPr>
          <w:rFonts w:ascii="Arial" w:hAnsi="Arial" w:cs="Arial"/>
          <w:color w:val="000000"/>
        </w:rPr>
        <w:t xml:space="preserve">, como la situación por la cual la persona que nace con una determinada constitución física sexual siente pertenecer al sexo opuesto o deseado, teniendo la necesidad de someterse al cambio de sexo o a tratamientos estéticos y hormonales. Existe la dicotomía entre el sexo con el cual la persona es concebida y con el cual se encuentra inscrita en los registros públicos del estado civil y, por el otro, con el sexo que se manifiesta y se refleja en las vivencias y actitudes del sujeto, que se trasunta en su persona, el cual es opuesto al sexo biológico originario. Se considera, por ende, que el transexualismo constituye una desarmonía en la personal, que se manifiesta en la dicotomía entre el sexo físico y la percepción de género psico-social. Como ha anotado bien </w:t>
      </w:r>
      <w:proofErr w:type="spellStart"/>
      <w:r w:rsidRPr="00792B12">
        <w:rPr>
          <w:rFonts w:ascii="Arial" w:hAnsi="Arial" w:cs="Arial"/>
          <w:color w:val="000000"/>
        </w:rPr>
        <w:t>Stanzione</w:t>
      </w:r>
      <w:proofErr w:type="spellEnd"/>
      <w:r w:rsidRPr="00792B12">
        <w:rPr>
          <w:rFonts w:ascii="Arial" w:hAnsi="Arial" w:cs="Arial"/>
          <w:color w:val="000000"/>
          <w:vertAlign w:val="superscript"/>
        </w:rPr>
        <w:footnoteReference w:id="118"/>
      </w:r>
      <w:r w:rsidRPr="00792B12">
        <w:rPr>
          <w:rFonts w:ascii="Arial" w:hAnsi="Arial" w:cs="Arial"/>
          <w:color w:val="000000"/>
        </w:rPr>
        <w:t xml:space="preserve"> también la decisión del recurso a la quirúrgico que confluyen, de un lado, las aspiraciones y expectativas más altas de la persona y sus elecciones subjetivas, la valoración del interés objetivo del sujeto, de terceros y de colectividad social, por el otro.</w:t>
      </w:r>
    </w:p>
    <w:p w14:paraId="6DE54FCD"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Respecto al</w:t>
      </w:r>
      <w:r w:rsidRPr="00792B12">
        <w:rPr>
          <w:rFonts w:ascii="Arial" w:hAnsi="Arial" w:cs="Arial"/>
          <w:b/>
          <w:color w:val="000000"/>
        </w:rPr>
        <w:t xml:space="preserve"> </w:t>
      </w:r>
      <w:r w:rsidRPr="00792B12">
        <w:rPr>
          <w:rFonts w:ascii="Arial" w:hAnsi="Arial" w:cs="Arial"/>
          <w:color w:val="000000"/>
        </w:rPr>
        <w:t>término “transexualismo” no es antiguo, pero si la existencia del mismo</w:t>
      </w:r>
      <w:r w:rsidRPr="00792B12">
        <w:rPr>
          <w:rFonts w:ascii="Arial" w:hAnsi="Arial" w:cs="Arial"/>
          <w:color w:val="000000"/>
          <w:vertAlign w:val="superscript"/>
        </w:rPr>
        <w:footnoteReference w:id="119"/>
      </w:r>
      <w:r w:rsidRPr="00792B12">
        <w:rPr>
          <w:rFonts w:ascii="Arial" w:hAnsi="Arial" w:cs="Arial"/>
          <w:color w:val="000000"/>
        </w:rPr>
        <w:t xml:space="preserve">. Existen testimonios que datan de la época clásica, por lo que no es una </w:t>
      </w:r>
      <w:r w:rsidRPr="00792B12">
        <w:rPr>
          <w:rFonts w:ascii="Arial" w:hAnsi="Arial" w:cs="Arial"/>
          <w:color w:val="000000"/>
        </w:rPr>
        <w:lastRenderedPageBreak/>
        <w:t>expresión de nuestra cultura ni de los tiempos que vivimos</w:t>
      </w:r>
      <w:r w:rsidRPr="00792B12">
        <w:rPr>
          <w:rFonts w:ascii="Arial" w:hAnsi="Arial" w:cs="Arial"/>
          <w:color w:val="000000"/>
          <w:vertAlign w:val="superscript"/>
        </w:rPr>
        <w:footnoteReference w:id="120"/>
      </w:r>
      <w:r w:rsidRPr="00792B12">
        <w:rPr>
          <w:rFonts w:ascii="Arial" w:hAnsi="Arial" w:cs="Arial"/>
          <w:color w:val="000000"/>
        </w:rPr>
        <w:t>. El fenómeno alcanzó fama mundial a partir del famoso caso del soldado “Christine” Jorgensen</w:t>
      </w:r>
      <w:r w:rsidRPr="00792B12">
        <w:rPr>
          <w:rFonts w:ascii="Arial" w:hAnsi="Arial" w:cs="Arial"/>
          <w:color w:val="000000"/>
          <w:vertAlign w:val="superscript"/>
        </w:rPr>
        <w:footnoteReference w:id="121"/>
      </w:r>
      <w:r w:rsidRPr="00792B12">
        <w:rPr>
          <w:rFonts w:ascii="Arial" w:hAnsi="Arial" w:cs="Arial"/>
          <w:color w:val="000000"/>
        </w:rPr>
        <w:t>. El hecho fue divulgado en los medios de comunicación a nivel planetario, debido a que se trató de la primera intervención quirúrgica de “conversión” sexual llevada a cabo a comienzos de la década de los años cincuenta del siglo XX. Esta operación, de adecuación morfológica de los genitales o caracteres externos, fue descrita en las revistas científicas de ese tiempo.</w:t>
      </w:r>
    </w:p>
    <w:p w14:paraId="113368C2"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La transexualidad no se adquiere en el transcurso de la vida, sino que ella se hace evidente desde temprana edad. Los científicos que estudian el problema de la transexualidad afirman que el niño, entre los dos y los cuatro años, manifiesta abiertamente su transexualidad. El niño, siendo varón, gusta vestir como mujer, jugar con muñecas, compartir sus juegos con niñas, sus gestos y ademanes son definidamente femeninos. Al revés, siendo niña prefiere la compañía de varones y comparte con ellos los juegos propios de su sexo. El problema se agudiza al llegar la pubertad, etapa en la cual el adolescente adquiere mayor conciencia de su situación. El joven se siente sumido en un doble conflicto, de los cuales el primero tiene como ámbito el propio mundo interior de </w:t>
      </w:r>
      <w:smartTag w:uri="urn:schemas-microsoft-com:office:smarttags" w:element="PersonName">
        <w:smartTagPr>
          <w:attr w:name="ProductID" w:val="la persona. El"/>
        </w:smartTagPr>
        <w:r w:rsidRPr="00792B12">
          <w:rPr>
            <w:rFonts w:ascii="Arial" w:hAnsi="Arial" w:cs="Arial"/>
            <w:color w:val="000000"/>
          </w:rPr>
          <w:t>la persona. El</w:t>
        </w:r>
      </w:smartTag>
      <w:r w:rsidRPr="00792B12">
        <w:rPr>
          <w:rFonts w:ascii="Arial" w:hAnsi="Arial" w:cs="Arial"/>
          <w:color w:val="000000"/>
        </w:rPr>
        <w:t xml:space="preserve"> segundo se despliega en el mundo de la intersubjetividad y se objetiva en el enfrentamiento del transexual con la curiosidad o la abierta hostilidad proveniente del ambiente en el cual desenvuelve sus actividades</w:t>
      </w:r>
      <w:r w:rsidRPr="00792B12">
        <w:rPr>
          <w:rFonts w:ascii="Arial" w:hAnsi="Arial" w:cs="Arial"/>
          <w:color w:val="000000"/>
          <w:vertAlign w:val="superscript"/>
        </w:rPr>
        <w:footnoteReference w:id="122"/>
      </w:r>
      <w:r w:rsidRPr="00792B12">
        <w:rPr>
          <w:rFonts w:ascii="Arial" w:hAnsi="Arial" w:cs="Arial"/>
          <w:color w:val="000000"/>
        </w:rPr>
        <w:t>.</w:t>
      </w:r>
    </w:p>
    <w:p w14:paraId="7C46828F"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Se presentan dos síntomas de </w:t>
      </w:r>
      <w:smartTag w:uri="urn:schemas-microsoft-com:office:smarttags" w:element="PersonName">
        <w:smartTagPr>
          <w:attr w:name="ProductID" w:val="la transexualidad. El"/>
        </w:smartTagPr>
        <w:r w:rsidRPr="00792B12">
          <w:rPr>
            <w:rFonts w:ascii="Arial" w:hAnsi="Arial" w:cs="Arial"/>
            <w:color w:val="000000"/>
          </w:rPr>
          <w:t>la transexualidad. El</w:t>
        </w:r>
      </w:smartTag>
      <w:r w:rsidRPr="00792B12">
        <w:rPr>
          <w:rFonts w:ascii="Arial" w:hAnsi="Arial" w:cs="Arial"/>
          <w:color w:val="000000"/>
        </w:rPr>
        <w:t xml:space="preserve"> primero es un sentimiento profundo de pertenecer al sexo opuesto a aquel que desde la concepción “</w:t>
      </w:r>
      <w:r w:rsidRPr="00792B12">
        <w:rPr>
          <w:rFonts w:ascii="Arial" w:hAnsi="Arial" w:cs="Arial"/>
          <w:i/>
          <w:color w:val="000000"/>
        </w:rPr>
        <w:t>le asignó la naturaleza y cuyas características biológicas son evidentes y normales</w:t>
      </w:r>
      <w:r w:rsidRPr="00792B12">
        <w:rPr>
          <w:rFonts w:ascii="Arial" w:hAnsi="Arial" w:cs="Arial"/>
          <w:color w:val="000000"/>
        </w:rPr>
        <w:t>”. El segundo síntoma es el poseer un “insuperable” deseo de cambiar de sexo dentro de las posibilidades de la ciencia y para los efectos de que se le reconozca jurídicamente un “</w:t>
      </w:r>
      <w:r w:rsidRPr="00792B12">
        <w:rPr>
          <w:rFonts w:ascii="Arial" w:hAnsi="Arial" w:cs="Arial"/>
          <w:i/>
          <w:color w:val="000000"/>
        </w:rPr>
        <w:t>nuevo estado</w:t>
      </w:r>
      <w:r w:rsidRPr="00792B12">
        <w:rPr>
          <w:rFonts w:ascii="Arial" w:hAnsi="Arial" w:cs="Arial"/>
          <w:color w:val="000000"/>
        </w:rPr>
        <w:t>”</w:t>
      </w:r>
      <w:r w:rsidRPr="00792B12">
        <w:rPr>
          <w:rFonts w:ascii="Arial" w:hAnsi="Arial" w:cs="Arial"/>
          <w:color w:val="000000"/>
          <w:vertAlign w:val="superscript"/>
        </w:rPr>
        <w:footnoteReference w:id="123"/>
      </w:r>
      <w:r w:rsidRPr="00792B12">
        <w:rPr>
          <w:rFonts w:ascii="Arial" w:hAnsi="Arial" w:cs="Arial"/>
          <w:color w:val="000000"/>
        </w:rPr>
        <w:t>.</w:t>
      </w:r>
    </w:p>
    <w:p w14:paraId="380BAEF9" w14:textId="77777777" w:rsidR="0096481E" w:rsidRPr="00792B12" w:rsidRDefault="0096481E" w:rsidP="0096481E">
      <w:pPr>
        <w:tabs>
          <w:tab w:val="center" w:pos="9498"/>
        </w:tabs>
        <w:overflowPunct w:val="0"/>
        <w:autoSpaceDE w:val="0"/>
        <w:autoSpaceDN w:val="0"/>
        <w:adjustRightInd w:val="0"/>
        <w:spacing w:after="240" w:line="360" w:lineRule="auto"/>
        <w:ind w:firstLine="708"/>
        <w:jc w:val="both"/>
        <w:textAlignment w:val="baseline"/>
        <w:rPr>
          <w:rFonts w:ascii="Arial" w:eastAsia="Times New Roman" w:hAnsi="Arial" w:cs="Arial"/>
          <w:noProof/>
          <w:color w:val="000000"/>
          <w:lang w:eastAsia="es-ES"/>
        </w:rPr>
      </w:pPr>
      <w:r w:rsidRPr="00792B12">
        <w:rPr>
          <w:rFonts w:ascii="Arial" w:eastAsia="Times New Roman" w:hAnsi="Arial" w:cs="Arial"/>
          <w:noProof/>
          <w:color w:val="000000"/>
          <w:lang w:eastAsia="es-ES"/>
        </w:rPr>
        <w:lastRenderedPageBreak/>
        <w:t>Como ha afirmado el profesor Pietro Perlingieri</w:t>
      </w:r>
      <w:r w:rsidRPr="00792B12">
        <w:rPr>
          <w:rFonts w:ascii="Arial" w:eastAsia="Times New Roman" w:hAnsi="Arial" w:cs="Arial"/>
          <w:noProof/>
          <w:color w:val="000000"/>
          <w:vertAlign w:val="superscript"/>
          <w:lang w:eastAsia="es-ES"/>
        </w:rPr>
        <w:footnoteReference w:id="124"/>
      </w:r>
      <w:r w:rsidRPr="00792B12">
        <w:rPr>
          <w:rFonts w:ascii="Arial" w:eastAsia="Times New Roman" w:hAnsi="Arial" w:cs="Arial"/>
          <w:noProof/>
          <w:color w:val="000000"/>
          <w:lang w:eastAsia="es-ES"/>
        </w:rPr>
        <w:t>, para el Derecho no es solamente relevante el sexo psicológico-social, o solo en biológico, sino toda esfera que concurre en su compleja definición que puede tener relevancia jurídica, por lo que puede señalarse que todo componente del sexo es jurídicamente importante. Así, el sexo no es solo una expresión biológica, fundada en lo genital, vale decir, en una apariencia exterior, sino que engloba también una dimensión psicosocial, un definido comportamiento, una profunda vivencia de la persona que consiste en “</w:t>
      </w:r>
      <w:r w:rsidRPr="00792B12">
        <w:rPr>
          <w:rFonts w:ascii="Arial" w:eastAsia="Times New Roman" w:hAnsi="Arial" w:cs="Arial"/>
          <w:i/>
          <w:noProof/>
          <w:color w:val="000000"/>
          <w:lang w:eastAsia="es-ES"/>
        </w:rPr>
        <w:t>sentirse</w:t>
      </w:r>
      <w:r w:rsidRPr="00792B12">
        <w:rPr>
          <w:rFonts w:ascii="Arial" w:eastAsia="Times New Roman" w:hAnsi="Arial" w:cs="Arial"/>
          <w:noProof/>
          <w:color w:val="000000"/>
          <w:lang w:eastAsia="es-ES"/>
        </w:rPr>
        <w:t>”, actuar y estar “</w:t>
      </w:r>
      <w:r w:rsidRPr="00792B12">
        <w:rPr>
          <w:rFonts w:ascii="Arial" w:eastAsia="Times New Roman" w:hAnsi="Arial" w:cs="Arial"/>
          <w:i/>
          <w:noProof/>
          <w:color w:val="000000"/>
          <w:lang w:eastAsia="es-ES"/>
        </w:rPr>
        <w:t>convencida</w:t>
      </w:r>
      <w:r w:rsidRPr="00792B12">
        <w:rPr>
          <w:rFonts w:ascii="Arial" w:eastAsia="Times New Roman" w:hAnsi="Arial" w:cs="Arial"/>
          <w:noProof/>
          <w:color w:val="000000"/>
          <w:lang w:eastAsia="es-ES"/>
        </w:rPr>
        <w:t xml:space="preserve">” de pertenecer a un sexo diverso, opuesto a aquel que la naturaleza “equivocadamente” le asignó. </w:t>
      </w:r>
    </w:p>
    <w:p w14:paraId="33444639"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Entonces, se puede afirmar que el transexual se encuentra sumido en una intolerable situación existencial que compromete de manera radical su “manera de ser”, la que se hace evidente en todo su comportamiento, sensibilidad, actitudes, actividades, pensamientos, preferencias y modales. Como bien indicó Fernández </w:t>
      </w:r>
      <w:proofErr w:type="spellStart"/>
      <w:r w:rsidRPr="00792B12">
        <w:rPr>
          <w:rFonts w:ascii="Arial" w:hAnsi="Arial" w:cs="Arial"/>
          <w:color w:val="000000"/>
        </w:rPr>
        <w:t>Sessarego</w:t>
      </w:r>
      <w:proofErr w:type="spellEnd"/>
      <w:r w:rsidRPr="00792B12">
        <w:rPr>
          <w:rFonts w:ascii="Arial" w:hAnsi="Arial" w:cs="Arial"/>
          <w:color w:val="000000"/>
        </w:rPr>
        <w:t>, el transexual vive a la manera del sexo opuesto al suyo y ésta es la percepción social que de él se tiene</w:t>
      </w:r>
      <w:r w:rsidRPr="00792B12">
        <w:rPr>
          <w:rFonts w:ascii="Arial" w:hAnsi="Arial" w:cs="Arial"/>
          <w:color w:val="000000"/>
          <w:vertAlign w:val="superscript"/>
        </w:rPr>
        <w:footnoteReference w:id="125"/>
      </w:r>
      <w:r w:rsidRPr="00792B12">
        <w:rPr>
          <w:rFonts w:ascii="Arial" w:hAnsi="Arial" w:cs="Arial"/>
          <w:color w:val="000000"/>
        </w:rPr>
        <w:t>.</w:t>
      </w:r>
    </w:p>
    <w:p w14:paraId="5D46C249" w14:textId="6C10F83C"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El jurista italiano Pasquale </w:t>
      </w:r>
      <w:proofErr w:type="spellStart"/>
      <w:r w:rsidRPr="00792B12">
        <w:rPr>
          <w:rFonts w:ascii="Arial" w:hAnsi="Arial" w:cs="Arial"/>
          <w:color w:val="000000"/>
        </w:rPr>
        <w:t>Stanzione</w:t>
      </w:r>
      <w:proofErr w:type="spellEnd"/>
      <w:r w:rsidRPr="00792B12">
        <w:rPr>
          <w:rFonts w:ascii="Arial" w:hAnsi="Arial" w:cs="Arial"/>
          <w:color w:val="000000"/>
        </w:rPr>
        <w:t xml:space="preserve"> anota </w:t>
      </w:r>
      <w:r w:rsidR="001B2B15" w:rsidRPr="00792B12">
        <w:rPr>
          <w:rFonts w:ascii="Arial" w:hAnsi="Arial" w:cs="Arial"/>
          <w:color w:val="000000"/>
        </w:rPr>
        <w:t>que,</w:t>
      </w:r>
      <w:r w:rsidRPr="00792B12">
        <w:rPr>
          <w:rFonts w:ascii="Arial" w:hAnsi="Arial" w:cs="Arial"/>
          <w:color w:val="000000"/>
        </w:rPr>
        <w:t xml:space="preserve"> en el estado actual de las investigaciones científicas en la materia, existen dos claros síntomas que denotan la presencia de un transexual. El primero de ellos es el sentimiento profundo de pertenecer al sexo opuesto a aquel que, desde su concepción en el seno materno, le asignó la naturaleza. El segundo síntoma es el poseer un insuperable deseo de cambiar de sexo, dentro de las posibilidades de la ciencia, para que se le reconozca su “</w:t>
      </w:r>
      <w:r w:rsidRPr="00792B12">
        <w:rPr>
          <w:rFonts w:ascii="Arial" w:hAnsi="Arial" w:cs="Arial"/>
          <w:i/>
          <w:color w:val="000000"/>
        </w:rPr>
        <w:t>nuevo estado</w:t>
      </w:r>
      <w:r w:rsidRPr="00792B12">
        <w:rPr>
          <w:rFonts w:ascii="Arial" w:hAnsi="Arial" w:cs="Arial"/>
          <w:color w:val="000000"/>
        </w:rPr>
        <w:t>” jurídico</w:t>
      </w:r>
      <w:r w:rsidRPr="00792B12">
        <w:rPr>
          <w:rFonts w:ascii="Arial" w:hAnsi="Arial" w:cs="Arial"/>
          <w:color w:val="000000"/>
          <w:vertAlign w:val="superscript"/>
        </w:rPr>
        <w:footnoteReference w:id="126"/>
      </w:r>
      <w:r w:rsidRPr="00792B12">
        <w:rPr>
          <w:rFonts w:ascii="Arial" w:hAnsi="Arial" w:cs="Arial"/>
          <w:color w:val="000000"/>
        </w:rPr>
        <w:t>.</w:t>
      </w:r>
    </w:p>
    <w:p w14:paraId="7E985297" w14:textId="77777777" w:rsidR="0096481E" w:rsidRPr="00792B12" w:rsidRDefault="0096481E" w:rsidP="0096481E">
      <w:pPr>
        <w:autoSpaceDE w:val="0"/>
        <w:autoSpaceDN w:val="0"/>
        <w:adjustRightInd w:val="0"/>
        <w:spacing w:after="240" w:line="360" w:lineRule="auto"/>
        <w:jc w:val="both"/>
        <w:rPr>
          <w:rFonts w:ascii="Arial" w:hAnsi="Arial" w:cs="Arial"/>
          <w:b/>
          <w:bCs/>
          <w:lang w:eastAsia="it-IT"/>
        </w:rPr>
      </w:pPr>
      <w:r w:rsidRPr="00792B12">
        <w:rPr>
          <w:rFonts w:ascii="Arial" w:hAnsi="Arial" w:cs="Arial"/>
          <w:b/>
          <w:bCs/>
          <w:lang w:eastAsia="it-IT"/>
        </w:rPr>
        <w:t>2.- El síndrome transexual</w:t>
      </w:r>
    </w:p>
    <w:p w14:paraId="34A57686"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El problema de la transexualidad, como anota Carlos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27"/>
      </w:r>
      <w:r w:rsidRPr="00792B12">
        <w:rPr>
          <w:rFonts w:ascii="Arial" w:hAnsi="Arial" w:cs="Arial"/>
          <w:color w:val="000000"/>
        </w:rPr>
        <w:t xml:space="preserve">, no ha sido suficientemente estudiado por la ciencia médica. Existen aún en cuanto al tema espacio de dudas, que no hallan todavía una firme respuesta. Para unos, felizmente ya pocos, la transexualidad es una patología, para otros es un dato congénito. </w:t>
      </w:r>
      <w:r w:rsidRPr="00792B12">
        <w:rPr>
          <w:rFonts w:ascii="Arial" w:hAnsi="Arial" w:cs="Arial"/>
          <w:color w:val="000000"/>
        </w:rPr>
        <w:lastRenderedPageBreak/>
        <w:t>No obstante esta situación, después que en mucho tiempo en la que los jueces no admitían las demandas dirigidas a obtener la “adecuación de sexo” o “reasignación de sexo”, se advierte en la actualidad una evolución, tanto en la doctrina como en la jurisprudencia, tendente a admitirla y el consiguiente cambio de prenombre en los registros del estado civil.</w:t>
      </w:r>
    </w:p>
    <w:p w14:paraId="4AC0BC55"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Varios autores y estudiosos consideran como causa de la transexualidad a razones ambientales, de educación, familiares. Sin embargo, más probablemente es un problema arraigado en la subjetividad. Como se ha señalado el fenómeno de la transexualidad aparece en la persona en los primeros tiempos de la infancia, aproximadamente entre los dos y los cuatro años de edad.</w:t>
      </w:r>
    </w:p>
    <w:p w14:paraId="5F05F7EC"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Modernamente se conducen investigaciones dirigidas a demostrar que la transexualidad tiene un origen biológico. Por lo que probablemente se trate de un problema genético, no adquirido en el transcurso de la vida sino más bien congénito. </w:t>
      </w:r>
    </w:p>
    <w:p w14:paraId="70F47666" w14:textId="68715443" w:rsidR="0096481E" w:rsidRPr="00792B12" w:rsidRDefault="0096481E" w:rsidP="001B2B15">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Más allá de ello, en la realidad social encontramos el fenómeno conocido con la expresión "transexualismo" o “transexualidad”. Esta situación se ocasiona cuando se produce en la persona una honda y dramática disociación, un angustioso contraste entre el sexo cromosómico y el sexo psicológico. Por un lado, el sexo con el cual la persona es concebida y con el cual se encuentra inscrita en los registros públicos del estado civil y, por el otro, con el sexo que se manifiesta y se refleja en las vivencias y actitudes del sujeto, el cual es opuesto al sexo biológico originario.</w:t>
      </w:r>
    </w:p>
    <w:p w14:paraId="6D6F1294" w14:textId="079B35F3" w:rsidR="0096481E" w:rsidRPr="00792B12" w:rsidRDefault="0096481E" w:rsidP="0096481E">
      <w:pPr>
        <w:tabs>
          <w:tab w:val="center" w:pos="9498"/>
        </w:tabs>
        <w:spacing w:after="240" w:line="360" w:lineRule="auto"/>
        <w:jc w:val="both"/>
        <w:rPr>
          <w:rFonts w:ascii="Arial" w:hAnsi="Arial" w:cs="Arial"/>
          <w:color w:val="000000"/>
        </w:rPr>
      </w:pPr>
      <w:r w:rsidRPr="00792B12">
        <w:rPr>
          <w:rFonts w:ascii="Arial" w:hAnsi="Arial" w:cs="Arial"/>
          <w:b/>
          <w:bCs/>
          <w:lang w:eastAsia="it-IT"/>
        </w:rPr>
        <w:t xml:space="preserve">3.- Transexualidad, </w:t>
      </w:r>
      <w:r w:rsidR="001B2B15" w:rsidRPr="00792B12">
        <w:rPr>
          <w:rFonts w:ascii="Arial" w:hAnsi="Arial" w:cs="Arial"/>
          <w:b/>
          <w:bCs/>
          <w:lang w:eastAsia="it-IT"/>
        </w:rPr>
        <w:t>los estados</w:t>
      </w:r>
      <w:r w:rsidRPr="00792B12">
        <w:rPr>
          <w:rFonts w:ascii="Arial" w:hAnsi="Arial" w:cs="Arial"/>
          <w:b/>
          <w:bCs/>
          <w:lang w:eastAsia="it-IT"/>
        </w:rPr>
        <w:t xml:space="preserve"> intersexuales e </w:t>
      </w:r>
      <w:proofErr w:type="spellStart"/>
      <w:r w:rsidRPr="00792B12">
        <w:rPr>
          <w:rFonts w:ascii="Arial" w:hAnsi="Arial" w:cs="Arial"/>
          <w:b/>
          <w:bCs/>
          <w:lang w:eastAsia="it-IT"/>
        </w:rPr>
        <w:t>isosexualismo</w:t>
      </w:r>
      <w:proofErr w:type="spellEnd"/>
    </w:p>
    <w:p w14:paraId="59289B58"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Es necesario diferenciar la transexualidad de los estados "interse</w:t>
      </w:r>
      <w:r w:rsidRPr="00792B12">
        <w:rPr>
          <w:rFonts w:ascii="Arial" w:hAnsi="Arial" w:cs="Arial"/>
          <w:color w:val="000000"/>
        </w:rPr>
        <w:softHyphen/>
        <w:t>xuales", es decir, de situaciones intermedias entre dos extremos definidos. Entre los que se encuentra el hermafroditismo. Es un síndrome que se caracteriza por la presencia simultánea, en el mismo individuo, de testículos y ovarios, cuya coexistencia “influye, de modo variable, sobre la conformación de los genitales externos, el aspecto somático y el comportamiento psíquico”</w:t>
      </w:r>
      <w:r w:rsidRPr="00792B12">
        <w:rPr>
          <w:rFonts w:ascii="Arial" w:hAnsi="Arial" w:cs="Arial"/>
          <w:color w:val="000000"/>
          <w:vertAlign w:val="superscript"/>
        </w:rPr>
        <w:footnoteReference w:id="128"/>
      </w:r>
      <w:r w:rsidRPr="00792B12">
        <w:rPr>
          <w:rFonts w:ascii="Arial" w:hAnsi="Arial" w:cs="Arial"/>
          <w:color w:val="000000"/>
        </w:rPr>
        <w:t>.</w:t>
      </w:r>
    </w:p>
    <w:p w14:paraId="05DC683F"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No obstante, como observa Salvatore </w:t>
      </w:r>
      <w:proofErr w:type="spellStart"/>
      <w:r w:rsidRPr="00792B12">
        <w:rPr>
          <w:rFonts w:ascii="Arial" w:hAnsi="Arial" w:cs="Arial"/>
          <w:color w:val="000000"/>
        </w:rPr>
        <w:t>Patti</w:t>
      </w:r>
      <w:proofErr w:type="spellEnd"/>
      <w:r w:rsidRPr="00792B12">
        <w:rPr>
          <w:rFonts w:ascii="Arial" w:hAnsi="Arial" w:cs="Arial"/>
          <w:color w:val="000000"/>
        </w:rPr>
        <w:t xml:space="preserve">, la ciencia médica moderna admite solo casos de hermafroditismo imperfecto o pseudohermafroditismo, el que consiste en </w:t>
      </w:r>
      <w:r w:rsidRPr="00792B12">
        <w:rPr>
          <w:rFonts w:ascii="Arial" w:hAnsi="Arial" w:cs="Arial"/>
          <w:color w:val="000000"/>
        </w:rPr>
        <w:lastRenderedPageBreak/>
        <w:t>la carencia, en una misma persona, de homogeneidad entre los órganos genitales externos y el sexo genético, a pesar de lo cual predominan las características correspondientes a uno de los dos sexos</w:t>
      </w:r>
      <w:r w:rsidRPr="00792B12">
        <w:rPr>
          <w:rFonts w:ascii="Arial" w:hAnsi="Arial" w:cs="Arial"/>
          <w:color w:val="000000"/>
          <w:vertAlign w:val="superscript"/>
        </w:rPr>
        <w:footnoteReference w:id="129"/>
      </w:r>
      <w:r w:rsidRPr="00792B12">
        <w:rPr>
          <w:rFonts w:ascii="Arial" w:hAnsi="Arial" w:cs="Arial"/>
          <w:color w:val="000000"/>
        </w:rPr>
        <w:t>.</w:t>
      </w:r>
    </w:p>
    <w:p w14:paraId="27814FE1" w14:textId="620FF960" w:rsidR="0096481E" w:rsidRPr="00792B12" w:rsidRDefault="0096481E" w:rsidP="001B2B15">
      <w:pPr>
        <w:tabs>
          <w:tab w:val="center" w:pos="9498"/>
        </w:tabs>
        <w:overflowPunct w:val="0"/>
        <w:autoSpaceDE w:val="0"/>
        <w:autoSpaceDN w:val="0"/>
        <w:adjustRightInd w:val="0"/>
        <w:spacing w:after="240" w:line="360" w:lineRule="auto"/>
        <w:ind w:firstLine="708"/>
        <w:jc w:val="both"/>
        <w:textAlignment w:val="baseline"/>
        <w:rPr>
          <w:rFonts w:ascii="Arial" w:eastAsia="Times New Roman" w:hAnsi="Arial" w:cs="Arial"/>
          <w:noProof/>
          <w:color w:val="000000"/>
          <w:lang w:eastAsia="es-ES"/>
        </w:rPr>
      </w:pPr>
      <w:r w:rsidRPr="00792B12">
        <w:rPr>
          <w:rFonts w:ascii="Arial" w:eastAsia="Times New Roman" w:hAnsi="Arial" w:cs="Arial"/>
          <w:noProof/>
          <w:color w:val="000000"/>
          <w:lang w:eastAsia="es-ES"/>
        </w:rPr>
        <w:t>Es menester también distinguir entre transexualismo y el isosexualismo</w:t>
      </w:r>
      <w:r w:rsidRPr="00792B12">
        <w:rPr>
          <w:rFonts w:ascii="Arial" w:eastAsia="Times New Roman" w:hAnsi="Arial" w:cs="Arial"/>
          <w:noProof/>
          <w:color w:val="000000"/>
          <w:vertAlign w:val="superscript"/>
          <w:lang w:eastAsia="es-ES"/>
        </w:rPr>
        <w:footnoteReference w:id="130"/>
      </w:r>
      <w:r w:rsidRPr="00792B12">
        <w:rPr>
          <w:rFonts w:ascii="Arial" w:eastAsia="Times New Roman" w:hAnsi="Arial" w:cs="Arial"/>
          <w:noProof/>
          <w:color w:val="000000"/>
          <w:lang w:eastAsia="es-ES"/>
        </w:rPr>
        <w:t>. En el transexual el deseo de pertenecer al sexo opuesto es obsesivo, por lo que está dispuesto a someterse a una intervención quirúrgica de adecuación de sus genitales. Por el contrario, el homosexual o la lesbiana no sienten repugnancia por sus genitales externos sino que experimentan por ellos atracción y complacencia, por lo que no estén dispuestos a una adecuación morfológica sexual para pertenecer al sexo opuesto. Cabe indicar que la doctrina y la jurisprudencia modernas admiten también la adecuación morfológica de los genitales en los casos de pseudohermafroditismo.</w:t>
      </w:r>
    </w:p>
    <w:p w14:paraId="26E2397D" w14:textId="19DEC127" w:rsidR="0096481E" w:rsidRPr="00792B12" w:rsidRDefault="0096481E" w:rsidP="0096481E">
      <w:pPr>
        <w:tabs>
          <w:tab w:val="center" w:pos="9498"/>
        </w:tabs>
        <w:spacing w:after="240" w:line="360" w:lineRule="auto"/>
        <w:jc w:val="both"/>
        <w:rPr>
          <w:rFonts w:ascii="Arial" w:hAnsi="Arial" w:cs="Arial"/>
          <w:b/>
          <w:color w:val="000000"/>
        </w:rPr>
      </w:pPr>
      <w:r w:rsidRPr="00792B12">
        <w:rPr>
          <w:rFonts w:ascii="Arial" w:hAnsi="Arial" w:cs="Arial"/>
          <w:b/>
          <w:color w:val="000000"/>
        </w:rPr>
        <w:t>4.- Cambio de sexo: alcance</w:t>
      </w:r>
      <w:r w:rsidR="001B2B15">
        <w:rPr>
          <w:rFonts w:ascii="Arial" w:hAnsi="Arial" w:cs="Arial"/>
          <w:b/>
          <w:color w:val="000000"/>
        </w:rPr>
        <w:t>s</w:t>
      </w:r>
      <w:r w:rsidRPr="00792B12">
        <w:rPr>
          <w:rFonts w:ascii="Arial" w:hAnsi="Arial" w:cs="Arial"/>
          <w:b/>
          <w:color w:val="000000"/>
        </w:rPr>
        <w:t xml:space="preserve"> jurídicos</w:t>
      </w:r>
    </w:p>
    <w:p w14:paraId="4FC44694"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Como anotaba Harry </w:t>
      </w:r>
      <w:proofErr w:type="spellStart"/>
      <w:r w:rsidRPr="00792B12">
        <w:rPr>
          <w:rFonts w:ascii="Arial" w:hAnsi="Arial" w:cs="Arial"/>
          <w:color w:val="000000"/>
        </w:rPr>
        <w:t>Benjamin</w:t>
      </w:r>
      <w:proofErr w:type="spellEnd"/>
      <w:r w:rsidRPr="00792B12">
        <w:rPr>
          <w:rFonts w:ascii="Arial" w:hAnsi="Arial" w:cs="Arial"/>
          <w:color w:val="000000"/>
          <w:vertAlign w:val="superscript"/>
        </w:rPr>
        <w:footnoteReference w:id="131"/>
      </w:r>
      <w:r w:rsidRPr="00792B12">
        <w:rPr>
          <w:rFonts w:ascii="Arial" w:hAnsi="Arial" w:cs="Arial"/>
          <w:color w:val="000000"/>
        </w:rPr>
        <w:t>, a quien se le debe la fama del término “</w:t>
      </w:r>
      <w:r w:rsidRPr="00792B12">
        <w:rPr>
          <w:rFonts w:ascii="Arial" w:hAnsi="Arial" w:cs="Arial"/>
          <w:i/>
          <w:color w:val="000000"/>
        </w:rPr>
        <w:t>transexualismo</w:t>
      </w:r>
      <w:r w:rsidRPr="00792B12">
        <w:rPr>
          <w:rFonts w:ascii="Arial" w:hAnsi="Arial" w:cs="Arial"/>
          <w:color w:val="000000"/>
        </w:rPr>
        <w:t>”, es difícil encontrar una persona tan constantemente infeliz como el transexual. La vida del transexual se presenta como un drama existencial de gran transcendencia, que consiste la frustración de su proyecto de vida sexual y que tiene hondas repercusiones en su estado psíquico, en su equilibrio emocional, en su salud, en su bienestar</w:t>
      </w:r>
      <w:r w:rsidRPr="00792B12">
        <w:rPr>
          <w:rFonts w:ascii="Arial" w:hAnsi="Arial" w:cs="Arial"/>
          <w:color w:val="000000"/>
          <w:vertAlign w:val="superscript"/>
        </w:rPr>
        <w:footnoteReference w:id="132"/>
      </w:r>
      <w:r w:rsidRPr="00792B12">
        <w:rPr>
          <w:rFonts w:ascii="Arial" w:hAnsi="Arial" w:cs="Arial"/>
          <w:color w:val="000000"/>
        </w:rPr>
        <w:t>.</w:t>
      </w:r>
    </w:p>
    <w:p w14:paraId="37D47142"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La persona transexual parece el rechazo de los demás, lo que podría conducir a constituirse en un marginado social. Se trata de un drama que no puede pasar desapercibido para los juristas. El transexual muchas veces es un incomprendido por lo social, en la que se le suele confundir con el homosexual o la lesbiana o con el travesti. Es una situación humana digna de atención.</w:t>
      </w:r>
    </w:p>
    <w:p w14:paraId="6C09D47B"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lastRenderedPageBreak/>
        <w:t>En efecto, la lucha, la tensión en la que vive el transexual, originado por la disociación entre su sexo cromosómico y su sexo psicológico lo angustia, le hace imposible el convivir en sociedad. Vive en un estado de ansiedad constante, que desconoce la tranquilidad, la serenidad. Su estado psicológico se encuentra alterado, como consecuencia de su drama existencial. Ha perdido su estado de bienestar integral.</w:t>
      </w:r>
    </w:p>
    <w:p w14:paraId="502954EA"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La vivencia sexual compromete toda la personalidad del transexual, lo que lo suma en una constante búsqueda de una correspondencia entre su apariencia física, que responde a su sexo cromosómico, y su comportamiento, que corresponde a su sexualidad sentida de raíz psicológica.</w:t>
      </w:r>
    </w:p>
    <w:p w14:paraId="5CAB73F1"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 xml:space="preserve">La persona transexual tiene una radical aspiración a ser del sexo opuesto al que nació. La presencia de sus genitales se le presenta como intolerable por lo que rechaza su morfología sexual. Como señala Carlos Fernández </w:t>
      </w:r>
      <w:proofErr w:type="spellStart"/>
      <w:r w:rsidRPr="00792B12">
        <w:rPr>
          <w:rFonts w:ascii="Arial" w:hAnsi="Arial" w:cs="Arial"/>
          <w:bCs/>
          <w:lang w:eastAsia="it-IT"/>
        </w:rPr>
        <w:t>Sessarego</w:t>
      </w:r>
      <w:proofErr w:type="spellEnd"/>
      <w:r w:rsidRPr="00792B12">
        <w:rPr>
          <w:rFonts w:ascii="Arial" w:hAnsi="Arial" w:cs="Arial"/>
          <w:bCs/>
          <w:vertAlign w:val="superscript"/>
          <w:lang w:eastAsia="it-IT"/>
        </w:rPr>
        <w:footnoteReference w:id="133"/>
      </w:r>
      <w:r w:rsidRPr="00792B12">
        <w:rPr>
          <w:rFonts w:ascii="Arial" w:hAnsi="Arial" w:cs="Arial"/>
          <w:bCs/>
          <w:lang w:eastAsia="it-IT"/>
        </w:rPr>
        <w:t xml:space="preserve"> el transexual aborrece sus atributos genitales, es tanta la intensidad de su vivencia como perteneciente al sexo opuesto al que biológicamente le asignó la naturaleza que pretende su modificación a fin de "sustituir” sus genitales por los que corresponden a su estado psicológico, a su identidad dinámica, a su “manera de ser”.</w:t>
      </w:r>
    </w:p>
    <w:p w14:paraId="388BC3B6" w14:textId="77777777" w:rsidR="0096481E" w:rsidRPr="00792B12" w:rsidRDefault="0096481E" w:rsidP="0096481E">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No se ha podido con certeza modificar el sexo cromosómico de la persona, el que se mantiene invariable cualquiera sea el tipo de terapia o de intervención quirúrgica al que ella se someta. Esta situación se presenta en el caso que se modifiquen los caracteres de los genitales a fin de cambiar la apariencia sexual exterior de la persona, adecuándola al sexo vivido y deseado.</w:t>
      </w:r>
    </w:p>
    <w:p w14:paraId="7D403BA0" w14:textId="5EBA75E4" w:rsidR="0096481E" w:rsidRPr="001B2B15" w:rsidRDefault="0096481E" w:rsidP="001B2B15">
      <w:pPr>
        <w:autoSpaceDE w:val="0"/>
        <w:autoSpaceDN w:val="0"/>
        <w:adjustRightInd w:val="0"/>
        <w:spacing w:after="240" w:line="360" w:lineRule="auto"/>
        <w:ind w:firstLine="708"/>
        <w:jc w:val="both"/>
        <w:rPr>
          <w:rFonts w:ascii="Arial" w:hAnsi="Arial" w:cs="Arial"/>
          <w:bCs/>
          <w:lang w:eastAsia="it-IT"/>
        </w:rPr>
      </w:pPr>
      <w:r w:rsidRPr="00792B12">
        <w:rPr>
          <w:rFonts w:ascii="Arial" w:hAnsi="Arial" w:cs="Arial"/>
          <w:bCs/>
          <w:lang w:eastAsia="it-IT"/>
        </w:rPr>
        <w:t xml:space="preserve">Se ha considerado que la persona transexual antes que se someta a una intervención quirúrgica demoledora-reconstructiva es necesario que se cuente con la certeza de que se trata de una persona que vive este drama, la situación límite. Para ello, antes de autorizar cualquier intervención quirúrgica, es necesario que la persona  transexual se someta a exámenes médicos y psicológicos, cuyos resultados permitan tener la certidumbre buscada. </w:t>
      </w:r>
    </w:p>
    <w:p w14:paraId="243C51F4" w14:textId="77777777" w:rsidR="0096481E" w:rsidRPr="00792B12" w:rsidRDefault="0096481E" w:rsidP="0096481E">
      <w:pPr>
        <w:autoSpaceDE w:val="0"/>
        <w:autoSpaceDN w:val="0"/>
        <w:adjustRightInd w:val="0"/>
        <w:spacing w:after="240" w:line="360" w:lineRule="auto"/>
        <w:jc w:val="both"/>
        <w:rPr>
          <w:rFonts w:ascii="Arial" w:hAnsi="Arial" w:cs="Arial"/>
          <w:b/>
          <w:bCs/>
          <w:lang w:eastAsia="it-IT"/>
        </w:rPr>
      </w:pPr>
      <w:r w:rsidRPr="00792B12">
        <w:rPr>
          <w:rFonts w:ascii="Arial" w:hAnsi="Arial" w:cs="Arial"/>
          <w:b/>
          <w:bCs/>
          <w:lang w:eastAsia="it-IT"/>
        </w:rPr>
        <w:t>5.-</w:t>
      </w:r>
      <w:r w:rsidRPr="00792B12">
        <w:rPr>
          <w:rFonts w:ascii="Arial" w:hAnsi="Arial" w:cs="Arial"/>
          <w:b/>
          <w:color w:val="000000"/>
        </w:rPr>
        <w:t xml:space="preserve"> El drama existencial de la persona transexual, cambio de sexo y la intervención quirúrgica demoledora-reconstructiva</w:t>
      </w:r>
    </w:p>
    <w:p w14:paraId="3920B59D"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lastRenderedPageBreak/>
        <w:t>La vida del transexual se presenta como un drama de gran impacto, supone una frustración grave a su desarrollo personal, y que tiene consecuencias en su estado psíquico, salud, estado emocional y bienestar.</w:t>
      </w:r>
    </w:p>
    <w:p w14:paraId="36E415D0"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t>El transexual siente el rechazo de los demás, lo que lo conduce a la situación de constituirse en un marginado social. Se constituye en un problema que es necesario resolver, en términos jurídicos, en beneficio de la salud, la identidad y la libertad del transexual.</w:t>
      </w:r>
    </w:p>
    <w:p w14:paraId="672594DE" w14:textId="77777777" w:rsidR="0096481E" w:rsidRPr="00792B12" w:rsidRDefault="0096481E" w:rsidP="0096481E">
      <w:pPr>
        <w:tabs>
          <w:tab w:val="center" w:pos="9498"/>
        </w:tabs>
        <w:overflowPunct w:val="0"/>
        <w:autoSpaceDE w:val="0"/>
        <w:autoSpaceDN w:val="0"/>
        <w:adjustRightInd w:val="0"/>
        <w:spacing w:after="240" w:line="360" w:lineRule="auto"/>
        <w:ind w:firstLine="568"/>
        <w:jc w:val="both"/>
        <w:textAlignment w:val="baseline"/>
        <w:rPr>
          <w:rFonts w:ascii="Arial" w:eastAsia="Times New Roman" w:hAnsi="Arial" w:cs="Arial"/>
          <w:noProof/>
          <w:color w:val="000000"/>
          <w:lang w:eastAsia="es-ES"/>
        </w:rPr>
      </w:pPr>
      <w:r w:rsidRPr="00792B12">
        <w:rPr>
          <w:rFonts w:ascii="Arial" w:eastAsia="Times New Roman" w:hAnsi="Arial" w:cs="Arial"/>
          <w:noProof/>
          <w:color w:val="000000"/>
          <w:lang w:eastAsia="es-ES"/>
        </w:rPr>
        <w:t>La vivencia sexual que compromete toda la personalidad del transexual lo sume en una angustiosa, permanente y afanosa búsqueda de una correspondencia entre su apariencia física, que responde a su sexo cromosómico, y su comportamiento, que corresponde a su sexualidad sentida, querida y vivida, de raíz psicológica.</w:t>
      </w:r>
    </w:p>
    <w:p w14:paraId="27CCED5B"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t>Es así que el transexual tiene una irresistible aspiración a pertenecer al sexo opuesto al de su nacimiento o sexo cromosómico. La presencia de sus genitales se le presenta como un hecho intolerable, por lo que rechaza su morfología sexual. El transexual aborrece sus atributos genitales. Es tal persistencia de su vivencia como perteneciente al sexo opuesto al que biológicamente le asignó la naturaleza que pretende su modificación quirúrgica a fin de "</w:t>
      </w:r>
      <w:r w:rsidRPr="00792B12">
        <w:rPr>
          <w:rFonts w:ascii="Arial" w:hAnsi="Arial" w:cs="Arial"/>
          <w:i/>
          <w:color w:val="000000"/>
        </w:rPr>
        <w:t>sustituir</w:t>
      </w:r>
      <w:r w:rsidRPr="00792B12">
        <w:rPr>
          <w:rFonts w:ascii="Arial" w:hAnsi="Arial" w:cs="Arial"/>
          <w:color w:val="000000"/>
        </w:rPr>
        <w:t>” sus genitales por los que corresponden a su estado psicológico, a su identidad dinámica, a su “manera de ser”.</w:t>
      </w:r>
    </w:p>
    <w:p w14:paraId="7BBA7454"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t>En efecto, el transexual está decidido a someterse una intervención quirúrgica demoledora-reconstructiva que modifique su apariencia exterior, su morfología genital, con la finalidad que ella se aproxime a la del sexo vivido y sentido, que es el que sintoniza con su peculiar personalidad o a tratamientos hormonales para este fin.</w:t>
      </w:r>
    </w:p>
    <w:p w14:paraId="3B0DA42A"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t xml:space="preserve">Se ha considerado que la intervención quirúrgica es considerada por el transexual como un acto liberador de un estado de opresión en que vive, aunque también, como anota Pasquale </w:t>
      </w:r>
      <w:proofErr w:type="spellStart"/>
      <w:r w:rsidRPr="00792B12">
        <w:rPr>
          <w:rFonts w:ascii="Arial" w:hAnsi="Arial" w:cs="Arial"/>
          <w:color w:val="000000"/>
        </w:rPr>
        <w:t>Stanzione</w:t>
      </w:r>
      <w:proofErr w:type="spellEnd"/>
      <w:r w:rsidRPr="00792B12">
        <w:rPr>
          <w:rFonts w:ascii="Arial" w:hAnsi="Arial" w:cs="Arial"/>
          <w:color w:val="000000"/>
          <w:vertAlign w:val="superscript"/>
        </w:rPr>
        <w:footnoteReference w:id="134"/>
      </w:r>
      <w:r w:rsidRPr="00792B12">
        <w:rPr>
          <w:rFonts w:ascii="Arial" w:hAnsi="Arial" w:cs="Arial"/>
          <w:color w:val="000000"/>
        </w:rPr>
        <w:t>, no conduce elementos nuevos en la posición del paciente. Ciertamente es una decisión radical para su drama existencial</w:t>
      </w:r>
      <w:r w:rsidRPr="00792B12">
        <w:rPr>
          <w:rFonts w:ascii="Arial" w:hAnsi="Arial" w:cs="Arial"/>
          <w:color w:val="000000"/>
          <w:vertAlign w:val="superscript"/>
        </w:rPr>
        <w:footnoteReference w:id="135"/>
      </w:r>
      <w:r w:rsidRPr="00792B12">
        <w:rPr>
          <w:rFonts w:ascii="Arial" w:hAnsi="Arial" w:cs="Arial"/>
          <w:color w:val="000000"/>
        </w:rPr>
        <w:t xml:space="preserve">. La persona transexual considera que la intervención médica-quirúrgica permitirá vivir de acuerdo al sexo que </w:t>
      </w:r>
      <w:r w:rsidRPr="00792B12">
        <w:rPr>
          <w:rFonts w:ascii="Arial" w:hAnsi="Arial" w:cs="Arial"/>
          <w:color w:val="000000"/>
        </w:rPr>
        <w:lastRenderedPageBreak/>
        <w:t xml:space="preserve">vive y siente. No debe olvidarse que la persona se siente prisionero dentro del cuerpo con el cual nació y estima que los atributos genitales que posee son un trágico error. </w:t>
      </w:r>
    </w:p>
    <w:p w14:paraId="155FBD98"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t xml:space="preserve">En la sentencia 161 del 6 de mayo de 1985 la Corte Constitucional de Italia, como señala con razón Carlos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36"/>
      </w:r>
      <w:r w:rsidRPr="00792B12">
        <w:rPr>
          <w:rFonts w:ascii="Arial" w:hAnsi="Arial" w:cs="Arial"/>
          <w:color w:val="000000"/>
        </w:rPr>
        <w:t>, al declarar que no era inconstitucional la ley de reasignación de sexo de 1982, declaró que la intervención quirúrgica a que se somete el transexual logra “</w:t>
      </w:r>
      <w:r w:rsidRPr="00792B12">
        <w:rPr>
          <w:rFonts w:ascii="Arial" w:hAnsi="Arial" w:cs="Arial"/>
          <w:i/>
          <w:color w:val="000000"/>
        </w:rPr>
        <w:t>recomponer el equilibrio entre soma y psiquis, permitiéndole al transexual gozar de una situación de relativo bienestar, estableciendo las condiciones para una vida sexual y de relación lo más normal posible</w:t>
      </w:r>
      <w:r w:rsidRPr="00792B12">
        <w:rPr>
          <w:rFonts w:ascii="Arial" w:hAnsi="Arial" w:cs="Arial"/>
          <w:color w:val="000000"/>
        </w:rPr>
        <w:t>”.</w:t>
      </w:r>
    </w:p>
    <w:p w14:paraId="14F93DFF"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t xml:space="preserve">Tenemos que tomar en consideración que, si bien la operación demoledora-reconstructiva es compleja, no se logra cambiar el sexo cromosómico. Anota, en este sentido Pasquale </w:t>
      </w:r>
      <w:proofErr w:type="spellStart"/>
      <w:r w:rsidRPr="00792B12">
        <w:rPr>
          <w:rFonts w:ascii="Arial" w:hAnsi="Arial" w:cs="Arial"/>
          <w:color w:val="000000"/>
        </w:rPr>
        <w:t>Stanzione</w:t>
      </w:r>
      <w:proofErr w:type="spellEnd"/>
      <w:r w:rsidRPr="00792B12">
        <w:rPr>
          <w:rFonts w:ascii="Arial" w:hAnsi="Arial" w:cs="Arial"/>
          <w:color w:val="000000"/>
          <w:vertAlign w:val="superscript"/>
        </w:rPr>
        <w:footnoteReference w:id="137"/>
      </w:r>
      <w:r w:rsidRPr="00792B12">
        <w:rPr>
          <w:rFonts w:ascii="Arial" w:hAnsi="Arial" w:cs="Arial"/>
          <w:color w:val="000000"/>
        </w:rPr>
        <w:t xml:space="preserve">, que, por ejemplo, la persona transexual varón no dejará de ser tal, bajo en perfil genético, debido a que no es posible crearle gónadas femeninas. </w:t>
      </w:r>
    </w:p>
    <w:p w14:paraId="38CC27F1"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t>En el caso del transexual hombre la operación quirúrgica consiste “</w:t>
      </w:r>
      <w:r w:rsidRPr="00792B12">
        <w:rPr>
          <w:rFonts w:ascii="Arial" w:hAnsi="Arial" w:cs="Arial"/>
          <w:i/>
          <w:color w:val="000000"/>
        </w:rPr>
        <w:t>en la remoción de los testículos, la amputación del pene y la formación de una vagina artificial valiéndose de partes del pene</w:t>
      </w:r>
      <w:r w:rsidRPr="00792B12">
        <w:rPr>
          <w:rFonts w:ascii="Arial" w:hAnsi="Arial" w:cs="Arial"/>
          <w:color w:val="000000"/>
        </w:rPr>
        <w:t>”</w:t>
      </w:r>
      <w:r w:rsidRPr="00792B12">
        <w:rPr>
          <w:rFonts w:ascii="Arial" w:hAnsi="Arial" w:cs="Arial"/>
          <w:color w:val="000000"/>
          <w:vertAlign w:val="superscript"/>
        </w:rPr>
        <w:footnoteReference w:id="138"/>
      </w:r>
      <w:r w:rsidRPr="00792B12">
        <w:rPr>
          <w:rFonts w:ascii="Arial" w:hAnsi="Arial" w:cs="Arial"/>
          <w:color w:val="000000"/>
        </w:rPr>
        <w:t xml:space="preserve">. A lo que se suma el aumento del volumen de los senos mediante implantes, así como la disminución de la manzana de Adán. Respecto a la cirugía de mujer a hombre, la intervención es más complicada, como indica bien Carlos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39"/>
      </w:r>
      <w:r w:rsidRPr="00792B12">
        <w:rPr>
          <w:rFonts w:ascii="Arial" w:hAnsi="Arial" w:cs="Arial"/>
          <w:color w:val="000000"/>
        </w:rPr>
        <w:t xml:space="preserve">, por cuanto se suprimen los ovarios y el útero, los senos se reducen de tamaño y se fabrica un pene artificial. </w:t>
      </w:r>
    </w:p>
    <w:p w14:paraId="0B252D42"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t>Otras posturas en el cambio médico no admiten el recurso a la intervención quirúrgica demoledora-reconstructiva, considerando que el sexo es invariable e inmutable, por lo que privilegian el elemento biológico sobre el psicológico, por lo que recomiendan terapias hormonales o psiquiátricas, con el objetivo de reafirmar el sexo cromosómi</w:t>
      </w:r>
      <w:r w:rsidRPr="00792B12">
        <w:rPr>
          <w:rFonts w:ascii="Arial" w:hAnsi="Arial" w:cs="Arial"/>
          <w:color w:val="000000"/>
        </w:rPr>
        <w:softHyphen/>
        <w:t>co, afirmando que las intervenciones médicas-quirúrgicas atentan contra la integridad psicosomática del sujeto.</w:t>
      </w:r>
      <w:r w:rsidRPr="00792B12">
        <w:rPr>
          <w:rFonts w:ascii="Arial" w:hAnsi="Arial" w:cs="Arial"/>
          <w:color w:val="000000"/>
          <w14:shadow w14:blurRad="50800" w14:dist="38100" w14:dir="2700000" w14:sx="100000" w14:sy="100000" w14:kx="0" w14:ky="0" w14:algn="tl">
            <w14:srgbClr w14:val="000000">
              <w14:alpha w14:val="60000"/>
            </w14:srgbClr>
          </w14:shadow>
        </w:rPr>
        <w:t xml:space="preserve"> </w:t>
      </w:r>
    </w:p>
    <w:p w14:paraId="2C45F540" w14:textId="77777777" w:rsidR="0096481E" w:rsidRPr="00792B12" w:rsidRDefault="0096481E" w:rsidP="0096481E">
      <w:pPr>
        <w:tabs>
          <w:tab w:val="center" w:pos="9498"/>
        </w:tabs>
        <w:overflowPunct w:val="0"/>
        <w:autoSpaceDE w:val="0"/>
        <w:autoSpaceDN w:val="0"/>
        <w:adjustRightInd w:val="0"/>
        <w:spacing w:after="240" w:line="360" w:lineRule="auto"/>
        <w:ind w:firstLine="568"/>
        <w:jc w:val="both"/>
        <w:textAlignment w:val="baseline"/>
        <w:rPr>
          <w:rFonts w:ascii="Arial" w:eastAsia="Times New Roman" w:hAnsi="Arial" w:cs="Arial"/>
          <w:noProof/>
          <w:color w:val="000000"/>
          <w:lang w:eastAsia="es-ES"/>
        </w:rPr>
      </w:pPr>
      <w:r w:rsidRPr="00792B12">
        <w:rPr>
          <w:rFonts w:ascii="Arial" w:eastAsia="Times New Roman" w:hAnsi="Arial" w:cs="Arial"/>
          <w:noProof/>
          <w:color w:val="000000"/>
          <w:lang w:eastAsia="es-ES"/>
        </w:rPr>
        <w:lastRenderedPageBreak/>
        <w:t xml:space="preserve">Es necesario precisar que estas posturas soslayan que lo más importante en el ser humano es actuar de acuerdo con su “proyecto de vida”, su destino personal, en tanto no contrarie el orden público, la moral y lesione a otras personas, a fin de que el sujeto pueda vivir una salud integral. </w:t>
      </w:r>
    </w:p>
    <w:p w14:paraId="12DE5B8A" w14:textId="77777777" w:rsidR="0096481E" w:rsidRPr="00792B12" w:rsidRDefault="0096481E" w:rsidP="0096481E">
      <w:pPr>
        <w:tabs>
          <w:tab w:val="center" w:pos="9498"/>
        </w:tabs>
        <w:overflowPunct w:val="0"/>
        <w:autoSpaceDE w:val="0"/>
        <w:autoSpaceDN w:val="0"/>
        <w:adjustRightInd w:val="0"/>
        <w:spacing w:after="240" w:line="360" w:lineRule="auto"/>
        <w:ind w:firstLine="568"/>
        <w:jc w:val="both"/>
        <w:textAlignment w:val="baseline"/>
        <w:rPr>
          <w:rFonts w:ascii="Arial" w:eastAsia="Times New Roman" w:hAnsi="Arial" w:cs="Arial"/>
          <w:noProof/>
          <w:color w:val="000000"/>
          <w:lang w:eastAsia="es-ES"/>
        </w:rPr>
      </w:pPr>
      <w:r w:rsidRPr="00792B12">
        <w:rPr>
          <w:rFonts w:ascii="Arial" w:eastAsia="Times New Roman" w:hAnsi="Arial" w:cs="Arial"/>
          <w:noProof/>
          <w:color w:val="000000"/>
          <w:lang w:eastAsia="es-ES"/>
        </w:rPr>
        <w:t>Asimismo, es necesario precisar, siguiendo a Fernández Sessarego</w:t>
      </w:r>
      <w:r w:rsidRPr="00792B12">
        <w:rPr>
          <w:rFonts w:ascii="Arial" w:eastAsia="Times New Roman" w:hAnsi="Arial" w:cs="Arial"/>
          <w:noProof/>
          <w:color w:val="000000"/>
          <w:vertAlign w:val="superscript"/>
          <w:lang w:eastAsia="es-ES"/>
        </w:rPr>
        <w:footnoteReference w:id="140"/>
      </w:r>
      <w:r w:rsidRPr="00792B12">
        <w:rPr>
          <w:rFonts w:ascii="Arial" w:eastAsia="Times New Roman" w:hAnsi="Arial" w:cs="Arial"/>
          <w:noProof/>
          <w:color w:val="000000"/>
          <w:lang w:eastAsia="es-ES"/>
        </w:rPr>
        <w:t xml:space="preserve">, que la intervención médico-quirúrgica, que se basa en argumentos valorativos y jurídico, no se constituye como una mutilación a la persona, sino más bien en un acto que busca restablecer la salud perdida, incluso la satisfacción de la vida del sujeto. </w:t>
      </w:r>
    </w:p>
    <w:p w14:paraId="776A74F4" w14:textId="77777777" w:rsidR="0096481E" w:rsidRPr="00792B12" w:rsidRDefault="0096481E" w:rsidP="0096481E">
      <w:pPr>
        <w:tabs>
          <w:tab w:val="center" w:pos="9498"/>
        </w:tabs>
        <w:spacing w:after="240" w:line="360" w:lineRule="auto"/>
        <w:ind w:firstLine="568"/>
        <w:jc w:val="both"/>
        <w:rPr>
          <w:rFonts w:ascii="Arial" w:eastAsia="Times New Roman" w:hAnsi="Arial" w:cs="Arial"/>
          <w:noProof/>
          <w:color w:val="000000"/>
          <w:lang w:eastAsia="es-ES"/>
        </w:rPr>
      </w:pPr>
      <w:r w:rsidRPr="00792B12">
        <w:rPr>
          <w:rFonts w:ascii="Arial" w:eastAsia="Times New Roman" w:hAnsi="Arial" w:cs="Arial"/>
          <w:noProof/>
          <w:color w:val="000000"/>
          <w:lang w:eastAsia="es-ES"/>
        </w:rPr>
        <w:t>La posiciones que plantean que el sexo es inmutable, como señala nuevamente Fernández Sessarego</w:t>
      </w:r>
      <w:r w:rsidRPr="00792B12">
        <w:rPr>
          <w:rFonts w:ascii="Arial" w:eastAsia="Times New Roman" w:hAnsi="Arial" w:cs="Arial"/>
          <w:noProof/>
          <w:color w:val="000000"/>
          <w:vertAlign w:val="superscript"/>
          <w:lang w:eastAsia="es-ES"/>
        </w:rPr>
        <w:footnoteReference w:id="141"/>
      </w:r>
      <w:r w:rsidRPr="00792B12">
        <w:rPr>
          <w:rFonts w:ascii="Arial" w:eastAsia="Times New Roman" w:hAnsi="Arial" w:cs="Arial"/>
          <w:noProof/>
          <w:color w:val="000000"/>
          <w:lang w:eastAsia="es-ES"/>
        </w:rPr>
        <w:t>, se equivocan al confundir el aspecto cromosómico con el psicosocial, ignorando de lo que se trata no es realizar un cambio total de sexo, en rigor imposible a nivel cromósomico, sino más bien curar a una persona, un ser humano que vive y siente su sexualidad de manera diversa al sexo con el cual nació. Como ha señalado con razón la profesora argentina Matilde Zavala de González</w:t>
      </w:r>
      <w:r w:rsidRPr="00792B12">
        <w:rPr>
          <w:rFonts w:ascii="Arial" w:eastAsia="Times New Roman" w:hAnsi="Arial" w:cs="Arial"/>
          <w:noProof/>
          <w:color w:val="000000"/>
          <w:vertAlign w:val="superscript"/>
          <w:lang w:eastAsia="es-ES"/>
        </w:rPr>
        <w:footnoteReference w:id="142"/>
      </w:r>
      <w:r w:rsidRPr="00792B12">
        <w:rPr>
          <w:rFonts w:ascii="Arial" w:eastAsia="Times New Roman" w:hAnsi="Arial" w:cs="Arial"/>
          <w:noProof/>
          <w:color w:val="000000"/>
          <w:lang w:eastAsia="es-ES"/>
        </w:rPr>
        <w:t xml:space="preserve"> en la persona transexual el sexo cromósomico se encuentra esclarecido y no se presenta anomalía en sus órganos genitales, ni en los demás elementos físicos definitorios del sexo, pero padecen una diferencia, una antinomia, entre la identidad sexual que surge de dichos parámetros y su realidad anímica. En sintesis, sienten pertenecer al sexo opuesto, sin serlo físicamente. </w:t>
      </w:r>
    </w:p>
    <w:p w14:paraId="4A159AD8" w14:textId="77777777" w:rsidR="0096481E" w:rsidRPr="00792B12" w:rsidRDefault="0096481E" w:rsidP="0096481E">
      <w:pPr>
        <w:tabs>
          <w:tab w:val="center" w:pos="9498"/>
        </w:tabs>
        <w:spacing w:after="240" w:line="360" w:lineRule="auto"/>
        <w:ind w:firstLine="568"/>
        <w:jc w:val="both"/>
        <w:rPr>
          <w:rFonts w:ascii="Arial" w:eastAsia="Times New Roman" w:hAnsi="Arial" w:cs="Arial"/>
          <w:noProof/>
          <w:color w:val="000000"/>
          <w:lang w:eastAsia="es-ES"/>
        </w:rPr>
      </w:pPr>
      <w:r w:rsidRPr="00792B12">
        <w:rPr>
          <w:rFonts w:ascii="Arial" w:eastAsia="Times New Roman" w:hAnsi="Arial" w:cs="Arial"/>
          <w:noProof/>
          <w:color w:val="000000"/>
          <w:lang w:eastAsia="es-ES"/>
        </w:rPr>
        <w:t xml:space="preserve">Mientras que otras posiciones, como la que en Perú postulaba el profesor Carlos Fernández Sessarego, consideran que la sexualidad no es inmutable sino dinámica, debido a que el sexo no se puede reducir tan solo a la configuración somática. Al dar mayor importancia al sexo psicológico frente al biológico, se respeta lo más importante en el ser humano, en la persona, que es la libertad de vivir su sexualidad, de sentirla, por ello su atención a la problemática de la transexualidad. Por ello su preocupación de favorecer las intervenciones quirúrgicas como terapias hormonales y otros que le permitan vivir el sexo al cual sienten pertenecer. Sustenta esta línea doctrina basados en el respeto a la libertad del sujeto a vivir de acuerdo con su proyecto existencial, al </w:t>
      </w:r>
      <w:r w:rsidRPr="00792B12">
        <w:rPr>
          <w:rFonts w:ascii="Arial" w:eastAsia="Times New Roman" w:hAnsi="Arial" w:cs="Arial"/>
          <w:noProof/>
          <w:color w:val="000000"/>
          <w:lang w:eastAsia="es-ES"/>
        </w:rPr>
        <w:lastRenderedPageBreak/>
        <w:t>libre desarrollo de su personali</w:t>
      </w:r>
      <w:r w:rsidRPr="00792B12">
        <w:rPr>
          <w:rFonts w:ascii="Arial" w:eastAsia="Times New Roman" w:hAnsi="Arial" w:cs="Arial"/>
          <w:noProof/>
          <w:color w:val="000000"/>
          <w:lang w:eastAsia="es-ES"/>
        </w:rPr>
        <w:softHyphen/>
        <w:t xml:space="preserve">dad, siempre que no se lesione </w:t>
      </w:r>
      <w:smartTag w:uri="urn:schemas-microsoft-com:office:smarttags" w:element="PersonName">
        <w:smartTagPr>
          <w:attr w:name="ProductID" w:val="el derecho o"/>
        </w:smartTagPr>
        <w:r w:rsidRPr="00792B12">
          <w:rPr>
            <w:rFonts w:ascii="Arial" w:eastAsia="Times New Roman" w:hAnsi="Arial" w:cs="Arial"/>
            <w:noProof/>
            <w:color w:val="000000"/>
            <w:lang w:eastAsia="es-ES"/>
          </w:rPr>
          <w:t>el derecho o</w:t>
        </w:r>
      </w:smartTag>
      <w:r w:rsidRPr="00792B12">
        <w:rPr>
          <w:rFonts w:ascii="Arial" w:eastAsia="Times New Roman" w:hAnsi="Arial" w:cs="Arial"/>
          <w:noProof/>
          <w:color w:val="000000"/>
          <w:lang w:eastAsia="es-ES"/>
        </w:rPr>
        <w:t xml:space="preserve"> el interés de los otras personas.</w:t>
      </w:r>
    </w:p>
    <w:p w14:paraId="39E22104" w14:textId="77777777" w:rsidR="0096481E" w:rsidRPr="00792B12" w:rsidRDefault="0096481E" w:rsidP="0096481E">
      <w:pPr>
        <w:tabs>
          <w:tab w:val="center" w:pos="9498"/>
        </w:tabs>
        <w:spacing w:after="240" w:line="360" w:lineRule="auto"/>
        <w:ind w:firstLine="568"/>
        <w:jc w:val="both"/>
        <w:rPr>
          <w:rFonts w:ascii="Arial" w:eastAsia="Times New Roman" w:hAnsi="Arial" w:cs="Arial"/>
          <w:noProof/>
          <w:color w:val="000000"/>
          <w:lang w:eastAsia="es-ES"/>
        </w:rPr>
      </w:pPr>
      <w:r w:rsidRPr="00792B12">
        <w:rPr>
          <w:rFonts w:ascii="Arial" w:eastAsia="Times New Roman" w:hAnsi="Arial" w:cs="Arial"/>
          <w:noProof/>
          <w:color w:val="000000"/>
          <w:lang w:eastAsia="es-ES"/>
        </w:rPr>
        <w:t>No obstante, no debe olvidarse que el transexual tiene su identidad personalidad, a su “</w:t>
      </w:r>
      <w:r w:rsidRPr="00792B12">
        <w:rPr>
          <w:rFonts w:ascii="Arial" w:eastAsia="Times New Roman" w:hAnsi="Arial" w:cs="Arial"/>
          <w:i/>
          <w:noProof/>
          <w:color w:val="000000"/>
          <w:lang w:eastAsia="es-ES"/>
        </w:rPr>
        <w:t>verdad personal</w:t>
      </w:r>
      <w:r w:rsidRPr="00792B12">
        <w:rPr>
          <w:rFonts w:ascii="Arial" w:eastAsia="Times New Roman" w:hAnsi="Arial" w:cs="Arial"/>
          <w:noProof/>
          <w:color w:val="000000"/>
          <w:lang w:eastAsia="es-ES"/>
        </w:rPr>
        <w:t>”. Como afirma acertadamente Salvatore Patti</w:t>
      </w:r>
      <w:r w:rsidRPr="00792B12">
        <w:rPr>
          <w:rFonts w:ascii="Arial" w:eastAsia="Times New Roman" w:hAnsi="Arial" w:cs="Arial"/>
          <w:noProof/>
          <w:color w:val="000000"/>
          <w:vertAlign w:val="superscript"/>
          <w:lang w:eastAsia="es-ES"/>
        </w:rPr>
        <w:footnoteReference w:id="143"/>
      </w:r>
      <w:r w:rsidRPr="00792B12">
        <w:rPr>
          <w:rFonts w:ascii="Arial" w:eastAsia="Times New Roman" w:hAnsi="Arial" w:cs="Arial"/>
          <w:noProof/>
          <w:color w:val="000000"/>
          <w:lang w:eastAsia="es-ES"/>
        </w:rPr>
        <w:t>, que el concepto de identidad sexual implica no solamente el interés a la comprobación pública del sexo sino también el interés del sujeto a una correspondencia entre las características físicas, entre otros que se basa en el juicio de la colectividad respecto a la identidad sexual que se atribuye a la persona, y el convencimiento subjetivo de su pertenencia a un determinado sexo.</w:t>
      </w:r>
    </w:p>
    <w:p w14:paraId="33197A69" w14:textId="77777777" w:rsidR="0096481E" w:rsidRPr="00792B12" w:rsidRDefault="0096481E" w:rsidP="0096481E">
      <w:pPr>
        <w:tabs>
          <w:tab w:val="center" w:pos="9498"/>
        </w:tabs>
        <w:spacing w:after="240" w:line="360" w:lineRule="auto"/>
        <w:ind w:firstLine="568"/>
        <w:jc w:val="both"/>
        <w:rPr>
          <w:rFonts w:ascii="Arial" w:eastAsia="Times New Roman" w:hAnsi="Arial" w:cs="Arial"/>
          <w:noProof/>
          <w:color w:val="000000"/>
          <w:lang w:eastAsia="es-ES"/>
        </w:rPr>
      </w:pPr>
      <w:r w:rsidRPr="00792B12">
        <w:rPr>
          <w:rFonts w:ascii="Arial" w:eastAsia="Times New Roman" w:hAnsi="Arial" w:cs="Arial"/>
          <w:noProof/>
          <w:color w:val="000000"/>
          <w:lang w:eastAsia="es-ES"/>
        </w:rPr>
        <w:t xml:space="preserve">El drama y desequilibrio que vive la persona transexual afecta su salud, su bienestar en manera integral, por lo que un sector de los estudiosos sobre el tema apoyan la intervención quirúrgica y médica, considerando que no es un atentado contra la integridad psicosomática del sujeto, sino la búsqueda de tutela de su salud, reestablecer su bienestar. Por ello, la  adecuación morfológica genital tiene como base el respeto a la libertad de la persona, de su dignidad, el derecho que le asiste de vivir con salud integral, alcazando bienestar. </w:t>
      </w:r>
    </w:p>
    <w:p w14:paraId="7379CD75" w14:textId="77777777" w:rsidR="0096481E" w:rsidRPr="00792B12" w:rsidRDefault="0096481E" w:rsidP="0096481E">
      <w:pPr>
        <w:tabs>
          <w:tab w:val="center" w:pos="9498"/>
        </w:tabs>
        <w:spacing w:after="240" w:line="360" w:lineRule="auto"/>
        <w:ind w:firstLine="568"/>
        <w:jc w:val="both"/>
        <w:rPr>
          <w:rFonts w:ascii="Arial" w:hAnsi="Arial" w:cs="Arial"/>
          <w:color w:val="000000"/>
        </w:rPr>
      </w:pPr>
      <w:r w:rsidRPr="00792B12">
        <w:rPr>
          <w:rFonts w:ascii="Arial" w:hAnsi="Arial" w:cs="Arial"/>
          <w:color w:val="000000"/>
        </w:rPr>
        <w:t xml:space="preserve">La persona transexual se identifica con el sexo opuesto al cromosómico de nacimiento. </w:t>
      </w:r>
      <w:r w:rsidRPr="00792B12">
        <w:rPr>
          <w:rFonts w:ascii="Arial" w:hAnsi="Arial" w:cs="Arial"/>
          <w:i/>
          <w:color w:val="000000"/>
        </w:rPr>
        <w:t>Esa es “su” identidad y no otra</w:t>
      </w:r>
      <w:r w:rsidRPr="00792B12">
        <w:rPr>
          <w:rFonts w:ascii="Arial" w:hAnsi="Arial" w:cs="Arial"/>
          <w:color w:val="000000"/>
        </w:rPr>
        <w:t xml:space="preserve">. Al transexual, como señala Fernández </w:t>
      </w:r>
      <w:proofErr w:type="spellStart"/>
      <w:r w:rsidRPr="00792B12">
        <w:rPr>
          <w:rFonts w:ascii="Arial" w:hAnsi="Arial" w:cs="Arial"/>
          <w:color w:val="000000"/>
        </w:rPr>
        <w:t>Sessarego</w:t>
      </w:r>
      <w:proofErr w:type="spellEnd"/>
      <w:r w:rsidRPr="00792B12">
        <w:rPr>
          <w:rFonts w:ascii="Arial" w:hAnsi="Arial" w:cs="Arial"/>
          <w:color w:val="000000"/>
          <w:vertAlign w:val="superscript"/>
        </w:rPr>
        <w:footnoteReference w:id="144"/>
      </w:r>
      <w:r w:rsidRPr="00792B12">
        <w:rPr>
          <w:rFonts w:ascii="Arial" w:hAnsi="Arial" w:cs="Arial"/>
          <w:color w:val="000000"/>
        </w:rPr>
        <w:t>, no le importa su sexo cromosómico sino vivir de acuerdo con lo que es su “</w:t>
      </w:r>
      <w:r w:rsidRPr="00792B12">
        <w:rPr>
          <w:rFonts w:ascii="Arial" w:hAnsi="Arial" w:cs="Arial"/>
          <w:i/>
          <w:color w:val="000000"/>
        </w:rPr>
        <w:t>verdad personal</w:t>
      </w:r>
      <w:r w:rsidRPr="00792B12">
        <w:rPr>
          <w:rFonts w:ascii="Arial" w:hAnsi="Arial" w:cs="Arial"/>
          <w:color w:val="000000"/>
        </w:rPr>
        <w:t>” en el aspecto de su sexualidad personal. En esta situación predomina en el transexual la identidad dinámica, que la identidad estática, es decir, el sexo con el que vive y se siente identificado.</w:t>
      </w:r>
    </w:p>
    <w:p w14:paraId="22CBEE01" w14:textId="77777777" w:rsidR="0096481E" w:rsidRPr="00792B12" w:rsidRDefault="0096481E" w:rsidP="0096481E">
      <w:pPr>
        <w:spacing w:after="240" w:line="360" w:lineRule="auto"/>
        <w:rPr>
          <w:rFonts w:ascii="Arial" w:hAnsi="Arial" w:cs="Arial"/>
          <w:color w:val="000000"/>
        </w:rPr>
      </w:pPr>
      <w:r w:rsidRPr="00792B12">
        <w:rPr>
          <w:rFonts w:ascii="Arial" w:hAnsi="Arial" w:cs="Arial"/>
          <w:color w:val="000000"/>
        </w:rPr>
        <w:br w:type="page"/>
      </w:r>
    </w:p>
    <w:p w14:paraId="04765071" w14:textId="77777777" w:rsidR="0096481E" w:rsidRPr="00792B12" w:rsidRDefault="0096481E" w:rsidP="0096481E">
      <w:pPr>
        <w:spacing w:after="240" w:line="360" w:lineRule="auto"/>
        <w:rPr>
          <w:rFonts w:ascii="Arial" w:hAnsi="Arial" w:cs="Arial"/>
          <w:sz w:val="28"/>
          <w:szCs w:val="28"/>
        </w:rPr>
      </w:pPr>
    </w:p>
    <w:p w14:paraId="49F8BBBE"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Capítulo Quinto:</w:t>
      </w:r>
    </w:p>
    <w:p w14:paraId="664746CE" w14:textId="77777777" w:rsidR="0096481E" w:rsidRPr="00792B12"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792B12">
        <w:rPr>
          <w:rFonts w:ascii="Arial" w:hAnsi="Arial" w:cs="Arial"/>
          <w:b/>
          <w:bCs/>
          <w:sz w:val="28"/>
          <w:szCs w:val="28"/>
          <w:lang w:eastAsia="it-IT"/>
        </w:rPr>
        <w:t>El derecho a la identidad personal y sexual en la experiencia jurídica italiana</w:t>
      </w:r>
    </w:p>
    <w:p w14:paraId="5774446C" w14:textId="77777777" w:rsidR="0096481E" w:rsidRPr="00792B12" w:rsidRDefault="0096481E" w:rsidP="0096481E">
      <w:pPr>
        <w:pStyle w:val="Ttulo1"/>
        <w:tabs>
          <w:tab w:val="left" w:pos="-720"/>
          <w:tab w:val="center" w:pos="9498"/>
        </w:tabs>
        <w:spacing w:after="240" w:line="360" w:lineRule="auto"/>
        <w:jc w:val="both"/>
        <w:rPr>
          <w:rFonts w:ascii="Arial" w:hAnsi="Arial" w:cs="Arial"/>
          <w:color w:val="000000"/>
          <w:sz w:val="22"/>
          <w:szCs w:val="22"/>
          <w:lang w:val="es-PE"/>
        </w:rPr>
      </w:pPr>
      <w:r w:rsidRPr="00792B12">
        <w:rPr>
          <w:rFonts w:ascii="Arial" w:eastAsia="Calibri" w:hAnsi="Arial" w:cs="Arial"/>
          <w:b w:val="0"/>
          <w:kern w:val="0"/>
          <w:sz w:val="24"/>
          <w:szCs w:val="24"/>
          <w:lang w:val="es-PE" w:eastAsia="it-IT"/>
        </w:rPr>
        <w:t>1</w:t>
      </w:r>
      <w:r w:rsidRPr="00792B12">
        <w:rPr>
          <w:rFonts w:ascii="Arial" w:hAnsi="Arial" w:cs="Arial"/>
          <w:color w:val="000000"/>
          <w:sz w:val="22"/>
          <w:szCs w:val="22"/>
          <w:lang w:val="es-PE"/>
        </w:rPr>
        <w:t>.- Antecedentes jurisprudenciales del derecho a la identidad personal en Italia</w:t>
      </w:r>
    </w:p>
    <w:p w14:paraId="2271B92E" w14:textId="49C200FB" w:rsidR="0096481E" w:rsidRPr="00792B12" w:rsidRDefault="0096481E" w:rsidP="0096481E">
      <w:pPr>
        <w:tabs>
          <w:tab w:val="center" w:pos="9498"/>
        </w:tabs>
        <w:suppressAutoHyphens/>
        <w:autoSpaceDE w:val="0"/>
        <w:autoSpaceDN w:val="0"/>
        <w:adjustRightInd w:val="0"/>
        <w:spacing w:before="144" w:after="240" w:line="360" w:lineRule="auto"/>
        <w:ind w:firstLine="708"/>
        <w:jc w:val="both"/>
        <w:textAlignment w:val="center"/>
        <w:rPr>
          <w:rFonts w:ascii="Arial" w:hAnsi="Arial" w:cs="Arial"/>
          <w:color w:val="000000"/>
        </w:rPr>
      </w:pPr>
      <w:r w:rsidRPr="00792B12">
        <w:rPr>
          <w:rFonts w:ascii="Arial" w:hAnsi="Arial" w:cs="Arial"/>
          <w:color w:val="000000"/>
        </w:rPr>
        <w:t>El desarrollo de los derechos de la persona, o derechos de la personalidad, como también se les conoce en la doctrina civilista, es relativamente breve</w:t>
      </w:r>
      <w:r w:rsidRPr="00792B12">
        <w:rPr>
          <w:rStyle w:val="Refdenotaalpie"/>
          <w:rFonts w:ascii="Arial" w:hAnsi="Arial" w:cs="Arial"/>
          <w:color w:val="000000"/>
        </w:rPr>
        <w:footnoteReference w:id="145"/>
      </w:r>
      <w:r w:rsidRPr="00792B12">
        <w:rPr>
          <w:rFonts w:ascii="Arial" w:hAnsi="Arial" w:cs="Arial"/>
          <w:color w:val="000000"/>
        </w:rPr>
        <w:t xml:space="preserve">. Solo en el siglo XX la ciencia jurídica empieza a ocuparse de ellos de modo definido. Incluso, como resalta Francesca Donato </w:t>
      </w:r>
      <w:proofErr w:type="spellStart"/>
      <w:r w:rsidRPr="00792B12">
        <w:rPr>
          <w:rFonts w:ascii="Arial" w:hAnsi="Arial" w:cs="Arial"/>
          <w:color w:val="000000"/>
        </w:rPr>
        <w:t>Busnelli</w:t>
      </w:r>
      <w:proofErr w:type="spellEnd"/>
      <w:r w:rsidRPr="00792B12">
        <w:rPr>
          <w:rStyle w:val="Refdenotaalpie"/>
          <w:rFonts w:ascii="Arial" w:hAnsi="Arial" w:cs="Arial"/>
          <w:color w:val="000000"/>
        </w:rPr>
        <w:footnoteReference w:id="146"/>
      </w:r>
      <w:r w:rsidRPr="00792B12">
        <w:rPr>
          <w:rFonts w:ascii="Arial" w:hAnsi="Arial" w:cs="Arial"/>
          <w:color w:val="000000"/>
        </w:rPr>
        <w:t xml:space="preserve"> en la experiencia jurídica italiana, el derecho de </w:t>
      </w:r>
      <w:r w:rsidR="001B2B15" w:rsidRPr="00792B12">
        <w:rPr>
          <w:rFonts w:ascii="Arial" w:hAnsi="Arial" w:cs="Arial"/>
          <w:color w:val="000000"/>
        </w:rPr>
        <w:t>la persona</w:t>
      </w:r>
      <w:r w:rsidRPr="00792B12">
        <w:rPr>
          <w:rFonts w:ascii="Arial" w:hAnsi="Arial" w:cs="Arial"/>
          <w:color w:val="000000"/>
        </w:rPr>
        <w:t xml:space="preserve"> es una “rara ave” dentro de la codificación civil italiana de 1942. En esa línea, </w:t>
      </w:r>
      <w:proofErr w:type="spellStart"/>
      <w:r w:rsidRPr="00792B12">
        <w:rPr>
          <w:rFonts w:ascii="Arial" w:hAnsi="Arial" w:cs="Arial"/>
          <w:color w:val="000000"/>
        </w:rPr>
        <w:t>Maria</w:t>
      </w:r>
      <w:proofErr w:type="spellEnd"/>
      <w:r w:rsidRPr="00792B12">
        <w:rPr>
          <w:rFonts w:ascii="Arial" w:hAnsi="Arial" w:cs="Arial"/>
          <w:color w:val="000000"/>
        </w:rPr>
        <w:t xml:space="preserve"> Vita De Giorgi y </w:t>
      </w:r>
      <w:proofErr w:type="spellStart"/>
      <w:r w:rsidRPr="00792B12">
        <w:rPr>
          <w:rFonts w:ascii="Arial" w:hAnsi="Arial" w:cs="Arial"/>
          <w:color w:val="000000"/>
        </w:rPr>
        <w:t>Marcello</w:t>
      </w:r>
      <w:proofErr w:type="spellEnd"/>
      <w:r w:rsidRPr="00792B12">
        <w:rPr>
          <w:rFonts w:ascii="Arial" w:hAnsi="Arial" w:cs="Arial"/>
          <w:color w:val="000000"/>
        </w:rPr>
        <w:t xml:space="preserve"> </w:t>
      </w:r>
      <w:proofErr w:type="spellStart"/>
      <w:r w:rsidRPr="00792B12">
        <w:rPr>
          <w:rFonts w:ascii="Arial" w:hAnsi="Arial" w:cs="Arial"/>
          <w:color w:val="000000"/>
        </w:rPr>
        <w:t>Farnetti</w:t>
      </w:r>
      <w:proofErr w:type="spellEnd"/>
      <w:r w:rsidRPr="00792B12">
        <w:rPr>
          <w:rStyle w:val="Refdenotaalpie"/>
          <w:rFonts w:ascii="Arial" w:hAnsi="Arial" w:cs="Arial"/>
          <w:color w:val="000000"/>
        </w:rPr>
        <w:footnoteReference w:id="147"/>
      </w:r>
      <w:r w:rsidRPr="00792B12">
        <w:rPr>
          <w:rFonts w:ascii="Arial" w:hAnsi="Arial" w:cs="Arial"/>
          <w:color w:val="000000"/>
        </w:rPr>
        <w:t xml:space="preserve"> han expresado que no obstante la persona ha recibido protección jurídica contra las agresiones morales además que las físicas, la categoría de los derechos de la persona es una adquisición relativamente reciente de la cultura jurídica occidental.</w:t>
      </w:r>
    </w:p>
    <w:p w14:paraId="7FD9DA4C" w14:textId="2027D2C8" w:rsidR="0096481E" w:rsidRPr="00792B12" w:rsidRDefault="0096481E" w:rsidP="0096481E">
      <w:pPr>
        <w:tabs>
          <w:tab w:val="center" w:pos="9498"/>
        </w:tabs>
        <w:suppressAutoHyphens/>
        <w:autoSpaceDE w:val="0"/>
        <w:autoSpaceDN w:val="0"/>
        <w:adjustRightInd w:val="0"/>
        <w:spacing w:before="144" w:after="240" w:line="360" w:lineRule="auto"/>
        <w:ind w:firstLine="708"/>
        <w:jc w:val="both"/>
        <w:textAlignment w:val="center"/>
        <w:rPr>
          <w:rFonts w:ascii="Arial" w:hAnsi="Arial" w:cs="Arial"/>
          <w:color w:val="000000"/>
        </w:rPr>
      </w:pPr>
      <w:r w:rsidRPr="00792B12">
        <w:rPr>
          <w:rFonts w:ascii="Arial" w:hAnsi="Arial" w:cs="Arial"/>
          <w:color w:val="000000"/>
        </w:rPr>
        <w:t xml:space="preserve">En el pasado fueron ignorados en el nivel formal-normativo, privilegiándose en los ordenamientos jurídicos los derechos patrimoniales. A partir del siglo XIX, pero especialmente después de las dos guerras mundial, el Derecho se ha preocupado de </w:t>
      </w:r>
      <w:r w:rsidR="001B2B15" w:rsidRPr="00792B12">
        <w:rPr>
          <w:rFonts w:ascii="Arial" w:hAnsi="Arial" w:cs="Arial"/>
          <w:color w:val="000000"/>
        </w:rPr>
        <w:t>manera especial</w:t>
      </w:r>
      <w:r w:rsidRPr="00792B12">
        <w:rPr>
          <w:rFonts w:ascii="Arial" w:hAnsi="Arial" w:cs="Arial"/>
          <w:color w:val="000000"/>
        </w:rPr>
        <w:t xml:space="preserve"> de proteger a la persona</w:t>
      </w:r>
      <w:r w:rsidRPr="00792B12">
        <w:rPr>
          <w:rStyle w:val="Refdenotaalpie"/>
          <w:rFonts w:ascii="Arial" w:hAnsi="Arial" w:cs="Arial"/>
          <w:color w:val="000000"/>
        </w:rPr>
        <w:footnoteReference w:id="148"/>
      </w:r>
      <w:r w:rsidRPr="00792B12">
        <w:rPr>
          <w:rFonts w:ascii="Arial" w:hAnsi="Arial" w:cs="Arial"/>
          <w:color w:val="000000"/>
        </w:rPr>
        <w:t>.</w:t>
      </w:r>
      <w:r w:rsidRPr="00792B12">
        <w:rPr>
          <w:rFonts w:ascii="Arial" w:hAnsi="Arial" w:cs="Arial"/>
        </w:rPr>
        <w:t xml:space="preserve"> </w:t>
      </w:r>
      <w:r w:rsidRPr="00792B12">
        <w:rPr>
          <w:rFonts w:ascii="Arial" w:hAnsi="Arial" w:cs="Arial"/>
          <w:color w:val="000000"/>
        </w:rPr>
        <w:t xml:space="preserve">Como ha anotado bien Pietro </w:t>
      </w:r>
      <w:proofErr w:type="spellStart"/>
      <w:r w:rsidRPr="00792B12">
        <w:rPr>
          <w:rFonts w:ascii="Arial" w:hAnsi="Arial" w:cs="Arial"/>
          <w:color w:val="000000"/>
        </w:rPr>
        <w:t>Rescigno</w:t>
      </w:r>
      <w:proofErr w:type="spellEnd"/>
      <w:r w:rsidRPr="00792B12">
        <w:rPr>
          <w:rFonts w:ascii="Arial" w:hAnsi="Arial" w:cs="Arial"/>
          <w:color w:val="000000"/>
        </w:rPr>
        <w:t>, la expresión “persona”, concerniente al ser humano, traduce una calificación de vital importancia para el Derecho, en cuanto condición natural del sujeto.</w:t>
      </w:r>
    </w:p>
    <w:p w14:paraId="6398857A" w14:textId="77777777" w:rsidR="0096481E" w:rsidRPr="00792B12" w:rsidRDefault="0096481E" w:rsidP="0096481E">
      <w:pPr>
        <w:tabs>
          <w:tab w:val="center" w:pos="9498"/>
        </w:tabs>
        <w:suppressAutoHyphens/>
        <w:autoSpaceDE w:val="0"/>
        <w:autoSpaceDN w:val="0"/>
        <w:adjustRightInd w:val="0"/>
        <w:spacing w:before="144" w:after="240" w:line="360" w:lineRule="auto"/>
        <w:ind w:firstLine="708"/>
        <w:jc w:val="both"/>
        <w:textAlignment w:val="center"/>
        <w:rPr>
          <w:rFonts w:ascii="Arial" w:hAnsi="Arial" w:cs="Arial"/>
          <w:color w:val="000000"/>
        </w:rPr>
      </w:pPr>
      <w:r w:rsidRPr="00792B12">
        <w:rPr>
          <w:rFonts w:ascii="Arial" w:hAnsi="Arial" w:cs="Arial"/>
          <w:color w:val="000000"/>
        </w:rPr>
        <w:lastRenderedPageBreak/>
        <w:t xml:space="preserve">Generalmente los juristas pusieron su atención en el pasado fundamentalmente al tratamiento doctrinario de los derechos patrimoniales, no obstante que el patrimonio representa tan solo un instrumento o medio del cual se vale la persona para vivir. </w:t>
      </w:r>
    </w:p>
    <w:p w14:paraId="6D457A80" w14:textId="77777777" w:rsidR="0096481E" w:rsidRPr="00792B12" w:rsidRDefault="0096481E" w:rsidP="0096481E">
      <w:pPr>
        <w:tabs>
          <w:tab w:val="center" w:pos="9498"/>
        </w:tabs>
        <w:suppressAutoHyphens/>
        <w:autoSpaceDE w:val="0"/>
        <w:autoSpaceDN w:val="0"/>
        <w:adjustRightInd w:val="0"/>
        <w:spacing w:before="252" w:after="240" w:line="360" w:lineRule="auto"/>
        <w:ind w:firstLine="708"/>
        <w:jc w:val="both"/>
        <w:textAlignment w:val="center"/>
        <w:rPr>
          <w:rFonts w:ascii="Arial" w:hAnsi="Arial" w:cs="Arial"/>
          <w:color w:val="000000"/>
        </w:rPr>
      </w:pPr>
      <w:r w:rsidRPr="00792B12">
        <w:rPr>
          <w:rFonts w:ascii="Arial" w:hAnsi="Arial" w:cs="Arial"/>
          <w:color w:val="000000"/>
        </w:rPr>
        <w:t>Si bien la consideración jurídica de los derechos de la persona es tema reciente, la atención de la ciencia jurídica en torno a la identidad personal, derecho primigenio del sujeto de derecho, como interés existencial a tutelar, es tema que aparece en las últimas décadas del siglo XX, abarcando una amplia gama de aspecto de la persona humana, en cuanto atributos que caracterizan y distinguen al sujeto en la colectividad social</w:t>
      </w:r>
      <w:r w:rsidRPr="00792B12">
        <w:rPr>
          <w:rStyle w:val="Refdenotaalpie"/>
          <w:rFonts w:ascii="Arial" w:hAnsi="Arial" w:cs="Arial"/>
          <w:color w:val="000000"/>
        </w:rPr>
        <w:footnoteReference w:id="149"/>
      </w:r>
      <w:r w:rsidRPr="00792B12">
        <w:rPr>
          <w:rFonts w:ascii="Arial" w:hAnsi="Arial" w:cs="Arial"/>
          <w:color w:val="000000"/>
        </w:rPr>
        <w:t xml:space="preserve">.  </w:t>
      </w:r>
    </w:p>
    <w:p w14:paraId="1D7970E5" w14:textId="77777777" w:rsidR="0096481E" w:rsidRPr="00792B12" w:rsidRDefault="0096481E" w:rsidP="0096481E">
      <w:pPr>
        <w:tabs>
          <w:tab w:val="center" w:pos="9498"/>
        </w:tabs>
        <w:suppressAutoHyphens/>
        <w:autoSpaceDE w:val="0"/>
        <w:autoSpaceDN w:val="0"/>
        <w:adjustRightInd w:val="0"/>
        <w:spacing w:before="288" w:after="240" w:line="360" w:lineRule="auto"/>
        <w:ind w:firstLine="708"/>
        <w:jc w:val="both"/>
        <w:textAlignment w:val="center"/>
        <w:rPr>
          <w:rFonts w:ascii="Arial" w:hAnsi="Arial" w:cs="Arial"/>
          <w:color w:val="000000"/>
        </w:rPr>
      </w:pPr>
      <w:r w:rsidRPr="00792B12">
        <w:rPr>
          <w:rFonts w:ascii="Arial" w:hAnsi="Arial" w:cs="Arial"/>
          <w:color w:val="000000"/>
        </w:rPr>
        <w:t>Italia, tierra de valiosos juristas de fecunda imaginación creadora, es donde probablemente el derecho a la identidad ha recibido una especial atención de parte de un grupo de hombres de Derecho, como consecuencia del influencia producida por una importante sentencia del año 1974</w:t>
      </w:r>
      <w:r w:rsidRPr="00792B12">
        <w:rPr>
          <w:rStyle w:val="Refdenotaalpie"/>
          <w:rFonts w:ascii="Arial" w:hAnsi="Arial" w:cs="Arial"/>
          <w:color w:val="000000"/>
        </w:rPr>
        <w:footnoteReference w:id="150"/>
      </w:r>
      <w:r w:rsidRPr="00792B12">
        <w:rPr>
          <w:rFonts w:ascii="Arial" w:hAnsi="Arial" w:cs="Arial"/>
          <w:color w:val="000000"/>
        </w:rPr>
        <w:t>, la que se presentó como el primer paso de lo que luego se constituiría en el derecho a la identidad personal, por lo que puede afirmarse que dicho interés existencial de la persona le debe a la jurisprudencia su primera estructuración.</w:t>
      </w:r>
    </w:p>
    <w:p w14:paraId="56ECC659" w14:textId="77777777" w:rsidR="0096481E" w:rsidRPr="00792B12" w:rsidRDefault="0096481E" w:rsidP="0096481E">
      <w:pPr>
        <w:pStyle w:val="Ttulo1"/>
        <w:tabs>
          <w:tab w:val="left" w:pos="-720"/>
          <w:tab w:val="center" w:pos="9498"/>
        </w:tabs>
        <w:spacing w:after="240" w:line="360" w:lineRule="auto"/>
        <w:jc w:val="both"/>
        <w:rPr>
          <w:rFonts w:ascii="Arial" w:hAnsi="Arial" w:cs="Arial"/>
          <w:color w:val="000000"/>
          <w:sz w:val="22"/>
          <w:szCs w:val="22"/>
          <w:lang w:val="es-PE"/>
        </w:rPr>
      </w:pPr>
      <w:r w:rsidRPr="00792B12">
        <w:rPr>
          <w:rFonts w:ascii="Arial" w:hAnsi="Arial" w:cs="Arial"/>
          <w:color w:val="000000"/>
          <w:sz w:val="22"/>
          <w:szCs w:val="22"/>
          <w:lang w:val="es-PE"/>
        </w:rPr>
        <w:t>2.- Fundamento jurídico de la creatividad jurisprudencial italiana respecto al derecho a la identidad personal: los primeros reconocimientos</w:t>
      </w:r>
    </w:p>
    <w:p w14:paraId="54823745" w14:textId="1997AE24" w:rsidR="0096481E" w:rsidRPr="00792B12" w:rsidRDefault="0096481E" w:rsidP="0096481E">
      <w:pPr>
        <w:tabs>
          <w:tab w:val="center" w:pos="9498"/>
        </w:tabs>
        <w:suppressAutoHyphens/>
        <w:autoSpaceDE w:val="0"/>
        <w:autoSpaceDN w:val="0"/>
        <w:adjustRightInd w:val="0"/>
        <w:spacing w:before="324" w:after="240" w:line="360" w:lineRule="auto"/>
        <w:ind w:firstLine="708"/>
        <w:jc w:val="both"/>
        <w:textAlignment w:val="center"/>
        <w:rPr>
          <w:rFonts w:ascii="Arial" w:hAnsi="Arial" w:cs="Arial"/>
          <w:color w:val="000000"/>
        </w:rPr>
      </w:pPr>
      <w:r w:rsidRPr="00792B12">
        <w:rPr>
          <w:rFonts w:ascii="Arial" w:hAnsi="Arial" w:cs="Arial"/>
          <w:color w:val="000000"/>
        </w:rPr>
        <w:t xml:space="preserve">Como anotaba el profesor peruano Carlos Fernández </w:t>
      </w:r>
      <w:proofErr w:type="spellStart"/>
      <w:r w:rsidRPr="00792B12">
        <w:rPr>
          <w:rFonts w:ascii="Arial" w:hAnsi="Arial" w:cs="Arial"/>
          <w:color w:val="000000"/>
        </w:rPr>
        <w:t>Sessarego</w:t>
      </w:r>
      <w:proofErr w:type="spellEnd"/>
      <w:r w:rsidRPr="00792B12">
        <w:rPr>
          <w:rStyle w:val="Refdenotaalpie"/>
          <w:rFonts w:ascii="Arial" w:hAnsi="Arial" w:cs="Arial"/>
          <w:color w:val="000000"/>
        </w:rPr>
        <w:footnoteReference w:id="151"/>
      </w:r>
      <w:r w:rsidRPr="00792B12">
        <w:rPr>
          <w:rFonts w:ascii="Arial" w:hAnsi="Arial" w:cs="Arial"/>
          <w:color w:val="000000"/>
        </w:rPr>
        <w:t xml:space="preserve">, el principal promotor de la difusión del pensamiento jurídico italiano en América </w:t>
      </w:r>
      <w:r w:rsidR="001B2B15" w:rsidRPr="00792B12">
        <w:rPr>
          <w:rFonts w:ascii="Arial" w:hAnsi="Arial" w:cs="Arial"/>
          <w:color w:val="000000"/>
        </w:rPr>
        <w:t>Latina</w:t>
      </w:r>
      <w:r w:rsidRPr="00792B12">
        <w:rPr>
          <w:rFonts w:ascii="Arial" w:hAnsi="Arial" w:cs="Arial"/>
          <w:color w:val="000000"/>
        </w:rPr>
        <w:t xml:space="preserve"> es posible encontrar algunos antecedentes respecto a la delimitación del derecho a la identidad personal, que conlleva remontarse a la década de los años sesenta del siglo XX, principalmente a la figura de Adriano De </w:t>
      </w:r>
      <w:proofErr w:type="spellStart"/>
      <w:r w:rsidRPr="00792B12">
        <w:rPr>
          <w:rFonts w:ascii="Arial" w:hAnsi="Arial" w:cs="Arial"/>
          <w:color w:val="000000"/>
        </w:rPr>
        <w:t>Cupis</w:t>
      </w:r>
      <w:proofErr w:type="spellEnd"/>
      <w:r w:rsidRPr="00792B12">
        <w:rPr>
          <w:rStyle w:val="Refdenotaalpie"/>
          <w:rFonts w:ascii="Arial" w:hAnsi="Arial" w:cs="Arial"/>
          <w:color w:val="000000"/>
        </w:rPr>
        <w:footnoteReference w:id="152"/>
      </w:r>
      <w:r w:rsidRPr="00792B12">
        <w:rPr>
          <w:rFonts w:ascii="Arial" w:hAnsi="Arial" w:cs="Arial"/>
          <w:color w:val="000000"/>
        </w:rPr>
        <w:t xml:space="preserve">. En efecto, para este jurista el derecho a la identidad personal es el atributo a ser uno mismo, con sus propias características y acciones, constituyendo la </w:t>
      </w:r>
      <w:r w:rsidRPr="00792B12">
        <w:rPr>
          <w:rFonts w:ascii="Arial" w:hAnsi="Arial" w:cs="Arial"/>
          <w:i/>
          <w:color w:val="000000"/>
        </w:rPr>
        <w:t>verdad</w:t>
      </w:r>
      <w:r w:rsidRPr="00792B12">
        <w:rPr>
          <w:rFonts w:ascii="Arial" w:hAnsi="Arial" w:cs="Arial"/>
          <w:color w:val="000000"/>
        </w:rPr>
        <w:t xml:space="preserve"> de la persona. Sin embargo, no puede dejarse de </w:t>
      </w:r>
      <w:r w:rsidRPr="00792B12">
        <w:rPr>
          <w:rFonts w:ascii="Arial" w:hAnsi="Arial" w:cs="Arial"/>
          <w:color w:val="000000"/>
        </w:rPr>
        <w:lastRenderedPageBreak/>
        <w:t>señalar que el concepto del derecho a la identidad personal comprende especialmente la vertiente dinámica de la personalidad, no solo la estática o identificación</w:t>
      </w:r>
      <w:r w:rsidRPr="00792B12">
        <w:rPr>
          <w:rStyle w:val="Refdenotaalpie"/>
          <w:rFonts w:ascii="Arial" w:hAnsi="Arial" w:cs="Arial"/>
          <w:color w:val="000000"/>
        </w:rPr>
        <w:footnoteReference w:id="153"/>
      </w:r>
      <w:r w:rsidRPr="00792B12">
        <w:rPr>
          <w:rFonts w:ascii="Arial" w:hAnsi="Arial" w:cs="Arial"/>
          <w:color w:val="000000"/>
        </w:rPr>
        <w:t>.</w:t>
      </w:r>
    </w:p>
    <w:p w14:paraId="228F4456" w14:textId="77777777" w:rsidR="0096481E" w:rsidRPr="00792B12" w:rsidRDefault="0096481E" w:rsidP="0096481E">
      <w:pPr>
        <w:tabs>
          <w:tab w:val="center" w:pos="9498"/>
        </w:tabs>
        <w:suppressAutoHyphens/>
        <w:autoSpaceDE w:val="0"/>
        <w:autoSpaceDN w:val="0"/>
        <w:adjustRightInd w:val="0"/>
        <w:spacing w:before="288" w:after="240" w:line="360" w:lineRule="auto"/>
        <w:ind w:firstLine="708"/>
        <w:jc w:val="both"/>
        <w:textAlignment w:val="center"/>
        <w:rPr>
          <w:rFonts w:ascii="Arial" w:hAnsi="Arial" w:cs="Arial"/>
          <w:color w:val="000000"/>
        </w:rPr>
      </w:pPr>
      <w:r w:rsidRPr="00792B12">
        <w:rPr>
          <w:rFonts w:ascii="Arial" w:hAnsi="Arial" w:cs="Arial"/>
          <w:color w:val="000000"/>
        </w:rPr>
        <w:t>En la “</w:t>
      </w:r>
      <w:r w:rsidRPr="00792B12">
        <w:rPr>
          <w:rFonts w:ascii="Arial" w:hAnsi="Arial" w:cs="Arial"/>
          <w:i/>
          <w:color w:val="000000"/>
        </w:rPr>
        <w:t xml:space="preserve">Enciclopedia del </w:t>
      </w:r>
      <w:proofErr w:type="spellStart"/>
      <w:r w:rsidRPr="00792B12">
        <w:rPr>
          <w:rFonts w:ascii="Arial" w:hAnsi="Arial" w:cs="Arial"/>
          <w:i/>
          <w:color w:val="000000"/>
        </w:rPr>
        <w:t>Diritto</w:t>
      </w:r>
      <w:proofErr w:type="spellEnd"/>
      <w:r w:rsidRPr="00792B12">
        <w:rPr>
          <w:rFonts w:ascii="Arial" w:hAnsi="Arial" w:cs="Arial"/>
          <w:color w:val="000000"/>
        </w:rPr>
        <w:t>”, en el año de 1970, se publicó la voz “</w:t>
      </w:r>
      <w:proofErr w:type="spellStart"/>
      <w:r w:rsidRPr="00792B12">
        <w:rPr>
          <w:rFonts w:ascii="Arial" w:hAnsi="Arial" w:cs="Arial"/>
          <w:i/>
          <w:color w:val="000000"/>
        </w:rPr>
        <w:t>Diritto</w:t>
      </w:r>
      <w:proofErr w:type="spellEnd"/>
      <w:r w:rsidRPr="00792B12">
        <w:rPr>
          <w:rFonts w:ascii="Arial" w:hAnsi="Arial" w:cs="Arial"/>
          <w:i/>
          <w:color w:val="000000"/>
        </w:rPr>
        <w:t xml:space="preserve"> </w:t>
      </w:r>
      <w:proofErr w:type="spellStart"/>
      <w:r w:rsidRPr="00792B12">
        <w:rPr>
          <w:rFonts w:ascii="Arial" w:hAnsi="Arial" w:cs="Arial"/>
          <w:i/>
          <w:color w:val="000000"/>
        </w:rPr>
        <w:t>alla</w:t>
      </w:r>
      <w:proofErr w:type="spellEnd"/>
      <w:r w:rsidRPr="00792B12">
        <w:rPr>
          <w:rFonts w:ascii="Arial" w:hAnsi="Arial" w:cs="Arial"/>
          <w:i/>
          <w:color w:val="000000"/>
        </w:rPr>
        <w:t xml:space="preserve"> </w:t>
      </w:r>
      <w:proofErr w:type="spellStart"/>
      <w:r w:rsidRPr="00792B12">
        <w:rPr>
          <w:rFonts w:ascii="Arial" w:hAnsi="Arial" w:cs="Arial"/>
          <w:i/>
          <w:color w:val="000000"/>
        </w:rPr>
        <w:t>identità</w:t>
      </w:r>
      <w:proofErr w:type="spellEnd"/>
      <w:r w:rsidRPr="00792B12">
        <w:rPr>
          <w:rFonts w:ascii="Arial" w:hAnsi="Arial" w:cs="Arial"/>
          <w:color w:val="000000"/>
        </w:rPr>
        <w:t xml:space="preserve">”, la misma que es desarrollada por </w:t>
      </w:r>
      <w:proofErr w:type="spellStart"/>
      <w:r w:rsidRPr="00792B12">
        <w:rPr>
          <w:rFonts w:ascii="Arial" w:hAnsi="Arial" w:cs="Arial"/>
          <w:color w:val="000000"/>
        </w:rPr>
        <w:t>Bavetta</w:t>
      </w:r>
      <w:proofErr w:type="spellEnd"/>
      <w:r w:rsidRPr="00792B12">
        <w:rPr>
          <w:rStyle w:val="Refdenotaalpie"/>
          <w:rFonts w:ascii="Arial" w:hAnsi="Arial" w:cs="Arial"/>
          <w:color w:val="000000"/>
        </w:rPr>
        <w:footnoteReference w:id="154"/>
      </w:r>
      <w:r w:rsidRPr="00792B12">
        <w:rPr>
          <w:rFonts w:ascii="Arial" w:hAnsi="Arial" w:cs="Arial"/>
          <w:color w:val="000000"/>
        </w:rPr>
        <w:t>. En esto trabajo se reconoce la existencia de un “</w:t>
      </w:r>
      <w:r w:rsidRPr="00792B12">
        <w:rPr>
          <w:rFonts w:ascii="Arial" w:hAnsi="Arial" w:cs="Arial"/>
          <w:i/>
          <w:color w:val="000000"/>
        </w:rPr>
        <w:t>derecho personalísimo cuyo contenido está delimitado por tener el sujeto caracteres propios que lo hacen diverso a los otros e idéntico sólo a sí mismo</w:t>
      </w:r>
      <w:r w:rsidRPr="00792B12">
        <w:rPr>
          <w:rFonts w:ascii="Arial" w:hAnsi="Arial" w:cs="Arial"/>
          <w:color w:val="000000"/>
        </w:rPr>
        <w:t>”. Como es evidente, esta definición solo coloca de relieve los caracteres físicos o estáticos de la persona que permiten identificarla en la colectividad</w:t>
      </w:r>
      <w:r w:rsidRPr="00792B12">
        <w:rPr>
          <w:rStyle w:val="Refdenotaalpie"/>
          <w:rFonts w:ascii="Arial" w:hAnsi="Arial" w:cs="Arial"/>
          <w:color w:val="000000"/>
        </w:rPr>
        <w:footnoteReference w:id="155"/>
      </w:r>
      <w:r w:rsidRPr="00792B12">
        <w:rPr>
          <w:rFonts w:ascii="Arial" w:hAnsi="Arial" w:cs="Arial"/>
          <w:color w:val="000000"/>
        </w:rPr>
        <w:t xml:space="preserve">. No se hace referencia, como anotó Fernández </w:t>
      </w:r>
      <w:proofErr w:type="spellStart"/>
      <w:r w:rsidRPr="00792B12">
        <w:rPr>
          <w:rFonts w:ascii="Arial" w:hAnsi="Arial" w:cs="Arial"/>
          <w:color w:val="000000"/>
        </w:rPr>
        <w:t>Sessarego</w:t>
      </w:r>
      <w:proofErr w:type="spellEnd"/>
      <w:r w:rsidRPr="00792B12">
        <w:rPr>
          <w:rStyle w:val="Refdenotaalpie"/>
          <w:rFonts w:ascii="Arial" w:hAnsi="Arial" w:cs="Arial"/>
          <w:color w:val="000000"/>
        </w:rPr>
        <w:footnoteReference w:id="156"/>
      </w:r>
      <w:r w:rsidRPr="00792B12">
        <w:rPr>
          <w:rFonts w:ascii="Arial" w:hAnsi="Arial" w:cs="Arial"/>
          <w:color w:val="000000"/>
        </w:rPr>
        <w:t>, al bagaje cultural e ideológico propio de cada sujeto.</w:t>
      </w:r>
    </w:p>
    <w:p w14:paraId="6D3D4ACA" w14:textId="4295881B" w:rsidR="0096481E" w:rsidRPr="00792B12" w:rsidRDefault="0096481E" w:rsidP="0096481E">
      <w:pPr>
        <w:tabs>
          <w:tab w:val="center" w:pos="9498"/>
        </w:tabs>
        <w:suppressAutoHyphens/>
        <w:autoSpaceDE w:val="0"/>
        <w:autoSpaceDN w:val="0"/>
        <w:adjustRightInd w:val="0"/>
        <w:spacing w:before="288" w:after="240" w:line="360" w:lineRule="auto"/>
        <w:ind w:firstLine="708"/>
        <w:jc w:val="both"/>
        <w:textAlignment w:val="center"/>
        <w:rPr>
          <w:rFonts w:ascii="Arial" w:hAnsi="Arial" w:cs="Arial"/>
          <w:color w:val="000000"/>
        </w:rPr>
      </w:pPr>
      <w:r w:rsidRPr="00792B12">
        <w:rPr>
          <w:rFonts w:ascii="Arial" w:hAnsi="Arial" w:cs="Arial"/>
          <w:color w:val="000000"/>
        </w:rPr>
        <w:t xml:space="preserve">La Corte Suprema de Italia, en la sentencia </w:t>
      </w:r>
      <w:proofErr w:type="spellStart"/>
      <w:r w:rsidRPr="00792B12">
        <w:rPr>
          <w:rFonts w:ascii="Arial" w:hAnsi="Arial" w:cs="Arial"/>
          <w:color w:val="000000"/>
        </w:rPr>
        <w:t>N°</w:t>
      </w:r>
      <w:proofErr w:type="spellEnd"/>
      <w:r w:rsidRPr="00792B12">
        <w:rPr>
          <w:rFonts w:ascii="Arial" w:hAnsi="Arial" w:cs="Arial"/>
          <w:color w:val="000000"/>
        </w:rPr>
        <w:t xml:space="preserve"> 3199 del 7 de diciembre de 1960, hacía mención tanto a la no verdadera representación de los caracteres esenciales de la persona como el derecho a la verdad sobre las opiniones propias, según reporta Fernández </w:t>
      </w:r>
      <w:proofErr w:type="spellStart"/>
      <w:r w:rsidRPr="00792B12">
        <w:rPr>
          <w:rFonts w:ascii="Arial" w:hAnsi="Arial" w:cs="Arial"/>
          <w:color w:val="000000"/>
        </w:rPr>
        <w:t>Sessarego</w:t>
      </w:r>
      <w:proofErr w:type="spellEnd"/>
      <w:r w:rsidRPr="00792B12">
        <w:rPr>
          <w:rStyle w:val="Refdenotaalpie"/>
          <w:rFonts w:ascii="Arial" w:hAnsi="Arial" w:cs="Arial"/>
          <w:color w:val="000000"/>
        </w:rPr>
        <w:footnoteReference w:id="157"/>
      </w:r>
      <w:r w:rsidRPr="00792B12">
        <w:rPr>
          <w:rFonts w:ascii="Arial" w:hAnsi="Arial" w:cs="Arial"/>
          <w:color w:val="000000"/>
        </w:rPr>
        <w:t xml:space="preserve">, pero circunscribiendo el problema al ámbito de la intimidad. Se trataba de un caso en el cual se atribuía a una persona hechos no verdaderos u </w:t>
      </w:r>
      <w:r w:rsidR="001B2B15" w:rsidRPr="00792B12">
        <w:rPr>
          <w:rFonts w:ascii="Arial" w:hAnsi="Arial" w:cs="Arial"/>
          <w:color w:val="000000"/>
        </w:rPr>
        <w:t>opiniones jamás expresadas</w:t>
      </w:r>
      <w:r w:rsidRPr="00792B12">
        <w:rPr>
          <w:rFonts w:ascii="Arial" w:hAnsi="Arial" w:cs="Arial"/>
          <w:color w:val="000000"/>
        </w:rPr>
        <w:t>. En la referida sentencia se afirmaba con firmeza la sentencia de un derecho a la verdad como límite a la posibilidad de hacer públicos hechos y opiniones ajenas</w:t>
      </w:r>
      <w:r w:rsidRPr="00792B12">
        <w:rPr>
          <w:rStyle w:val="Refdenotaalpie"/>
          <w:rFonts w:ascii="Arial" w:hAnsi="Arial" w:cs="Arial"/>
          <w:color w:val="000000"/>
        </w:rPr>
        <w:footnoteReference w:id="158"/>
      </w:r>
      <w:r w:rsidRPr="00792B12">
        <w:rPr>
          <w:rFonts w:ascii="Arial" w:hAnsi="Arial" w:cs="Arial"/>
          <w:color w:val="000000"/>
        </w:rPr>
        <w:t>.  En consecuencia, no se había aún logrado delimitar con autonomía el concepto del derecho a la identidad personal.</w:t>
      </w:r>
    </w:p>
    <w:p w14:paraId="636B2662"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lastRenderedPageBreak/>
        <w:t>En otra sentencia de la Corte de Apelaciones de Milán, del 22 de mayo de 1964, se precisaba que el derecho a la identidad personal suponía que “</w:t>
      </w:r>
      <w:r w:rsidRPr="00792B12">
        <w:rPr>
          <w:rFonts w:ascii="Arial" w:hAnsi="Arial" w:cs="Arial"/>
          <w:i/>
          <w:color w:val="000000"/>
        </w:rPr>
        <w:t>la figura de un individuo no pudiera ser falseada</w:t>
      </w:r>
      <w:r w:rsidRPr="00792B12">
        <w:rPr>
          <w:rFonts w:ascii="Arial" w:hAnsi="Arial" w:cs="Arial"/>
          <w:color w:val="000000"/>
        </w:rPr>
        <w:t>”</w:t>
      </w:r>
      <w:r w:rsidRPr="00792B12">
        <w:rPr>
          <w:rStyle w:val="Refdenotaalpie"/>
          <w:rFonts w:ascii="Arial" w:hAnsi="Arial" w:cs="Arial"/>
          <w:color w:val="000000"/>
        </w:rPr>
        <w:footnoteReference w:id="159"/>
      </w:r>
      <w:r w:rsidRPr="00792B12">
        <w:rPr>
          <w:rFonts w:ascii="Arial" w:hAnsi="Arial" w:cs="Arial"/>
          <w:color w:val="000000"/>
        </w:rPr>
        <w:t>.</w:t>
      </w:r>
    </w:p>
    <w:p w14:paraId="20AC794F" w14:textId="4CF55806"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En la sentencia de la Corte Suprema de Italia, de 13 de julio de 1971, se  evidencia un decisivo desarrollo del concepto de identidad personal. En </w:t>
      </w:r>
      <w:r w:rsidR="001B2B15" w:rsidRPr="00792B12">
        <w:rPr>
          <w:rFonts w:ascii="Arial" w:hAnsi="Arial" w:cs="Arial"/>
          <w:color w:val="000000"/>
        </w:rPr>
        <w:t>este pronunciamiento</w:t>
      </w:r>
      <w:r w:rsidRPr="00792B12">
        <w:rPr>
          <w:rFonts w:ascii="Arial" w:hAnsi="Arial" w:cs="Arial"/>
          <w:color w:val="000000"/>
        </w:rPr>
        <w:t xml:space="preserve"> se definía al derecho a la identidad como “</w:t>
      </w:r>
      <w:r w:rsidRPr="00792B12">
        <w:rPr>
          <w:rFonts w:ascii="Arial" w:hAnsi="Arial" w:cs="Arial"/>
          <w:i/>
          <w:color w:val="000000"/>
        </w:rPr>
        <w:t>el derecho de cada individuo a ser reconocido en su peculiar realidad</w:t>
      </w:r>
      <w:r w:rsidRPr="00792B12">
        <w:rPr>
          <w:rFonts w:ascii="Arial" w:hAnsi="Arial" w:cs="Arial"/>
          <w:color w:val="000000"/>
        </w:rPr>
        <w:t>”. Es decir, de referírsele con los “</w:t>
      </w:r>
      <w:r w:rsidRPr="00792B12">
        <w:rPr>
          <w:rFonts w:ascii="Arial" w:hAnsi="Arial" w:cs="Arial"/>
          <w:i/>
          <w:color w:val="000000"/>
        </w:rPr>
        <w:t>atributos, calidad, caracteres, acciones que lo distinguen respecto a cualquier otro individuo</w:t>
      </w:r>
      <w:r w:rsidRPr="00792B12">
        <w:rPr>
          <w:rFonts w:ascii="Arial" w:hAnsi="Arial" w:cs="Arial"/>
          <w:color w:val="000000"/>
        </w:rPr>
        <w:t xml:space="preserve">”. Esta definición, si bien aún preliminar, representa un bosquejo de lo que en el curso de los tiempos </w:t>
      </w:r>
      <w:r w:rsidR="001B2B15" w:rsidRPr="00792B12">
        <w:rPr>
          <w:rFonts w:ascii="Arial" w:hAnsi="Arial" w:cs="Arial"/>
          <w:color w:val="000000"/>
        </w:rPr>
        <w:t>recientes ha</w:t>
      </w:r>
      <w:r w:rsidRPr="00792B12">
        <w:rPr>
          <w:rFonts w:ascii="Arial" w:hAnsi="Arial" w:cs="Arial"/>
          <w:color w:val="000000"/>
        </w:rPr>
        <w:t xml:space="preserve"> venido a consolidarse como aquel atributo fundamental del ser humano como es su propia identidad</w:t>
      </w:r>
      <w:r w:rsidRPr="00792B12">
        <w:rPr>
          <w:rStyle w:val="Refdenotaalpie"/>
          <w:rFonts w:ascii="Arial" w:hAnsi="Arial" w:cs="Arial"/>
          <w:color w:val="000000"/>
        </w:rPr>
        <w:footnoteReference w:id="160"/>
      </w:r>
    </w:p>
    <w:p w14:paraId="13B6A145" w14:textId="77777777" w:rsidR="0096481E" w:rsidRPr="00792B12" w:rsidRDefault="0096481E" w:rsidP="0096481E">
      <w:pPr>
        <w:tabs>
          <w:tab w:val="center" w:pos="9498"/>
        </w:tabs>
        <w:spacing w:after="240" w:line="360" w:lineRule="auto"/>
        <w:jc w:val="both"/>
        <w:rPr>
          <w:rFonts w:ascii="Arial" w:hAnsi="Arial" w:cs="Arial"/>
          <w:b/>
          <w:color w:val="000000"/>
        </w:rPr>
      </w:pPr>
      <w:r w:rsidRPr="00792B12">
        <w:rPr>
          <w:rFonts w:ascii="Arial" w:hAnsi="Arial" w:cs="Arial"/>
          <w:b/>
          <w:color w:val="000000"/>
        </w:rPr>
        <w:t>3.- El derecho a la identidad personal en la creativa jurisprudencia italiana: un nuevo derecho de la persona</w:t>
      </w:r>
    </w:p>
    <w:p w14:paraId="6055982D" w14:textId="054E99AD"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En cuanto a la jurisprudencia italiana, la evolución del derecho a la identidad personal encuentra su primer sustento en dos notables sentencias, pronunciadas el 6 de mayo de 1974, por el Pretor de Roma, y el 30 de mayo de 1979 dictada </w:t>
      </w:r>
      <w:r w:rsidR="001B2B15" w:rsidRPr="00792B12">
        <w:rPr>
          <w:rFonts w:ascii="Arial" w:hAnsi="Arial" w:cs="Arial"/>
          <w:color w:val="000000"/>
        </w:rPr>
        <w:t>por el</w:t>
      </w:r>
      <w:r w:rsidRPr="00792B12">
        <w:rPr>
          <w:rFonts w:ascii="Arial" w:hAnsi="Arial" w:cs="Arial"/>
          <w:color w:val="000000"/>
        </w:rPr>
        <w:t xml:space="preserve"> Pretor de Turín. Es a partir de estos fallos, que se presentan como </w:t>
      </w:r>
      <w:r w:rsidR="001B2B15" w:rsidRPr="00792B12">
        <w:rPr>
          <w:rFonts w:ascii="Arial" w:hAnsi="Arial" w:cs="Arial"/>
          <w:color w:val="000000"/>
        </w:rPr>
        <w:t>dos hitos</w:t>
      </w:r>
      <w:r w:rsidRPr="00792B12">
        <w:rPr>
          <w:rFonts w:ascii="Arial" w:hAnsi="Arial" w:cs="Arial"/>
          <w:color w:val="000000"/>
        </w:rPr>
        <w:t xml:space="preserve"> históricos en el desarrollo del derecho a la identidad personal. Fue grande el influjo de las sentencias, que se realizaron tres congresos de juristas en Italia dedicados al estudio y reflexión del referido derecho. Los dos primeros se celebraron en 1980 en las ciudades de Roma y Génova y, el tercero, en 1982, en la ciudad de Messina. </w:t>
      </w:r>
    </w:p>
    <w:p w14:paraId="4EBBD475"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Contribuye a la clarificación de los alcances conceptuales del derecho a la identidad personal, la sentencia del 6 de mayo de 1974</w:t>
      </w:r>
      <w:r w:rsidRPr="00792B12">
        <w:rPr>
          <w:rStyle w:val="Refdenotaalpie"/>
          <w:rFonts w:ascii="Arial" w:hAnsi="Arial" w:cs="Arial"/>
          <w:color w:val="000000"/>
        </w:rPr>
        <w:footnoteReference w:id="161"/>
      </w:r>
      <w:r w:rsidRPr="00792B12">
        <w:rPr>
          <w:rFonts w:ascii="Arial" w:hAnsi="Arial" w:cs="Arial"/>
          <w:color w:val="000000"/>
        </w:rPr>
        <w:t xml:space="preserve">. Esta sentencia fue un gran avance científico en la tutela de los derechos de la personal, como hemos referido en páginas precedentes. </w:t>
      </w:r>
    </w:p>
    <w:p w14:paraId="16D26BBE" w14:textId="4ECD62F8"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lastRenderedPageBreak/>
        <w:t>En el histórico pronunciamiento del Pretor de Roma, de fecha 6 de mayo de 1974</w:t>
      </w:r>
      <w:r w:rsidRPr="00792B12">
        <w:rPr>
          <w:rFonts w:ascii="Arial" w:hAnsi="Arial" w:cs="Arial"/>
          <w:color w:val="000000"/>
          <w:vertAlign w:val="superscript"/>
        </w:rPr>
        <w:footnoteReference w:id="162"/>
      </w:r>
      <w:r w:rsidRPr="00792B12">
        <w:rPr>
          <w:rFonts w:ascii="Arial" w:hAnsi="Arial" w:cs="Arial"/>
          <w:color w:val="000000"/>
        </w:rPr>
        <w:t>, se encuentra un intento de definición de derecho a la identidad personal, constituyéndose en el embrión de este interés existencial digno de tutela jurídica. Trataba, como anota Massimo Dogliotti</w:t>
      </w:r>
      <w:r w:rsidRPr="00792B12">
        <w:rPr>
          <w:rStyle w:val="Refdenotaalpie"/>
          <w:rFonts w:ascii="Arial" w:hAnsi="Arial" w:cs="Arial"/>
          <w:color w:val="000000"/>
        </w:rPr>
        <w:footnoteReference w:id="163"/>
      </w:r>
      <w:r w:rsidRPr="00792B12">
        <w:rPr>
          <w:rFonts w:ascii="Arial" w:hAnsi="Arial" w:cs="Arial"/>
          <w:color w:val="000000"/>
        </w:rPr>
        <w:t xml:space="preserve">, a la inclusión en un manifiesto de propaganda </w:t>
      </w:r>
      <w:proofErr w:type="spellStart"/>
      <w:r w:rsidRPr="00792B12">
        <w:rPr>
          <w:rFonts w:ascii="Arial" w:hAnsi="Arial" w:cs="Arial"/>
          <w:color w:val="000000"/>
        </w:rPr>
        <w:t>antidivorcista</w:t>
      </w:r>
      <w:proofErr w:type="spellEnd"/>
      <w:r w:rsidRPr="00792B12">
        <w:rPr>
          <w:rFonts w:ascii="Arial" w:hAnsi="Arial" w:cs="Arial"/>
          <w:color w:val="000000"/>
        </w:rPr>
        <w:t xml:space="preserve"> de la </w:t>
      </w:r>
      <w:r w:rsidR="001B2B15" w:rsidRPr="00792B12">
        <w:rPr>
          <w:rFonts w:ascii="Arial" w:hAnsi="Arial" w:cs="Arial"/>
          <w:color w:val="000000"/>
        </w:rPr>
        <w:t>imagen de</w:t>
      </w:r>
      <w:r w:rsidRPr="00792B12">
        <w:rPr>
          <w:rFonts w:ascii="Arial" w:hAnsi="Arial" w:cs="Arial"/>
          <w:color w:val="000000"/>
        </w:rPr>
        <w:t xml:space="preserve"> una persona ajena a dicha campaña, presentándose como el punto del pasaje entre la “tradicional” tutela de la imagen a un modo de protección de un nuevo derecho, tomando con sorpresa a la doctrina jurídica, que antes no se había ocupado de este interés existencial de la persona, dentro de los alcances señalado por la sentencia.</w:t>
      </w:r>
    </w:p>
    <w:p w14:paraId="217C0655" w14:textId="77777777"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t>En el citado pronunciamiento ambos aspectos se encuentran presentes: se hizo referencia al uso ilegítimo de la imagen, sin el consentimiento de su titular, como lo protege el artículo 10 del código civil italiano de 1942, pero se evidenció también las grave alteraciones a la personalidad del sujeto, en sus convicciones ideológicas y morales, producidas por la publicación del manifiesto. En efecto, el juez llega a afirmar:</w:t>
      </w:r>
    </w:p>
    <w:p w14:paraId="2E0BA819" w14:textId="77777777" w:rsidR="0096481E" w:rsidRPr="00792B12" w:rsidRDefault="0096481E" w:rsidP="0096481E">
      <w:pPr>
        <w:tabs>
          <w:tab w:val="center" w:pos="9498"/>
        </w:tabs>
        <w:suppressAutoHyphens/>
        <w:autoSpaceDE w:val="0"/>
        <w:autoSpaceDN w:val="0"/>
        <w:adjustRightInd w:val="0"/>
        <w:spacing w:before="180" w:after="240" w:line="360" w:lineRule="auto"/>
        <w:ind w:left="709" w:right="1133" w:hanging="1"/>
        <w:jc w:val="both"/>
        <w:textAlignment w:val="center"/>
        <w:rPr>
          <w:rFonts w:ascii="Arial" w:hAnsi="Arial" w:cs="Arial"/>
          <w:color w:val="000000"/>
        </w:rPr>
      </w:pPr>
      <w:r w:rsidRPr="00792B12">
        <w:rPr>
          <w:rFonts w:ascii="Arial" w:hAnsi="Arial" w:cs="Arial"/>
          <w:color w:val="000000"/>
        </w:rPr>
        <w:t>“</w:t>
      </w:r>
      <w:r w:rsidRPr="00792B12">
        <w:rPr>
          <w:rFonts w:ascii="Arial" w:hAnsi="Arial" w:cs="Arial"/>
          <w:i/>
          <w:color w:val="000000"/>
        </w:rPr>
        <w:t>el ordenamiento jurídico tutela el derecho de cada uno a no ver desconocida la paternidad de las propias acciones, en el más amplio significado y, especialmente, a no atribuírsele la paternidad de acciones no suyas, a no ver, por ende, cambiada la propia personalidad individual</w:t>
      </w:r>
      <w:r w:rsidRPr="00792B12">
        <w:rPr>
          <w:rFonts w:ascii="Arial" w:hAnsi="Arial" w:cs="Arial"/>
          <w:color w:val="000000"/>
        </w:rPr>
        <w:t xml:space="preserve">”. </w:t>
      </w:r>
    </w:p>
    <w:p w14:paraId="103C89EC" w14:textId="77777777"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t>Este derecho es denominado expresamente “derecho a la identidad personal”, el cual es violentado cuando a una persona se le atribuye una posición social, una orientación ideológica, un estado personal que no corresponde al verdadero; el cambio de la identidad personal es grave cuando concierne a las “convicciones políticas, éticas y sociales del individuo”, lesionando por ende las “esferas, al mismo tiempo, más elevadas e íntimas de la personalidad”</w:t>
      </w:r>
      <w:r w:rsidRPr="00792B12">
        <w:rPr>
          <w:rStyle w:val="Refdenotaalpie"/>
          <w:rFonts w:ascii="Arial" w:hAnsi="Arial" w:cs="Arial"/>
          <w:color w:val="000000"/>
        </w:rPr>
        <w:footnoteReference w:id="164"/>
      </w:r>
      <w:r w:rsidRPr="00792B12">
        <w:rPr>
          <w:rFonts w:ascii="Arial" w:hAnsi="Arial" w:cs="Arial"/>
          <w:color w:val="000000"/>
        </w:rPr>
        <w:t xml:space="preserve">.   Precisamente este es el punto neurálgico de la sentencia: el respeto de la verdad de la persona del sujeto, que no es más </w:t>
      </w:r>
      <w:r w:rsidRPr="00792B12">
        <w:rPr>
          <w:rFonts w:ascii="Arial" w:hAnsi="Arial" w:cs="Arial"/>
          <w:color w:val="000000"/>
        </w:rPr>
        <w:lastRenderedPageBreak/>
        <w:t xml:space="preserve">considerado un límite del ejercicio de la libertad de manifestación del pensamiento, circunscrito a hipótesis típicas, sino como un derecho subjetivo, dotado de un contenido muy amplio. </w:t>
      </w:r>
    </w:p>
    <w:p w14:paraId="7D83D71B" w14:textId="77777777"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t xml:space="preserve">En el caso, en el cartel de la propaganda </w:t>
      </w:r>
      <w:proofErr w:type="spellStart"/>
      <w:r w:rsidRPr="00792B12">
        <w:rPr>
          <w:rFonts w:ascii="Arial" w:hAnsi="Arial" w:cs="Arial"/>
          <w:color w:val="000000"/>
        </w:rPr>
        <w:t>antidivorcista</w:t>
      </w:r>
      <w:proofErr w:type="spellEnd"/>
      <w:r w:rsidRPr="00792B12">
        <w:rPr>
          <w:rFonts w:ascii="Arial" w:hAnsi="Arial" w:cs="Arial"/>
          <w:color w:val="000000"/>
        </w:rPr>
        <w:t xml:space="preserve">  se evidenciaban las imágenes de un hombre y de una mujer quienes, no obstante ser notorios partidarios de la ley sobre el divorcio en tanto coautores de dicha norma, se les hacía aparecer pronunciándose, en favor de la abrogación de la norma referida. Por otra parte, como anota el profesor Carlos Fernández </w:t>
      </w:r>
      <w:proofErr w:type="spellStart"/>
      <w:r w:rsidRPr="00792B12">
        <w:rPr>
          <w:rFonts w:ascii="Arial" w:hAnsi="Arial" w:cs="Arial"/>
          <w:color w:val="000000"/>
        </w:rPr>
        <w:t>Sessarego</w:t>
      </w:r>
      <w:proofErr w:type="spellEnd"/>
      <w:r w:rsidRPr="00792B12">
        <w:rPr>
          <w:rStyle w:val="Refdenotaalpie"/>
          <w:rFonts w:ascii="Arial" w:hAnsi="Arial" w:cs="Arial"/>
          <w:color w:val="000000"/>
        </w:rPr>
        <w:footnoteReference w:id="165"/>
      </w:r>
      <w:r w:rsidRPr="00792B12">
        <w:rPr>
          <w:rFonts w:ascii="Arial" w:hAnsi="Arial" w:cs="Arial"/>
          <w:color w:val="000000"/>
        </w:rPr>
        <w:t xml:space="preserve">,  se les presentaba como casados, así como agricultores, sin que ésta haya sido su ocupación. </w:t>
      </w:r>
    </w:p>
    <w:p w14:paraId="45E025BD" w14:textId="77777777"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t>El juez, en la sentencia, encontró que se habían lesionado dos derechos subjetivos. El derecho a la imagen, regulado en el artículo 10° del código civil de Italia, y al derecho a la identidad personal, no regulado expresamente, pero que se sustenta en la  “cláusula general” de tutela de la persona, de rango constitucional.</w:t>
      </w:r>
    </w:p>
    <w:p w14:paraId="4314921C" w14:textId="77777777"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t>Respecto a las imágenes el juzgador evidenció que, con el cartel, habían sido usadas sin el consentimiento expreso de los sujetos titulares, infringiendo el artículo 10 del código civil italiano, que prohíbe la publicación o exposición de la imagen de una persona, de sus progenitores, del cónyuge o de los hijos, fuera de los casos permitidos por la norma, cuando no se cuenta con el asentimiento del titular.</w:t>
      </w:r>
    </w:p>
    <w:p w14:paraId="07361CD5" w14:textId="77777777"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t xml:space="preserve">El juez romano no solo protegió en la sentencia la indebida exposición de las imágenes de las personas lesionadas, sino el derecho a la identidad personal.  El magistrado declaró que se habían desnaturalizado, en tres oportunidades, la identidad personal. Así se atribuyó a las personas, con sus imágenes, que estaban a favor de la abrogación de la ley sobre el divorcio, cuando era de conocimiento público que los titulares habían participado en la redacción de la referida norma, atribuyéndoles también una relación familiar que no poseían y, finalmente, se les considero como agricultores, cuando no lo eran. </w:t>
      </w:r>
    </w:p>
    <w:p w14:paraId="41FCD6FE" w14:textId="77777777"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t xml:space="preserve">Asimismo, la referida sentencia vinculó el concepto del derecho a la identidad personal como el substrato ideológico de la persona, por cuanto se presentaba, en los carteles, a los sujetos involucrados como </w:t>
      </w:r>
      <w:proofErr w:type="spellStart"/>
      <w:r w:rsidRPr="00792B12">
        <w:rPr>
          <w:rFonts w:ascii="Arial" w:hAnsi="Arial" w:cs="Arial"/>
          <w:color w:val="000000"/>
        </w:rPr>
        <w:t>antidivorcistas</w:t>
      </w:r>
      <w:proofErr w:type="spellEnd"/>
      <w:r w:rsidRPr="00792B12">
        <w:rPr>
          <w:rFonts w:ascii="Arial" w:hAnsi="Arial" w:cs="Arial"/>
          <w:color w:val="000000"/>
        </w:rPr>
        <w:t xml:space="preserve">, falseándose la posición ideológica. </w:t>
      </w:r>
    </w:p>
    <w:p w14:paraId="1BD0B048" w14:textId="77777777"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lastRenderedPageBreak/>
        <w:t>El juez dispuso que cesara la colocación de los carteles publicitarios, así como la publicación de un comunicado periodístico con la finalidad de restablecer la “</w:t>
      </w:r>
      <w:r w:rsidRPr="00792B12">
        <w:rPr>
          <w:rFonts w:ascii="Arial" w:hAnsi="Arial" w:cs="Arial"/>
          <w:i/>
          <w:color w:val="000000"/>
        </w:rPr>
        <w:t>verdad personal</w:t>
      </w:r>
      <w:r w:rsidRPr="00792B12">
        <w:rPr>
          <w:rFonts w:ascii="Arial" w:hAnsi="Arial" w:cs="Arial"/>
          <w:color w:val="000000"/>
        </w:rPr>
        <w:t>” que había sido distorsionada, que constituye la nota conceptual determinante del derecho a la identidad personal.</w:t>
      </w:r>
    </w:p>
    <w:p w14:paraId="3007841D" w14:textId="77777777" w:rsidR="0096481E" w:rsidRPr="00792B12" w:rsidRDefault="0096481E" w:rsidP="0096481E">
      <w:pPr>
        <w:tabs>
          <w:tab w:val="center" w:pos="9498"/>
        </w:tabs>
        <w:suppressAutoHyphens/>
        <w:autoSpaceDE w:val="0"/>
        <w:autoSpaceDN w:val="0"/>
        <w:adjustRightInd w:val="0"/>
        <w:spacing w:before="180" w:after="240" w:line="360" w:lineRule="auto"/>
        <w:ind w:firstLine="708"/>
        <w:jc w:val="both"/>
        <w:textAlignment w:val="center"/>
        <w:rPr>
          <w:rFonts w:ascii="Arial" w:hAnsi="Arial" w:cs="Arial"/>
          <w:color w:val="000000"/>
        </w:rPr>
      </w:pPr>
      <w:r w:rsidRPr="00792B12">
        <w:rPr>
          <w:rFonts w:ascii="Arial" w:hAnsi="Arial" w:cs="Arial"/>
          <w:color w:val="000000"/>
        </w:rPr>
        <w:t>La citada sentencia distinguió los conceptos de imagen y de identidad personal,  abriendo el camino para la autonomía del segundo, que es considerado el principal aporte de la sentencia. Por lo que se ha llegado a afirmar que la sentencia constituye el ideal punto de pasaje entre la tradicional tutela de la imagen y un nuevo interés existencial de la persona.</w:t>
      </w:r>
    </w:p>
    <w:p w14:paraId="2B640ABA"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Por su parte, el pretor de Turín, mediante la sentencia del 30 de mayo de 1979, se formuló un certero deslinde conceptual entre el derecho a la identidad y el derecho al honor. El caso concernía, glosa el profesor Carlos Fernández </w:t>
      </w:r>
      <w:proofErr w:type="spellStart"/>
      <w:r w:rsidRPr="00792B12">
        <w:rPr>
          <w:rFonts w:ascii="Arial" w:hAnsi="Arial" w:cs="Arial"/>
          <w:color w:val="000000"/>
        </w:rPr>
        <w:t>Sessarego</w:t>
      </w:r>
      <w:proofErr w:type="spellEnd"/>
      <w:r w:rsidRPr="00792B12">
        <w:rPr>
          <w:rStyle w:val="Refdenotaalpie"/>
          <w:rFonts w:ascii="Arial" w:hAnsi="Arial" w:cs="Arial"/>
          <w:color w:val="000000"/>
        </w:rPr>
        <w:footnoteReference w:id="166"/>
      </w:r>
      <w:r w:rsidRPr="00792B12">
        <w:rPr>
          <w:rFonts w:ascii="Arial" w:hAnsi="Arial" w:cs="Arial"/>
          <w:color w:val="000000"/>
        </w:rPr>
        <w:t xml:space="preserve">, a un conflicto originado entre un activo parlamentario del Partido Radical, Marco </w:t>
      </w:r>
      <w:proofErr w:type="spellStart"/>
      <w:r w:rsidRPr="00792B12">
        <w:rPr>
          <w:rFonts w:ascii="Arial" w:hAnsi="Arial" w:cs="Arial"/>
          <w:color w:val="000000"/>
        </w:rPr>
        <w:t>Pannella</w:t>
      </w:r>
      <w:proofErr w:type="spellEnd"/>
      <w:r w:rsidRPr="00792B12">
        <w:rPr>
          <w:rFonts w:ascii="Arial" w:hAnsi="Arial" w:cs="Arial"/>
          <w:color w:val="000000"/>
        </w:rPr>
        <w:t xml:space="preserve">, y la Federación del entonces Partido Comunista italiano. La sección de la ciudad Turín de este último partido político había distribuido volantes que contenían propaganda electoral en los cuales se afirmaba que el citado parlamentario radical había estado inscrito en el pasado en la lista de representantes del Partido Nueva República, de ideología diferente a la del radicalismo a la cual en este entonces adhería. </w:t>
      </w:r>
    </w:p>
    <w:p w14:paraId="37FC5245" w14:textId="0A1E6C55" w:rsidR="0096481E" w:rsidRPr="00792B12" w:rsidRDefault="0096481E" w:rsidP="0096481E">
      <w:pPr>
        <w:tabs>
          <w:tab w:val="center" w:pos="9498"/>
        </w:tabs>
        <w:spacing w:after="240" w:line="360" w:lineRule="auto"/>
        <w:ind w:firstLine="708"/>
        <w:jc w:val="both"/>
        <w:rPr>
          <w:rFonts w:ascii="Arial" w:hAnsi="Arial" w:cs="Arial"/>
          <w:color w:val="000000"/>
        </w:rPr>
      </w:pPr>
      <w:proofErr w:type="spellStart"/>
      <w:r w:rsidRPr="00792B12">
        <w:rPr>
          <w:rFonts w:ascii="Arial" w:hAnsi="Arial" w:cs="Arial"/>
          <w:color w:val="000000"/>
        </w:rPr>
        <w:t>Pannella</w:t>
      </w:r>
      <w:proofErr w:type="spellEnd"/>
      <w:r w:rsidRPr="00792B12">
        <w:rPr>
          <w:rFonts w:ascii="Arial" w:hAnsi="Arial" w:cs="Arial"/>
          <w:color w:val="000000"/>
        </w:rPr>
        <w:t xml:space="preserve"> demandó a la Federación por haberse lesionado su honor. Frente a este reclamo judicial el diario oficial “</w:t>
      </w:r>
      <w:proofErr w:type="spellStart"/>
      <w:r w:rsidRPr="00792B12">
        <w:rPr>
          <w:rFonts w:ascii="Arial" w:hAnsi="Arial" w:cs="Arial"/>
          <w:i/>
          <w:color w:val="000000"/>
        </w:rPr>
        <w:t>Unità</w:t>
      </w:r>
      <w:proofErr w:type="spellEnd"/>
      <w:r w:rsidRPr="00792B12">
        <w:rPr>
          <w:rFonts w:ascii="Arial" w:hAnsi="Arial" w:cs="Arial"/>
          <w:color w:val="000000"/>
        </w:rPr>
        <w:t xml:space="preserve">” del Partido Comunista Italiano publicó una nota de rectificación en relación con lo sostenido en los referidos volantes. En la nota publicada se reconocía que la sección de Turín del Partido Comunista había incurrido en una inexactitud en tanto que el parlamentario nunca había pertenecido ni postulado por el Partido Nueva República, señalando el hecho a las fuentes de las cuales se había valido, las mismas que habían conducido a dicha inexactitud. No obstante la rectificación, el diario comunista insistía que tanto la posición del parlamentario como la del grupo Nueva República tenían en común </w:t>
      </w:r>
      <w:r w:rsidR="001B2B15" w:rsidRPr="00792B12">
        <w:rPr>
          <w:rFonts w:ascii="Arial" w:hAnsi="Arial" w:cs="Arial"/>
          <w:color w:val="000000"/>
        </w:rPr>
        <w:t>una postura</w:t>
      </w:r>
      <w:r w:rsidRPr="00792B12">
        <w:rPr>
          <w:rFonts w:ascii="Arial" w:hAnsi="Arial" w:cs="Arial"/>
          <w:color w:val="000000"/>
        </w:rPr>
        <w:t xml:space="preserve"> anticomunista</w:t>
      </w:r>
      <w:r w:rsidRPr="00792B12">
        <w:rPr>
          <w:rStyle w:val="Refdenotaalpie"/>
          <w:rFonts w:ascii="Arial" w:hAnsi="Arial" w:cs="Arial"/>
          <w:color w:val="000000"/>
        </w:rPr>
        <w:footnoteReference w:id="167"/>
      </w:r>
      <w:r w:rsidRPr="00792B12">
        <w:rPr>
          <w:rFonts w:ascii="Arial" w:hAnsi="Arial" w:cs="Arial"/>
          <w:color w:val="000000"/>
        </w:rPr>
        <w:t>.</w:t>
      </w:r>
    </w:p>
    <w:p w14:paraId="65ECEC98" w14:textId="36298A23"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En su pronunciamiento el Pretor de Turín sostuvo que </w:t>
      </w:r>
      <w:r w:rsidR="001B2B15" w:rsidRPr="00792B12">
        <w:rPr>
          <w:rFonts w:ascii="Arial" w:hAnsi="Arial" w:cs="Arial"/>
          <w:color w:val="000000"/>
        </w:rPr>
        <w:t>la aseveración publicada en los volantes publicitarios no lesionaba</w:t>
      </w:r>
      <w:r w:rsidRPr="00792B12">
        <w:rPr>
          <w:rFonts w:ascii="Arial" w:hAnsi="Arial" w:cs="Arial"/>
          <w:color w:val="000000"/>
        </w:rPr>
        <w:t xml:space="preserve"> el honor del político en cuestión, ya que no </w:t>
      </w:r>
      <w:r w:rsidRPr="00792B12">
        <w:rPr>
          <w:rFonts w:ascii="Arial" w:hAnsi="Arial" w:cs="Arial"/>
          <w:color w:val="000000"/>
        </w:rPr>
        <w:lastRenderedPageBreak/>
        <w:t xml:space="preserve">constituía deshonra haber pertenecido en el pasado al grupo político Nueva República. El juez estimo que la ideología de referido partido no era incompatible con el sistema democrático imperante en Italia en época posterior al fascismo. Para el juzgador, si bien la noticia difundida a través de los volantes no representaba un agravio contra el honor del demandante, sí conllevaba  una lesión que dañaba su identidad en tanto era contraria a la coherencia política del líder radical, desfigurándose la identidad política e ideológica de Marco </w:t>
      </w:r>
      <w:proofErr w:type="spellStart"/>
      <w:r w:rsidRPr="00792B12">
        <w:rPr>
          <w:rFonts w:ascii="Arial" w:hAnsi="Arial" w:cs="Arial"/>
          <w:color w:val="000000"/>
        </w:rPr>
        <w:t>Pannella</w:t>
      </w:r>
      <w:proofErr w:type="spellEnd"/>
      <w:r w:rsidRPr="00792B12">
        <w:rPr>
          <w:rFonts w:ascii="Arial" w:hAnsi="Arial" w:cs="Arial"/>
          <w:color w:val="000000"/>
        </w:rPr>
        <w:t>.</w:t>
      </w:r>
    </w:p>
    <w:p w14:paraId="4D3D60A7" w14:textId="77777777" w:rsidR="0096481E" w:rsidRPr="00792B12" w:rsidRDefault="0096481E" w:rsidP="0096481E">
      <w:pPr>
        <w:tabs>
          <w:tab w:val="center" w:pos="9498"/>
        </w:tabs>
        <w:spacing w:after="240" w:line="360" w:lineRule="auto"/>
        <w:jc w:val="both"/>
        <w:rPr>
          <w:rFonts w:ascii="Arial" w:hAnsi="Arial" w:cs="Arial"/>
          <w:b/>
          <w:color w:val="000000"/>
        </w:rPr>
      </w:pPr>
      <w:r w:rsidRPr="00792B12">
        <w:rPr>
          <w:rFonts w:ascii="Arial" w:hAnsi="Arial" w:cs="Arial"/>
          <w:b/>
          <w:color w:val="000000"/>
        </w:rPr>
        <w:t xml:space="preserve">4.-  La consolidación del derecho a la identidad personal </w:t>
      </w:r>
    </w:p>
    <w:p w14:paraId="46B1D3EA" w14:textId="58608D59"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La Pretura de Roma, con pronunciamiento del 30 de mayo de 1980, se ocupó el tema de la verdad política</w:t>
      </w:r>
      <w:r w:rsidRPr="00792B12">
        <w:rPr>
          <w:rStyle w:val="Refdenotaalpie"/>
          <w:rFonts w:ascii="Arial" w:hAnsi="Arial" w:cs="Arial"/>
          <w:color w:val="000000"/>
        </w:rPr>
        <w:footnoteReference w:id="168"/>
      </w:r>
      <w:r w:rsidRPr="00792B12">
        <w:rPr>
          <w:rFonts w:ascii="Arial" w:hAnsi="Arial" w:cs="Arial"/>
          <w:color w:val="000000"/>
        </w:rPr>
        <w:t>. El caso concierne a las declaraciones periodísticas realizadas por un experto en materia de salud pública en cuanto a la situación de las instalaciones sanitarias en la República Italiana</w:t>
      </w:r>
      <w:r w:rsidRPr="00792B12">
        <w:rPr>
          <w:rStyle w:val="Refdenotaalpie"/>
          <w:rFonts w:ascii="Arial" w:hAnsi="Arial" w:cs="Arial"/>
          <w:color w:val="000000"/>
        </w:rPr>
        <w:footnoteReference w:id="169"/>
      </w:r>
      <w:r w:rsidRPr="00792B12">
        <w:rPr>
          <w:rFonts w:ascii="Arial" w:hAnsi="Arial" w:cs="Arial"/>
          <w:color w:val="000000"/>
        </w:rPr>
        <w:t xml:space="preserve">.  En efecto, el médico emite una declaración televisiva sobre las condiciones de un hospital romano, la cual fue utilizada en un spot electoral por el </w:t>
      </w:r>
      <w:r w:rsidRPr="00792B12">
        <w:rPr>
          <w:rFonts w:ascii="Arial" w:hAnsi="Arial" w:cs="Arial"/>
          <w:i/>
          <w:color w:val="000000"/>
        </w:rPr>
        <w:t xml:space="preserve">Movimiento </w:t>
      </w:r>
      <w:proofErr w:type="spellStart"/>
      <w:r w:rsidRPr="00792B12">
        <w:rPr>
          <w:rFonts w:ascii="Arial" w:hAnsi="Arial" w:cs="Arial"/>
          <w:i/>
          <w:color w:val="000000"/>
        </w:rPr>
        <w:t>Sociale</w:t>
      </w:r>
      <w:proofErr w:type="spellEnd"/>
      <w:r w:rsidRPr="00792B12">
        <w:rPr>
          <w:rFonts w:ascii="Arial" w:hAnsi="Arial" w:cs="Arial"/>
          <w:i/>
          <w:color w:val="000000"/>
        </w:rPr>
        <w:t xml:space="preserve"> Italiano</w:t>
      </w:r>
      <w:r w:rsidRPr="00792B12">
        <w:rPr>
          <w:rFonts w:ascii="Arial" w:hAnsi="Arial" w:cs="Arial"/>
          <w:color w:val="000000"/>
        </w:rPr>
        <w:t xml:space="preserve">, de tendencia fascista, sin advertir al público que el entrevistado no pertenecía a este grupo político de extrema derecha. La identificación con este Partido al ser presentado en su espacio político contratado fue </w:t>
      </w:r>
      <w:r w:rsidR="001B2B15" w:rsidRPr="00792B12">
        <w:rPr>
          <w:rFonts w:ascii="Arial" w:hAnsi="Arial" w:cs="Arial"/>
          <w:color w:val="000000"/>
        </w:rPr>
        <w:t>considerada</w:t>
      </w:r>
      <w:r w:rsidRPr="00792B12">
        <w:rPr>
          <w:rFonts w:ascii="Arial" w:hAnsi="Arial" w:cs="Arial"/>
          <w:color w:val="000000"/>
        </w:rPr>
        <w:t xml:space="preserve"> por el médico como distorsionante de su ideología política no coincidente con la del citado grupo político, vale decir, estimaba que se había dañado su “verdad” en esta materia, considerando que el hecho lesionaba su derecho a la identidad personal, haciendo aparecer erróneamente a los ojos del público como un simpatizante de dicho movimiento político.</w:t>
      </w:r>
    </w:p>
    <w:p w14:paraId="2F1B8B68"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En efecto, el pretor afirmó que la conducta desarrollada por el partido político es lesiva no solo del derecho a la imagen, pero además del derecho a la identidad personal del recurrente, en su artículo de identidad política, considerada “</w:t>
      </w:r>
      <w:r w:rsidRPr="00792B12">
        <w:rPr>
          <w:rFonts w:ascii="Arial" w:hAnsi="Arial" w:cs="Arial"/>
          <w:i/>
          <w:color w:val="000000"/>
        </w:rPr>
        <w:t>uno de los aspectos fundamentales del derecho de la personalidad</w:t>
      </w:r>
      <w:r w:rsidRPr="00792B12">
        <w:rPr>
          <w:rFonts w:ascii="Arial" w:hAnsi="Arial" w:cs="Arial"/>
          <w:color w:val="000000"/>
        </w:rPr>
        <w:t>”.</w:t>
      </w:r>
    </w:p>
    <w:p w14:paraId="4EBFCEA0" w14:textId="38E0292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Las dos ordenanzas emitidas por la Pretura de Roma de fecha 02 de junio de 1980 contienen una afirmación aún más explícita y consciencia del derecho a la identidad personal, y en tales medidas comienza a presentarse en manera más decidida la búsqueda de </w:t>
      </w:r>
      <w:r w:rsidR="001B2B15" w:rsidRPr="00792B12">
        <w:rPr>
          <w:rFonts w:ascii="Arial" w:hAnsi="Arial" w:cs="Arial"/>
          <w:color w:val="000000"/>
        </w:rPr>
        <w:t>referentes normativas</w:t>
      </w:r>
      <w:r w:rsidRPr="00792B12">
        <w:rPr>
          <w:rFonts w:ascii="Arial" w:hAnsi="Arial" w:cs="Arial"/>
          <w:color w:val="000000"/>
        </w:rPr>
        <w:t xml:space="preserve"> por el nuevo derecho. Las dos provisione tiene </w:t>
      </w:r>
      <w:r w:rsidRPr="00792B12">
        <w:rPr>
          <w:rFonts w:ascii="Arial" w:hAnsi="Arial" w:cs="Arial"/>
          <w:color w:val="000000"/>
        </w:rPr>
        <w:lastRenderedPageBreak/>
        <w:t xml:space="preserve">una misma </w:t>
      </w:r>
      <w:r w:rsidRPr="00792B12">
        <w:rPr>
          <w:rFonts w:ascii="Arial" w:hAnsi="Arial" w:cs="Arial"/>
          <w:i/>
          <w:color w:val="000000"/>
        </w:rPr>
        <w:t xml:space="preserve">ratio </w:t>
      </w:r>
      <w:proofErr w:type="spellStart"/>
      <w:r w:rsidRPr="00792B12">
        <w:rPr>
          <w:rFonts w:ascii="Arial" w:hAnsi="Arial" w:cs="Arial"/>
          <w:i/>
          <w:color w:val="000000"/>
        </w:rPr>
        <w:t>decidendi</w:t>
      </w:r>
      <w:proofErr w:type="spellEnd"/>
      <w:r w:rsidRPr="00792B12">
        <w:rPr>
          <w:rFonts w:ascii="Arial" w:hAnsi="Arial" w:cs="Arial"/>
          <w:color w:val="000000"/>
        </w:rPr>
        <w:t>. Respecto a la identificación de la situación jurídica subjetiva lesionada, el juez llegó a declarar:</w:t>
      </w:r>
    </w:p>
    <w:p w14:paraId="2F66B2A8" w14:textId="44F2ABB8" w:rsidR="0096481E" w:rsidRPr="00792B12" w:rsidRDefault="0096481E" w:rsidP="0096481E">
      <w:pPr>
        <w:tabs>
          <w:tab w:val="center" w:pos="9498"/>
        </w:tabs>
        <w:spacing w:after="240" w:line="360" w:lineRule="auto"/>
        <w:ind w:left="709" w:right="1133" w:firstLine="709"/>
        <w:jc w:val="both"/>
        <w:rPr>
          <w:rFonts w:ascii="Arial" w:hAnsi="Arial" w:cs="Arial"/>
          <w:i/>
          <w:color w:val="000000"/>
        </w:rPr>
      </w:pPr>
      <w:r w:rsidRPr="00792B12">
        <w:rPr>
          <w:rFonts w:ascii="Arial" w:hAnsi="Arial" w:cs="Arial"/>
          <w:i/>
          <w:color w:val="000000"/>
        </w:rPr>
        <w:t xml:space="preserve">Puede ser actualmente considerado como adquisición de la jurisprudencia, y suficientemente elaborado por la doctrina, la orientación según la cual en el vigente ordenamiento jurídico reconoce – en el ámbito de la más general y compleja categoría de los derechos de la personalidad – el derecho a la identidad personal, comprendido como proyección de la imagen – lato sensu individual– de la </w:t>
      </w:r>
      <w:r w:rsidR="001B2B15" w:rsidRPr="00792B12">
        <w:rPr>
          <w:rFonts w:ascii="Arial" w:hAnsi="Arial" w:cs="Arial"/>
          <w:i/>
          <w:color w:val="000000"/>
        </w:rPr>
        <w:t>persona, en</w:t>
      </w:r>
      <w:r w:rsidRPr="00792B12">
        <w:rPr>
          <w:rFonts w:ascii="Arial" w:hAnsi="Arial" w:cs="Arial"/>
          <w:i/>
          <w:color w:val="000000"/>
        </w:rPr>
        <w:t xml:space="preserve"> referencia a su posición en el contexto de las relaciones sociales.</w:t>
      </w:r>
    </w:p>
    <w:p w14:paraId="11E0AB67" w14:textId="16B9D8A2"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En tal sentido, el fundamento jurídico del nuevo derecho es individualizado recurriendo a una excepción amplia de los conceptos de honor y reputación, tal de comprender la tutela contra las alteraciones de la proyección social de la persona</w:t>
      </w:r>
      <w:r w:rsidRPr="00792B12">
        <w:rPr>
          <w:rStyle w:val="Refdenotaalpie"/>
          <w:rFonts w:ascii="Arial" w:hAnsi="Arial" w:cs="Arial"/>
          <w:color w:val="000000"/>
        </w:rPr>
        <w:footnoteReference w:id="170"/>
      </w:r>
      <w:r w:rsidRPr="00792B12">
        <w:rPr>
          <w:rFonts w:ascii="Arial" w:hAnsi="Arial" w:cs="Arial"/>
          <w:color w:val="000000"/>
        </w:rPr>
        <w:t xml:space="preserve">. La desvinculación respecto a la noción tradicional de honor es evidente en un pasaje de la motivación en que se aclara que, incluso no debiendo considerándose deshonor el comportamiento atribuido al recurrente (en cuanto la alternancia de las alianzas parlamentarias es parte del legítimo juego democrático), es lesiva </w:t>
      </w:r>
      <w:r w:rsidR="001B2B15" w:rsidRPr="00792B12">
        <w:rPr>
          <w:rFonts w:ascii="Arial" w:hAnsi="Arial" w:cs="Arial"/>
          <w:color w:val="000000"/>
        </w:rPr>
        <w:t>de la identidad política</w:t>
      </w:r>
      <w:r w:rsidRPr="00792B12">
        <w:rPr>
          <w:rFonts w:ascii="Arial" w:hAnsi="Arial" w:cs="Arial"/>
          <w:color w:val="000000"/>
        </w:rPr>
        <w:t xml:space="preserve"> del parlamentario la atribución no verdadera de un proyecto de acuerdo con una fuerza política contrapuesta. Esta acepción extensiva, que comprende el honor no solo en una perspectiva individualista sino también en una dimensión política-social. La posición jurídica subjetiva así individualizada en su alcance muy amplio, que el juez considero no </w:t>
      </w:r>
      <w:proofErr w:type="spellStart"/>
      <w:r w:rsidRPr="00792B12">
        <w:rPr>
          <w:rFonts w:ascii="Arial" w:hAnsi="Arial" w:cs="Arial"/>
          <w:color w:val="000000"/>
        </w:rPr>
        <w:t>circunscribible</w:t>
      </w:r>
      <w:proofErr w:type="spellEnd"/>
      <w:r w:rsidRPr="00792B12">
        <w:rPr>
          <w:rFonts w:ascii="Arial" w:hAnsi="Arial" w:cs="Arial"/>
          <w:color w:val="000000"/>
        </w:rPr>
        <w:t xml:space="preserve"> a la específica tutela realizada a la figura de la rectificación.</w:t>
      </w:r>
    </w:p>
    <w:p w14:paraId="731C561F"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Un año después, en 1981, el derecho a la identidad personal conoce un auténtico interés, con siente ordenanzas de la Pretura de Roma (todas emitidas entre el 30 de abril y el 11 de mayo). Las decisiones estuvieron en la sintonía de admitir sin restricciones la existencia, en el ordenamiento jurídico italiano, de un derecho a la identidad personal y/o a la identidad política (incluso no reconociendo subsistente la lesión en todas las hipótesis reconducidas a la atención del juez) y parecían proseguir el discurso de las sentencias romanas de 1980. El pretor romano declara que:</w:t>
      </w:r>
    </w:p>
    <w:p w14:paraId="2120DCF3" w14:textId="77777777" w:rsidR="0096481E" w:rsidRPr="00792B12" w:rsidRDefault="0096481E" w:rsidP="0096481E">
      <w:pPr>
        <w:tabs>
          <w:tab w:val="center" w:pos="9498"/>
        </w:tabs>
        <w:spacing w:after="240" w:line="360" w:lineRule="auto"/>
        <w:ind w:left="709" w:right="707"/>
        <w:jc w:val="both"/>
        <w:rPr>
          <w:rFonts w:ascii="Arial" w:hAnsi="Arial" w:cs="Arial"/>
          <w:i/>
          <w:color w:val="000000"/>
        </w:rPr>
      </w:pPr>
      <w:r w:rsidRPr="00792B12">
        <w:rPr>
          <w:rFonts w:ascii="Arial" w:hAnsi="Arial" w:cs="Arial"/>
          <w:i/>
          <w:color w:val="000000"/>
        </w:rPr>
        <w:lastRenderedPageBreak/>
        <w:t>El sujeto (sea este, indiferentemente, persona física, persona jurídica o entidad asociativa no personificada, pero relevante para el ordenamiento), en su protección política y social asumen, en verdad, una peculiar connotación, una específica identidad ideológica, colocándose como titular de un patrimonio de ideas, el cual es tutelado contra eventuales representaciones deformantes, susceptibles de cambiar la adquirida identidad.</w:t>
      </w:r>
    </w:p>
    <w:p w14:paraId="2F7103D2" w14:textId="0BD9AAAC" w:rsidR="0096481E" w:rsidRPr="00792B12" w:rsidRDefault="0096481E" w:rsidP="001B2B15">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El fundamento jurídico del derecho a la identidad personal fue nuevamente reconectado al derecho al honor y a la reputación. Según el reconocimiento evidenciado en la motivación en unas de las sentencias, el derecho a la identidad personal sería el resultado de una interpretación </w:t>
      </w:r>
      <w:proofErr w:type="spellStart"/>
      <w:r w:rsidRPr="00792B12">
        <w:rPr>
          <w:rFonts w:ascii="Arial" w:hAnsi="Arial" w:cs="Arial"/>
          <w:color w:val="000000"/>
        </w:rPr>
        <w:t>adecuadoras</w:t>
      </w:r>
      <w:proofErr w:type="spellEnd"/>
      <w:r w:rsidRPr="00792B12">
        <w:rPr>
          <w:rFonts w:ascii="Arial" w:hAnsi="Arial" w:cs="Arial"/>
          <w:color w:val="000000"/>
        </w:rPr>
        <w:t xml:space="preserve"> de los bienes jurídicos que reconoce los derechos inviolables del hombre sea como </w:t>
      </w:r>
      <w:r w:rsidR="001B2B15" w:rsidRPr="00792B12">
        <w:rPr>
          <w:rFonts w:ascii="Arial" w:hAnsi="Arial" w:cs="Arial"/>
          <w:color w:val="000000"/>
        </w:rPr>
        <w:t>individuo,</w:t>
      </w:r>
      <w:r w:rsidRPr="00792B12">
        <w:rPr>
          <w:rFonts w:ascii="Arial" w:hAnsi="Arial" w:cs="Arial"/>
          <w:color w:val="000000"/>
        </w:rPr>
        <w:t xml:space="preserve"> así como miembro de las formaciones sociales en que actúa, permitiría de interpretar el concepto de honor y reputación no solo en sentido individualista, sino también en una dimensión social y política. Nuevamente se refuerza que el ámbito de la tutela del derecho en cuestión no se agota en el instituto de la rectificación. Se explicitó también la afirmación que este derecho puede reconocerse no solo a favor de personas físicas sino también a las personas jurídicas y entes no personificados.</w:t>
      </w:r>
    </w:p>
    <w:p w14:paraId="1DAC6349" w14:textId="77777777" w:rsidR="0096481E" w:rsidRPr="00792B12" w:rsidRDefault="0096481E" w:rsidP="0096481E">
      <w:pPr>
        <w:tabs>
          <w:tab w:val="center" w:pos="9498"/>
        </w:tabs>
        <w:spacing w:after="240" w:line="360" w:lineRule="auto"/>
        <w:jc w:val="both"/>
        <w:rPr>
          <w:rFonts w:ascii="Arial" w:hAnsi="Arial" w:cs="Arial"/>
          <w:b/>
          <w:color w:val="000000"/>
        </w:rPr>
      </w:pPr>
      <w:r w:rsidRPr="00792B12">
        <w:rPr>
          <w:rFonts w:ascii="Arial" w:hAnsi="Arial" w:cs="Arial"/>
          <w:b/>
          <w:color w:val="000000"/>
        </w:rPr>
        <w:t xml:space="preserve">5.- La ley </w:t>
      </w:r>
      <w:proofErr w:type="spellStart"/>
      <w:r w:rsidRPr="00792B12">
        <w:rPr>
          <w:rFonts w:ascii="Arial" w:hAnsi="Arial" w:cs="Arial"/>
          <w:b/>
          <w:color w:val="000000"/>
        </w:rPr>
        <w:t>N°</w:t>
      </w:r>
      <w:proofErr w:type="spellEnd"/>
      <w:r w:rsidRPr="00792B12">
        <w:rPr>
          <w:rFonts w:ascii="Arial" w:hAnsi="Arial" w:cs="Arial"/>
          <w:b/>
          <w:color w:val="000000"/>
        </w:rPr>
        <w:t xml:space="preserve"> 164 de 1982</w:t>
      </w:r>
    </w:p>
    <w:p w14:paraId="7969B2BF"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La problemática del transexualismo atrajo la atención de la Cámara de Diputados del grupo parlamentario radical, mediante propuesta de ley del 27 de febrero de 1980</w:t>
      </w:r>
      <w:r w:rsidRPr="00792B12">
        <w:rPr>
          <w:rStyle w:val="Refdenotaalpie"/>
          <w:rFonts w:ascii="Arial" w:hAnsi="Arial" w:cs="Arial"/>
          <w:color w:val="000000"/>
        </w:rPr>
        <w:footnoteReference w:id="171"/>
      </w:r>
      <w:r w:rsidRPr="00792B12">
        <w:rPr>
          <w:rFonts w:ascii="Arial" w:hAnsi="Arial" w:cs="Arial"/>
          <w:color w:val="000000"/>
        </w:rPr>
        <w:t>. Los diputados proponentes de la norma, tomando consciencia de la necesidad de una regulación, afirmando que “</w:t>
      </w:r>
      <w:r w:rsidRPr="00792B12">
        <w:rPr>
          <w:rFonts w:ascii="Arial" w:hAnsi="Arial" w:cs="Arial"/>
          <w:i/>
          <w:color w:val="000000"/>
        </w:rPr>
        <w:t>en todos los cuales en que la realidad actual no parece más conforme con la del momento del nacimiento</w:t>
      </w:r>
      <w:r w:rsidRPr="00792B12">
        <w:rPr>
          <w:rFonts w:ascii="Arial" w:hAnsi="Arial" w:cs="Arial"/>
          <w:color w:val="000000"/>
        </w:rPr>
        <w:t xml:space="preserve">”.  </w:t>
      </w:r>
    </w:p>
    <w:p w14:paraId="66FB314F"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La propuesta normativa, aprobada por la IV Comisión permanente (Justicia) de la Cámara de Diputados el 02 de octubre de 1981, siendo transmitida a la Presidencia del Senado, donde la Comisión de Justicia encontró acuerdo sobre un texto obtenido sintetizando la propuesta aprobada en la Cámara con un proyecto de ley de iniciativa senatorial, y su propuesta del Presidente </w:t>
      </w:r>
      <w:proofErr w:type="spellStart"/>
      <w:r w:rsidRPr="00792B12">
        <w:rPr>
          <w:rFonts w:ascii="Arial" w:hAnsi="Arial" w:cs="Arial"/>
          <w:color w:val="000000"/>
        </w:rPr>
        <w:t>Ciocie</w:t>
      </w:r>
      <w:proofErr w:type="spellEnd"/>
      <w:r w:rsidRPr="00792B12">
        <w:rPr>
          <w:rFonts w:ascii="Arial" w:hAnsi="Arial" w:cs="Arial"/>
          <w:color w:val="000000"/>
        </w:rPr>
        <w:t xml:space="preserve">, requiriendo al Presidente del Senado de proseguir el examen del nuevo texto en sede deliberante. El texto unificado retornó </w:t>
      </w:r>
      <w:r w:rsidRPr="00792B12">
        <w:rPr>
          <w:rFonts w:ascii="Arial" w:hAnsi="Arial" w:cs="Arial"/>
          <w:color w:val="000000"/>
        </w:rPr>
        <w:lastRenderedPageBreak/>
        <w:t xml:space="preserve">en tiempo breve al examen de la Cámara (el 26 de febrero de 1982).  Publicada en la </w:t>
      </w:r>
      <w:proofErr w:type="spellStart"/>
      <w:r w:rsidRPr="00792B12">
        <w:rPr>
          <w:rFonts w:ascii="Arial" w:hAnsi="Arial" w:cs="Arial"/>
          <w:i/>
          <w:color w:val="000000"/>
        </w:rPr>
        <w:t>Gazzetta</w:t>
      </w:r>
      <w:proofErr w:type="spellEnd"/>
      <w:r w:rsidRPr="00792B12">
        <w:rPr>
          <w:rFonts w:ascii="Arial" w:hAnsi="Arial" w:cs="Arial"/>
          <w:i/>
          <w:color w:val="000000"/>
        </w:rPr>
        <w:t xml:space="preserve"> </w:t>
      </w:r>
      <w:proofErr w:type="spellStart"/>
      <w:r w:rsidRPr="00792B12">
        <w:rPr>
          <w:rFonts w:ascii="Arial" w:hAnsi="Arial" w:cs="Arial"/>
          <w:i/>
          <w:color w:val="000000"/>
        </w:rPr>
        <w:t>Ufficiale</w:t>
      </w:r>
      <w:proofErr w:type="spellEnd"/>
      <w:r w:rsidRPr="00792B12">
        <w:rPr>
          <w:rFonts w:ascii="Arial" w:hAnsi="Arial" w:cs="Arial"/>
          <w:color w:val="000000"/>
        </w:rPr>
        <w:t xml:space="preserve">, </w:t>
      </w:r>
      <w:proofErr w:type="spellStart"/>
      <w:r w:rsidRPr="00792B12">
        <w:rPr>
          <w:rFonts w:ascii="Arial" w:hAnsi="Arial" w:cs="Arial"/>
          <w:color w:val="000000"/>
        </w:rPr>
        <w:t>N°</w:t>
      </w:r>
      <w:proofErr w:type="spellEnd"/>
      <w:r w:rsidRPr="00792B12">
        <w:rPr>
          <w:rFonts w:ascii="Arial" w:hAnsi="Arial" w:cs="Arial"/>
          <w:color w:val="000000"/>
        </w:rPr>
        <w:t xml:space="preserve"> 106, del 19 de abril de 1982, salió a la luz la Ley </w:t>
      </w:r>
      <w:proofErr w:type="spellStart"/>
      <w:r w:rsidRPr="00792B12">
        <w:rPr>
          <w:rFonts w:ascii="Arial" w:hAnsi="Arial" w:cs="Arial"/>
          <w:color w:val="000000"/>
        </w:rPr>
        <w:t>N°</w:t>
      </w:r>
      <w:proofErr w:type="spellEnd"/>
      <w:r w:rsidRPr="00792B12">
        <w:rPr>
          <w:rFonts w:ascii="Arial" w:hAnsi="Arial" w:cs="Arial"/>
          <w:color w:val="000000"/>
        </w:rPr>
        <w:t xml:space="preserve"> 164 del 14 de abril de ese año, que regula la materia de rectificación de atribución de sexo. </w:t>
      </w:r>
    </w:p>
    <w:p w14:paraId="4D9FA181"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Siguiendo el ejemplo del ordenamiento jurídico de Suecia y de la República Federal Alemana, así como a algunos países extra europeos, el parlamento italiano aprobó, en un tiempo muy breve, la ley en materia de rectificación de los registros del estado civil.</w:t>
      </w:r>
    </w:p>
    <w:p w14:paraId="0003AABC"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En efecto, como bien han anotado Salvatore </w:t>
      </w:r>
      <w:proofErr w:type="spellStart"/>
      <w:r w:rsidRPr="00792B12">
        <w:rPr>
          <w:rFonts w:ascii="Arial" w:hAnsi="Arial" w:cs="Arial"/>
          <w:color w:val="000000"/>
        </w:rPr>
        <w:t>Patti</w:t>
      </w:r>
      <w:proofErr w:type="spellEnd"/>
      <w:r w:rsidRPr="00792B12">
        <w:rPr>
          <w:rFonts w:ascii="Arial" w:hAnsi="Arial" w:cs="Arial"/>
          <w:color w:val="000000"/>
        </w:rPr>
        <w:t xml:space="preserve"> y Michael R. Will</w:t>
      </w:r>
      <w:r w:rsidRPr="00792B12">
        <w:rPr>
          <w:rStyle w:val="Refdenotaalpie"/>
          <w:rFonts w:ascii="Arial" w:hAnsi="Arial" w:cs="Arial"/>
          <w:color w:val="000000"/>
        </w:rPr>
        <w:footnoteReference w:id="172"/>
      </w:r>
      <w:r w:rsidRPr="00792B12">
        <w:rPr>
          <w:rFonts w:ascii="Arial" w:hAnsi="Arial" w:cs="Arial"/>
          <w:color w:val="000000"/>
        </w:rPr>
        <w:t xml:space="preserve">,  la falta de una ley sobre la materia había sido reclamada por la doctrina italiana. La necesidad de intervención del legislador había sido señalada también por la Corte Constitucional Italiana, mediante sentencia </w:t>
      </w:r>
      <w:proofErr w:type="spellStart"/>
      <w:r w:rsidRPr="00792B12">
        <w:rPr>
          <w:rFonts w:ascii="Arial" w:hAnsi="Arial" w:cs="Arial"/>
          <w:color w:val="000000"/>
        </w:rPr>
        <w:t>N°</w:t>
      </w:r>
      <w:proofErr w:type="spellEnd"/>
      <w:r w:rsidRPr="00792B12">
        <w:rPr>
          <w:rFonts w:ascii="Arial" w:hAnsi="Arial" w:cs="Arial"/>
          <w:color w:val="000000"/>
        </w:rPr>
        <w:t xml:space="preserve"> 98 del 1 de agosto de 1979, que había resaltado la laguna </w:t>
      </w:r>
      <w:proofErr w:type="spellStart"/>
      <w:r w:rsidRPr="00792B12">
        <w:rPr>
          <w:rFonts w:ascii="Arial" w:hAnsi="Arial" w:cs="Arial"/>
          <w:i/>
          <w:color w:val="000000"/>
        </w:rPr>
        <w:t>legis</w:t>
      </w:r>
      <w:proofErr w:type="spellEnd"/>
      <w:r w:rsidRPr="00792B12">
        <w:rPr>
          <w:rFonts w:ascii="Arial" w:hAnsi="Arial" w:cs="Arial"/>
          <w:color w:val="000000"/>
        </w:rPr>
        <w:t>. Si de ese modo la Corte Constitucional había mostrado un riguroso respeto del principio de la separación de poderes, pero que no había contribuido a resolver el problema sobre la base de los principios generales, en primer lugar los concernientes a la tutela del desarrollo de la personalidad.</w:t>
      </w:r>
    </w:p>
    <w:p w14:paraId="27B98BBF"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Ciertamente se trata de una ley articulada en numerosas normas que, dejando fuera del código civil la reglamentación jurídica de esta materia tan delicada, parecía resaltar el proceso de la denominada “decodificación”.</w:t>
      </w:r>
    </w:p>
    <w:p w14:paraId="1432E0A1" w14:textId="06674893"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Señalan </w:t>
      </w:r>
      <w:proofErr w:type="spellStart"/>
      <w:r w:rsidRPr="00792B12">
        <w:rPr>
          <w:rFonts w:ascii="Arial" w:hAnsi="Arial" w:cs="Arial"/>
          <w:color w:val="000000"/>
        </w:rPr>
        <w:t>Patti</w:t>
      </w:r>
      <w:proofErr w:type="spellEnd"/>
      <w:r w:rsidRPr="00792B12">
        <w:rPr>
          <w:rFonts w:ascii="Arial" w:hAnsi="Arial" w:cs="Arial"/>
          <w:color w:val="000000"/>
        </w:rPr>
        <w:t xml:space="preserve"> y Will</w:t>
      </w:r>
      <w:r w:rsidRPr="00792B12">
        <w:rPr>
          <w:rStyle w:val="Refdenotaalpie"/>
          <w:rFonts w:ascii="Arial" w:hAnsi="Arial" w:cs="Arial"/>
          <w:color w:val="000000"/>
        </w:rPr>
        <w:footnoteReference w:id="173"/>
      </w:r>
      <w:r w:rsidRPr="00792B12">
        <w:rPr>
          <w:rFonts w:ascii="Arial" w:hAnsi="Arial" w:cs="Arial"/>
          <w:color w:val="000000"/>
        </w:rPr>
        <w:t xml:space="preserve"> al analizar la norma comentada, conforme a una idea de fondo ya manifestados claramente en el curso del </w:t>
      </w:r>
      <w:r w:rsidR="001B2B15" w:rsidRPr="00792B12">
        <w:rPr>
          <w:rFonts w:ascii="Arial" w:hAnsi="Arial" w:cs="Arial"/>
          <w:color w:val="000000"/>
        </w:rPr>
        <w:t>interparlamentario</w:t>
      </w:r>
      <w:r w:rsidRPr="00792B12">
        <w:rPr>
          <w:rFonts w:ascii="Arial" w:hAnsi="Arial" w:cs="Arial"/>
          <w:color w:val="000000"/>
        </w:rPr>
        <w:t>, fue descartada la solución de tipo administrativo, y fue confiada a la magistratura ordinaria la tarea de decidir sobre la oportunidad de cambio.</w:t>
      </w:r>
    </w:p>
    <w:p w14:paraId="7EE0314D" w14:textId="1E8D9911"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Se ha señalado que la ley no aclara quienes son los destinatarios de la misma</w:t>
      </w:r>
      <w:r w:rsidRPr="00792B12">
        <w:rPr>
          <w:rStyle w:val="Refdenotaalpie"/>
          <w:rFonts w:ascii="Arial" w:hAnsi="Arial" w:cs="Arial"/>
          <w:color w:val="000000"/>
        </w:rPr>
        <w:footnoteReference w:id="174"/>
      </w:r>
      <w:r w:rsidRPr="00792B12">
        <w:rPr>
          <w:rFonts w:ascii="Arial" w:hAnsi="Arial" w:cs="Arial"/>
          <w:color w:val="000000"/>
        </w:rPr>
        <w:t xml:space="preserve">, no haciendo </w:t>
      </w:r>
      <w:r w:rsidR="001B2B15" w:rsidRPr="00792B12">
        <w:rPr>
          <w:rFonts w:ascii="Arial" w:hAnsi="Arial" w:cs="Arial"/>
          <w:color w:val="000000"/>
        </w:rPr>
        <w:t>referencia a</w:t>
      </w:r>
      <w:r w:rsidRPr="00792B12">
        <w:rPr>
          <w:rFonts w:ascii="Arial" w:hAnsi="Arial" w:cs="Arial"/>
          <w:color w:val="000000"/>
        </w:rPr>
        <w:t xml:space="preserve"> alguna categoría de personas</w:t>
      </w:r>
      <w:r w:rsidRPr="00792B12">
        <w:rPr>
          <w:rStyle w:val="Refdenotaalpie"/>
          <w:rFonts w:ascii="Arial" w:hAnsi="Arial" w:cs="Arial"/>
          <w:color w:val="000000"/>
        </w:rPr>
        <w:footnoteReference w:id="175"/>
      </w:r>
      <w:r w:rsidRPr="00792B12">
        <w:rPr>
          <w:rFonts w:ascii="Arial" w:hAnsi="Arial" w:cs="Arial"/>
          <w:color w:val="000000"/>
        </w:rPr>
        <w:t xml:space="preserve">. El único criterio que se encuentra contemplaba la “intervenidas modificaciones de los caracteres sexuales”. En </w:t>
      </w:r>
      <w:r w:rsidRPr="00792B12">
        <w:rPr>
          <w:rFonts w:ascii="Arial" w:hAnsi="Arial" w:cs="Arial"/>
          <w:color w:val="000000"/>
        </w:rPr>
        <w:lastRenderedPageBreak/>
        <w:t>base a ello se puede excluir que el nuevo procedimiento puede beneficiar a las personas transexuales que no hayan sometido a algún tratamiento, debido a que en esta hipótesis faltarían precisamente las “modificaciones”. No es claro, en cambio, que el referido criterio permita hacer ingresar en el ámbito de aplicación de la ley también otros sujetos, como las personas hermafroditas, para los cuales se había advertido la necesidad de una normativa.</w:t>
      </w:r>
    </w:p>
    <w:p w14:paraId="79D050FD"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La señalada circunstancia que los problemas de los hermafroditas encontraban una solución satisfaciente inducía, sin embargo, a considerar que estas personas no pueden considerarse sujetas a una normativa que, respecto a ello, asumiría carácter peyorativo, dada especialmente la necesidad de una autorización para la intervención quirúrgica.</w:t>
      </w:r>
    </w:p>
    <w:p w14:paraId="47C005CD" w14:textId="6370823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La advertida exigencia era la de mejorar la posición jurídica de algunas personas, no la de equiparar a estos, mediante la previsión de una </w:t>
      </w:r>
      <w:r w:rsidR="001B2B15" w:rsidRPr="00792B12">
        <w:rPr>
          <w:rFonts w:ascii="Arial" w:hAnsi="Arial" w:cs="Arial"/>
          <w:color w:val="000000"/>
        </w:rPr>
        <w:t>regulación general</w:t>
      </w:r>
      <w:r w:rsidRPr="00792B12">
        <w:rPr>
          <w:rFonts w:ascii="Arial" w:hAnsi="Arial" w:cs="Arial"/>
          <w:color w:val="000000"/>
        </w:rPr>
        <w:t>, otras personas que tienen características diferentes,</w:t>
      </w:r>
    </w:p>
    <w:p w14:paraId="2CAB681C"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En efecto, la jurisprudencia habiendo resaltado que el caso de los hermafroditas no había sido previsto por la ley, había siempre identificado sin dificultad la regla que lógicamente se imponían, es decir la rectificación </w:t>
      </w:r>
      <w:r w:rsidRPr="00792B12">
        <w:rPr>
          <w:rFonts w:ascii="Arial" w:hAnsi="Arial" w:cs="Arial"/>
          <w:i/>
          <w:color w:val="000000"/>
        </w:rPr>
        <w:t xml:space="preserve">ex </w:t>
      </w:r>
      <w:proofErr w:type="spellStart"/>
      <w:r w:rsidRPr="00792B12">
        <w:rPr>
          <w:rFonts w:ascii="Arial" w:hAnsi="Arial" w:cs="Arial"/>
          <w:i/>
          <w:color w:val="000000"/>
        </w:rPr>
        <w:t>tunc</w:t>
      </w:r>
      <w:proofErr w:type="spellEnd"/>
      <w:r w:rsidRPr="00792B12">
        <w:rPr>
          <w:rFonts w:ascii="Arial" w:hAnsi="Arial" w:cs="Arial"/>
          <w:color w:val="000000"/>
        </w:rPr>
        <w:t>. También bajo el aspecto de la caducidad de los efectos de la ley, que prevé una rectificación ex nunc, representando por ende, aparte de lo ilícito de la solución, un empeoramiento incomprensible</w:t>
      </w:r>
      <w:r w:rsidRPr="00792B12">
        <w:rPr>
          <w:rStyle w:val="Refdenotaalpie"/>
          <w:rFonts w:ascii="Arial" w:hAnsi="Arial" w:cs="Arial"/>
          <w:color w:val="000000"/>
        </w:rPr>
        <w:footnoteReference w:id="176"/>
      </w:r>
      <w:r w:rsidRPr="00792B12">
        <w:rPr>
          <w:rFonts w:ascii="Arial" w:hAnsi="Arial" w:cs="Arial"/>
          <w:color w:val="000000"/>
        </w:rPr>
        <w:t>.</w:t>
      </w:r>
    </w:p>
    <w:p w14:paraId="46C5BD75"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Se ha anotado también que la ley de 1982 llegó con retardo respecto a los otros países europeos (diez años después de la sueca y dos después de la alemana), no fue, desde una óptica cualitativa, inferior a estas últimas como garantía de los fundamentales derechos civiles</w:t>
      </w:r>
      <w:r w:rsidRPr="00792B12">
        <w:rPr>
          <w:rStyle w:val="Refdenotaalpie"/>
          <w:rFonts w:ascii="Arial" w:hAnsi="Arial" w:cs="Arial"/>
          <w:color w:val="000000"/>
        </w:rPr>
        <w:footnoteReference w:id="177"/>
      </w:r>
      <w:r w:rsidRPr="00792B12">
        <w:rPr>
          <w:rFonts w:ascii="Arial" w:hAnsi="Arial" w:cs="Arial"/>
          <w:color w:val="000000"/>
        </w:rPr>
        <w:t xml:space="preserve">. </w:t>
      </w:r>
    </w:p>
    <w:p w14:paraId="2B020FB1"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Logro de la norma italiana fue la regulación y reconocimiento jurídico de la problemática de la persona transexual. Alejado de una perspectiva estereotipada de la  cuestión, disponiendo la licitud de la intervención quirúrgica de “conversión del sexo”,  debiendo toda terapia quirúrgica ser autorizada después de un rígido y severo examen diagnóstico seguido por un consulto técnico de oficio, premisa irrenunciable para la </w:t>
      </w:r>
      <w:r w:rsidRPr="00792B12">
        <w:rPr>
          <w:rFonts w:ascii="Arial" w:hAnsi="Arial" w:cs="Arial"/>
          <w:color w:val="000000"/>
        </w:rPr>
        <w:lastRenderedPageBreak/>
        <w:t>concesión, por parte del Tribunal de Justicia comprobada la efectivización del tratamiento autorizado.</w:t>
      </w:r>
    </w:p>
    <w:p w14:paraId="7B713B0D" w14:textId="1854158B" w:rsidR="001B2B15" w:rsidRPr="00792B12" w:rsidRDefault="0096481E" w:rsidP="0070300A">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Respecto el cambio de nombre, de acuerdo a la ley italiana, resulta ser consecuencia de la rectificación de la atribución sexual.  Este panorama cambiará con la sentencia </w:t>
      </w:r>
      <w:proofErr w:type="spellStart"/>
      <w:r w:rsidRPr="00792B12">
        <w:rPr>
          <w:rFonts w:ascii="Arial" w:hAnsi="Arial" w:cs="Arial"/>
          <w:color w:val="000000"/>
        </w:rPr>
        <w:t>N°</w:t>
      </w:r>
      <w:proofErr w:type="spellEnd"/>
      <w:r w:rsidRPr="00792B12">
        <w:rPr>
          <w:rFonts w:ascii="Arial" w:hAnsi="Arial" w:cs="Arial"/>
          <w:color w:val="000000"/>
        </w:rPr>
        <w:t xml:space="preserve"> 15138 del 20 de julio de 2015 de la Corte de Casación, que se analizará más adelante.</w:t>
      </w:r>
    </w:p>
    <w:p w14:paraId="476B6AA0" w14:textId="77777777" w:rsidR="0096481E" w:rsidRPr="00792B12" w:rsidRDefault="0096481E" w:rsidP="0096481E">
      <w:pPr>
        <w:tabs>
          <w:tab w:val="center" w:pos="9498"/>
        </w:tabs>
        <w:spacing w:after="240" w:line="360" w:lineRule="auto"/>
        <w:jc w:val="both"/>
        <w:rPr>
          <w:rFonts w:ascii="Arial" w:hAnsi="Arial" w:cs="Arial"/>
          <w:b/>
          <w:color w:val="000000"/>
        </w:rPr>
      </w:pPr>
      <w:r w:rsidRPr="00792B12">
        <w:rPr>
          <w:rFonts w:ascii="Arial" w:hAnsi="Arial" w:cs="Arial"/>
          <w:b/>
          <w:color w:val="000000"/>
        </w:rPr>
        <w:t>6.- El derecho a la identidad personal y la labor de la Corte de Casación</w:t>
      </w:r>
    </w:p>
    <w:p w14:paraId="7EE66013"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Este nuevo interés existencial digno de tutela jurídica es definitivamente consagrado (a nivel jurisprudencial) en 1985, con la primera sentencia de la Corte de Casación sobre un caso de violación del derecho a la identidad personal.</w:t>
      </w:r>
    </w:p>
    <w:p w14:paraId="6700C4F1"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La sentencia que definió el posicionamiento sobre este derecho por parte de la suprema Corte fue el caso de Umberto </w:t>
      </w:r>
      <w:proofErr w:type="spellStart"/>
      <w:r w:rsidRPr="00792B12">
        <w:rPr>
          <w:rFonts w:ascii="Arial" w:hAnsi="Arial" w:cs="Arial"/>
          <w:color w:val="000000"/>
        </w:rPr>
        <w:t>Veronesi</w:t>
      </w:r>
      <w:proofErr w:type="spellEnd"/>
      <w:r w:rsidRPr="00792B12">
        <w:rPr>
          <w:rFonts w:ascii="Arial" w:hAnsi="Arial" w:cs="Arial"/>
          <w:color w:val="000000"/>
        </w:rPr>
        <w:t xml:space="preserve">. Este caso fue visto por el Tribunal de Milán previamente. Con sentencia del 19 de junio de 1980,  se trató el caso del citado médico y científico  italiano, </w:t>
      </w:r>
      <w:proofErr w:type="spellStart"/>
      <w:r w:rsidRPr="00792B12">
        <w:rPr>
          <w:rFonts w:ascii="Arial" w:hAnsi="Arial" w:cs="Arial"/>
          <w:color w:val="000000"/>
        </w:rPr>
        <w:t>Veronesi</w:t>
      </w:r>
      <w:proofErr w:type="spellEnd"/>
      <w:r w:rsidRPr="00792B12">
        <w:rPr>
          <w:rFonts w:ascii="Arial" w:hAnsi="Arial" w:cs="Arial"/>
          <w:color w:val="000000"/>
        </w:rPr>
        <w:t>, mediante una rueda de prensa analizó el tema sobre los efectos del tabaco sobre el organismo humano</w:t>
      </w:r>
      <w:r w:rsidRPr="00792B12">
        <w:rPr>
          <w:rStyle w:val="Refdenotaalpie"/>
          <w:rFonts w:ascii="Arial" w:hAnsi="Arial" w:cs="Arial"/>
          <w:color w:val="000000"/>
        </w:rPr>
        <w:footnoteReference w:id="178"/>
      </w:r>
      <w:r w:rsidRPr="00792B12">
        <w:rPr>
          <w:rFonts w:ascii="Arial" w:hAnsi="Arial" w:cs="Arial"/>
          <w:color w:val="000000"/>
        </w:rPr>
        <w:t>. En esta cita con los medios de comunicación social, el investigador se había pronunciado en forma categórica sobre el grave daño que representaba para la salud de las personas el nocivo uso del tabaco</w:t>
      </w:r>
      <w:r w:rsidRPr="00792B12">
        <w:rPr>
          <w:rStyle w:val="Refdenotaalpie"/>
          <w:rFonts w:ascii="Arial" w:hAnsi="Arial" w:cs="Arial"/>
          <w:color w:val="000000"/>
        </w:rPr>
        <w:footnoteReference w:id="179"/>
      </w:r>
      <w:r w:rsidRPr="00792B12">
        <w:rPr>
          <w:rFonts w:ascii="Arial" w:hAnsi="Arial" w:cs="Arial"/>
          <w:color w:val="000000"/>
        </w:rPr>
        <w:t>.</w:t>
      </w:r>
    </w:p>
    <w:p w14:paraId="23903E20" w14:textId="363923D2"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Partes de su declaración fueron aprovechados fuera del contexto pronunciado y sin el asentimiento del referido médico, por una empresa industrial para publicitar una determinada marca de cigarrillos. Se valieron del hecho que en sus declaraciones había mencionado que algunas marcas y tipos de cigarrillos eran menos dañinos que otros, reduciéndose por esta circunstancia en un cierto porcentaje, el daño por el hecho de ser fumador consuetudinario. Evidentemente el que existiera menos riesgo no significaba que la adicción al cigarrillo dejara de tener graves consecuencias sobre la salud Esta posición se </w:t>
      </w:r>
      <w:r w:rsidR="001B2B15" w:rsidRPr="00792B12">
        <w:rPr>
          <w:rFonts w:ascii="Arial" w:hAnsi="Arial" w:cs="Arial"/>
          <w:color w:val="000000"/>
        </w:rPr>
        <w:t>desprendía de</w:t>
      </w:r>
      <w:r w:rsidRPr="00792B12">
        <w:rPr>
          <w:rFonts w:ascii="Arial" w:hAnsi="Arial" w:cs="Arial"/>
          <w:color w:val="000000"/>
        </w:rPr>
        <w:t xml:space="preserve"> sus declaraciones  y que coincidía plenamente con lo expresado por el referido científico en anteriores oportunidades, circunstancia que era de conocimiento público. La empresa productora de cigarrillos, extrapolando del contexto de sus declaraciones, mediante una maniobra publicitaria la utilizó en beneficio de una de sus marcas de cigarrillos con el objetivo de inducir al lector a considerar que </w:t>
      </w:r>
      <w:r w:rsidRPr="00792B12">
        <w:rPr>
          <w:rFonts w:ascii="Arial" w:hAnsi="Arial" w:cs="Arial"/>
          <w:color w:val="000000"/>
        </w:rPr>
        <w:lastRenderedPageBreak/>
        <w:t>el famoso científico sostenía que la marca y tipo de cigarrillos promovidos por la publicidad no eran dañinos para la salud.</w:t>
      </w:r>
    </w:p>
    <w:p w14:paraId="6FAC0CAA"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El Tribunal de Milán en su pronunciamiento consideró que las fragmentarias opiniones del científico, concernientes al menor peligro de un determinado tipo de cigarrillos, habían sido utilizadas sin su conocimiento, distorsionando su pensamiento, contrario en absoluto al hábito de fumar, en beneficio de una empresa industrial y en desmedro del reconocido prestigio del médico y del Instituto al cual pertenecía. Según el Tribunal, el científico nunca habría permitido, dada su radical posición contraria al uso del tabaco, que se aprovecharan sus declaraciones para presentarlo como favorable al uso del mismo cuando se trataba de cierta marca y tipo de cigarrillos. </w:t>
      </w:r>
    </w:p>
    <w:p w14:paraId="366EDB0E" w14:textId="2D9999F5"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 xml:space="preserve"> En sede de la judicatura de mérito, la posición jurídica lesionada había sido identificado en el derecho al nombre, si bien mediante un interpretación extensiva y evolutiva de esta dispositiva. La motivación ofrecida por la Corte de Casación ha confirmado el planteamiento de las cortes de mérito, contiene una articulada definición del derecho de la identidad personal y una profunda valoración de su fundamento normativo, así como de las relaciones con otros derechos de la persona. En consideración de la riqueza y complejidad del razonamiento argumentativo, se le ha </w:t>
      </w:r>
      <w:r w:rsidR="001B2B15" w:rsidRPr="00792B12">
        <w:rPr>
          <w:rFonts w:ascii="Arial" w:hAnsi="Arial" w:cs="Arial"/>
          <w:color w:val="000000"/>
        </w:rPr>
        <w:t>considerado como</w:t>
      </w:r>
      <w:r w:rsidRPr="00792B12">
        <w:rPr>
          <w:rFonts w:ascii="Arial" w:hAnsi="Arial" w:cs="Arial"/>
          <w:color w:val="000000"/>
        </w:rPr>
        <w:t xml:space="preserve"> una “sentencia excesivamente doctrinal”, característica que no ha sido acogida desfavorablemente frente a la constante praxis jurisprudencial en materia de identidad personal, antes como después del referido pronunciamiento, caracterizada por una difícil argumentativo</w:t>
      </w:r>
      <w:r w:rsidRPr="00792B12">
        <w:rPr>
          <w:rStyle w:val="Refdenotaalpie"/>
          <w:rFonts w:ascii="Arial" w:hAnsi="Arial" w:cs="Arial"/>
          <w:color w:val="000000"/>
        </w:rPr>
        <w:footnoteReference w:id="180"/>
      </w:r>
      <w:r w:rsidRPr="00792B12">
        <w:rPr>
          <w:rFonts w:ascii="Arial" w:hAnsi="Arial" w:cs="Arial"/>
          <w:color w:val="000000"/>
        </w:rPr>
        <w:t>.</w:t>
      </w:r>
    </w:p>
    <w:p w14:paraId="55D68752"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t>Así la Corte de Casación afirmó que:</w:t>
      </w:r>
    </w:p>
    <w:p w14:paraId="22122976" w14:textId="77777777" w:rsidR="0096481E" w:rsidRPr="00792B12" w:rsidRDefault="0096481E" w:rsidP="0096481E">
      <w:pPr>
        <w:tabs>
          <w:tab w:val="center" w:pos="9498"/>
        </w:tabs>
        <w:spacing w:after="240" w:line="360" w:lineRule="auto"/>
        <w:ind w:left="709" w:right="1274" w:firstLine="708"/>
        <w:jc w:val="both"/>
        <w:rPr>
          <w:rFonts w:ascii="Arial" w:hAnsi="Arial" w:cs="Arial"/>
          <w:i/>
          <w:color w:val="000000"/>
        </w:rPr>
      </w:pPr>
      <w:r w:rsidRPr="00792B12">
        <w:rPr>
          <w:rFonts w:ascii="Arial" w:hAnsi="Arial" w:cs="Arial"/>
          <w:i/>
          <w:color w:val="000000"/>
        </w:rPr>
        <w:t>Cada sujeto tiene el interés, considerado generalmente merecedor de tutela jurídica, de ser representado, en la vida de relación, con su verdadera identidad, así como en la realidad social, general y particular, es conocida o había podido ser conocida con la aplicación de los criterios de la norma diligencia y de la buena fe subjetiva; es decir, tiene interés a no verse en el exterior alterado, cambiado, el patrimonio intelectual, político, social, religión, ideológico, profesional, etc.</w:t>
      </w:r>
    </w:p>
    <w:p w14:paraId="2DCD5116" w14:textId="77777777" w:rsidR="0096481E" w:rsidRPr="00792B12" w:rsidRDefault="0096481E" w:rsidP="0096481E">
      <w:pPr>
        <w:tabs>
          <w:tab w:val="center" w:pos="9498"/>
        </w:tabs>
        <w:spacing w:after="240" w:line="360" w:lineRule="auto"/>
        <w:ind w:firstLine="708"/>
        <w:jc w:val="both"/>
        <w:rPr>
          <w:rFonts w:ascii="Arial" w:hAnsi="Arial" w:cs="Arial"/>
          <w:color w:val="000000"/>
        </w:rPr>
      </w:pPr>
      <w:r w:rsidRPr="00792B12">
        <w:rPr>
          <w:rFonts w:ascii="Arial" w:hAnsi="Arial" w:cs="Arial"/>
          <w:color w:val="000000"/>
        </w:rPr>
        <w:lastRenderedPageBreak/>
        <w:t>(…)</w:t>
      </w:r>
    </w:p>
    <w:p w14:paraId="38AC7BD4" w14:textId="77777777" w:rsidR="0096481E" w:rsidRPr="00792B12" w:rsidRDefault="0096481E" w:rsidP="0096481E">
      <w:pPr>
        <w:tabs>
          <w:tab w:val="center" w:pos="9498"/>
        </w:tabs>
        <w:spacing w:after="240" w:line="360" w:lineRule="auto"/>
        <w:ind w:left="709" w:right="1274" w:firstLine="708"/>
        <w:jc w:val="both"/>
        <w:rPr>
          <w:rFonts w:ascii="Arial" w:hAnsi="Arial" w:cs="Arial"/>
          <w:i/>
          <w:color w:val="000000"/>
        </w:rPr>
      </w:pPr>
      <w:r w:rsidRPr="00792B12">
        <w:rPr>
          <w:rFonts w:ascii="Arial" w:hAnsi="Arial" w:cs="Arial"/>
          <w:i/>
          <w:color w:val="000000"/>
        </w:rPr>
        <w:t>En tal modo, se produce, sin duda, una lesión al aspecto social del sujeto y puede comprobarse que esta lesión se concreta mediante una acción que no es en el mismo tiempo ofensiva del honor o de la reputación o lesiva del nombre o de la imagen física del sujeto mismo. El legislador no prevé expresamente una tutela de la identidad personal en sí y por sí, que no favorece al sujeto que ve alterada o lesionada su propia imagen externa, con reacción jurídica ejercitable también en las hipótesis en que se considere lesionado su derecho al honor, a la reputación, al nombre o a la imagen.</w:t>
      </w:r>
    </w:p>
    <w:p w14:paraId="4C174EC1" w14:textId="77777777" w:rsidR="0096481E" w:rsidRPr="00792B12" w:rsidRDefault="0096481E" w:rsidP="0096481E">
      <w:pPr>
        <w:tabs>
          <w:tab w:val="center" w:pos="9498"/>
        </w:tabs>
        <w:spacing w:after="240" w:line="360" w:lineRule="auto"/>
        <w:ind w:left="709" w:right="1274" w:hanging="1"/>
        <w:jc w:val="both"/>
        <w:rPr>
          <w:rFonts w:ascii="Arial" w:hAnsi="Arial" w:cs="Arial"/>
          <w:i/>
          <w:color w:val="000000"/>
        </w:rPr>
      </w:pPr>
      <w:r w:rsidRPr="00792B12">
        <w:rPr>
          <w:rFonts w:ascii="Arial" w:hAnsi="Arial" w:cs="Arial"/>
          <w:i/>
          <w:color w:val="000000"/>
        </w:rPr>
        <w:t>(…)</w:t>
      </w:r>
    </w:p>
    <w:p w14:paraId="35351AAE" w14:textId="77777777" w:rsidR="0096481E" w:rsidRPr="00792B12" w:rsidRDefault="0096481E" w:rsidP="0096481E">
      <w:pPr>
        <w:tabs>
          <w:tab w:val="center" w:pos="9498"/>
        </w:tabs>
        <w:spacing w:after="240" w:line="360" w:lineRule="auto"/>
        <w:ind w:left="709" w:right="1274" w:firstLine="708"/>
        <w:jc w:val="both"/>
        <w:rPr>
          <w:rFonts w:ascii="Arial" w:hAnsi="Arial" w:cs="Arial"/>
          <w:color w:val="000000"/>
        </w:rPr>
      </w:pPr>
      <w:r w:rsidRPr="00792B12">
        <w:rPr>
          <w:rFonts w:ascii="Arial" w:hAnsi="Arial" w:cs="Arial"/>
          <w:i/>
          <w:color w:val="000000"/>
        </w:rPr>
        <w:t>La identidad personal integra un bien esencial y fundamental de la persona, verse respetado por los terceros su modo de ser en la realidad social, es decir de ver garantizada la libertad de desarrollar integralmente su propia personalidad individual, tanto en la comunidad general como en las comunidades particular. Esta es tutelada en la forma del derecho subjetivo, en el cuadro de los derechos de la personalidad, con instrumentos típicos del derecho privado</w:t>
      </w:r>
      <w:r w:rsidRPr="00792B12">
        <w:rPr>
          <w:rFonts w:ascii="Arial" w:hAnsi="Arial" w:cs="Arial"/>
          <w:color w:val="000000"/>
        </w:rPr>
        <w:t>.</w:t>
      </w:r>
    </w:p>
    <w:p w14:paraId="514D5383" w14:textId="77777777" w:rsidR="0096481E" w:rsidRPr="00792B12" w:rsidRDefault="0096481E" w:rsidP="0096481E">
      <w:pPr>
        <w:tabs>
          <w:tab w:val="center" w:pos="9498"/>
        </w:tabs>
        <w:spacing w:after="240" w:line="360" w:lineRule="auto"/>
        <w:ind w:left="709" w:right="1274" w:hanging="1"/>
        <w:jc w:val="both"/>
        <w:rPr>
          <w:rFonts w:ascii="Arial" w:hAnsi="Arial" w:cs="Arial"/>
          <w:color w:val="000000"/>
        </w:rPr>
      </w:pPr>
      <w:r w:rsidRPr="00792B12">
        <w:rPr>
          <w:rFonts w:ascii="Arial" w:hAnsi="Arial" w:cs="Arial"/>
          <w:color w:val="000000"/>
        </w:rPr>
        <w:t>Así, de acuerdo con la Corte, se puede señalar que:</w:t>
      </w:r>
    </w:p>
    <w:p w14:paraId="1E899B50" w14:textId="77777777" w:rsidR="0096481E" w:rsidRPr="00792B12" w:rsidRDefault="0096481E" w:rsidP="0096481E">
      <w:pPr>
        <w:tabs>
          <w:tab w:val="center" w:pos="9498"/>
        </w:tabs>
        <w:spacing w:after="240" w:line="360" w:lineRule="auto"/>
        <w:ind w:right="-1"/>
        <w:jc w:val="both"/>
        <w:rPr>
          <w:rFonts w:ascii="Arial" w:hAnsi="Arial" w:cs="Arial"/>
          <w:color w:val="000000"/>
        </w:rPr>
      </w:pPr>
      <w:r w:rsidRPr="00792B12">
        <w:rPr>
          <w:rFonts w:ascii="Arial" w:hAnsi="Arial" w:cs="Arial"/>
          <w:color w:val="000000"/>
        </w:rPr>
        <w:t>a) El interés al respecto de la identidad personal representa una exigencia difundida en la sociedad, como es confirmado por la siempre más frecuente exigencia de tutela avanzada por los ciudadanos en las sedes judiciales;</w:t>
      </w:r>
    </w:p>
    <w:p w14:paraId="201813EC" w14:textId="77777777" w:rsidR="0096481E" w:rsidRPr="00792B12" w:rsidRDefault="0096481E" w:rsidP="0096481E">
      <w:pPr>
        <w:tabs>
          <w:tab w:val="center" w:pos="9498"/>
        </w:tabs>
        <w:spacing w:after="240" w:line="360" w:lineRule="auto"/>
        <w:ind w:right="-1"/>
        <w:jc w:val="both"/>
        <w:rPr>
          <w:rFonts w:ascii="Arial" w:hAnsi="Arial" w:cs="Arial"/>
          <w:color w:val="000000"/>
        </w:rPr>
      </w:pPr>
      <w:r w:rsidRPr="00792B12">
        <w:rPr>
          <w:rFonts w:ascii="Arial" w:hAnsi="Arial" w:cs="Arial"/>
          <w:color w:val="000000"/>
        </w:rPr>
        <w:t>b) No obstante, el legislador no reconoce en directamente formas de tutela para tal interés;</w:t>
      </w:r>
    </w:p>
    <w:p w14:paraId="56C0FFA0" w14:textId="77777777" w:rsidR="0096481E" w:rsidRPr="00792B12" w:rsidRDefault="0096481E" w:rsidP="0096481E">
      <w:pPr>
        <w:tabs>
          <w:tab w:val="center" w:pos="9498"/>
        </w:tabs>
        <w:spacing w:after="240" w:line="360" w:lineRule="auto"/>
        <w:ind w:right="-1"/>
        <w:jc w:val="both"/>
        <w:rPr>
          <w:rFonts w:ascii="Arial" w:hAnsi="Arial" w:cs="Arial"/>
          <w:color w:val="000000"/>
        </w:rPr>
      </w:pPr>
      <w:r w:rsidRPr="00792B12">
        <w:rPr>
          <w:rFonts w:ascii="Arial" w:hAnsi="Arial" w:cs="Arial"/>
          <w:color w:val="000000"/>
        </w:rPr>
        <w:t xml:space="preserve">c) La tutela jurídica no puede ser conducida, si no marginalmente, del derecho al nombre, al pseudónimo, a la imagen; </w:t>
      </w:r>
    </w:p>
    <w:p w14:paraId="451B947C" w14:textId="77777777" w:rsidR="0096481E" w:rsidRPr="00792B12" w:rsidRDefault="0096481E" w:rsidP="0096481E">
      <w:pPr>
        <w:tabs>
          <w:tab w:val="center" w:pos="9498"/>
        </w:tabs>
        <w:spacing w:after="240" w:line="360" w:lineRule="auto"/>
        <w:ind w:right="-1"/>
        <w:jc w:val="both"/>
        <w:rPr>
          <w:rFonts w:ascii="Arial" w:hAnsi="Arial" w:cs="Arial"/>
          <w:color w:val="000000"/>
        </w:rPr>
      </w:pPr>
      <w:r w:rsidRPr="00792B12">
        <w:rPr>
          <w:rFonts w:ascii="Arial" w:hAnsi="Arial" w:cs="Arial"/>
          <w:color w:val="000000"/>
        </w:rPr>
        <w:t>d) Es necesario encontrar un fundamento jurídico-positivo de tal interés, porque, en cambio, se podría negar la tutela privatista;</w:t>
      </w:r>
    </w:p>
    <w:p w14:paraId="4E1C4073" w14:textId="2F735FCB"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lastRenderedPageBreak/>
        <w:t xml:space="preserve">Se puede afirmar, con Carlos Fernández </w:t>
      </w:r>
      <w:proofErr w:type="spellStart"/>
      <w:r w:rsidRPr="00792B12">
        <w:rPr>
          <w:rFonts w:ascii="Arial" w:hAnsi="Arial" w:cs="Arial"/>
          <w:color w:val="000000"/>
        </w:rPr>
        <w:t>Sessarego</w:t>
      </w:r>
      <w:proofErr w:type="spellEnd"/>
      <w:r w:rsidRPr="00792B12">
        <w:rPr>
          <w:rStyle w:val="Refdenotaalpie"/>
          <w:rFonts w:ascii="Arial" w:hAnsi="Arial" w:cs="Arial"/>
          <w:color w:val="000000"/>
        </w:rPr>
        <w:footnoteReference w:id="181"/>
      </w:r>
      <w:r w:rsidRPr="00792B12">
        <w:rPr>
          <w:rFonts w:ascii="Arial" w:hAnsi="Arial" w:cs="Arial"/>
          <w:color w:val="000000"/>
        </w:rPr>
        <w:t xml:space="preserve">,  que el pronunciamiento de la Corte de Casación permitió diferencia con claridad las dos vertientes que confluyen en </w:t>
      </w:r>
      <w:r w:rsidR="001B2B15" w:rsidRPr="00792B12">
        <w:rPr>
          <w:rFonts w:ascii="Arial" w:hAnsi="Arial" w:cs="Arial"/>
          <w:color w:val="000000"/>
        </w:rPr>
        <w:t>el concepto</w:t>
      </w:r>
      <w:r w:rsidRPr="00792B12">
        <w:rPr>
          <w:rFonts w:ascii="Arial" w:hAnsi="Arial" w:cs="Arial"/>
          <w:color w:val="000000"/>
        </w:rPr>
        <w:t xml:space="preserve"> referente a la identidad personal</w:t>
      </w:r>
      <w:r w:rsidRPr="00792B12">
        <w:rPr>
          <w:rStyle w:val="Refdenotaalpie"/>
          <w:rFonts w:ascii="Arial" w:hAnsi="Arial" w:cs="Arial"/>
          <w:color w:val="000000"/>
        </w:rPr>
        <w:footnoteReference w:id="182"/>
      </w:r>
      <w:r w:rsidRPr="00792B12">
        <w:rPr>
          <w:rFonts w:ascii="Arial" w:hAnsi="Arial" w:cs="Arial"/>
          <w:color w:val="000000"/>
        </w:rPr>
        <w:t>.  Al criticar la errónea sustentación legal del fallo del Tribunal de Milán, la Corte de Casación precisa que los signos distintivos, como el nombre o el seudónimo, en cuanto aspectos estáticos, identifican a la persona en el plano “</w:t>
      </w:r>
      <w:r w:rsidRPr="00792B12">
        <w:rPr>
          <w:rFonts w:ascii="Arial" w:hAnsi="Arial" w:cs="Arial"/>
          <w:i/>
          <w:color w:val="000000"/>
        </w:rPr>
        <w:t>de la existencia material y de la condición civil y legal</w:t>
      </w:r>
      <w:r w:rsidRPr="00792B12">
        <w:rPr>
          <w:rFonts w:ascii="Arial" w:hAnsi="Arial" w:cs="Arial"/>
          <w:color w:val="000000"/>
        </w:rPr>
        <w:t>” en tanto que la identidad dinámica constituye una fórmula que distingue al sujeto “</w:t>
      </w:r>
      <w:r w:rsidRPr="00792B12">
        <w:rPr>
          <w:rFonts w:ascii="Arial" w:hAnsi="Arial" w:cs="Arial"/>
          <w:i/>
          <w:color w:val="000000"/>
        </w:rPr>
        <w:t>desde el punto de vista global de sus específicas características y manifestaciones</w:t>
      </w:r>
      <w:r w:rsidRPr="00792B12">
        <w:rPr>
          <w:rFonts w:ascii="Arial" w:hAnsi="Arial" w:cs="Arial"/>
          <w:color w:val="000000"/>
        </w:rPr>
        <w:t>”, vale decir  aquellas expresiones culturales, ideológicas, morales, ocupacionales, políticas, intelectuales que, en su conjunto, ponen de manifiesto lo que la Corte define como “</w:t>
      </w:r>
      <w:r w:rsidRPr="00792B12">
        <w:rPr>
          <w:rFonts w:ascii="Arial" w:hAnsi="Arial" w:cs="Arial"/>
          <w:i/>
          <w:color w:val="000000"/>
        </w:rPr>
        <w:t>la concreta y efectiva personalidad del sujeto</w:t>
      </w:r>
      <w:r w:rsidRPr="00792B12">
        <w:rPr>
          <w:rFonts w:ascii="Arial" w:hAnsi="Arial" w:cs="Arial"/>
          <w:color w:val="000000"/>
        </w:rPr>
        <w:t>”.</w:t>
      </w:r>
    </w:p>
    <w:p w14:paraId="2CE148BB" w14:textId="77777777" w:rsidR="0096481E" w:rsidRPr="00792B12" w:rsidRDefault="0096481E" w:rsidP="0096481E">
      <w:pPr>
        <w:tabs>
          <w:tab w:val="center" w:pos="9498"/>
        </w:tabs>
        <w:spacing w:after="240" w:line="360" w:lineRule="auto"/>
        <w:jc w:val="both"/>
        <w:rPr>
          <w:rFonts w:ascii="Arial" w:hAnsi="Arial" w:cs="Arial"/>
          <w:b/>
          <w:color w:val="000000"/>
        </w:rPr>
      </w:pPr>
      <w:r w:rsidRPr="00792B12">
        <w:rPr>
          <w:rFonts w:ascii="Arial" w:hAnsi="Arial" w:cs="Arial"/>
          <w:b/>
          <w:color w:val="000000"/>
        </w:rPr>
        <w:t>7.- El derecho a la identidad personal en la jurisprudencia de la Corte Constitucional</w:t>
      </w:r>
    </w:p>
    <w:p w14:paraId="59AFF650"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El derecho a la identidad personal también hizo su aparición en pronunciamientos de la Corte Constitucional italiana. En ellas la Corte hizo suya la definición de este derecho, de acuerdo a la evolución que había venido desarrollándose en la jurisprudencia peninsular.</w:t>
      </w:r>
    </w:p>
    <w:p w14:paraId="4E8946BC"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Los diversos fallos judiciales, visto por la Corte, tienen rasgos comunes: se trataban de situaciones en que la persona, en forma de todo independiente de su propia voluntad y, por efecto de una mecánica aplicación de disposiciones normativa, se habría encontrados privado de su nombre, después de haber sido titular por un considerable periodo.</w:t>
      </w:r>
    </w:p>
    <w:p w14:paraId="036B74D0"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Así la Corte, en uno de sus pronunciamientos, sostiene:</w:t>
      </w:r>
    </w:p>
    <w:p w14:paraId="4C6D1339" w14:textId="77777777" w:rsidR="0096481E" w:rsidRPr="00792B12" w:rsidRDefault="0096481E" w:rsidP="0096481E">
      <w:pPr>
        <w:tabs>
          <w:tab w:val="center" w:pos="9498"/>
        </w:tabs>
        <w:spacing w:after="240" w:line="360" w:lineRule="auto"/>
        <w:ind w:left="993" w:right="1416"/>
        <w:jc w:val="both"/>
        <w:rPr>
          <w:rFonts w:ascii="Arial" w:hAnsi="Arial" w:cs="Arial"/>
          <w:i/>
          <w:color w:val="000000"/>
        </w:rPr>
      </w:pPr>
      <w:r w:rsidRPr="00792B12">
        <w:rPr>
          <w:rFonts w:ascii="Arial" w:hAnsi="Arial" w:cs="Arial"/>
          <w:i/>
          <w:color w:val="000000"/>
        </w:rPr>
        <w:t>Es ciertamente cierto que entre los derechos que forman el patrimonio de la persona humana, el artículo 2 de la constitución reconoce y garantiza también el derecho a la identidad personal.</w:t>
      </w:r>
    </w:p>
    <w:p w14:paraId="0F874C60" w14:textId="77777777" w:rsidR="0096481E" w:rsidRPr="00792B12" w:rsidRDefault="0096481E" w:rsidP="0096481E">
      <w:pPr>
        <w:tabs>
          <w:tab w:val="center" w:pos="9498"/>
        </w:tabs>
        <w:spacing w:after="240" w:line="360" w:lineRule="auto"/>
        <w:ind w:left="993" w:right="1416"/>
        <w:jc w:val="both"/>
        <w:rPr>
          <w:rFonts w:ascii="Arial" w:hAnsi="Arial" w:cs="Arial"/>
          <w:i/>
          <w:color w:val="000000"/>
        </w:rPr>
      </w:pPr>
      <w:r w:rsidRPr="00792B12">
        <w:rPr>
          <w:rFonts w:ascii="Arial" w:hAnsi="Arial" w:cs="Arial"/>
          <w:i/>
          <w:color w:val="000000"/>
        </w:rPr>
        <w:lastRenderedPageBreak/>
        <w:t>Se trata – como eficazmente ha sido afirmado – del derecho a ser sí mismo, comprendido como respeto de la imagen de participar a la vida asociada, con las adquisiciones de ideas y de experiencias, con las convicciones ideológicas, religiosas, morales y sociales que diferencias y, al mismo tiempo califican al individuo.</w:t>
      </w:r>
    </w:p>
    <w:p w14:paraId="5489AA1C" w14:textId="77777777" w:rsidR="0096481E" w:rsidRPr="00792B12" w:rsidRDefault="0096481E" w:rsidP="0096481E">
      <w:pPr>
        <w:tabs>
          <w:tab w:val="center" w:pos="9498"/>
        </w:tabs>
        <w:spacing w:after="240" w:line="360" w:lineRule="auto"/>
        <w:ind w:left="993" w:right="1416"/>
        <w:jc w:val="both"/>
        <w:rPr>
          <w:rFonts w:ascii="Arial" w:hAnsi="Arial" w:cs="Arial"/>
          <w:i/>
          <w:color w:val="000000"/>
        </w:rPr>
      </w:pPr>
      <w:r w:rsidRPr="00792B12">
        <w:rPr>
          <w:rFonts w:ascii="Arial" w:hAnsi="Arial" w:cs="Arial"/>
          <w:i/>
          <w:color w:val="000000"/>
        </w:rPr>
        <w:t>La identidad personal constituye, por ende, un bien por sí mismo, independientemente de la condición personal y social, de las apreciaciones y de los defectos del sujeto, de lo que a cada uno se le reconoce el derecho a que su individualidad sea preservada</w:t>
      </w:r>
    </w:p>
    <w:p w14:paraId="404FC698"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Esta definición del derecho a la identidad personal, que por grandes líneas reitera lo afirmado por la Corte de Casación, la Corte coloca en relación este derecho con el nombre, considerado “el primero y más inmediato elemento que caracteriza la identidad personal”. En efecto, la Corte distingue entre diversas funciones del nombre, en cuya disciplina jurídica confluye exigencia de naturaleza pública como civilista. Entre las primeras, se presentan las que se pueden compendian en la tradicional función identificadora del nombre (la exigencia de distinguir en el plano de la existencia material una persona de los otros, para conducirlo a un determinado grupo familiar, etc.): esta podría ser considerada la función directa del nombre; entre las segundas, existe la función (indirecta, apelativa, metonímica, simbólica) de evocar la personalidad del titular, con el complejo de las experiencias, de las convicciones, de las acciones a este reconducibles. En este segundo sentido, el objeto de la tutela, según la Corte Constitucional, es propiamente la identidad personal del interesado, y el nombre es invocado en función instrumental respecto a la tutela de esta última.</w:t>
      </w:r>
    </w:p>
    <w:p w14:paraId="4F828790"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En todos los referidos casos, la Corte considera inconstitucionales las disposiciones de ley impugnadas, en la parte en que estas no prevén que un sujeto pueda mantener el uso del propio apellido, cuando este último sea considerado autónomo signo distintivo de su identidad personal.</w:t>
      </w:r>
    </w:p>
    <w:p w14:paraId="5D97910D"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El derecho a la identidad personal, como es definido y utilizado en la jurisprudencia, no es “el derecho a ser sí mismo”, como en cambio afirma la Corte Constitucional, sino el derecho a no ser </w:t>
      </w:r>
      <w:r w:rsidRPr="00792B12">
        <w:rPr>
          <w:rFonts w:ascii="Arial" w:hAnsi="Arial" w:cs="Arial"/>
          <w:i/>
          <w:color w:val="000000"/>
        </w:rPr>
        <w:t>representados</w:t>
      </w:r>
      <w:r w:rsidRPr="00792B12">
        <w:rPr>
          <w:rFonts w:ascii="Arial" w:hAnsi="Arial" w:cs="Arial"/>
          <w:color w:val="000000"/>
        </w:rPr>
        <w:t xml:space="preserve"> en manera deformada. Además, sostener que el cambio del nombre, como indica la Corte, comparta una “supresión” del </w:t>
      </w:r>
      <w:r w:rsidRPr="00792B12">
        <w:rPr>
          <w:rFonts w:ascii="Arial" w:hAnsi="Arial" w:cs="Arial"/>
          <w:color w:val="000000"/>
        </w:rPr>
        <w:lastRenderedPageBreak/>
        <w:t xml:space="preserve">patrimonio moral y cultural equivale a actuar una identificación entre nombre y patrimonio cultural-social-moral que remite a concepciones antiguas del nombre como “signo” de pertenecía del individuo a una clase, una corporación, y posteriormente como expresión de la personalidad del sujeto. La fórmula </w:t>
      </w:r>
      <w:r w:rsidRPr="00792B12">
        <w:rPr>
          <w:rFonts w:ascii="Arial" w:hAnsi="Arial" w:cs="Arial"/>
          <w:i/>
          <w:color w:val="000000"/>
        </w:rPr>
        <w:t>nombre igual personalidad</w:t>
      </w:r>
      <w:r w:rsidRPr="00792B12">
        <w:rPr>
          <w:rFonts w:ascii="Arial" w:hAnsi="Arial" w:cs="Arial"/>
          <w:color w:val="000000"/>
        </w:rPr>
        <w:t xml:space="preserve"> proclamada por la Corte conduce, por un lado, a formas de organización social muy antigua en el tiempo para poder ser considerada aún significativas, por otro lado a doctrinas jurídicas más recientes, sino que han sido superadas precisamente por el reconocimiento de un autónomo  bien jurídico “identidad personal”, cuya tutela se ha emancipado de la vinculación necesaria con el derecho al nombre (y a la imagen). No debe olvidarse que la tendencia moderna supera la concepción </w:t>
      </w:r>
      <w:proofErr w:type="spellStart"/>
      <w:r w:rsidRPr="00792B12">
        <w:rPr>
          <w:rFonts w:ascii="Arial" w:hAnsi="Arial" w:cs="Arial"/>
          <w:color w:val="000000"/>
        </w:rPr>
        <w:t>anagráfica</w:t>
      </w:r>
      <w:proofErr w:type="spellEnd"/>
      <w:r w:rsidRPr="00792B12">
        <w:rPr>
          <w:rFonts w:ascii="Arial" w:hAnsi="Arial" w:cs="Arial"/>
          <w:color w:val="000000"/>
        </w:rPr>
        <w:t xml:space="preserve"> y propietaria de la identidad personal, a favor de una concepción amplia y dinámica</w:t>
      </w:r>
      <w:r w:rsidRPr="00792B12">
        <w:rPr>
          <w:rStyle w:val="Refdenotaalpie"/>
          <w:rFonts w:ascii="Arial" w:hAnsi="Arial" w:cs="Arial"/>
          <w:color w:val="000000"/>
        </w:rPr>
        <w:footnoteReference w:id="183"/>
      </w:r>
      <w:r w:rsidRPr="00792B12">
        <w:rPr>
          <w:rFonts w:ascii="Arial" w:hAnsi="Arial" w:cs="Arial"/>
          <w:color w:val="000000"/>
        </w:rPr>
        <w:t>.</w:t>
      </w:r>
    </w:p>
    <w:p w14:paraId="1AA49596"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La Corte Constitucional siguió su razonamiento evolutivo de este derecho. Así con sentencia N°170 de 2014 ha acogido el recurso y ha declarado la </w:t>
      </w:r>
      <w:proofErr w:type="spellStart"/>
      <w:r w:rsidRPr="00792B12">
        <w:rPr>
          <w:rFonts w:ascii="Arial" w:hAnsi="Arial" w:cs="Arial"/>
          <w:color w:val="000000"/>
        </w:rPr>
        <w:t>ilegimitidad</w:t>
      </w:r>
      <w:proofErr w:type="spellEnd"/>
      <w:r w:rsidRPr="00792B12">
        <w:rPr>
          <w:rFonts w:ascii="Arial" w:hAnsi="Arial" w:cs="Arial"/>
          <w:color w:val="000000"/>
        </w:rPr>
        <w:t xml:space="preserve"> constitucional de los artículos 2 y 4 de la Ley </w:t>
      </w:r>
      <w:proofErr w:type="spellStart"/>
      <w:r w:rsidRPr="00792B12">
        <w:rPr>
          <w:rFonts w:ascii="Arial" w:hAnsi="Arial" w:cs="Arial"/>
          <w:color w:val="000000"/>
        </w:rPr>
        <w:t>N°</w:t>
      </w:r>
      <w:proofErr w:type="spellEnd"/>
      <w:r w:rsidRPr="00792B12">
        <w:rPr>
          <w:rFonts w:ascii="Arial" w:hAnsi="Arial" w:cs="Arial"/>
          <w:color w:val="000000"/>
        </w:rPr>
        <w:t xml:space="preserve"> 164 de 1982. En primer lugar, la Corte ha excluido que se pudiese aplicar en el caso “los artículos 8 (sobre el respeto de la vida familiar) y 12 (sobre el derecho de casarme y formar familia) de la Convención Europea de Derechos Humanos, como es interpretados por la Corte Europea de los Derechos Humanos (H. contra Finlandia – decisión del 13 de noviembre de 2012; </w:t>
      </w:r>
      <w:proofErr w:type="spellStart"/>
      <w:r w:rsidRPr="00792B12">
        <w:rPr>
          <w:rFonts w:ascii="Arial" w:hAnsi="Arial" w:cs="Arial"/>
          <w:color w:val="000000"/>
        </w:rPr>
        <w:t>Schalk</w:t>
      </w:r>
      <w:proofErr w:type="spellEnd"/>
      <w:r w:rsidRPr="00792B12">
        <w:rPr>
          <w:rFonts w:ascii="Arial" w:hAnsi="Arial" w:cs="Arial"/>
          <w:color w:val="000000"/>
        </w:rPr>
        <w:t xml:space="preserve"> and </w:t>
      </w:r>
      <w:proofErr w:type="spellStart"/>
      <w:r w:rsidRPr="00792B12">
        <w:rPr>
          <w:rFonts w:ascii="Arial" w:hAnsi="Arial" w:cs="Arial"/>
          <w:color w:val="000000"/>
        </w:rPr>
        <w:t>Kopf</w:t>
      </w:r>
      <w:proofErr w:type="spellEnd"/>
      <w:r w:rsidRPr="00792B12">
        <w:rPr>
          <w:rFonts w:ascii="Arial" w:hAnsi="Arial" w:cs="Arial"/>
          <w:color w:val="000000"/>
        </w:rPr>
        <w:t xml:space="preserve"> contra Austria – decisión del 22 de noviembre de 2010) invocados como normas interpuestas, de acuerdo de la denunciada violación de los artículos 10, primer párrafo, y 117, primer párrafo, de la Constitución (italiana)”, porque en “ausencia de un consenso entre los diversos Estados nacionales sobre el tema de las uniones homosexuales, la Corte Europea de Derechos Humanos, en el presupuesto del margen de apreciación de la consecución de su reconocimiento, afirma ser reservado a la discrecionalidad del legislador nacional las eventuales formas de tutela para las parejas del mismo sexo</w:t>
      </w:r>
      <w:r w:rsidRPr="00792B12">
        <w:rPr>
          <w:rStyle w:val="Refdenotaalpie"/>
          <w:rFonts w:ascii="Arial" w:hAnsi="Arial" w:cs="Arial"/>
          <w:color w:val="000000"/>
        </w:rPr>
        <w:footnoteReference w:id="184"/>
      </w:r>
      <w:r w:rsidRPr="00792B12">
        <w:rPr>
          <w:rFonts w:ascii="Arial" w:hAnsi="Arial" w:cs="Arial"/>
          <w:color w:val="000000"/>
        </w:rPr>
        <w:t xml:space="preserve">. Ha excluido también que se aplicasen a la figura a los artículos 24 y 3 de la Constitución, en cuanto el reconocimiento de las uniones civiles entre parejas del mismo sexo compete al legislador. No obstante, debe tenerse en consideración la convicción de la persona de pertenecer a un sexo diverso del resultante en los registros  y el deseo de vivir en modo correspondiente había adquirido importancia en la norma sobre la materia de rectificación de atribución de sexo, que sin embargo no habían mantenido la tradición </w:t>
      </w:r>
      <w:r w:rsidRPr="00792B12">
        <w:rPr>
          <w:rFonts w:ascii="Arial" w:hAnsi="Arial" w:cs="Arial"/>
          <w:color w:val="000000"/>
        </w:rPr>
        <w:lastRenderedPageBreak/>
        <w:t>visión de la atribución de sexo basada en los caracteres sexuales de tipo físico y, por ende, había impuesto una correspondencia entre sexo comprendido en sentido psicológico y las características sexuales de la persona</w:t>
      </w:r>
      <w:r w:rsidRPr="00792B12">
        <w:rPr>
          <w:rStyle w:val="Refdenotaalpie"/>
          <w:rFonts w:ascii="Arial" w:hAnsi="Arial" w:cs="Arial"/>
          <w:color w:val="000000"/>
        </w:rPr>
        <w:footnoteReference w:id="185"/>
      </w:r>
      <w:r w:rsidRPr="00792B12">
        <w:rPr>
          <w:rFonts w:ascii="Arial" w:hAnsi="Arial" w:cs="Arial"/>
          <w:color w:val="000000"/>
        </w:rPr>
        <w:t>.</w:t>
      </w:r>
    </w:p>
    <w:p w14:paraId="370B6A9E" w14:textId="78479B7E"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La Corte Constitucional ha considerado que, en esta situación singular, la pareja no debe </w:t>
      </w:r>
      <w:r w:rsidR="0014606F" w:rsidRPr="00792B12">
        <w:rPr>
          <w:rFonts w:ascii="Arial" w:hAnsi="Arial" w:cs="Arial"/>
          <w:color w:val="000000"/>
        </w:rPr>
        <w:t>ser una</w:t>
      </w:r>
      <w:r w:rsidRPr="00792B12">
        <w:rPr>
          <w:rFonts w:ascii="Arial" w:hAnsi="Arial" w:cs="Arial"/>
          <w:color w:val="000000"/>
        </w:rPr>
        <w:t xml:space="preserve"> unión cualquiera sino, deseando los dos ex conyugues </w:t>
      </w:r>
      <w:r w:rsidR="0014606F" w:rsidRPr="00792B12">
        <w:rPr>
          <w:rFonts w:ascii="Arial" w:hAnsi="Arial" w:cs="Arial"/>
          <w:color w:val="000000"/>
        </w:rPr>
        <w:t>continuar a</w:t>
      </w:r>
      <w:r w:rsidRPr="00792B12">
        <w:rPr>
          <w:rFonts w:ascii="Arial" w:hAnsi="Arial" w:cs="Arial"/>
          <w:color w:val="000000"/>
        </w:rPr>
        <w:t xml:space="preserve"> convivir con la afectación originaria y con los hijos, la ley no parece dividirlos, reduciéndolos a la </w:t>
      </w:r>
      <w:proofErr w:type="spellStart"/>
      <w:r w:rsidRPr="00792B12">
        <w:rPr>
          <w:rFonts w:ascii="Arial" w:hAnsi="Arial" w:cs="Arial"/>
          <w:color w:val="000000"/>
        </w:rPr>
        <w:t>extraneidad</w:t>
      </w:r>
      <w:proofErr w:type="spellEnd"/>
      <w:r w:rsidRPr="00792B12">
        <w:rPr>
          <w:rFonts w:ascii="Arial" w:hAnsi="Arial" w:cs="Arial"/>
          <w:color w:val="000000"/>
        </w:rPr>
        <w:t>.</w:t>
      </w:r>
    </w:p>
    <w:p w14:paraId="4C06020B"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La ley de 1982 era censurable en particular porque admitía el cambio de sexo solo como consecuencia de la intervención quirúrgica dirigida a modificar los atributos sexuales.</w:t>
      </w:r>
    </w:p>
    <w:p w14:paraId="1D894740"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Al respecto, la Corte Constitucional – con sentencia </w:t>
      </w:r>
      <w:proofErr w:type="spellStart"/>
      <w:r w:rsidRPr="00792B12">
        <w:rPr>
          <w:rFonts w:ascii="Arial" w:hAnsi="Arial" w:cs="Arial"/>
          <w:color w:val="000000"/>
        </w:rPr>
        <w:t>N°</w:t>
      </w:r>
      <w:proofErr w:type="spellEnd"/>
      <w:r w:rsidRPr="00792B12">
        <w:rPr>
          <w:rFonts w:ascii="Arial" w:hAnsi="Arial" w:cs="Arial"/>
          <w:color w:val="000000"/>
        </w:rPr>
        <w:t xml:space="preserve"> 221 del 2015 y con las sentencias </w:t>
      </w:r>
      <w:proofErr w:type="spellStart"/>
      <w:r w:rsidRPr="00792B12">
        <w:rPr>
          <w:rFonts w:ascii="Arial" w:hAnsi="Arial" w:cs="Arial"/>
          <w:color w:val="000000"/>
        </w:rPr>
        <w:t>N°</w:t>
      </w:r>
      <w:proofErr w:type="spellEnd"/>
      <w:r w:rsidRPr="00792B12">
        <w:rPr>
          <w:rFonts w:ascii="Arial" w:hAnsi="Arial" w:cs="Arial"/>
          <w:color w:val="000000"/>
        </w:rPr>
        <w:t xml:space="preserve"> 180 y 185 del 2017 – ha precisado que una interpretación constitucionalmente orientada de la ley </w:t>
      </w:r>
      <w:proofErr w:type="spellStart"/>
      <w:r w:rsidRPr="00792B12">
        <w:rPr>
          <w:rFonts w:ascii="Arial" w:hAnsi="Arial" w:cs="Arial"/>
          <w:color w:val="000000"/>
        </w:rPr>
        <w:t>N°</w:t>
      </w:r>
      <w:proofErr w:type="spellEnd"/>
      <w:r w:rsidRPr="00792B12">
        <w:rPr>
          <w:rFonts w:ascii="Arial" w:hAnsi="Arial" w:cs="Arial"/>
          <w:color w:val="000000"/>
        </w:rPr>
        <w:t xml:space="preserve"> 164 de 1982 permite de excluir la necesidad del recurso a la intervención quirúrgico de normo-conformación a los fines de la rectificación </w:t>
      </w:r>
      <w:proofErr w:type="spellStart"/>
      <w:r w:rsidRPr="00792B12">
        <w:rPr>
          <w:rFonts w:ascii="Arial" w:hAnsi="Arial" w:cs="Arial"/>
          <w:color w:val="000000"/>
        </w:rPr>
        <w:t>anagráfica</w:t>
      </w:r>
      <w:proofErr w:type="spellEnd"/>
      <w:r w:rsidRPr="00792B12">
        <w:rPr>
          <w:rFonts w:ascii="Arial" w:hAnsi="Arial" w:cs="Arial"/>
          <w:color w:val="000000"/>
        </w:rPr>
        <w:t xml:space="preserve"> de sexo: “</w:t>
      </w:r>
      <w:r w:rsidRPr="00792B12">
        <w:rPr>
          <w:rFonts w:ascii="Arial" w:hAnsi="Arial" w:cs="Arial"/>
          <w:i/>
          <w:color w:val="000000"/>
        </w:rPr>
        <w:t xml:space="preserve">en la ley </w:t>
      </w:r>
      <w:proofErr w:type="spellStart"/>
      <w:r w:rsidRPr="00792B12">
        <w:rPr>
          <w:rFonts w:ascii="Arial" w:hAnsi="Arial" w:cs="Arial"/>
          <w:i/>
          <w:color w:val="000000"/>
        </w:rPr>
        <w:t>N°</w:t>
      </w:r>
      <w:proofErr w:type="spellEnd"/>
      <w:r w:rsidRPr="00792B12">
        <w:rPr>
          <w:rFonts w:ascii="Arial" w:hAnsi="Arial" w:cs="Arial"/>
          <w:i/>
          <w:color w:val="000000"/>
        </w:rPr>
        <w:t xml:space="preserve">  184 de 1982 la realización del Derecho del propio derecho a la identidad personal, del cual es parte la identidad de género, encuentra su realización mediante un procedimiento judicial que garantice, al mismo tiempo, el derecho del sujeto, como las exigencias publicistas de certeza de las relaciones jurídicas, sobre los cuales se funda la importancia de los registros </w:t>
      </w:r>
      <w:proofErr w:type="spellStart"/>
      <w:r w:rsidRPr="00792B12">
        <w:rPr>
          <w:rFonts w:ascii="Arial" w:hAnsi="Arial" w:cs="Arial"/>
          <w:i/>
          <w:color w:val="000000"/>
        </w:rPr>
        <w:t>anagráficos</w:t>
      </w:r>
      <w:proofErr w:type="spellEnd"/>
      <w:r w:rsidRPr="00792B12">
        <w:rPr>
          <w:rFonts w:ascii="Arial" w:hAnsi="Arial" w:cs="Arial"/>
          <w:color w:val="000000"/>
        </w:rPr>
        <w:t>”.</w:t>
      </w:r>
    </w:p>
    <w:p w14:paraId="367F2144" w14:textId="77777777" w:rsidR="0096481E" w:rsidRPr="00792B12" w:rsidRDefault="0096481E" w:rsidP="0096481E">
      <w:pPr>
        <w:tabs>
          <w:tab w:val="center" w:pos="9498"/>
        </w:tabs>
        <w:spacing w:after="240" w:line="360" w:lineRule="auto"/>
        <w:jc w:val="both"/>
        <w:rPr>
          <w:rFonts w:ascii="Arial" w:hAnsi="Arial" w:cs="Arial"/>
          <w:b/>
          <w:color w:val="000000"/>
        </w:rPr>
      </w:pPr>
      <w:bookmarkStart w:id="1" w:name="_Hlk75482369"/>
      <w:r w:rsidRPr="00792B12">
        <w:rPr>
          <w:rFonts w:ascii="Arial" w:hAnsi="Arial" w:cs="Arial"/>
          <w:b/>
          <w:color w:val="000000"/>
        </w:rPr>
        <w:t xml:space="preserve">8.- Un giro Copérnico: la sentencia de la Corte de Casación </w:t>
      </w:r>
      <w:proofErr w:type="spellStart"/>
      <w:r w:rsidRPr="00792B12">
        <w:rPr>
          <w:rFonts w:ascii="Arial" w:hAnsi="Arial" w:cs="Arial"/>
          <w:b/>
          <w:color w:val="000000"/>
        </w:rPr>
        <w:t>N°</w:t>
      </w:r>
      <w:proofErr w:type="spellEnd"/>
      <w:r w:rsidRPr="00792B12">
        <w:rPr>
          <w:rFonts w:ascii="Arial" w:hAnsi="Arial" w:cs="Arial"/>
          <w:b/>
          <w:color w:val="000000"/>
        </w:rPr>
        <w:t xml:space="preserve"> 15138/2015 del 20 de julio de 2015</w:t>
      </w:r>
    </w:p>
    <w:bookmarkEnd w:id="1"/>
    <w:p w14:paraId="462BFE53" w14:textId="5481063E"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Con la Sentencia de la Corte de Casación </w:t>
      </w:r>
      <w:proofErr w:type="spellStart"/>
      <w:r w:rsidRPr="00792B12">
        <w:rPr>
          <w:rFonts w:ascii="Arial" w:hAnsi="Arial" w:cs="Arial"/>
          <w:color w:val="000000"/>
        </w:rPr>
        <w:t>N°</w:t>
      </w:r>
      <w:proofErr w:type="spellEnd"/>
      <w:r w:rsidRPr="00792B12">
        <w:rPr>
          <w:rFonts w:ascii="Arial" w:hAnsi="Arial" w:cs="Arial"/>
          <w:color w:val="000000"/>
        </w:rPr>
        <w:t xml:space="preserve"> 15138/2015, se establece el cambio de sexo sin la necesidad de </w:t>
      </w:r>
      <w:r w:rsidR="0014606F" w:rsidRPr="00792B12">
        <w:rPr>
          <w:rFonts w:ascii="Arial" w:hAnsi="Arial" w:cs="Arial"/>
          <w:color w:val="000000"/>
        </w:rPr>
        <w:t>una intervención quirúrgica</w:t>
      </w:r>
      <w:r w:rsidRPr="00792B12">
        <w:rPr>
          <w:rFonts w:ascii="Arial" w:hAnsi="Arial" w:cs="Arial"/>
          <w:color w:val="000000"/>
        </w:rPr>
        <w:t>, acogiéndose las categorías, cuanto a la persona transexual de la “autopercepción”, el “rol social” y el cambio de “perspectiva socio-cultural”.</w:t>
      </w:r>
    </w:p>
    <w:p w14:paraId="20C8A114" w14:textId="5649BA4A"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Debe precisarse que el artículo 1 de la ley 164 de 1982 establecía que “La</w:t>
      </w:r>
      <w:r w:rsidRPr="00792B12">
        <w:rPr>
          <w:rFonts w:ascii="Arial" w:hAnsi="Arial" w:cs="Arial"/>
          <w:i/>
          <w:color w:val="000000"/>
        </w:rPr>
        <w:t xml:space="preserve"> rectificación se autoriza por sentencia del tribunal que haya sido materia del proceso que atribuya a una persona sexo diverso del declarado en </w:t>
      </w:r>
      <w:r w:rsidR="0014606F" w:rsidRPr="00792B12">
        <w:rPr>
          <w:rFonts w:ascii="Arial" w:hAnsi="Arial" w:cs="Arial"/>
          <w:i/>
          <w:color w:val="000000"/>
        </w:rPr>
        <w:t>el acta</w:t>
      </w:r>
      <w:r w:rsidRPr="00792B12">
        <w:rPr>
          <w:rFonts w:ascii="Arial" w:hAnsi="Arial" w:cs="Arial"/>
          <w:i/>
          <w:color w:val="000000"/>
        </w:rPr>
        <w:t xml:space="preserve"> de nacimiento, como </w:t>
      </w:r>
      <w:r w:rsidRPr="00792B12">
        <w:rPr>
          <w:rFonts w:ascii="Arial" w:hAnsi="Arial" w:cs="Arial"/>
          <w:i/>
          <w:color w:val="000000"/>
        </w:rPr>
        <w:lastRenderedPageBreak/>
        <w:t>consecuencia de realizadas en modificaciones de sus caracteres sexuales</w:t>
      </w:r>
      <w:r w:rsidRPr="00792B12">
        <w:rPr>
          <w:rFonts w:ascii="Arial" w:hAnsi="Arial" w:cs="Arial"/>
          <w:color w:val="000000"/>
        </w:rPr>
        <w:t xml:space="preserve">”.  Una posterior intervención legislativa (Decreto Legislativo </w:t>
      </w:r>
      <w:proofErr w:type="spellStart"/>
      <w:r w:rsidRPr="00792B12">
        <w:rPr>
          <w:rFonts w:ascii="Arial" w:hAnsi="Arial" w:cs="Arial"/>
          <w:color w:val="000000"/>
        </w:rPr>
        <w:t>N°</w:t>
      </w:r>
      <w:proofErr w:type="spellEnd"/>
      <w:r w:rsidRPr="00792B12">
        <w:rPr>
          <w:rFonts w:ascii="Arial" w:hAnsi="Arial" w:cs="Arial"/>
          <w:color w:val="000000"/>
        </w:rPr>
        <w:t xml:space="preserve"> 150/2011, artículo 31, inciso 4) que había precisado que este cambio se realiza “</w:t>
      </w:r>
      <w:r w:rsidRPr="00792B12">
        <w:rPr>
          <w:rFonts w:ascii="Arial" w:hAnsi="Arial" w:cs="Arial"/>
          <w:i/>
          <w:color w:val="000000"/>
        </w:rPr>
        <w:t>mediante tratamiento médico-quirúrgico</w:t>
      </w:r>
      <w:r w:rsidRPr="00792B12">
        <w:rPr>
          <w:rFonts w:ascii="Arial" w:hAnsi="Arial" w:cs="Arial"/>
          <w:color w:val="000000"/>
        </w:rPr>
        <w:t>”, “</w:t>
      </w:r>
      <w:r w:rsidRPr="00792B12">
        <w:rPr>
          <w:rFonts w:ascii="Arial" w:hAnsi="Arial" w:cs="Arial"/>
          <w:i/>
          <w:color w:val="000000"/>
        </w:rPr>
        <w:t>cuando resulte necesario una adecuación de los caracteres sexuales</w:t>
      </w:r>
      <w:r w:rsidRPr="00792B12">
        <w:rPr>
          <w:rFonts w:ascii="Arial" w:hAnsi="Arial" w:cs="Arial"/>
          <w:color w:val="000000"/>
        </w:rPr>
        <w:t>”.</w:t>
      </w:r>
    </w:p>
    <w:p w14:paraId="4BD83775"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Como afirma con acierto Francesca </w:t>
      </w:r>
      <w:proofErr w:type="spellStart"/>
      <w:r w:rsidRPr="00792B12">
        <w:rPr>
          <w:rFonts w:ascii="Arial" w:hAnsi="Arial" w:cs="Arial"/>
          <w:color w:val="000000"/>
        </w:rPr>
        <w:t>Bartolini</w:t>
      </w:r>
      <w:proofErr w:type="spellEnd"/>
      <w:r w:rsidRPr="00792B12">
        <w:rPr>
          <w:rStyle w:val="Refdenotaalpie"/>
          <w:rFonts w:ascii="Arial" w:hAnsi="Arial" w:cs="Arial"/>
          <w:color w:val="000000"/>
        </w:rPr>
        <w:footnoteReference w:id="186"/>
      </w:r>
      <w:r w:rsidRPr="00792B12">
        <w:rPr>
          <w:rFonts w:ascii="Arial" w:hAnsi="Arial" w:cs="Arial"/>
          <w:color w:val="000000"/>
        </w:rPr>
        <w:t xml:space="preserve">, llama a la curiosidad que después de 30 años de emitida la ley de 1982, solo recientemente ha generado todo un debate. Hasta ahora la jurisprudencia había brindado una interpretación restrictiva de esta ley. Sobre la base de la constatación que en biología se distinguen los caracteres sexuales primarios de los secundarios, identificándose los primeros con los órganos genitales y reproductivo, los segundos con otras características psico-físicas, como la conformación física del cuerpo, el timbre de la voz, los comportamientos exteriores </w:t>
      </w:r>
      <w:proofErr w:type="spellStart"/>
      <w:r w:rsidRPr="00792B12">
        <w:rPr>
          <w:rFonts w:ascii="Arial" w:hAnsi="Arial" w:cs="Arial"/>
          <w:color w:val="000000"/>
        </w:rPr>
        <w:t>percibibles</w:t>
      </w:r>
      <w:proofErr w:type="spellEnd"/>
      <w:r w:rsidRPr="00792B12">
        <w:rPr>
          <w:rFonts w:ascii="Arial" w:hAnsi="Arial" w:cs="Arial"/>
          <w:color w:val="000000"/>
        </w:rPr>
        <w:t xml:space="preserve"> al exterior, la rectificación del sexo era permitida sólo si el requirente había demostrado una intervención de modificación de los caracteres sexuales primarios mediante la intervención médico-quirúrgica de ablación y reconstrucción de los órganos genitales y reproductivos. Fue esta la dirección de la sentencia N°29/2013 de la Corte de Apelación de Bolonia. </w:t>
      </w:r>
    </w:p>
    <w:p w14:paraId="40D47060"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En el caso, en 1999 una persona había requerido al Tribunal de Piacenza la autorización al tratamiento para la modificación definitiva de los caracteres sexuales para obtener la ratificación de los datos </w:t>
      </w:r>
      <w:proofErr w:type="spellStart"/>
      <w:r w:rsidRPr="00792B12">
        <w:rPr>
          <w:rFonts w:ascii="Arial" w:hAnsi="Arial" w:cs="Arial"/>
          <w:color w:val="000000"/>
        </w:rPr>
        <w:t>anagráficos</w:t>
      </w:r>
      <w:proofErr w:type="spellEnd"/>
      <w:r w:rsidRPr="00792B12">
        <w:rPr>
          <w:rFonts w:ascii="Arial" w:hAnsi="Arial" w:cs="Arial"/>
          <w:color w:val="000000"/>
        </w:rPr>
        <w:t xml:space="preserve"> de hombre a mujer. </w:t>
      </w:r>
    </w:p>
    <w:p w14:paraId="30E7E9CB"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No obstante, la persona en cuestión no se había sometido al tratamiento médico-quirúrgico de adecuación de los caracteres sexuales primarios al género femenino, y, después de diez años, solicitó nuevamente al Tribunal de Piacenza la autorización para la modificación de los propios caracteres sexuales, prescindiendo del tratamiento médico-quirúrgico. </w:t>
      </w:r>
    </w:p>
    <w:p w14:paraId="4C00DF32"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Para fundamentar una nueva demanda aducía las complicaciones de naturaleza médica, y que en ese periodo había alcanzado la armonía con el propio cuerpo que le permitía de sentirse mujer sin someterse al tratamiento médico. </w:t>
      </w:r>
    </w:p>
    <w:p w14:paraId="587F61D2"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El Tribunal de Piacenza rechazó la demanda, considerando necesaria el tratamiento quirúrgico. El recurrente interpuso el recurso, contra la decisión del Tribunal de Piacenza, antes la Corte de Apelación de Bolonia, sosteniendo que el tratamiento </w:t>
      </w:r>
      <w:r w:rsidRPr="00792B12">
        <w:rPr>
          <w:rFonts w:ascii="Arial" w:hAnsi="Arial" w:cs="Arial"/>
          <w:color w:val="000000"/>
        </w:rPr>
        <w:lastRenderedPageBreak/>
        <w:t xml:space="preserve">médico quirúrgico es necesario solo en el caso en que tenga como objetivo asegurar el bienestar psico-físico de la persona. </w:t>
      </w:r>
    </w:p>
    <w:p w14:paraId="29D89B45" w14:textId="219B922D"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Dispuesta la consulta técnica de oficio, la Corte de Apelación rechazó la demanda. Según estos jueces si bien la consulta técnica de oficio había establecido que el reclamante había modificado </w:t>
      </w:r>
      <w:r w:rsidR="0014606F" w:rsidRPr="00792B12">
        <w:rPr>
          <w:rFonts w:ascii="Arial" w:hAnsi="Arial" w:cs="Arial"/>
          <w:color w:val="000000"/>
        </w:rPr>
        <w:t>los caracteres</w:t>
      </w:r>
      <w:r w:rsidRPr="00792B12">
        <w:rPr>
          <w:rFonts w:ascii="Arial" w:hAnsi="Arial" w:cs="Arial"/>
          <w:color w:val="000000"/>
        </w:rPr>
        <w:t xml:space="preserve"> sexuales secundarios, por la ley </w:t>
      </w:r>
      <w:proofErr w:type="spellStart"/>
      <w:r w:rsidRPr="00792B12">
        <w:rPr>
          <w:rFonts w:ascii="Arial" w:hAnsi="Arial" w:cs="Arial"/>
          <w:color w:val="000000"/>
        </w:rPr>
        <w:t>N°</w:t>
      </w:r>
      <w:proofErr w:type="spellEnd"/>
      <w:r w:rsidRPr="00792B12">
        <w:rPr>
          <w:rFonts w:ascii="Arial" w:hAnsi="Arial" w:cs="Arial"/>
          <w:color w:val="000000"/>
        </w:rPr>
        <w:t xml:space="preserve"> 164 de 1982 el presupuesto de la modificación </w:t>
      </w:r>
      <w:proofErr w:type="spellStart"/>
      <w:r w:rsidRPr="00792B12">
        <w:rPr>
          <w:rFonts w:ascii="Arial" w:hAnsi="Arial" w:cs="Arial"/>
          <w:color w:val="000000"/>
        </w:rPr>
        <w:t>anagráfica</w:t>
      </w:r>
      <w:proofErr w:type="spellEnd"/>
      <w:r w:rsidRPr="00792B12">
        <w:rPr>
          <w:rFonts w:ascii="Arial" w:hAnsi="Arial" w:cs="Arial"/>
          <w:color w:val="000000"/>
        </w:rPr>
        <w:t xml:space="preserve"> del sexo es el cambio, ya sea de los caracteres primarios como de los caracteres secundarios sexuales, por los cuales, no habiendo el reclamante cambiado los caracteres sexuales primarios, no se podía acoger la demanda. </w:t>
      </w:r>
    </w:p>
    <w:p w14:paraId="75C961B5"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Con el pronunciamiento contrario de la Corte de Apelación, el reclamante presentó recurso a la Corte de Casación.  En la sentencia de la referida Corte, estableció, en vía preliminar, que las normas de derecho positivo interno aplicables en el caso deben interpretadas a la luz de los principios constitucionales y de proveniencia de la Corte Europea de Derechos Humanos, en particular los artículos 2,3,  32 de la Constitución y el artículo 8 de la Convención Europea para la Salvaguardia de los Derechos Humanos y de las Libertades Fundamentales, los jueces de legitimidad recondujeron el derecho al cambio de sexo en el área de los derechos inviolables de la persona, según lo establecido por la sentencia </w:t>
      </w:r>
      <w:proofErr w:type="spellStart"/>
      <w:r w:rsidRPr="00792B12">
        <w:rPr>
          <w:rFonts w:ascii="Arial" w:hAnsi="Arial" w:cs="Arial"/>
          <w:color w:val="000000"/>
        </w:rPr>
        <w:t>N°</w:t>
      </w:r>
      <w:proofErr w:type="spellEnd"/>
      <w:r w:rsidRPr="00792B12">
        <w:rPr>
          <w:rFonts w:ascii="Arial" w:hAnsi="Arial" w:cs="Arial"/>
          <w:color w:val="000000"/>
        </w:rPr>
        <w:t xml:space="preserve"> 161 de 1985 de la Corte Constitucional, por la cual “</w:t>
      </w:r>
      <w:r w:rsidRPr="00792B12">
        <w:rPr>
          <w:rFonts w:ascii="Arial" w:hAnsi="Arial" w:cs="Arial"/>
          <w:i/>
          <w:color w:val="000000"/>
        </w:rPr>
        <w:t xml:space="preserve">la ley </w:t>
      </w:r>
      <w:proofErr w:type="spellStart"/>
      <w:r w:rsidRPr="00792B12">
        <w:rPr>
          <w:rFonts w:ascii="Arial" w:hAnsi="Arial" w:cs="Arial"/>
          <w:i/>
          <w:color w:val="000000"/>
        </w:rPr>
        <w:t>N°</w:t>
      </w:r>
      <w:proofErr w:type="spellEnd"/>
      <w:r w:rsidRPr="00792B12">
        <w:rPr>
          <w:rFonts w:ascii="Arial" w:hAnsi="Arial" w:cs="Arial"/>
          <w:i/>
          <w:color w:val="000000"/>
        </w:rPr>
        <w:t xml:space="preserve"> 164 de 1982 se coloca en el ámbito de una civilización jurídica en evolución, siempre más atenta a los valores, de libertad y dignidad, de la persona humana, que busca y tutela también en las situaciones minoritarias y anormales</w:t>
      </w:r>
      <w:r w:rsidRPr="00792B12">
        <w:rPr>
          <w:rFonts w:ascii="Arial" w:hAnsi="Arial" w:cs="Arial"/>
          <w:color w:val="000000"/>
        </w:rPr>
        <w:t xml:space="preserve">”.  </w:t>
      </w:r>
    </w:p>
    <w:p w14:paraId="49B64D12"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Entonces, la ley no es comprendida como regulación de casos generales y mayoritarios, de comportamientos compartidos por la mayoría de un grupo social, y, por ende, normales, es interpretada en vía de continua evolución, como tutela de situaciones de pocos sujetos, no normales (este es el significado del término “</w:t>
      </w:r>
      <w:r w:rsidRPr="00792B12">
        <w:rPr>
          <w:rFonts w:ascii="Arial" w:hAnsi="Arial" w:cs="Arial"/>
          <w:i/>
          <w:color w:val="000000"/>
        </w:rPr>
        <w:t>anómalo</w:t>
      </w:r>
      <w:r w:rsidRPr="00792B12">
        <w:rPr>
          <w:rFonts w:ascii="Arial" w:hAnsi="Arial" w:cs="Arial"/>
          <w:color w:val="000000"/>
        </w:rPr>
        <w:t>”).</w:t>
      </w:r>
    </w:p>
    <w:p w14:paraId="71B7902A"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La Corte de Casación cita, sin nombrarla, la doctrina que, hasta la entrada en vigor de la ley </w:t>
      </w:r>
      <w:proofErr w:type="spellStart"/>
      <w:r w:rsidRPr="00792B12">
        <w:rPr>
          <w:rFonts w:ascii="Arial" w:hAnsi="Arial" w:cs="Arial"/>
          <w:color w:val="000000"/>
        </w:rPr>
        <w:t>N°</w:t>
      </w:r>
      <w:proofErr w:type="spellEnd"/>
      <w:r w:rsidRPr="00792B12">
        <w:rPr>
          <w:rFonts w:ascii="Arial" w:hAnsi="Arial" w:cs="Arial"/>
          <w:color w:val="000000"/>
        </w:rPr>
        <w:t xml:space="preserve"> 164 de 1982, “</w:t>
      </w:r>
      <w:r w:rsidRPr="00792B12">
        <w:rPr>
          <w:rFonts w:ascii="Arial" w:hAnsi="Arial" w:cs="Arial"/>
          <w:i/>
          <w:color w:val="000000"/>
        </w:rPr>
        <w:t>resultando el carácter fuertemente innovativo de la nueva disciplina normativa, también respecto al panorama jurídico europeo, se interrogó sobre el efectivo contenido de las normas, desde el momento que en el plano textual estas no contenían la obligación indefectible de proceder al cambio de los caracteres sexuales anatómico primarios mediante tratamiento quirúrgico como, en cambio, sucede en el cambio, en otras normativa de los países europeos</w:t>
      </w:r>
      <w:r w:rsidRPr="00792B12">
        <w:rPr>
          <w:rFonts w:ascii="Arial" w:hAnsi="Arial" w:cs="Arial"/>
          <w:color w:val="000000"/>
        </w:rPr>
        <w:t>”.</w:t>
      </w:r>
    </w:p>
    <w:p w14:paraId="2A22994A"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lastRenderedPageBreak/>
        <w:t xml:space="preserve">Además, cito la Corte Suprema, la sentencia de la Corte Europea de Derechos de Hombre del 10 de marzo de 2015 (caso XY contra Turquía), la cual estableció que no puede presentarse la condición al cambio de sexo la preventiva incapacidad de procrear para realizarse, donde es necesario mediante la intervención quirúrgica de esterilización, obstando el derecho a la vida privada y familiar y a la saludo. Decisión tomada en base a los informes de las Naciones Unidas del 17 de marzo de 2011 y del Consejo de Europa (en el 2009 y del 2011), que siempre han brindado mayor importancia al perfil del derecho a la salud en el reconocimiento del derecho al cambio del sexo. </w:t>
      </w:r>
    </w:p>
    <w:p w14:paraId="0C5F7371"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Sostiene los jueces supremos que el cambio requerido de la ley respecto a los “</w:t>
      </w:r>
      <w:r w:rsidRPr="00792B12">
        <w:rPr>
          <w:rFonts w:ascii="Arial" w:hAnsi="Arial" w:cs="Arial"/>
          <w:i/>
          <w:color w:val="000000"/>
        </w:rPr>
        <w:t>caracteres sexuales</w:t>
      </w:r>
      <w:r w:rsidRPr="00792B12">
        <w:rPr>
          <w:rFonts w:ascii="Arial" w:hAnsi="Arial" w:cs="Arial"/>
          <w:color w:val="000000"/>
        </w:rPr>
        <w:t>” sin especificaciones, en atención que al momento de su entrada en vigor ya se conocía la repartición de las dos tipologías de los caracteres sexuales, los primarios y los secundarios. Además, el inciso “</w:t>
      </w:r>
      <w:r w:rsidRPr="00792B12">
        <w:rPr>
          <w:rFonts w:ascii="Arial" w:hAnsi="Arial" w:cs="Arial"/>
          <w:i/>
          <w:color w:val="000000"/>
        </w:rPr>
        <w:t>cuando resulta necesario</w:t>
      </w:r>
      <w:r w:rsidRPr="00792B12">
        <w:rPr>
          <w:rFonts w:ascii="Arial" w:hAnsi="Arial" w:cs="Arial"/>
          <w:color w:val="000000"/>
        </w:rPr>
        <w:t xml:space="preserve">”, a propósito de la adecuación de estas características mediante el tratamiento médico o quirúrgico, establecido en el artículo 3 de la ley 164, en relación al cuarto párrafo del artículo 31 del decreto legislativo </w:t>
      </w:r>
      <w:proofErr w:type="spellStart"/>
      <w:r w:rsidRPr="00792B12">
        <w:rPr>
          <w:rFonts w:ascii="Arial" w:hAnsi="Arial" w:cs="Arial"/>
          <w:color w:val="000000"/>
        </w:rPr>
        <w:t>N°</w:t>
      </w:r>
      <w:proofErr w:type="spellEnd"/>
      <w:r w:rsidRPr="00792B12">
        <w:rPr>
          <w:rFonts w:ascii="Arial" w:hAnsi="Arial" w:cs="Arial"/>
          <w:color w:val="000000"/>
        </w:rPr>
        <w:t xml:space="preserve"> 150 del 2011, visto en conjunto del artículo 1 de la ley 164, permitía excluir que se puedan identificar las limitaciones normativas preventivas al reconocimiento del Derecho, “</w:t>
      </w:r>
      <w:r w:rsidRPr="00792B12">
        <w:rPr>
          <w:rFonts w:ascii="Arial" w:hAnsi="Arial" w:cs="Arial"/>
          <w:i/>
          <w:color w:val="000000"/>
        </w:rPr>
        <w:t>en cambio, como acontece en el sistema normativo originario alemán y austríaco</w:t>
      </w:r>
      <w:r w:rsidRPr="00792B12">
        <w:rPr>
          <w:rFonts w:ascii="Arial" w:hAnsi="Arial" w:cs="Arial"/>
          <w:color w:val="000000"/>
        </w:rPr>
        <w:t>”.</w:t>
      </w:r>
    </w:p>
    <w:p w14:paraId="44DC7B6F"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En efecto, esta última afirmación demuestra que la interpretación creativa de una cierta parte de la magistratura toma, de la normativa europea e internacional, fundamento de las decisiones propias, solamente lo que es cómodo.</w:t>
      </w:r>
    </w:p>
    <w:p w14:paraId="597832CE"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De particular relieve es la afirmación de los jueces de legitimidad según que “</w:t>
      </w:r>
      <w:r w:rsidRPr="00792B12">
        <w:rPr>
          <w:rFonts w:ascii="Arial" w:hAnsi="Arial" w:cs="Arial"/>
          <w:i/>
          <w:color w:val="000000"/>
        </w:rPr>
        <w:t>el perfil diacrónico y dinámico</w:t>
      </w:r>
      <w:r w:rsidRPr="00792B12">
        <w:rPr>
          <w:rFonts w:ascii="Arial" w:hAnsi="Arial" w:cs="Arial"/>
          <w:color w:val="000000"/>
        </w:rPr>
        <w:t>” de la percepción de una disforia de género “constituye una característica ineludible” de esta “</w:t>
      </w:r>
      <w:r w:rsidRPr="00792B12">
        <w:rPr>
          <w:rFonts w:ascii="Arial" w:hAnsi="Arial" w:cs="Arial"/>
          <w:i/>
          <w:color w:val="000000"/>
        </w:rPr>
        <w:t>percepción</w:t>
      </w:r>
      <w:r w:rsidRPr="00792B12">
        <w:rPr>
          <w:rFonts w:ascii="Arial" w:hAnsi="Arial" w:cs="Arial"/>
          <w:color w:val="000000"/>
        </w:rPr>
        <w:t>” y “</w:t>
      </w:r>
      <w:r w:rsidRPr="00792B12">
        <w:rPr>
          <w:rFonts w:ascii="Arial" w:hAnsi="Arial" w:cs="Arial"/>
          <w:i/>
          <w:color w:val="000000"/>
        </w:rPr>
        <w:t>la conclusión del proceso de unidad entre soma y psíquica no puede, actualmente, ser establecido en vía predeterminada y general solamente mediante la verificación de la condición de la intervención quirúrgico</w:t>
      </w:r>
      <w:r w:rsidRPr="00792B12">
        <w:rPr>
          <w:rFonts w:ascii="Arial" w:hAnsi="Arial" w:cs="Arial"/>
          <w:color w:val="000000"/>
        </w:rPr>
        <w:t>”.</w:t>
      </w:r>
    </w:p>
    <w:p w14:paraId="7341EEBC"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De particular importancia porque no escapa de una cuidadosa atención de la evanescencia a la extrema vaguedad y volatilidad de los términos utilizados de la Corte de Casación para justificar el cambio de sexo, como “</w:t>
      </w:r>
      <w:r w:rsidRPr="00792B12">
        <w:rPr>
          <w:rFonts w:ascii="Arial" w:hAnsi="Arial" w:cs="Arial"/>
          <w:i/>
          <w:color w:val="000000"/>
        </w:rPr>
        <w:t>percepción</w:t>
      </w:r>
      <w:r w:rsidRPr="00792B12">
        <w:rPr>
          <w:rFonts w:ascii="Arial" w:hAnsi="Arial" w:cs="Arial"/>
          <w:color w:val="000000"/>
        </w:rPr>
        <w:t>”, elemento del todo subjetivo, “</w:t>
      </w:r>
      <w:r w:rsidRPr="00792B12">
        <w:rPr>
          <w:rFonts w:ascii="Arial" w:hAnsi="Arial" w:cs="Arial"/>
          <w:i/>
          <w:color w:val="000000"/>
        </w:rPr>
        <w:t>disforia de género</w:t>
      </w:r>
      <w:r w:rsidRPr="00792B12">
        <w:rPr>
          <w:rFonts w:ascii="Arial" w:hAnsi="Arial" w:cs="Arial"/>
          <w:color w:val="000000"/>
        </w:rPr>
        <w:t>”, que se inserta a la teoría del “</w:t>
      </w:r>
      <w:proofErr w:type="spellStart"/>
      <w:r w:rsidRPr="00792B12">
        <w:rPr>
          <w:rFonts w:ascii="Arial" w:hAnsi="Arial" w:cs="Arial"/>
          <w:i/>
          <w:color w:val="000000"/>
        </w:rPr>
        <w:t>gender</w:t>
      </w:r>
      <w:proofErr w:type="spellEnd"/>
      <w:r w:rsidRPr="00792B12">
        <w:rPr>
          <w:rFonts w:ascii="Arial" w:hAnsi="Arial" w:cs="Arial"/>
          <w:color w:val="000000"/>
        </w:rPr>
        <w:t>”, que considera que no existe una diversidad sexual biológica, sino solamente subjetiva y cultural, “</w:t>
      </w:r>
      <w:r w:rsidRPr="00792B12">
        <w:rPr>
          <w:rFonts w:ascii="Arial" w:hAnsi="Arial" w:cs="Arial"/>
          <w:i/>
          <w:color w:val="000000"/>
        </w:rPr>
        <w:t>diacrónico y dinámico</w:t>
      </w:r>
      <w:r w:rsidRPr="00792B12">
        <w:rPr>
          <w:rFonts w:ascii="Arial" w:hAnsi="Arial" w:cs="Arial"/>
          <w:color w:val="000000"/>
        </w:rPr>
        <w:t>”, que indican una variación continua e indefinida.</w:t>
      </w:r>
    </w:p>
    <w:p w14:paraId="4370A3B3" w14:textId="60D207D4"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lastRenderedPageBreak/>
        <w:t>La Corte de Casación afirmó que “</w:t>
      </w:r>
      <w:r w:rsidRPr="00792B12">
        <w:rPr>
          <w:rFonts w:ascii="Arial" w:hAnsi="Arial" w:cs="Arial"/>
          <w:i/>
          <w:color w:val="000000"/>
        </w:rPr>
        <w:t xml:space="preserve">el proceso unidad entre soma y psique no puede (…) ser establecido en vía predeterminada y general”, abre el camino a la posibilidad de una continua y nueva valoración de este proceso, con la consecuencia legitimación de múltiples exigencias de cambio de sexo en base a </w:t>
      </w:r>
      <w:r w:rsidR="0014606F" w:rsidRPr="00792B12">
        <w:rPr>
          <w:rFonts w:ascii="Arial" w:hAnsi="Arial" w:cs="Arial"/>
          <w:i/>
          <w:color w:val="000000"/>
        </w:rPr>
        <w:t>los diversos estados</w:t>
      </w:r>
      <w:r w:rsidRPr="00792B12">
        <w:rPr>
          <w:rFonts w:ascii="Arial" w:hAnsi="Arial" w:cs="Arial"/>
          <w:i/>
          <w:color w:val="000000"/>
        </w:rPr>
        <w:t xml:space="preserve"> de “</w:t>
      </w:r>
      <w:proofErr w:type="spellStart"/>
      <w:r w:rsidRPr="00792B12">
        <w:rPr>
          <w:rFonts w:ascii="Arial" w:hAnsi="Arial" w:cs="Arial"/>
          <w:i/>
          <w:color w:val="000000"/>
        </w:rPr>
        <w:t>auto-percepción</w:t>
      </w:r>
      <w:proofErr w:type="spellEnd"/>
      <w:r w:rsidRPr="00792B12">
        <w:rPr>
          <w:rFonts w:ascii="Arial" w:hAnsi="Arial" w:cs="Arial"/>
          <w:i/>
          <w:color w:val="000000"/>
        </w:rPr>
        <w:t>” del sujeto que sufre de una “disforia de género</w:t>
      </w:r>
      <w:r w:rsidRPr="00792B12">
        <w:rPr>
          <w:rFonts w:ascii="Arial" w:hAnsi="Arial" w:cs="Arial"/>
          <w:color w:val="000000"/>
        </w:rPr>
        <w:t>”.</w:t>
      </w:r>
    </w:p>
    <w:p w14:paraId="5344D82D"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En definitiva, reconocer y autorizar el cambio del nombre solo a las personas que hayan cambiado los genitales sexuales significaría violentar el derecho a la identidad de género y el derecho a la salud de cuanto, incluso perteneciendo al género opuesto no pueden/puedan/quieran acceder a las intervenciones quirúrgicas</w:t>
      </w:r>
      <w:r w:rsidRPr="00792B12">
        <w:rPr>
          <w:rStyle w:val="Refdenotaalpie"/>
          <w:rFonts w:ascii="Arial" w:hAnsi="Arial" w:cs="Arial"/>
          <w:color w:val="000000"/>
        </w:rPr>
        <w:footnoteReference w:id="187"/>
      </w:r>
      <w:r w:rsidRPr="00792B12">
        <w:rPr>
          <w:rFonts w:ascii="Arial" w:hAnsi="Arial" w:cs="Arial"/>
          <w:color w:val="000000"/>
        </w:rPr>
        <w:t xml:space="preserve">. Estos, en efectos, habían sido obligados a elegir entre la tutela y la satisfacción del propio derecho a la salud (expresando no someterse a la modificación, para no afectar el equilibrio psicofísico y no sujeto al riesgo de la intervención) y la tutela y la satisfacción del propio derecho a la identidad de género (decidiendo de someterse a la intervención no querida solo con el objetivo de obtener un posterior cambio del sexo </w:t>
      </w:r>
      <w:proofErr w:type="spellStart"/>
      <w:r w:rsidRPr="00792B12">
        <w:rPr>
          <w:rFonts w:ascii="Arial" w:hAnsi="Arial" w:cs="Arial"/>
          <w:color w:val="000000"/>
        </w:rPr>
        <w:t>anagráfico</w:t>
      </w:r>
      <w:proofErr w:type="spellEnd"/>
      <w:r w:rsidRPr="00792B12">
        <w:rPr>
          <w:rFonts w:ascii="Arial" w:hAnsi="Arial" w:cs="Arial"/>
          <w:color w:val="000000"/>
        </w:rPr>
        <w:t xml:space="preserve">).  Representa, como bien apunta Salvatore </w:t>
      </w:r>
      <w:proofErr w:type="spellStart"/>
      <w:r w:rsidRPr="00792B12">
        <w:rPr>
          <w:rFonts w:ascii="Arial" w:hAnsi="Arial" w:cs="Arial"/>
          <w:color w:val="000000"/>
        </w:rPr>
        <w:t>Patti</w:t>
      </w:r>
      <w:proofErr w:type="spellEnd"/>
      <w:r w:rsidRPr="00792B12">
        <w:rPr>
          <w:rStyle w:val="Refdenotaalpie"/>
          <w:rFonts w:ascii="Arial" w:hAnsi="Arial" w:cs="Arial"/>
          <w:color w:val="000000"/>
        </w:rPr>
        <w:footnoteReference w:id="188"/>
      </w:r>
      <w:r w:rsidRPr="00792B12">
        <w:rPr>
          <w:rFonts w:ascii="Arial" w:hAnsi="Arial" w:cs="Arial"/>
          <w:color w:val="000000"/>
        </w:rPr>
        <w:t>,  sin duda una etapa de gran importancia hacia el reconocimiento de un pleno derecho de autodeterminación de la persona, incluso en el aspecto de la tutela de la salud.</w:t>
      </w:r>
    </w:p>
    <w:p w14:paraId="13262180" w14:textId="77777777" w:rsidR="0096481E" w:rsidRPr="00792B12" w:rsidRDefault="0096481E" w:rsidP="0096481E">
      <w:pPr>
        <w:tabs>
          <w:tab w:val="center" w:pos="9498"/>
        </w:tabs>
        <w:spacing w:after="240" w:line="360" w:lineRule="auto"/>
        <w:jc w:val="both"/>
        <w:rPr>
          <w:rFonts w:ascii="Arial" w:hAnsi="Arial" w:cs="Arial"/>
          <w:b/>
          <w:color w:val="000000"/>
        </w:rPr>
      </w:pPr>
      <w:bookmarkStart w:id="2" w:name="_Hlk75482238"/>
      <w:r w:rsidRPr="00792B12">
        <w:rPr>
          <w:rFonts w:ascii="Arial" w:hAnsi="Arial" w:cs="Arial"/>
          <w:b/>
          <w:color w:val="000000"/>
        </w:rPr>
        <w:t xml:space="preserve">9.- La sentencia </w:t>
      </w:r>
      <w:proofErr w:type="spellStart"/>
      <w:r w:rsidRPr="00792B12">
        <w:rPr>
          <w:rFonts w:ascii="Arial" w:hAnsi="Arial" w:cs="Arial"/>
          <w:b/>
          <w:color w:val="000000"/>
        </w:rPr>
        <w:t>N°</w:t>
      </w:r>
      <w:proofErr w:type="spellEnd"/>
      <w:r w:rsidRPr="00792B12">
        <w:rPr>
          <w:rFonts w:ascii="Arial" w:hAnsi="Arial" w:cs="Arial"/>
          <w:b/>
          <w:color w:val="000000"/>
        </w:rPr>
        <w:t xml:space="preserve"> 221 del 21 de octubre de 2015 de la Corte Constitucional</w:t>
      </w:r>
    </w:p>
    <w:bookmarkEnd w:id="2"/>
    <w:p w14:paraId="38DFD53C"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Con la sentencia </w:t>
      </w:r>
      <w:proofErr w:type="spellStart"/>
      <w:r w:rsidRPr="00792B12">
        <w:rPr>
          <w:rFonts w:ascii="Arial" w:hAnsi="Arial" w:cs="Arial"/>
          <w:color w:val="000000"/>
        </w:rPr>
        <w:t>N°</w:t>
      </w:r>
      <w:proofErr w:type="spellEnd"/>
      <w:r w:rsidRPr="00792B12">
        <w:rPr>
          <w:rFonts w:ascii="Arial" w:hAnsi="Arial" w:cs="Arial"/>
          <w:color w:val="000000"/>
        </w:rPr>
        <w:t xml:space="preserve"> 221 del 21 de octubre de 2015 la Corte Constitucional se pronunció respecto a la legitimidad constitucional de las disposiciones normativas respecto a la rectificación de la atribución del sexo, especialmente del artículo 1 de la ley </w:t>
      </w:r>
      <w:proofErr w:type="spellStart"/>
      <w:r w:rsidRPr="00792B12">
        <w:rPr>
          <w:rFonts w:ascii="Arial" w:hAnsi="Arial" w:cs="Arial"/>
          <w:color w:val="000000"/>
        </w:rPr>
        <w:t>N°</w:t>
      </w:r>
      <w:proofErr w:type="spellEnd"/>
      <w:r w:rsidRPr="00792B12">
        <w:rPr>
          <w:rFonts w:ascii="Arial" w:hAnsi="Arial" w:cs="Arial"/>
          <w:color w:val="000000"/>
        </w:rPr>
        <w:t xml:space="preserve"> 164 del 14 de abril de 1982:  “</w:t>
      </w:r>
      <w:r w:rsidRPr="00792B12">
        <w:rPr>
          <w:rFonts w:ascii="Arial" w:hAnsi="Arial" w:cs="Arial"/>
          <w:i/>
          <w:iCs/>
          <w:color w:val="000000"/>
        </w:rPr>
        <w:t>Se realiza la rectificación a que se refiere el artículo 454 del código civil también en virtud de una sentencia del tribunal que se ha convertido en cosa juzgada que atribuye a una persona un sexo diferente al indicado en el certificado de nacimiento después de cambios en sus características sexuales</w:t>
      </w:r>
      <w:r w:rsidRPr="00792B12">
        <w:rPr>
          <w:rFonts w:ascii="Arial" w:hAnsi="Arial" w:cs="Arial"/>
          <w:color w:val="000000"/>
        </w:rPr>
        <w:t>”.</w:t>
      </w:r>
    </w:p>
    <w:p w14:paraId="7E043F4D"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Como puede apreciarse la norma establece que la rectificación se realiza teniendo necesariamente con la sentencia del tribunal que atribuye a una persona un </w:t>
      </w:r>
      <w:r w:rsidRPr="00792B12">
        <w:rPr>
          <w:rFonts w:ascii="Arial" w:hAnsi="Arial" w:cs="Arial"/>
          <w:color w:val="000000"/>
        </w:rPr>
        <w:lastRenderedPageBreak/>
        <w:t>diverso sexo del comunicado en el certificado de nacimiento, después de las modificaciones de sus caracteres sexuales.</w:t>
      </w:r>
    </w:p>
    <w:p w14:paraId="03FD6B61"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El juez del Tribunal de Trento elevó la cuestión constitucional por contraste con los artículos 2</w:t>
      </w:r>
      <w:r w:rsidRPr="00792B12">
        <w:rPr>
          <w:rStyle w:val="Refdenotaalpie"/>
          <w:rFonts w:ascii="Arial" w:hAnsi="Arial" w:cs="Arial"/>
          <w:color w:val="000000"/>
        </w:rPr>
        <w:footnoteReference w:id="189"/>
      </w:r>
      <w:r w:rsidRPr="00792B12">
        <w:rPr>
          <w:rFonts w:ascii="Arial" w:hAnsi="Arial" w:cs="Arial"/>
          <w:color w:val="000000"/>
        </w:rPr>
        <w:t xml:space="preserve"> y 117</w:t>
      </w:r>
      <w:r w:rsidRPr="00792B12">
        <w:rPr>
          <w:rStyle w:val="Refdenotaalpie"/>
          <w:rFonts w:ascii="Arial" w:hAnsi="Arial" w:cs="Arial"/>
          <w:color w:val="000000"/>
        </w:rPr>
        <w:footnoteReference w:id="190"/>
      </w:r>
      <w:r w:rsidRPr="00792B12">
        <w:rPr>
          <w:rFonts w:ascii="Arial" w:hAnsi="Arial" w:cs="Arial"/>
          <w:color w:val="000000"/>
        </w:rPr>
        <w:t>, primer párrafo, de la constitución italiana, respecto al artículo 8</w:t>
      </w:r>
      <w:r w:rsidRPr="00792B12">
        <w:rPr>
          <w:rStyle w:val="Refdenotaalpie"/>
          <w:rFonts w:ascii="Arial" w:hAnsi="Arial" w:cs="Arial"/>
          <w:color w:val="000000"/>
        </w:rPr>
        <w:footnoteReference w:id="191"/>
      </w:r>
      <w:r w:rsidRPr="00792B12">
        <w:rPr>
          <w:rFonts w:ascii="Arial" w:hAnsi="Arial" w:cs="Arial"/>
          <w:color w:val="000000"/>
        </w:rPr>
        <w:t xml:space="preserve"> de la Convención Europea sobre los derechos del hombre, debido a que la ley italiana exigía, para la rectificación registral de atribución de sexo, la modificación de las características sexuales primarias, lo que perjudicaría gravemente el ejercicio del derecho fundamental a la identidad personal.</w:t>
      </w:r>
    </w:p>
    <w:p w14:paraId="106570B4" w14:textId="6C1C835A" w:rsidR="0096481E" w:rsidRPr="00792B12" w:rsidRDefault="0096481E" w:rsidP="0014606F">
      <w:pPr>
        <w:shd w:val="clear" w:color="auto" w:fill="FFFFFF"/>
        <w:spacing w:after="240" w:line="360" w:lineRule="auto"/>
        <w:ind w:firstLine="708"/>
        <w:jc w:val="both"/>
        <w:textAlignment w:val="baseline"/>
        <w:rPr>
          <w:rFonts w:ascii="Arial" w:hAnsi="Arial" w:cs="Arial"/>
          <w:color w:val="000000"/>
        </w:rPr>
      </w:pPr>
      <w:r w:rsidRPr="00792B12">
        <w:rPr>
          <w:rFonts w:ascii="Arial" w:hAnsi="Arial" w:cs="Arial"/>
          <w:color w:val="000000"/>
        </w:rPr>
        <w:t>Asimismo, la norma violentaría los artículos 3</w:t>
      </w:r>
      <w:r w:rsidRPr="00792B12">
        <w:rPr>
          <w:rFonts w:ascii="Arial" w:hAnsi="Arial" w:cs="Arial"/>
        </w:rPr>
        <w:footnoteReference w:id="192"/>
      </w:r>
      <w:r w:rsidRPr="00792B12">
        <w:rPr>
          <w:rFonts w:ascii="Arial" w:hAnsi="Arial" w:cs="Arial"/>
          <w:color w:val="000000"/>
        </w:rPr>
        <w:t xml:space="preserve"> y 32</w:t>
      </w:r>
      <w:r w:rsidRPr="00792B12">
        <w:rPr>
          <w:rFonts w:ascii="Arial" w:hAnsi="Arial" w:cs="Arial"/>
        </w:rPr>
        <w:footnoteReference w:id="193"/>
      </w:r>
      <w:r w:rsidRPr="00792B12">
        <w:rPr>
          <w:rFonts w:ascii="Arial" w:hAnsi="Arial" w:cs="Arial"/>
          <w:color w:val="000000"/>
        </w:rPr>
        <w:t xml:space="preserve"> de la constitución, debido a que es “irrazonable” subordinar el ejercicio de un derecho fundamental, como es el derecho a la identidad sexual, al sometimiento de la persona a los tratamientos médicos (quirúrgicos y hormonales), incluso peligrosos para la salud. </w:t>
      </w:r>
    </w:p>
    <w:p w14:paraId="317FAAC9" w14:textId="74834C8C"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lastRenderedPageBreak/>
        <w:t>El caso concernía a una demanda de rectificación registral de atribución de sexo, propuesta por una persona soltera y sin hijos, con el fin de obtener el reconocimiento de una nueva identidad masculina, sin la modificación de las características sexuales primarias.</w:t>
      </w:r>
    </w:p>
    <w:p w14:paraId="4B1C80D7" w14:textId="1CE81480"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El Tribunal de Trento debía rechazar la demanda de rectificación al estado de la normativa italiana en ese momento y a la luz de su interpretación.</w:t>
      </w:r>
    </w:p>
    <w:p w14:paraId="2E898780" w14:textId="6CCB23E0" w:rsidR="0096481E" w:rsidRPr="00792B12" w:rsidRDefault="0096481E" w:rsidP="0070300A">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 xml:space="preserve">Debe precisarse que el artículo 31, párrafo 4, del Decreto Legislativo N°150/2011, en que confluyó el artículo 3 de la ley </w:t>
      </w:r>
      <w:proofErr w:type="spellStart"/>
      <w:r w:rsidRPr="00792B12">
        <w:rPr>
          <w:rFonts w:ascii="Arial" w:hAnsi="Arial" w:cs="Arial"/>
          <w:color w:val="000000"/>
        </w:rPr>
        <w:t>N°</w:t>
      </w:r>
      <w:proofErr w:type="spellEnd"/>
      <w:r w:rsidRPr="00792B12">
        <w:rPr>
          <w:rFonts w:ascii="Arial" w:hAnsi="Arial" w:cs="Arial"/>
          <w:color w:val="000000"/>
        </w:rPr>
        <w:t xml:space="preserve"> 164/1982, dispone que “</w:t>
      </w:r>
      <w:r w:rsidRPr="00792B12">
        <w:rPr>
          <w:rFonts w:ascii="Arial" w:hAnsi="Arial" w:cs="Arial"/>
          <w:i/>
          <w:iCs/>
          <w:color w:val="000000"/>
        </w:rPr>
        <w:t>en cuanto resulta necesario una adecuación de los caracteres sexuales por realizar mediante el tratamiento médico-quirúrgico, el tribunal lo autoriza con sentencia materia de juicio</w:t>
      </w:r>
      <w:r w:rsidRPr="00792B12">
        <w:rPr>
          <w:rFonts w:ascii="Arial" w:hAnsi="Arial" w:cs="Arial"/>
          <w:color w:val="000000"/>
        </w:rPr>
        <w:t>”.</w:t>
      </w:r>
    </w:p>
    <w:p w14:paraId="02FA3DA0" w14:textId="0E672F45"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 xml:space="preserve">De acuerdo con el juez la disposición existente no es la interpretada actualmente en el sentido de conceder la rectificación de atribución de sexo sin la adecuación de los caracteres sexuales primarios, sino no solo encuadrable en los casos especiales en los cuales estos últimos han sido modificados. </w:t>
      </w:r>
    </w:p>
    <w:p w14:paraId="025F9B59" w14:textId="278D2975"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El tratamiento médico-quirúrgico no sería solo circunstancial como parecería comprenderse de la norma, en forma literal. En la sentencia, el juez señala que “</w:t>
      </w:r>
      <w:r w:rsidRPr="00792B12">
        <w:rPr>
          <w:rFonts w:ascii="Arial" w:hAnsi="Arial" w:cs="Arial"/>
          <w:i/>
          <w:iCs/>
          <w:color w:val="000000"/>
        </w:rPr>
        <w:t>la imposición de un determinado tratamiento médico, tanto hormonal como de reasignación quirúrgica de las características sexuales, constituiría una grave e inadmisible limitación del derecho a la identidad de género</w:t>
      </w:r>
      <w:r w:rsidRPr="00792B12">
        <w:rPr>
          <w:rFonts w:ascii="Arial" w:hAnsi="Arial" w:cs="Arial"/>
          <w:color w:val="000000"/>
        </w:rPr>
        <w:t>”.</w:t>
      </w:r>
    </w:p>
    <w:p w14:paraId="66D041E2" w14:textId="6D7C3A9A"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De ello, se puede considerar que alcanzar el estado de bienestar psico-físico de la persona, se realizaría mediante la rectificación de atribución del sexo, y no como la reasignación quirúrgica en el aspecto anatómico.  También la Corte europea de los derechos del hombre ha reconocido que el derecho a la identidad encuentra tutela prevista en el artículo 8 de la Convención</w:t>
      </w:r>
      <w:r w:rsidRPr="00792B12">
        <w:rPr>
          <w:rStyle w:val="Refdenotaalpie"/>
          <w:rFonts w:ascii="Arial" w:hAnsi="Arial" w:cs="Arial"/>
          <w:color w:val="000000"/>
        </w:rPr>
        <w:footnoteReference w:id="194"/>
      </w:r>
      <w:r w:rsidRPr="00792B12">
        <w:rPr>
          <w:rFonts w:ascii="Arial" w:hAnsi="Arial" w:cs="Arial"/>
          <w:color w:val="000000"/>
        </w:rPr>
        <w:t>, que impone el respeto de la vida privada y familiar: “…</w:t>
      </w:r>
      <w:r w:rsidRPr="00792B12">
        <w:rPr>
          <w:rFonts w:ascii="Arial" w:hAnsi="Arial" w:cs="Arial"/>
          <w:i/>
          <w:iCs/>
          <w:color w:val="000000"/>
        </w:rPr>
        <w:t>que no prevé la posibilidad de obtener la modificación del nombre de un individuo inscrito en el registro del estado civil como persona de sexo masculino, sino la identidad sexual es pacíficamente de género femenino, si bien aún en la espera de una operación quirúrgica de transición sexual</w:t>
      </w:r>
      <w:r w:rsidRPr="00792B12">
        <w:rPr>
          <w:rFonts w:ascii="Arial" w:hAnsi="Arial" w:cs="Arial"/>
          <w:color w:val="000000"/>
        </w:rPr>
        <w:t>…”.</w:t>
      </w:r>
    </w:p>
    <w:p w14:paraId="65011A22" w14:textId="51E122A0"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 xml:space="preserve">Cabe precisar que, desde mucho tiempo, la jurisprudencia constitucional ha reconocido la categoría de los derechos inviolables, el derecho de realización, en la vida </w:t>
      </w:r>
      <w:r w:rsidRPr="00792B12">
        <w:rPr>
          <w:rFonts w:ascii="Arial" w:hAnsi="Arial" w:cs="Arial"/>
          <w:color w:val="000000"/>
        </w:rPr>
        <w:lastRenderedPageBreak/>
        <w:t>de relación, la identidad sexual, como un aspecto del desarrollo de la persona, y el derecho a la libertad sexual, como se establece en la sentencia 161 del 6 de mayo de 1985</w:t>
      </w:r>
      <w:r w:rsidRPr="00792B12">
        <w:rPr>
          <w:rStyle w:val="Refdenotaalpie"/>
          <w:rFonts w:ascii="Arial" w:hAnsi="Arial" w:cs="Arial"/>
          <w:color w:val="000000"/>
        </w:rPr>
        <w:footnoteReference w:id="195"/>
      </w:r>
      <w:r w:rsidRPr="00792B12">
        <w:rPr>
          <w:rFonts w:ascii="Arial" w:hAnsi="Arial" w:cs="Arial"/>
          <w:color w:val="000000"/>
        </w:rPr>
        <w:t xml:space="preserve">. Una vez reconocido que el derecho a la rectificación de la atribución de sexo constituye objeto de un derecho de la persona, no sería permitido al legislador subordinarlo a restricciones tales de perjudicar gravemente al ejercicio, hasta anularlo. </w:t>
      </w:r>
    </w:p>
    <w:p w14:paraId="1F6EF3A5" w14:textId="44FA378E"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La abogacía del Estado había hecho resaltar que la Corte de Casación, pocos meses antes, con la sentencia N°15138 del 20 de julio de 2015 de la primera sección civil que hemos tratado precedentemente, había reconocido como no obligatorio, con el objetivo de la rectificación del sexo en los registros del estado civil, la intervención quirúrgica modificativa de las características sexuales anatómicas primarias. Esta decisión ha indicado una nueva dirección en el formante jurisprudencial, que anteriormente la norma en cuestión era interpretada en forma restrictiva.</w:t>
      </w:r>
    </w:p>
    <w:p w14:paraId="6F2A07B5" w14:textId="4E321DD9"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 xml:space="preserve">La Corte de Casación, analizando también la jurisprudencia de la Corte Europa de Derechos Humanos ha proporcionado una interpretación constitucionalmente orientada de las normas, que eran sospechosas de inconstitucionalidad. La Corte Constitucional de Italia declaró no fundada la cuestión de legitimidad constitucional del artículo 1 de la ley N°164 de 1982. </w:t>
      </w:r>
    </w:p>
    <w:p w14:paraId="7258EF7A" w14:textId="73AFF0CF"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De acuerdo con la Corte, así como se encuentra enunciada la norma, refiriéndose genéricamente a “</w:t>
      </w:r>
      <w:r w:rsidRPr="00792B12">
        <w:rPr>
          <w:rFonts w:ascii="Arial" w:hAnsi="Arial" w:cs="Arial"/>
          <w:i/>
          <w:iCs/>
          <w:color w:val="000000"/>
        </w:rPr>
        <w:t>modificaciones intervenidas de las características sexuales</w:t>
      </w:r>
      <w:r w:rsidRPr="00792B12">
        <w:rPr>
          <w:rFonts w:ascii="Arial" w:hAnsi="Arial" w:cs="Arial"/>
          <w:color w:val="000000"/>
        </w:rPr>
        <w:t>” deja al intérprete la labor de definir el límite entre las modificaciones y las modalidades mediante las cuales realizarlas.</w:t>
      </w:r>
    </w:p>
    <w:p w14:paraId="599A6AD7" w14:textId="3FB63361" w:rsidR="0096481E" w:rsidRPr="00792B12" w:rsidRDefault="0096481E" w:rsidP="0014606F">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 xml:space="preserve">La falta de la referencia textual a las modalidades (hormonales, quirúrgicas o consecuencia a una situación congénita), mediante al cual puede realizarse el cambio de sexo, excluye la necesidad del tratamiento quirúrgico. </w:t>
      </w:r>
    </w:p>
    <w:p w14:paraId="1C05978B" w14:textId="482C32EC" w:rsidR="0096481E" w:rsidRPr="00792B12" w:rsidRDefault="0096481E" w:rsidP="0070300A">
      <w:pPr>
        <w:shd w:val="clear" w:color="auto" w:fill="FFFFFF"/>
        <w:spacing w:after="240" w:line="360" w:lineRule="auto"/>
        <w:ind w:firstLine="709"/>
        <w:jc w:val="both"/>
        <w:textAlignment w:val="baseline"/>
        <w:rPr>
          <w:rFonts w:ascii="Arial" w:hAnsi="Arial" w:cs="Arial"/>
          <w:color w:val="000000"/>
        </w:rPr>
      </w:pPr>
      <w:r w:rsidRPr="00792B12">
        <w:rPr>
          <w:rFonts w:ascii="Arial" w:hAnsi="Arial" w:cs="Arial"/>
          <w:color w:val="000000"/>
        </w:rPr>
        <w:t xml:space="preserve">La Corte Constitucional, así como la Corte de Casación de Italia, afirma que debe permanecer en la persona la elección de las modalidades mediante las cuales realizar – con la asistencia del médico y de otros especialistas – el propio “trayecto de transición”, que debe englobar los aspectos psicológicos, comportamientos y físicos que concurren a componer la identidad de la persona. El tratamiento quirúrgico es un instrumento eventual, un medio para conseguir el pleno bienestar psicofísico, debido a que conduce a una correspondencia de los rasgos somáticos con los del sexo de pertenencia.  No </w:t>
      </w:r>
      <w:r w:rsidRPr="00792B12">
        <w:rPr>
          <w:rFonts w:ascii="Arial" w:hAnsi="Arial" w:cs="Arial"/>
          <w:color w:val="000000"/>
        </w:rPr>
        <w:lastRenderedPageBreak/>
        <w:t>obstante, no se puede prescindir de una rigurosa comprobación judicial de las modalidades mediante las cuales el cambio se convierte en definitivo.</w:t>
      </w:r>
    </w:p>
    <w:p w14:paraId="1D93819F" w14:textId="77777777" w:rsidR="0096481E" w:rsidRPr="00792B12" w:rsidRDefault="0096481E" w:rsidP="0096481E">
      <w:pPr>
        <w:tabs>
          <w:tab w:val="center" w:pos="9498"/>
        </w:tabs>
        <w:spacing w:after="240" w:line="360" w:lineRule="auto"/>
        <w:jc w:val="both"/>
        <w:rPr>
          <w:rFonts w:ascii="Arial" w:hAnsi="Arial" w:cs="Arial"/>
          <w:b/>
          <w:color w:val="000000"/>
        </w:rPr>
      </w:pPr>
      <w:bookmarkStart w:id="3" w:name="_Hlk75482315"/>
      <w:r w:rsidRPr="00792B12">
        <w:rPr>
          <w:rFonts w:ascii="Arial" w:hAnsi="Arial" w:cs="Arial"/>
          <w:b/>
          <w:color w:val="000000"/>
        </w:rPr>
        <w:t>10.- El derecho a la identidad personal en Italia: balance</w:t>
      </w:r>
    </w:p>
    <w:bookmarkEnd w:id="3"/>
    <w:p w14:paraId="3EE0673C" w14:textId="16361B16"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Una de las cuestiones que se presentan con mayor frecuencia a propósito de la configuración de un derecho a la identidad personal, en sede jurisprudencial, respecto al </w:t>
      </w:r>
      <w:r w:rsidR="0014606F" w:rsidRPr="00792B12">
        <w:rPr>
          <w:rFonts w:ascii="Arial" w:hAnsi="Arial" w:cs="Arial"/>
          <w:color w:val="000000"/>
        </w:rPr>
        <w:t>problema del</w:t>
      </w:r>
      <w:r w:rsidRPr="00792B12">
        <w:rPr>
          <w:rFonts w:ascii="Arial" w:hAnsi="Arial" w:cs="Arial"/>
          <w:color w:val="000000"/>
        </w:rPr>
        <w:t xml:space="preserve"> conflicto entre este y otros derechos, considerados merecedores de tutela jurídica, cuyo sacrificio es admitido solo con reservas.</w:t>
      </w:r>
    </w:p>
    <w:p w14:paraId="41E544A9" w14:textId="77777777"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Una mirada veloz del recorrido jurisprudencial, como la efectuada, del derecho a la identidad personal que, en casi la totalidad de los casos, en que se asume la violación de este derecho, la lesión proviene de medios periodísticos, de actividades de propaganda política y comercial, por reconstrucciones “creativas” de hechos verdaderos, a los cuales se imputa una falsa representación de la personalidad individual del sujeto lesionado. En otras palabras, normalmente la fuente de la lesión del derecho a la identidad personal consiste en una actividad que, en línea de máxima, es objeto de la libertad garantizada por el artículo 21 de la Constitución italiana.</w:t>
      </w:r>
    </w:p>
    <w:p w14:paraId="1387D566" w14:textId="787BFAE2" w:rsidR="0096481E" w:rsidRPr="00792B12" w:rsidRDefault="0096481E" w:rsidP="0096481E">
      <w:pPr>
        <w:tabs>
          <w:tab w:val="center" w:pos="9498"/>
        </w:tabs>
        <w:spacing w:after="240" w:line="360" w:lineRule="auto"/>
        <w:ind w:firstLine="709"/>
        <w:jc w:val="both"/>
        <w:rPr>
          <w:rFonts w:ascii="Arial" w:hAnsi="Arial" w:cs="Arial"/>
          <w:color w:val="000000"/>
        </w:rPr>
      </w:pPr>
      <w:r w:rsidRPr="00792B12">
        <w:rPr>
          <w:rFonts w:ascii="Arial" w:hAnsi="Arial" w:cs="Arial"/>
          <w:color w:val="000000"/>
        </w:rPr>
        <w:t xml:space="preserve">En la jurisprudencia es recurrente la afirmación que la tutela de la identidad personal no puede resolverse en una apriorista supresión de la libertad de expresión: más bien, entre </w:t>
      </w:r>
      <w:r w:rsidR="0014606F" w:rsidRPr="00792B12">
        <w:rPr>
          <w:rFonts w:ascii="Arial" w:hAnsi="Arial" w:cs="Arial"/>
          <w:color w:val="000000"/>
        </w:rPr>
        <w:t>los dos derechos</w:t>
      </w:r>
      <w:r w:rsidRPr="00792B12">
        <w:rPr>
          <w:rFonts w:ascii="Arial" w:hAnsi="Arial" w:cs="Arial"/>
          <w:color w:val="000000"/>
        </w:rPr>
        <w:t xml:space="preserve"> en conflicto, identidad personal y libertad de manifestación del pensamiento, deberá actuarse una delicada operación de balance o de ponderación. El balance entre derechos o principios confluyentes es una técnica de argumentación (o de decisión) muy </w:t>
      </w:r>
      <w:r w:rsidR="0014606F" w:rsidRPr="00792B12">
        <w:rPr>
          <w:rFonts w:ascii="Arial" w:hAnsi="Arial" w:cs="Arial"/>
          <w:color w:val="000000"/>
        </w:rPr>
        <w:t>utilizada en</w:t>
      </w:r>
      <w:r w:rsidRPr="00792B12">
        <w:rPr>
          <w:rFonts w:ascii="Arial" w:hAnsi="Arial" w:cs="Arial"/>
          <w:color w:val="000000"/>
        </w:rPr>
        <w:t xml:space="preserve"> sede jurisprudencial. No obstante, el empleo máximo de esta técnica, raramente la jurisprudencia italiana se ha preocupado de ir más allá de una utilización simplemente irreflexiva y casi “intuitiva”, a diferencia de algunas culturas jurídicas contemporáneas, en que las cortes (especialmente las superiores, y constitucionales en particular), como la doctrina ha cumplido un esfuerzo de conceptualización y de afinamiento de tal esquema de razonamiento jurídico.</w:t>
      </w:r>
    </w:p>
    <w:p w14:paraId="5D1260E7" w14:textId="77777777" w:rsidR="0096481E" w:rsidRDefault="0096481E" w:rsidP="0096481E">
      <w:pPr>
        <w:spacing w:after="240" w:line="360" w:lineRule="auto"/>
        <w:rPr>
          <w:rFonts w:ascii="Arial" w:hAnsi="Arial" w:cs="Arial"/>
        </w:rPr>
      </w:pPr>
    </w:p>
    <w:p w14:paraId="251C5643" w14:textId="77777777" w:rsidR="0096481E" w:rsidRDefault="0096481E" w:rsidP="0096481E">
      <w:pPr>
        <w:spacing w:after="240" w:line="360" w:lineRule="auto"/>
        <w:rPr>
          <w:rFonts w:ascii="Arial" w:hAnsi="Arial" w:cs="Arial"/>
        </w:rPr>
      </w:pPr>
    </w:p>
    <w:p w14:paraId="4B2601BC" w14:textId="77777777" w:rsidR="0096481E" w:rsidRDefault="0096481E" w:rsidP="0096481E">
      <w:pPr>
        <w:spacing w:after="240" w:line="360" w:lineRule="auto"/>
        <w:rPr>
          <w:rFonts w:ascii="Arial" w:hAnsi="Arial" w:cs="Arial"/>
        </w:rPr>
      </w:pPr>
    </w:p>
    <w:p w14:paraId="35BD7B49" w14:textId="77777777" w:rsidR="0096481E" w:rsidRDefault="0096481E" w:rsidP="0096481E">
      <w:pPr>
        <w:spacing w:after="240" w:line="360" w:lineRule="auto"/>
        <w:rPr>
          <w:rFonts w:ascii="Arial" w:hAnsi="Arial" w:cs="Arial"/>
        </w:rPr>
      </w:pPr>
    </w:p>
    <w:p w14:paraId="24DCE603" w14:textId="77777777" w:rsidR="0096481E" w:rsidRPr="00FC37EE" w:rsidRDefault="0096481E" w:rsidP="0096481E">
      <w:pPr>
        <w:spacing w:after="240" w:line="360" w:lineRule="auto"/>
        <w:rPr>
          <w:rFonts w:ascii="Arial" w:hAnsi="Arial" w:cs="Arial"/>
          <w:sz w:val="28"/>
          <w:szCs w:val="28"/>
        </w:rPr>
      </w:pPr>
    </w:p>
    <w:p w14:paraId="4970B6F7" w14:textId="77777777" w:rsidR="0096481E" w:rsidRPr="00FC37EE"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FC37EE">
        <w:rPr>
          <w:rFonts w:ascii="Arial" w:hAnsi="Arial" w:cs="Arial"/>
          <w:b/>
          <w:bCs/>
          <w:sz w:val="28"/>
          <w:szCs w:val="28"/>
          <w:lang w:eastAsia="it-IT"/>
        </w:rPr>
        <w:t>Capítulo Sexto</w:t>
      </w:r>
    </w:p>
    <w:p w14:paraId="0427EC37" w14:textId="77777777" w:rsidR="0096481E" w:rsidRPr="00FC37EE" w:rsidRDefault="0096481E" w:rsidP="0096481E">
      <w:pPr>
        <w:autoSpaceDE w:val="0"/>
        <w:autoSpaceDN w:val="0"/>
        <w:adjustRightInd w:val="0"/>
        <w:spacing w:after="240" w:line="360" w:lineRule="auto"/>
        <w:jc w:val="center"/>
        <w:rPr>
          <w:rFonts w:ascii="Arial" w:hAnsi="Arial" w:cs="Arial"/>
          <w:b/>
          <w:bCs/>
          <w:sz w:val="28"/>
          <w:szCs w:val="28"/>
          <w:lang w:eastAsia="it-IT"/>
        </w:rPr>
      </w:pPr>
      <w:r w:rsidRPr="00FC37EE">
        <w:rPr>
          <w:rFonts w:ascii="Arial" w:hAnsi="Arial" w:cs="Arial"/>
          <w:b/>
          <w:bCs/>
          <w:sz w:val="28"/>
          <w:szCs w:val="28"/>
          <w:lang w:eastAsia="it-IT"/>
        </w:rPr>
        <w:t>La experiencia jurídica peruana sobre el derecho a la identidad personal y la tutela jurídica de la persona transexual</w:t>
      </w:r>
    </w:p>
    <w:p w14:paraId="0A9D9C3A" w14:textId="77777777" w:rsidR="0096481E" w:rsidRPr="002A0287" w:rsidRDefault="0096481E" w:rsidP="0096481E">
      <w:pPr>
        <w:autoSpaceDE w:val="0"/>
        <w:autoSpaceDN w:val="0"/>
        <w:adjustRightInd w:val="0"/>
        <w:spacing w:after="240" w:line="360" w:lineRule="auto"/>
        <w:jc w:val="both"/>
        <w:rPr>
          <w:rFonts w:ascii="Arial" w:hAnsi="Arial" w:cs="Arial"/>
          <w:bCs/>
          <w:sz w:val="24"/>
          <w:szCs w:val="24"/>
          <w:lang w:eastAsia="it-IT"/>
        </w:rPr>
      </w:pPr>
    </w:p>
    <w:p w14:paraId="34B8FBE3" w14:textId="129FE8F6" w:rsidR="0096481E" w:rsidRPr="00521C9F" w:rsidRDefault="0096481E" w:rsidP="00521C9F">
      <w:pPr>
        <w:tabs>
          <w:tab w:val="center" w:pos="9498"/>
        </w:tabs>
        <w:spacing w:after="240" w:line="360" w:lineRule="auto"/>
        <w:jc w:val="both"/>
        <w:rPr>
          <w:rFonts w:ascii="Arial" w:hAnsi="Arial" w:cs="Arial"/>
          <w:b/>
          <w:bCs/>
          <w:sz w:val="24"/>
          <w:szCs w:val="24"/>
          <w:lang w:eastAsia="it-IT"/>
        </w:rPr>
      </w:pPr>
      <w:r w:rsidRPr="002A0287">
        <w:rPr>
          <w:rFonts w:ascii="Arial" w:hAnsi="Arial" w:cs="Arial"/>
          <w:b/>
          <w:bCs/>
          <w:sz w:val="24"/>
          <w:szCs w:val="24"/>
          <w:lang w:eastAsia="it-IT"/>
        </w:rPr>
        <w:t xml:space="preserve">1.- Los aportes fundamentales de jurista peruano Carlos Fernández </w:t>
      </w:r>
      <w:proofErr w:type="spellStart"/>
      <w:r w:rsidRPr="002A0287">
        <w:rPr>
          <w:rFonts w:ascii="Arial" w:hAnsi="Arial" w:cs="Arial"/>
          <w:b/>
          <w:bCs/>
          <w:sz w:val="24"/>
          <w:szCs w:val="24"/>
          <w:lang w:eastAsia="it-IT"/>
        </w:rPr>
        <w:t>Sessarego</w:t>
      </w:r>
      <w:proofErr w:type="spellEnd"/>
      <w:r w:rsidRPr="002A0287">
        <w:rPr>
          <w:rFonts w:ascii="Arial" w:hAnsi="Arial" w:cs="Arial"/>
          <w:b/>
          <w:bCs/>
          <w:sz w:val="24"/>
          <w:szCs w:val="24"/>
          <w:lang w:eastAsia="it-IT"/>
        </w:rPr>
        <w:t xml:space="preserve"> en el nacimiento del derecho a la identidad personal</w:t>
      </w:r>
    </w:p>
    <w:p w14:paraId="37A3F840" w14:textId="77777777" w:rsidR="0096481E" w:rsidRPr="002A0287" w:rsidRDefault="0096481E" w:rsidP="0096481E">
      <w:pPr>
        <w:spacing w:after="240" w:line="360" w:lineRule="auto"/>
        <w:ind w:firstLine="708"/>
        <w:jc w:val="both"/>
        <w:rPr>
          <w:rFonts w:ascii="Arial" w:hAnsi="Arial" w:cs="Arial"/>
        </w:rPr>
      </w:pPr>
      <w:r w:rsidRPr="002A0287">
        <w:rPr>
          <w:rFonts w:ascii="Arial" w:hAnsi="Arial" w:cs="Arial"/>
        </w:rPr>
        <w:t>Como se ha anotado, el derecho a la identidad personal era prácticamente desconocido tanto en el Perú como en el resto de los países latinoamericanos. Es sólo a finales del siglo XX donde se presentan los primeros desarrollos doctrinarios y jurisprudenciales de este derecho que, junto con el derecho a la vida y el derecho a la libertad, constituyen el núcleo de los derechos fundamentales de la persona.</w:t>
      </w:r>
    </w:p>
    <w:p w14:paraId="28777F5A" w14:textId="77777777" w:rsidR="0096481E" w:rsidRPr="002A0287" w:rsidRDefault="0096481E" w:rsidP="0096481E">
      <w:pPr>
        <w:spacing w:after="240" w:line="360" w:lineRule="auto"/>
        <w:ind w:firstLine="708"/>
        <w:jc w:val="both"/>
        <w:rPr>
          <w:rFonts w:ascii="Arial" w:hAnsi="Arial" w:cs="Arial"/>
        </w:rPr>
      </w:pPr>
      <w:r w:rsidRPr="002A0287">
        <w:rPr>
          <w:rFonts w:ascii="Arial" w:hAnsi="Arial" w:cs="Arial"/>
        </w:rPr>
        <w:t xml:space="preserve">El derecho a la identidad personal se conoció, por primera vez en el continente americano, gracias a una ponencia del profesor Carlos Fernández </w:t>
      </w:r>
      <w:proofErr w:type="spellStart"/>
      <w:r w:rsidRPr="002A0287">
        <w:rPr>
          <w:rFonts w:ascii="Arial" w:hAnsi="Arial" w:cs="Arial"/>
        </w:rPr>
        <w:t>Sessarego</w:t>
      </w:r>
      <w:proofErr w:type="spellEnd"/>
      <w:r w:rsidRPr="002A0287">
        <w:rPr>
          <w:rFonts w:ascii="Arial" w:hAnsi="Arial" w:cs="Arial"/>
        </w:rPr>
        <w:t xml:space="preserve"> dedicada a la identidad personal en el marco del congreso internacional </w:t>
      </w:r>
      <w:r w:rsidRPr="002A0287">
        <w:rPr>
          <w:rFonts w:ascii="Arial" w:hAnsi="Arial" w:cs="Arial"/>
          <w:i/>
        </w:rPr>
        <w:t>Tendencias actuales y perspectivas del Derecho Privado y el sistema jurídico latinoamericano</w:t>
      </w:r>
      <w:r w:rsidRPr="002A0287">
        <w:rPr>
          <w:rFonts w:ascii="Arial" w:hAnsi="Arial" w:cs="Arial"/>
        </w:rPr>
        <w:t>, celebrado en la ciudad de Lima del 5 al 7 de septiembre de 1988. Es a partir de esta ocasión que se divulgó el tema entre los países de América Latina</w:t>
      </w:r>
      <w:r w:rsidRPr="002A0287">
        <w:rPr>
          <w:rStyle w:val="Refdenotaalpie"/>
          <w:rFonts w:ascii="Arial" w:hAnsi="Arial" w:cs="Arial"/>
        </w:rPr>
        <w:footnoteReference w:id="196"/>
      </w:r>
      <w:r w:rsidRPr="002A0287">
        <w:rPr>
          <w:rFonts w:ascii="Arial" w:hAnsi="Arial" w:cs="Arial"/>
        </w:rPr>
        <w:t>.</w:t>
      </w:r>
    </w:p>
    <w:p w14:paraId="0B5D59D8" w14:textId="77777777" w:rsidR="0096481E" w:rsidRPr="002A0287" w:rsidRDefault="0096481E" w:rsidP="0096481E">
      <w:pPr>
        <w:spacing w:after="240" w:line="360" w:lineRule="auto"/>
        <w:ind w:firstLine="708"/>
        <w:jc w:val="both"/>
        <w:rPr>
          <w:rFonts w:ascii="Arial" w:hAnsi="Arial" w:cs="Arial"/>
        </w:rPr>
      </w:pPr>
      <w:r w:rsidRPr="002A0287">
        <w:rPr>
          <w:rFonts w:ascii="Arial" w:hAnsi="Arial" w:cs="Arial"/>
        </w:rPr>
        <w:t xml:space="preserve">Asimismo, Fernández </w:t>
      </w:r>
      <w:proofErr w:type="spellStart"/>
      <w:r w:rsidRPr="002A0287">
        <w:rPr>
          <w:rFonts w:ascii="Arial" w:hAnsi="Arial" w:cs="Arial"/>
        </w:rPr>
        <w:t>Sessarego</w:t>
      </w:r>
      <w:proofErr w:type="spellEnd"/>
      <w:r w:rsidRPr="002A0287">
        <w:rPr>
          <w:rFonts w:ascii="Arial" w:hAnsi="Arial" w:cs="Arial"/>
        </w:rPr>
        <w:t xml:space="preserve"> publicó sobre el tema un ensayo titulado </w:t>
      </w:r>
      <w:r w:rsidRPr="002A0287">
        <w:rPr>
          <w:rFonts w:ascii="Arial" w:hAnsi="Arial" w:cs="Arial"/>
          <w:i/>
        </w:rPr>
        <w:t>Derecho a la identidad</w:t>
      </w:r>
      <w:r w:rsidRPr="002A0287">
        <w:rPr>
          <w:rFonts w:ascii="Arial" w:hAnsi="Arial" w:cs="Arial"/>
        </w:rPr>
        <w:t xml:space="preserve"> en 1990 en “La Ley”</w:t>
      </w:r>
      <w:r w:rsidRPr="002A0287">
        <w:rPr>
          <w:rStyle w:val="Refdenotaalpie"/>
          <w:rFonts w:ascii="Arial" w:hAnsi="Arial" w:cs="Arial"/>
        </w:rPr>
        <w:footnoteReference w:id="197"/>
      </w:r>
      <w:r w:rsidRPr="002A0287">
        <w:rPr>
          <w:rFonts w:ascii="Arial" w:hAnsi="Arial" w:cs="Arial"/>
        </w:rPr>
        <w:t xml:space="preserve"> de Buenos Aires y, posteriormente, en la “Revista de Derecho y Ciencias Políticas” de la Universidad Nacional Mayor de San Marcos de Lima</w:t>
      </w:r>
      <w:r w:rsidRPr="002A0287">
        <w:rPr>
          <w:rStyle w:val="Refdenotaalpie"/>
          <w:rFonts w:ascii="Arial" w:hAnsi="Arial" w:cs="Arial"/>
        </w:rPr>
        <w:footnoteReference w:id="198"/>
      </w:r>
      <w:r w:rsidRPr="002A0287">
        <w:rPr>
          <w:rFonts w:ascii="Arial" w:hAnsi="Arial" w:cs="Arial"/>
        </w:rPr>
        <w:t>.</w:t>
      </w:r>
    </w:p>
    <w:p w14:paraId="174C6526" w14:textId="77777777" w:rsidR="0096481E" w:rsidRPr="002A0287" w:rsidRDefault="0096481E" w:rsidP="0096481E">
      <w:pPr>
        <w:spacing w:after="240" w:line="360" w:lineRule="auto"/>
        <w:ind w:firstLine="708"/>
        <w:jc w:val="both"/>
        <w:rPr>
          <w:rFonts w:ascii="Arial" w:hAnsi="Arial" w:cs="Arial"/>
        </w:rPr>
      </w:pPr>
      <w:r w:rsidRPr="002A0287">
        <w:rPr>
          <w:rFonts w:ascii="Arial" w:hAnsi="Arial" w:cs="Arial"/>
        </w:rPr>
        <w:lastRenderedPageBreak/>
        <w:t xml:space="preserve">El reconocido jurista argentino Santos Cifuentes, en el prólogo al libro del Maestro Fernández </w:t>
      </w:r>
      <w:proofErr w:type="spellStart"/>
      <w:r w:rsidRPr="002A0287">
        <w:rPr>
          <w:rFonts w:ascii="Arial" w:hAnsi="Arial" w:cs="Arial"/>
        </w:rPr>
        <w:t>Sessarego</w:t>
      </w:r>
      <w:proofErr w:type="spellEnd"/>
      <w:r w:rsidRPr="002A0287">
        <w:rPr>
          <w:rFonts w:ascii="Arial" w:hAnsi="Arial" w:cs="Arial"/>
        </w:rPr>
        <w:t xml:space="preserve"> de 1992, titulado </w:t>
      </w:r>
      <w:r w:rsidRPr="002A0287">
        <w:rPr>
          <w:rFonts w:ascii="Arial" w:hAnsi="Arial" w:cs="Arial"/>
          <w:i/>
        </w:rPr>
        <w:t>Derecho a la identidad personal</w:t>
      </w:r>
      <w:r w:rsidRPr="002A0287">
        <w:rPr>
          <w:rFonts w:ascii="Arial" w:hAnsi="Arial" w:cs="Arial"/>
        </w:rPr>
        <w:t>, sostuvo que: “</w:t>
      </w:r>
      <w:r w:rsidRPr="002A0287">
        <w:rPr>
          <w:rFonts w:ascii="Arial" w:hAnsi="Arial" w:cs="Arial"/>
          <w:i/>
        </w:rPr>
        <w:t>podría sostenerse que esta obra tiene bien merecida la calificación de ser pionera y exclusiva. Muestra caminos hasta ahora desconocidos por nosotros. No sé si es atrevido decir, pero me animo, que será, con visión profética, un libro clásico, al que habrá que acudir cada vez que se presenten inquietudes y dudas sobre la materia</w:t>
      </w:r>
      <w:r w:rsidRPr="002A0287">
        <w:rPr>
          <w:rFonts w:ascii="Arial" w:hAnsi="Arial" w:cs="Arial"/>
        </w:rPr>
        <w:t xml:space="preserve">”. </w:t>
      </w:r>
    </w:p>
    <w:p w14:paraId="68D126B0" w14:textId="2D663453" w:rsidR="0096481E" w:rsidRPr="002A0287" w:rsidRDefault="0096481E" w:rsidP="0096481E">
      <w:pPr>
        <w:spacing w:after="240" w:line="360" w:lineRule="auto"/>
        <w:ind w:firstLine="708"/>
        <w:jc w:val="both"/>
        <w:rPr>
          <w:rFonts w:ascii="Arial" w:hAnsi="Arial" w:cs="Arial"/>
        </w:rPr>
      </w:pPr>
      <w:r w:rsidRPr="002A0287">
        <w:rPr>
          <w:rFonts w:ascii="Arial" w:hAnsi="Arial" w:cs="Arial"/>
        </w:rPr>
        <w:t>Santos Cifuentes señaló posteriormente</w:t>
      </w:r>
      <w:r w:rsidRPr="002A0287">
        <w:rPr>
          <w:rStyle w:val="Refdenotaalpie"/>
          <w:rFonts w:ascii="Arial" w:hAnsi="Arial" w:cs="Arial"/>
        </w:rPr>
        <w:footnoteReference w:id="199"/>
      </w:r>
      <w:r w:rsidRPr="002A0287">
        <w:rPr>
          <w:rFonts w:ascii="Arial" w:hAnsi="Arial" w:cs="Arial"/>
        </w:rPr>
        <w:t xml:space="preserve"> que, a partir de la aparición del citado libro, “</w:t>
      </w:r>
      <w:r w:rsidRPr="002A0287">
        <w:rPr>
          <w:rFonts w:ascii="Arial" w:hAnsi="Arial" w:cs="Arial"/>
          <w:i/>
        </w:rPr>
        <w:t xml:space="preserve">se intensificó el conocimiento de ese derecho personalísimo, que apenas era aludido en las diversas expresiones de tiempos anteriores. Es más, también puede decirse que fue a través de su particular influjo </w:t>
      </w:r>
      <w:r w:rsidR="0014606F" w:rsidRPr="002A0287">
        <w:rPr>
          <w:rFonts w:ascii="Arial" w:hAnsi="Arial" w:cs="Arial"/>
          <w:i/>
        </w:rPr>
        <w:t>que,</w:t>
      </w:r>
      <w:r w:rsidRPr="002A0287">
        <w:rPr>
          <w:rFonts w:ascii="Arial" w:hAnsi="Arial" w:cs="Arial"/>
          <w:i/>
        </w:rPr>
        <w:t xml:space="preserve"> en un aspecto relacionado con la identidad, como es el tema del transexualismo, se fueron perfilando en la doctrina y en la jurisprudencia, las soluciones jurídicas que esa compleja situación psicológica, física, social y humana presenta</w:t>
      </w:r>
      <w:r w:rsidRPr="002A0287">
        <w:rPr>
          <w:rFonts w:ascii="Arial" w:hAnsi="Arial" w:cs="Arial"/>
        </w:rPr>
        <w:t>”.</w:t>
      </w:r>
    </w:p>
    <w:p w14:paraId="3AC61D82" w14:textId="77777777" w:rsidR="0096481E" w:rsidRPr="002A0287" w:rsidRDefault="0096481E" w:rsidP="0096481E">
      <w:pPr>
        <w:spacing w:after="240" w:line="360" w:lineRule="auto"/>
        <w:ind w:firstLine="708"/>
        <w:jc w:val="both"/>
        <w:rPr>
          <w:rFonts w:ascii="Arial" w:hAnsi="Arial" w:cs="Arial"/>
        </w:rPr>
      </w:pPr>
      <w:r w:rsidRPr="002A0287">
        <w:rPr>
          <w:rFonts w:ascii="Arial" w:hAnsi="Arial" w:cs="Arial"/>
        </w:rPr>
        <w:t xml:space="preserve">El jurista argentino, refiriéndose a la recepción por la jurisprudencia argentina del derecho a la identidad personal, dentro de los alcances conceptuales desarrollados por el estudioso peruano, al igual de lo ocurrido con la doctrina de su país, comprobaba que </w:t>
      </w:r>
      <w:r w:rsidRPr="002A0287">
        <w:rPr>
          <w:rFonts w:ascii="Arial" w:hAnsi="Arial" w:cs="Arial"/>
          <w:i/>
        </w:rPr>
        <w:t xml:space="preserve">“con similar dimensión los jueces argentinos han acudido a la obra de Fernández </w:t>
      </w:r>
      <w:proofErr w:type="spellStart"/>
      <w:r w:rsidRPr="002A0287">
        <w:rPr>
          <w:rFonts w:ascii="Arial" w:hAnsi="Arial" w:cs="Arial"/>
          <w:i/>
        </w:rPr>
        <w:t>Sessarego</w:t>
      </w:r>
      <w:proofErr w:type="spellEnd"/>
      <w:r w:rsidRPr="002A0287">
        <w:rPr>
          <w:rFonts w:ascii="Arial" w:hAnsi="Arial" w:cs="Arial"/>
          <w:i/>
        </w:rPr>
        <w:t>, particularmente citada en la Argentina</w:t>
      </w:r>
      <w:r w:rsidRPr="002A0287">
        <w:rPr>
          <w:rFonts w:ascii="Arial" w:hAnsi="Arial" w:cs="Arial"/>
        </w:rPr>
        <w:t>”. Sobre el tema afirma que: “</w:t>
      </w:r>
      <w:r w:rsidRPr="002A0287">
        <w:rPr>
          <w:rFonts w:ascii="Arial" w:hAnsi="Arial" w:cs="Arial"/>
          <w:i/>
        </w:rPr>
        <w:t xml:space="preserve">puede decirse que el comienzo de la reacción judicial, sobre todo en lo que hace al transexualismo, ha sido la recepción franca de la doctrina y su constante referencia a la obra de Fernández </w:t>
      </w:r>
      <w:proofErr w:type="spellStart"/>
      <w:r w:rsidRPr="002A0287">
        <w:rPr>
          <w:rFonts w:ascii="Arial" w:hAnsi="Arial" w:cs="Arial"/>
          <w:i/>
        </w:rPr>
        <w:t>Sessarego</w:t>
      </w:r>
      <w:proofErr w:type="spellEnd"/>
      <w:r w:rsidRPr="002A0287">
        <w:rPr>
          <w:rFonts w:ascii="Arial" w:hAnsi="Arial" w:cs="Arial"/>
        </w:rPr>
        <w:t>”.</w:t>
      </w:r>
    </w:p>
    <w:p w14:paraId="5D66C975" w14:textId="77777777" w:rsidR="0096481E" w:rsidRPr="002A0287" w:rsidRDefault="0096481E" w:rsidP="0096481E">
      <w:pPr>
        <w:spacing w:after="240" w:line="360" w:lineRule="auto"/>
        <w:ind w:firstLine="708"/>
        <w:jc w:val="both"/>
        <w:rPr>
          <w:rFonts w:ascii="Arial" w:hAnsi="Arial" w:cs="Arial"/>
        </w:rPr>
      </w:pPr>
      <w:r w:rsidRPr="002A0287">
        <w:rPr>
          <w:rFonts w:ascii="Arial" w:hAnsi="Arial" w:cs="Arial"/>
        </w:rPr>
        <w:t xml:space="preserve">Entre las sentencias citadas por Santos Cifuentes, cabe señalar las emitidas en agosto de 1994 por la Cámara Civil y Comercial de San Nicolás; la del 16 de junio de 1999 por la justicia de La Rioja; la del Juzgado Civil y Comercial de Córdoba, </w:t>
      </w:r>
      <w:proofErr w:type="spellStart"/>
      <w:r w:rsidRPr="002A0287">
        <w:rPr>
          <w:rFonts w:ascii="Arial" w:hAnsi="Arial" w:cs="Arial"/>
        </w:rPr>
        <w:t>N°</w:t>
      </w:r>
      <w:proofErr w:type="spellEnd"/>
      <w:r w:rsidRPr="002A0287">
        <w:rPr>
          <w:rFonts w:ascii="Arial" w:hAnsi="Arial" w:cs="Arial"/>
        </w:rPr>
        <w:t xml:space="preserve"> 19; la del Tribunal de Familia de Quilmes; la del Juzgado de Mar del Plata de 1997. </w:t>
      </w:r>
    </w:p>
    <w:p w14:paraId="2B96B54A" w14:textId="44F21B69" w:rsidR="0096481E" w:rsidRPr="0014606F" w:rsidRDefault="0096481E" w:rsidP="0014606F">
      <w:pPr>
        <w:autoSpaceDE w:val="0"/>
        <w:autoSpaceDN w:val="0"/>
        <w:adjustRightInd w:val="0"/>
        <w:spacing w:after="240" w:line="360" w:lineRule="auto"/>
        <w:ind w:left="426" w:hanging="426"/>
        <w:jc w:val="both"/>
        <w:rPr>
          <w:rFonts w:ascii="Arial" w:hAnsi="Arial" w:cs="Arial"/>
          <w:b/>
          <w:bCs/>
          <w:sz w:val="24"/>
          <w:szCs w:val="24"/>
          <w:lang w:eastAsia="it-IT"/>
        </w:rPr>
      </w:pPr>
      <w:r w:rsidRPr="002A0287">
        <w:rPr>
          <w:rFonts w:ascii="Arial" w:hAnsi="Arial" w:cs="Arial"/>
          <w:b/>
          <w:bCs/>
          <w:sz w:val="24"/>
          <w:szCs w:val="24"/>
          <w:lang w:eastAsia="it-IT"/>
        </w:rPr>
        <w:t xml:space="preserve">2.- </w:t>
      </w:r>
      <w:r w:rsidRPr="002A0287">
        <w:rPr>
          <w:rFonts w:ascii="Arial" w:hAnsi="Arial" w:cs="Arial"/>
          <w:b/>
          <w:color w:val="000000"/>
          <w:sz w:val="24"/>
          <w:szCs w:val="24"/>
        </w:rPr>
        <w:t>En la jurisprudencia peruana</w:t>
      </w:r>
    </w:p>
    <w:p w14:paraId="4FB5B22C" w14:textId="77777777" w:rsidR="0096481E" w:rsidRPr="002A0287" w:rsidRDefault="0096481E" w:rsidP="0096481E">
      <w:pPr>
        <w:tabs>
          <w:tab w:val="center" w:pos="9498"/>
        </w:tabs>
        <w:spacing w:after="240" w:line="360" w:lineRule="auto"/>
        <w:ind w:firstLine="708"/>
        <w:jc w:val="both"/>
        <w:rPr>
          <w:rFonts w:ascii="Arial" w:hAnsi="Arial" w:cs="Arial"/>
          <w:i/>
          <w:color w:val="000000"/>
        </w:rPr>
      </w:pPr>
      <w:r w:rsidRPr="002A0287">
        <w:rPr>
          <w:rFonts w:ascii="Arial" w:hAnsi="Arial" w:cs="Arial"/>
          <w:color w:val="000000"/>
        </w:rPr>
        <w:t>En la Constitución del Perú de 1993 el derecho a la identidad está plasmado en el artículo 2</w:t>
      </w:r>
      <w:r w:rsidRPr="002A0287">
        <w:rPr>
          <w:rFonts w:ascii="Arial" w:hAnsi="Arial" w:cs="Arial"/>
          <w:color w:val="000000"/>
          <w:shd w:val="clear" w:color="auto" w:fill="FFFFFF"/>
        </w:rPr>
        <w:t>°</w:t>
      </w:r>
      <w:r w:rsidRPr="002A0287">
        <w:rPr>
          <w:rFonts w:ascii="Arial" w:hAnsi="Arial" w:cs="Arial"/>
          <w:color w:val="000000"/>
        </w:rPr>
        <w:t xml:space="preserve"> inciso 1 en los siguientes términos: “</w:t>
      </w:r>
      <w:r w:rsidRPr="002A0287">
        <w:rPr>
          <w:rFonts w:ascii="Arial" w:hAnsi="Arial" w:cs="Arial"/>
          <w:i/>
          <w:color w:val="000000"/>
        </w:rPr>
        <w:t xml:space="preserve">Toda persona tiene derecho: inciso 1. A la vida, a su identidad, a su integridad moral, psíquica y física y a su libre desarrollo y </w:t>
      </w:r>
      <w:r w:rsidRPr="002A0287">
        <w:rPr>
          <w:rFonts w:ascii="Arial" w:hAnsi="Arial" w:cs="Arial"/>
          <w:i/>
          <w:color w:val="000000"/>
        </w:rPr>
        <w:lastRenderedPageBreak/>
        <w:t xml:space="preserve">bienestar...” </w:t>
      </w:r>
      <w:r w:rsidRPr="002A0287">
        <w:rPr>
          <w:rFonts w:ascii="Arial" w:hAnsi="Arial" w:cs="Arial"/>
          <w:color w:val="000000"/>
        </w:rPr>
        <w:t xml:space="preserve">y explicitado en uno de sus aspectos en el inciso 19 </w:t>
      </w:r>
      <w:r w:rsidRPr="002A0287">
        <w:rPr>
          <w:rFonts w:ascii="Arial" w:hAnsi="Arial" w:cs="Arial"/>
          <w:i/>
          <w:color w:val="000000"/>
        </w:rPr>
        <w:t>“Toda persona tiene derecho a su identidad étnica y cultural. El Estado reconoce y protege la pluralidad étnica y cultural de la Nación. Todo peruano tiene derecho a usar su propio idioma ante cualquier autoridad mediante intérprete. Los extranjeros tienen este mismo derecho cuando son citados por cualquier autoridad.”</w:t>
      </w:r>
    </w:p>
    <w:p w14:paraId="0881171B" w14:textId="77777777" w:rsidR="0096481E" w:rsidRPr="002A0287" w:rsidRDefault="0096481E" w:rsidP="0096481E">
      <w:pPr>
        <w:tabs>
          <w:tab w:val="center" w:pos="9498"/>
        </w:tabs>
        <w:spacing w:after="240" w:line="360" w:lineRule="auto"/>
        <w:ind w:firstLine="708"/>
        <w:jc w:val="both"/>
        <w:rPr>
          <w:rFonts w:ascii="Arial" w:hAnsi="Arial" w:cs="Arial"/>
          <w:color w:val="000000"/>
        </w:rPr>
      </w:pPr>
      <w:r w:rsidRPr="002A0287">
        <w:rPr>
          <w:rFonts w:ascii="Arial" w:hAnsi="Arial" w:cs="Arial"/>
          <w:color w:val="000000"/>
        </w:rPr>
        <w:t>Es en el Código de los Niños y Adolescentes donde encontramos un desarrollo más extenso de la norma sobre derecho a la identidad, en su artículo 6</w:t>
      </w:r>
      <w:r w:rsidRPr="002A0287">
        <w:rPr>
          <w:rFonts w:ascii="Arial" w:hAnsi="Arial" w:cs="Arial"/>
          <w:color w:val="000000"/>
          <w:shd w:val="clear" w:color="auto" w:fill="FFFFFF"/>
        </w:rPr>
        <w:t>°</w:t>
      </w:r>
      <w:r w:rsidRPr="002A0287">
        <w:rPr>
          <w:rFonts w:ascii="Arial" w:hAnsi="Arial" w:cs="Arial"/>
          <w:color w:val="000000"/>
        </w:rPr>
        <w:t xml:space="preserve"> “</w:t>
      </w:r>
      <w:r w:rsidRPr="002A0287">
        <w:rPr>
          <w:rFonts w:ascii="Arial" w:hAnsi="Arial" w:cs="Arial"/>
          <w:i/>
          <w:color w:val="000000"/>
        </w:rPr>
        <w:t xml:space="preserve">El niño y el adolescente tienen derecho a la identidad, lo que incluye el derecho a tener un nombre, a adquirir una nacionalidad, y en la medida de lo posible, a conocer a sus padres y a llevar sus apellidos. Tienen también el derecho al desarrollo integral de su personalidad. Es obligación del Estado preservar la inscripción e identidad de los niños y adolescentes, sancionando a los responsables de su alteración, sustitución o privación ilegal, de conformidad con el Código Penal. En caso que se produjera dicha alteración, sustitución o privación el Estado restablecerá la verdadera identidad mediante los mecanismos más idóneos. Cuando un niño o adolescente se encuentren involucrados como víctimas, autores, partícipes, o testigos de una infracción, falta o delito, no se publicará su identidad ni su imagen a través de los medios de comunicación”. </w:t>
      </w:r>
      <w:r w:rsidRPr="002A0287">
        <w:rPr>
          <w:rFonts w:ascii="Arial" w:hAnsi="Arial" w:cs="Arial"/>
          <w:color w:val="000000"/>
        </w:rPr>
        <w:t>A su vez, el artículo 7</w:t>
      </w:r>
      <w:r w:rsidRPr="002A0287">
        <w:rPr>
          <w:rFonts w:ascii="Arial" w:hAnsi="Arial" w:cs="Arial"/>
          <w:color w:val="000000"/>
          <w:shd w:val="clear" w:color="auto" w:fill="FFFFFF"/>
        </w:rPr>
        <w:t>°</w:t>
      </w:r>
      <w:r w:rsidRPr="002A0287">
        <w:rPr>
          <w:rFonts w:ascii="Arial" w:hAnsi="Arial" w:cs="Arial"/>
          <w:color w:val="000000"/>
        </w:rPr>
        <w:t xml:space="preserve"> trata sobre la inscripción en el Registro del Estado Civil.</w:t>
      </w:r>
    </w:p>
    <w:p w14:paraId="5B602778" w14:textId="77777777" w:rsidR="0096481E" w:rsidRPr="002A0287" w:rsidRDefault="0096481E" w:rsidP="0096481E">
      <w:pPr>
        <w:tabs>
          <w:tab w:val="center" w:pos="9498"/>
        </w:tabs>
        <w:spacing w:after="240" w:line="360" w:lineRule="auto"/>
        <w:ind w:firstLine="708"/>
        <w:jc w:val="both"/>
        <w:rPr>
          <w:rFonts w:ascii="Arial" w:hAnsi="Arial" w:cs="Arial"/>
          <w:color w:val="000000"/>
        </w:rPr>
      </w:pPr>
      <w:r w:rsidRPr="002A0287">
        <w:rPr>
          <w:rFonts w:ascii="Arial" w:hAnsi="Arial" w:cs="Arial"/>
          <w:color w:val="000000"/>
        </w:rPr>
        <w:t xml:space="preserve">Tal como se ha señalado, el aspecto del derecho a la identidad que ha suscitado hasta el momento mayor atención, al menos en cuanto a verse traducido en un esfuerzo normativo y jurisprudencial, es el vinculado a la identificación de las personas. Conforme hace notar la Defensoría del Pueblo en su Informe 107 de octubre de 2006, un importante problema relativo a la identidad de las personas es la indocumentación, el cual afecta cerca de un millón de personas. </w:t>
      </w:r>
    </w:p>
    <w:p w14:paraId="12D71D6F" w14:textId="77777777" w:rsidR="0096481E" w:rsidRPr="002A0287" w:rsidRDefault="0096481E" w:rsidP="0096481E">
      <w:pPr>
        <w:tabs>
          <w:tab w:val="center" w:pos="9498"/>
        </w:tabs>
        <w:spacing w:after="240" w:line="360" w:lineRule="auto"/>
        <w:ind w:firstLine="708"/>
        <w:jc w:val="both"/>
        <w:rPr>
          <w:rFonts w:ascii="Arial" w:hAnsi="Arial" w:cs="Arial"/>
          <w:color w:val="000000"/>
        </w:rPr>
      </w:pPr>
      <w:r w:rsidRPr="002A0287">
        <w:rPr>
          <w:rFonts w:ascii="Arial" w:hAnsi="Arial" w:cs="Arial"/>
          <w:color w:val="000000"/>
        </w:rPr>
        <w:t xml:space="preserve"> De manera muy sucinta puede señalarse que en el Informe de la Defensoría del Pueblo se mencionan varias barreras que el mismo sistema ha generado, o tolerado, y explicarían esta carencia, entre ellas: el cobro de tarifas legales</w:t>
      </w:r>
      <w:r w:rsidRPr="002A0287">
        <w:rPr>
          <w:rStyle w:val="Refdenotaalpie"/>
          <w:rFonts w:ascii="Arial" w:hAnsi="Arial" w:cs="Arial"/>
          <w:color w:val="000000"/>
        </w:rPr>
        <w:footnoteReference w:id="200"/>
      </w:r>
      <w:r w:rsidRPr="002A0287">
        <w:rPr>
          <w:rFonts w:ascii="Arial" w:hAnsi="Arial" w:cs="Arial"/>
          <w:color w:val="000000"/>
        </w:rPr>
        <w:t xml:space="preserve">, una serie de trámites engorrosos e ineficientes, la destrucción de registros público en zonas de la sierra producto de la violencia interna de épocas pasadas. La irregularidad de los </w:t>
      </w:r>
      <w:r w:rsidRPr="002A0287">
        <w:rPr>
          <w:rFonts w:ascii="Arial" w:hAnsi="Arial" w:cs="Arial"/>
          <w:color w:val="000000"/>
        </w:rPr>
        <w:lastRenderedPageBreak/>
        <w:t>procedimientos que contrarían la normativa vigente afecta principalmente a las personas de menos recursos.</w:t>
      </w:r>
    </w:p>
    <w:p w14:paraId="6190E1F2" w14:textId="77777777" w:rsidR="0096481E" w:rsidRPr="002A0287" w:rsidRDefault="0096481E" w:rsidP="0096481E">
      <w:pPr>
        <w:tabs>
          <w:tab w:val="center" w:pos="9498"/>
        </w:tabs>
        <w:spacing w:after="240" w:line="360" w:lineRule="auto"/>
        <w:ind w:firstLine="708"/>
        <w:jc w:val="both"/>
        <w:rPr>
          <w:rFonts w:ascii="Arial" w:hAnsi="Arial" w:cs="Arial"/>
          <w:color w:val="000000"/>
        </w:rPr>
      </w:pPr>
      <w:r w:rsidRPr="002A0287">
        <w:rPr>
          <w:rFonts w:ascii="Arial" w:hAnsi="Arial" w:cs="Arial"/>
          <w:color w:val="000000"/>
        </w:rPr>
        <w:t>Se estima que cerca del 3.5% de la población carece de documento nacional de identidad. Esto llevó al RENIEC</w:t>
      </w:r>
      <w:r w:rsidRPr="002A0287">
        <w:rPr>
          <w:rStyle w:val="Refdenotaalpie"/>
          <w:rFonts w:ascii="Arial" w:hAnsi="Arial" w:cs="Arial"/>
          <w:color w:val="000000"/>
        </w:rPr>
        <w:footnoteReference w:id="201"/>
      </w:r>
      <w:r w:rsidRPr="002A0287">
        <w:rPr>
          <w:rFonts w:ascii="Arial" w:hAnsi="Arial" w:cs="Arial"/>
          <w:color w:val="000000"/>
        </w:rPr>
        <w:t xml:space="preserve"> a crear en el año 2005 el “Plan Nacional de Restitución de la Identidad”</w:t>
      </w:r>
      <w:r w:rsidRPr="002A0287">
        <w:rPr>
          <w:rStyle w:val="Refdenotaalpie"/>
          <w:rFonts w:ascii="Arial" w:hAnsi="Arial" w:cs="Arial"/>
          <w:color w:val="000000"/>
        </w:rPr>
        <w:footnoteReference w:id="202"/>
      </w:r>
      <w:r w:rsidRPr="002A0287">
        <w:rPr>
          <w:rFonts w:ascii="Arial" w:hAnsi="Arial" w:cs="Arial"/>
          <w:color w:val="000000"/>
        </w:rPr>
        <w:t xml:space="preserve"> con el objetivo de erradicar al mediano plazo la indocumentación, principalmente de las poblaciones en situación de vulnerabilidad. </w:t>
      </w:r>
    </w:p>
    <w:p w14:paraId="0E38EAB7" w14:textId="77777777" w:rsidR="0096481E" w:rsidRPr="002A0287" w:rsidRDefault="0096481E" w:rsidP="0096481E">
      <w:pPr>
        <w:tabs>
          <w:tab w:val="center" w:pos="9498"/>
        </w:tabs>
        <w:spacing w:after="240" w:line="360" w:lineRule="auto"/>
        <w:ind w:firstLine="708"/>
        <w:jc w:val="both"/>
        <w:rPr>
          <w:rFonts w:ascii="Arial" w:hAnsi="Arial" w:cs="Arial"/>
          <w:color w:val="000000"/>
        </w:rPr>
      </w:pPr>
      <w:r w:rsidRPr="002A0287">
        <w:rPr>
          <w:rFonts w:ascii="Arial" w:hAnsi="Arial" w:cs="Arial"/>
          <w:color w:val="000000"/>
        </w:rPr>
        <w:t xml:space="preserve">Desde otro ángulo, los problemas vinculados con el derecho a la identidad fueron abordados por la Sala de Derecho Constitucional y Social de la Corte Suprema en agosto de 2007 a propósito del expediente </w:t>
      </w:r>
      <w:proofErr w:type="spellStart"/>
      <w:r w:rsidRPr="002A0287">
        <w:rPr>
          <w:rFonts w:ascii="Arial" w:hAnsi="Arial" w:cs="Arial"/>
          <w:color w:val="000000"/>
        </w:rPr>
        <w:t>N°</w:t>
      </w:r>
      <w:proofErr w:type="spellEnd"/>
      <w:r w:rsidRPr="002A0287">
        <w:rPr>
          <w:rFonts w:ascii="Arial" w:hAnsi="Arial" w:cs="Arial"/>
          <w:color w:val="000000"/>
        </w:rPr>
        <w:t xml:space="preserve"> 1699-2007</w:t>
      </w:r>
      <w:r w:rsidRPr="002A0287">
        <w:rPr>
          <w:rStyle w:val="Refdenotaalpie"/>
          <w:rFonts w:ascii="Arial" w:hAnsi="Arial" w:cs="Arial"/>
          <w:color w:val="000000"/>
        </w:rPr>
        <w:footnoteReference w:id="203"/>
      </w:r>
      <w:r w:rsidRPr="002A0287">
        <w:rPr>
          <w:rFonts w:ascii="Arial" w:hAnsi="Arial" w:cs="Arial"/>
          <w:color w:val="000000"/>
        </w:rPr>
        <w:t xml:space="preserve">. La causa se origina en una demanda de la Sra. H.Q. contra el Sr. V. V. a fin de establecer la filiación extramatrimonial de su hijo. </w:t>
      </w:r>
    </w:p>
    <w:p w14:paraId="3891343D" w14:textId="77777777" w:rsidR="0096481E" w:rsidRPr="002A0287" w:rsidRDefault="0096481E" w:rsidP="0096481E">
      <w:pPr>
        <w:pStyle w:val="Sangra3detindependiente"/>
        <w:tabs>
          <w:tab w:val="left" w:pos="3828"/>
          <w:tab w:val="center" w:pos="9498"/>
        </w:tabs>
        <w:spacing w:after="240" w:line="360" w:lineRule="auto"/>
        <w:ind w:left="0"/>
        <w:jc w:val="both"/>
        <w:rPr>
          <w:rFonts w:ascii="Arial" w:hAnsi="Arial" w:cs="Arial"/>
          <w:color w:val="000000"/>
          <w:sz w:val="22"/>
          <w:szCs w:val="22"/>
          <w:lang w:val="es-PE"/>
        </w:rPr>
      </w:pPr>
      <w:r w:rsidRPr="002A0287">
        <w:rPr>
          <w:rFonts w:ascii="Arial" w:hAnsi="Arial" w:cs="Arial"/>
          <w:color w:val="000000"/>
          <w:sz w:val="22"/>
          <w:szCs w:val="22"/>
          <w:lang w:val="es-PE"/>
        </w:rPr>
        <w:t xml:space="preserve">          En el expediente, que subió en consulta a la Sala mencionada, se discutió sobre la aplicación de la ley 28.457 y su adecuación constitucional, al determinar si la norma violaba o no los derechos a la libertad y el debido proceso. Básicamente la norma habilita a quien tenga legítimo interés a recurrir ante un Juez de Paz Letrado para obtener una declaración de paternidad; el emplazado tiene 10 días desde la efectiva notificación para oponerse, de no hacerlo, el mandato se convierte en declaración judicial de paternidad. La oposición suspende el mandato si el reclamado se obliga a someterse a un examen de ADN, pero en caso de transcurrir diez días sin efectuarse el estudio, se le atribuirá la paternidad alegada.</w:t>
      </w:r>
      <w:r w:rsidRPr="002A0287">
        <w:rPr>
          <w:rStyle w:val="Refdenotaalpie"/>
          <w:rFonts w:ascii="Arial" w:eastAsia="Calibri" w:hAnsi="Arial" w:cs="Arial"/>
          <w:color w:val="000000"/>
          <w:sz w:val="22"/>
          <w:szCs w:val="22"/>
          <w:lang w:val="es-PE"/>
        </w:rPr>
        <w:footnoteReference w:id="204"/>
      </w:r>
      <w:r w:rsidRPr="002A0287">
        <w:rPr>
          <w:rFonts w:ascii="Arial" w:hAnsi="Arial" w:cs="Arial"/>
          <w:color w:val="000000"/>
          <w:sz w:val="22"/>
          <w:szCs w:val="22"/>
          <w:lang w:val="es-PE"/>
        </w:rPr>
        <w:t xml:space="preserve"> La Sala estima que en el caso es necesario realizar una </w:t>
      </w:r>
      <w:r w:rsidRPr="002A0287">
        <w:rPr>
          <w:rFonts w:ascii="Arial" w:hAnsi="Arial" w:cs="Arial"/>
          <w:color w:val="000000"/>
          <w:sz w:val="22"/>
          <w:szCs w:val="22"/>
          <w:lang w:val="es-PE"/>
        </w:rPr>
        <w:lastRenderedPageBreak/>
        <w:t>ponderación de derechos: debido proceso y libertad del requerido versus derecho al nombre y la identidad del menor involucrado, para concluir finalmente que la norma se ajusta a Derecho, ya que el aludido es libre de oponerse o no, realizarse o no el examen de ADN, prueba considerada científicamente determinante para establecer la filiación. En el considerando noveno expresa que el derecho a la identidad y el nombre es fundamental, el primero en ser reconocido, y en el décimo agrega que “en el Derecho moderno, la investigación de la paternidad es permitida y amplia pues corresponde al derecho fundamental a la identidad y al nombre que tiene toda persona (...)”</w:t>
      </w:r>
      <w:r w:rsidRPr="002A0287">
        <w:rPr>
          <w:rStyle w:val="Refdenotaalpie"/>
          <w:rFonts w:ascii="Arial" w:eastAsia="Calibri" w:hAnsi="Arial" w:cs="Arial"/>
          <w:color w:val="000000"/>
          <w:sz w:val="22"/>
          <w:szCs w:val="22"/>
          <w:lang w:val="es-PE"/>
        </w:rPr>
        <w:footnoteReference w:id="205"/>
      </w:r>
      <w:r w:rsidRPr="002A0287">
        <w:rPr>
          <w:rFonts w:ascii="Arial" w:hAnsi="Arial" w:cs="Arial"/>
          <w:color w:val="000000"/>
          <w:sz w:val="22"/>
          <w:szCs w:val="22"/>
          <w:lang w:val="es-PE"/>
        </w:rPr>
        <w:t xml:space="preserve">. </w:t>
      </w:r>
    </w:p>
    <w:p w14:paraId="358DE61F" w14:textId="77777777" w:rsidR="0096481E" w:rsidRPr="002A0287" w:rsidRDefault="0096481E" w:rsidP="0096481E">
      <w:pPr>
        <w:pStyle w:val="Sangra3detindependiente"/>
        <w:tabs>
          <w:tab w:val="center" w:pos="9498"/>
        </w:tabs>
        <w:overflowPunct w:val="0"/>
        <w:autoSpaceDE w:val="0"/>
        <w:autoSpaceDN w:val="0"/>
        <w:spacing w:after="240" w:line="360" w:lineRule="auto"/>
        <w:ind w:left="0" w:firstLine="708"/>
        <w:jc w:val="both"/>
        <w:rPr>
          <w:rFonts w:ascii="Arial" w:hAnsi="Arial" w:cs="Arial"/>
          <w:color w:val="000000"/>
          <w:sz w:val="22"/>
          <w:szCs w:val="22"/>
          <w:lang w:val="es-PE"/>
        </w:rPr>
      </w:pPr>
      <w:r w:rsidRPr="002A0287">
        <w:rPr>
          <w:rFonts w:ascii="Arial" w:hAnsi="Arial" w:cs="Arial"/>
          <w:color w:val="000000"/>
          <w:sz w:val="22"/>
          <w:szCs w:val="22"/>
          <w:lang w:val="es-PE"/>
        </w:rPr>
        <w:t>Entonces, a pesar de la amplia fórmula mediante la cual se reconoce de manera expresa el derecho a la identidad como derecho fundamental, podría discutirse si es que actualmente en el ordenamiento jurídico peruano viene otorgándose una protección procesal suficiente a ese derecho. Así las cosas, el Código Procesal Constitucional contempla en su artículo 25 que</w:t>
      </w:r>
      <w:r w:rsidRPr="002A0287">
        <w:rPr>
          <w:rFonts w:ascii="Arial" w:hAnsi="Arial" w:cs="Arial"/>
          <w:i/>
          <w:color w:val="000000"/>
          <w:sz w:val="22"/>
          <w:szCs w:val="22"/>
          <w:lang w:val="es-PE"/>
        </w:rPr>
        <w:t xml:space="preserve"> “procede el hábeas corpus ante la acción u omisión que amenace o vulnere los siguientes derechos, que enunciativamente, confirman la libertad individual: 10) el derecho a no ser privado del documento nacional de identidad, así como obtener el pasaporte o su renovación dentro o fuera de la República”.</w:t>
      </w:r>
      <w:r w:rsidRPr="002A0287">
        <w:rPr>
          <w:rFonts w:ascii="Arial" w:hAnsi="Arial" w:cs="Arial"/>
          <w:color w:val="000000"/>
          <w:sz w:val="22"/>
          <w:szCs w:val="22"/>
          <w:lang w:val="es-PE"/>
        </w:rPr>
        <w:t xml:space="preserve"> Aquí vemos como se busca garantizar mediante un trámite sumarísimo un aspecto que se desprende del derecho a la identidad vinculado más bien a la identificación.</w:t>
      </w:r>
    </w:p>
    <w:p w14:paraId="1FC20490" w14:textId="77777777" w:rsidR="0096481E" w:rsidRPr="002A0287" w:rsidRDefault="0096481E" w:rsidP="0096481E">
      <w:pPr>
        <w:tabs>
          <w:tab w:val="center" w:pos="9498"/>
        </w:tabs>
        <w:overflowPunct w:val="0"/>
        <w:autoSpaceDE w:val="0"/>
        <w:autoSpaceDN w:val="0"/>
        <w:spacing w:after="240" w:line="360" w:lineRule="auto"/>
        <w:ind w:firstLine="708"/>
        <w:jc w:val="both"/>
        <w:rPr>
          <w:rFonts w:ascii="Arial" w:hAnsi="Arial" w:cs="Arial"/>
          <w:color w:val="000000"/>
        </w:rPr>
      </w:pPr>
      <w:r w:rsidRPr="002A0287">
        <w:rPr>
          <w:rFonts w:ascii="Arial" w:hAnsi="Arial" w:cs="Arial"/>
          <w:color w:val="000000"/>
        </w:rPr>
        <w:t xml:space="preserve"> Por otro lado, frente a los otros aspectos del derecho a la identidad, lamentablemente no encontramos mayores precisiones específicas al respecto. Es más, el derecho a la identidad no se incluye en el artículo 37 que trata sobre los derechos pasibles de protección mediante amparo. Y si bien el inciso 25 de este artículo contiene una fórmula residual que permitiría su reclamo mediante el proceso de amparo, estaría por verse si los magistrados aceptarían esta vía procesal o denegaría el amparo por entender que está disponible una vía igualmente satisfactoria (por ejemplo, lo regulado en el Código Procesal Civil, artículo 826 y concordantes, que permite la rectificación del </w:t>
      </w:r>
      <w:r w:rsidRPr="002A0287">
        <w:rPr>
          <w:rFonts w:ascii="Arial" w:hAnsi="Arial" w:cs="Arial"/>
          <w:color w:val="000000"/>
        </w:rPr>
        <w:lastRenderedPageBreak/>
        <w:t xml:space="preserve">nombre y el sexo registral, vía proceso no contencioso) para proteger al derecho a la identidad. </w:t>
      </w:r>
    </w:p>
    <w:p w14:paraId="35E7E0C1" w14:textId="0142DF47" w:rsidR="0096481E" w:rsidRPr="0014606F" w:rsidRDefault="0096481E" w:rsidP="0014606F">
      <w:pPr>
        <w:tabs>
          <w:tab w:val="center" w:pos="9498"/>
        </w:tabs>
        <w:overflowPunct w:val="0"/>
        <w:autoSpaceDE w:val="0"/>
        <w:autoSpaceDN w:val="0"/>
        <w:spacing w:after="240" w:line="360" w:lineRule="auto"/>
        <w:ind w:firstLine="708"/>
        <w:jc w:val="both"/>
        <w:rPr>
          <w:rFonts w:ascii="Arial" w:hAnsi="Arial" w:cs="Arial"/>
          <w:color w:val="000000"/>
        </w:rPr>
      </w:pPr>
      <w:r w:rsidRPr="002A0287">
        <w:rPr>
          <w:rFonts w:ascii="Arial" w:hAnsi="Arial" w:cs="Arial"/>
          <w:bCs/>
          <w:sz w:val="24"/>
          <w:szCs w:val="24"/>
          <w:lang w:eastAsia="it-IT"/>
        </w:rPr>
        <w:t>La judicatura peruana y el tribunal constitucional se han pronunciado en diversos casos respecto al derecho a la identidad personal y la tutela del transexualismo, así como al cambio de sexo y el reconocimiento de la identidad sexual, que trataremos en las siguientes páginas.</w:t>
      </w:r>
    </w:p>
    <w:p w14:paraId="1BA61612" w14:textId="77777777" w:rsidR="0096481E" w:rsidRPr="007856FD" w:rsidRDefault="0096481E" w:rsidP="0096481E">
      <w:pPr>
        <w:tabs>
          <w:tab w:val="center" w:pos="9498"/>
        </w:tabs>
        <w:spacing w:after="240" w:line="360" w:lineRule="auto"/>
        <w:jc w:val="both"/>
        <w:rPr>
          <w:rFonts w:ascii="Arial" w:hAnsi="Arial" w:cs="Arial"/>
          <w:b/>
          <w:bCs/>
          <w:sz w:val="24"/>
          <w:szCs w:val="24"/>
          <w:lang w:eastAsia="it-IT"/>
        </w:rPr>
      </w:pPr>
      <w:r>
        <w:rPr>
          <w:rFonts w:ascii="Arial" w:hAnsi="Arial" w:cs="Arial"/>
          <w:b/>
          <w:bCs/>
          <w:sz w:val="24"/>
          <w:szCs w:val="24"/>
          <w:lang w:eastAsia="it-IT"/>
        </w:rPr>
        <w:t xml:space="preserve">I.- </w:t>
      </w:r>
      <w:r w:rsidRPr="002A0287">
        <w:rPr>
          <w:rFonts w:ascii="Arial" w:hAnsi="Arial" w:cs="Arial"/>
          <w:b/>
          <w:bCs/>
          <w:sz w:val="24"/>
          <w:szCs w:val="24"/>
          <w:lang w:eastAsia="it-IT"/>
        </w:rPr>
        <w:t>Sentencias del Tribunal Constitucional del Perú</w:t>
      </w:r>
      <w:r>
        <w:rPr>
          <w:rFonts w:ascii="Arial" w:hAnsi="Arial" w:cs="Arial"/>
        </w:rPr>
        <w:tab/>
      </w:r>
    </w:p>
    <w:p w14:paraId="4DA96EBB" w14:textId="77777777" w:rsidR="0096481E" w:rsidRPr="007856FD"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Pr="002A0287">
        <w:rPr>
          <w:rFonts w:ascii="Arial" w:hAnsi="Arial" w:cs="Arial"/>
        </w:rPr>
        <w:t>No han sido numerosos los pronunciamientos del Tribunal Constitucional peruano sobre el derecho a la identidad personal, sobre todo en lo concerniente a la identidad sexual o de género. Hemos seleccionado, para efectuar un breve comentario de nuestra parte, algunas de ellas dado que cada uno de los pronunciamientos tiene rasgos comunes con las otras, pero, también, otros diferenciales.</w:t>
      </w:r>
    </w:p>
    <w:p w14:paraId="2AFC2E62" w14:textId="3DB3CB49" w:rsidR="0096481E" w:rsidRPr="0014606F" w:rsidRDefault="0096481E" w:rsidP="0096481E">
      <w:pPr>
        <w:tabs>
          <w:tab w:val="center" w:pos="9498"/>
        </w:tabs>
        <w:spacing w:after="240" w:line="360" w:lineRule="auto"/>
        <w:jc w:val="both"/>
        <w:rPr>
          <w:rFonts w:ascii="Arial" w:hAnsi="Arial" w:cs="Arial"/>
          <w:b/>
          <w:color w:val="000000"/>
          <w:sz w:val="24"/>
          <w:szCs w:val="24"/>
        </w:rPr>
      </w:pPr>
      <w:r w:rsidRPr="002A0287">
        <w:rPr>
          <w:rFonts w:ascii="Arial" w:hAnsi="Arial" w:cs="Arial"/>
          <w:b/>
          <w:color w:val="000000"/>
          <w:sz w:val="24"/>
          <w:szCs w:val="24"/>
        </w:rPr>
        <w:t xml:space="preserve">2.1. -El caso de “Karen </w:t>
      </w:r>
      <w:proofErr w:type="spellStart"/>
      <w:r w:rsidRPr="002A0287">
        <w:rPr>
          <w:rFonts w:ascii="Arial" w:hAnsi="Arial" w:cs="Arial"/>
          <w:b/>
          <w:color w:val="000000"/>
          <w:sz w:val="24"/>
          <w:szCs w:val="24"/>
        </w:rPr>
        <w:t>Mañuca</w:t>
      </w:r>
      <w:proofErr w:type="spellEnd"/>
      <w:r w:rsidRPr="002A0287">
        <w:rPr>
          <w:rFonts w:ascii="Arial" w:hAnsi="Arial" w:cs="Arial"/>
          <w:b/>
          <w:color w:val="000000"/>
          <w:sz w:val="24"/>
          <w:szCs w:val="24"/>
        </w:rPr>
        <w:t>” del 2006 y el planteamiento del Tribunal Constitucional Peruano</w:t>
      </w:r>
    </w:p>
    <w:p w14:paraId="278C1CAD" w14:textId="77777777" w:rsidR="0096481E" w:rsidRPr="002A0287"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Pr="002A0287">
        <w:rPr>
          <w:rFonts w:ascii="Arial" w:hAnsi="Arial" w:cs="Arial"/>
        </w:rPr>
        <w:t xml:space="preserve">El Tribunal Constitucional, con fecha 20 de abril del año 2006, pronuncia sentencia tratándose del recurso de agravio constitucional interpuesto por Karen </w:t>
      </w:r>
      <w:proofErr w:type="spellStart"/>
      <w:r w:rsidRPr="002A0287">
        <w:rPr>
          <w:rFonts w:ascii="Arial" w:hAnsi="Arial" w:cs="Arial"/>
        </w:rPr>
        <w:t>Mañuca</w:t>
      </w:r>
      <w:proofErr w:type="spellEnd"/>
      <w:r w:rsidRPr="002A0287">
        <w:rPr>
          <w:rFonts w:ascii="Arial" w:hAnsi="Arial" w:cs="Arial"/>
        </w:rPr>
        <w:t xml:space="preserve"> Quiroz Cabanillas en relación con el fallo de la Sala Penal Superior de Emergencia para Procesos con Reos Libres de la Corte Superior de Justicia de 2 de marzo del 2005, que declara improcedente su demanda de habeas corpus. El caso es contra el Registro Nacional de Identificación y Estado Civil (RENIEC).</w:t>
      </w:r>
    </w:p>
    <w:p w14:paraId="4534DFBB" w14:textId="77777777" w:rsidR="0096481E" w:rsidRPr="002A0287"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Pr="002A0287">
        <w:rPr>
          <w:rFonts w:ascii="Arial" w:hAnsi="Arial" w:cs="Arial"/>
        </w:rPr>
        <w:t xml:space="preserve">Con motivo de la resolución del caso “Karen </w:t>
      </w:r>
      <w:proofErr w:type="spellStart"/>
      <w:r w:rsidRPr="002A0287">
        <w:rPr>
          <w:rFonts w:ascii="Arial" w:hAnsi="Arial" w:cs="Arial"/>
        </w:rPr>
        <w:t>Mañuca</w:t>
      </w:r>
      <w:proofErr w:type="spellEnd"/>
      <w:r w:rsidRPr="002A0287">
        <w:rPr>
          <w:rFonts w:ascii="Arial" w:hAnsi="Arial" w:cs="Arial"/>
        </w:rPr>
        <w:t xml:space="preserve"> Quiroz Cabanillas”, el Tribunal Constitucional Peruano aprovecha la oportunidad para hacer un extenso e interesante comentario en los considerandos sobre la dignidad del ser humano y sus alcances, así como sobre la naturaleza y trascendencia de la partida de nacimiento, sobre el derecho a la identidad y sobre el Documento Nacional de Identidad (DNI) y su importancia.</w:t>
      </w:r>
    </w:p>
    <w:p w14:paraId="1877DC55" w14:textId="77777777" w:rsidR="0096481E" w:rsidRPr="002A0287" w:rsidRDefault="0096481E" w:rsidP="0096481E">
      <w:pPr>
        <w:tabs>
          <w:tab w:val="center" w:pos="9498"/>
        </w:tabs>
        <w:spacing w:after="240" w:line="360" w:lineRule="auto"/>
        <w:jc w:val="both"/>
        <w:rPr>
          <w:rFonts w:ascii="Arial" w:hAnsi="Arial" w:cs="Arial"/>
        </w:rPr>
      </w:pPr>
      <w:r w:rsidRPr="002A0287">
        <w:rPr>
          <w:rFonts w:ascii="Arial" w:hAnsi="Arial" w:cs="Arial"/>
        </w:rPr>
        <w:t xml:space="preserve">La demanda de habeas corpus planteada por la recurrente se interpone dada la negativa del RENIEC a otorgarle, desde hace cuatro años, un duplicado de la última versión de su DNI. Este hecho, en dicho de la demandante, vulnera sus derechos a la libertad, a la vida, al bienestar personal y a su integridad psicosomática. La demandante sostiene que efectuó los pagos correspondientes y que no conoce resolución alguna que explique los motivo a de dicha negativa. Manifiesta que sólo le han dado una respuesta verbal y </w:t>
      </w:r>
      <w:r w:rsidRPr="002A0287">
        <w:rPr>
          <w:rFonts w:ascii="Arial" w:hAnsi="Arial" w:cs="Arial"/>
        </w:rPr>
        <w:lastRenderedPageBreak/>
        <w:t>le han comunicado, por este medio, que su identidad se encontraba cuestionada por lo que debería presentar su Partida de Nacimiento, hecho que efectuó oportunamente. Sin embargo, pese a ello, le han continuado negando otorgarle el duplicado solicitado.</w:t>
      </w:r>
    </w:p>
    <w:p w14:paraId="494C62B9" w14:textId="77777777" w:rsidR="0096481E" w:rsidRPr="002A0287" w:rsidRDefault="0096481E" w:rsidP="0096481E">
      <w:pPr>
        <w:tabs>
          <w:tab w:val="center" w:pos="9498"/>
        </w:tabs>
        <w:spacing w:after="240" w:line="360" w:lineRule="auto"/>
        <w:jc w:val="both"/>
        <w:rPr>
          <w:rFonts w:ascii="Arial" w:hAnsi="Arial" w:cs="Arial"/>
        </w:rPr>
      </w:pPr>
      <w:r>
        <w:rPr>
          <w:rFonts w:ascii="Arial" w:hAnsi="Arial" w:cs="Arial"/>
        </w:rPr>
        <w:tab/>
        <w:t xml:space="preserve">     </w:t>
      </w:r>
      <w:r w:rsidRPr="002A0287">
        <w:rPr>
          <w:rFonts w:ascii="Arial" w:hAnsi="Arial" w:cs="Arial"/>
        </w:rPr>
        <w:t>El pronunciamiento de la justicia ordinaria, que declara improcedente la demanda, se sustenta en el hecho que la accionante no ha aclarado su auténtica identidad, así como tampoco ha señalado los hechos por los cuales mantiene una doble inscripción en el RENIEC.</w:t>
      </w:r>
    </w:p>
    <w:p w14:paraId="127435BE" w14:textId="133B6A3D" w:rsidR="0096481E" w:rsidRPr="002A0287"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0014606F">
        <w:rPr>
          <w:rFonts w:ascii="Arial" w:hAnsi="Arial" w:cs="Arial"/>
        </w:rPr>
        <w:tab/>
      </w:r>
      <w:r>
        <w:rPr>
          <w:rFonts w:ascii="Arial" w:hAnsi="Arial" w:cs="Arial"/>
        </w:rPr>
        <w:t xml:space="preserve"> </w:t>
      </w:r>
      <w:r w:rsidRPr="002A0287">
        <w:rPr>
          <w:rFonts w:ascii="Arial" w:hAnsi="Arial" w:cs="Arial"/>
        </w:rPr>
        <w:t xml:space="preserve">El Procurador Público del RENIEC manifiesta que la actora ostenta una trayectoria de poseer doble identidad. En este sentido informa que, con fecha 4 de mayo del año de 1976, se inscribió bajo el nombre de Manuel Jesús Quiroz Cabanillas con sexo masculino y que, con fecha 26 de junio de 1989, obtiene una inscripción a nombre de Karen </w:t>
      </w:r>
      <w:proofErr w:type="spellStart"/>
      <w:r w:rsidRPr="002A0287">
        <w:rPr>
          <w:rFonts w:ascii="Arial" w:hAnsi="Arial" w:cs="Arial"/>
        </w:rPr>
        <w:t>Mañuca</w:t>
      </w:r>
      <w:proofErr w:type="spellEnd"/>
      <w:r w:rsidRPr="002A0287">
        <w:rPr>
          <w:rFonts w:ascii="Arial" w:hAnsi="Arial" w:cs="Arial"/>
        </w:rPr>
        <w:t xml:space="preserve"> Quiroz Cabanillas con sexo femenino.</w:t>
      </w:r>
    </w:p>
    <w:p w14:paraId="0F3E6808" w14:textId="77777777" w:rsidR="0096481E" w:rsidRPr="002A0287"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Pr="002A0287">
        <w:rPr>
          <w:rFonts w:ascii="Arial" w:hAnsi="Arial" w:cs="Arial"/>
        </w:rPr>
        <w:t xml:space="preserve">El problema registral en referencia se origina en el hecho que la demandante obtiene, en 1989, una rectificación judicial de nombres con la consiguiente modificación de su Partida de Nacimiento. Sobre la base de esta sentencia logra una segunda inscripción en el RENIEC, solicitándole que se le entregue un nuevo DNI con el prenombre de Karen </w:t>
      </w:r>
      <w:proofErr w:type="spellStart"/>
      <w:r w:rsidRPr="002A0287">
        <w:rPr>
          <w:rFonts w:ascii="Arial" w:hAnsi="Arial" w:cs="Arial"/>
        </w:rPr>
        <w:t>Mañuca</w:t>
      </w:r>
      <w:proofErr w:type="spellEnd"/>
      <w:r w:rsidRPr="002A0287">
        <w:rPr>
          <w:rFonts w:ascii="Arial" w:hAnsi="Arial" w:cs="Arial"/>
        </w:rPr>
        <w:t xml:space="preserve">. El RENIEC, como consecuencia de este cambio de prenombres y de sexo considera, equivocadamente, que se habían efectuado dos inscripciones contradictorias, por lo cual cancela la segunda inscripción a nombre de Karen </w:t>
      </w:r>
      <w:proofErr w:type="spellStart"/>
      <w:r w:rsidRPr="002A0287">
        <w:rPr>
          <w:rFonts w:ascii="Arial" w:hAnsi="Arial" w:cs="Arial"/>
        </w:rPr>
        <w:t>Mañuca</w:t>
      </w:r>
      <w:proofErr w:type="spellEnd"/>
      <w:r w:rsidRPr="002A0287">
        <w:rPr>
          <w:rFonts w:ascii="Arial" w:hAnsi="Arial" w:cs="Arial"/>
        </w:rPr>
        <w:t>, por ostentar una trayectoria pretensora de doble identidad sexual.</w:t>
      </w:r>
    </w:p>
    <w:p w14:paraId="6829C29C" w14:textId="77777777" w:rsidR="0096481E" w:rsidRPr="002A0287"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Pr="002A0287">
        <w:rPr>
          <w:rFonts w:ascii="Arial" w:hAnsi="Arial" w:cs="Arial"/>
        </w:rPr>
        <w:t xml:space="preserve">El Tribunal Constitucional, vistos los antecedentes expuestos declaró, en abril del 2006, fundada la demanda por lo que ordena al RENIEC que extienda un nuevo DNI con el nombre de Karen </w:t>
      </w:r>
      <w:proofErr w:type="spellStart"/>
      <w:r w:rsidRPr="002A0287">
        <w:rPr>
          <w:rFonts w:ascii="Arial" w:hAnsi="Arial" w:cs="Arial"/>
        </w:rPr>
        <w:t>Mañuca</w:t>
      </w:r>
      <w:proofErr w:type="spellEnd"/>
      <w:r w:rsidRPr="002A0287">
        <w:rPr>
          <w:rFonts w:ascii="Arial" w:hAnsi="Arial" w:cs="Arial"/>
        </w:rPr>
        <w:t xml:space="preserve"> Quiroz Cabanillas, sin modificar los otros datos dentro de los cuales se incluye su sexo como masculino.</w:t>
      </w:r>
    </w:p>
    <w:p w14:paraId="251BD45B" w14:textId="75BB5782" w:rsidR="0096481E" w:rsidRPr="002A0287" w:rsidRDefault="0014606F"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 xml:space="preserve">Como se observa de la exposición del caso de Karen </w:t>
      </w:r>
      <w:proofErr w:type="spellStart"/>
      <w:r w:rsidR="0096481E" w:rsidRPr="002A0287">
        <w:rPr>
          <w:rFonts w:ascii="Arial" w:hAnsi="Arial" w:cs="Arial"/>
        </w:rPr>
        <w:t>Mañuca</w:t>
      </w:r>
      <w:proofErr w:type="spellEnd"/>
      <w:r w:rsidR="0096481E" w:rsidRPr="002A0287">
        <w:rPr>
          <w:rFonts w:ascii="Arial" w:hAnsi="Arial" w:cs="Arial"/>
        </w:rPr>
        <w:t>, en ella sólo se solicita la inscripción de sus nuevos prenombres, pero no el cambio de sexo, razón por la cual la sentencia se contrae únicamente a amparar la demanda y ordenar, en consecuencia, que el RENIEC le otorgue un nuevo DNI con los prenombres a los que se le autorizó, por sentencia judicial, emplear en su vida.</w:t>
      </w:r>
    </w:p>
    <w:p w14:paraId="6C457C55" w14:textId="62AA6CF6" w:rsidR="0014606F" w:rsidRPr="0070300A"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Pr="002A0287">
        <w:rPr>
          <w:rFonts w:ascii="Arial" w:hAnsi="Arial" w:cs="Arial"/>
        </w:rPr>
        <w:t xml:space="preserve">Es del caso señalar que en la sentencia en referencia se efectúan diversas consideraciones en torno al principio de la dignidad inherente al ser humano y sus alcances, sobre la naturaleza y trascendencia de la partida de nacimiento, sobre el </w:t>
      </w:r>
      <w:r w:rsidRPr="002A0287">
        <w:rPr>
          <w:rFonts w:ascii="Arial" w:hAnsi="Arial" w:cs="Arial"/>
        </w:rPr>
        <w:lastRenderedPageBreak/>
        <w:t>derecho a la identidad personal y sobre el Documentación Nacional de Identidad (DNI) y su importancia. Se discute sobre la vía procesal adecuada para este tipo de reclamos.</w:t>
      </w:r>
    </w:p>
    <w:p w14:paraId="2C78EE79" w14:textId="767DDD8D" w:rsidR="0096481E" w:rsidRPr="0014606F" w:rsidRDefault="0096481E" w:rsidP="0096481E">
      <w:pPr>
        <w:tabs>
          <w:tab w:val="center" w:pos="9498"/>
        </w:tabs>
        <w:spacing w:after="240" w:line="360" w:lineRule="auto"/>
        <w:jc w:val="both"/>
        <w:rPr>
          <w:rFonts w:ascii="Arial" w:hAnsi="Arial" w:cs="Arial"/>
          <w:b/>
          <w:color w:val="000000"/>
          <w:sz w:val="24"/>
          <w:szCs w:val="24"/>
        </w:rPr>
      </w:pPr>
      <w:r w:rsidRPr="002A0287">
        <w:rPr>
          <w:rFonts w:ascii="Arial" w:hAnsi="Arial" w:cs="Arial"/>
          <w:b/>
          <w:color w:val="000000"/>
          <w:sz w:val="24"/>
          <w:szCs w:val="24"/>
        </w:rPr>
        <w:t xml:space="preserve">2.2.- Sentencia en el caso de Pamela Estela Mendoza Moreno </w:t>
      </w:r>
      <w:r w:rsidR="00E93EB6">
        <w:rPr>
          <w:rFonts w:ascii="Arial" w:hAnsi="Arial" w:cs="Arial"/>
          <w:b/>
          <w:color w:val="000000"/>
          <w:sz w:val="24"/>
          <w:szCs w:val="24"/>
        </w:rPr>
        <w:t>del 2012</w:t>
      </w:r>
    </w:p>
    <w:p w14:paraId="36615985" w14:textId="77777777" w:rsidR="0096481E" w:rsidRPr="00FC37EE"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Pr="00FC37EE">
        <w:rPr>
          <w:rFonts w:ascii="Arial" w:hAnsi="Arial" w:cs="Arial"/>
        </w:rPr>
        <w:t>El juzgado especializado en lo civil de la provincia de San Martín en esta sentencia sobre identidad personal, sobre la base de los derechos constitucionales, como el de la libertad, la identidad, la salud y el bienestar, las demandas de adecuaciones sexuales en los casos de problemas en cuanto a la identidad sexual que presentan los transexuales.</w:t>
      </w:r>
    </w:p>
    <w:p w14:paraId="4FB41AAF" w14:textId="77777777" w:rsidR="0096481E" w:rsidRPr="00FC37EE"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Pr="00FC37EE">
        <w:rPr>
          <w:rFonts w:ascii="Arial" w:hAnsi="Arial" w:cs="Arial"/>
        </w:rPr>
        <w:t>Fechada en Tarapoto el 23 de agosto del 2010, Pamela Estela Mendoza Moreno, de ciudadanía peruana y española, residente por varios años en España, de retorno a su país de origen, interpone demanda de amparo. En ella solicita la tutela de urgencia del reconocimiento de su identidad sexual como mujer a través de la modificación de su sexo de masculino a femenino en los correspondientes documentos registrales. La acción la dirige contra el Ministerio Público y el Registro Nacional de Identificación y Estado Civil con la finalidad de que el Juzgado disponga el cambio de datos sobre su sexo, de masculino a femenino, que se consignan en los documentos en referencia.</w:t>
      </w:r>
    </w:p>
    <w:p w14:paraId="4B707D78" w14:textId="77777777" w:rsidR="0096481E" w:rsidRPr="00FC37EE" w:rsidRDefault="0096481E" w:rsidP="0096481E">
      <w:pPr>
        <w:tabs>
          <w:tab w:val="center" w:pos="9498"/>
        </w:tabs>
        <w:spacing w:after="240" w:line="360" w:lineRule="auto"/>
        <w:jc w:val="both"/>
        <w:rPr>
          <w:rFonts w:ascii="Arial" w:hAnsi="Arial" w:cs="Arial"/>
        </w:rPr>
      </w:pPr>
      <w:r>
        <w:rPr>
          <w:rFonts w:ascii="Arial" w:hAnsi="Arial" w:cs="Arial"/>
        </w:rPr>
        <w:t xml:space="preserve">    </w:t>
      </w:r>
      <w:r w:rsidRPr="00FC37EE">
        <w:rPr>
          <w:rFonts w:ascii="Arial" w:hAnsi="Arial" w:cs="Arial"/>
        </w:rPr>
        <w:t>Fundamenta su pretensión en que desde la etapa inicial de su vida ha experimentado una inconformidad entre su sexo biológico su sexo psicológico. Narra, en este sentido, que desde la infancia sentía ser y actuar como una mujer. El problema se acrecentó en la adolescencia, época en la que experimentó muchos problemas en su relación con sus compañeros durante su época escolar. Así, por ejemplo, no se desvestía en los camarines y no participaba en las clases de educación física. Fue en virtud de toda esta problemática que se sometió, en Barcelona, a una intervención quirúrgica de adecuación de sus genitales exteriores. Por lo expuesto el Juzgado Civil de San Martín, en el año 2009, dispuso su cambio de nombre de “Jorge Luis” al femenino de “Pamela Estela”.</w:t>
      </w:r>
    </w:p>
    <w:p w14:paraId="358A52E4" w14:textId="16E8E832" w:rsidR="0096481E" w:rsidRPr="00FC37EE" w:rsidRDefault="00AE0130" w:rsidP="0096481E">
      <w:pPr>
        <w:tabs>
          <w:tab w:val="center" w:pos="9498"/>
        </w:tabs>
        <w:spacing w:after="240" w:line="360" w:lineRule="auto"/>
        <w:jc w:val="both"/>
        <w:rPr>
          <w:rFonts w:ascii="Arial" w:hAnsi="Arial" w:cs="Arial"/>
        </w:rPr>
      </w:pPr>
      <w:r>
        <w:rPr>
          <w:rFonts w:ascii="Arial" w:hAnsi="Arial" w:cs="Arial"/>
        </w:rPr>
        <w:t xml:space="preserve">    </w:t>
      </w:r>
      <w:r w:rsidR="0096481E" w:rsidRPr="00FC37EE">
        <w:rPr>
          <w:rFonts w:ascii="Arial" w:hAnsi="Arial" w:cs="Arial"/>
        </w:rPr>
        <w:t>Sobre la base de la sentencia antes citada la accionante logró la modificación de su partida de nacimiento en la Municipalidad de Miraflores. El Juzgado Civil de San Martín ordenó también al RENIEC que se le expida un nuevo documento nacional de identidad lo que se cumple, pero erróneamente.  Manifiesta la demandante que en el mencionado documento sólo se modifica su prenombre por el de “Pamela Estela” más no así el dato de su sexo como mujer. En efecto, en tal documento sigue apareciendo que pertenece al sexo “masculino” a pesar de contar con un prenombre femenino.</w:t>
      </w:r>
    </w:p>
    <w:p w14:paraId="169AB6B1" w14:textId="608A1CF4"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lastRenderedPageBreak/>
        <w:t xml:space="preserve">    </w:t>
      </w:r>
      <w:r w:rsidR="0096481E" w:rsidRPr="00FC37EE">
        <w:rPr>
          <w:rFonts w:ascii="Arial" w:hAnsi="Arial" w:cs="Arial"/>
          <w:color w:val="000000"/>
        </w:rPr>
        <w:t>La accionante considera que el hecho que se siga manteniendo en su documento nacional de identidad que su sexo es el masculino vulnera su derecho a su identidad, así como frustra su proyecto de vida.</w:t>
      </w:r>
    </w:p>
    <w:p w14:paraId="485F712D" w14:textId="7B97CF0B"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La demandante, como prueba de su reasignación de sexo, presenta la documentación que consigna que se sometió, a partir de los 17 años, a un tratamiento hormonal y que, así mismo, a una intervención quirúrgica como son la implantación de una prótesis mamaria, en el año 2000, y la intervención quirúrgica de </w:t>
      </w:r>
      <w:proofErr w:type="spellStart"/>
      <w:r w:rsidR="0096481E" w:rsidRPr="00FC37EE">
        <w:rPr>
          <w:rFonts w:ascii="Arial" w:hAnsi="Arial" w:cs="Arial"/>
          <w:color w:val="000000"/>
        </w:rPr>
        <w:t>vaginoplastia</w:t>
      </w:r>
      <w:proofErr w:type="spellEnd"/>
      <w:r w:rsidR="0096481E" w:rsidRPr="00FC37EE">
        <w:rPr>
          <w:rFonts w:ascii="Arial" w:hAnsi="Arial" w:cs="Arial"/>
          <w:color w:val="000000"/>
        </w:rPr>
        <w:t xml:space="preserve"> cutánea peneana realizada en el año 2001. Ello se acredita con las constancias expedidas por la Unidad de Género de la Clínica Mediterránea y la Unidad de Identidad de Género del Hospital </w:t>
      </w:r>
      <w:proofErr w:type="spellStart"/>
      <w:r w:rsidR="0096481E" w:rsidRPr="00FC37EE">
        <w:rPr>
          <w:rFonts w:ascii="Arial" w:hAnsi="Arial" w:cs="Arial"/>
          <w:color w:val="000000"/>
        </w:rPr>
        <w:t>Clinic</w:t>
      </w:r>
      <w:proofErr w:type="spellEnd"/>
      <w:r w:rsidR="0096481E" w:rsidRPr="00FC37EE">
        <w:rPr>
          <w:rFonts w:ascii="Arial" w:hAnsi="Arial" w:cs="Arial"/>
          <w:color w:val="000000"/>
        </w:rPr>
        <w:t xml:space="preserve"> Barcelona.</w:t>
      </w:r>
    </w:p>
    <w:p w14:paraId="1085B320" w14:textId="6D52F322"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De otro lado, según el informe psicológico se afirma que el accionante demuestra un alto grado de madurez emocional y que tomó la decisión, voluntaria y madura, de optar por el sexo femenino. De las pruebas médicas aplicadas no se detecta ninguna patología psiquiátrica que pueda influir en su decisión de adecuación de sexo. Paralelamente se confirma el diagnóstico de trastorno de identidad sexual.</w:t>
      </w:r>
    </w:p>
    <w:p w14:paraId="74359C0D" w14:textId="6764722C"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Practicada la entrevista persona, el Juez deja constancia que la actitud mostrada por la accionante es propia de una persona con alto grado de madurez emocional.</w:t>
      </w:r>
    </w:p>
    <w:p w14:paraId="5DD93B53" w14:textId="4429C7C5"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Por todo lo expuesto, el Juez de la causa manifiesta que se denota claramente que el ahora accionante padece de disforia de género, una disconformidad de su sexo registral-biológico con el psicológico y social. Así mismo, resulta también claro para el Juez de la causa, que el accionante ha expresado su decisión personal de ser mujer.</w:t>
      </w:r>
    </w:p>
    <w:p w14:paraId="71C5D563" w14:textId="6EE69A1F"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De otra parte, se agrega a lo anteriormente señalado, que existe otro motivo razonable para amparar la pretensión planteada. El accionante se nacionalizó español, ciudadanía que le permitió proceder al cambio de datos registrables con su nuevo nombre femenino, que es el de Pamela Estela Mendoza Moreno, así como el que su sexo es el de “mujer”.</w:t>
      </w:r>
    </w:p>
    <w:p w14:paraId="4D9828EE" w14:textId="3BEB7918"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Por los fundamentos y consideraciones expuestos, el Juzgado en lo Civil de la Provincia de San Martín, con sede en la ciudad de Tarapoto, mediante sentencia del tres de mayo del año 2012, declaró fundada la demanda de amparo interpuesta por Pamela Estela Mendoza Moreno sobre cambio de sexo de masculino a femenino.</w:t>
      </w:r>
    </w:p>
    <w:p w14:paraId="616716F0" w14:textId="46FA55C2" w:rsidR="0096481E" w:rsidRPr="00FC37EE" w:rsidRDefault="00AE0130" w:rsidP="0096481E">
      <w:pPr>
        <w:tabs>
          <w:tab w:val="center" w:pos="9498"/>
        </w:tabs>
        <w:spacing w:after="240" w:line="360" w:lineRule="auto"/>
        <w:jc w:val="both"/>
        <w:rPr>
          <w:rFonts w:ascii="Arial" w:hAnsi="Arial" w:cs="Arial"/>
        </w:rPr>
      </w:pPr>
      <w:r>
        <w:rPr>
          <w:rFonts w:ascii="Arial" w:hAnsi="Arial" w:cs="Arial"/>
        </w:rPr>
        <w:lastRenderedPageBreak/>
        <w:t xml:space="preserve">        </w:t>
      </w:r>
      <w:r w:rsidR="0096481E" w:rsidRPr="00FC37EE">
        <w:rPr>
          <w:rFonts w:ascii="Arial" w:hAnsi="Arial" w:cs="Arial"/>
        </w:rPr>
        <w:t>Consecuentemente, el Juzgado ordena el cambio de los datos registrales de la recurrente tanto en la partida de nacimiento como en su documento nacional de identidad respecto al sexo debiendo señalarse su condición de “mujer”. Para el efecto, ordena se oficie a la Municipalidad distrital de Miraflores para que proceda a inscribir dicha modificación en la partida de nacimiento de la accionante, así como también al RENIEC para que lo consigne en el Registro Único de Identificación de Personas Naturales y expida un nuevo documento nacional de identidad donde se señale, el “femenino”, como sexo de la accionante.</w:t>
      </w:r>
    </w:p>
    <w:p w14:paraId="4AE7E548" w14:textId="53969195"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La sentencia pronunciada por el Juez en lo Civil de la Provincia de San Martín sobre el caso “Pamela Estela” fue apelada y vista por la Sala Mixta Descentralizada de la Corte Superior de Justicia de San Martín la cual, revocando la apelada, declaró improcedente la demanda en cuestión. La Corte la declaró improcedente por considerar que el amparo no es la vía idónea para pedir el cambio de sexo en el DNI, así como en la partida de nacimiento, sino que la es la del proceso de conocimiento conforme al artículo 475, inciso 1, del Código Procesal Civil.</w:t>
      </w:r>
    </w:p>
    <w:p w14:paraId="52981DE5" w14:textId="14F387D0"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El Tribunal Constitucional consideró, como argumento central para no admitir la demanda de adecuación sexual del recurrente, amparada por el Juzgado de Tarapoto y revocada por la Corte Superior correspondiente, en el hecho que el sexo genético o cromosómico es inmutable, indisponible, por lo cual el sexo de una persona es el que determina este elemento y según con lo que consecuentemente aparece en el registro de estado civil y en la partida de nacimiento de la persona.</w:t>
      </w:r>
    </w:p>
    <w:p w14:paraId="30BFCAF6" w14:textId="6EDA6F05"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Por ello, el Tribunal Constitucional considera que, en el caso de autos, ha habido tan sólo un cambio morfológico de los genitales externos del recurrente. No obstante, los genitales internos se mantienen inalterables. De ahí, se sostiene, que </w:t>
      </w:r>
      <w:r w:rsidR="0096481E" w:rsidRPr="00AE0130">
        <w:rPr>
          <w:rFonts w:ascii="Arial" w:hAnsi="Arial" w:cs="Arial"/>
          <w:i/>
          <w:iCs/>
          <w:color w:val="000000"/>
        </w:rPr>
        <w:t>“el sexo viene a ser el sexo biológico, el sexo cromosómico o genético instaurado en el momento de la fecundación</w:t>
      </w:r>
      <w:r w:rsidR="0096481E" w:rsidRPr="00FC37EE">
        <w:rPr>
          <w:rFonts w:ascii="Arial" w:hAnsi="Arial" w:cs="Arial"/>
          <w:color w:val="000000"/>
        </w:rPr>
        <w:t xml:space="preserve"> (…) </w:t>
      </w:r>
      <w:r w:rsidR="0096481E" w:rsidRPr="00AE0130">
        <w:rPr>
          <w:rFonts w:ascii="Arial" w:hAnsi="Arial" w:cs="Arial"/>
          <w:i/>
          <w:iCs/>
          <w:color w:val="000000"/>
        </w:rPr>
        <w:t>que determina el sexo femenino o masculino</w:t>
      </w:r>
      <w:r w:rsidR="0096481E" w:rsidRPr="00FC37EE">
        <w:rPr>
          <w:rFonts w:ascii="Arial" w:hAnsi="Arial" w:cs="Arial"/>
          <w:color w:val="000000"/>
        </w:rPr>
        <w:t>”.</w:t>
      </w:r>
    </w:p>
    <w:p w14:paraId="48DA0101" w14:textId="419DC264"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Lo que ha sucedido, según el Tribunal, es que a través de la intervención quirúrgica practicada se ha logrado, según lo expresado por el cirujano que la realizó, que los elementos externos, como los labios mayores y la vagina, resulten “muy a semejanza” de los femeninos. Es decir que, en opinión del Tribunal, se ha obtenido tan sólo cierta aproximación en la apariencia de los genitales externos más no de los internos, los que conforman el componente genético o cromosómico determinantes del sexo.</w:t>
      </w:r>
    </w:p>
    <w:p w14:paraId="6E6561B2" w14:textId="64FC0A1D"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lastRenderedPageBreak/>
        <w:t xml:space="preserve">      </w:t>
      </w:r>
      <w:r w:rsidR="0096481E" w:rsidRPr="00FC37EE">
        <w:rPr>
          <w:rFonts w:ascii="Arial" w:hAnsi="Arial" w:cs="Arial"/>
          <w:color w:val="000000"/>
        </w:rPr>
        <w:t>El Tribunal Constitucional afirma que la “diferencia de los sexos corresponde a una realidad extrajurídica que debe ser constitucionalmente respetada por fundarse en la naturaleza de las cosas…”.   Agrega que el problema de los transexuales es el que sufren lo que sería un “trastorno mental”. Es decir, una patología.</w:t>
      </w:r>
    </w:p>
    <w:p w14:paraId="4261DDCE" w14:textId="39A15CE6"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Agrega el </w:t>
      </w:r>
      <w:r w:rsidR="0096481E" w:rsidRPr="00FC37EE">
        <w:rPr>
          <w:rFonts w:ascii="Arial" w:hAnsi="Arial" w:cs="Arial"/>
          <w:color w:val="000000"/>
        </w:rPr>
        <w:t>Tribunal</w:t>
      </w:r>
      <w:r>
        <w:rPr>
          <w:rFonts w:ascii="Arial" w:hAnsi="Arial" w:cs="Arial"/>
          <w:color w:val="000000"/>
        </w:rPr>
        <w:t xml:space="preserve"> </w:t>
      </w:r>
      <w:r w:rsidR="0096481E" w:rsidRPr="00FC37EE">
        <w:rPr>
          <w:rFonts w:ascii="Arial" w:hAnsi="Arial" w:cs="Arial"/>
          <w:color w:val="000000"/>
        </w:rPr>
        <w:t>al mencionado argumento central otros más dentro de su planteamiento, como aquel, como está dicho, que reconoce que el sexo genético o cromosómico es inmodificable.</w:t>
      </w:r>
    </w:p>
    <w:p w14:paraId="3F86F04B" w14:textId="5763DDD3"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Entre los varios argumentos expuestos por el Tribunal Constitucional cabe resaltar aquel por el cual manifiesta que “la ciencia pone en tela de juicio que la intervención quirúrgica se muestre como el único medio eficaz válido para la atenuación del síndrome transexual. Que la transexualidad sea una patología, que genere sufrimiento y que requiera tratamiento e intento de curación, además de la comprensión social, es indiscutible”. Y agrega el Tribunal que “como ha quedado demostrado, en lo que los científicos no están todavía de acuerdo es sobre cuál sea el tratamiento más eficaz”.  Más eficaz, se entiende, para la cura de la “patología” que padece el transexual.</w:t>
      </w:r>
    </w:p>
    <w:p w14:paraId="36BD3986" w14:textId="433A4148"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El Tribunal Constitucional, no obstante lo anteriormente expresado, considera que sobre el tema de la identidad sexual, más exactamente sobre el caso de los transexuales, existe una controversia entre una mayoría compuesta por aquellos que, por un lado, “mantienen el criterio mayoritario (si nos atenemos a lo que muestran los distintos ordenamientos jurídicos) de que el sexo viene determinado por los cromosomas” y, del otro, entre los que sostienen “el criterio minoritario de que cabe una interpretación conforme a la cual - como quiere el recurrente -, el sexo psíquico debe prevalecer, incluso legalmente, sobre el sexo cromosómico”. Por ello, el Tribunal considera que se trata, por consiguiente, “de una discusión filosófica-jurídica sobre los modelos que adopte el ordenamiento jurídico en las relaciones entre la naturaleza y la cultura, biología y </w:t>
      </w:r>
      <w:r w:rsidR="0096481E">
        <w:rPr>
          <w:rFonts w:ascii="Arial" w:hAnsi="Arial" w:cs="Arial"/>
          <w:color w:val="000000"/>
        </w:rPr>
        <w:t>Derecho</w:t>
      </w:r>
      <w:r w:rsidR="0096481E" w:rsidRPr="00FC37EE">
        <w:rPr>
          <w:rFonts w:ascii="Arial" w:hAnsi="Arial" w:cs="Arial"/>
          <w:color w:val="000000"/>
        </w:rPr>
        <w:t>, que no está cerrada”.</w:t>
      </w:r>
    </w:p>
    <w:p w14:paraId="1454A013" w14:textId="78A28AB8"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Por la razón antes expuesta, el Tribunal establece que no cabe dictar precedentes vinculantes “sobre temas que son más bien polémicos y donde las posiciones valorativas pueden dividir a la opinión pública”. Por esta razón “no puede acogerse una tesis como la del recurrente que plantea la absoluta prevalencia en el transexual operado del sexo psicológico sobre el cromosómico y, consecuentemente, darle efectos legales al primero si consta a este Tribunal que este planteamiento actualmente está sujeto a ardua polémica en diversos campos”.</w:t>
      </w:r>
    </w:p>
    <w:p w14:paraId="0D8DBCF1" w14:textId="1FDB1626"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lastRenderedPageBreak/>
        <w:t xml:space="preserve">      </w:t>
      </w:r>
      <w:r w:rsidR="0096481E" w:rsidRPr="00FC37EE">
        <w:rPr>
          <w:rFonts w:ascii="Arial" w:hAnsi="Arial" w:cs="Arial"/>
          <w:color w:val="000000"/>
        </w:rPr>
        <w:t>El Tribunal, consecuentemente con lo expresado declara, que mientras no exista certeza científica de que la cirugía es el tratamiento más eficaz para el transexualismo, así como que una vez realizada debe prevalecer legalmente el sexo psicológico sobre el genético cromosómico, el Derecho no puede abandonar la realidad científica de que el sexo es el último de los nombrados, por lo que éste es indisponible.</w:t>
      </w:r>
    </w:p>
    <w:p w14:paraId="11961A55" w14:textId="62BF835D"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Es increíble que, según nuestro criterio que se ignore las varias décadas de intervenciones quirúrgicas y del aval de varias legislaciones que han mostrado eficacia para resolver el drama existencial del transexual, ya que a través de dicha intervención quirúrgica el transexual ha logrado completar su identidad de género sentida y vivida.</w:t>
      </w:r>
    </w:p>
    <w:p w14:paraId="467CEBDF" w14:textId="17C40255" w:rsidR="0096481E" w:rsidRPr="00FC37EE" w:rsidRDefault="00AE0130" w:rsidP="0096481E">
      <w:pPr>
        <w:tabs>
          <w:tab w:val="center" w:pos="9498"/>
        </w:tabs>
        <w:spacing w:after="240" w:line="360" w:lineRule="auto"/>
        <w:jc w:val="both"/>
        <w:rPr>
          <w:rFonts w:ascii="Arial" w:hAnsi="Arial" w:cs="Arial"/>
        </w:rPr>
      </w:pPr>
      <w:r>
        <w:rPr>
          <w:rFonts w:ascii="Arial" w:hAnsi="Arial" w:cs="Arial"/>
        </w:rPr>
        <w:t xml:space="preserve">       </w:t>
      </w:r>
      <w:r w:rsidR="0096481E" w:rsidRPr="00FC37EE">
        <w:rPr>
          <w:rFonts w:ascii="Arial" w:hAnsi="Arial" w:cs="Arial"/>
        </w:rPr>
        <w:t>El Tribunal, en base a los considerandos de la sentencia afirma, como está dicho, que para el Derecho el sexo viene a ser el sexo biológico, el sexo cromosómico o genético, el que se adquiere en el instante de la fecundación del óvulo por un espermatozoide. Es en este momento que se determina si el sexo será masculino o femenino. Es una realidad biológica indisponible. El sexo es, así, una realidad extrajurídica que debe ser constitucionalmente respetada.</w:t>
      </w:r>
    </w:p>
    <w:p w14:paraId="41719E4E" w14:textId="32ED9312"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Por todo lo expuesto el Tribunal desestima la pretensión del recurrente ya que no se puede ignorar la exigencia que impone el ordenamiento constitucional en cuanto a que el sexo de la persona consignado en el registro del estado civil corresponde al sexo cromosómico o genético.</w:t>
      </w:r>
    </w:p>
    <w:p w14:paraId="3F518921" w14:textId="3FF5618B"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La sentencia, en este caso, fue dictada en mayoría. Fueron cuatro los votos que respaldaron el anacrónico pronunciamiento del Tribunal. Sin embargo, dos de sus integrantes disienten profundamente de la sentencia y formulan un voto singular en el sentido de declarar fundada la demanda presentada por el recurrente.</w:t>
      </w:r>
    </w:p>
    <w:p w14:paraId="36068FDB" w14:textId="6CC69C3A"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Para el efecto, critican y refutan diversos puntos argumentales empleados para la fundamentación de la sentencia. Si bien consideran que no se cuenta con una fuente normativa expresa que reconozca otros elementos de la identidad sexual distintos del cromosómico o genético, estiman que existen otros elementos en la determinación del sexo. Es así que se sostiene que “la identidad de una persona no sólo está predeterminada por elementos biológicos sino por elementos psicológicos y culturales”.</w:t>
      </w:r>
    </w:p>
    <w:p w14:paraId="34C9885F" w14:textId="5603CE26"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En el mencionado voto singular se expresa que en el Derecho Internacional de los Derechos Humanos se reconocen dos dimensiones de la identidad sexual.  Aparte de “la identidad de sexo” se considera la existencia de la llamada “identidad de género”. </w:t>
      </w:r>
      <w:r w:rsidR="0096481E" w:rsidRPr="00FC37EE">
        <w:rPr>
          <w:rFonts w:ascii="Arial" w:hAnsi="Arial" w:cs="Arial"/>
          <w:color w:val="000000"/>
        </w:rPr>
        <w:lastRenderedPageBreak/>
        <w:t>Esta distinción se utiliza para remarcar la diferencia existente entre sexo, que equivale al cromosómico, y género, que significa el sexo sentido y vivido. Así, una persona, por sus cromosomas, puede pertenecer al sexo masculino, pero, de conformidad con el sexo sentido y vivido, posee un “género” diferente a su sexo de origen. Esta distinción se emplea con la finalidad de proteger al transexual contra toda discriminación. La identidad de género se aplica a los transexuales “para quienes el género no se conforma sólo con el elemento biológico, sino también con elementos psicológicos, culturales y sociales”.</w:t>
      </w:r>
    </w:p>
    <w:p w14:paraId="328166C0" w14:textId="42BC6B02"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En el voto singular se deja constancia que lo referente al sentido y razón de la llamada “identidad de género” ha sido convenientemente explicado por la Comisión Interamericana de Derechos Humanos. Ella consta en el Informe titulado Orientación Sexual, Identidad de Género y Expresión de Género: Algunos términos y estándares relevantes, documento que se elaboró por encargo y por resolución de la Asamblea General de la OEA. Es así como, en el apartado 14 del mencionado Informe, se afirma que “la diferencia entre sexo y género radica en que el primero se concibe como un dato biológico y el segundo como una construcción social”.</w:t>
      </w:r>
    </w:p>
    <w:p w14:paraId="6E4AE7FA" w14:textId="23AAF46B" w:rsidR="0096481E" w:rsidRPr="00FC37EE" w:rsidRDefault="00AE0130" w:rsidP="0096481E">
      <w:pPr>
        <w:tabs>
          <w:tab w:val="center" w:pos="9498"/>
        </w:tabs>
        <w:spacing w:after="240" w:line="360" w:lineRule="auto"/>
        <w:jc w:val="both"/>
        <w:rPr>
          <w:rFonts w:ascii="Arial" w:hAnsi="Arial" w:cs="Arial"/>
        </w:rPr>
      </w:pPr>
      <w:r>
        <w:rPr>
          <w:rFonts w:ascii="Arial" w:hAnsi="Arial" w:cs="Arial"/>
        </w:rPr>
        <w:t xml:space="preserve">       </w:t>
      </w:r>
      <w:r w:rsidR="0096481E" w:rsidRPr="00FC37EE">
        <w:rPr>
          <w:rFonts w:ascii="Arial" w:hAnsi="Arial" w:cs="Arial"/>
        </w:rPr>
        <w:t>En el apartado 15 del anteriormente citado Informe de la Comisión Interamericana de Derechos Humanos se señala que social y doctrinariamente se ha establecido “una diferenciación entre el sexo y el género y actualmente existe una tendencia a marcar esta distinción también en el lenguaje legislativo”. Se indica, sin embargo, que tanto a nivel internacional como en el ámbito doméstico, las categorías de sexo y género “han sido históricamente utilizadas en forma intercambiable. De ahí, se explica que en algunos tratados internacionales y demás cuerpos normativos en el momento de su elaboración no contemplaban la existencia de la categoría de “género”.</w:t>
      </w:r>
    </w:p>
    <w:p w14:paraId="4AB2537C" w14:textId="44AA245D" w:rsidR="0096481E" w:rsidRPr="00FC37EE" w:rsidRDefault="00AE0130" w:rsidP="0096481E">
      <w:pPr>
        <w:tabs>
          <w:tab w:val="center" w:pos="9498"/>
        </w:tabs>
        <w:spacing w:after="240" w:line="360" w:lineRule="auto"/>
        <w:jc w:val="both"/>
        <w:rPr>
          <w:rFonts w:ascii="Arial" w:hAnsi="Arial" w:cs="Arial"/>
        </w:rPr>
      </w:pPr>
      <w:r>
        <w:rPr>
          <w:rFonts w:ascii="Arial" w:hAnsi="Arial" w:cs="Arial"/>
        </w:rPr>
        <w:t xml:space="preserve">      </w:t>
      </w:r>
      <w:r w:rsidR="0096481E" w:rsidRPr="00FC37EE">
        <w:rPr>
          <w:rFonts w:ascii="Arial" w:hAnsi="Arial" w:cs="Arial"/>
        </w:rPr>
        <w:t xml:space="preserve">En el voto minoritario que nos ocupa se deja constancia que, hasta en dos organismos autorizados del Derecho Internacional de los Derechos Humanos de interpretación autorizada de tratados humanos, suscritos por el Perú, se establece la referencia a la “identidad de género”. Se trata del Comité de la Naciones para la Eliminación de toda forma de Discriminación contra la Mujer y la Observación General </w:t>
      </w:r>
      <w:proofErr w:type="spellStart"/>
      <w:r w:rsidR="0096481E" w:rsidRPr="00FC37EE">
        <w:rPr>
          <w:rFonts w:ascii="Arial" w:hAnsi="Arial" w:cs="Arial"/>
        </w:rPr>
        <w:t>n°</w:t>
      </w:r>
      <w:proofErr w:type="spellEnd"/>
      <w:r w:rsidR="0096481E" w:rsidRPr="00FC37EE">
        <w:rPr>
          <w:rFonts w:ascii="Arial" w:hAnsi="Arial" w:cs="Arial"/>
        </w:rPr>
        <w:t xml:space="preserve"> 20 del 2 de julio del 2009 del Comité de Derechos Económicos, Sociales y Culturales de la ONU.</w:t>
      </w:r>
    </w:p>
    <w:p w14:paraId="3639AB04" w14:textId="1700B64D" w:rsidR="0096481E" w:rsidRPr="00FC37EE" w:rsidRDefault="00AE0130" w:rsidP="0096481E">
      <w:pPr>
        <w:tabs>
          <w:tab w:val="center" w:pos="9498"/>
        </w:tabs>
        <w:spacing w:after="240" w:line="360" w:lineRule="auto"/>
        <w:jc w:val="both"/>
        <w:rPr>
          <w:rFonts w:ascii="Arial" w:hAnsi="Arial" w:cs="Arial"/>
        </w:rPr>
      </w:pPr>
      <w:r>
        <w:rPr>
          <w:rFonts w:ascii="Arial" w:hAnsi="Arial" w:cs="Arial"/>
        </w:rPr>
        <w:t xml:space="preserve">      </w:t>
      </w:r>
      <w:r w:rsidR="0096481E" w:rsidRPr="00FC37EE">
        <w:rPr>
          <w:rFonts w:ascii="Arial" w:hAnsi="Arial" w:cs="Arial"/>
        </w:rPr>
        <w:t xml:space="preserve">En adición a lo expresado en el voto singular se recuerda que la Corte Interamericana de Derechos Humanos en el caso </w:t>
      </w:r>
      <w:proofErr w:type="spellStart"/>
      <w:r w:rsidR="0096481E" w:rsidRPr="00FC37EE">
        <w:rPr>
          <w:rFonts w:ascii="Arial" w:hAnsi="Arial" w:cs="Arial"/>
        </w:rPr>
        <w:t>Atala</w:t>
      </w:r>
      <w:proofErr w:type="spellEnd"/>
      <w:r w:rsidR="0096481E" w:rsidRPr="00FC37EE">
        <w:rPr>
          <w:rFonts w:ascii="Arial" w:hAnsi="Arial" w:cs="Arial"/>
        </w:rPr>
        <w:t xml:space="preserve"> Riffo y niñas vs. Chile, en su </w:t>
      </w:r>
      <w:r w:rsidR="0096481E" w:rsidRPr="00FC37EE">
        <w:rPr>
          <w:rFonts w:ascii="Arial" w:hAnsi="Arial" w:cs="Arial"/>
        </w:rPr>
        <w:lastRenderedPageBreak/>
        <w:t>sentencia del 24 de febrero del 2012, párrafo 91, precisa que la identidad de género resulta ser una categoría protegida por la Convención Americana de Derechos Humanos, por lo cual se encuentra proscrita toda norma, acto o práctica discriminatoria en la orientación de la persona o en la identidad de género.</w:t>
      </w:r>
    </w:p>
    <w:p w14:paraId="5D6292AA" w14:textId="1FB3D870" w:rsidR="0096481E" w:rsidRPr="00FC37EE" w:rsidRDefault="00AE0130" w:rsidP="0096481E">
      <w:pPr>
        <w:tabs>
          <w:tab w:val="center" w:pos="9498"/>
        </w:tabs>
        <w:spacing w:after="240" w:line="360" w:lineRule="auto"/>
        <w:jc w:val="both"/>
        <w:rPr>
          <w:rFonts w:ascii="Arial" w:hAnsi="Arial" w:cs="Arial"/>
        </w:rPr>
      </w:pPr>
      <w:r>
        <w:rPr>
          <w:rFonts w:ascii="Arial" w:hAnsi="Arial" w:cs="Arial"/>
        </w:rPr>
        <w:t xml:space="preserve">      </w:t>
      </w:r>
      <w:r w:rsidR="0096481E" w:rsidRPr="00FC37EE">
        <w:rPr>
          <w:rFonts w:ascii="Arial" w:hAnsi="Arial" w:cs="Arial"/>
        </w:rPr>
        <w:t>En dicha dirección de pensamiento se reconoce que existen precedentes jurisdiccionales de diversos tribunales extranjeros, así como legislaciones que han desarrollado el tema de la identidad de género y del cambio de sexo registral. De la apreciación de estos precedentes y antecedentes, según el voto singular, si bien existen variaciones en lo tocante a los requisitos exigidos para su procedencia, se puede identificar la presencia de determinados elementos comunes que suponen una continuidad en el diálogo jurisdiccional y legal.</w:t>
      </w:r>
    </w:p>
    <w:p w14:paraId="29A17846" w14:textId="7FB19083"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Los mencionados elementos comunes permiten entender la identidad de género como un concepto “que no sólo comprende el aspecto morfológico o biológico del sexo, sino que acoge elementos sociales y culturales en la comprensión del género al que se pertenece”. Además, también es común el valor otorgado a la subjetividad del sujeto en la identificación del género, así como la preponderancia que se concede a la libertad de autodefinirse como perteneciente a determinado género. De mismo modo se resalta la preponderancia otorgada a la libertad “de autodefinirse como perteneciente a determinado género”.</w:t>
      </w:r>
    </w:p>
    <w:p w14:paraId="328FDA37" w14:textId="39FE6829"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Sobre la base de la doctrina existente sobre el ser humano y la identidad personal se declara que “</w:t>
      </w:r>
      <w:r w:rsidR="0096481E" w:rsidRPr="00FC37EE">
        <w:rPr>
          <w:rFonts w:ascii="Arial" w:hAnsi="Arial" w:cs="Arial"/>
          <w:i/>
          <w:iCs/>
          <w:color w:val="000000"/>
        </w:rPr>
        <w:t>la persona es única e idéntica sólo a sí misma</w:t>
      </w:r>
      <w:r w:rsidR="0096481E" w:rsidRPr="00FC37EE">
        <w:rPr>
          <w:rFonts w:ascii="Arial" w:hAnsi="Arial" w:cs="Arial"/>
          <w:color w:val="000000"/>
        </w:rPr>
        <w:t>”, así como que “la libertad permite a cada uno elaborar intransferiblemente su propio proyecto de vida”. Se reconoce que la identidad personal “entraña una inescindible unidad psicosomática, con múltiples aristas de diversa índole vinculadas entre sí, configurando una propia manera de ser, con aspectos estáticos y dinámicos, que conlleva la necesidad de protección jurídica a dicha identidad real”.</w:t>
      </w:r>
    </w:p>
    <w:p w14:paraId="53B34014" w14:textId="1C5909C1"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En concordancia con lo expuesto por la doctrina, en el voto singular se desarrolla la diferencia entre el concepto de “identidad” con la tradicional noción de “identificación”.</w:t>
      </w:r>
    </w:p>
    <w:p w14:paraId="1EAE1FC7" w14:textId="171E7B1F"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En uno de los considerandos del voto singular se solicita el que en nuestro país se elabore una legislación que, al igual que lo que viene ocurriendo en otros </w:t>
      </w:r>
      <w:proofErr w:type="gramStart"/>
      <w:r w:rsidR="0096481E" w:rsidRPr="00FC37EE">
        <w:rPr>
          <w:rFonts w:ascii="Arial" w:hAnsi="Arial" w:cs="Arial"/>
          <w:color w:val="000000"/>
        </w:rPr>
        <w:t>países,  regule</w:t>
      </w:r>
      <w:proofErr w:type="gramEnd"/>
      <w:r w:rsidR="0096481E" w:rsidRPr="00FC37EE">
        <w:rPr>
          <w:rFonts w:ascii="Arial" w:hAnsi="Arial" w:cs="Arial"/>
          <w:color w:val="000000"/>
        </w:rPr>
        <w:t xml:space="preserve"> normativamente lo atinente al tema de la transexualidad. En verdad, coincidiendo con esta propuesta, estimamos que legislar sería, en este caso, un avance de importancia para viabilizar el sentido y práctica de lo que concierne al derecho de la identidad </w:t>
      </w:r>
      <w:r w:rsidR="0096481E" w:rsidRPr="00FC37EE">
        <w:rPr>
          <w:rFonts w:ascii="Arial" w:hAnsi="Arial" w:cs="Arial"/>
          <w:color w:val="000000"/>
        </w:rPr>
        <w:lastRenderedPageBreak/>
        <w:t>persona. De este modo se evitaría la desorientación reinante en algún sector de juristas y jueces que no valoran debidamente lo que significa para el ser humano su libertad, su vida, su identidad, su salud, su bienestar.</w:t>
      </w:r>
    </w:p>
    <w:p w14:paraId="1905C6F9" w14:textId="6914C3B3"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Es, por ello, </w:t>
      </w:r>
      <w:proofErr w:type="gramStart"/>
      <w:r w:rsidR="0096481E" w:rsidRPr="00FC37EE">
        <w:rPr>
          <w:rFonts w:ascii="Arial" w:hAnsi="Arial" w:cs="Arial"/>
          <w:color w:val="000000"/>
        </w:rPr>
        <w:t>que</w:t>
      </w:r>
      <w:proofErr w:type="gramEnd"/>
      <w:r w:rsidR="0096481E" w:rsidRPr="00FC37EE">
        <w:rPr>
          <w:rFonts w:ascii="Arial" w:hAnsi="Arial" w:cs="Arial"/>
          <w:color w:val="000000"/>
        </w:rPr>
        <w:t xml:space="preserve"> en el voto singular, sustentándose en lo recogido en sus considerandos, se declara fundada la demanda de amparo “por haberse acreditado la vulneración del derecho a la identidad de género y al reconocimiento de la personalidad jurídica” y, en consecuencia, ordena que la Municipalidad Distrital de Miraflores inscriba la anotación del cambio de sexo respectiva en la partida de nacimiento de Pamela Estela Mendoza Moreno.</w:t>
      </w:r>
    </w:p>
    <w:p w14:paraId="0DAF0258" w14:textId="134A6777"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La posición adoptada en minoría en cuanto ella protege la identidad de género del transexual y reivindica el valor que para él significa la libertad y los demás valores y derechos constitucionales que amparan su calidad de vida basada en el reconocimiento de su identidad de género.</w:t>
      </w:r>
    </w:p>
    <w:p w14:paraId="0DF9B32D" w14:textId="46E9BF6C"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El profesor Fernández </w:t>
      </w:r>
      <w:proofErr w:type="spellStart"/>
      <w:r w:rsidR="0096481E" w:rsidRPr="00FC37EE">
        <w:rPr>
          <w:rFonts w:ascii="Arial" w:hAnsi="Arial" w:cs="Arial"/>
          <w:color w:val="000000"/>
        </w:rPr>
        <w:t>Sessarego</w:t>
      </w:r>
      <w:proofErr w:type="spellEnd"/>
      <w:r w:rsidR="0096481E" w:rsidRPr="00FC37EE">
        <w:rPr>
          <w:rStyle w:val="Refdenotaalpie"/>
          <w:rFonts w:ascii="Arial" w:hAnsi="Arial" w:cs="Arial"/>
          <w:color w:val="000000"/>
        </w:rPr>
        <w:footnoteReference w:id="206"/>
      </w:r>
      <w:r w:rsidR="0096481E" w:rsidRPr="00FC37EE">
        <w:rPr>
          <w:rFonts w:ascii="Arial" w:hAnsi="Arial" w:cs="Arial"/>
          <w:color w:val="000000"/>
        </w:rPr>
        <w:t>, al analizar esta sentencia, señala que el Tribunal Constitucional ignora la existencia de los otros componentes del sexo, aparte del sexo cromosómico, los cuales, interactuado, configuran la identidad de género de la persona. Nos referimos al sexo gonadal, al hormonal, al anatómico, al psicológico y social. Si bien el sexo debe reconocerse como inmutable en cuanto a su elemento cromosómico, ello no  ocurre, por ejemplo, en cuanto a sus elementos psicológico y social. Estos, en efecto, pueden ser constitutivamente diversos al sexo cromosómico, es decir, no coincidir con este último. Los derechos constitucionales a la libertad, a la identidad, a la igualdad, a la salud y al bienestar justifican, en este caso, la adecuación sexual, la reasignación de conformidad con el sexo psicosocial sentido y vivido por la persona. El ser humano tiene el derecho de vivir su sexualidad conforme lo siente y quiere. Es su libre proyecto de vida, el sentido que sexualmente otorga a su existencia.</w:t>
      </w:r>
    </w:p>
    <w:p w14:paraId="3F5B8A95" w14:textId="0BB76BA3"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Más importante que los órganos sexuales, internos o externos, lo que sí importa e interesa prioritariamente es la calidad de vida de la persona, su bienestar. Ello significa superar el torturante y permanente drama existencial de poseer una configuración anatómica, absolutamente indeseada, desde que no coincide con el sexo sentido, deseado e intensamente vivido. El ser humano transexual es libre de proyectar su vida </w:t>
      </w:r>
      <w:r w:rsidR="0096481E" w:rsidRPr="00FC37EE">
        <w:rPr>
          <w:rFonts w:ascii="Arial" w:hAnsi="Arial" w:cs="Arial"/>
          <w:color w:val="000000"/>
        </w:rPr>
        <w:lastRenderedPageBreak/>
        <w:t>y, en razón de su salud, vivir una vida de bienestar integral. Y, además, afirmar su identidad sexual psicológica y social, de acuerdo con su vivir.</w:t>
      </w:r>
    </w:p>
    <w:p w14:paraId="35E049AD" w14:textId="2049D9EA" w:rsidR="0096481E" w:rsidRPr="00FC37EE" w:rsidRDefault="00AE0130"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Si bien el sexo biológico es invariable, lo que le interesa al Derecho es reconocer, proteger y regular en términos de valores, como los de libertad, justicia, igualdad e identidad, el sexo realmente sentido y vivido por los seres humanos. Es decir, el que tiene que ver con la manera de ser, de actuar, de expresarse, las actitudes, los gestos del ser humano. Si una persona vive como mujer es porque considera que esa es su identidad, que así la reconoce, más allá de cuáles sean sus cromosomas. Lo importante no son los cromosomas que no se ven ni los siente la persona, sino la calidad de vida, la posibilidad de ejercer la libertad para proyectar su existencia de acuerdo con el sexo sentido y vivido. Es decir, que la persona rescate su verdadera identidad, la que no depende de los cromosomas para vivir su vida sino de su libertad para ser y actuar como lo que realmente es: varón o mujer.</w:t>
      </w:r>
    </w:p>
    <w:p w14:paraId="6ADE950A" w14:textId="00F038F9" w:rsidR="0096481E" w:rsidRPr="00FC37EE"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FC37EE">
        <w:rPr>
          <w:rFonts w:ascii="Arial" w:hAnsi="Arial" w:cs="Arial"/>
        </w:rPr>
        <w:t>El problema para el derecho es el que se reconozca la identidad propia de cada persona. De lo que realmente es y actúa y comporta en la vida de relación, en lo que consiste su propia existencia, más allá de sus órganos genitales internos o externos que le son propios. En unos casos, en la mayoría de ellos, existirá coincidencia entre el sexo cromosómico y el psicosocial, mientras que, en otros, en los de la minoría, se presentará una dramática y torturante disociación entre ambos sexos, el cromosómico y el sentido y vivido. En este caso, sobre la base de valores y derechos como los de la libertad, la salud y el bienestar, el sexo vivido y sentido, es decir, el psicológico y social, es el que signa la vida y el destino del transexual.</w:t>
      </w:r>
    </w:p>
    <w:p w14:paraId="7C099AC4" w14:textId="0A07E204" w:rsidR="0096481E" w:rsidRPr="0014606F" w:rsidRDefault="0096481E" w:rsidP="0096481E">
      <w:pPr>
        <w:tabs>
          <w:tab w:val="center" w:pos="9498"/>
        </w:tabs>
        <w:spacing w:after="240" w:line="360" w:lineRule="auto"/>
        <w:jc w:val="both"/>
        <w:rPr>
          <w:rFonts w:ascii="Arial" w:hAnsi="Arial" w:cs="Arial"/>
          <w:b/>
        </w:rPr>
      </w:pPr>
      <w:r w:rsidRPr="00FC37EE">
        <w:rPr>
          <w:rFonts w:ascii="Arial" w:hAnsi="Arial" w:cs="Arial"/>
          <w:b/>
        </w:rPr>
        <w:t xml:space="preserve">2.3. </w:t>
      </w:r>
      <w:r w:rsidR="00E93EB6" w:rsidRPr="00E93EB6">
        <w:rPr>
          <w:rFonts w:ascii="Arial" w:hAnsi="Arial" w:cs="Arial"/>
          <w:b/>
        </w:rPr>
        <w:t>Sentencia en el caso “C.F.A.D.” de junio del 2014</w:t>
      </w:r>
    </w:p>
    <w:p w14:paraId="17833E87" w14:textId="2CE3ACAC"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La sentencia emitida por el Tribunal Constitucional, en junio del 2014, que merece un breve comentario, es la referida el caso conocido como C.F.A.D. Se trata de una demanda de amparo presentada contra el </w:t>
      </w:r>
      <w:proofErr w:type="gramStart"/>
      <w:r w:rsidR="0096481E" w:rsidRPr="00FC37EE">
        <w:rPr>
          <w:rFonts w:ascii="Arial" w:hAnsi="Arial" w:cs="Arial"/>
          <w:color w:val="000000"/>
        </w:rPr>
        <w:t>Director</w:t>
      </w:r>
      <w:proofErr w:type="gramEnd"/>
      <w:r w:rsidR="0096481E" w:rsidRPr="00FC37EE">
        <w:rPr>
          <w:rFonts w:ascii="Arial" w:hAnsi="Arial" w:cs="Arial"/>
          <w:color w:val="000000"/>
        </w:rPr>
        <w:t xml:space="preserve"> de Instrucción y Doctrina de la Policía Nacional del Perú. En ella el demandante solicita su reposición como alumno de la Escuela Técnica Superior de la Policía Nacional de Puente Piedra, ya que se le expulsó de ella como castigo por haber mantenido relaciones sexuales con otro alumno dentro y fuera del local de dicho centro de estudios. Esta relación entre personas del mismo sexo fue considerada por la referida Escuela como una falta muy grave contra la moral policial.</w:t>
      </w:r>
    </w:p>
    <w:p w14:paraId="2102751F" w14:textId="7E8C2DEF"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lastRenderedPageBreak/>
        <w:t xml:space="preserve">      </w:t>
      </w:r>
      <w:r w:rsidR="0096481E" w:rsidRPr="00FC37EE">
        <w:rPr>
          <w:rFonts w:ascii="Arial" w:hAnsi="Arial" w:cs="Arial"/>
          <w:color w:val="000000"/>
        </w:rPr>
        <w:t>El Tribunal Constitucional en los considerandos del fallo efectúa una valoración de los derechos fundamentales de la persona, algunos de los cuales fueron vulnerados en el caso del demandante. Así, se estimó que la homosexualidad es una legítima opción sexual, por lo que está amparada por el derecho a la libertad personal y, consecuentemente, por el derecho al libre desenvolvimiento de la personalidad. De ahí que ninguna persona puede verse limitada en su ejercicio, por lo cual cualquier mecanismo discriminatorio en este aspecto vulnera la Constitución y los derechos fundamentales de la persona.</w:t>
      </w:r>
    </w:p>
    <w:p w14:paraId="7653E2F3" w14:textId="34A930EE"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Al efecto el Tribunal establece que el atribuir que las personas homosexuales padecen de una patología, pone de manifiesto “no sólo un criterio anacrónico y retrógrado, sino violatorio de los derechos a la intimidad, al libre desenvolvimiento de la personalidad y a la identidad personal del demandante, que se configura como un trato discriminatorio”.</w:t>
      </w:r>
    </w:p>
    <w:p w14:paraId="0B36896E" w14:textId="037006C7"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Por lo demás, en el caso que comentamos se han violado, aparte de los derechos a la libertad y a la igualdad, los referidos al derecho a la identidad sexual y a su libre desarrollo. En este sentido el Tribunal considera que ninguna persona puede verse limitada en el libre desenvolvimiento de su personalidad e identidad sexual, así como que es una obligación del Estado proteger este derecho.</w:t>
      </w:r>
    </w:p>
    <w:p w14:paraId="10608D1B" w14:textId="7935F3CF"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Al lado de otros considerandos, el Tribunal Constitucional sostiene que, si lo que se busca es sancionar los actos deshonestos, resulta inconstitucional, por afectar el principio de igualdad, el que se haya previsto como conducta antijurídica deshonesta sólo aquella relación que se lleva a cabo con personas del mismo sexo.</w:t>
      </w:r>
    </w:p>
    <w:p w14:paraId="44C7CAAC" w14:textId="24403831"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El Tribunal Constitucional, sobre la base de lo anteriormente expuesto, se pronuncia amparando la demanda y ordenando la reposición del agraviado a la Escuela Técnica Superior de la Policía Nacional de Puente Piedra.</w:t>
      </w:r>
    </w:p>
    <w:p w14:paraId="6B70B55B" w14:textId="41385EFF" w:rsidR="0096481E" w:rsidRPr="00FC37EE" w:rsidRDefault="0096481E" w:rsidP="0096481E">
      <w:pPr>
        <w:tabs>
          <w:tab w:val="center" w:pos="9498"/>
        </w:tabs>
        <w:spacing w:after="240" w:line="360" w:lineRule="auto"/>
        <w:jc w:val="both"/>
        <w:rPr>
          <w:rFonts w:ascii="Arial" w:hAnsi="Arial" w:cs="Arial"/>
          <w:b/>
          <w:color w:val="000000"/>
        </w:rPr>
      </w:pPr>
      <w:r w:rsidRPr="00FC37EE">
        <w:rPr>
          <w:rFonts w:ascii="Arial" w:hAnsi="Arial" w:cs="Arial"/>
          <w:b/>
          <w:color w:val="000000"/>
        </w:rPr>
        <w:t>2.4.-Sentencia en el caso “José Antonio Álvarez Rojas” del 20 de noviembre del 2014</w:t>
      </w:r>
    </w:p>
    <w:p w14:paraId="5DEA5593" w14:textId="4771ADFE" w:rsidR="0096481E" w:rsidRPr="0021317C"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El señor Álvarez Rojas era un miembro en actividad de la Policía Nacional que se desempeñaba como Auxiliar en Enfermería. Pero su “error”, según la Institución a la que pertenecía, fue el contraer matrimonio con una persona transexual de género femenino sin pedir autorización para el efecto, como era una exigencia institucional que debió haber respetado. Como consecuencia de ello fue enviado al retiro.</w:t>
      </w:r>
    </w:p>
    <w:p w14:paraId="01E1C970" w14:textId="5AD70CE7"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lastRenderedPageBreak/>
        <w:t xml:space="preserve">        </w:t>
      </w:r>
      <w:r w:rsidR="0096481E" w:rsidRPr="00FC37EE">
        <w:rPr>
          <w:rFonts w:ascii="Arial" w:hAnsi="Arial" w:cs="Arial"/>
          <w:color w:val="000000"/>
        </w:rPr>
        <w:t>Al tomarse conocimiento por la autoridad competente de la Institución Policial del matrimonio de Álvarez con un transexual, se le sanciona disponiéndose su pase a la situación de disponibilidad para, luego, como está dicho, enviarlo al retiro. Se consideró como un hecho grave, digno de sanción, la relación de un policía con un transexual. Se trata de una incomprensión de la situación del transexual, de una discriminación contraria a la ley.</w:t>
      </w:r>
    </w:p>
    <w:p w14:paraId="4DF989C8" w14:textId="70A58F6B"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El Tribunal Constitucional consideró, con acierto en esta oportunidad, que se había atentado contra la libertad del recurrente, al impedir el libre desarrollo de su personalidad, de sus legítimas opciones de vida, las que le corresponden como un ser humano dotado de libertad. El Tribunal estimó que no es ilegítima “la opción y preferencia sexual de una persona y, a partir de allí, susceptible de sanción la relación que establezca uno de sus miembros. Por tanto, considera que es inconstitucional que el recurrente haya sido sancionado por sus supuestas relaciones “sospechosas” con un transexual”.</w:t>
      </w:r>
    </w:p>
    <w:p w14:paraId="79278B0E" w14:textId="1BC804A4"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En la sentencia se considera que “</w:t>
      </w:r>
      <w:r w:rsidR="0096481E" w:rsidRPr="00FC37EE">
        <w:rPr>
          <w:rFonts w:ascii="Arial" w:hAnsi="Arial" w:cs="Arial"/>
          <w:i/>
          <w:iCs/>
          <w:color w:val="000000"/>
        </w:rPr>
        <w:t>el derecho al libre desarrollo garantiza una libertad general de actuación del ser humano en relación con cada una de las esferas de desarrollo de la personalidad</w:t>
      </w:r>
      <w:r w:rsidR="0096481E" w:rsidRPr="00FC37EE">
        <w:rPr>
          <w:rFonts w:ascii="Arial" w:hAnsi="Arial" w:cs="Arial"/>
          <w:color w:val="000000"/>
        </w:rPr>
        <w:t>”. Una de estas esferas o parcelas de actuación del ser humano es la del derecho a su identidad y, dentro de ésta, al de su libertad sexual o de género. Son, como dice el Tribunal, “parcelas de libertad natural en determinados ámbitos de la vida, cuyo ejercicio y reconocimiento se vinculan con el concepto constitucional de persona como ser espiritual, dotada de autonomía y dignidad, y en su calidad de miembro de una comunidad de seres libres”. Debe entenderse que, en este caso, la mención de “autonomía” de parte del Tribunal corresponde a la libertad en que consiste espiritualmente el ser humano.</w:t>
      </w:r>
    </w:p>
    <w:p w14:paraId="354E111D" w14:textId="771653DA" w:rsidR="0096481E" w:rsidRPr="0014606F"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Consideramos, por nuestra parte, que el fundamento de la demanda, no invocado ni aparece tampoco en los considerandos de la sentencia, es el axioma jurídico fundamental del derecho que considera que la libertad es un </w:t>
      </w:r>
      <w:proofErr w:type="spellStart"/>
      <w:r w:rsidR="0096481E" w:rsidRPr="00FC37EE">
        <w:rPr>
          <w:rFonts w:ascii="Arial" w:hAnsi="Arial" w:cs="Arial"/>
          <w:color w:val="000000"/>
        </w:rPr>
        <w:t>prius</w:t>
      </w:r>
      <w:proofErr w:type="spellEnd"/>
      <w:r w:rsidR="0096481E" w:rsidRPr="00FC37EE">
        <w:rPr>
          <w:rFonts w:ascii="Arial" w:hAnsi="Arial" w:cs="Arial"/>
          <w:color w:val="000000"/>
        </w:rPr>
        <w:t xml:space="preserve"> de la disciplina jurídica. Por ello, el derecho es liberador, antes que sancionador. De ahí que toda conducta intersubjetiva, en aplicación del mencionado axioma fundamental, está permitida si no se atenta contra la moral social, el orden público, no se daña a terceros ni está expresamente prohibida por la ley. La libertad existencial es lo que permite a la persona ser y hacer lo que proyecta en el curso de su vida. El derecho, a través de los valores y las normas jurídicas que los acogen, aseguran el ejercicio de la libertad en tanto ésta consiste en el ser mismo del hombre. La libertad sólo puede ser ejercitada a </w:t>
      </w:r>
      <w:r w:rsidR="0096481E" w:rsidRPr="00FC37EE">
        <w:rPr>
          <w:rFonts w:ascii="Arial" w:hAnsi="Arial" w:cs="Arial"/>
          <w:color w:val="000000"/>
        </w:rPr>
        <w:lastRenderedPageBreak/>
        <w:t>plenitud en una cierta comunidad si ella está organizada en términos de justicia, cuya aplicación  asegure que cada uno y todos sus miembros actúan como seres libres. Sólo así se logrará alcanzar permanente la paz social.</w:t>
      </w:r>
    </w:p>
    <w:p w14:paraId="257CE724" w14:textId="2AA122EC" w:rsidR="0096481E" w:rsidRPr="0014606F" w:rsidRDefault="0096481E" w:rsidP="0096481E">
      <w:pPr>
        <w:tabs>
          <w:tab w:val="center" w:pos="9498"/>
        </w:tabs>
        <w:spacing w:after="240" w:line="360" w:lineRule="auto"/>
        <w:jc w:val="both"/>
        <w:rPr>
          <w:rFonts w:ascii="Arial" w:hAnsi="Arial" w:cs="Arial"/>
          <w:b/>
          <w:color w:val="000000"/>
        </w:rPr>
      </w:pPr>
      <w:r w:rsidRPr="00FC37EE">
        <w:rPr>
          <w:rFonts w:ascii="Arial" w:hAnsi="Arial" w:cs="Arial"/>
          <w:b/>
          <w:color w:val="000000"/>
        </w:rPr>
        <w:t xml:space="preserve">2.5.- </w:t>
      </w:r>
      <w:bookmarkStart w:id="4" w:name="_Hlk81981741"/>
      <w:r w:rsidRPr="00FC37EE">
        <w:rPr>
          <w:rFonts w:ascii="Arial" w:hAnsi="Arial" w:cs="Arial"/>
          <w:b/>
          <w:color w:val="000000"/>
        </w:rPr>
        <w:t>Sentencia 6040-2015-PA/TC del caso Ana Romero Saldarriaga</w:t>
      </w:r>
      <w:bookmarkEnd w:id="4"/>
    </w:p>
    <w:p w14:paraId="43BC177C" w14:textId="730DF013"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En esta sentencia se deja sin efecto la doctrina del fallo anterior para dar paso a una concepción mejor elaborada del derecho a la identidad en sus ambas vertientes, estática y dinámica. Se reconoce la existencia de un derecho a la identidad de género, como aquel que forma parte del contenido del derecho a la identidad personal.</w:t>
      </w:r>
    </w:p>
    <w:p w14:paraId="552F3448" w14:textId="3C7AE8E7" w:rsidR="0096481E" w:rsidRPr="00FC37EE"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 xml:space="preserve">En ese sentido, se dejó sin efecto la doctrina jurisprudencial anterior fijada en la STC 0139-2013-PA. En dicha sentencia, el TC estableció, como doctrina jurisprudencial, que el sexo era un elemento inmutable y que, consecuentemente, no era viable solicitar su modificación en los documentos de identidad. Esto, además, se asoció con la idea de que cualquier alteración de la identidad en función de ese criterio debía ser entendido como un «trastorno» o una «patología». </w:t>
      </w:r>
    </w:p>
    <w:p w14:paraId="0EF59350" w14:textId="73B54788" w:rsidR="0096481E" w:rsidRPr="0021317C" w:rsidRDefault="009764CC" w:rsidP="0096481E">
      <w:pPr>
        <w:tabs>
          <w:tab w:val="center" w:pos="9498"/>
        </w:tabs>
        <w:spacing w:after="240" w:line="360" w:lineRule="auto"/>
        <w:jc w:val="both"/>
        <w:rPr>
          <w:rFonts w:ascii="Arial" w:hAnsi="Arial" w:cs="Arial"/>
          <w:color w:val="000000"/>
        </w:rPr>
      </w:pPr>
      <w:r>
        <w:rPr>
          <w:rFonts w:ascii="Arial" w:hAnsi="Arial" w:cs="Arial"/>
          <w:color w:val="000000"/>
        </w:rPr>
        <w:t xml:space="preserve">         </w:t>
      </w:r>
      <w:r w:rsidR="0096481E" w:rsidRPr="00FC37EE">
        <w:rPr>
          <w:rFonts w:ascii="Arial" w:hAnsi="Arial" w:cs="Arial"/>
          <w:color w:val="000000"/>
        </w:rPr>
        <w:t>De acuerdo con el Tribunal Constitucional en esta sentencia, transexualismo debe ser entendido como una disforia de género, mas no como una patología; y en consonancia con estas evidencias, respaldadas por la jurisdicción supranacional y los criterios asumidos por los organismos internacionales, dejó sin efecto la doctrina jurisprudencial fijada en la STC 0139-2013-PA. Estableció también que es la vía civil la pertinente para efectuar esta clase de pedidos.</w:t>
      </w:r>
    </w:p>
    <w:p w14:paraId="57CD0C94" w14:textId="5FA2D710" w:rsidR="0096481E" w:rsidRPr="0014606F" w:rsidRDefault="0096481E" w:rsidP="0096481E">
      <w:pPr>
        <w:tabs>
          <w:tab w:val="center" w:pos="9498"/>
        </w:tabs>
        <w:spacing w:after="240" w:line="360" w:lineRule="auto"/>
        <w:jc w:val="both"/>
        <w:rPr>
          <w:rFonts w:ascii="Arial" w:hAnsi="Arial" w:cs="Arial"/>
          <w:b/>
          <w:bCs/>
          <w:lang w:eastAsia="it-IT"/>
        </w:rPr>
      </w:pPr>
      <w:r w:rsidRPr="00FC37EE">
        <w:rPr>
          <w:rFonts w:ascii="Arial" w:hAnsi="Arial" w:cs="Arial"/>
          <w:b/>
          <w:bCs/>
          <w:lang w:eastAsia="it-IT"/>
        </w:rPr>
        <w:t>II.- Sentencias emitidas por el Poder Judicial Peruano</w:t>
      </w:r>
    </w:p>
    <w:p w14:paraId="70BEF799" w14:textId="1FB900E7" w:rsidR="0096481E" w:rsidRPr="00FC37EE" w:rsidRDefault="0096481E" w:rsidP="00DE408C">
      <w:pPr>
        <w:tabs>
          <w:tab w:val="center" w:pos="9498"/>
        </w:tabs>
        <w:spacing w:after="240" w:line="360" w:lineRule="auto"/>
        <w:jc w:val="both"/>
        <w:rPr>
          <w:rFonts w:ascii="Arial" w:hAnsi="Arial" w:cs="Arial"/>
          <w:b/>
          <w:color w:val="000000"/>
        </w:rPr>
      </w:pPr>
      <w:r w:rsidRPr="00FC37EE">
        <w:rPr>
          <w:rFonts w:ascii="Arial" w:hAnsi="Arial" w:cs="Arial"/>
          <w:b/>
          <w:bCs/>
          <w:lang w:eastAsia="it-IT"/>
        </w:rPr>
        <w:t>2.6.- La</w:t>
      </w:r>
      <w:r w:rsidRPr="00FC37EE">
        <w:rPr>
          <w:rFonts w:ascii="Arial" w:hAnsi="Arial" w:cs="Arial"/>
          <w:b/>
          <w:color w:val="000000"/>
        </w:rPr>
        <w:t xml:space="preserve"> sentencia del 26 de febrero de 1987 del Vigésimo Segundo Juzgado Civil de Lima</w:t>
      </w:r>
    </w:p>
    <w:p w14:paraId="692D9719" w14:textId="77BFF2F7" w:rsidR="0096481E" w:rsidRPr="00FC37EE" w:rsidRDefault="0096481E" w:rsidP="0096481E">
      <w:pPr>
        <w:tabs>
          <w:tab w:val="center" w:pos="9498"/>
        </w:tabs>
        <w:spacing w:after="240" w:line="360" w:lineRule="auto"/>
        <w:jc w:val="both"/>
        <w:rPr>
          <w:rFonts w:ascii="Arial" w:hAnsi="Arial" w:cs="Arial"/>
          <w:bCs/>
          <w:lang w:eastAsia="it-IT"/>
        </w:rPr>
      </w:pPr>
      <w:r w:rsidRPr="00FC37EE">
        <w:rPr>
          <w:rFonts w:ascii="Arial" w:hAnsi="Arial" w:cs="Arial"/>
          <w:bCs/>
          <w:lang w:eastAsia="it-IT"/>
        </w:rPr>
        <w:t xml:space="preserve"> </w:t>
      </w:r>
      <w:r w:rsidR="009764CC">
        <w:rPr>
          <w:rFonts w:ascii="Arial" w:hAnsi="Arial" w:cs="Arial"/>
          <w:bCs/>
          <w:lang w:eastAsia="it-IT"/>
        </w:rPr>
        <w:t xml:space="preserve">        </w:t>
      </w:r>
      <w:r w:rsidRPr="00FC37EE">
        <w:rPr>
          <w:rFonts w:ascii="Arial" w:hAnsi="Arial" w:cs="Arial"/>
          <w:bCs/>
          <w:lang w:eastAsia="it-IT"/>
        </w:rPr>
        <w:t xml:space="preserve">Uno de los primeros casos sobre identidad, identidad sexual y tutela de la persona transexual es la sentencia emitida el 26 de febrero de 1987 por el Vigésimo Segundo Juzgado en lo Civil de Lima, donde se pronuncia sobre el cambio de sexo, la </w:t>
      </w:r>
      <w:proofErr w:type="gramStart"/>
      <w:r w:rsidRPr="00FC37EE">
        <w:rPr>
          <w:rFonts w:ascii="Arial" w:hAnsi="Arial" w:cs="Arial"/>
          <w:bCs/>
          <w:lang w:eastAsia="it-IT"/>
        </w:rPr>
        <w:t>cual</w:t>
      </w:r>
      <w:proofErr w:type="gramEnd"/>
      <w:r w:rsidRPr="00FC37EE">
        <w:rPr>
          <w:rFonts w:ascii="Arial" w:hAnsi="Arial" w:cs="Arial"/>
          <w:bCs/>
          <w:lang w:eastAsia="it-IT"/>
        </w:rPr>
        <w:t xml:space="preserve"> al no ser apelada por el Procurador Público encargado de los asuntos del Ministerio de Justicia Peruano, quedó consentida.</w:t>
      </w:r>
    </w:p>
    <w:p w14:paraId="150A974A" w14:textId="574F7D9F" w:rsidR="0096481E" w:rsidRPr="00FC37EE" w:rsidRDefault="009764CC" w:rsidP="0096481E">
      <w:pPr>
        <w:tabs>
          <w:tab w:val="center" w:pos="9498"/>
        </w:tabs>
        <w:spacing w:after="240" w:line="360" w:lineRule="auto"/>
        <w:jc w:val="both"/>
        <w:rPr>
          <w:rFonts w:ascii="Arial" w:hAnsi="Arial" w:cs="Arial"/>
          <w:bCs/>
          <w:lang w:eastAsia="it-IT"/>
        </w:rPr>
      </w:pPr>
      <w:r>
        <w:rPr>
          <w:rFonts w:ascii="Arial" w:hAnsi="Arial" w:cs="Arial"/>
          <w:bCs/>
          <w:lang w:eastAsia="it-IT"/>
        </w:rPr>
        <w:t xml:space="preserve">        </w:t>
      </w:r>
      <w:r w:rsidR="0096481E" w:rsidRPr="00FC37EE">
        <w:rPr>
          <w:rFonts w:ascii="Arial" w:hAnsi="Arial" w:cs="Arial"/>
          <w:bCs/>
          <w:lang w:eastAsia="it-IT"/>
        </w:rPr>
        <w:t xml:space="preserve">El pronunciamiento acoge una demanda de cambio de sexo de hombre a mujer y el consiguiente cambio de prenombre. El caso trata de un transexual, soltero, que por propia decisión se sometió a una intervención quirúrgica de adecuación de caracteres </w:t>
      </w:r>
      <w:r w:rsidR="0096481E" w:rsidRPr="00FC37EE">
        <w:rPr>
          <w:rFonts w:ascii="Arial" w:hAnsi="Arial" w:cs="Arial"/>
          <w:bCs/>
          <w:lang w:eastAsia="it-IT"/>
        </w:rPr>
        <w:lastRenderedPageBreak/>
        <w:t>sexuales en una clínica de la ciudad de Lima, el 26 de junio de 1981, antes de la promulgación del código civil peruano de 1984.</w:t>
      </w:r>
    </w:p>
    <w:p w14:paraId="525AB95D" w14:textId="72B68FE2" w:rsidR="0096481E" w:rsidRPr="00FC37EE" w:rsidRDefault="009764CC" w:rsidP="0096481E">
      <w:pPr>
        <w:tabs>
          <w:tab w:val="center" w:pos="9498"/>
        </w:tabs>
        <w:spacing w:after="240" w:line="360" w:lineRule="auto"/>
        <w:jc w:val="both"/>
        <w:rPr>
          <w:rFonts w:ascii="Arial" w:hAnsi="Arial" w:cs="Arial"/>
          <w:bCs/>
          <w:lang w:eastAsia="it-IT"/>
        </w:rPr>
      </w:pPr>
      <w:r>
        <w:rPr>
          <w:rFonts w:ascii="Arial" w:hAnsi="Arial" w:cs="Arial"/>
          <w:bCs/>
          <w:lang w:eastAsia="it-IT"/>
        </w:rPr>
        <w:t xml:space="preserve">        </w:t>
      </w:r>
      <w:r w:rsidR="0096481E" w:rsidRPr="00FC37EE">
        <w:rPr>
          <w:rFonts w:ascii="Arial" w:hAnsi="Arial" w:cs="Arial"/>
          <w:bCs/>
          <w:lang w:eastAsia="it-IT"/>
        </w:rPr>
        <w:t>El demandante, cuyo prenombre era Moisés según su partida de nacimiento, solicita en su demanda la rectificación, adición y cambio del anterior prenombre por el de “Natalia Gisella” y la consecuente anotación del hecho en el registro de estado civil. El juez, de conformidad con lo opinado por el Fiscal Provincial, ordena que la demanda se entienda con el Procurador Público.</w:t>
      </w:r>
    </w:p>
    <w:p w14:paraId="7D86098F" w14:textId="69D8817B" w:rsidR="0096481E" w:rsidRPr="00FC37EE" w:rsidRDefault="009764CC" w:rsidP="0096481E">
      <w:pPr>
        <w:tabs>
          <w:tab w:val="center" w:pos="9498"/>
        </w:tabs>
        <w:spacing w:after="240" w:line="360" w:lineRule="auto"/>
        <w:jc w:val="both"/>
        <w:rPr>
          <w:rFonts w:ascii="Arial" w:hAnsi="Arial" w:cs="Arial"/>
          <w:bCs/>
          <w:lang w:eastAsia="it-IT"/>
        </w:rPr>
      </w:pPr>
      <w:r>
        <w:rPr>
          <w:rFonts w:ascii="Arial" w:hAnsi="Arial" w:cs="Arial"/>
          <w:bCs/>
          <w:lang w:eastAsia="it-IT"/>
        </w:rPr>
        <w:t xml:space="preserve">       </w:t>
      </w:r>
      <w:r w:rsidR="0096481E" w:rsidRPr="00FC37EE">
        <w:rPr>
          <w:rFonts w:ascii="Arial" w:hAnsi="Arial" w:cs="Arial"/>
          <w:bCs/>
          <w:lang w:eastAsia="it-IT"/>
        </w:rPr>
        <w:t>El juez, con la finalidad de sustentar su sentencia, parte del supuesto de que “es principio de carácter general que la evolución del derecho tiene que ir paralela a la evolución de la ciencia, a fin de regular situaciones o relaciones producidas en el ejercicio o descubrimiento de una labor científica aplicada al campo humano”. Asimismo, al sostener que no se debe permitir que en la realidad de los hechos se presenten circunstancias que “hagan discutible la situación de las personas”, aludiendo, ciertamente, al principio de certeza jurídica, considerando que “las personas deben obrar dentro del principio de libertad”</w:t>
      </w:r>
      <w:r w:rsidR="0096481E" w:rsidRPr="00FC37EE">
        <w:rPr>
          <w:rStyle w:val="Refdenotaalpie"/>
          <w:rFonts w:ascii="Arial" w:hAnsi="Arial" w:cs="Arial"/>
          <w:bCs/>
          <w:lang w:eastAsia="it-IT"/>
        </w:rPr>
        <w:footnoteReference w:id="207"/>
      </w:r>
      <w:r w:rsidR="0096481E" w:rsidRPr="00FC37EE">
        <w:rPr>
          <w:rFonts w:ascii="Arial" w:hAnsi="Arial" w:cs="Arial"/>
          <w:bCs/>
          <w:lang w:eastAsia="it-IT"/>
        </w:rPr>
        <w:t>.</w:t>
      </w:r>
    </w:p>
    <w:p w14:paraId="1A29BEEB" w14:textId="32229E92" w:rsidR="0096481E" w:rsidRPr="00FC37EE" w:rsidRDefault="009764CC" w:rsidP="0096481E">
      <w:pPr>
        <w:tabs>
          <w:tab w:val="center" w:pos="9498"/>
        </w:tabs>
        <w:spacing w:after="240" w:line="360" w:lineRule="auto"/>
        <w:jc w:val="both"/>
        <w:rPr>
          <w:rFonts w:ascii="Arial" w:hAnsi="Arial" w:cs="Arial"/>
          <w:bCs/>
          <w:lang w:eastAsia="it-IT"/>
        </w:rPr>
      </w:pPr>
      <w:r>
        <w:rPr>
          <w:rFonts w:ascii="Arial" w:hAnsi="Arial" w:cs="Arial"/>
          <w:bCs/>
          <w:lang w:eastAsia="it-IT"/>
        </w:rPr>
        <w:t xml:space="preserve">         </w:t>
      </w:r>
      <w:r w:rsidR="0096481E" w:rsidRPr="00FC37EE">
        <w:rPr>
          <w:rFonts w:ascii="Arial" w:hAnsi="Arial" w:cs="Arial"/>
          <w:bCs/>
          <w:lang w:eastAsia="it-IT"/>
        </w:rPr>
        <w:t xml:space="preserve">En efecto, el fundamento del juez en la sentencia se reconduce al marco del derecho de la persona al libre desenvolvimiento de su personalidad. Al no encontrar una norma pertinente que sustente su pronunciamiento, acude al principio general contenido en el marco constitucional peruano. No obstante, como advierte Fernández </w:t>
      </w:r>
      <w:proofErr w:type="spellStart"/>
      <w:r w:rsidR="0096481E" w:rsidRPr="00FC37EE">
        <w:rPr>
          <w:rFonts w:ascii="Arial" w:hAnsi="Arial" w:cs="Arial"/>
          <w:bCs/>
          <w:lang w:eastAsia="it-IT"/>
        </w:rPr>
        <w:t>Sessarego</w:t>
      </w:r>
      <w:proofErr w:type="spellEnd"/>
      <w:r w:rsidR="0096481E" w:rsidRPr="00FC37EE">
        <w:rPr>
          <w:rStyle w:val="Refdenotaalpie"/>
          <w:rFonts w:ascii="Arial" w:hAnsi="Arial" w:cs="Arial"/>
          <w:bCs/>
          <w:lang w:eastAsia="it-IT"/>
        </w:rPr>
        <w:footnoteReference w:id="208"/>
      </w:r>
      <w:r w:rsidR="0096481E" w:rsidRPr="00FC37EE">
        <w:rPr>
          <w:rFonts w:ascii="Arial" w:hAnsi="Arial" w:cs="Arial"/>
          <w:bCs/>
          <w:lang w:eastAsia="it-IT"/>
        </w:rPr>
        <w:t xml:space="preserve">, el juez olvida el vasto sustento legal que, respecto a la tutela de la persona humana ofrece el artículo 4 de la Constitución de 1979, vigente en ese momento (actual artículo 3 de la </w:t>
      </w:r>
      <w:r w:rsidR="0014606F" w:rsidRPr="00FC37EE">
        <w:rPr>
          <w:rFonts w:ascii="Arial" w:hAnsi="Arial" w:cs="Arial"/>
          <w:bCs/>
          <w:lang w:eastAsia="it-IT"/>
        </w:rPr>
        <w:t>Constitución Peruana</w:t>
      </w:r>
      <w:r w:rsidR="0096481E" w:rsidRPr="00FC37EE">
        <w:rPr>
          <w:rFonts w:ascii="Arial" w:hAnsi="Arial" w:cs="Arial"/>
          <w:bCs/>
          <w:lang w:eastAsia="it-IT"/>
        </w:rPr>
        <w:t xml:space="preserve"> de 1993). El referido artículo dispone que “la enumeración de los derechos reconocidos en este capítulo no excluye los demás que la Constitución garantiza, ni otros de análoga o que deriven de la dignidad del hombre, del principio de soberanía del pueblo, del Estado social y democrático de derecho y de la forma republicana de gobierno”. Es decir, la Constitución establece que la ausencia de un expreso derecho subjetivo consignado en el ordenamiento jurídico no debe impedir la tutela de un interés de la persona, que se fundamente en su propia dignidad humana.</w:t>
      </w:r>
    </w:p>
    <w:p w14:paraId="4E8DFC89" w14:textId="06175474" w:rsidR="0096481E" w:rsidRPr="002A0287" w:rsidRDefault="009764CC" w:rsidP="0096481E">
      <w:pPr>
        <w:tabs>
          <w:tab w:val="center" w:pos="9498"/>
        </w:tabs>
        <w:spacing w:after="240" w:line="360" w:lineRule="auto"/>
        <w:jc w:val="both"/>
        <w:rPr>
          <w:rFonts w:ascii="Arial" w:hAnsi="Arial" w:cs="Arial"/>
          <w:bCs/>
          <w:sz w:val="24"/>
          <w:szCs w:val="24"/>
          <w:lang w:eastAsia="it-IT"/>
        </w:rPr>
      </w:pPr>
      <w:r>
        <w:rPr>
          <w:rFonts w:ascii="Arial" w:hAnsi="Arial" w:cs="Arial"/>
          <w:bCs/>
          <w:lang w:eastAsia="it-IT"/>
        </w:rPr>
        <w:lastRenderedPageBreak/>
        <w:t xml:space="preserve">       </w:t>
      </w:r>
      <w:r w:rsidR="0096481E" w:rsidRPr="00FC37EE">
        <w:rPr>
          <w:rFonts w:ascii="Arial" w:hAnsi="Arial" w:cs="Arial"/>
          <w:bCs/>
          <w:lang w:eastAsia="it-IT"/>
        </w:rPr>
        <w:t>Al amparar la demanda respecto al cambio de sexo, el juez estimó que de este hecho derivada la rectificación del nombre del recurrente a fin de hacerlo acorde con su sexo, por lo que procedió a ordenar al Consejo Provincial de Lima para que no solo modificara en la correspondiente partida del registro civil el sexo del recurrente, sino que también se rectificara y adicionara su prenombre</w:t>
      </w:r>
      <w:r w:rsidR="0096481E" w:rsidRPr="002A0287">
        <w:rPr>
          <w:rFonts w:ascii="Arial" w:hAnsi="Arial" w:cs="Arial"/>
          <w:bCs/>
          <w:sz w:val="24"/>
          <w:szCs w:val="24"/>
          <w:lang w:eastAsia="it-IT"/>
        </w:rPr>
        <w:t>.</w:t>
      </w:r>
    </w:p>
    <w:p w14:paraId="7EBE7F6B" w14:textId="25349A4B" w:rsidR="00DE408C" w:rsidRPr="002A0287" w:rsidRDefault="009764CC" w:rsidP="0070300A">
      <w:pPr>
        <w:tabs>
          <w:tab w:val="center" w:pos="9498"/>
        </w:tabs>
        <w:spacing w:after="240" w:line="360" w:lineRule="auto"/>
        <w:jc w:val="both"/>
        <w:rPr>
          <w:rFonts w:ascii="Arial" w:hAnsi="Arial" w:cs="Arial"/>
          <w:bCs/>
          <w:sz w:val="24"/>
          <w:szCs w:val="24"/>
          <w:lang w:eastAsia="it-IT"/>
        </w:rPr>
      </w:pPr>
      <w:r>
        <w:rPr>
          <w:rFonts w:ascii="Arial" w:hAnsi="Arial" w:cs="Arial"/>
          <w:bCs/>
          <w:sz w:val="24"/>
          <w:szCs w:val="24"/>
          <w:lang w:eastAsia="it-IT"/>
        </w:rPr>
        <w:t xml:space="preserve">      </w:t>
      </w:r>
      <w:r w:rsidR="0096481E" w:rsidRPr="009764CC">
        <w:rPr>
          <w:rFonts w:ascii="Arial" w:hAnsi="Arial" w:cs="Arial"/>
          <w:bCs/>
          <w:lang w:eastAsia="it-IT"/>
        </w:rPr>
        <w:t>Esta sentencia no fue apelada por el Procurador Público encargado de los asuntos del Ministerio de Justicia por lo que, lamentablemente, no pudo conocerse los puntos de vista que sobre el cambio de sexo pudieron haber tenido los magistrados peruanos de las instancias superiores, como anota bien la doctrina</w:t>
      </w:r>
      <w:r w:rsidR="0096481E" w:rsidRPr="002A0287">
        <w:rPr>
          <w:rStyle w:val="Refdenotaalpie"/>
          <w:rFonts w:ascii="Arial" w:hAnsi="Arial" w:cs="Arial"/>
          <w:bCs/>
          <w:sz w:val="24"/>
          <w:szCs w:val="24"/>
          <w:lang w:eastAsia="it-IT"/>
        </w:rPr>
        <w:footnoteReference w:id="209"/>
      </w:r>
      <w:r w:rsidR="0096481E" w:rsidRPr="002A0287">
        <w:rPr>
          <w:rFonts w:ascii="Arial" w:hAnsi="Arial" w:cs="Arial"/>
          <w:bCs/>
          <w:sz w:val="24"/>
          <w:szCs w:val="24"/>
          <w:lang w:eastAsia="it-IT"/>
        </w:rPr>
        <w:t xml:space="preserve">. </w:t>
      </w:r>
    </w:p>
    <w:p w14:paraId="47C07C6C" w14:textId="197F8E48" w:rsidR="0096481E" w:rsidRPr="0014606F" w:rsidRDefault="0096481E" w:rsidP="0096481E">
      <w:pPr>
        <w:tabs>
          <w:tab w:val="center" w:pos="9498"/>
        </w:tabs>
        <w:spacing w:after="240" w:line="360" w:lineRule="auto"/>
        <w:jc w:val="both"/>
        <w:rPr>
          <w:rFonts w:ascii="Arial" w:hAnsi="Arial" w:cs="Arial"/>
          <w:b/>
          <w:color w:val="000000"/>
          <w:sz w:val="24"/>
          <w:szCs w:val="24"/>
        </w:rPr>
      </w:pPr>
      <w:r w:rsidRPr="002A0287">
        <w:rPr>
          <w:rFonts w:ascii="Arial" w:hAnsi="Arial" w:cs="Arial"/>
          <w:b/>
          <w:color w:val="000000"/>
          <w:sz w:val="24"/>
          <w:szCs w:val="24"/>
        </w:rPr>
        <w:t>2.7.- La sentencia en el caso Carlos Humberto Aldana Pineda del 2006</w:t>
      </w:r>
    </w:p>
    <w:p w14:paraId="3E720F61" w14:textId="09127D71" w:rsidR="0096481E" w:rsidRPr="009764CC" w:rsidRDefault="009764CC" w:rsidP="0096481E">
      <w:pPr>
        <w:tabs>
          <w:tab w:val="center" w:pos="9498"/>
        </w:tabs>
        <w:spacing w:after="240" w:line="360" w:lineRule="auto"/>
        <w:jc w:val="both"/>
        <w:rPr>
          <w:rFonts w:ascii="Arial" w:hAnsi="Arial" w:cs="Arial"/>
          <w:bCs/>
          <w:lang w:eastAsia="it-IT"/>
        </w:rPr>
      </w:pPr>
      <w:r>
        <w:rPr>
          <w:rFonts w:ascii="Arial" w:hAnsi="Arial" w:cs="Arial"/>
          <w:bCs/>
          <w:sz w:val="24"/>
          <w:szCs w:val="24"/>
          <w:lang w:eastAsia="it-IT"/>
        </w:rPr>
        <w:t xml:space="preserve">         </w:t>
      </w:r>
      <w:r w:rsidR="0096481E" w:rsidRPr="009764CC">
        <w:rPr>
          <w:rFonts w:ascii="Arial" w:hAnsi="Arial" w:cs="Arial"/>
          <w:bCs/>
          <w:lang w:eastAsia="it-IT"/>
        </w:rPr>
        <w:t>En otro acertado fallo sobre la identidad, en este caso sexual, el Décimo Sexto Juzgado Especializado en los Civil de Lima, luego de valiosos considerandos sobre la libertad, los derechos a la identidad, a la igualdad, a la salud y a la no discriminación, premunido de abundante contenido doctrinario, declara fundada la demanda interpuesta por Néstor Harry Cárdenas Calderón de reconocimiento de pertenecer al género femenino no obstante haber nacido como varón. La acción está dirigida contra el Ministerio Público.</w:t>
      </w:r>
    </w:p>
    <w:p w14:paraId="38C4D567" w14:textId="451C29F7" w:rsidR="0096481E" w:rsidRPr="009764CC" w:rsidRDefault="009764CC" w:rsidP="0096481E">
      <w:pPr>
        <w:tabs>
          <w:tab w:val="center" w:pos="9498"/>
        </w:tabs>
        <w:spacing w:after="240" w:line="360" w:lineRule="auto"/>
        <w:jc w:val="both"/>
        <w:rPr>
          <w:rFonts w:ascii="Arial" w:hAnsi="Arial" w:cs="Arial"/>
          <w:bCs/>
          <w:lang w:eastAsia="it-IT"/>
        </w:rPr>
      </w:pPr>
      <w:r w:rsidRPr="009764CC">
        <w:rPr>
          <w:rFonts w:ascii="Arial" w:hAnsi="Arial" w:cs="Arial"/>
          <w:bCs/>
          <w:lang w:eastAsia="it-IT"/>
        </w:rPr>
        <w:t xml:space="preserve">         </w:t>
      </w:r>
      <w:r w:rsidR="0096481E" w:rsidRPr="009764CC">
        <w:rPr>
          <w:rFonts w:ascii="Arial" w:hAnsi="Arial" w:cs="Arial"/>
          <w:bCs/>
          <w:lang w:eastAsia="it-IT"/>
        </w:rPr>
        <w:t xml:space="preserve">La sentencia tiene como fecha de su expedición el 9 de julio del año 2008. Es decir, después de dos años de haberse dictado la sentencia de la Corte Superior de Lima Norte, la cual hemos comentado brevemente en páginas anteriores. Es del caso advertir que entre la fecha de la Constitución de 1993 y la sentencia de la Corte Superior de Lima Norte hubo que esperar que transcurrieran trece años y entre tal Constitución y la sentencia del Décimo Sexto Juzgado Especializado en lo Civil de Lima hubo que esperar quince años. Este hecho justifica lo que hemos sostenido en relación con la tardanza en el reconocimiento doctrinario y judicial de la identidad personal en </w:t>
      </w:r>
      <w:r w:rsidRPr="009764CC">
        <w:rPr>
          <w:rFonts w:ascii="Arial" w:hAnsi="Arial" w:cs="Arial"/>
          <w:bCs/>
          <w:lang w:eastAsia="it-IT"/>
        </w:rPr>
        <w:t>el Perú</w:t>
      </w:r>
      <w:r w:rsidR="0096481E" w:rsidRPr="009764CC">
        <w:rPr>
          <w:rFonts w:ascii="Arial" w:hAnsi="Arial" w:cs="Arial"/>
          <w:bCs/>
          <w:lang w:eastAsia="it-IT"/>
        </w:rPr>
        <w:t>.</w:t>
      </w:r>
    </w:p>
    <w:p w14:paraId="723BB019" w14:textId="205EAD91"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La sentencia bajo comentario merece una atenta lectura y consecuente reflexión para quienes aún no han penetrado suficientemente en el tema referido a la identidad sexual, en este caso referido al de los transexuales, es decir, el de aquellas personas que sufren una disforia de género, una disociación entre su sexo y el género al cual se sienten pertenecer y conforme al cual despliegan su existencia.</w:t>
      </w:r>
    </w:p>
    <w:p w14:paraId="7E12382A" w14:textId="08905CCC" w:rsidR="0096481E" w:rsidRPr="002A0287" w:rsidRDefault="009764CC" w:rsidP="0096481E">
      <w:pPr>
        <w:tabs>
          <w:tab w:val="center" w:pos="9498"/>
        </w:tabs>
        <w:spacing w:after="240" w:line="360" w:lineRule="auto"/>
        <w:jc w:val="both"/>
        <w:rPr>
          <w:rFonts w:ascii="Arial" w:hAnsi="Arial" w:cs="Arial"/>
        </w:rPr>
      </w:pPr>
      <w:r>
        <w:rPr>
          <w:rFonts w:ascii="Arial" w:hAnsi="Arial" w:cs="Arial"/>
        </w:rPr>
        <w:lastRenderedPageBreak/>
        <w:t xml:space="preserve">          </w:t>
      </w:r>
      <w:r w:rsidR="0096481E" w:rsidRPr="002A0287">
        <w:rPr>
          <w:rFonts w:ascii="Arial" w:hAnsi="Arial" w:cs="Arial"/>
        </w:rPr>
        <w:t>El demandante nació en la ciudad de Iquitos en el año de un mil novecientos cincuenta y nueve. En su partida de nacimiento, inscrita en la Municipalidad Provincial de Maynas, se consigna su sexo como masculino. Sin embargo, a través del tiempo, según sus propias palabras, sintió que no existía correspondencia entre su sexo estático y su sexo dinámico. Es decir, que asumió, de manera natural y como una faceta más de su personalidad, una identidad femenina. De ahí que en toda su vida ha considerado como propio el sexo femenino, como una parte indesligable de su naturaleza.</w:t>
      </w:r>
    </w:p>
    <w:p w14:paraId="1C018EC8" w14:textId="6DF7ADAA"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Ante dicha situación decidió someterse a una intervención quirúrgica de adecuación de sus órganos genitales masculinos a su verdadera identidad sexual femenina. La intervención se realizó en Lima en la Clínica Santa Beatriz el veintiuno de noviembre del año dos mil uno.  Luego de esta operación se inició su proceso de rehabilitación. El trece de marzo del dos mil dos se expide por el médico David Ruiz Vela, que tuvo a su cargo la mencionada intervención, un certificado en el cual consta que sus órganos genitales guardan concordancia con su identidad sexual femenina.</w:t>
      </w:r>
    </w:p>
    <w:p w14:paraId="02CF5B50" w14:textId="21572566"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En cuanto a la intervención quirúrgica en referencia, el Juzgado considera que la decisión debe ser tomada personalmente por el transexual sin intervención de médicos o asesores. La persona es la única que puede autorizar invasiones o intervenciones sobre su cuerpo. La decisión del transexual debe producirse después de haber recibido el máximo de información posible y asumiendo las consecuencias de sus decisiones. En este aspecto somos de la opinión que debería procederse, antes de la intervención quirúrgica, a una evaluación psicológica y psiquiátrica para tener la certeza de sus inclinaciones sexuales. Ello, para tener la mayor seguridad sobre su equilibrio psíquico, a fin de evitar que en un futuro el transexual se arrepienta de la decisión adoptada, no obstante que consideramos que la situación que proponemos es probablemente una hipótesis que difícilmente se pueda convertir en un hecho en la vida real. Es decir, es casi improbable que ocurra tal arrepentimiento.</w:t>
      </w:r>
    </w:p>
    <w:p w14:paraId="67EEB891" w14:textId="52454B69"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El tres de mayo del dos mil tres se expide el certificado médico suscrito por el psiquiatra Moisés Ponce Malaver quien, luego del período post operatorio, en el cual declara que el recurrente goza de buena salud física y mental. Que la relación existente entre su identidad emocional y su identidad física no guarda ningún tipo de conflicto, sino que son compatibles. Es mujer desde el punto de vista psicológico y fisiológico y sólo resta que el sistema legal reconozca esta situación.</w:t>
      </w:r>
    </w:p>
    <w:p w14:paraId="3E137166" w14:textId="7DC3B483" w:rsidR="0096481E" w:rsidRPr="002A0287" w:rsidRDefault="009764CC" w:rsidP="0096481E">
      <w:pPr>
        <w:tabs>
          <w:tab w:val="center" w:pos="9498"/>
        </w:tabs>
        <w:spacing w:after="240" w:line="360" w:lineRule="auto"/>
        <w:jc w:val="both"/>
        <w:rPr>
          <w:rFonts w:ascii="Arial" w:hAnsi="Arial" w:cs="Arial"/>
        </w:rPr>
      </w:pPr>
      <w:r>
        <w:rPr>
          <w:rFonts w:ascii="Arial" w:hAnsi="Arial" w:cs="Arial"/>
        </w:rPr>
        <w:lastRenderedPageBreak/>
        <w:t xml:space="preserve">      </w:t>
      </w:r>
      <w:r w:rsidR="0096481E" w:rsidRPr="002A0287">
        <w:rPr>
          <w:rFonts w:ascii="Arial" w:hAnsi="Arial" w:cs="Arial"/>
        </w:rPr>
        <w:t>La fundamentación legal que asume el Juzgado para dictar sentencia es amplia y detallada, tanto en lo que corresponde al ordenamiento jurídico nacional como en el de las instancias internacionales. En el primer caso se cita los artículos 138° y el numeral 8 del artículo 139° de la Constitución Política peruana de 1993 mediante los cuales se prescribe que los jueces administran justicia con arreglo a la Constitución y que están obligados a emitir sentencia aún el caso de vacío o deficiencia de la ley. En relación con este mandato constitucional se cita el artículo 3° de la citada Constitución que establece que los derechos en ella establecidos en el Capítulo respectivo no excluye los demás que dicho cuerpo legal garantiza, ni otros de naturaleza análoga que se fundan en la dignidad del ser humano.</w:t>
      </w:r>
    </w:p>
    <w:p w14:paraId="0AF21EBD" w14:textId="72642E99"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El Juzgado se ampara también en los artículos 2° y 29° de la Declaración Universal de los Derechos Humanos y en el artículo 11° de la Convención Americana de Derechos Humanos. Del mismo modo sustenta su pronunciamiento en el artículo 1° de la Constitución de 1993, que declara que la defensa de la persona humana es el fin supremo de la sociedad y del Estado.</w:t>
      </w:r>
    </w:p>
    <w:p w14:paraId="0591F37C" w14:textId="595B5AA8"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El Juzgado, fundándose en la doctrina vigente se refiere, extensa y adecuadamente, a los fundamentos que avalan la sentencia. De ahí que se haga referencia a la libertad, en cuanto ser del hombre y, por ello, consecuentemente a la libre decisión de la persona para proyectar su vida, que es vida de la libertad. Dicho en otras palabras, para el libre desarrollo de la personalidad de una persona que, en cuanto ser libre, decide por sí misma el rumbo de su existencia.</w:t>
      </w:r>
    </w:p>
    <w:p w14:paraId="4B367FB6" w14:textId="635DCF59"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Igual adecuado tratamiento dado a la libertad se utiliza, sustentándose en la doctrina, para el caso del derecho a la identidad personal, es decir, el derecho a ser uno mismo y no otro en su manera de pensar, de ser y hacer con y en su existencia. La libertad y la identidad, se expresa en los considerandos, permiten al ser humano proyectar su vida, “escoger opciones de acuerdo a su íntima vocación y a las posibilidades que le ofrece el mundo…” Por ello, “el devenir de los tiempos ha dejado atrás el principio de la “inmutabilidad” del sexo, debiendo concluirse por admitir, dentro de su derecho al libre desenvolvimiento de su personalidad, opte por el sexo que “siente” como propio, al cual está absolutamente “convencido” de pertenecer, el que responde a sus inclinaciones sicológicas, que se adecua con sus actitudes y costumbres”. La identidad sexual, se afirma, se enmarca dentro de la noción de identidad personal. La Constitución de 1993 protege el derecho a la identidad.</w:t>
      </w:r>
    </w:p>
    <w:p w14:paraId="04CE54A5" w14:textId="77F7D73F" w:rsidR="0096481E" w:rsidRPr="002A0287" w:rsidRDefault="009764CC" w:rsidP="0096481E">
      <w:pPr>
        <w:tabs>
          <w:tab w:val="center" w:pos="9498"/>
        </w:tabs>
        <w:spacing w:after="240" w:line="360" w:lineRule="auto"/>
        <w:jc w:val="both"/>
        <w:rPr>
          <w:rFonts w:ascii="Arial" w:hAnsi="Arial" w:cs="Arial"/>
        </w:rPr>
      </w:pPr>
      <w:r>
        <w:rPr>
          <w:rFonts w:ascii="Arial" w:hAnsi="Arial" w:cs="Arial"/>
        </w:rPr>
        <w:lastRenderedPageBreak/>
        <w:t xml:space="preserve">         </w:t>
      </w:r>
      <w:r w:rsidR="0096481E" w:rsidRPr="002A0287">
        <w:rPr>
          <w:rFonts w:ascii="Arial" w:hAnsi="Arial" w:cs="Arial"/>
        </w:rPr>
        <w:t xml:space="preserve">En los considerandos se alude también a la situación psicológica por la que atraviesa el transexual </w:t>
      </w:r>
      <w:r w:rsidRPr="002A0287">
        <w:rPr>
          <w:rFonts w:ascii="Arial" w:hAnsi="Arial" w:cs="Arial"/>
        </w:rPr>
        <w:t>antes de</w:t>
      </w:r>
      <w:r w:rsidR="0096481E" w:rsidRPr="002A0287">
        <w:rPr>
          <w:rFonts w:ascii="Arial" w:hAnsi="Arial" w:cs="Arial"/>
        </w:rPr>
        <w:t xml:space="preserve"> su reconocimiento judicial, ya sea cómo varón o como mujer. Este estado de la persona se manifiesta, según el Juzgado, por una “situación de incertidumbre, desasosiego, angustia, ya que no se logra ser lo que libremente se escogió ser es, pues, un drama existencial por resolver”.</w:t>
      </w:r>
    </w:p>
    <w:p w14:paraId="49EA9E6F" w14:textId="7A0970E3"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Las expresiones de la sentencia, anteriormente glosadas, denotan la comprensión del Juez de la causa sobre cuál es la situación dramática del transexual antes de lograr su reconocimiento judicial y social, según el caso, y poder actuar con plena naturalidad el género al que se siente pertenecer y conforme al cual despliega su existencia.</w:t>
      </w:r>
    </w:p>
    <w:p w14:paraId="48CCE250" w14:textId="179CE000"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Aparte de la libertad y la identidad, en cuanto a valores y derechos constitucionales que fundamentan la sentencia, el Juez también sustenta su fallo en el derecho a la igualdad y en el principio legal de la no discriminación que posee el demandante. Al respecto, como sucedió en los casos anteriores, el Juez explica los alcances tanto del derecho a la igualdad como al de la no discriminación.</w:t>
      </w:r>
    </w:p>
    <w:p w14:paraId="7712F6AB" w14:textId="660BD01B"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Finalmente, el Juzgado sustenta la sentencia en lo dispuesto en el artículo 7° de la Constitución vigente, el que se refiere al derecho a la salud. Al respecto manifiesta que este derecho, que posee todo ser humano, “comprende la facultad de mantener la normalidad orgánica funcional, tanto física como mental y de restablecerse cuando se presenta una perturbación en la estabilidad orgánica y funcional de su ser, lo que implica, por tanto, una acción de conservación y otra de restablecimiento”. En el caso de autos el derecho a la salud no sólo incluye la salud física sino “también la psíquica, la cual comprende necesariamente la salud sexual, pues el bienestar psicofísico del individuo sería turbado, perjudicado, si no le es reconocida su nueva identidad sexual”.</w:t>
      </w:r>
    </w:p>
    <w:p w14:paraId="2D8DF5A2" w14:textId="20EF9CCA"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El Juzgado sostiene que la dignidad de la persona implica el respeto de sus derechos. Sobre el punto efectúa una clara explicación de su dicho.</w:t>
      </w:r>
    </w:p>
    <w:p w14:paraId="3A1516E7" w14:textId="36282A5E"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En otros considerandos de la sentencia, se analiza el tema de la transexualidad o disforia de género. Se le considera como “un desacuerdo profundo entre el sexo biológico y el sexo psicológico o, dicho en otra forma, entre el sexo con el que se nace y aquel otro que la persona siente como propio”. En el considerando vigésimo tercero se diferencia la transexualidad de la homosexualidad, del travestismo, así como de la orientación sexual.</w:t>
      </w:r>
    </w:p>
    <w:p w14:paraId="561C6798" w14:textId="45869A4A" w:rsidR="0096481E" w:rsidRPr="002A0287" w:rsidRDefault="009764CC" w:rsidP="0096481E">
      <w:pPr>
        <w:tabs>
          <w:tab w:val="center" w:pos="9498"/>
        </w:tabs>
        <w:spacing w:after="240" w:line="360" w:lineRule="auto"/>
        <w:jc w:val="both"/>
        <w:rPr>
          <w:rFonts w:ascii="Arial" w:hAnsi="Arial" w:cs="Arial"/>
        </w:rPr>
      </w:pPr>
      <w:r>
        <w:rPr>
          <w:rFonts w:ascii="Arial" w:hAnsi="Arial" w:cs="Arial"/>
        </w:rPr>
        <w:lastRenderedPageBreak/>
        <w:t xml:space="preserve">       </w:t>
      </w:r>
      <w:r w:rsidR="0096481E" w:rsidRPr="002A0287">
        <w:rPr>
          <w:rFonts w:ascii="Arial" w:hAnsi="Arial" w:cs="Arial"/>
        </w:rPr>
        <w:t>En otro de los considerandos se señalan las situaciones que, a través del tiempo, se presentan en la trayectoria existencial de la persona que facilitan y permiten calificarla como un transexual. En primer término, se hace referencia al estudio psicológico, para diferenciar la singular situación psicológica del transexual de otras diversas alteraciones tales como trastornos de la personalidad, estados intersexuales y otras patologías. En segundo lugar, se consideran cuáles son los efectos del tratamiento hormonal que, tratándose del hombre, origina como resultado la aparición de las mamas, así como también se producen otros cambios menores. En el caso de las mujeres, se percibe el surgimiento de la barba, del vello y el cambio de voz. El tercer paso es el de la intervención quirúrgica.</w:t>
      </w:r>
    </w:p>
    <w:p w14:paraId="30DF0EDC" w14:textId="7DBA7085"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Si bien lo efectuado por el Juzgado es lo correcto, pueden existir también otros según los casos sometidos a su conocimiento. Así, por nuestra parte, consideramos siempre necesaria la entrevista con el Juez de la causa para que, de manera personal y directamente, converse con el transexual y pueda indagar, ampliamente, sobre aspectos de su trayectoria existencial, de sus inclinaciones y otros detalles que interesen al Juez según las particularidades de la personalidad del transexual que es entrevistado.</w:t>
      </w:r>
    </w:p>
    <w:p w14:paraId="7849E210" w14:textId="2400FC1F"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El Juzgado considera que, “no obstante practicada la intervención quirúrgica, la situación del transexual no cambiaría si no se produce el cambio de nombre y sexo en su partida de nacimiento, en su documento de identidad, en todos sus papeles”.</w:t>
      </w:r>
    </w:p>
    <w:p w14:paraId="45727F57" w14:textId="0532FA6A"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En el considerando vigésimo quinto el Juzgado procede, a su particular modo de ver, a analizar y exponer las diferencias entre sexo y género. En este sentido la noción de sexo “se aplica más a las implicancias de la sexualidad, de lo libido, y de la actividad sexual”. Por el contrario, el concepto de género “se le define como el lado asexuado del sexo”. No obstante, se afirma, que tanto el género como el sexo de todo ser humano son determinados por el sexo cromosómico. Como se aprecia, en este aspecto a nuestra manera de ver, da la impresión de que el Juzgado carecería de mayor claridad para explicar la diferencia entre los conceptos de sexo y de género.</w:t>
      </w:r>
    </w:p>
    <w:p w14:paraId="548C0C70" w14:textId="20BEB3CE"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El Juzgado, a través de varios considerandos, hace referencia y analiza las pruebas que aparecen en el expediente como válidas para fundamentar y emitir sentencia.</w:t>
      </w:r>
    </w:p>
    <w:p w14:paraId="1BC60ABE" w14:textId="58296305"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 xml:space="preserve">Es importante resaltar que el Juzgado, a pesar de reconocer, como se ha señalado en precedencia, la importancia y consecuente necesidad de un cambio de nombre en la documentación oficial del transexual, considera que no puede emitir pronunciamiento </w:t>
      </w:r>
      <w:r w:rsidR="0096481E" w:rsidRPr="002A0287">
        <w:rPr>
          <w:rFonts w:ascii="Arial" w:hAnsi="Arial" w:cs="Arial"/>
        </w:rPr>
        <w:lastRenderedPageBreak/>
        <w:t>en cuanto éste no ha sido solicitado por el demandante, “debiendo hacerlo en la vía procedimental correspondiente”. Esta omisión obligó al transexual, como apreciaremos más adelante, a iniciar una nueva acción, la misma que pudo haberse ahorrado de pedir en esta causa, como era lógico, tanto el cambio de sexo como también el de nombre.</w:t>
      </w:r>
    </w:p>
    <w:p w14:paraId="11C17C0D" w14:textId="1189C15B"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 xml:space="preserve">El Juzgado dedica un considerando a señalar las diferentes maneras de ayudar al transexual a insertarse en la sociedad, destacando todos los problemas que debe </w:t>
      </w:r>
      <w:proofErr w:type="gramStart"/>
      <w:r w:rsidR="0096481E" w:rsidRPr="002A0287">
        <w:rPr>
          <w:rFonts w:ascii="Arial" w:hAnsi="Arial" w:cs="Arial"/>
        </w:rPr>
        <w:t>superar</w:t>
      </w:r>
      <w:proofErr w:type="gramEnd"/>
      <w:r w:rsidR="0096481E" w:rsidRPr="002A0287">
        <w:rPr>
          <w:rFonts w:ascii="Arial" w:hAnsi="Arial" w:cs="Arial"/>
        </w:rPr>
        <w:t xml:space="preserve"> así como las injusticias, marginaciones y discriminaciones sufridas dada su especial situación.</w:t>
      </w:r>
    </w:p>
    <w:p w14:paraId="6B2A8D0F" w14:textId="4120E77E"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Luego de todo lo expuesto el Juzgado declaró fundada la demanda interpuesta por Néstor Harry Cárdenas Calderón sobre el reconocimiento judicial del estado actual de su identidad sexual, reconociéndosele su identidad femenina.</w:t>
      </w:r>
    </w:p>
    <w:p w14:paraId="6F4FECAE" w14:textId="15FDD413" w:rsidR="0096481E" w:rsidRPr="0014606F" w:rsidRDefault="0096481E" w:rsidP="0096481E">
      <w:pPr>
        <w:tabs>
          <w:tab w:val="center" w:pos="9498"/>
        </w:tabs>
        <w:spacing w:after="240" w:line="360" w:lineRule="auto"/>
        <w:jc w:val="both"/>
        <w:rPr>
          <w:rFonts w:ascii="Arial" w:hAnsi="Arial" w:cs="Arial"/>
          <w:b/>
        </w:rPr>
      </w:pPr>
      <w:r w:rsidRPr="002A0287">
        <w:rPr>
          <w:rFonts w:ascii="Arial" w:hAnsi="Arial" w:cs="Arial"/>
          <w:b/>
        </w:rPr>
        <w:t>2.8.- El caso de Néstor Harry Cárdenas Calderón de julio de 2008</w:t>
      </w:r>
    </w:p>
    <w:p w14:paraId="6837B1D0" w14:textId="18D4390D"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El Trigésimo Juzgado Especializado en lo Civil de Lima, mediante sentencia de veintisiete de abril del 2010, declaró fundada la demanda de cambio de nombre interpuesta por Néstor Harry Cárdenas Calderón a fin de que se modifique el suyo de manera que quede como “</w:t>
      </w:r>
      <w:proofErr w:type="spellStart"/>
      <w:r w:rsidR="0096481E" w:rsidRPr="002A0287">
        <w:rPr>
          <w:rFonts w:ascii="Arial" w:hAnsi="Arial" w:cs="Arial"/>
        </w:rPr>
        <w:t>Naamin</w:t>
      </w:r>
      <w:proofErr w:type="spellEnd"/>
      <w:r w:rsidR="0096481E" w:rsidRPr="002A0287">
        <w:rPr>
          <w:rFonts w:ascii="Arial" w:hAnsi="Arial" w:cs="Arial"/>
        </w:rPr>
        <w:t>” Cárdenas Calderón. La demanda es contra el Ministerio Público y el Registro Nacional de Identificación y Estado Civil (RENIEC).</w:t>
      </w:r>
    </w:p>
    <w:p w14:paraId="3BAD7A44" w14:textId="67248947"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 xml:space="preserve">El recurrente fundamenta su pretensión en el hecho de haber sido admitida su identidad femenina mediante sentencia del Décimo Sexto Juzgado Especializado en lo Civil de Lima de fecha nueve de julio del 2008. </w:t>
      </w:r>
    </w:p>
    <w:p w14:paraId="0938464B" w14:textId="7E49C463"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En los considerandos del fallo se hace referencia a la importancia del nombre en cuanto a la identidad personal, sobre el rol que este cumple, así como los casos en los que la ley permite su cambio. Además, se tratan algunos otros aspectos del derecho al nombre y de su precedente jurisprudencial para admitir una petición judicial relacionada con el cambio de prenombre o nombre de pila.</w:t>
      </w:r>
    </w:p>
    <w:p w14:paraId="026BFB7D" w14:textId="2383BF1A"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 xml:space="preserve">El Juzgado, analizada la prueba ofrecida y los términos de la sentencia del Décimo Sexto Especializado en lo Civil de Lima, del 2009, que declara fundada la demanda de reconocimiento de la identidad femenina del demandante pasa, a continuación, a practicar una revisión de las leyes que fundamentan su sentencia en cuanto permiten el cambio de nombre. A este efecto cita el artículo 2°, inciso 1 de la Constitución Política del Perú de 1993 por el cual se reconoce el derecho a la identidad, también lo dispuesto </w:t>
      </w:r>
      <w:r w:rsidR="0096481E" w:rsidRPr="002A0287">
        <w:rPr>
          <w:rFonts w:ascii="Arial" w:hAnsi="Arial" w:cs="Arial"/>
        </w:rPr>
        <w:lastRenderedPageBreak/>
        <w:t xml:space="preserve">en el artículo 19° del Código Civil de 1984, así </w:t>
      </w:r>
      <w:r w:rsidR="0014606F" w:rsidRPr="002A0287">
        <w:rPr>
          <w:rFonts w:ascii="Arial" w:hAnsi="Arial" w:cs="Arial"/>
        </w:rPr>
        <w:t>como lo</w:t>
      </w:r>
      <w:r w:rsidR="0096481E" w:rsidRPr="002A0287">
        <w:rPr>
          <w:rFonts w:ascii="Arial" w:hAnsi="Arial" w:cs="Arial"/>
        </w:rPr>
        <w:t xml:space="preserve"> prescrito en el artículo 29° de este cuerpo legal que autoriza el cambio o adición de nombre  por motivos justificados mediante autorización judicial. En relación con lo referido en el artículo 29°, se menciona lo que disponen los artículos 30° y 31° del Código Civil en el sentido que el cambio de nombre no altera la condición civil ni constituye prueba de filiación.</w:t>
      </w:r>
    </w:p>
    <w:p w14:paraId="039B9619" w14:textId="412959A4"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 xml:space="preserve">Se considera que el actor, en virtud del derecho a la identidad personal y de la sentencia que reconoce su identidad femenina y de la prueba ofrecida, tiene </w:t>
      </w:r>
      <w:r w:rsidR="0014606F" w:rsidRPr="002A0287">
        <w:rPr>
          <w:rFonts w:ascii="Arial" w:hAnsi="Arial" w:cs="Arial"/>
        </w:rPr>
        <w:t>el derecho</w:t>
      </w:r>
      <w:r w:rsidR="0096481E" w:rsidRPr="002A0287">
        <w:rPr>
          <w:rFonts w:ascii="Arial" w:hAnsi="Arial" w:cs="Arial"/>
        </w:rPr>
        <w:t xml:space="preserve"> al cambio de sus dos nombres de pila o prenombre de “Néstor Harry” por el único femenino de “</w:t>
      </w:r>
      <w:proofErr w:type="spellStart"/>
      <w:r w:rsidR="0096481E" w:rsidRPr="002A0287">
        <w:rPr>
          <w:rFonts w:ascii="Arial" w:hAnsi="Arial" w:cs="Arial"/>
        </w:rPr>
        <w:t>Naamin</w:t>
      </w:r>
      <w:proofErr w:type="spellEnd"/>
      <w:r w:rsidR="0096481E" w:rsidRPr="002A0287">
        <w:rPr>
          <w:rFonts w:ascii="Arial" w:hAnsi="Arial" w:cs="Arial"/>
        </w:rPr>
        <w:t>”, ello en correspondencia con el haber asumido el género femenino, debidamente reconocido por sentencia judicial.</w:t>
      </w:r>
    </w:p>
    <w:p w14:paraId="7D562D77" w14:textId="15953FAA" w:rsidR="0096481E" w:rsidRPr="0014606F"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El Juzgado, como es de rigor, procede a analizar las pruebas aportadas con la demanda. Por las consideraciones expuestas, el Juzgado declaró fundada la demanda y dispone que en la partida de nacimiento del demandante, que corre inscrita en el Registro Civil de la Municipalidad Provincial de Maynas, se cambie el nombre de “Néstor Harry”, que es el nombre de pila del titular, por el nombre “</w:t>
      </w:r>
      <w:proofErr w:type="spellStart"/>
      <w:r w:rsidR="0096481E" w:rsidRPr="002A0287">
        <w:rPr>
          <w:rFonts w:ascii="Arial" w:hAnsi="Arial" w:cs="Arial"/>
        </w:rPr>
        <w:t>Naamin</w:t>
      </w:r>
      <w:proofErr w:type="spellEnd"/>
      <w:r w:rsidR="0096481E" w:rsidRPr="002A0287">
        <w:rPr>
          <w:rFonts w:ascii="Arial" w:hAnsi="Arial" w:cs="Arial"/>
        </w:rPr>
        <w:t>”, de modo que en lo sucesivo su nombre será “</w:t>
      </w:r>
      <w:proofErr w:type="spellStart"/>
      <w:r w:rsidR="0096481E" w:rsidRPr="002A0287">
        <w:rPr>
          <w:rFonts w:ascii="Arial" w:hAnsi="Arial" w:cs="Arial"/>
        </w:rPr>
        <w:t>Naamin</w:t>
      </w:r>
      <w:proofErr w:type="spellEnd"/>
      <w:r w:rsidR="0096481E" w:rsidRPr="002A0287">
        <w:rPr>
          <w:rFonts w:ascii="Arial" w:hAnsi="Arial" w:cs="Arial"/>
        </w:rPr>
        <w:t xml:space="preserve"> Cárdenas Calderón”, cursándose los oficios pertinentes al mencionado Registro Civil de la Municipalidad Provincial de Maynas para el efecto correspondiente.</w:t>
      </w:r>
    </w:p>
    <w:p w14:paraId="241751EF" w14:textId="2BEBA1A9" w:rsidR="0096481E" w:rsidRPr="00352D8D" w:rsidRDefault="0096481E" w:rsidP="0096481E">
      <w:pPr>
        <w:tabs>
          <w:tab w:val="center" w:pos="9498"/>
        </w:tabs>
        <w:spacing w:after="240" w:line="360" w:lineRule="auto"/>
        <w:jc w:val="both"/>
        <w:rPr>
          <w:rFonts w:ascii="Arial" w:hAnsi="Arial" w:cs="Arial"/>
          <w:b/>
          <w:color w:val="000000"/>
          <w:sz w:val="24"/>
          <w:szCs w:val="24"/>
        </w:rPr>
      </w:pPr>
      <w:r w:rsidRPr="002A0287">
        <w:rPr>
          <w:rFonts w:ascii="Arial" w:hAnsi="Arial" w:cs="Arial"/>
          <w:b/>
          <w:color w:val="000000"/>
          <w:sz w:val="24"/>
          <w:szCs w:val="24"/>
        </w:rPr>
        <w:t xml:space="preserve">2.9.- Sentencia emitida por el Segundo Juzgado Civil de </w:t>
      </w:r>
      <w:proofErr w:type="spellStart"/>
      <w:r w:rsidRPr="002A0287">
        <w:rPr>
          <w:rFonts w:ascii="Arial" w:hAnsi="Arial" w:cs="Arial"/>
          <w:b/>
          <w:color w:val="000000"/>
          <w:sz w:val="24"/>
          <w:szCs w:val="24"/>
        </w:rPr>
        <w:t>Paucaparta</w:t>
      </w:r>
      <w:proofErr w:type="spellEnd"/>
      <w:r w:rsidRPr="002A0287">
        <w:rPr>
          <w:rFonts w:ascii="Arial" w:hAnsi="Arial" w:cs="Arial"/>
          <w:b/>
          <w:color w:val="000000"/>
          <w:sz w:val="24"/>
          <w:szCs w:val="24"/>
        </w:rPr>
        <w:t xml:space="preserve"> (Arequipa) del 05 de enero de 2018</w:t>
      </w:r>
    </w:p>
    <w:p w14:paraId="2DAEFE57" w14:textId="4DF4EC06"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La sentencia recaída en el expediente 05684-2016-0-0412-JR-CI-02, emitida por el Segundo Juzgado Civil de Paucarpata (Arequipa),  declaró fundada la demanda de cambio de sexo de una persona transexual, con lo que la letra «F» de sus documentos de identidad será cambiada por la «M», basándose principalmente en la sentencia recaída en el expediente 06040-2015-PA/TC, emitida hacia fines del 2016, mediante la cual el Tribunal Constitucional determinó que el transexualismo no es una patología así como reconoció el derecho a la identidad de género.</w:t>
      </w:r>
    </w:p>
    <w:p w14:paraId="2D601225" w14:textId="1BDC55FA"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 xml:space="preserve">En esta sentencia, caso seguido por A.V.G. contra el Registro Nacional de Identificación y Estado Civil, con la finalidad de que se le conceda el cambio de sexo en su partida de nacimiento y en su documento nacional de identidad (DNI). En su demanda refiere que nació como una niña, sin embargo, toda su vida se identificó como un niño, lo que generó en su persona sentimientos de rechazo, debido que siempre ha sentido una gran disconformidad entre su sexo, su psicología masculina y demás caracteres. </w:t>
      </w:r>
      <w:r w:rsidR="0096481E" w:rsidRPr="002A0287">
        <w:rPr>
          <w:rFonts w:ascii="Arial" w:hAnsi="Arial" w:cs="Arial"/>
        </w:rPr>
        <w:lastRenderedPageBreak/>
        <w:t xml:space="preserve">Atravesó por episodios de </w:t>
      </w:r>
      <w:proofErr w:type="spellStart"/>
      <w:r w:rsidR="0096481E" w:rsidRPr="002A0287">
        <w:rPr>
          <w:rFonts w:ascii="Arial" w:hAnsi="Arial" w:cs="Arial"/>
        </w:rPr>
        <w:t>bullying</w:t>
      </w:r>
      <w:proofErr w:type="spellEnd"/>
      <w:r w:rsidR="0096481E" w:rsidRPr="002A0287">
        <w:rPr>
          <w:rFonts w:ascii="Arial" w:hAnsi="Arial" w:cs="Arial"/>
        </w:rPr>
        <w:t xml:space="preserve"> escolar, y a los 17 años judicialmente procedió a su cambio de nombres de Verónica Ángela a A.A.V.G. Se ha sometido a intervenciones quirúrgicas como: extirpación de mamas y de útero, asimismo desde 2010 viene haciendo uso de testosterona. Acompaña a su demanda un certificado psicológico en el cual se refiere haber recibido atención psicológica entre los años 2007 y 2010 con diagnóstico de trastorno de la identidad.</w:t>
      </w:r>
    </w:p>
    <w:p w14:paraId="59A4D44E" w14:textId="4857E5DB" w:rsidR="0096481E" w:rsidRPr="002A0287"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Gracias a esta resolución, la persona de iniciales A.A.V.G. cambió el femenino que actualmente figura en su partida de nacimiento y en su documento nacional de identidad (DNI), al masculino con el que se identifica.</w:t>
      </w:r>
    </w:p>
    <w:p w14:paraId="58AFABC4" w14:textId="61D906D8" w:rsidR="0096481E" w:rsidRPr="007856FD" w:rsidRDefault="009764CC" w:rsidP="0096481E">
      <w:pPr>
        <w:tabs>
          <w:tab w:val="center" w:pos="9498"/>
        </w:tabs>
        <w:spacing w:after="240" w:line="360" w:lineRule="auto"/>
        <w:jc w:val="both"/>
        <w:rPr>
          <w:rFonts w:ascii="Arial" w:hAnsi="Arial" w:cs="Arial"/>
        </w:rPr>
      </w:pPr>
      <w:r>
        <w:rPr>
          <w:rFonts w:ascii="Arial" w:hAnsi="Arial" w:cs="Arial"/>
        </w:rPr>
        <w:t xml:space="preserve">        </w:t>
      </w:r>
      <w:r w:rsidR="0096481E" w:rsidRPr="002A0287">
        <w:rPr>
          <w:rFonts w:ascii="Arial" w:hAnsi="Arial" w:cs="Arial"/>
        </w:rPr>
        <w:t xml:space="preserve">El juez resolvió el pedido, concediendo el cambio de sexo al demandante. La sentencia inicia con un análisis sobre el derecho a la identidad personal y a la identidad sexual, siguiendo la tesis del </w:t>
      </w:r>
      <w:proofErr w:type="spellStart"/>
      <w:r w:rsidR="0096481E" w:rsidRPr="002A0287">
        <w:rPr>
          <w:rFonts w:ascii="Arial" w:hAnsi="Arial" w:cs="Arial"/>
        </w:rPr>
        <w:t>prof.</w:t>
      </w:r>
      <w:proofErr w:type="spellEnd"/>
      <w:r w:rsidR="0096481E" w:rsidRPr="002A0287">
        <w:rPr>
          <w:rFonts w:ascii="Arial" w:hAnsi="Arial" w:cs="Arial"/>
        </w:rPr>
        <w:t xml:space="preserve"> Carlos Fernández </w:t>
      </w:r>
      <w:proofErr w:type="spellStart"/>
      <w:r w:rsidR="0096481E" w:rsidRPr="002A0287">
        <w:rPr>
          <w:rFonts w:ascii="Arial" w:hAnsi="Arial" w:cs="Arial"/>
        </w:rPr>
        <w:t>Sessarego</w:t>
      </w:r>
      <w:proofErr w:type="spellEnd"/>
      <w:r w:rsidR="0096481E" w:rsidRPr="002A0287">
        <w:rPr>
          <w:rFonts w:ascii="Arial" w:hAnsi="Arial" w:cs="Arial"/>
        </w:rPr>
        <w:t xml:space="preserve">. Es destacable que también analiza lo referido al derecho a la libertad. En la sentencia se valora que el joven de 24 años se sintió y comportó como varón desde que tuvo uso de razón, motivo por el cual fue víctima de discriminación en el colegio. El 2010 se le diagnosticó trastorno de identidad de género. Desde ese año, inició un procedimiento de transformación corporal, inyectándose testosterona y sometiéndose a diversas operaciones. Cumplida su mayoría de edad inició un proceso judicial de cambio de nombre, que le fue favorable.  El magistrado, como se ha señalado, llega a declarar fundada la pretensión de cambio de sexo, </w:t>
      </w:r>
    </w:p>
    <w:p w14:paraId="665D5F02" w14:textId="77777777" w:rsidR="0096481E" w:rsidRPr="007856FD" w:rsidRDefault="0096481E" w:rsidP="0096481E">
      <w:pPr>
        <w:tabs>
          <w:tab w:val="center" w:pos="9498"/>
        </w:tabs>
        <w:spacing w:after="240" w:line="360" w:lineRule="auto"/>
        <w:jc w:val="both"/>
        <w:rPr>
          <w:rFonts w:ascii="Arial" w:hAnsi="Arial" w:cs="Arial"/>
          <w:b/>
        </w:rPr>
      </w:pPr>
      <w:r w:rsidRPr="007856FD">
        <w:rPr>
          <w:rFonts w:ascii="Arial" w:hAnsi="Arial" w:cs="Arial"/>
          <w:b/>
          <w:color w:val="000000"/>
        </w:rPr>
        <w:t xml:space="preserve">2.10.- </w:t>
      </w:r>
      <w:r w:rsidRPr="007856FD">
        <w:rPr>
          <w:rFonts w:ascii="Arial" w:hAnsi="Arial" w:cs="Arial"/>
          <w:b/>
        </w:rPr>
        <w:t>Sentencia del Tercer Juzgado Constitucional Transitorio de Lima del 30 de julio de 2020</w:t>
      </w:r>
    </w:p>
    <w:p w14:paraId="2712C3A4" w14:textId="26FCC151" w:rsidR="0096481E" w:rsidRPr="007856FD" w:rsidRDefault="0096481E" w:rsidP="0096481E">
      <w:pPr>
        <w:pStyle w:val="Prrafodelista"/>
        <w:spacing w:after="240" w:line="360" w:lineRule="auto"/>
        <w:ind w:left="0" w:firstLine="708"/>
        <w:jc w:val="both"/>
        <w:rPr>
          <w:rFonts w:ascii="Arial" w:hAnsi="Arial" w:cs="Arial"/>
        </w:rPr>
      </w:pPr>
      <w:r w:rsidRPr="007856FD">
        <w:rPr>
          <w:rFonts w:ascii="Arial" w:hAnsi="Arial" w:cs="Arial"/>
        </w:rPr>
        <w:t>Por otro lado, tenemos otra sentencia expedida por el juzgado especializado en lo constitucional de Lima</w:t>
      </w:r>
      <w:r w:rsidRPr="007856FD">
        <w:rPr>
          <w:rStyle w:val="Refdenotaalpie"/>
          <w:rFonts w:ascii="Arial" w:hAnsi="Arial" w:cs="Arial"/>
        </w:rPr>
        <w:footnoteReference w:id="210"/>
      </w:r>
      <w:r w:rsidRPr="007856FD">
        <w:rPr>
          <w:rFonts w:ascii="Arial" w:hAnsi="Arial" w:cs="Arial"/>
        </w:rPr>
        <w:t>, por la cual se ordenó al RENIEC</w:t>
      </w:r>
      <w:r w:rsidRPr="007856FD">
        <w:rPr>
          <w:rStyle w:val="Refdenotaalpie"/>
          <w:rFonts w:ascii="Arial" w:hAnsi="Arial" w:cs="Arial"/>
        </w:rPr>
        <w:footnoteReference w:id="211"/>
      </w:r>
      <w:r w:rsidRPr="007856FD">
        <w:rPr>
          <w:rFonts w:ascii="Arial" w:hAnsi="Arial" w:cs="Arial"/>
        </w:rPr>
        <w:t xml:space="preserve"> la elaboración de un procedimiento administrativo para el reconocimiento de la identidad de género de las personas trans e intersex. El magistrado llega a señalar cuáles deben ser </w:t>
      </w:r>
      <w:r w:rsidR="00352D8D" w:rsidRPr="007856FD">
        <w:rPr>
          <w:rFonts w:ascii="Arial" w:hAnsi="Arial" w:cs="Arial"/>
        </w:rPr>
        <w:t>las exigencias máximas para requerir</w:t>
      </w:r>
      <w:r w:rsidRPr="007856FD">
        <w:rPr>
          <w:rFonts w:ascii="Arial" w:hAnsi="Arial" w:cs="Arial"/>
        </w:rPr>
        <w:t xml:space="preserve"> para poder realizar el trámite, el cual debe ser rápido y de preferencia gratuito, no debe exigir intervenciones quirúrgicas, tratamientos hormonales e incluso admitir una categoría adicional a masculino o femenino. De tal manera que sea exigible únicamente el consentimiento libre e informado del solicitante, en una clara </w:t>
      </w:r>
      <w:r w:rsidRPr="007856FD">
        <w:rPr>
          <w:rFonts w:ascii="Arial" w:hAnsi="Arial" w:cs="Arial"/>
        </w:rPr>
        <w:lastRenderedPageBreak/>
        <w:t>muestra de atención a lo dispuesto por la Corte Interamericana de Derechos Humanos en su Opinión Consultiva OC-24/17. Cabe señalar que a través de esta sentencia se declara el estado de cosas inconstitucional, específicamente una “omisión inconstitucional”, ante la inexistencia de un procedimiento que permita el cambio de nombres, sexo e imagen en el documento de identidad conforme a los parámetros señalados por la Corte Interamericana. Reconoce que, en virtud de ello, existe una vulneración sistemática al derecho a la identidad y al libre desarrollo de la personalidad.</w:t>
      </w:r>
    </w:p>
    <w:p w14:paraId="15E84458" w14:textId="77777777" w:rsidR="0096481E" w:rsidRPr="007856FD" w:rsidRDefault="0096481E" w:rsidP="0096481E">
      <w:pPr>
        <w:pStyle w:val="Prrafodelista"/>
        <w:spacing w:after="240" w:line="360" w:lineRule="auto"/>
        <w:jc w:val="both"/>
        <w:rPr>
          <w:rFonts w:ascii="Arial" w:hAnsi="Arial" w:cs="Arial"/>
        </w:rPr>
      </w:pPr>
    </w:p>
    <w:p w14:paraId="7B60E7E3" w14:textId="276F173B" w:rsidR="009764CC" w:rsidRPr="0070300A" w:rsidRDefault="0096481E" w:rsidP="0070300A">
      <w:pPr>
        <w:pStyle w:val="Prrafodelista"/>
        <w:spacing w:after="240" w:line="360" w:lineRule="auto"/>
        <w:ind w:left="0" w:firstLine="708"/>
        <w:jc w:val="both"/>
        <w:rPr>
          <w:rFonts w:ascii="Arial" w:hAnsi="Arial" w:cs="Arial"/>
        </w:rPr>
      </w:pPr>
      <w:r w:rsidRPr="007856FD">
        <w:rPr>
          <w:rFonts w:ascii="Arial" w:hAnsi="Arial" w:cs="Arial"/>
        </w:rPr>
        <w:t>Esta reciente sentencia es una muestra de que la justicia peruana está tomando conciencia sobre las necesidades de estas poblaciones minoritarias que durante años han venido sufriendo la discriminación y vulneración de sus derechos fundamentales en el Perú. Sin embargo, no se trata de una sentencia firme dado que ha sido apelada por el RENIEC, por lo que la causa será conocida por la Sala Superior de la Corte de Justicia de Lima. Pese a ello es importante reconocer que se trata de un avance importante en materia de derechos fundamentales de grupos minoritarios históricamente desplazados, que ahora queda en manos de la Sala Superior la decisión.</w:t>
      </w:r>
    </w:p>
    <w:p w14:paraId="3843D9FF" w14:textId="2DED158F" w:rsidR="0096481E" w:rsidRPr="007856FD" w:rsidRDefault="0096481E" w:rsidP="0096481E">
      <w:pPr>
        <w:tabs>
          <w:tab w:val="center" w:pos="9498"/>
        </w:tabs>
        <w:spacing w:after="240" w:line="360" w:lineRule="auto"/>
        <w:jc w:val="both"/>
        <w:rPr>
          <w:rFonts w:ascii="Arial" w:hAnsi="Arial" w:cs="Arial"/>
          <w:b/>
          <w:color w:val="000000"/>
        </w:rPr>
      </w:pPr>
      <w:r w:rsidRPr="007856FD">
        <w:rPr>
          <w:rFonts w:ascii="Arial" w:hAnsi="Arial" w:cs="Arial"/>
          <w:b/>
          <w:color w:val="000000"/>
        </w:rPr>
        <w:t>3.- Las Bases para una legislación sobre adecuación de sexo en casos de transexualidad</w:t>
      </w:r>
    </w:p>
    <w:p w14:paraId="1E0ED97D"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 xml:space="preserve">Como lo anota el Profesor Carlos Fernández </w:t>
      </w:r>
      <w:proofErr w:type="spellStart"/>
      <w:r w:rsidRPr="007856FD">
        <w:rPr>
          <w:rFonts w:ascii="Arial" w:hAnsi="Arial" w:cs="Arial"/>
          <w:color w:val="000000"/>
        </w:rPr>
        <w:t>Sessarego</w:t>
      </w:r>
      <w:proofErr w:type="spellEnd"/>
      <w:r w:rsidRPr="007856FD">
        <w:rPr>
          <w:rStyle w:val="Refdenotaalpie"/>
          <w:rFonts w:ascii="Arial" w:hAnsi="Arial" w:cs="Arial"/>
          <w:color w:val="000000"/>
        </w:rPr>
        <w:footnoteReference w:id="212"/>
      </w:r>
      <w:r w:rsidRPr="007856FD">
        <w:rPr>
          <w:rFonts w:ascii="Arial" w:hAnsi="Arial" w:cs="Arial"/>
          <w:color w:val="000000"/>
        </w:rPr>
        <w:t>, el 26 de septiembre de 1991 se desarrollaron en Lima las Primeras Jornadas Internacionales de Derecho Civil, organizado por el Centro de Investigación Jurídica de la Facultad de Derecho de la Universidad de Lima. En la referida reunión, a nivel de un conversatorio restringido a profesores de las áreas del derecho de las personas y del de familia, se discutieron las que podrían ser, llegado el momento, bases para una legislación sobre adecuación de sexo en casos de transexualidad y consiguiente modificación del nombre</w:t>
      </w:r>
      <w:r w:rsidRPr="007856FD">
        <w:rPr>
          <w:rStyle w:val="Refdenotaalpie"/>
          <w:rFonts w:ascii="Arial" w:hAnsi="Arial" w:cs="Arial"/>
          <w:color w:val="000000"/>
        </w:rPr>
        <w:footnoteReference w:id="213"/>
      </w:r>
      <w:r w:rsidRPr="007856FD">
        <w:rPr>
          <w:rFonts w:ascii="Arial" w:hAnsi="Arial" w:cs="Arial"/>
          <w:color w:val="000000"/>
        </w:rPr>
        <w:t>.</w:t>
      </w:r>
    </w:p>
    <w:p w14:paraId="3ABA5FAF"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 xml:space="preserve">A la citada reunión asistieron como invitados los profesores latinoamericanos Gustavo </w:t>
      </w:r>
      <w:proofErr w:type="spellStart"/>
      <w:r w:rsidRPr="007856FD">
        <w:rPr>
          <w:rFonts w:ascii="Arial" w:hAnsi="Arial" w:cs="Arial"/>
          <w:color w:val="000000"/>
        </w:rPr>
        <w:t>Bossert</w:t>
      </w:r>
      <w:proofErr w:type="spellEnd"/>
      <w:r w:rsidRPr="007856FD">
        <w:rPr>
          <w:rFonts w:ascii="Arial" w:hAnsi="Arial" w:cs="Arial"/>
          <w:color w:val="000000"/>
        </w:rPr>
        <w:t xml:space="preserve">, Santos Cifuentes y Eduardo Zannoni, quienes, sobre el texto de una ponencia elaborada por Carlos Fernández </w:t>
      </w:r>
      <w:proofErr w:type="spellStart"/>
      <w:r w:rsidRPr="007856FD">
        <w:rPr>
          <w:rFonts w:ascii="Arial" w:hAnsi="Arial" w:cs="Arial"/>
          <w:color w:val="000000"/>
        </w:rPr>
        <w:t>Sessarego</w:t>
      </w:r>
      <w:proofErr w:type="spellEnd"/>
      <w:r w:rsidRPr="007856FD">
        <w:rPr>
          <w:rFonts w:ascii="Arial" w:hAnsi="Arial" w:cs="Arial"/>
          <w:color w:val="000000"/>
        </w:rPr>
        <w:t xml:space="preserve">, redactaron y aprobaron las “Bases para </w:t>
      </w:r>
      <w:r w:rsidRPr="007856FD">
        <w:rPr>
          <w:rFonts w:ascii="Arial" w:hAnsi="Arial" w:cs="Arial"/>
          <w:color w:val="000000"/>
        </w:rPr>
        <w:lastRenderedPageBreak/>
        <w:t>una legislación sobre adecuación de sexo en casos de transexualidad y consiguiente modificación del nombre”, cuya acta se transcribe a continuación:</w:t>
      </w:r>
    </w:p>
    <w:p w14:paraId="1AF59D29"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 xml:space="preserve">“En Lima, a los veintiséis días del mes de septiembre de mil novecientos noventa y uno, con ocasión de las Primeras Jornadas Internacionales de Derecho Civil, organizadas por el Centro de Investigación Jurídica de la Facultad de Derecho y Ciencias Políticas de la Universidad de Lima, para los días veinticinco, veintiséis y veintisiete de septiembre de mil novecientos noventa y uno, reunidos los profesores Santos Cifuentes, Eduardo Zannoni y Gustavo </w:t>
      </w:r>
      <w:proofErr w:type="spellStart"/>
      <w:r w:rsidRPr="007856FD">
        <w:rPr>
          <w:rFonts w:ascii="Arial" w:hAnsi="Arial" w:cs="Arial"/>
          <w:color w:val="000000"/>
        </w:rPr>
        <w:t>Bossert</w:t>
      </w:r>
      <w:proofErr w:type="spellEnd"/>
      <w:r w:rsidRPr="007856FD">
        <w:rPr>
          <w:rFonts w:ascii="Arial" w:hAnsi="Arial" w:cs="Arial"/>
          <w:color w:val="000000"/>
        </w:rPr>
        <w:t xml:space="preserve">, de la Universidad de Buenos Aires, así como el profesor Carlos Fernández </w:t>
      </w:r>
      <w:proofErr w:type="spellStart"/>
      <w:r w:rsidRPr="007856FD">
        <w:rPr>
          <w:rFonts w:ascii="Arial" w:hAnsi="Arial" w:cs="Arial"/>
          <w:color w:val="000000"/>
        </w:rPr>
        <w:t>Sessarego</w:t>
      </w:r>
      <w:proofErr w:type="spellEnd"/>
      <w:r w:rsidRPr="007856FD">
        <w:rPr>
          <w:rFonts w:ascii="Arial" w:hAnsi="Arial" w:cs="Arial"/>
          <w:color w:val="000000"/>
        </w:rPr>
        <w:t>, de la Universidad de Lima, y sobre la base de un texto presentado por este último, los asistentes dieron inicio a un amplio debate sobre la conveniencia de redactar, de manera conjunta, unas bases para una posterior propuesta legislativa sobre la adecuación de sexo en los casos de transexualismo. Luego de un amplio intercambio de opiniones, sugerencias y planteamientos, en el que participaron todos y cada uno de los académicos asistentes, los profesores convocados acordaron la redacción de las siguientes bases:</w:t>
      </w:r>
    </w:p>
    <w:p w14:paraId="5B9AE68A"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I. La identidad sexual constituye uno de los caracteres primarios de la identidad personal.</w:t>
      </w:r>
    </w:p>
    <w:p w14:paraId="608B2242"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II. En la determinación del sexo, según el estado actual de la ciencia, intervienen diversos factores: cromosómicos, genéticos, gonádicos, hormonales, genitales, psicológicos, sociales, jurídicos. A ellos se suman los anatómicos, definidos como secundarios, tales como el desarrollo pélvico o la distribución de la vellosidad.</w:t>
      </w:r>
    </w:p>
    <w:p w14:paraId="54AE2DEB" w14:textId="77777777" w:rsidR="0096481E" w:rsidRPr="007856FD" w:rsidRDefault="0096481E" w:rsidP="0096481E">
      <w:pPr>
        <w:tabs>
          <w:tab w:val="center" w:pos="9498"/>
        </w:tabs>
        <w:spacing w:after="240" w:line="360" w:lineRule="auto"/>
        <w:jc w:val="both"/>
        <w:rPr>
          <w:rFonts w:ascii="Arial" w:hAnsi="Arial" w:cs="Arial"/>
          <w:color w:val="000000"/>
        </w:rPr>
      </w:pPr>
      <w:proofErr w:type="spellStart"/>
      <w:r w:rsidRPr="007856FD">
        <w:rPr>
          <w:rFonts w:ascii="Arial" w:hAnsi="Arial" w:cs="Arial"/>
          <w:color w:val="000000"/>
        </w:rPr>
        <w:t>III.Los</w:t>
      </w:r>
      <w:proofErr w:type="spellEnd"/>
      <w:r w:rsidRPr="007856FD">
        <w:rPr>
          <w:rFonts w:ascii="Arial" w:hAnsi="Arial" w:cs="Arial"/>
          <w:color w:val="000000"/>
        </w:rPr>
        <w:t xml:space="preserve"> factores determinantes del sexo pueden agruparse en dos categorías: aquellos biológicos, con los que nace y se registra el sujeto, y los psicosociales que conforman la personalidad. Al igual que tratándose de la identidad personal, los primeros son estáticos, mientras que los segundos son dinámicos. Dentro de los biológicos, sin embargo, el único que no puede variar en el curso de la vida es el cromosómico.</w:t>
      </w:r>
    </w:p>
    <w:p w14:paraId="39247872"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IV. Dada la complejidad del sexo, se hace necesario un estudio multi e interdisciplinario.</w:t>
      </w:r>
    </w:p>
    <w:p w14:paraId="472D92B8"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V. En casos de transexualismo se presenta una disociación entre los factores determinantes biológicos y el sexo sicosocial. Se trata de hombres que, desde los primeros años de su vida, sienten y viven como mujeres, o viceversa, constituyendo un drama existencial que repercute raigalmente en el mundo interior del sujeto y en sus relaciones sociales.</w:t>
      </w:r>
    </w:p>
    <w:p w14:paraId="3A626680"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lastRenderedPageBreak/>
        <w:t>VI. Teniendo como fundamento los derechos de la persona a su libertad, a su identidad y a su salud, deben permitirse normativamente los procesos de adecuación de sexo en casos de transexualismo. Vivir una determinada sexualidad es una opción del sujeto al libre desarrollo de la personalidad.</w:t>
      </w:r>
    </w:p>
    <w:p w14:paraId="6C03052E"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VII. Son admisibles las intervenciones quirúrgicas tendentes a superar la disociación soma-sique, que presenta el transexual, en favor de esta última. Esta operación demoledora-reconstructiva, tiene como finalidad adecuar los genitales al sexo vivido.</w:t>
      </w:r>
    </w:p>
    <w:p w14:paraId="4AEA96E5"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VIII. Las intervenciones quirúrgicas de adecuación de los genitales al sexo dinámico deben adoptarse en los casos de transexualismo en los que no sean eficaces otros tipos de terapias.</w:t>
      </w:r>
    </w:p>
    <w:p w14:paraId="6624C4BC" w14:textId="2C071E63"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IX. La adecuación de sexo debe ser el resultado de un procedimiento judicial reservado, en el cual los jueces tendrán que evaluar, especialmente, los peritajes de expertos en la materia, así como entrevistarse con el recurrente para apreciar, personalmente, la dimensión del conflicto existencial vivido por el transexual e informar plenamente al peticionario de las consecuencias irreversibles a la adecuación de sexo.</w:t>
      </w:r>
    </w:p>
    <w:p w14:paraId="2B9C4F1E"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X. La autorización para la intervención quirúrgica sólo puede ser otorgada a personas no casadas. Para la modificación de la inscripción registral se requiere peritaje que demuestre la incapacidad para procrear.</w:t>
      </w:r>
    </w:p>
    <w:p w14:paraId="2693FE2D"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XI El proceso de adecuación de sexo y la consiguiente modificación del prenombre, por pertenecer a la esfera de la vida íntima del sujeto, debe ser titulados por el derecho a la reserva.</w:t>
      </w:r>
    </w:p>
    <w:p w14:paraId="168ADABE"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XII. Los deberes y derechos emergentes de las relaciones familiares del transexual, cuyo sexo le fue adecuado, no se alteran.</w:t>
      </w:r>
    </w:p>
    <w:p w14:paraId="67F66F0E"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Las bases redactadas fueron aprobadas unánimemente por los profesores convocados”.</w:t>
      </w:r>
    </w:p>
    <w:p w14:paraId="740F6997"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En el acta transcrita, que contiene las doce bases aprobadas para una futura legislación sobre adecuación de sexo y cambio de nombre, no se ha hace ilusión ni a la nacionalidad de los hipotéticos recurrentes ni a su edad, materias que se dejaron librados, llegado el caso de legislar sobre la materia, a la específica situación de cada país sudamericano.</w:t>
      </w:r>
    </w:p>
    <w:p w14:paraId="0E52A937"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lastRenderedPageBreak/>
        <w:t xml:space="preserve">En lo concierne al procedimiento que las bases establecen para la adecuación de sexo y cambio de nombre, se consideró, de acuerdo nos informa el Prof. Fernández </w:t>
      </w:r>
      <w:proofErr w:type="spellStart"/>
      <w:r w:rsidRPr="007856FD">
        <w:rPr>
          <w:rFonts w:ascii="Arial" w:hAnsi="Arial" w:cs="Arial"/>
          <w:color w:val="000000"/>
        </w:rPr>
        <w:t>Sessarego</w:t>
      </w:r>
      <w:proofErr w:type="spellEnd"/>
      <w:r w:rsidRPr="007856FD">
        <w:rPr>
          <w:rStyle w:val="Refdenotaalpie"/>
          <w:rFonts w:ascii="Arial" w:hAnsi="Arial" w:cs="Arial"/>
          <w:color w:val="000000"/>
        </w:rPr>
        <w:footnoteReference w:id="214"/>
      </w:r>
      <w:r w:rsidRPr="007856FD">
        <w:rPr>
          <w:rFonts w:ascii="Arial" w:hAnsi="Arial" w:cs="Arial"/>
          <w:color w:val="000000"/>
        </w:rPr>
        <w:t xml:space="preserve">, que debería tener dos momentos, en el primero de los cuales, luego de la actuación de la pertinente prueba </w:t>
      </w:r>
      <w:proofErr w:type="spellStart"/>
      <w:r w:rsidRPr="007856FD">
        <w:rPr>
          <w:rFonts w:ascii="Arial" w:hAnsi="Arial" w:cs="Arial"/>
          <w:color w:val="000000"/>
        </w:rPr>
        <w:t>deberíase</w:t>
      </w:r>
      <w:proofErr w:type="spellEnd"/>
      <w:r w:rsidRPr="007856FD">
        <w:rPr>
          <w:rFonts w:ascii="Arial" w:hAnsi="Arial" w:cs="Arial"/>
          <w:color w:val="000000"/>
        </w:rPr>
        <w:t xml:space="preserve"> autorizar, si fuera el caso, la intervención quirúrgica correspondiente. Producida esta operación, el recurrente debe someterse a un nuevo peritaje para comprobar si la intervención quirúrgica correspondiente. Producida esta operación, el recurrente debe someterse a un nuevo peritaje para comprobar si la intervención quirúrgica ha cumplido su finalidad de aproximar al transexual, todo lo posible, al sexo sentido y vivido. Verificada esta situación, debería resolverse la causa autorizándose el cambio registral del prenombre que hubiere propuesto el recurrente.</w:t>
      </w:r>
    </w:p>
    <w:p w14:paraId="14325110" w14:textId="77777777" w:rsidR="0096481E" w:rsidRPr="007856FD" w:rsidRDefault="0096481E" w:rsidP="0096481E">
      <w:pPr>
        <w:tabs>
          <w:tab w:val="center" w:pos="9498"/>
        </w:tabs>
        <w:spacing w:after="240" w:line="360" w:lineRule="auto"/>
        <w:jc w:val="both"/>
        <w:rPr>
          <w:rFonts w:ascii="Arial" w:hAnsi="Arial" w:cs="Arial"/>
          <w:color w:val="000000"/>
        </w:rPr>
      </w:pPr>
      <w:r w:rsidRPr="007856FD">
        <w:rPr>
          <w:rFonts w:ascii="Arial" w:hAnsi="Arial" w:cs="Arial"/>
          <w:color w:val="000000"/>
        </w:rPr>
        <w:t xml:space="preserve">Como refiere el profesor Fernández </w:t>
      </w:r>
      <w:proofErr w:type="spellStart"/>
      <w:r w:rsidRPr="007856FD">
        <w:rPr>
          <w:rFonts w:ascii="Arial" w:hAnsi="Arial" w:cs="Arial"/>
          <w:color w:val="000000"/>
        </w:rPr>
        <w:t>Sessarego</w:t>
      </w:r>
      <w:proofErr w:type="spellEnd"/>
      <w:r w:rsidRPr="007856FD">
        <w:rPr>
          <w:rFonts w:ascii="Arial" w:hAnsi="Arial" w:cs="Arial"/>
          <w:color w:val="000000"/>
        </w:rPr>
        <w:t>, en ninguna de las bases se alude expresamente a que los procesos de adecuación sexual y cambio de prenombre están limitados por las disposiciones que conciernen al orden público. Esta voluntaria omisión se debió a que se consideró que ello era un requisito necesario, en tanto el orden público constituía un principio informador de todo el ordenamiento jurídico.</w:t>
      </w:r>
    </w:p>
    <w:p w14:paraId="695CA17C" w14:textId="77777777" w:rsidR="0096481E" w:rsidRPr="007856FD" w:rsidRDefault="0096481E" w:rsidP="0096481E">
      <w:pPr>
        <w:tabs>
          <w:tab w:val="center" w:pos="9498"/>
        </w:tabs>
        <w:spacing w:after="240" w:line="360" w:lineRule="auto"/>
        <w:jc w:val="both"/>
        <w:rPr>
          <w:rFonts w:ascii="Arial" w:hAnsi="Arial" w:cs="Arial"/>
          <w:b/>
          <w:color w:val="000000"/>
        </w:rPr>
      </w:pPr>
      <w:r w:rsidRPr="007856FD">
        <w:rPr>
          <w:rFonts w:ascii="Arial" w:hAnsi="Arial" w:cs="Arial"/>
          <w:b/>
          <w:color w:val="000000"/>
        </w:rPr>
        <w:t>4.- Conclusiones</w:t>
      </w:r>
    </w:p>
    <w:p w14:paraId="21AC079D"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t xml:space="preserve">I.- </w:t>
      </w:r>
      <w:r w:rsidRPr="007856FD">
        <w:rPr>
          <w:rFonts w:ascii="Arial" w:hAnsi="Arial" w:cs="Arial"/>
          <w:color w:val="000000"/>
        </w:rPr>
        <w:tab/>
        <w:t>La identidad personal, pese a su integración social, supone ser “uno mismo” y no otro. Esta raigal y profunda faceta de la existencia, que es la “</w:t>
      </w:r>
      <w:proofErr w:type="spellStart"/>
      <w:r w:rsidRPr="007856FD">
        <w:rPr>
          <w:rFonts w:ascii="Arial" w:hAnsi="Arial" w:cs="Arial"/>
          <w:color w:val="000000"/>
        </w:rPr>
        <w:t>mísmidad</w:t>
      </w:r>
      <w:proofErr w:type="spellEnd"/>
      <w:r w:rsidRPr="007856FD">
        <w:rPr>
          <w:rFonts w:ascii="Arial" w:hAnsi="Arial" w:cs="Arial"/>
          <w:color w:val="000000"/>
        </w:rPr>
        <w:t>” del ser, se erige en un primordial interés personal que requiere la protección jurídica, al lado y de la misma manera que acontece con otros fundamentales intereses personales, tales como la vida o la libertad.</w:t>
      </w:r>
    </w:p>
    <w:p w14:paraId="5FACC549"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t xml:space="preserve">II.- </w:t>
      </w:r>
      <w:r w:rsidRPr="007856FD">
        <w:rPr>
          <w:rFonts w:ascii="Arial" w:hAnsi="Arial" w:cs="Arial"/>
          <w:color w:val="000000"/>
        </w:rPr>
        <w:tab/>
        <w:t xml:space="preserve">La “identidad” del ser humano, en cuanto ser libre, se constituye en su dimensión dinámica a través de un continuo proceso </w:t>
      </w:r>
      <w:proofErr w:type="spellStart"/>
      <w:r w:rsidRPr="007856FD">
        <w:rPr>
          <w:rFonts w:ascii="Arial" w:hAnsi="Arial" w:cs="Arial"/>
          <w:color w:val="000000"/>
        </w:rPr>
        <w:t>autocreativo</w:t>
      </w:r>
      <w:proofErr w:type="spellEnd"/>
      <w:r w:rsidRPr="007856FD">
        <w:rPr>
          <w:rFonts w:ascii="Arial" w:hAnsi="Arial" w:cs="Arial"/>
          <w:color w:val="000000"/>
        </w:rPr>
        <w:t>, mediante una sucesión de quehaceres en que consiste la existencia, así como por la adhesión a una determinada concepción del mundo. En efecto, la identidad del ser humano se va logrando, precisando, afinando, pero también cambiando en el cotidiano discurrir de la existencia.</w:t>
      </w:r>
    </w:p>
    <w:p w14:paraId="021964A7"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t xml:space="preserve">III.- </w:t>
      </w:r>
      <w:r w:rsidRPr="007856FD">
        <w:rPr>
          <w:rFonts w:ascii="Arial" w:hAnsi="Arial" w:cs="Arial"/>
          <w:color w:val="000000"/>
        </w:rPr>
        <w:tab/>
        <w:t xml:space="preserve">La identidad, no obstante ser unitaria, presenta dos vertientes. Una estática, inmodificable o con tendencia a no variar y, otra, dinámica, mutable en el tiempo. La identidad estática está dada por el genoma humano, las huellas digitales, los </w:t>
      </w:r>
      <w:r w:rsidRPr="007856FD">
        <w:rPr>
          <w:rFonts w:ascii="Arial" w:hAnsi="Arial" w:cs="Arial"/>
          <w:color w:val="000000"/>
        </w:rPr>
        <w:lastRenderedPageBreak/>
        <w:t>signos distintivos de la persona, como su nombre, imagen, estado civil, su edad y fecha de nacimiento, entre otros datos.</w:t>
      </w:r>
    </w:p>
    <w:p w14:paraId="23371A0F"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t xml:space="preserve">IV.- </w:t>
      </w:r>
      <w:r w:rsidRPr="007856FD">
        <w:rPr>
          <w:rFonts w:ascii="Arial" w:hAnsi="Arial" w:cs="Arial"/>
          <w:color w:val="000000"/>
        </w:rPr>
        <w:tab/>
        <w:t>La identidad dinámica es la que se refiere, en cambio, al despliegue temporal y fluido de la personalidad. Ella está constituida por los atributos y características de cada persona, desde los éticos, religiosos y culturales hasta los ideológicos, políticos y profesionales. Es la manera como cada ser humano se presenta ante los demás en la vida social. Ella no permanece estática, va cambiando, en cierta medida, con el correr de los años.</w:t>
      </w:r>
    </w:p>
    <w:p w14:paraId="13EF7E8E"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 xml:space="preserve">V.- </w:t>
      </w:r>
      <w:r w:rsidRPr="007856FD">
        <w:rPr>
          <w:rFonts w:ascii="Arial" w:hAnsi="Arial" w:cs="Arial"/>
          <w:color w:val="000000"/>
        </w:rPr>
        <w:tab/>
        <w:t>La situación jurídica subjetiva atinente a la identidad personal fue confundida con otros derechos de la persona que le están conceptualmente próximos. Entre éstos se cuentan, fundamentalmente, aquellos referentes a los signos distintivos -nombre, seudónimo- a la intimidad, al honor y a la reputación.</w:t>
      </w:r>
    </w:p>
    <w:p w14:paraId="65D6D48B"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t>VI.-</w:t>
      </w:r>
      <w:r w:rsidRPr="007856FD">
        <w:rPr>
          <w:rFonts w:ascii="Arial" w:hAnsi="Arial" w:cs="Arial"/>
          <w:color w:val="000000"/>
        </w:rPr>
        <w:tab/>
        <w:t xml:space="preserve"> La mayor confusión conceptual producida, tanto a nivel de la jurisprudencia como de la doctrina, es la que se presenta entre las nociones de identidad personal y signos distintivos, especialmente en lo que atañe al nombre.</w:t>
      </w:r>
    </w:p>
    <w:p w14:paraId="7DA4B2DB"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t>VII.-</w:t>
      </w:r>
      <w:r w:rsidRPr="007856FD">
        <w:rPr>
          <w:rFonts w:ascii="Arial" w:hAnsi="Arial" w:cs="Arial"/>
          <w:color w:val="000000"/>
        </w:rPr>
        <w:tab/>
        <w:t xml:space="preserve"> La identidad personal comprende ambos aspectos: el estático, que tiene que ver con los signos distintivos y con la existencia material y la condición legal o registral del sujeto (nombre, seudónimo, etc.), y la dinámica, que es el conjunto de características y rasgos de índole cultural, política, psicológica, moral de la persona, aunque advertimos que en la actual doctrina, por el afán de diferenciar ambas facetas, se tiende a reservar la noción de identidad personal para designar esta vertiente espiritual y mudable del sujeto.</w:t>
      </w:r>
    </w:p>
    <w:p w14:paraId="326E7E03"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t xml:space="preserve">VIII.- </w:t>
      </w:r>
      <w:r w:rsidRPr="007856FD">
        <w:rPr>
          <w:rFonts w:ascii="Arial" w:hAnsi="Arial" w:cs="Arial"/>
          <w:color w:val="000000"/>
        </w:rPr>
        <w:tab/>
        <w:t>La imagen constituye también uno de los signos distintivos de la persona. En ella prevalecen los rasgos físicos, la efigie del sujeto, lo exterior y fácilmente perceptible por los demás. En efecto, la imagen se erige como uno de los componentes de la identidad personal en su dimensión estática. Por esta razón es que la jurisprudencia y la doctrina, al establecer las diferencias entre los conceptos de imagen e identidad, se refieren implícitamente a esta última en su faceta dinámica.</w:t>
      </w:r>
    </w:p>
    <w:p w14:paraId="53E4F5B5"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t xml:space="preserve">IX.- </w:t>
      </w:r>
      <w:r w:rsidRPr="007856FD">
        <w:rPr>
          <w:rFonts w:ascii="Arial" w:hAnsi="Arial" w:cs="Arial"/>
          <w:color w:val="000000"/>
        </w:rPr>
        <w:tab/>
        <w:t xml:space="preserve">El derecho a la intimidad es la respuesta jurídica al interés existencial de la persona por lograr un ámbito en el cual pueda desarrollar, sin intrusiones ni injerencias de los demás, su vida privada, libre de controles, espionajes, </w:t>
      </w:r>
      <w:r w:rsidRPr="007856FD">
        <w:rPr>
          <w:rFonts w:ascii="Arial" w:hAnsi="Arial" w:cs="Arial"/>
          <w:color w:val="000000"/>
        </w:rPr>
        <w:lastRenderedPageBreak/>
        <w:t>curiosidades. Se trata de aquellas actividades y actitudes que carecen normalmente de trascendencia social. Es así intolerable para la tranquilidad espiritual, para la paz interior, para el equilibrio sicológico, estar sometido a todo tipo de intrusiones en relación con aquello que sólo tiene un particular interés para la persona o su familia.</w:t>
      </w:r>
    </w:p>
    <w:p w14:paraId="11B2F893"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 xml:space="preserve">X.- </w:t>
      </w:r>
      <w:r w:rsidRPr="007856FD">
        <w:rPr>
          <w:rFonts w:ascii="Arial" w:hAnsi="Arial" w:cs="Arial"/>
          <w:color w:val="000000"/>
        </w:rPr>
        <w:tab/>
        <w:t>La distinción entre las nociones de intimidad, de una parte, y de identidad personal, de la otra, es evidente desde que cada una de estas situaciones jurídicas subjetivas se refiere a diversos intereses existenciales cuya protección jurídica exige la persona. La intimidad tiene que ver con el complejo de los asuntos privados del sujeto, los que se sustraen, precisamente por ese carácter, de la ajena intrusión. La calidad de asuntos privados, propios de la esfera de la intimidad, son aquellos mayormente irrelevantes al público, salvo los casos específicamente enmarcados por la ley. La identidad personal, en cambio, consiste en un conjunto de conductas referidas a la actividad pública del sujeto, las que atañen a su proyección social. Es aquello que no permanece en la reserva de la vida privada, sino que se proyecta al exterior.</w:t>
      </w:r>
    </w:p>
    <w:p w14:paraId="19F6CE63"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 xml:space="preserve">XI.- </w:t>
      </w:r>
      <w:r w:rsidRPr="007856FD">
        <w:rPr>
          <w:rFonts w:ascii="Arial" w:hAnsi="Arial" w:cs="Arial"/>
          <w:color w:val="000000"/>
        </w:rPr>
        <w:tab/>
        <w:t>El derecho al honor y a la reputación tutela intereses personales contiguos, pero no coincidentes con aquel que es el contenido de la situación jurídica subjetiva atinente a la identidad individual. Una adicional nota distintiva consiste en que, para que se produzca una lesión a la identidad personal no se requiere que la inexactitud en cuanto a la “verdad personal” signifique una alteración de índole negativa, en desmedro de la calidad de la persona. Una alteración substancial de algún atributo, aun cuando resulte favorable para el sujeto, supone una lesión a la identidad. En cambio, tratándose del honor es indispensable que se ofenda el sentimiento del propio valor personal, lo que significa estar ante la presencia de una nota de carácter negativo.</w:t>
      </w:r>
    </w:p>
    <w:p w14:paraId="2C585B2C" w14:textId="5F30B429"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 xml:space="preserve">XII.- </w:t>
      </w:r>
      <w:r w:rsidR="0070300A">
        <w:rPr>
          <w:rFonts w:ascii="Arial" w:hAnsi="Arial" w:cs="Arial"/>
          <w:color w:val="000000"/>
        </w:rPr>
        <w:t xml:space="preserve">   </w:t>
      </w:r>
      <w:r w:rsidRPr="007856FD">
        <w:rPr>
          <w:rFonts w:ascii="Arial" w:hAnsi="Arial" w:cs="Arial"/>
          <w:color w:val="000000"/>
        </w:rPr>
        <w:t xml:space="preserve">El interés que tutela la reputación no es el mismo que se protege respecto del honor. La identidad personal se constituye por la proyección de la personalidad del sujeto y del conocimiento que de ella tienen los demás. Es decir, nos encontramos frente a un problema de orden gnoseológico, que atañe al conocimiento de lo que representa y significa la persona en la vida de relación. En el caso de la reputación, por el contrario, lo prevalente no es la presencia de un elemento gnoseológico, sino la valoración que de la persona se forja la colectividad. Se trata de una apreciación axiológica, de un juicio crítico. Pero, por </w:t>
      </w:r>
      <w:r w:rsidRPr="007856FD">
        <w:rPr>
          <w:rFonts w:ascii="Arial" w:hAnsi="Arial" w:cs="Arial"/>
          <w:color w:val="000000"/>
        </w:rPr>
        <w:lastRenderedPageBreak/>
        <w:t>cierto, no se prescinde de la verdad. En síntesis, además de la verdad, se tiene presente la valoración de la persona a cargo de terceros.</w:t>
      </w:r>
    </w:p>
    <w:p w14:paraId="54AE6B18"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 xml:space="preserve">XIII.- </w:t>
      </w:r>
      <w:r w:rsidRPr="007856FD">
        <w:rPr>
          <w:rFonts w:ascii="Arial" w:hAnsi="Arial" w:cs="Arial"/>
          <w:color w:val="000000"/>
        </w:rPr>
        <w:tab/>
        <w:t xml:space="preserve">Arduas discusiones en torno a la situación jurídica subjetiva relativa a la identidad personal se originan cuando los juristas afrontan la problemática referente a los reales o supuestos límites que tal situación impondría al derecho a la información, en cuanto aspecto de la denominada libertad de expresión. La identidad personal y el derecho a la información deben tutelarse dentro de un plano de igualdad jurídica. </w:t>
      </w:r>
    </w:p>
    <w:p w14:paraId="424F55D4"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XIV.- Italia es donde probablemente el derecho a la identidad ha recibido, en los últimos años, una especial atención de parte de un lúcido grupo de hombres de derecho, como consecuencia del impacto producido por una importante y aislada sentencia del año 1974, la que se erige como el primer bosquejo de lo que sería luego el derecho a la identidad personal. Es por ello que esta nueva situación jurídica subjetiva debe a la jurisprudencia su primigenia configuración.</w:t>
      </w:r>
    </w:p>
    <w:p w14:paraId="789C853F"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 xml:space="preserve">XV.- En 1974 se produce un insólito pronunciamiento judicial, en el que, por primera vez, se hace referencia a la identidad personal como un nuevo interés del ser humano digno de ser tutelado por el derecho. Es por esta razón que, la generalidad de autores que se ocupan de la materia, resalta el origen jurisprudencial de este derecho. No puede perderse de vista, sin embargo, que se debe a Adriano de </w:t>
      </w:r>
      <w:proofErr w:type="spellStart"/>
      <w:r w:rsidRPr="007856FD">
        <w:rPr>
          <w:rFonts w:ascii="Arial" w:hAnsi="Arial" w:cs="Arial"/>
          <w:color w:val="000000"/>
        </w:rPr>
        <w:t>Cupis</w:t>
      </w:r>
      <w:proofErr w:type="spellEnd"/>
      <w:r w:rsidRPr="007856FD">
        <w:rPr>
          <w:rFonts w:ascii="Arial" w:hAnsi="Arial" w:cs="Arial"/>
          <w:color w:val="000000"/>
        </w:rPr>
        <w:t xml:space="preserve"> el primer, aunque impreciso vislumbre, en cuanto al derecho a la identidad personal se refiere.</w:t>
      </w:r>
    </w:p>
    <w:p w14:paraId="27B0BCEC"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t>XVI.- Correspondió a los jueces descubrir que en el hombre se hace patente un interés existencial que, con independencia de algunos específicos derechos de la persona, como es el caso del nombre, la imagen, la intimidad o el honor, es mayormente digno de tutela jurídica como es el que corresponde a la identidad de la persona en su dinámica dimensión.</w:t>
      </w:r>
    </w:p>
    <w:p w14:paraId="424C671A"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XVII.- En lo que atañe al Perú, como se ha señalado, el inciso 1 del artículo 2° de la Constitución incorpora, por primera vez en el derecho constitucional comparado, el derecho a la identidad personal con la amplitud que nuestra doctrina ha cumplido con analizar y precisar. Es decir, superando el restringido concepto que limitaba este derecho a sólo su aspecto estático, es decir, a lo conocido como “identificación”. La noción de identidad personal abarca no sólo esta faceta sino la identidad dinámica.</w:t>
      </w:r>
    </w:p>
    <w:p w14:paraId="081C2139" w14:textId="77777777" w:rsidR="0096481E" w:rsidRPr="007856FD" w:rsidRDefault="0096481E" w:rsidP="0096481E">
      <w:pPr>
        <w:tabs>
          <w:tab w:val="center" w:pos="9498"/>
        </w:tabs>
        <w:spacing w:after="240" w:line="360" w:lineRule="auto"/>
        <w:ind w:left="709" w:hanging="709"/>
        <w:jc w:val="both"/>
        <w:rPr>
          <w:rFonts w:ascii="Arial" w:hAnsi="Arial" w:cs="Arial"/>
          <w:color w:val="000000"/>
        </w:rPr>
      </w:pPr>
      <w:r w:rsidRPr="007856FD">
        <w:rPr>
          <w:rFonts w:ascii="Arial" w:hAnsi="Arial" w:cs="Arial"/>
          <w:color w:val="000000"/>
        </w:rPr>
        <w:lastRenderedPageBreak/>
        <w:t>XVIII.- Además, el artículo 3° de la Constitución contiene una cláusula general que posibilita se ampare cualquier interés que derive de la dignidad del ser humano, aun cuando se carezca de una norma expresa que aluda a dicho “modo de ser” mediante un específico y reconocido derecho subjetivo. Aún más. Hemos encontrado que en el inciso 7 del artículo 2° de la Constitución, sin nominarlo, se tutela la identidad, al permitirse la rectificación de “afirmaciones inexactas” sobre la “verdad personal”.</w:t>
      </w:r>
    </w:p>
    <w:p w14:paraId="3A3333D7"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XIX.- Otro de los debatidos y delicados problemas es el que tiene que ver con la identidad sexual. La realidad nos muestra la existencia de sujetos, tanto de uno como de otro género, que sienten, honda y profundamente, pertenecer al sexo opuesto a aquel que biológicamente les corresponde. En estas personas, conocidas genéricamente bajo la denominación de transexuales, se presenta de modo elocuente el caso de disociación entre el sexo psicosocial, que es el querido y vivido, y el inalterable sexo cromosómico, que es el que aparece inscrito en el registro del estado civil. En estos sujetos no se registran anomalías en los órganos genitales, los que son normales en relación con el género al que están originariamente adscritos.</w:t>
      </w:r>
    </w:p>
    <w:p w14:paraId="5958986B"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XX.- El transexual “vive y siente” como una persona del género contrario al biológico o cromosómico. A dicho estado se sujetan su modo de pensar y reaccionar, sus actitudes, sus comportamientos, sus gestos, sus preferencias, sus maneras de vestir y hablar, los que abarcan su entera personalidad y se proyectan hacia el exterior. Su drama existencial, su permanente insatisfacción y angustia, se refleja en la convicción que, en su caso, se ha producido “un grave error de la naturaleza”. De ahí el rechazo y el desagrado que experimentan en cuanto a su morfología sexual, lo que origina que su consiguiente obsesiva y firme decisión sea la de someterse a una intervención quirúrgica demoledora-reconstructiva que permita “adecuar”, hasta donde sea posible, sus órganos genitales exteriores a los del sexo al cual sienten pertenecer y según el cual piensan, actúan y se comportan cotidianamente. La culminación de este proceso es el de la inscripción del sujeto en el registro bajo un nuevo sexo y un prenombre pertinente a la mutación sufrida.</w:t>
      </w:r>
    </w:p>
    <w:p w14:paraId="36DC2E7E"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 xml:space="preserve">XXI.- En doctrina se debate sobre si es posible admitir, desde un punto de vista ético-jurídico, esta adecuación de los genitales exteriores al sexo sicológico. Algunos países, en la actualidad, cuentan con leyes que la permiten, previo el </w:t>
      </w:r>
      <w:r w:rsidRPr="007856FD">
        <w:rPr>
          <w:rFonts w:ascii="Arial" w:hAnsi="Arial" w:cs="Arial"/>
          <w:color w:val="000000"/>
        </w:rPr>
        <w:lastRenderedPageBreak/>
        <w:t>cumplimiento de muy precisos requisitos. La generalidad de ellas exige que la persona sea mayor de edad, soltera e incapaz de procrear. La jurisprudencia es contradictoria. y oscilante.</w:t>
      </w:r>
    </w:p>
    <w:p w14:paraId="37F067A6" w14:textId="77777777" w:rsidR="0096481E" w:rsidRPr="007856FD" w:rsidRDefault="0096481E" w:rsidP="0096481E">
      <w:pPr>
        <w:tabs>
          <w:tab w:val="center" w:pos="9498"/>
        </w:tabs>
        <w:suppressAutoHyphens/>
        <w:autoSpaceDE w:val="0"/>
        <w:autoSpaceDN w:val="0"/>
        <w:adjustRightInd w:val="0"/>
        <w:spacing w:after="240" w:line="360" w:lineRule="auto"/>
        <w:ind w:left="709" w:hanging="709"/>
        <w:jc w:val="both"/>
        <w:textAlignment w:val="center"/>
        <w:rPr>
          <w:rFonts w:ascii="Arial" w:hAnsi="Arial" w:cs="Arial"/>
          <w:color w:val="000000"/>
        </w:rPr>
      </w:pPr>
      <w:r w:rsidRPr="007856FD">
        <w:rPr>
          <w:rFonts w:ascii="Arial" w:hAnsi="Arial" w:cs="Arial"/>
          <w:color w:val="000000"/>
        </w:rPr>
        <w:t>XXII.- En síntesis, no obstante que perduran algunas cuestiones problemáticas en lo que concierne a la situación atinente a la identidad personal, es imposible negar la presencia de un interés existencial que, vinculado con la inherente dignidad de la persona, exige y requiere su adecuada protección jurídica.</w:t>
      </w:r>
    </w:p>
    <w:p w14:paraId="1CC516E9" w14:textId="77777777" w:rsidR="0096481E" w:rsidRPr="007856FD" w:rsidRDefault="0096481E" w:rsidP="0096481E">
      <w:pPr>
        <w:spacing w:after="240" w:line="360" w:lineRule="auto"/>
        <w:rPr>
          <w:rFonts w:ascii="Arial" w:hAnsi="Arial" w:cs="Arial"/>
        </w:rPr>
      </w:pPr>
    </w:p>
    <w:p w14:paraId="500CA6AF" w14:textId="77777777" w:rsidR="0096481E" w:rsidRPr="007856FD" w:rsidRDefault="0096481E" w:rsidP="0096481E">
      <w:pPr>
        <w:spacing w:after="240" w:line="360" w:lineRule="auto"/>
        <w:rPr>
          <w:rFonts w:ascii="Arial" w:hAnsi="Arial" w:cs="Arial"/>
        </w:rPr>
      </w:pPr>
    </w:p>
    <w:p w14:paraId="4863DA26" w14:textId="45488E2D" w:rsidR="00E13622" w:rsidRDefault="00E13622" w:rsidP="00E13622">
      <w:pPr>
        <w:spacing w:after="240" w:line="360" w:lineRule="auto"/>
        <w:jc w:val="center"/>
        <w:rPr>
          <w:rFonts w:ascii="Arial" w:hAnsi="Arial" w:cs="Arial"/>
          <w:b/>
        </w:rPr>
      </w:pPr>
    </w:p>
    <w:p w14:paraId="0B8335FC" w14:textId="4FACE09B" w:rsidR="0096481E" w:rsidRDefault="0096481E" w:rsidP="00E13622">
      <w:pPr>
        <w:spacing w:after="240" w:line="360" w:lineRule="auto"/>
        <w:jc w:val="center"/>
        <w:rPr>
          <w:rFonts w:ascii="Arial" w:hAnsi="Arial" w:cs="Arial"/>
          <w:b/>
        </w:rPr>
      </w:pPr>
    </w:p>
    <w:p w14:paraId="36317EF0" w14:textId="23DF94DB" w:rsidR="009764CC" w:rsidRDefault="009764CC" w:rsidP="00E13622">
      <w:pPr>
        <w:spacing w:after="240" w:line="360" w:lineRule="auto"/>
        <w:jc w:val="center"/>
        <w:rPr>
          <w:rFonts w:ascii="Arial" w:hAnsi="Arial" w:cs="Arial"/>
          <w:b/>
        </w:rPr>
      </w:pPr>
    </w:p>
    <w:p w14:paraId="535E5CF7" w14:textId="77777777" w:rsidR="009764CC" w:rsidRDefault="009764CC" w:rsidP="00E13622">
      <w:pPr>
        <w:spacing w:after="240" w:line="360" w:lineRule="auto"/>
        <w:jc w:val="center"/>
        <w:rPr>
          <w:rFonts w:ascii="Arial" w:hAnsi="Arial" w:cs="Arial"/>
          <w:b/>
        </w:rPr>
      </w:pPr>
    </w:p>
    <w:p w14:paraId="6B584530" w14:textId="6A7C70BE" w:rsidR="0096481E" w:rsidRDefault="0096481E" w:rsidP="00E13622">
      <w:pPr>
        <w:spacing w:after="240" w:line="360" w:lineRule="auto"/>
        <w:jc w:val="center"/>
        <w:rPr>
          <w:rFonts w:ascii="Arial" w:hAnsi="Arial" w:cs="Arial"/>
          <w:b/>
        </w:rPr>
      </w:pPr>
    </w:p>
    <w:p w14:paraId="42FE1FC9" w14:textId="2A16380A" w:rsidR="0070300A" w:rsidRDefault="0070300A" w:rsidP="00E13622">
      <w:pPr>
        <w:spacing w:after="240" w:line="360" w:lineRule="auto"/>
        <w:jc w:val="center"/>
        <w:rPr>
          <w:rFonts w:ascii="Arial" w:hAnsi="Arial" w:cs="Arial"/>
          <w:b/>
        </w:rPr>
      </w:pPr>
    </w:p>
    <w:p w14:paraId="31709F31" w14:textId="4897E02F" w:rsidR="0070300A" w:rsidRDefault="0070300A" w:rsidP="00E13622">
      <w:pPr>
        <w:spacing w:after="240" w:line="360" w:lineRule="auto"/>
        <w:jc w:val="center"/>
        <w:rPr>
          <w:rFonts w:ascii="Arial" w:hAnsi="Arial" w:cs="Arial"/>
          <w:b/>
        </w:rPr>
      </w:pPr>
    </w:p>
    <w:p w14:paraId="05804C8F" w14:textId="2605C97E" w:rsidR="0070300A" w:rsidRDefault="0070300A" w:rsidP="00E13622">
      <w:pPr>
        <w:spacing w:after="240" w:line="360" w:lineRule="auto"/>
        <w:jc w:val="center"/>
        <w:rPr>
          <w:rFonts w:ascii="Arial" w:hAnsi="Arial" w:cs="Arial"/>
          <w:b/>
        </w:rPr>
      </w:pPr>
    </w:p>
    <w:p w14:paraId="470F9B73" w14:textId="3CCB58DA" w:rsidR="0070300A" w:rsidRDefault="0070300A" w:rsidP="00E13622">
      <w:pPr>
        <w:spacing w:after="240" w:line="360" w:lineRule="auto"/>
        <w:jc w:val="center"/>
        <w:rPr>
          <w:rFonts w:ascii="Arial" w:hAnsi="Arial" w:cs="Arial"/>
          <w:b/>
        </w:rPr>
      </w:pPr>
    </w:p>
    <w:p w14:paraId="601C875F" w14:textId="41824218" w:rsidR="0070300A" w:rsidRDefault="0070300A" w:rsidP="00E13622">
      <w:pPr>
        <w:spacing w:after="240" w:line="360" w:lineRule="auto"/>
        <w:jc w:val="center"/>
        <w:rPr>
          <w:rFonts w:ascii="Arial" w:hAnsi="Arial" w:cs="Arial"/>
          <w:b/>
        </w:rPr>
      </w:pPr>
    </w:p>
    <w:p w14:paraId="3D2E72DA" w14:textId="39F8F0C2" w:rsidR="0070300A" w:rsidRDefault="0070300A" w:rsidP="00E13622">
      <w:pPr>
        <w:spacing w:after="240" w:line="360" w:lineRule="auto"/>
        <w:jc w:val="center"/>
        <w:rPr>
          <w:rFonts w:ascii="Arial" w:hAnsi="Arial" w:cs="Arial"/>
          <w:b/>
        </w:rPr>
      </w:pPr>
    </w:p>
    <w:p w14:paraId="1E391AF8" w14:textId="0FCC636E" w:rsidR="0070300A" w:rsidRDefault="0070300A" w:rsidP="00E13622">
      <w:pPr>
        <w:spacing w:after="240" w:line="360" w:lineRule="auto"/>
        <w:jc w:val="center"/>
        <w:rPr>
          <w:rFonts w:ascii="Arial" w:hAnsi="Arial" w:cs="Arial"/>
          <w:b/>
        </w:rPr>
      </w:pPr>
    </w:p>
    <w:p w14:paraId="2F0F2371" w14:textId="72CF6D88" w:rsidR="0070300A" w:rsidRDefault="0070300A" w:rsidP="00E13622">
      <w:pPr>
        <w:spacing w:after="240" w:line="360" w:lineRule="auto"/>
        <w:jc w:val="center"/>
        <w:rPr>
          <w:rFonts w:ascii="Arial" w:hAnsi="Arial" w:cs="Arial"/>
          <w:b/>
        </w:rPr>
      </w:pPr>
    </w:p>
    <w:p w14:paraId="1AA9DF30" w14:textId="01E3F3C2" w:rsidR="0070300A" w:rsidRDefault="0070300A" w:rsidP="00E13622">
      <w:pPr>
        <w:spacing w:after="240" w:line="360" w:lineRule="auto"/>
        <w:jc w:val="center"/>
        <w:rPr>
          <w:rFonts w:ascii="Arial" w:hAnsi="Arial" w:cs="Arial"/>
          <w:b/>
        </w:rPr>
      </w:pPr>
    </w:p>
    <w:p w14:paraId="7443C849" w14:textId="77777777" w:rsidR="0070300A" w:rsidRDefault="0070300A" w:rsidP="00E13622">
      <w:pPr>
        <w:spacing w:after="240" w:line="360" w:lineRule="auto"/>
        <w:jc w:val="center"/>
        <w:rPr>
          <w:rFonts w:ascii="Arial" w:hAnsi="Arial" w:cs="Arial"/>
          <w:b/>
        </w:rPr>
      </w:pPr>
    </w:p>
    <w:p w14:paraId="5D59D242" w14:textId="59E425B6" w:rsidR="0096481E" w:rsidRDefault="0096481E" w:rsidP="00E13622">
      <w:pPr>
        <w:spacing w:after="240" w:line="360" w:lineRule="auto"/>
        <w:jc w:val="center"/>
        <w:rPr>
          <w:rFonts w:ascii="Arial" w:hAnsi="Arial" w:cs="Arial"/>
          <w:b/>
        </w:rPr>
      </w:pPr>
    </w:p>
    <w:p w14:paraId="1BFC59B5" w14:textId="1BE246AE" w:rsidR="0096481E" w:rsidRPr="00792B12" w:rsidRDefault="0096481E" w:rsidP="0096481E">
      <w:pPr>
        <w:spacing w:after="240" w:line="360" w:lineRule="auto"/>
        <w:jc w:val="center"/>
        <w:rPr>
          <w:rFonts w:ascii="Arial" w:hAnsi="Arial" w:cs="Arial"/>
          <w:b/>
          <w:lang w:val="it-IT"/>
        </w:rPr>
      </w:pPr>
      <w:r w:rsidRPr="00792B12">
        <w:rPr>
          <w:rFonts w:ascii="Arial" w:hAnsi="Arial" w:cs="Arial"/>
          <w:b/>
          <w:lang w:val="it-IT"/>
        </w:rPr>
        <w:t>BIBLIOGRAF</w:t>
      </w:r>
      <w:r w:rsidR="00DE408C">
        <w:rPr>
          <w:rFonts w:ascii="Arial" w:hAnsi="Arial" w:cs="Arial"/>
          <w:b/>
          <w:lang w:val="it-IT"/>
        </w:rPr>
        <w:t>Í</w:t>
      </w:r>
      <w:r w:rsidRPr="00792B12">
        <w:rPr>
          <w:rFonts w:ascii="Arial" w:hAnsi="Arial" w:cs="Arial"/>
          <w:b/>
          <w:lang w:val="it-IT"/>
        </w:rPr>
        <w:t>A</w:t>
      </w:r>
    </w:p>
    <w:p w14:paraId="3B0A25C2"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shd w:val="clear" w:color="auto" w:fill="FFFFFF"/>
          <w:lang w:val="it-IT"/>
        </w:rPr>
      </w:pPr>
      <w:r w:rsidRPr="00792B12">
        <w:rPr>
          <w:rFonts w:ascii="Arial" w:hAnsi="Arial" w:cs="Arial"/>
          <w:sz w:val="24"/>
          <w:szCs w:val="24"/>
          <w:shd w:val="clear" w:color="auto" w:fill="FFFFFF"/>
          <w:lang w:val="it-IT"/>
        </w:rPr>
        <w:t xml:space="preserve">AA.VV., </w:t>
      </w:r>
      <w:r w:rsidRPr="00792B12">
        <w:rPr>
          <w:rFonts w:ascii="Arial" w:hAnsi="Arial" w:cs="Arial"/>
          <w:i/>
          <w:iCs/>
          <w:sz w:val="24"/>
          <w:szCs w:val="24"/>
          <w:shd w:val="clear" w:color="auto" w:fill="FFFFFF"/>
          <w:lang w:val="it-IT"/>
        </w:rPr>
        <w:t>Il diritto alla identità personale</w:t>
      </w:r>
      <w:r w:rsidRPr="00792B12">
        <w:rPr>
          <w:rFonts w:ascii="Arial" w:hAnsi="Arial" w:cs="Arial"/>
          <w:sz w:val="24"/>
          <w:szCs w:val="24"/>
          <w:shd w:val="clear" w:color="auto" w:fill="FFFFFF"/>
          <w:lang w:val="it-IT"/>
        </w:rPr>
        <w:t>, un seminario promosso dal Centro di Iniziativa Giuridica Piero Calamandrei e dal Centro Studi e Documentazione Giuridica, al cuidado de Guido Alpa, Mario Bessone y Luca Boneschi, Cedam, Padua, 1981.</w:t>
      </w:r>
    </w:p>
    <w:p w14:paraId="0F575560"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shd w:val="clear" w:color="auto" w:fill="FFFFFF"/>
          <w:lang w:val="it-IT"/>
        </w:rPr>
      </w:pPr>
      <w:r w:rsidRPr="00792B12">
        <w:rPr>
          <w:rFonts w:ascii="Arial" w:hAnsi="Arial" w:cs="Arial"/>
          <w:sz w:val="24"/>
          <w:szCs w:val="24"/>
          <w:shd w:val="clear" w:color="auto" w:fill="FFFFFF"/>
          <w:lang w:val="it-IT"/>
        </w:rPr>
        <w:t xml:space="preserve">AA.VV., </w:t>
      </w:r>
      <w:r w:rsidRPr="00792B12">
        <w:rPr>
          <w:rFonts w:ascii="Arial" w:hAnsi="Arial" w:cs="Arial"/>
          <w:i/>
          <w:iCs/>
          <w:sz w:val="24"/>
          <w:szCs w:val="24"/>
          <w:shd w:val="clear" w:color="auto" w:fill="FFFFFF"/>
          <w:lang w:val="it-IT"/>
        </w:rPr>
        <w:t>L’informazione e i diritti della persona</w:t>
      </w:r>
      <w:r w:rsidRPr="00792B12">
        <w:rPr>
          <w:rFonts w:ascii="Arial" w:hAnsi="Arial" w:cs="Arial"/>
          <w:sz w:val="24"/>
          <w:szCs w:val="24"/>
          <w:shd w:val="clear" w:color="auto" w:fill="FFFFFF"/>
          <w:lang w:val="it-IT"/>
        </w:rPr>
        <w:t>, al cuidado de Guido Alpa, Mario Bessone, Luca Boneschi y Giandomenico Caiazza, Jovene editore, Nápoles 1983.</w:t>
      </w:r>
    </w:p>
    <w:p w14:paraId="24730BCF"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shd w:val="clear" w:color="auto" w:fill="FFFFFF"/>
          <w:lang w:val="it-IT"/>
        </w:rPr>
      </w:pPr>
      <w:r w:rsidRPr="00792B12">
        <w:rPr>
          <w:rFonts w:ascii="Arial" w:hAnsi="Arial" w:cs="Arial"/>
          <w:sz w:val="24"/>
          <w:szCs w:val="24"/>
          <w:shd w:val="clear" w:color="auto" w:fill="FFFFFF"/>
          <w:lang w:val="it-IT"/>
        </w:rPr>
        <w:t xml:space="preserve">AA.VV., </w:t>
      </w:r>
      <w:r w:rsidRPr="00792B12">
        <w:rPr>
          <w:rFonts w:ascii="Arial" w:hAnsi="Arial" w:cs="Arial"/>
          <w:i/>
          <w:iCs/>
          <w:sz w:val="24"/>
          <w:szCs w:val="24"/>
          <w:shd w:val="clear" w:color="auto" w:fill="FFFFFF"/>
          <w:lang w:val="it-IT"/>
        </w:rPr>
        <w:t>La lesione dell’identità personale e il danno non patrimoniale</w:t>
      </w:r>
      <w:r w:rsidRPr="00792B12">
        <w:rPr>
          <w:rFonts w:ascii="Arial" w:hAnsi="Arial" w:cs="Arial"/>
          <w:sz w:val="24"/>
          <w:szCs w:val="24"/>
          <w:shd w:val="clear" w:color="auto" w:fill="FFFFFF"/>
          <w:lang w:val="it-IT"/>
        </w:rPr>
        <w:t>, atti del Seminario promosso dal Centro di Iniziativa Giuridica Piero Calamandrei, Messina, 16 aprile 1982, Giuffrè editore, Milán, 1985.</w:t>
      </w:r>
    </w:p>
    <w:p w14:paraId="6C98C60F"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shd w:val="clear" w:color="auto" w:fill="FFFFFF"/>
          <w:lang w:val="it-IT"/>
        </w:rPr>
      </w:pPr>
      <w:r w:rsidRPr="00792B12">
        <w:rPr>
          <w:rFonts w:ascii="Arial" w:hAnsi="Arial" w:cs="Arial"/>
          <w:sz w:val="24"/>
          <w:szCs w:val="24"/>
          <w:shd w:val="clear" w:color="auto" w:fill="FFFFFF"/>
          <w:lang w:val="it-IT"/>
        </w:rPr>
        <w:t xml:space="preserve">AA.VV., </w:t>
      </w:r>
      <w:r w:rsidRPr="00792B12">
        <w:rPr>
          <w:rFonts w:ascii="Arial" w:hAnsi="Arial" w:cs="Arial"/>
          <w:i/>
          <w:sz w:val="24"/>
          <w:szCs w:val="24"/>
          <w:lang w:val="it-IT"/>
        </w:rPr>
        <w:t xml:space="preserve">Sesso e genere. Uno sguardo tra storia e nuove </w:t>
      </w:r>
      <w:r w:rsidRPr="00792B12">
        <w:rPr>
          <w:rFonts w:ascii="Arial" w:hAnsi="Arial" w:cs="Arial"/>
          <w:iCs/>
          <w:sz w:val="24"/>
          <w:szCs w:val="24"/>
          <w:lang w:val="it-IT"/>
        </w:rPr>
        <w:t>prospettive, al</w:t>
      </w:r>
      <w:r w:rsidRPr="00792B12">
        <w:rPr>
          <w:rFonts w:ascii="Arial" w:hAnsi="Arial" w:cs="Arial"/>
          <w:sz w:val="24"/>
          <w:szCs w:val="24"/>
          <w:lang w:val="it-IT"/>
        </w:rPr>
        <w:t xml:space="preserve"> cuidado de Roberto Vitelli y Paolo Valeri</w:t>
      </w:r>
      <w:r w:rsidRPr="00792B12">
        <w:rPr>
          <w:rFonts w:ascii="Arial" w:hAnsi="Arial" w:cs="Arial"/>
          <w:i/>
          <w:sz w:val="24"/>
          <w:szCs w:val="24"/>
          <w:lang w:val="it-IT"/>
        </w:rPr>
        <w:t xml:space="preserve"> </w:t>
      </w:r>
      <w:r w:rsidRPr="00792B12">
        <w:rPr>
          <w:rFonts w:ascii="Arial" w:hAnsi="Arial" w:cs="Arial"/>
          <w:sz w:val="24"/>
          <w:szCs w:val="24"/>
          <w:lang w:val="it-IT"/>
        </w:rPr>
        <w:t>Liguori Editore, Nápoles, 2012.</w:t>
      </w:r>
    </w:p>
    <w:p w14:paraId="3BF320B1"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Alpa, Guido y Resta, Giorgio, </w:t>
      </w:r>
      <w:r w:rsidRPr="00792B12">
        <w:rPr>
          <w:rFonts w:ascii="Arial" w:hAnsi="Arial" w:cs="Arial"/>
          <w:i/>
          <w:sz w:val="24"/>
          <w:szCs w:val="24"/>
          <w:lang w:val="it-IT"/>
        </w:rPr>
        <w:t>Le persona fisiche e i diritti della personalità</w:t>
      </w:r>
      <w:r w:rsidRPr="00792B12">
        <w:rPr>
          <w:rFonts w:ascii="Arial" w:hAnsi="Arial" w:cs="Arial"/>
          <w:sz w:val="24"/>
          <w:szCs w:val="24"/>
          <w:lang w:val="it-IT"/>
        </w:rPr>
        <w:t>, segunda edición, Utet, Turín, 2019.</w:t>
      </w:r>
    </w:p>
    <w:p w14:paraId="7939E7DC"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Alpa, Guido, </w:t>
      </w:r>
      <w:r w:rsidRPr="00792B12">
        <w:rPr>
          <w:rFonts w:ascii="Arial" w:hAnsi="Arial" w:cs="Arial"/>
          <w:i/>
          <w:iCs/>
          <w:sz w:val="24"/>
          <w:szCs w:val="24"/>
          <w:lang w:val="it-IT"/>
        </w:rPr>
        <w:t>Il diritto di essere se stessi</w:t>
      </w:r>
      <w:r w:rsidRPr="00792B12">
        <w:rPr>
          <w:rFonts w:ascii="Arial" w:hAnsi="Arial" w:cs="Arial"/>
          <w:sz w:val="24"/>
          <w:szCs w:val="24"/>
          <w:lang w:val="it-IT"/>
        </w:rPr>
        <w:t>, La nave di Teseo, Milán, 2021.</w:t>
      </w:r>
    </w:p>
    <w:p w14:paraId="3D80E0A7"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Alpa, Guido, </w:t>
      </w:r>
      <w:r w:rsidRPr="00792B12">
        <w:rPr>
          <w:rFonts w:ascii="Arial" w:hAnsi="Arial" w:cs="Arial"/>
          <w:i/>
          <w:iCs/>
          <w:sz w:val="24"/>
          <w:szCs w:val="24"/>
          <w:lang w:val="it-IT"/>
        </w:rPr>
        <w:t>La Responsabilità civile, Parte Generale</w:t>
      </w:r>
      <w:r w:rsidRPr="00792B12">
        <w:rPr>
          <w:rFonts w:ascii="Arial" w:hAnsi="Arial" w:cs="Arial"/>
          <w:sz w:val="24"/>
          <w:szCs w:val="24"/>
          <w:lang w:val="it-IT"/>
        </w:rPr>
        <w:t xml:space="preserve">, Nuova giurisprudenza di Diritto civile e commerciale, fundada por Walter Bigiavi, dirigida por G. Alpa – U. Breccia – G. Bonilini - M. Confortini – A. Iannarelli – M.Sesta – G. Cottino – O. Cagnasso, Utet, Turín, 2010. </w:t>
      </w:r>
    </w:p>
    <w:p w14:paraId="143738B8"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Amram, Denise, </w:t>
      </w:r>
      <w:r w:rsidRPr="00792B12">
        <w:rPr>
          <w:rFonts w:ascii="Arial" w:hAnsi="Arial" w:cs="Arial"/>
          <w:i/>
          <w:sz w:val="24"/>
          <w:szCs w:val="24"/>
          <w:lang w:val="it-IT"/>
        </w:rPr>
        <w:t>Identità di genere e famiglia in Irlanda, Regno Unio e Islanda: quali spunti per l’Italia?</w:t>
      </w:r>
      <w:r w:rsidRPr="00792B12">
        <w:rPr>
          <w:rFonts w:ascii="Arial" w:hAnsi="Arial" w:cs="Arial"/>
          <w:iCs/>
          <w:sz w:val="24"/>
          <w:szCs w:val="24"/>
          <w:lang w:val="it-IT"/>
        </w:rPr>
        <w:t>, e</w:t>
      </w:r>
      <w:r w:rsidRPr="00792B12">
        <w:rPr>
          <w:rFonts w:ascii="Arial" w:hAnsi="Arial" w:cs="Arial"/>
          <w:sz w:val="24"/>
          <w:szCs w:val="24"/>
          <w:lang w:val="it-IT"/>
        </w:rPr>
        <w:t>n: GenIUS, Rivista di Studi Giuridici sull’orientamento sessuale e l’identità di genere, fascículo 1, año I, 2014.</w:t>
      </w:r>
    </w:p>
    <w:p w14:paraId="25879A5A"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Angiolini, Chiara, </w:t>
      </w:r>
      <w:r w:rsidRPr="00792B12">
        <w:rPr>
          <w:rFonts w:ascii="Arial" w:hAnsi="Arial" w:cs="Arial"/>
          <w:i/>
          <w:sz w:val="24"/>
          <w:szCs w:val="24"/>
          <w:lang w:val="it-IT"/>
        </w:rPr>
        <w:t xml:space="preserve">La rettificazione del sesso alla luce della recente giurisprudenza dei Giudici di </w:t>
      </w:r>
      <w:r w:rsidRPr="00792B12">
        <w:rPr>
          <w:rFonts w:ascii="Arial" w:hAnsi="Arial" w:cs="Arial"/>
          <w:iCs/>
          <w:sz w:val="24"/>
          <w:szCs w:val="24"/>
          <w:lang w:val="it-IT"/>
        </w:rPr>
        <w:t>Legittimit,</w:t>
      </w:r>
      <w:r w:rsidRPr="00792B12">
        <w:rPr>
          <w:rFonts w:ascii="Arial" w:hAnsi="Arial" w:cs="Arial"/>
          <w:i/>
          <w:sz w:val="24"/>
          <w:szCs w:val="24"/>
          <w:lang w:val="it-IT"/>
        </w:rPr>
        <w:t xml:space="preserve"> </w:t>
      </w:r>
      <w:r w:rsidRPr="00792B12">
        <w:rPr>
          <w:rFonts w:ascii="Arial" w:hAnsi="Arial" w:cs="Arial"/>
          <w:sz w:val="24"/>
          <w:szCs w:val="24"/>
          <w:lang w:val="it-IT"/>
        </w:rPr>
        <w:t xml:space="preserve">en:  </w:t>
      </w:r>
      <w:r w:rsidRPr="00792B12">
        <w:rPr>
          <w:rFonts w:ascii="Arial" w:hAnsi="Arial" w:cs="Arial"/>
          <w:i/>
          <w:sz w:val="24"/>
          <w:szCs w:val="24"/>
          <w:lang w:val="it-IT"/>
        </w:rPr>
        <w:t>Familia</w:t>
      </w:r>
      <w:r w:rsidRPr="00792B12">
        <w:rPr>
          <w:rFonts w:ascii="Arial" w:hAnsi="Arial" w:cs="Arial"/>
          <w:sz w:val="24"/>
          <w:szCs w:val="24"/>
          <w:lang w:val="it-IT"/>
        </w:rPr>
        <w:t>, n. 1-2, 2016.</w:t>
      </w:r>
    </w:p>
    <w:p w14:paraId="5E392850" w14:textId="77777777" w:rsidR="0096481E" w:rsidRPr="00792B12"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Angiolini, Chiara, </w:t>
      </w:r>
      <w:r w:rsidRPr="00792B12">
        <w:rPr>
          <w:rFonts w:ascii="Arial" w:hAnsi="Arial" w:cs="Arial"/>
          <w:i/>
          <w:sz w:val="24"/>
          <w:szCs w:val="24"/>
          <w:lang w:val="it-IT"/>
        </w:rPr>
        <w:t xml:space="preserve">Transessualismo e identitá di genere. La  rettificazione del sesso fra diritti della persona e interesse </w:t>
      </w:r>
      <w:r w:rsidRPr="00792B12">
        <w:rPr>
          <w:rFonts w:ascii="Arial" w:hAnsi="Arial" w:cs="Arial"/>
          <w:iCs/>
          <w:sz w:val="24"/>
          <w:szCs w:val="24"/>
          <w:lang w:val="it-IT"/>
        </w:rPr>
        <w:t>pubblico, en:</w:t>
      </w:r>
      <w:r w:rsidRPr="00792B12">
        <w:rPr>
          <w:rFonts w:ascii="Arial" w:hAnsi="Arial" w:cs="Arial"/>
          <w:sz w:val="24"/>
          <w:szCs w:val="24"/>
          <w:lang w:val="it-IT"/>
        </w:rPr>
        <w:t xml:space="preserve"> Europa e Diritto Privato, fascículo 1, Giuffrè editore,  Milán, 2017.</w:t>
      </w:r>
    </w:p>
    <w:p w14:paraId="51CC790D" w14:textId="77777777" w:rsidR="0096481E" w:rsidRPr="00792B12" w:rsidRDefault="0096481E" w:rsidP="0096481E">
      <w:pPr>
        <w:spacing w:after="240" w:line="360" w:lineRule="auto"/>
        <w:jc w:val="both"/>
        <w:rPr>
          <w:rFonts w:ascii="Arial" w:hAnsi="Arial" w:cs="Arial"/>
          <w:sz w:val="24"/>
          <w:szCs w:val="24"/>
          <w:lang w:val="it-IT"/>
        </w:rPr>
      </w:pPr>
    </w:p>
    <w:p w14:paraId="2C4CC875" w14:textId="663752C3"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lastRenderedPageBreak/>
        <w:t xml:space="preserve">Anzani, Gaetano, </w:t>
      </w:r>
      <w:r w:rsidRPr="00792B12">
        <w:rPr>
          <w:rFonts w:ascii="Arial" w:hAnsi="Arial" w:cs="Arial"/>
          <w:i/>
          <w:sz w:val="24"/>
          <w:szCs w:val="24"/>
          <w:lang w:val="it-IT"/>
        </w:rPr>
        <w:t>Identità personale e “atti di disposizione della persona”</w:t>
      </w:r>
      <w:r w:rsidRPr="00792B12">
        <w:rPr>
          <w:rFonts w:ascii="Arial" w:hAnsi="Arial" w:cs="Arial"/>
          <w:sz w:val="24"/>
          <w:szCs w:val="24"/>
          <w:lang w:val="it-IT"/>
        </w:rPr>
        <w:t>, en: La nuova giurisprudenza civile comentata, año XXIV, 2008.</w:t>
      </w:r>
    </w:p>
    <w:p w14:paraId="18B2F717"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Astone, Antonino, </w:t>
      </w:r>
      <w:r w:rsidRPr="00792B12">
        <w:rPr>
          <w:rFonts w:ascii="Arial" w:hAnsi="Arial" w:cs="Arial"/>
          <w:i/>
          <w:sz w:val="24"/>
          <w:szCs w:val="24"/>
          <w:lang w:val="it-IT"/>
        </w:rPr>
        <w:t xml:space="preserve">Il controverso itinerario dell’identità di genere, </w:t>
      </w:r>
      <w:r w:rsidRPr="00792B12">
        <w:rPr>
          <w:rFonts w:ascii="Arial" w:hAnsi="Arial" w:cs="Arial"/>
          <w:sz w:val="24"/>
          <w:szCs w:val="24"/>
          <w:lang w:val="it-IT"/>
        </w:rPr>
        <w:t>en</w:t>
      </w:r>
      <w:r w:rsidRPr="00792B12">
        <w:rPr>
          <w:rFonts w:ascii="Arial" w:hAnsi="Arial" w:cs="Arial"/>
          <w:i/>
          <w:sz w:val="24"/>
          <w:szCs w:val="24"/>
          <w:lang w:val="it-IT"/>
        </w:rPr>
        <w:t xml:space="preserve"> La</w:t>
      </w:r>
      <w:r w:rsidRPr="00792B12">
        <w:rPr>
          <w:rFonts w:ascii="Arial" w:hAnsi="Arial" w:cs="Arial"/>
          <w:sz w:val="24"/>
          <w:szCs w:val="24"/>
          <w:lang w:val="it-IT"/>
        </w:rPr>
        <w:t xml:space="preserve"> </w:t>
      </w:r>
      <w:r w:rsidRPr="00792B12">
        <w:rPr>
          <w:rFonts w:ascii="Arial" w:hAnsi="Arial" w:cs="Arial"/>
          <w:i/>
          <w:sz w:val="24"/>
          <w:szCs w:val="24"/>
          <w:lang w:val="it-IT"/>
        </w:rPr>
        <w:t>Nuova giurisprudenza civile commentata</w:t>
      </w:r>
      <w:r w:rsidRPr="00792B12">
        <w:rPr>
          <w:rFonts w:ascii="Arial" w:hAnsi="Arial" w:cs="Arial"/>
          <w:sz w:val="24"/>
          <w:szCs w:val="24"/>
          <w:lang w:val="it-IT"/>
        </w:rPr>
        <w:t>,  año XXXII, fascículo 2,  Cedam, Padua, 2016.</w:t>
      </w:r>
    </w:p>
    <w:p w14:paraId="24BDE4E1" w14:textId="77777777" w:rsidR="0096481E" w:rsidRPr="00D73550" w:rsidRDefault="0096481E" w:rsidP="0096481E">
      <w:pPr>
        <w:pStyle w:val="Textonotapie"/>
        <w:numPr>
          <w:ilvl w:val="0"/>
          <w:numId w:val="17"/>
        </w:numPr>
        <w:spacing w:after="240" w:line="360" w:lineRule="auto"/>
        <w:ind w:right="-1"/>
        <w:jc w:val="both"/>
        <w:rPr>
          <w:rFonts w:ascii="Arial" w:hAnsi="Arial" w:cs="Arial"/>
          <w:sz w:val="24"/>
          <w:szCs w:val="24"/>
          <w:lang w:val="it-IT"/>
        </w:rPr>
      </w:pPr>
      <w:r w:rsidRPr="00792B12">
        <w:rPr>
          <w:rFonts w:ascii="Arial" w:hAnsi="Arial" w:cs="Arial"/>
          <w:sz w:val="24"/>
          <w:szCs w:val="24"/>
          <w:lang w:val="it-IT"/>
        </w:rPr>
        <w:t>Auletta, Tommaso A.,</w:t>
      </w:r>
      <w:r w:rsidRPr="00792B12">
        <w:rPr>
          <w:rFonts w:ascii="Arial" w:hAnsi="Arial" w:cs="Arial"/>
          <w:i/>
          <w:sz w:val="24"/>
          <w:szCs w:val="24"/>
          <w:lang w:val="it-IT"/>
        </w:rPr>
        <w:t xml:space="preserve"> Riservatezza e tutela della personalità</w:t>
      </w:r>
      <w:r w:rsidRPr="00792B12">
        <w:rPr>
          <w:rFonts w:ascii="Arial" w:hAnsi="Arial" w:cs="Arial"/>
          <w:sz w:val="24"/>
          <w:szCs w:val="24"/>
          <w:lang w:val="it-IT"/>
        </w:rPr>
        <w:t>, Giuffrè editore, Milán, 1978.</w:t>
      </w:r>
    </w:p>
    <w:p w14:paraId="24025612"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Azzarri, Federico, </w:t>
      </w:r>
      <w:r w:rsidRPr="00792B12">
        <w:rPr>
          <w:rFonts w:ascii="Arial" w:hAnsi="Arial" w:cs="Arial"/>
          <w:i/>
          <w:sz w:val="24"/>
          <w:szCs w:val="24"/>
          <w:lang w:val="it-IT"/>
        </w:rPr>
        <w:t xml:space="preserve">Diritti della persona e interventi delle corti: dalla fonte costituzionale alle regole </w:t>
      </w:r>
      <w:r w:rsidRPr="00792B12">
        <w:rPr>
          <w:rFonts w:ascii="Arial" w:hAnsi="Arial" w:cs="Arial"/>
          <w:iCs/>
          <w:sz w:val="24"/>
          <w:szCs w:val="24"/>
          <w:lang w:val="it-IT"/>
        </w:rPr>
        <w:t>civilistiche, en</w:t>
      </w:r>
      <w:r w:rsidRPr="00792B12">
        <w:rPr>
          <w:rFonts w:ascii="Arial" w:hAnsi="Arial" w:cs="Arial"/>
          <w:sz w:val="24"/>
          <w:szCs w:val="24"/>
          <w:lang w:val="it-IT"/>
        </w:rPr>
        <w:t xml:space="preserve">: </w:t>
      </w:r>
      <w:r w:rsidRPr="00792B12">
        <w:rPr>
          <w:rFonts w:ascii="Arial" w:hAnsi="Arial" w:cs="Arial"/>
          <w:i/>
          <w:iCs/>
          <w:sz w:val="24"/>
          <w:szCs w:val="24"/>
          <w:lang w:val="it-IT"/>
        </w:rPr>
        <w:t>Effettività e Drittwirkung nelle discipline di settore. Diritti civili, diritti sociali, diritto al cibo e alla sicurezza alimentare</w:t>
      </w:r>
      <w:r w:rsidRPr="00792B12">
        <w:rPr>
          <w:rFonts w:ascii="Arial" w:hAnsi="Arial" w:cs="Arial"/>
          <w:sz w:val="24"/>
          <w:szCs w:val="24"/>
          <w:lang w:val="it-IT"/>
        </w:rPr>
        <w:t>, al cuidado de Emanuela Navarretta, Giappichelli editore, Turín, 2018.</w:t>
      </w:r>
    </w:p>
    <w:p w14:paraId="08ACAB36"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Bartolini, Francesca, </w:t>
      </w:r>
      <w:r w:rsidRPr="00792B12">
        <w:rPr>
          <w:rFonts w:ascii="Arial" w:hAnsi="Arial" w:cs="Arial"/>
          <w:i/>
          <w:sz w:val="24"/>
          <w:szCs w:val="24"/>
          <w:lang w:val="it-IT"/>
        </w:rPr>
        <w:t>Divorzio del transessuale e</w:t>
      </w:r>
      <w:r w:rsidRPr="00792B12">
        <w:rPr>
          <w:rFonts w:ascii="Arial" w:hAnsi="Arial" w:cs="Arial"/>
          <w:sz w:val="24"/>
          <w:szCs w:val="24"/>
          <w:lang w:val="it-IT"/>
        </w:rPr>
        <w:t xml:space="preserve"> </w:t>
      </w:r>
      <w:r w:rsidRPr="00792B12">
        <w:rPr>
          <w:rFonts w:ascii="Arial" w:hAnsi="Arial" w:cs="Arial"/>
          <w:i/>
          <w:sz w:val="24"/>
          <w:szCs w:val="24"/>
          <w:lang w:val="it-IT"/>
        </w:rPr>
        <w:t>“conversione” del matrimonio eterosessuale: un nuovo inizio</w:t>
      </w:r>
      <w:r w:rsidRPr="00792B12">
        <w:rPr>
          <w:rFonts w:ascii="Arial" w:hAnsi="Arial" w:cs="Arial"/>
          <w:sz w:val="24"/>
          <w:szCs w:val="24"/>
          <w:lang w:val="it-IT"/>
        </w:rPr>
        <w:t>, en: Rivista critica del diritto privato, volumen 32, Nº. 2, 2014.</w:t>
      </w:r>
    </w:p>
    <w:p w14:paraId="6330F2B5"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Bartolini, Francesca, </w:t>
      </w:r>
      <w:r w:rsidRPr="00792B12">
        <w:rPr>
          <w:rFonts w:ascii="Arial" w:hAnsi="Arial" w:cs="Arial"/>
          <w:i/>
          <w:sz w:val="24"/>
          <w:szCs w:val="24"/>
          <w:lang w:val="it-IT"/>
        </w:rPr>
        <w:t>Rettificazione del sesso e intervento chirurgico: la soluzione in un’interpretazione “costituzionalmente orientata”</w:t>
      </w:r>
      <w:r w:rsidRPr="00792B12">
        <w:rPr>
          <w:rFonts w:ascii="Arial" w:hAnsi="Arial" w:cs="Arial"/>
          <w:sz w:val="24"/>
          <w:szCs w:val="24"/>
          <w:lang w:val="it-IT"/>
        </w:rPr>
        <w:t>, en:  Il Corriere Giuridico,  N° 11, 2015,  IPSOA-Wolters Kluwer, Milán, 2015.</w:t>
      </w:r>
    </w:p>
    <w:p w14:paraId="67DBFD84"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Benjamin, Harry, </w:t>
      </w:r>
      <w:r w:rsidRPr="00792B12">
        <w:rPr>
          <w:rFonts w:ascii="Arial" w:hAnsi="Arial" w:cs="Arial"/>
          <w:i/>
          <w:sz w:val="24"/>
          <w:szCs w:val="24"/>
          <w:lang w:val="it-IT"/>
        </w:rPr>
        <w:t>Il fenomeno transessuale</w:t>
      </w:r>
      <w:r w:rsidRPr="00792B12">
        <w:rPr>
          <w:rFonts w:ascii="Arial" w:hAnsi="Arial" w:cs="Arial"/>
          <w:sz w:val="24"/>
          <w:szCs w:val="24"/>
          <w:lang w:val="it-IT"/>
        </w:rPr>
        <w:t>, Casa editrice Astrolabio, Roma, 1968.</w:t>
      </w:r>
    </w:p>
    <w:p w14:paraId="7D99A324"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Bessone, Mario, </w:t>
      </w:r>
      <w:r w:rsidRPr="00792B12">
        <w:rPr>
          <w:rFonts w:ascii="Arial" w:hAnsi="Arial" w:cs="Arial"/>
          <w:i/>
          <w:sz w:val="24"/>
          <w:szCs w:val="24"/>
          <w:lang w:val="it-IT"/>
        </w:rPr>
        <w:t>Diritti dell personalità</w:t>
      </w:r>
      <w:r w:rsidRPr="00792B12">
        <w:rPr>
          <w:rFonts w:ascii="Arial" w:hAnsi="Arial" w:cs="Arial"/>
          <w:sz w:val="24"/>
          <w:szCs w:val="24"/>
          <w:lang w:val="it-IT"/>
        </w:rPr>
        <w:t xml:space="preserve">, </w:t>
      </w:r>
      <w:r w:rsidRPr="00792B12">
        <w:rPr>
          <w:rFonts w:ascii="Arial" w:hAnsi="Arial" w:cs="Arial"/>
          <w:i/>
          <w:sz w:val="24"/>
          <w:szCs w:val="24"/>
          <w:lang w:val="it-IT"/>
        </w:rPr>
        <w:t>segreto della vita privata e</w:t>
      </w:r>
      <w:r w:rsidRPr="00792B12">
        <w:rPr>
          <w:rFonts w:ascii="Arial" w:hAnsi="Arial" w:cs="Arial"/>
          <w:sz w:val="24"/>
          <w:szCs w:val="24"/>
          <w:lang w:val="it-IT"/>
        </w:rPr>
        <w:t xml:space="preserve"> droit à l’image, en:  Il diritto di famiglia e delle persone,  año VII, Giuffrè Editore, Milán, 1978.</w:t>
      </w:r>
    </w:p>
    <w:p w14:paraId="0A149564"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Bianca, Cesare Massimo, </w:t>
      </w:r>
      <w:r w:rsidRPr="00792B12">
        <w:rPr>
          <w:rFonts w:ascii="Arial" w:hAnsi="Arial" w:cs="Arial"/>
          <w:i/>
          <w:sz w:val="24"/>
          <w:szCs w:val="24"/>
          <w:lang w:val="it-IT"/>
        </w:rPr>
        <w:t>Diritto Civile</w:t>
      </w:r>
      <w:r w:rsidRPr="00792B12">
        <w:rPr>
          <w:rFonts w:ascii="Arial" w:hAnsi="Arial" w:cs="Arial"/>
          <w:sz w:val="24"/>
          <w:szCs w:val="24"/>
          <w:lang w:val="it-IT"/>
        </w:rPr>
        <w:t xml:space="preserve">, I: </w:t>
      </w:r>
      <w:r w:rsidRPr="00792B12">
        <w:rPr>
          <w:rFonts w:ascii="Arial" w:hAnsi="Arial" w:cs="Arial"/>
          <w:i/>
          <w:sz w:val="24"/>
          <w:szCs w:val="24"/>
          <w:lang w:val="it-IT"/>
        </w:rPr>
        <w:t>La norma giuridica-i soggetti</w:t>
      </w:r>
      <w:r w:rsidRPr="00792B12">
        <w:rPr>
          <w:rFonts w:ascii="Arial" w:hAnsi="Arial" w:cs="Arial"/>
          <w:sz w:val="24"/>
          <w:szCs w:val="24"/>
          <w:lang w:val="it-IT"/>
        </w:rPr>
        <w:t>, segunda edición, Giuffrè editore, Milán, 2002.</w:t>
      </w:r>
    </w:p>
    <w:p w14:paraId="52B3D3CD" w14:textId="77777777" w:rsidR="0096481E" w:rsidRPr="00792B12" w:rsidRDefault="0096481E" w:rsidP="0096481E">
      <w:pPr>
        <w:pStyle w:val="Textonotapie"/>
        <w:numPr>
          <w:ilvl w:val="0"/>
          <w:numId w:val="17"/>
        </w:numPr>
        <w:spacing w:after="240" w:line="360" w:lineRule="auto"/>
        <w:ind w:right="-1"/>
        <w:jc w:val="both"/>
        <w:rPr>
          <w:rFonts w:ascii="Arial" w:hAnsi="Arial" w:cs="Arial"/>
          <w:sz w:val="24"/>
          <w:szCs w:val="24"/>
          <w:lang w:val="it-IT"/>
        </w:rPr>
      </w:pPr>
      <w:r w:rsidRPr="00792B12">
        <w:rPr>
          <w:rFonts w:ascii="Arial" w:hAnsi="Arial" w:cs="Arial"/>
          <w:sz w:val="24"/>
          <w:szCs w:val="24"/>
          <w:lang w:val="it-IT"/>
        </w:rPr>
        <w:t xml:space="preserve">Bigliazzi Geri, Lina; Breccia, Umberto; Busnelli, Francesco Donato y Natoli, Ugo, </w:t>
      </w:r>
      <w:r w:rsidRPr="00792B12">
        <w:rPr>
          <w:rFonts w:ascii="Arial" w:hAnsi="Arial" w:cs="Arial"/>
          <w:i/>
          <w:sz w:val="24"/>
          <w:szCs w:val="24"/>
          <w:lang w:val="it-IT"/>
        </w:rPr>
        <w:t>Diritto Civile</w:t>
      </w:r>
      <w:r w:rsidRPr="00792B12">
        <w:rPr>
          <w:rFonts w:ascii="Arial" w:hAnsi="Arial" w:cs="Arial"/>
          <w:sz w:val="24"/>
          <w:szCs w:val="24"/>
          <w:lang w:val="it-IT"/>
        </w:rPr>
        <w:t>, 1, 1, Utet, Turín, 1986.</w:t>
      </w:r>
    </w:p>
    <w:p w14:paraId="57D13B55" w14:textId="77777777" w:rsidR="0096481E" w:rsidRPr="00792B12" w:rsidRDefault="0096481E" w:rsidP="0096481E">
      <w:pPr>
        <w:pStyle w:val="Textonotapie"/>
        <w:spacing w:after="240" w:line="360" w:lineRule="auto"/>
        <w:ind w:right="-1"/>
        <w:jc w:val="both"/>
        <w:rPr>
          <w:rFonts w:ascii="Arial" w:hAnsi="Arial" w:cs="Arial"/>
          <w:sz w:val="24"/>
          <w:szCs w:val="24"/>
          <w:lang w:val="it-IT"/>
        </w:rPr>
      </w:pPr>
    </w:p>
    <w:p w14:paraId="10DE203F"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rPr>
      </w:pPr>
      <w:proofErr w:type="spellStart"/>
      <w:r w:rsidRPr="00792B12">
        <w:rPr>
          <w:rFonts w:ascii="Arial" w:hAnsi="Arial" w:cs="Arial"/>
          <w:sz w:val="24"/>
          <w:szCs w:val="24"/>
        </w:rPr>
        <w:lastRenderedPageBreak/>
        <w:t>Bilotta</w:t>
      </w:r>
      <w:proofErr w:type="spellEnd"/>
      <w:r w:rsidRPr="00792B12">
        <w:rPr>
          <w:rFonts w:ascii="Arial" w:hAnsi="Arial" w:cs="Arial"/>
          <w:sz w:val="24"/>
          <w:szCs w:val="24"/>
        </w:rPr>
        <w:t xml:space="preserve">, Francesco, </w:t>
      </w:r>
      <w:r w:rsidRPr="00792B12">
        <w:rPr>
          <w:rFonts w:ascii="Arial" w:hAnsi="Arial" w:cs="Arial"/>
          <w:i/>
          <w:sz w:val="24"/>
          <w:szCs w:val="24"/>
        </w:rPr>
        <w:t>La persona más allá de la esfera sexual: la cultura del silencio.  El silencio del Derecho</w:t>
      </w:r>
      <w:r w:rsidRPr="00792B12">
        <w:rPr>
          <w:rFonts w:ascii="Arial" w:hAnsi="Arial" w:cs="Arial"/>
          <w:iCs/>
          <w:sz w:val="24"/>
          <w:szCs w:val="24"/>
        </w:rPr>
        <w:t>, en:</w:t>
      </w:r>
      <w:r w:rsidRPr="00792B12">
        <w:rPr>
          <w:rFonts w:ascii="Arial" w:hAnsi="Arial" w:cs="Arial"/>
          <w:sz w:val="24"/>
          <w:szCs w:val="24"/>
        </w:rPr>
        <w:t xml:space="preserve"> </w:t>
      </w:r>
      <w:r w:rsidRPr="00792B12">
        <w:rPr>
          <w:rFonts w:ascii="Arial" w:hAnsi="Arial" w:cs="Arial"/>
          <w:i/>
          <w:sz w:val="24"/>
          <w:szCs w:val="24"/>
        </w:rPr>
        <w:t>Derecho Privado y Comparación Jurídica. El aporte de la Escuela Jurídica Italiana</w:t>
      </w:r>
      <w:r w:rsidRPr="00792B12">
        <w:rPr>
          <w:rFonts w:ascii="Arial" w:hAnsi="Arial" w:cs="Arial"/>
          <w:sz w:val="24"/>
          <w:szCs w:val="24"/>
        </w:rPr>
        <w:t xml:space="preserve">, Ediciones </w:t>
      </w:r>
      <w:proofErr w:type="spellStart"/>
      <w:r w:rsidRPr="00792B12">
        <w:rPr>
          <w:rFonts w:ascii="Arial" w:hAnsi="Arial" w:cs="Arial"/>
          <w:sz w:val="24"/>
          <w:szCs w:val="24"/>
        </w:rPr>
        <w:t>Olejnik</w:t>
      </w:r>
      <w:proofErr w:type="spellEnd"/>
      <w:r w:rsidRPr="00792B12">
        <w:rPr>
          <w:rFonts w:ascii="Arial" w:hAnsi="Arial" w:cs="Arial"/>
          <w:sz w:val="24"/>
          <w:szCs w:val="24"/>
        </w:rPr>
        <w:t>, Argentina, 2020.</w:t>
      </w:r>
    </w:p>
    <w:p w14:paraId="3487C7BC"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shd w:val="clear" w:color="auto" w:fill="FFFFFF"/>
          <w:lang w:val="it-IT"/>
        </w:rPr>
      </w:pPr>
      <w:r w:rsidRPr="00792B12">
        <w:rPr>
          <w:rFonts w:ascii="Arial" w:hAnsi="Arial" w:cs="Arial"/>
          <w:sz w:val="24"/>
          <w:szCs w:val="24"/>
          <w:shd w:val="clear" w:color="auto" w:fill="FFFFFF"/>
          <w:lang w:val="it-IT"/>
        </w:rPr>
        <w:t xml:space="preserve">Bilotta, Francesco, </w:t>
      </w:r>
      <w:r w:rsidRPr="00792B12">
        <w:rPr>
          <w:rFonts w:ascii="Arial" w:hAnsi="Arial" w:cs="Arial"/>
          <w:i/>
          <w:sz w:val="24"/>
          <w:szCs w:val="24"/>
          <w:shd w:val="clear" w:color="auto" w:fill="FFFFFF"/>
          <w:lang w:val="it-IT"/>
        </w:rPr>
        <w:t>Transessualismo</w:t>
      </w:r>
      <w:r w:rsidRPr="00792B12">
        <w:rPr>
          <w:rFonts w:ascii="Arial" w:hAnsi="Arial" w:cs="Arial"/>
          <w:sz w:val="24"/>
          <w:szCs w:val="24"/>
          <w:shd w:val="clear" w:color="auto" w:fill="FFFFFF"/>
          <w:lang w:val="it-IT"/>
        </w:rPr>
        <w:t>, en Digesto delle discipline privatistiche, Sez. Civ., 8° Aggiornamento, diretto da R. Sacco, Utet giuridica, Turín, 2013.</w:t>
      </w:r>
    </w:p>
    <w:p w14:paraId="58064FA3"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Busnelli, Francesco Donato,</w:t>
      </w:r>
      <w:r w:rsidRPr="00792B12">
        <w:rPr>
          <w:rFonts w:ascii="Arial" w:hAnsi="Arial" w:cs="Arial"/>
          <w:i/>
          <w:iCs/>
          <w:sz w:val="24"/>
          <w:szCs w:val="24"/>
          <w:lang w:val="it-IT"/>
        </w:rPr>
        <w:t xml:space="preserve"> Il diritto delle persone</w:t>
      </w:r>
      <w:r w:rsidRPr="00792B12">
        <w:rPr>
          <w:rFonts w:ascii="Arial" w:hAnsi="Arial" w:cs="Arial"/>
          <w:sz w:val="24"/>
          <w:szCs w:val="24"/>
          <w:lang w:val="it-IT"/>
        </w:rPr>
        <w:t>, en: Id., Persona e famiglia, Pacini Editore, Pisa, 2017.</w:t>
      </w:r>
    </w:p>
    <w:p w14:paraId="0529FFFA"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Cardaci, Giacomo, </w:t>
      </w:r>
      <w:r w:rsidRPr="00792B12">
        <w:rPr>
          <w:rFonts w:ascii="Arial" w:hAnsi="Arial" w:cs="Arial"/>
          <w:i/>
          <w:sz w:val="24"/>
          <w:szCs w:val="24"/>
          <w:lang w:val="it-IT"/>
        </w:rPr>
        <w:t>Il processo di accertamento del genere del minore intersessuale</w:t>
      </w:r>
      <w:r w:rsidRPr="00792B12">
        <w:rPr>
          <w:rFonts w:ascii="Arial" w:hAnsi="Arial" w:cs="Arial"/>
          <w:sz w:val="24"/>
          <w:szCs w:val="24"/>
          <w:lang w:val="it-IT"/>
        </w:rPr>
        <w:t>, en: Rivista di diritto processuale, n. 3,  Cedam, Padua, 2016.</w:t>
      </w:r>
    </w:p>
    <w:p w14:paraId="374DD28B"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Caricato, Cristina </w:t>
      </w:r>
      <w:r w:rsidRPr="00792B12">
        <w:rPr>
          <w:rFonts w:ascii="Arial" w:hAnsi="Arial" w:cs="Arial"/>
          <w:i/>
          <w:sz w:val="24"/>
          <w:szCs w:val="24"/>
          <w:lang w:val="it-IT"/>
        </w:rPr>
        <w:t>Rettificazione di attribuzione di sesso e modificazione dei caratteri sessuali</w:t>
      </w:r>
      <w:r w:rsidRPr="00792B12">
        <w:rPr>
          <w:rFonts w:ascii="Arial" w:hAnsi="Arial" w:cs="Arial"/>
          <w:sz w:val="24"/>
          <w:szCs w:val="24"/>
          <w:lang w:val="it-IT"/>
        </w:rPr>
        <w:t xml:space="preserve"> </w:t>
      </w:r>
      <w:r w:rsidRPr="00792B12">
        <w:rPr>
          <w:rFonts w:ascii="Arial" w:hAnsi="Arial" w:cs="Arial"/>
          <w:i/>
          <w:sz w:val="24"/>
          <w:szCs w:val="24"/>
          <w:lang w:val="it-IT"/>
        </w:rPr>
        <w:t>all’esame della Corte costituzionale</w:t>
      </w:r>
      <w:r w:rsidRPr="00792B12">
        <w:rPr>
          <w:rFonts w:ascii="Arial" w:hAnsi="Arial" w:cs="Arial"/>
          <w:sz w:val="24"/>
          <w:szCs w:val="24"/>
          <w:lang w:val="it-IT"/>
        </w:rPr>
        <w:t>, en: La Nuova giurisprudenza civile commentata, fascículo 4,  2016.</w:t>
      </w:r>
    </w:p>
    <w:p w14:paraId="3F92E53B"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Carnelutti, Francesco, </w:t>
      </w:r>
      <w:r w:rsidRPr="00792B12">
        <w:rPr>
          <w:rFonts w:ascii="Arial" w:hAnsi="Arial" w:cs="Arial"/>
          <w:i/>
          <w:sz w:val="24"/>
          <w:szCs w:val="24"/>
          <w:lang w:val="it-IT"/>
        </w:rPr>
        <w:t>Diritto alla vita privata (contributo alla teoria della libertà di stampa)</w:t>
      </w:r>
      <w:r w:rsidRPr="00792B12">
        <w:rPr>
          <w:rFonts w:ascii="Arial" w:hAnsi="Arial" w:cs="Arial"/>
          <w:sz w:val="24"/>
          <w:szCs w:val="24"/>
          <w:lang w:val="it-IT"/>
        </w:rPr>
        <w:t>, en:  Rivista Trimestrale di Diritto Pubblico, año V, Giuffrè Editore, Milán, 1955.</w:t>
      </w:r>
    </w:p>
    <w:p w14:paraId="0170CDE5"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Caterina, Raffaele, </w:t>
      </w:r>
      <w:r w:rsidRPr="00792B12">
        <w:rPr>
          <w:rFonts w:ascii="Arial" w:hAnsi="Arial" w:cs="Arial"/>
          <w:i/>
          <w:sz w:val="24"/>
          <w:szCs w:val="24"/>
          <w:lang w:val="it-IT"/>
        </w:rPr>
        <w:t>Le persone fisiche</w:t>
      </w:r>
      <w:r w:rsidRPr="00792B12">
        <w:rPr>
          <w:rFonts w:ascii="Arial" w:hAnsi="Arial" w:cs="Arial"/>
          <w:sz w:val="24"/>
          <w:szCs w:val="24"/>
          <w:lang w:val="it-IT"/>
        </w:rPr>
        <w:t xml:space="preserve">,  tercera edición, G. Giappichelli editore,  Turín, 2019. </w:t>
      </w:r>
    </w:p>
    <w:p w14:paraId="5F978C47"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Cerri, Francesca, </w:t>
      </w:r>
      <w:r w:rsidRPr="00792B12">
        <w:rPr>
          <w:rFonts w:ascii="Arial" w:hAnsi="Arial" w:cs="Arial"/>
          <w:i/>
          <w:sz w:val="24"/>
          <w:szCs w:val="24"/>
          <w:lang w:val="it-IT"/>
        </w:rPr>
        <w:t>Rettificazione anagrafica del sesso secondo la cassazione l'operazione non s'ha da fare</w:t>
      </w:r>
      <w:r w:rsidRPr="00792B12">
        <w:rPr>
          <w:rFonts w:ascii="Arial" w:hAnsi="Arial" w:cs="Arial"/>
          <w:iCs/>
          <w:sz w:val="24"/>
          <w:szCs w:val="24"/>
          <w:lang w:val="it-IT"/>
        </w:rPr>
        <w:t xml:space="preserve">, </w:t>
      </w:r>
      <w:r w:rsidRPr="00792B12">
        <w:rPr>
          <w:rFonts w:ascii="Arial" w:hAnsi="Arial" w:cs="Arial"/>
          <w:sz w:val="24"/>
          <w:szCs w:val="24"/>
          <w:lang w:val="it-IT"/>
        </w:rPr>
        <w:t>en: Giustizia civile.com, n. 7, Giuffrè editore,  Milán, 2016.</w:t>
      </w:r>
    </w:p>
    <w:p w14:paraId="53ED6193" w14:textId="77777777" w:rsidR="0096481E" w:rsidRPr="00792B12"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Cieza Mora, Jairo y </w:t>
      </w:r>
      <w:proofErr w:type="spellStart"/>
      <w:r w:rsidRPr="00792B12">
        <w:rPr>
          <w:rFonts w:ascii="Arial" w:hAnsi="Arial" w:cs="Arial"/>
          <w:sz w:val="24"/>
          <w:szCs w:val="24"/>
        </w:rPr>
        <w:t>Anjana</w:t>
      </w:r>
      <w:proofErr w:type="spellEnd"/>
      <w:r w:rsidRPr="00792B12">
        <w:rPr>
          <w:rFonts w:ascii="Arial" w:hAnsi="Arial" w:cs="Arial"/>
          <w:sz w:val="24"/>
          <w:szCs w:val="24"/>
        </w:rPr>
        <w:t xml:space="preserve"> Meza Lazo, </w:t>
      </w:r>
      <w:r w:rsidRPr="00792B12">
        <w:rPr>
          <w:rFonts w:ascii="Arial" w:hAnsi="Arial" w:cs="Arial"/>
          <w:i/>
          <w:sz w:val="24"/>
          <w:szCs w:val="24"/>
        </w:rPr>
        <w:t>Una sentencia para el debate: el procedimiento administrativo y otros alcances para la intersexualidad y la transexualidad en el Perú</w:t>
      </w:r>
      <w:r w:rsidRPr="00792B12">
        <w:rPr>
          <w:rFonts w:ascii="Arial" w:hAnsi="Arial" w:cs="Arial"/>
          <w:sz w:val="24"/>
          <w:szCs w:val="24"/>
        </w:rPr>
        <w:t>, en: Actualidad Civil, número 75, septiembre de 2020.</w:t>
      </w:r>
    </w:p>
    <w:p w14:paraId="54C52B47" w14:textId="77777777" w:rsidR="0096481E" w:rsidRPr="00792B12" w:rsidRDefault="0096481E" w:rsidP="0096481E">
      <w:pPr>
        <w:spacing w:after="240" w:line="360" w:lineRule="auto"/>
        <w:jc w:val="both"/>
        <w:rPr>
          <w:rFonts w:ascii="Arial" w:hAnsi="Arial" w:cs="Arial"/>
          <w:sz w:val="24"/>
          <w:szCs w:val="24"/>
        </w:rPr>
      </w:pPr>
    </w:p>
    <w:p w14:paraId="2B1A2BB2"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lastRenderedPageBreak/>
        <w:t xml:space="preserve">D’Andrea,  Patrizio Ivo,  </w:t>
      </w:r>
      <w:r w:rsidRPr="00792B12">
        <w:rPr>
          <w:rFonts w:ascii="Arial" w:hAnsi="Arial" w:cs="Arial"/>
          <w:i/>
          <w:sz w:val="24"/>
          <w:szCs w:val="24"/>
          <w:lang w:val="it-IT"/>
        </w:rPr>
        <w:t xml:space="preserve">La sentenza della corte costituzionale sulla rettificazione </w:t>
      </w:r>
      <w:r w:rsidRPr="00792B12">
        <w:rPr>
          <w:rFonts w:ascii="Arial" w:hAnsi="Arial" w:cs="Arial"/>
          <w:iCs/>
          <w:sz w:val="24"/>
          <w:szCs w:val="24"/>
          <w:lang w:val="it-IT"/>
        </w:rPr>
        <w:t>anagrafica, en:</w:t>
      </w:r>
      <w:r w:rsidRPr="00792B12">
        <w:rPr>
          <w:rFonts w:ascii="Arial" w:hAnsi="Arial" w:cs="Arial"/>
          <w:sz w:val="24"/>
          <w:szCs w:val="24"/>
          <w:lang w:val="it-IT"/>
        </w:rPr>
        <w:t xml:space="preserve"> Giurisprudenza Costituzionale, fascículo 1, año LXI, Giuffrè editore,  Milán, 2016.</w:t>
      </w:r>
    </w:p>
    <w:p w14:paraId="260B0A88"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De Cupis, Adriano, </w:t>
      </w:r>
      <w:r w:rsidRPr="00792B12">
        <w:rPr>
          <w:rFonts w:ascii="Arial" w:hAnsi="Arial" w:cs="Arial"/>
          <w:i/>
          <w:sz w:val="24"/>
          <w:szCs w:val="24"/>
          <w:lang w:val="it-IT"/>
        </w:rPr>
        <w:t>I  diritti della personalità</w:t>
      </w:r>
      <w:r w:rsidRPr="00792B12">
        <w:rPr>
          <w:rFonts w:ascii="Arial" w:hAnsi="Arial" w:cs="Arial"/>
          <w:sz w:val="24"/>
          <w:szCs w:val="24"/>
          <w:lang w:val="it-IT"/>
        </w:rPr>
        <w:t>,  segunda edición revisada y actualizada, Giuffrè editore, Milán, 1982.</w:t>
      </w:r>
    </w:p>
    <w:p w14:paraId="109FC618"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De Giorgi, Maria Vita y Farnetti, Marcello, </w:t>
      </w:r>
      <w:r w:rsidRPr="00792B12">
        <w:rPr>
          <w:rFonts w:ascii="Arial" w:hAnsi="Arial" w:cs="Arial"/>
          <w:i/>
          <w:iCs/>
          <w:sz w:val="24"/>
          <w:szCs w:val="24"/>
          <w:lang w:val="it-IT"/>
        </w:rPr>
        <w:t>Commentario al Titolo I:Delle Persone Fisiche</w:t>
      </w:r>
      <w:r w:rsidRPr="00792B12">
        <w:rPr>
          <w:rFonts w:ascii="Arial" w:hAnsi="Arial" w:cs="Arial"/>
          <w:sz w:val="24"/>
          <w:szCs w:val="24"/>
          <w:lang w:val="it-IT"/>
        </w:rPr>
        <w:t>, en: Commentario Breve al Codice Civile, dirigido por Giorgio Cian y Alberto Trabucchi, sexta edición al cuidado de Giorgio Cian, Cedam, Padua, 2002.</w:t>
      </w:r>
    </w:p>
    <w:p w14:paraId="5C7F5385"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De Vita, Anna, </w:t>
      </w:r>
      <w:r w:rsidRPr="00792B12">
        <w:rPr>
          <w:rFonts w:ascii="Arial" w:hAnsi="Arial" w:cs="Arial"/>
          <w:i/>
          <w:sz w:val="24"/>
          <w:szCs w:val="24"/>
          <w:lang w:val="it-IT"/>
        </w:rPr>
        <w:t>Commentario all’articolo 10 del codice civile</w:t>
      </w:r>
      <w:r w:rsidRPr="00792B12">
        <w:rPr>
          <w:rFonts w:ascii="Arial" w:hAnsi="Arial" w:cs="Arial"/>
          <w:sz w:val="24"/>
          <w:szCs w:val="24"/>
          <w:lang w:val="it-IT"/>
        </w:rPr>
        <w:t xml:space="preserve">, en: Pizzorusso, Alessandro; Romboli, Roberto; Breccia, Umberto y De Vita, Anna, </w:t>
      </w:r>
      <w:r w:rsidRPr="00792B12">
        <w:rPr>
          <w:rFonts w:ascii="Arial" w:hAnsi="Arial" w:cs="Arial"/>
          <w:i/>
          <w:sz w:val="24"/>
          <w:szCs w:val="24"/>
          <w:lang w:val="it-IT"/>
        </w:rPr>
        <w:t>Delle persone fisiche,  art. 1-10</w:t>
      </w:r>
      <w:r w:rsidRPr="00792B12">
        <w:rPr>
          <w:rFonts w:ascii="Arial" w:hAnsi="Arial" w:cs="Arial"/>
          <w:sz w:val="24"/>
          <w:szCs w:val="24"/>
          <w:lang w:val="it-IT"/>
        </w:rPr>
        <w:t xml:space="preserve">,  </w:t>
      </w:r>
      <w:r w:rsidRPr="00792B12">
        <w:rPr>
          <w:rFonts w:ascii="Arial" w:hAnsi="Arial" w:cs="Arial"/>
          <w:i/>
          <w:sz w:val="24"/>
          <w:szCs w:val="24"/>
          <w:lang w:val="it-IT"/>
        </w:rPr>
        <w:t>Commentario del codice civile</w:t>
      </w:r>
      <w:r w:rsidRPr="00792B12">
        <w:rPr>
          <w:rFonts w:ascii="Arial" w:hAnsi="Arial" w:cs="Arial"/>
          <w:sz w:val="24"/>
          <w:szCs w:val="24"/>
          <w:lang w:val="it-IT"/>
        </w:rPr>
        <w:t>, al cuidado de Francesco Galgano, Zanichelli editore, Bolonia, 1988.</w:t>
      </w:r>
    </w:p>
    <w:p w14:paraId="1BB3F620"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Del Guercio Adele, </w:t>
      </w:r>
      <w:r w:rsidRPr="00792B12">
        <w:rPr>
          <w:rFonts w:ascii="Arial" w:hAnsi="Arial" w:cs="Arial"/>
          <w:i/>
          <w:sz w:val="24"/>
          <w:szCs w:val="24"/>
          <w:lang w:val="it-IT"/>
        </w:rPr>
        <w:t>Il riconoscimento giuridico dell'identità di genere delle persone "transgender", tra sterilizzazione imposta e diritto all'autodeterminazione. Il caso "Y.Y. c. Turchia" e le cautele della Corte europea. Nota a Corte eur. Dir. Uomo sez. II 10 marzo 2015 (Y.Y. c. Turchia)</w:t>
      </w:r>
      <w:r w:rsidRPr="00792B12">
        <w:rPr>
          <w:rFonts w:ascii="Arial" w:hAnsi="Arial" w:cs="Arial"/>
          <w:iCs/>
          <w:sz w:val="24"/>
          <w:szCs w:val="24"/>
          <w:lang w:val="it-IT"/>
        </w:rPr>
        <w:t>, e</w:t>
      </w:r>
      <w:r w:rsidRPr="00792B12">
        <w:rPr>
          <w:rFonts w:ascii="Arial" w:hAnsi="Arial" w:cs="Arial"/>
          <w:sz w:val="24"/>
          <w:szCs w:val="24"/>
          <w:lang w:val="it-IT"/>
        </w:rPr>
        <w:t>n: Diritti umani e diritto internazionale, fascículo 2, 2015.</w:t>
      </w:r>
    </w:p>
    <w:p w14:paraId="61F5F72D"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Di Gregorio, Luciano, </w:t>
      </w:r>
      <w:r w:rsidRPr="00792B12">
        <w:rPr>
          <w:rFonts w:ascii="Arial" w:hAnsi="Arial" w:cs="Arial"/>
          <w:i/>
          <w:sz w:val="24"/>
          <w:szCs w:val="24"/>
          <w:lang w:val="it-IT"/>
        </w:rPr>
        <w:t>Oltre il corpo: La condizione transgender e transessuale nella società contemporanea,</w:t>
      </w:r>
      <w:r w:rsidRPr="00792B12">
        <w:rPr>
          <w:rFonts w:ascii="Arial" w:hAnsi="Arial" w:cs="Arial"/>
          <w:sz w:val="24"/>
          <w:szCs w:val="24"/>
          <w:lang w:val="it-IT"/>
        </w:rPr>
        <w:t xml:space="preserve"> Franco Angelli, 2019.</w:t>
      </w:r>
    </w:p>
    <w:p w14:paraId="3418531D"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Di Majo Giaquinto, Adolfo,  </w:t>
      </w:r>
      <w:r w:rsidRPr="00792B12">
        <w:rPr>
          <w:rFonts w:ascii="Arial" w:hAnsi="Arial" w:cs="Arial"/>
          <w:i/>
          <w:sz w:val="24"/>
          <w:szCs w:val="24"/>
          <w:lang w:val="it-IT"/>
        </w:rPr>
        <w:t>Profili dei diritti della  personalità</w:t>
      </w:r>
      <w:r w:rsidRPr="00792B12">
        <w:rPr>
          <w:rFonts w:ascii="Arial" w:hAnsi="Arial" w:cs="Arial"/>
          <w:sz w:val="24"/>
          <w:szCs w:val="24"/>
          <w:lang w:val="it-IT"/>
        </w:rPr>
        <w:t xml:space="preserve">,  en: Rivista Trimestrale di Diritto e Procedura Civile, año XVI,  Giuffrè Editore, Milán, 1962. </w:t>
      </w:r>
    </w:p>
    <w:p w14:paraId="24394A3E" w14:textId="77777777" w:rsidR="0096481E" w:rsidRPr="00792B12"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Dogliotti, Massimo, </w:t>
      </w:r>
      <w:r w:rsidRPr="00792B12">
        <w:rPr>
          <w:rFonts w:ascii="Arial" w:hAnsi="Arial" w:cs="Arial"/>
          <w:i/>
          <w:sz w:val="24"/>
          <w:szCs w:val="24"/>
          <w:lang w:val="it-IT"/>
        </w:rPr>
        <w:t>I. Le persone  fisiche</w:t>
      </w:r>
      <w:r w:rsidRPr="00792B12">
        <w:rPr>
          <w:rFonts w:ascii="Arial" w:hAnsi="Arial" w:cs="Arial"/>
          <w:sz w:val="24"/>
          <w:szCs w:val="24"/>
          <w:lang w:val="it-IT"/>
        </w:rPr>
        <w:t xml:space="preserve">, en: </w:t>
      </w:r>
      <w:r w:rsidRPr="00792B12">
        <w:rPr>
          <w:rFonts w:ascii="Arial" w:hAnsi="Arial" w:cs="Arial"/>
          <w:i/>
          <w:sz w:val="24"/>
          <w:szCs w:val="24"/>
          <w:lang w:val="it-IT"/>
        </w:rPr>
        <w:t>Trattato di Diritto Privato</w:t>
      </w:r>
      <w:r w:rsidRPr="00792B12">
        <w:rPr>
          <w:rFonts w:ascii="Arial" w:hAnsi="Arial" w:cs="Arial"/>
          <w:sz w:val="24"/>
          <w:szCs w:val="24"/>
          <w:lang w:val="it-IT"/>
        </w:rPr>
        <w:t>,  diretto da Pietro Rescigno, tomo primo 2. Persona e famiglia, segunda edición, Utet, Turín, 1999.</w:t>
      </w:r>
    </w:p>
    <w:p w14:paraId="28E80B56" w14:textId="77777777" w:rsidR="0096481E" w:rsidRPr="00792B12"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Dogliotti, Massimo, I. </w:t>
      </w:r>
      <w:r w:rsidRPr="00792B12">
        <w:rPr>
          <w:rFonts w:ascii="Arial" w:hAnsi="Arial" w:cs="Arial"/>
          <w:i/>
          <w:sz w:val="24"/>
          <w:szCs w:val="24"/>
          <w:lang w:val="it-IT"/>
        </w:rPr>
        <w:t xml:space="preserve">Le persone fisiche, </w:t>
      </w:r>
      <w:r w:rsidRPr="00792B12">
        <w:rPr>
          <w:rFonts w:ascii="Arial" w:hAnsi="Arial" w:cs="Arial"/>
          <w:sz w:val="24"/>
          <w:szCs w:val="24"/>
          <w:lang w:val="it-IT"/>
        </w:rPr>
        <w:t xml:space="preserve">en: </w:t>
      </w:r>
      <w:r w:rsidRPr="00792B12">
        <w:rPr>
          <w:rFonts w:ascii="Arial" w:hAnsi="Arial" w:cs="Arial"/>
          <w:i/>
          <w:sz w:val="24"/>
          <w:szCs w:val="24"/>
          <w:lang w:val="it-IT"/>
        </w:rPr>
        <w:t>Trattato di Diritto Privato</w:t>
      </w:r>
      <w:r w:rsidRPr="00792B12">
        <w:rPr>
          <w:rFonts w:ascii="Arial" w:hAnsi="Arial" w:cs="Arial"/>
          <w:sz w:val="24"/>
          <w:szCs w:val="24"/>
          <w:lang w:val="it-IT"/>
        </w:rPr>
        <w:t>, dirigido por Pietro Rescigno, primera edición, Utet, Turín, 1982.</w:t>
      </w:r>
    </w:p>
    <w:p w14:paraId="6907B184" w14:textId="77777777" w:rsidR="0096481E" w:rsidRPr="00792B12" w:rsidRDefault="0096481E" w:rsidP="0096481E">
      <w:pPr>
        <w:spacing w:after="240" w:line="360" w:lineRule="auto"/>
        <w:contextualSpacing/>
        <w:jc w:val="both"/>
        <w:rPr>
          <w:rFonts w:ascii="Arial" w:hAnsi="Arial" w:cs="Arial"/>
          <w:sz w:val="24"/>
          <w:szCs w:val="24"/>
          <w:lang w:val="it-IT"/>
        </w:rPr>
      </w:pPr>
    </w:p>
    <w:p w14:paraId="6731F589"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Elvira, Ascensión, </w:t>
      </w:r>
      <w:r w:rsidRPr="00792B12">
        <w:rPr>
          <w:rFonts w:ascii="Arial" w:hAnsi="Arial" w:cs="Arial"/>
          <w:i/>
          <w:sz w:val="24"/>
          <w:szCs w:val="24"/>
          <w:lang w:val="it-IT"/>
        </w:rPr>
        <w:t xml:space="preserve">Transexualidad, matrimonio y divorcio en derecho </w:t>
      </w:r>
      <w:r w:rsidRPr="00792B12">
        <w:rPr>
          <w:rFonts w:ascii="Arial" w:hAnsi="Arial" w:cs="Arial"/>
          <w:iCs/>
          <w:sz w:val="24"/>
          <w:szCs w:val="24"/>
          <w:lang w:val="it-IT"/>
        </w:rPr>
        <w:t>comparado, en</w:t>
      </w:r>
      <w:r w:rsidRPr="00792B12">
        <w:rPr>
          <w:rFonts w:ascii="Arial" w:hAnsi="Arial" w:cs="Arial"/>
          <w:sz w:val="24"/>
          <w:szCs w:val="24"/>
          <w:lang w:val="it-IT"/>
        </w:rPr>
        <w:t>: GenIUS, Rivista di Studi Giuridici sull’orientamento sessuale e l’identità di genere, fascículo 1, 2014.</w:t>
      </w:r>
    </w:p>
    <w:p w14:paraId="02A567C8"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Espín Alba, Isabel, </w:t>
      </w:r>
      <w:r w:rsidRPr="00792B12">
        <w:rPr>
          <w:rFonts w:ascii="Arial" w:hAnsi="Arial" w:cs="Arial"/>
          <w:i/>
          <w:sz w:val="24"/>
          <w:szCs w:val="24"/>
        </w:rPr>
        <w:t>Transexualidad y tutela civil de la persona,</w:t>
      </w:r>
      <w:r w:rsidRPr="00792B12">
        <w:rPr>
          <w:rFonts w:ascii="Arial" w:hAnsi="Arial" w:cs="Arial"/>
          <w:sz w:val="24"/>
          <w:szCs w:val="24"/>
        </w:rPr>
        <w:t xml:space="preserve"> Reus, Madrid, 2008.</w:t>
      </w:r>
    </w:p>
    <w:p w14:paraId="1E8B236C"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es-PE"/>
        </w:rPr>
      </w:pPr>
      <w:r w:rsidRPr="00792B12">
        <w:rPr>
          <w:rFonts w:ascii="Arial" w:hAnsi="Arial" w:cs="Arial"/>
          <w:sz w:val="24"/>
          <w:szCs w:val="24"/>
          <w:lang w:val="es-PE"/>
        </w:rPr>
        <w:t xml:space="preserve">Fernández </w:t>
      </w:r>
      <w:proofErr w:type="spellStart"/>
      <w:r w:rsidRPr="00792B12">
        <w:rPr>
          <w:rFonts w:ascii="Arial" w:hAnsi="Arial" w:cs="Arial"/>
          <w:sz w:val="24"/>
          <w:szCs w:val="24"/>
          <w:lang w:val="es-PE"/>
        </w:rPr>
        <w:t>Sessarego</w:t>
      </w:r>
      <w:proofErr w:type="spellEnd"/>
      <w:r w:rsidRPr="00792B12">
        <w:rPr>
          <w:rFonts w:ascii="Arial" w:hAnsi="Arial" w:cs="Arial"/>
          <w:sz w:val="24"/>
          <w:szCs w:val="24"/>
          <w:lang w:val="es-PE"/>
        </w:rPr>
        <w:t xml:space="preserve">, Carlos, </w:t>
      </w:r>
      <w:r w:rsidRPr="00792B12">
        <w:rPr>
          <w:rFonts w:ascii="Arial" w:hAnsi="Arial" w:cs="Arial"/>
          <w:i/>
          <w:sz w:val="24"/>
          <w:szCs w:val="24"/>
          <w:lang w:val="es-PE"/>
        </w:rPr>
        <w:t xml:space="preserve">Derecho de las personas. Análisis de cada artículo del Libro Primero del Código Civil peruano de </w:t>
      </w:r>
      <w:r w:rsidRPr="00792B12">
        <w:rPr>
          <w:rFonts w:ascii="Arial" w:hAnsi="Arial" w:cs="Arial"/>
          <w:sz w:val="24"/>
          <w:szCs w:val="24"/>
          <w:lang w:val="es-PE"/>
        </w:rPr>
        <w:t>1984, décimo tercera edición ampliada y actualizada, Instituto Pacífico, Lima, 2016.</w:t>
      </w:r>
    </w:p>
    <w:p w14:paraId="5ADAAFD1"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Fernández </w:t>
      </w:r>
      <w:proofErr w:type="spellStart"/>
      <w:r w:rsidRPr="00792B12">
        <w:rPr>
          <w:rFonts w:ascii="Arial" w:hAnsi="Arial" w:cs="Arial"/>
          <w:sz w:val="24"/>
          <w:szCs w:val="24"/>
        </w:rPr>
        <w:t>Sessarego</w:t>
      </w:r>
      <w:proofErr w:type="spellEnd"/>
      <w:r w:rsidRPr="00792B12">
        <w:rPr>
          <w:rFonts w:ascii="Arial" w:hAnsi="Arial" w:cs="Arial"/>
          <w:sz w:val="24"/>
          <w:szCs w:val="24"/>
        </w:rPr>
        <w:t xml:space="preserve">, Carlos, </w:t>
      </w:r>
      <w:r w:rsidRPr="00792B12">
        <w:rPr>
          <w:rFonts w:ascii="Arial" w:hAnsi="Arial" w:cs="Arial"/>
          <w:i/>
          <w:iCs/>
          <w:sz w:val="24"/>
          <w:szCs w:val="24"/>
        </w:rPr>
        <w:t>Derecho</w:t>
      </w:r>
      <w:r w:rsidRPr="00792B12">
        <w:rPr>
          <w:rFonts w:ascii="Arial" w:hAnsi="Arial" w:cs="Arial"/>
          <w:i/>
          <w:sz w:val="24"/>
          <w:szCs w:val="24"/>
        </w:rPr>
        <w:t xml:space="preserve"> y persona</w:t>
      </w:r>
      <w:r w:rsidRPr="00792B12">
        <w:rPr>
          <w:rFonts w:ascii="Arial" w:hAnsi="Arial" w:cs="Arial"/>
          <w:sz w:val="24"/>
          <w:szCs w:val="24"/>
        </w:rPr>
        <w:t>, quinta edición actualizada y ampliada, Astrea, Buenos Aires, 2015.</w:t>
      </w:r>
    </w:p>
    <w:p w14:paraId="1297BDA5"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Fernández </w:t>
      </w:r>
      <w:proofErr w:type="spellStart"/>
      <w:r w:rsidRPr="00792B12">
        <w:rPr>
          <w:rFonts w:ascii="Arial" w:hAnsi="Arial" w:cs="Arial"/>
          <w:sz w:val="24"/>
          <w:szCs w:val="24"/>
        </w:rPr>
        <w:t>Sessarego</w:t>
      </w:r>
      <w:proofErr w:type="spellEnd"/>
      <w:r w:rsidRPr="00792B12">
        <w:rPr>
          <w:rFonts w:ascii="Arial" w:hAnsi="Arial" w:cs="Arial"/>
          <w:sz w:val="24"/>
          <w:szCs w:val="24"/>
        </w:rPr>
        <w:t xml:space="preserve">, Carlos, </w:t>
      </w:r>
      <w:r w:rsidRPr="00792B12">
        <w:rPr>
          <w:rFonts w:ascii="Arial" w:hAnsi="Arial" w:cs="Arial"/>
          <w:i/>
          <w:sz w:val="24"/>
          <w:szCs w:val="24"/>
        </w:rPr>
        <w:t>Aproximación al escenario jurídico contemporáneo</w:t>
      </w:r>
      <w:r w:rsidRPr="00792B12">
        <w:rPr>
          <w:rFonts w:ascii="Arial" w:hAnsi="Arial" w:cs="Arial"/>
          <w:sz w:val="24"/>
          <w:szCs w:val="24"/>
        </w:rPr>
        <w:t xml:space="preserve">, en: El derecho a imaginar el Derecho. Análisis, reflexiones y comentarios, </w:t>
      </w:r>
      <w:proofErr w:type="spellStart"/>
      <w:r w:rsidRPr="00792B12">
        <w:rPr>
          <w:rFonts w:ascii="Arial" w:hAnsi="Arial" w:cs="Arial"/>
          <w:sz w:val="24"/>
          <w:szCs w:val="24"/>
        </w:rPr>
        <w:t>Idemsa</w:t>
      </w:r>
      <w:proofErr w:type="spellEnd"/>
      <w:r w:rsidRPr="00792B12">
        <w:rPr>
          <w:rFonts w:ascii="Arial" w:hAnsi="Arial" w:cs="Arial"/>
          <w:sz w:val="24"/>
          <w:szCs w:val="24"/>
        </w:rPr>
        <w:t>, Lima, 2011.</w:t>
      </w:r>
    </w:p>
    <w:p w14:paraId="625318D0"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es-PE"/>
        </w:rPr>
      </w:pPr>
      <w:r w:rsidRPr="00792B12">
        <w:rPr>
          <w:rFonts w:ascii="Arial" w:hAnsi="Arial" w:cs="Arial"/>
          <w:sz w:val="24"/>
          <w:szCs w:val="24"/>
          <w:lang w:val="es-PE"/>
        </w:rPr>
        <w:t xml:space="preserve">Fernández </w:t>
      </w:r>
      <w:proofErr w:type="spellStart"/>
      <w:r w:rsidRPr="00792B12">
        <w:rPr>
          <w:rFonts w:ascii="Arial" w:hAnsi="Arial" w:cs="Arial"/>
          <w:sz w:val="24"/>
          <w:szCs w:val="24"/>
          <w:lang w:val="es-PE"/>
        </w:rPr>
        <w:t>Sessarego</w:t>
      </w:r>
      <w:proofErr w:type="spellEnd"/>
      <w:r w:rsidRPr="00792B12">
        <w:rPr>
          <w:rFonts w:ascii="Arial" w:hAnsi="Arial" w:cs="Arial"/>
          <w:sz w:val="24"/>
          <w:szCs w:val="24"/>
          <w:lang w:val="es-PE"/>
        </w:rPr>
        <w:t xml:space="preserve">, Carlos, </w:t>
      </w:r>
      <w:r w:rsidRPr="00792B12">
        <w:rPr>
          <w:rFonts w:ascii="Arial" w:hAnsi="Arial" w:cs="Arial"/>
          <w:i/>
          <w:sz w:val="24"/>
          <w:szCs w:val="24"/>
          <w:lang w:val="es-PE"/>
        </w:rPr>
        <w:t>Código civil. IV: Exposición de motivos y comentarios</w:t>
      </w:r>
      <w:r w:rsidRPr="00792B12">
        <w:rPr>
          <w:rFonts w:ascii="Arial" w:hAnsi="Arial" w:cs="Arial"/>
          <w:sz w:val="24"/>
          <w:szCs w:val="24"/>
          <w:lang w:val="es-PE"/>
        </w:rPr>
        <w:t xml:space="preserve">, comisión encargada del estudio y revisión del código civil, compilada por Delia Revoredo de </w:t>
      </w:r>
      <w:proofErr w:type="spellStart"/>
      <w:r w:rsidRPr="00792B12">
        <w:rPr>
          <w:rFonts w:ascii="Arial" w:hAnsi="Arial" w:cs="Arial"/>
          <w:sz w:val="24"/>
          <w:szCs w:val="24"/>
          <w:lang w:val="es-PE"/>
        </w:rPr>
        <w:t>Debakey</w:t>
      </w:r>
      <w:proofErr w:type="spellEnd"/>
      <w:r w:rsidRPr="00792B12">
        <w:rPr>
          <w:rFonts w:ascii="Arial" w:hAnsi="Arial" w:cs="Arial"/>
          <w:sz w:val="24"/>
          <w:szCs w:val="24"/>
          <w:lang w:val="es-PE"/>
        </w:rPr>
        <w:t>, Lima, 1985.</w:t>
      </w:r>
    </w:p>
    <w:p w14:paraId="28EBD468" w14:textId="77777777" w:rsidR="0096481E" w:rsidRPr="00D73550" w:rsidRDefault="0096481E" w:rsidP="0096481E">
      <w:pPr>
        <w:pStyle w:val="Textonotapie"/>
        <w:numPr>
          <w:ilvl w:val="0"/>
          <w:numId w:val="17"/>
        </w:numPr>
        <w:spacing w:after="240" w:line="360" w:lineRule="auto"/>
        <w:jc w:val="both"/>
        <w:rPr>
          <w:rFonts w:ascii="Arial" w:hAnsi="Arial" w:cs="Arial"/>
          <w:sz w:val="24"/>
          <w:szCs w:val="24"/>
          <w:lang w:val="es-PE"/>
        </w:rPr>
      </w:pPr>
      <w:r w:rsidRPr="00792B12">
        <w:rPr>
          <w:rFonts w:ascii="Arial" w:hAnsi="Arial" w:cs="Arial"/>
          <w:sz w:val="24"/>
          <w:szCs w:val="24"/>
          <w:lang w:val="es-PE"/>
        </w:rPr>
        <w:t xml:space="preserve">Fernández </w:t>
      </w:r>
      <w:proofErr w:type="spellStart"/>
      <w:r w:rsidRPr="00792B12">
        <w:rPr>
          <w:rFonts w:ascii="Arial" w:hAnsi="Arial" w:cs="Arial"/>
          <w:sz w:val="24"/>
          <w:szCs w:val="24"/>
          <w:lang w:val="es-PE"/>
        </w:rPr>
        <w:t>Sessarego</w:t>
      </w:r>
      <w:proofErr w:type="spellEnd"/>
      <w:r w:rsidRPr="00792B12">
        <w:rPr>
          <w:rFonts w:ascii="Arial" w:hAnsi="Arial" w:cs="Arial"/>
          <w:sz w:val="24"/>
          <w:szCs w:val="24"/>
          <w:lang w:val="es-PE"/>
        </w:rPr>
        <w:t xml:space="preserve">, Carlos, </w:t>
      </w:r>
      <w:r w:rsidRPr="00792B12">
        <w:rPr>
          <w:rFonts w:ascii="Arial" w:hAnsi="Arial" w:cs="Arial"/>
          <w:i/>
          <w:sz w:val="24"/>
          <w:szCs w:val="24"/>
          <w:lang w:val="es-PE"/>
        </w:rPr>
        <w:t>Derecho a la identidad personal</w:t>
      </w:r>
      <w:r w:rsidRPr="00792B12">
        <w:rPr>
          <w:rFonts w:ascii="Arial" w:hAnsi="Arial" w:cs="Arial"/>
          <w:sz w:val="24"/>
          <w:szCs w:val="24"/>
          <w:lang w:val="es-PE"/>
        </w:rPr>
        <w:t>, segunda edición actualizada y ampliada, Instituto Pacífico, Lima, 2015.</w:t>
      </w:r>
    </w:p>
    <w:p w14:paraId="7A406262" w14:textId="77777777" w:rsidR="0096481E" w:rsidRPr="00D73550"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Fernández </w:t>
      </w:r>
      <w:proofErr w:type="spellStart"/>
      <w:r w:rsidRPr="00792B12">
        <w:rPr>
          <w:rFonts w:ascii="Arial" w:hAnsi="Arial" w:cs="Arial"/>
          <w:sz w:val="24"/>
          <w:szCs w:val="24"/>
        </w:rPr>
        <w:t>Sessarego</w:t>
      </w:r>
      <w:proofErr w:type="spellEnd"/>
      <w:r w:rsidRPr="00792B12">
        <w:rPr>
          <w:rFonts w:ascii="Arial" w:hAnsi="Arial" w:cs="Arial"/>
          <w:sz w:val="24"/>
          <w:szCs w:val="24"/>
        </w:rPr>
        <w:t xml:space="preserve">, Carlos, </w:t>
      </w:r>
      <w:r w:rsidRPr="00792B12">
        <w:rPr>
          <w:rFonts w:ascii="Arial" w:hAnsi="Arial" w:cs="Arial"/>
          <w:i/>
          <w:sz w:val="24"/>
          <w:szCs w:val="24"/>
        </w:rPr>
        <w:t>Deslinde conceptual entre “daño a la persona”, “daño al proyecto de vida” y “daño moral”</w:t>
      </w:r>
      <w:r w:rsidRPr="00792B12">
        <w:rPr>
          <w:rFonts w:ascii="Arial" w:hAnsi="Arial" w:cs="Arial"/>
          <w:sz w:val="24"/>
          <w:szCs w:val="24"/>
        </w:rPr>
        <w:t xml:space="preserve">, en: </w:t>
      </w:r>
      <w:proofErr w:type="spellStart"/>
      <w:r w:rsidRPr="00792B12">
        <w:rPr>
          <w:rFonts w:ascii="Arial" w:hAnsi="Arial" w:cs="Arial"/>
          <w:sz w:val="24"/>
          <w:szCs w:val="24"/>
        </w:rPr>
        <w:t>Studi</w:t>
      </w:r>
      <w:proofErr w:type="spellEnd"/>
      <w:r w:rsidRPr="00792B12">
        <w:rPr>
          <w:rFonts w:ascii="Arial" w:hAnsi="Arial" w:cs="Arial"/>
          <w:sz w:val="24"/>
          <w:szCs w:val="24"/>
        </w:rPr>
        <w:t xml:space="preserve"> in </w:t>
      </w:r>
      <w:proofErr w:type="spellStart"/>
      <w:r w:rsidRPr="00792B12">
        <w:rPr>
          <w:rFonts w:ascii="Arial" w:hAnsi="Arial" w:cs="Arial"/>
          <w:sz w:val="24"/>
          <w:szCs w:val="24"/>
        </w:rPr>
        <w:t>Onore</w:t>
      </w:r>
      <w:proofErr w:type="spellEnd"/>
      <w:r w:rsidRPr="00792B12">
        <w:rPr>
          <w:rFonts w:ascii="Arial" w:hAnsi="Arial" w:cs="Arial"/>
          <w:sz w:val="24"/>
          <w:szCs w:val="24"/>
        </w:rPr>
        <w:t xml:space="preserve"> di Cesare Massimo Bianca, tomo IV, </w:t>
      </w:r>
      <w:proofErr w:type="spellStart"/>
      <w:r w:rsidRPr="00792B12">
        <w:rPr>
          <w:rFonts w:ascii="Arial" w:hAnsi="Arial" w:cs="Arial"/>
          <w:sz w:val="24"/>
          <w:szCs w:val="24"/>
        </w:rPr>
        <w:t>Giuffrè</w:t>
      </w:r>
      <w:proofErr w:type="spellEnd"/>
      <w:r w:rsidRPr="00792B12">
        <w:rPr>
          <w:rFonts w:ascii="Arial" w:hAnsi="Arial" w:cs="Arial"/>
          <w:sz w:val="24"/>
          <w:szCs w:val="24"/>
        </w:rPr>
        <w:t xml:space="preserve"> editore, Milán, 2006.</w:t>
      </w:r>
    </w:p>
    <w:p w14:paraId="332994DD" w14:textId="59EF8B05" w:rsidR="0096481E" w:rsidRPr="004141BF" w:rsidRDefault="0096481E" w:rsidP="0096481E">
      <w:pPr>
        <w:pStyle w:val="Textonotapie"/>
        <w:numPr>
          <w:ilvl w:val="0"/>
          <w:numId w:val="17"/>
        </w:numPr>
        <w:spacing w:after="240" w:line="360" w:lineRule="auto"/>
        <w:jc w:val="both"/>
        <w:rPr>
          <w:rFonts w:ascii="Arial" w:hAnsi="Arial" w:cs="Arial"/>
          <w:sz w:val="24"/>
          <w:szCs w:val="24"/>
          <w:lang w:val="es-PE"/>
        </w:rPr>
      </w:pPr>
      <w:r w:rsidRPr="00792B12">
        <w:rPr>
          <w:rFonts w:ascii="Arial" w:hAnsi="Arial" w:cs="Arial"/>
          <w:sz w:val="24"/>
          <w:szCs w:val="24"/>
          <w:lang w:val="es-PE"/>
        </w:rPr>
        <w:t xml:space="preserve">Fernández </w:t>
      </w:r>
      <w:proofErr w:type="spellStart"/>
      <w:r w:rsidRPr="00792B12">
        <w:rPr>
          <w:rFonts w:ascii="Arial" w:hAnsi="Arial" w:cs="Arial"/>
          <w:sz w:val="24"/>
          <w:szCs w:val="24"/>
          <w:lang w:val="es-PE"/>
        </w:rPr>
        <w:t>Sessarego</w:t>
      </w:r>
      <w:proofErr w:type="spellEnd"/>
      <w:r w:rsidRPr="00792B12">
        <w:rPr>
          <w:rFonts w:ascii="Arial" w:hAnsi="Arial" w:cs="Arial"/>
          <w:sz w:val="24"/>
          <w:szCs w:val="24"/>
          <w:lang w:val="es-PE"/>
        </w:rPr>
        <w:t xml:space="preserve">, Carlos, </w:t>
      </w:r>
      <w:r w:rsidRPr="00792B12">
        <w:rPr>
          <w:rFonts w:ascii="Arial" w:hAnsi="Arial" w:cs="Arial"/>
          <w:i/>
          <w:sz w:val="24"/>
          <w:szCs w:val="24"/>
          <w:lang w:val="es-PE"/>
        </w:rPr>
        <w:t>El derecho a la identidad personal</w:t>
      </w:r>
      <w:r w:rsidRPr="00792B12">
        <w:rPr>
          <w:rFonts w:ascii="Arial" w:hAnsi="Arial" w:cs="Arial"/>
          <w:sz w:val="24"/>
          <w:szCs w:val="24"/>
          <w:lang w:val="es-PE"/>
        </w:rPr>
        <w:t xml:space="preserve">, en. AA.VV., </w:t>
      </w:r>
      <w:r w:rsidRPr="00792B12">
        <w:rPr>
          <w:rFonts w:ascii="Arial" w:hAnsi="Arial" w:cs="Arial"/>
          <w:i/>
          <w:sz w:val="24"/>
          <w:szCs w:val="24"/>
          <w:lang w:val="es-PE"/>
        </w:rPr>
        <w:t>Tendencias actuales y perspectivas del derecho privado y el sistema jurídico latinoamericano</w:t>
      </w:r>
      <w:r w:rsidRPr="00792B12">
        <w:rPr>
          <w:rFonts w:ascii="Arial" w:hAnsi="Arial" w:cs="Arial"/>
          <w:sz w:val="24"/>
          <w:szCs w:val="24"/>
          <w:lang w:val="es-PE"/>
        </w:rPr>
        <w:t xml:space="preserve">, ponencias presentadas en el Congreso Internacional celebrado en Lima del 5 al 7 de setiembre de 1988, organizado por el Ilustre Colegio de Abogados de Lima y la </w:t>
      </w:r>
      <w:proofErr w:type="spellStart"/>
      <w:r w:rsidRPr="00792B12">
        <w:rPr>
          <w:rFonts w:ascii="Arial" w:hAnsi="Arial" w:cs="Arial"/>
          <w:sz w:val="24"/>
          <w:szCs w:val="24"/>
          <w:lang w:val="es-PE"/>
        </w:rPr>
        <w:t>Associazione</w:t>
      </w:r>
      <w:proofErr w:type="spellEnd"/>
      <w:r w:rsidRPr="00792B12">
        <w:rPr>
          <w:rFonts w:ascii="Arial" w:hAnsi="Arial" w:cs="Arial"/>
          <w:sz w:val="24"/>
          <w:szCs w:val="24"/>
          <w:lang w:val="es-PE"/>
        </w:rPr>
        <w:t xml:space="preserve"> </w:t>
      </w:r>
      <w:r w:rsidRPr="00792B12">
        <w:rPr>
          <w:rFonts w:ascii="Arial" w:hAnsi="Arial" w:cs="Arial"/>
          <w:sz w:val="24"/>
          <w:szCs w:val="24"/>
          <w:lang w:val="es-PE"/>
        </w:rPr>
        <w:lastRenderedPageBreak/>
        <w:t xml:space="preserve">di </w:t>
      </w:r>
      <w:proofErr w:type="spellStart"/>
      <w:r w:rsidRPr="00792B12">
        <w:rPr>
          <w:rFonts w:ascii="Arial" w:hAnsi="Arial" w:cs="Arial"/>
          <w:sz w:val="24"/>
          <w:szCs w:val="24"/>
          <w:lang w:val="es-PE"/>
        </w:rPr>
        <w:t>Studi</w:t>
      </w:r>
      <w:proofErr w:type="spellEnd"/>
      <w:r w:rsidRPr="00792B12">
        <w:rPr>
          <w:rFonts w:ascii="Arial" w:hAnsi="Arial" w:cs="Arial"/>
          <w:sz w:val="24"/>
          <w:szCs w:val="24"/>
          <w:lang w:val="es-PE"/>
        </w:rPr>
        <w:t xml:space="preserve"> </w:t>
      </w:r>
      <w:proofErr w:type="spellStart"/>
      <w:r w:rsidRPr="00792B12">
        <w:rPr>
          <w:rFonts w:ascii="Arial" w:hAnsi="Arial" w:cs="Arial"/>
          <w:sz w:val="24"/>
          <w:szCs w:val="24"/>
          <w:lang w:val="es-PE"/>
        </w:rPr>
        <w:t>Sociali</w:t>
      </w:r>
      <w:proofErr w:type="spellEnd"/>
      <w:r w:rsidRPr="00792B12">
        <w:rPr>
          <w:rFonts w:ascii="Arial" w:hAnsi="Arial" w:cs="Arial"/>
          <w:sz w:val="24"/>
          <w:szCs w:val="24"/>
          <w:lang w:val="es-PE"/>
        </w:rPr>
        <w:t xml:space="preserve"> </w:t>
      </w:r>
      <w:proofErr w:type="spellStart"/>
      <w:r w:rsidRPr="00792B12">
        <w:rPr>
          <w:rFonts w:ascii="Arial" w:hAnsi="Arial" w:cs="Arial"/>
          <w:sz w:val="24"/>
          <w:szCs w:val="24"/>
          <w:lang w:val="es-PE"/>
        </w:rPr>
        <w:t>Latinoamericani</w:t>
      </w:r>
      <w:proofErr w:type="spellEnd"/>
      <w:r w:rsidRPr="00792B12">
        <w:rPr>
          <w:rFonts w:ascii="Arial" w:hAnsi="Arial" w:cs="Arial"/>
          <w:sz w:val="24"/>
          <w:szCs w:val="24"/>
          <w:lang w:val="es-PE"/>
        </w:rPr>
        <w:t xml:space="preserve"> (ASSLA), Cultural Cuzco S.A. editores, Lima, 1990</w:t>
      </w:r>
      <w:r w:rsidRPr="00792B12">
        <w:rPr>
          <w:rFonts w:ascii="Arial" w:hAnsi="Arial" w:cs="Arial"/>
          <w:sz w:val="24"/>
          <w:szCs w:val="24"/>
        </w:rPr>
        <w:t>.</w:t>
      </w:r>
    </w:p>
    <w:p w14:paraId="5D40A711"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Fernández </w:t>
      </w:r>
      <w:proofErr w:type="spellStart"/>
      <w:r w:rsidRPr="00792B12">
        <w:rPr>
          <w:rFonts w:ascii="Arial" w:hAnsi="Arial" w:cs="Arial"/>
          <w:sz w:val="24"/>
          <w:szCs w:val="24"/>
        </w:rPr>
        <w:t>Sessarego</w:t>
      </w:r>
      <w:proofErr w:type="spellEnd"/>
      <w:r w:rsidRPr="00792B12">
        <w:rPr>
          <w:rFonts w:ascii="Arial" w:hAnsi="Arial" w:cs="Arial"/>
          <w:sz w:val="24"/>
          <w:szCs w:val="24"/>
        </w:rPr>
        <w:t xml:space="preserve">, Carlos, </w:t>
      </w:r>
      <w:r w:rsidRPr="00792B12">
        <w:rPr>
          <w:rFonts w:ascii="Arial" w:hAnsi="Arial" w:cs="Arial"/>
          <w:i/>
          <w:sz w:val="24"/>
          <w:szCs w:val="24"/>
        </w:rPr>
        <w:t>El Derecho como libertad. La Teoría Tridimensional del Derecho</w:t>
      </w:r>
      <w:r w:rsidRPr="00792B12">
        <w:rPr>
          <w:rFonts w:ascii="Arial" w:hAnsi="Arial" w:cs="Arial"/>
          <w:sz w:val="24"/>
          <w:szCs w:val="24"/>
        </w:rPr>
        <w:t xml:space="preserve">, </w:t>
      </w:r>
      <w:proofErr w:type="spellStart"/>
      <w:r w:rsidRPr="00792B12">
        <w:rPr>
          <w:rFonts w:ascii="Arial" w:hAnsi="Arial" w:cs="Arial"/>
          <w:sz w:val="24"/>
          <w:szCs w:val="24"/>
        </w:rPr>
        <w:t>Motivensa</w:t>
      </w:r>
      <w:proofErr w:type="spellEnd"/>
      <w:r w:rsidRPr="00792B12">
        <w:rPr>
          <w:rFonts w:ascii="Arial" w:hAnsi="Arial" w:cs="Arial"/>
          <w:sz w:val="24"/>
          <w:szCs w:val="24"/>
        </w:rPr>
        <w:t xml:space="preserve"> editora jurídica, Lima, 2017.</w:t>
      </w:r>
    </w:p>
    <w:p w14:paraId="14562DA4"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Fernández </w:t>
      </w:r>
      <w:proofErr w:type="spellStart"/>
      <w:r w:rsidRPr="00792B12">
        <w:rPr>
          <w:rFonts w:ascii="Arial" w:hAnsi="Arial" w:cs="Arial"/>
          <w:sz w:val="24"/>
          <w:szCs w:val="24"/>
        </w:rPr>
        <w:t>Sessarego</w:t>
      </w:r>
      <w:proofErr w:type="spellEnd"/>
      <w:r w:rsidRPr="00792B12">
        <w:rPr>
          <w:rFonts w:ascii="Arial" w:hAnsi="Arial" w:cs="Arial"/>
          <w:sz w:val="24"/>
          <w:szCs w:val="24"/>
        </w:rPr>
        <w:t xml:space="preserve">, Carlos, </w:t>
      </w:r>
      <w:r w:rsidRPr="00792B12">
        <w:rPr>
          <w:rFonts w:ascii="Arial" w:hAnsi="Arial" w:cs="Arial"/>
          <w:i/>
          <w:sz w:val="24"/>
          <w:szCs w:val="24"/>
        </w:rPr>
        <w:t>Los 25 años del Código Civil Peruano de 1984. Historia, ideología, aportes, comentarios críticos, propuestas de enmiendas</w:t>
      </w:r>
      <w:r w:rsidRPr="00792B12">
        <w:rPr>
          <w:rFonts w:ascii="Arial" w:hAnsi="Arial" w:cs="Arial"/>
          <w:sz w:val="24"/>
          <w:szCs w:val="24"/>
        </w:rPr>
        <w:t xml:space="preserve">, </w:t>
      </w:r>
      <w:proofErr w:type="spellStart"/>
      <w:r w:rsidRPr="00792B12">
        <w:rPr>
          <w:rFonts w:ascii="Arial" w:hAnsi="Arial" w:cs="Arial"/>
          <w:sz w:val="24"/>
          <w:szCs w:val="24"/>
        </w:rPr>
        <w:t>Motivensa</w:t>
      </w:r>
      <w:proofErr w:type="spellEnd"/>
      <w:r w:rsidRPr="00792B12">
        <w:rPr>
          <w:rFonts w:ascii="Arial" w:hAnsi="Arial" w:cs="Arial"/>
          <w:sz w:val="24"/>
          <w:szCs w:val="24"/>
        </w:rPr>
        <w:t xml:space="preserve"> editora jurídica, Lima, 2009.</w:t>
      </w:r>
    </w:p>
    <w:p w14:paraId="4921A6B9"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Fernández </w:t>
      </w:r>
      <w:proofErr w:type="spellStart"/>
      <w:r w:rsidRPr="00792B12">
        <w:rPr>
          <w:rFonts w:ascii="Arial" w:hAnsi="Arial" w:cs="Arial"/>
          <w:sz w:val="24"/>
          <w:szCs w:val="24"/>
        </w:rPr>
        <w:t>Sessarego</w:t>
      </w:r>
      <w:proofErr w:type="spellEnd"/>
      <w:r w:rsidRPr="00792B12">
        <w:rPr>
          <w:rFonts w:ascii="Arial" w:hAnsi="Arial" w:cs="Arial"/>
          <w:sz w:val="24"/>
          <w:szCs w:val="24"/>
        </w:rPr>
        <w:t xml:space="preserve">, Carlos, </w:t>
      </w:r>
      <w:r w:rsidRPr="00792B12">
        <w:rPr>
          <w:rFonts w:ascii="Arial" w:hAnsi="Arial" w:cs="Arial"/>
          <w:i/>
          <w:sz w:val="24"/>
          <w:szCs w:val="24"/>
        </w:rPr>
        <w:t>Nuevas reflexiones sobre la adecuación sexual y el consiguiente cambio de nombre</w:t>
      </w:r>
      <w:r w:rsidRPr="00792B12">
        <w:rPr>
          <w:rFonts w:ascii="Arial" w:hAnsi="Arial" w:cs="Arial"/>
          <w:sz w:val="24"/>
          <w:szCs w:val="24"/>
        </w:rPr>
        <w:t xml:space="preserve">, en: AA.VV., </w:t>
      </w:r>
      <w:r w:rsidRPr="00792B12">
        <w:rPr>
          <w:rFonts w:ascii="Arial" w:hAnsi="Arial" w:cs="Arial"/>
          <w:i/>
          <w:sz w:val="24"/>
          <w:szCs w:val="24"/>
        </w:rPr>
        <w:t>Derecho civil de nuestro tiempo</w:t>
      </w:r>
      <w:r w:rsidRPr="00792B12">
        <w:rPr>
          <w:rFonts w:ascii="Arial" w:hAnsi="Arial" w:cs="Arial"/>
          <w:sz w:val="24"/>
          <w:szCs w:val="24"/>
        </w:rPr>
        <w:t>, Gaceta jurídica, Lima, 1995.</w:t>
      </w:r>
    </w:p>
    <w:p w14:paraId="2B05DF40"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Fernández </w:t>
      </w:r>
      <w:proofErr w:type="spellStart"/>
      <w:r w:rsidRPr="00792B12">
        <w:rPr>
          <w:rFonts w:ascii="Arial" w:hAnsi="Arial" w:cs="Arial"/>
          <w:sz w:val="24"/>
          <w:szCs w:val="24"/>
        </w:rPr>
        <w:t>Sessarego</w:t>
      </w:r>
      <w:proofErr w:type="spellEnd"/>
      <w:r w:rsidRPr="00792B12">
        <w:rPr>
          <w:rFonts w:ascii="Arial" w:hAnsi="Arial" w:cs="Arial"/>
          <w:sz w:val="24"/>
          <w:szCs w:val="24"/>
        </w:rPr>
        <w:t xml:space="preserve">, Carlos, </w:t>
      </w:r>
      <w:r w:rsidRPr="00792B12">
        <w:rPr>
          <w:rFonts w:ascii="Arial" w:hAnsi="Arial" w:cs="Arial"/>
          <w:i/>
          <w:sz w:val="24"/>
          <w:szCs w:val="24"/>
        </w:rPr>
        <w:t>Problemática de la identidad sexual</w:t>
      </w:r>
      <w:r w:rsidRPr="00792B12">
        <w:rPr>
          <w:rFonts w:ascii="Arial" w:hAnsi="Arial" w:cs="Arial"/>
          <w:sz w:val="24"/>
          <w:szCs w:val="24"/>
        </w:rPr>
        <w:t xml:space="preserve">, en: </w:t>
      </w:r>
      <w:r w:rsidRPr="00792B12">
        <w:rPr>
          <w:rFonts w:ascii="Arial" w:hAnsi="Arial" w:cs="Arial"/>
          <w:i/>
          <w:sz w:val="24"/>
          <w:szCs w:val="24"/>
        </w:rPr>
        <w:t>Nuevas Tendencias en el derecho de la persona</w:t>
      </w:r>
      <w:r w:rsidRPr="00792B12">
        <w:rPr>
          <w:rFonts w:ascii="Arial" w:hAnsi="Arial" w:cs="Arial"/>
          <w:sz w:val="24"/>
          <w:szCs w:val="24"/>
        </w:rPr>
        <w:t>, Universidad de Lima, Lima, 1990.</w:t>
      </w:r>
    </w:p>
    <w:p w14:paraId="1B525E23"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Fernández </w:t>
      </w:r>
      <w:proofErr w:type="spellStart"/>
      <w:r w:rsidRPr="00792B12">
        <w:rPr>
          <w:rFonts w:ascii="Arial" w:hAnsi="Arial" w:cs="Arial"/>
          <w:sz w:val="24"/>
          <w:szCs w:val="24"/>
        </w:rPr>
        <w:t>Sessarego</w:t>
      </w:r>
      <w:proofErr w:type="spellEnd"/>
      <w:r w:rsidRPr="00792B12">
        <w:rPr>
          <w:rFonts w:ascii="Arial" w:hAnsi="Arial" w:cs="Arial"/>
          <w:sz w:val="24"/>
          <w:szCs w:val="24"/>
        </w:rPr>
        <w:t xml:space="preserve">, Carlos, </w:t>
      </w:r>
      <w:r w:rsidRPr="00792B12">
        <w:rPr>
          <w:rFonts w:ascii="Arial" w:hAnsi="Arial" w:cs="Arial"/>
          <w:i/>
          <w:iCs/>
          <w:sz w:val="24"/>
          <w:szCs w:val="24"/>
        </w:rPr>
        <w:t>Responsabilidad médica en los casos de adecuación de sexo</w:t>
      </w:r>
      <w:r w:rsidRPr="00792B12">
        <w:rPr>
          <w:rFonts w:ascii="Arial" w:hAnsi="Arial" w:cs="Arial"/>
          <w:sz w:val="24"/>
          <w:szCs w:val="24"/>
        </w:rPr>
        <w:t xml:space="preserve">, en: Fernández </w:t>
      </w:r>
      <w:proofErr w:type="spellStart"/>
      <w:r w:rsidRPr="00792B12">
        <w:rPr>
          <w:rFonts w:ascii="Arial" w:hAnsi="Arial" w:cs="Arial"/>
          <w:sz w:val="24"/>
          <w:szCs w:val="24"/>
        </w:rPr>
        <w:t>Sessarego</w:t>
      </w:r>
      <w:proofErr w:type="spellEnd"/>
      <w:r w:rsidRPr="00792B12">
        <w:rPr>
          <w:rFonts w:ascii="Arial" w:hAnsi="Arial" w:cs="Arial"/>
          <w:sz w:val="24"/>
          <w:szCs w:val="24"/>
        </w:rPr>
        <w:t xml:space="preserve">, Carlos y </w:t>
      </w:r>
      <w:proofErr w:type="spellStart"/>
      <w:r w:rsidRPr="00792B12">
        <w:rPr>
          <w:rFonts w:ascii="Arial" w:hAnsi="Arial" w:cs="Arial"/>
          <w:sz w:val="24"/>
          <w:szCs w:val="24"/>
        </w:rPr>
        <w:t>Woolcott</w:t>
      </w:r>
      <w:proofErr w:type="spellEnd"/>
      <w:r w:rsidRPr="00792B12">
        <w:rPr>
          <w:rFonts w:ascii="Arial" w:hAnsi="Arial" w:cs="Arial"/>
          <w:sz w:val="24"/>
          <w:szCs w:val="24"/>
        </w:rPr>
        <w:t xml:space="preserve"> </w:t>
      </w:r>
      <w:proofErr w:type="spellStart"/>
      <w:r w:rsidRPr="00792B12">
        <w:rPr>
          <w:rFonts w:ascii="Arial" w:hAnsi="Arial" w:cs="Arial"/>
          <w:sz w:val="24"/>
          <w:szCs w:val="24"/>
        </w:rPr>
        <w:t>Yague</w:t>
      </w:r>
      <w:proofErr w:type="spellEnd"/>
      <w:r w:rsidRPr="00792B12">
        <w:rPr>
          <w:rFonts w:ascii="Arial" w:hAnsi="Arial" w:cs="Arial"/>
          <w:sz w:val="24"/>
          <w:szCs w:val="24"/>
        </w:rPr>
        <w:t xml:space="preserve">, Olenka, </w:t>
      </w:r>
      <w:r w:rsidRPr="00792B12">
        <w:rPr>
          <w:rFonts w:ascii="Arial" w:hAnsi="Arial" w:cs="Arial"/>
          <w:i/>
          <w:iCs/>
          <w:sz w:val="24"/>
          <w:szCs w:val="24"/>
        </w:rPr>
        <w:t>Derecho médico. De las nociones fundamentales y la responsabilidad médica</w:t>
      </w:r>
      <w:r w:rsidRPr="00792B12">
        <w:rPr>
          <w:rFonts w:ascii="Arial" w:hAnsi="Arial" w:cs="Arial"/>
          <w:sz w:val="24"/>
          <w:szCs w:val="24"/>
        </w:rPr>
        <w:t>, tomo II, Instituto Pacífico, Lima, 2018.</w:t>
      </w:r>
    </w:p>
    <w:p w14:paraId="41F22DEC"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Fernández Sessarego, Carlos, </w:t>
      </w:r>
      <w:r w:rsidRPr="00792B12">
        <w:rPr>
          <w:rFonts w:ascii="Arial" w:hAnsi="Arial" w:cs="Arial"/>
          <w:i/>
          <w:sz w:val="24"/>
          <w:szCs w:val="24"/>
          <w:lang w:val="it-IT"/>
        </w:rPr>
        <w:t>Un nuovo modo di fare diritto</w:t>
      </w:r>
      <w:r w:rsidRPr="00792B12">
        <w:rPr>
          <w:rFonts w:ascii="Arial" w:hAnsi="Arial" w:cs="Arial"/>
          <w:sz w:val="24"/>
          <w:szCs w:val="24"/>
          <w:lang w:val="it-IT"/>
        </w:rPr>
        <w:t xml:space="preserve">, en: AA.VV., </w:t>
      </w:r>
      <w:r w:rsidRPr="00792B12">
        <w:rPr>
          <w:rFonts w:ascii="Arial" w:hAnsi="Arial" w:cs="Arial"/>
          <w:i/>
          <w:sz w:val="24"/>
          <w:szCs w:val="24"/>
          <w:lang w:val="it-IT"/>
        </w:rPr>
        <w:t>Il diritto dei nuovi mondi</w:t>
      </w:r>
      <w:r w:rsidRPr="00792B12">
        <w:rPr>
          <w:rFonts w:ascii="Arial" w:hAnsi="Arial" w:cs="Arial"/>
          <w:sz w:val="24"/>
          <w:szCs w:val="24"/>
          <w:lang w:val="it-IT"/>
        </w:rPr>
        <w:t>, atti del Convegno promosso dall’Istituto di Diritto Privato delle Facoltà di Giurisprudenza, Genova, 5-7 novembre 1992, Cedam, Padua, 1994.</w:t>
      </w:r>
    </w:p>
    <w:p w14:paraId="02D87BF9"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Ferrara Santamaria, Massimo, </w:t>
      </w:r>
      <w:r w:rsidRPr="00792B12">
        <w:rPr>
          <w:rFonts w:ascii="Arial" w:hAnsi="Arial" w:cs="Arial"/>
          <w:i/>
          <w:sz w:val="24"/>
          <w:szCs w:val="24"/>
          <w:lang w:val="it-IT"/>
        </w:rPr>
        <w:t>Il diritto alla illesa intimità privata</w:t>
      </w:r>
      <w:r w:rsidRPr="00792B12">
        <w:rPr>
          <w:rFonts w:ascii="Arial" w:hAnsi="Arial" w:cs="Arial"/>
          <w:sz w:val="24"/>
          <w:szCs w:val="24"/>
          <w:lang w:val="it-IT"/>
        </w:rPr>
        <w:t>, en:  Rivista di Diritto Privato, volumen VII, primera parte, Cedam, Padua, 1937.</w:t>
      </w:r>
    </w:p>
    <w:p w14:paraId="4618ACA4"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Ferraro, Luigi, </w:t>
      </w:r>
      <w:r w:rsidRPr="00792B12">
        <w:rPr>
          <w:rFonts w:ascii="Arial" w:hAnsi="Arial" w:cs="Arial"/>
          <w:i/>
          <w:sz w:val="24"/>
          <w:szCs w:val="24"/>
          <w:lang w:val="it-IT"/>
        </w:rPr>
        <w:t xml:space="preserve">Transessualismo e costituzione: i diritti fundamentali in una lettura </w:t>
      </w:r>
      <w:r w:rsidRPr="00792B12">
        <w:rPr>
          <w:rFonts w:ascii="Arial" w:hAnsi="Arial" w:cs="Arial"/>
          <w:iCs/>
          <w:sz w:val="24"/>
          <w:szCs w:val="24"/>
          <w:lang w:val="it-IT"/>
        </w:rPr>
        <w:t>comparata, en</w:t>
      </w:r>
      <w:r w:rsidRPr="00792B12">
        <w:rPr>
          <w:rFonts w:ascii="Arial" w:hAnsi="Arial" w:cs="Arial"/>
          <w:sz w:val="24"/>
          <w:szCs w:val="24"/>
          <w:lang w:val="it-IT"/>
        </w:rPr>
        <w:t xml:space="preserve">:  </w:t>
      </w:r>
      <w:r w:rsidRPr="00792B12">
        <w:rPr>
          <w:rFonts w:ascii="Arial" w:hAnsi="Arial" w:cs="Arial"/>
          <w:i/>
          <w:sz w:val="24"/>
          <w:szCs w:val="24"/>
          <w:lang w:val="it-IT"/>
        </w:rPr>
        <w:t>Federalismi. It</w:t>
      </w:r>
      <w:r w:rsidRPr="00792B12">
        <w:rPr>
          <w:rFonts w:ascii="Arial" w:hAnsi="Arial" w:cs="Arial"/>
          <w:sz w:val="24"/>
          <w:szCs w:val="24"/>
          <w:lang w:val="it-IT"/>
        </w:rPr>
        <w:t>. Rivista di diritto pubblico italiano, comunitario e comparato, n. 21, 2013.</w:t>
      </w:r>
    </w:p>
    <w:p w14:paraId="1789D5B7" w14:textId="18AEF672" w:rsidR="0096481E" w:rsidRPr="00352D8D" w:rsidRDefault="0096481E" w:rsidP="0096481E">
      <w:pPr>
        <w:pStyle w:val="Prrafodelista"/>
        <w:numPr>
          <w:ilvl w:val="0"/>
          <w:numId w:val="17"/>
        </w:numPr>
        <w:spacing w:after="240" w:line="360" w:lineRule="auto"/>
        <w:jc w:val="both"/>
        <w:rPr>
          <w:rFonts w:ascii="Arial" w:hAnsi="Arial" w:cs="Arial"/>
          <w:sz w:val="24"/>
          <w:szCs w:val="24"/>
          <w:shd w:val="clear" w:color="auto" w:fill="FFFFFF"/>
          <w:lang w:val="it-IT"/>
        </w:rPr>
      </w:pPr>
      <w:r w:rsidRPr="00792B12">
        <w:rPr>
          <w:rFonts w:ascii="Arial" w:hAnsi="Arial" w:cs="Arial"/>
          <w:sz w:val="24"/>
          <w:szCs w:val="24"/>
          <w:shd w:val="clear" w:color="auto" w:fill="FFFFFF"/>
          <w:lang w:val="it-IT"/>
        </w:rPr>
        <w:t xml:space="preserve">Finocchiaro, Giusella, </w:t>
      </w:r>
      <w:r w:rsidRPr="00792B12">
        <w:rPr>
          <w:rFonts w:ascii="Arial" w:hAnsi="Arial" w:cs="Arial"/>
          <w:i/>
          <w:sz w:val="24"/>
          <w:szCs w:val="24"/>
          <w:shd w:val="clear" w:color="auto" w:fill="FFFFFF"/>
          <w:lang w:val="it-IT"/>
        </w:rPr>
        <w:t>Identità personale (diritto alla)</w:t>
      </w:r>
      <w:r w:rsidRPr="00792B12">
        <w:rPr>
          <w:rFonts w:ascii="Arial" w:hAnsi="Arial" w:cs="Arial"/>
          <w:sz w:val="24"/>
          <w:szCs w:val="24"/>
          <w:shd w:val="clear" w:color="auto" w:fill="FFFFFF"/>
          <w:lang w:val="it-IT"/>
        </w:rPr>
        <w:t>, en Digesto delle discipline privatistiche, Utet giuridica, Turín, 2010.</w:t>
      </w:r>
    </w:p>
    <w:p w14:paraId="1DD89989" w14:textId="77777777" w:rsidR="0096481E" w:rsidRPr="00C76011" w:rsidRDefault="0096481E" w:rsidP="0096481E">
      <w:pPr>
        <w:pStyle w:val="Prrafodelista"/>
        <w:numPr>
          <w:ilvl w:val="0"/>
          <w:numId w:val="17"/>
        </w:numPr>
        <w:spacing w:after="240" w:line="360" w:lineRule="auto"/>
        <w:jc w:val="both"/>
        <w:rPr>
          <w:rFonts w:ascii="Arial" w:hAnsi="Arial" w:cs="Arial"/>
          <w:iCs/>
          <w:sz w:val="24"/>
          <w:szCs w:val="24"/>
          <w:lang w:val="it-IT"/>
        </w:rPr>
      </w:pPr>
      <w:r w:rsidRPr="00792B12">
        <w:rPr>
          <w:rFonts w:ascii="Arial" w:hAnsi="Arial" w:cs="Arial"/>
          <w:iCs/>
          <w:sz w:val="24"/>
          <w:szCs w:val="24"/>
          <w:lang w:val="it-IT"/>
        </w:rPr>
        <w:lastRenderedPageBreak/>
        <w:t xml:space="preserve">Fontanarosa, Fioe, </w:t>
      </w:r>
      <w:r w:rsidRPr="00792B12">
        <w:rPr>
          <w:rFonts w:ascii="Arial" w:hAnsi="Arial" w:cs="Arial"/>
          <w:i/>
          <w:sz w:val="24"/>
          <w:szCs w:val="24"/>
          <w:lang w:val="it-IT"/>
        </w:rPr>
        <w:t>Il dirittto all’ identità di genere nel procedimento di rettificazione dell’attribuzione di sesso: cenni comparatistici</w:t>
      </w:r>
      <w:r w:rsidRPr="00792B12">
        <w:rPr>
          <w:rFonts w:ascii="Arial" w:hAnsi="Arial" w:cs="Arial"/>
          <w:iCs/>
          <w:sz w:val="24"/>
          <w:szCs w:val="24"/>
          <w:lang w:val="it-IT"/>
        </w:rPr>
        <w:t>, en: Europa e Diritto Privato, fascículo 2, Giuffré editore,  Milán, 2018.</w:t>
      </w:r>
    </w:p>
    <w:p w14:paraId="1986DE42" w14:textId="77777777" w:rsidR="0096481E" w:rsidRPr="00C76011" w:rsidRDefault="0096481E" w:rsidP="0096481E">
      <w:pPr>
        <w:pStyle w:val="Prrafodelista"/>
        <w:numPr>
          <w:ilvl w:val="0"/>
          <w:numId w:val="17"/>
        </w:numPr>
        <w:spacing w:after="240" w:line="360" w:lineRule="auto"/>
        <w:jc w:val="both"/>
        <w:rPr>
          <w:rFonts w:ascii="Arial" w:hAnsi="Arial" w:cs="Arial"/>
          <w:iCs/>
          <w:sz w:val="24"/>
          <w:szCs w:val="24"/>
          <w:lang w:val="it-IT"/>
        </w:rPr>
      </w:pPr>
      <w:r w:rsidRPr="00792B12">
        <w:rPr>
          <w:rFonts w:ascii="Arial" w:hAnsi="Arial" w:cs="Arial"/>
          <w:iCs/>
          <w:sz w:val="24"/>
          <w:szCs w:val="24"/>
          <w:lang w:val="it-IT"/>
        </w:rPr>
        <w:t xml:space="preserve">Franceschelli, Bruno, </w:t>
      </w:r>
      <w:r w:rsidRPr="00792B12">
        <w:rPr>
          <w:rFonts w:ascii="Arial" w:hAnsi="Arial" w:cs="Arial"/>
          <w:i/>
          <w:sz w:val="24"/>
          <w:szCs w:val="24"/>
          <w:lang w:val="it-IT"/>
        </w:rPr>
        <w:t>Il diritto alla riservatezza</w:t>
      </w:r>
      <w:r w:rsidRPr="00792B12">
        <w:rPr>
          <w:rFonts w:ascii="Arial" w:hAnsi="Arial" w:cs="Arial"/>
          <w:iCs/>
          <w:sz w:val="24"/>
          <w:szCs w:val="24"/>
          <w:lang w:val="it-IT"/>
        </w:rPr>
        <w:t>, Jovene editore, Nápoles,  1960.</w:t>
      </w:r>
    </w:p>
    <w:p w14:paraId="66095A5F"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Fusaro, Arianna, </w:t>
      </w:r>
      <w:r w:rsidRPr="00792B12">
        <w:rPr>
          <w:rFonts w:ascii="Arial" w:hAnsi="Arial" w:cs="Arial"/>
          <w:i/>
          <w:sz w:val="24"/>
          <w:szCs w:val="24"/>
          <w:lang w:val="it-IT"/>
        </w:rPr>
        <w:t>I diritti della personalità dei soggetti collettivi</w:t>
      </w:r>
      <w:r w:rsidRPr="00792B12">
        <w:rPr>
          <w:rFonts w:ascii="Arial" w:hAnsi="Arial" w:cs="Arial"/>
          <w:sz w:val="24"/>
          <w:szCs w:val="24"/>
          <w:lang w:val="it-IT"/>
        </w:rPr>
        <w:t>, Cedam, Padua, 2002.</w:t>
      </w:r>
    </w:p>
    <w:p w14:paraId="0FDCEAE5"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Gallo, Paolo, </w:t>
      </w:r>
      <w:r w:rsidRPr="00792B12">
        <w:rPr>
          <w:rFonts w:ascii="Arial" w:hAnsi="Arial" w:cs="Arial"/>
          <w:i/>
          <w:iCs/>
          <w:sz w:val="24"/>
          <w:szCs w:val="24"/>
          <w:lang w:val="it-IT"/>
        </w:rPr>
        <w:t>Diritto privato</w:t>
      </w:r>
      <w:r w:rsidRPr="00792B12">
        <w:rPr>
          <w:rFonts w:ascii="Arial" w:hAnsi="Arial" w:cs="Arial"/>
          <w:sz w:val="24"/>
          <w:szCs w:val="24"/>
          <w:lang w:val="it-IT"/>
        </w:rPr>
        <w:t>, cuarta edición, G.Giappichelli editore, Turín, 2006.</w:t>
      </w:r>
    </w:p>
    <w:p w14:paraId="292C1AC0"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Giampiccolo, Giorgio, </w:t>
      </w:r>
      <w:r w:rsidRPr="00792B12">
        <w:rPr>
          <w:rFonts w:ascii="Arial" w:hAnsi="Arial" w:cs="Arial"/>
          <w:i/>
          <w:sz w:val="24"/>
          <w:szCs w:val="24"/>
          <w:lang w:val="it-IT"/>
        </w:rPr>
        <w:t>La tutela giuridica della persona umana e il c.d. diritto alla riservatezza</w:t>
      </w:r>
      <w:r w:rsidRPr="00792B12">
        <w:rPr>
          <w:rFonts w:ascii="Arial" w:hAnsi="Arial" w:cs="Arial"/>
          <w:sz w:val="24"/>
          <w:szCs w:val="24"/>
          <w:lang w:val="it-IT"/>
        </w:rPr>
        <w:t xml:space="preserve">, en: Rivista  Trimestrale di Diritto e Procedura Civile, año XII, Giuffrè Editore, Milán, 1958. </w:t>
      </w:r>
    </w:p>
    <w:p w14:paraId="1C0AFD23"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Giorganni, Michele, </w:t>
      </w:r>
      <w:r w:rsidRPr="00792B12">
        <w:rPr>
          <w:rFonts w:ascii="Arial" w:hAnsi="Arial" w:cs="Arial"/>
          <w:i/>
          <w:sz w:val="24"/>
          <w:szCs w:val="24"/>
          <w:lang w:val="it-IT"/>
        </w:rPr>
        <w:t>La tutela della riservatezza</w:t>
      </w:r>
      <w:r w:rsidRPr="00792B12">
        <w:rPr>
          <w:rFonts w:ascii="Arial" w:hAnsi="Arial" w:cs="Arial"/>
          <w:sz w:val="24"/>
          <w:szCs w:val="24"/>
          <w:lang w:val="it-IT"/>
        </w:rPr>
        <w:t xml:space="preserve">, en: </w:t>
      </w:r>
      <w:r w:rsidRPr="00792B12">
        <w:rPr>
          <w:rFonts w:ascii="Arial" w:hAnsi="Arial" w:cs="Arial"/>
          <w:i/>
          <w:sz w:val="24"/>
          <w:szCs w:val="24"/>
          <w:lang w:val="it-IT"/>
        </w:rPr>
        <w:t>Il diritto privato nella società moderna</w:t>
      </w:r>
      <w:r w:rsidRPr="00792B12">
        <w:rPr>
          <w:rFonts w:ascii="Arial" w:hAnsi="Arial" w:cs="Arial"/>
          <w:sz w:val="24"/>
          <w:szCs w:val="24"/>
          <w:lang w:val="it-IT"/>
        </w:rPr>
        <w:t>,  al cuidado de Stefano Rodotà, Società editrice Il Mulino, Bolonia, 1971.</w:t>
      </w:r>
    </w:p>
    <w:p w14:paraId="6C9DE2D5"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Gorgoni, Antonio, </w:t>
      </w:r>
      <w:r w:rsidRPr="00792B12">
        <w:rPr>
          <w:rFonts w:ascii="Arial" w:hAnsi="Arial" w:cs="Arial"/>
          <w:i/>
          <w:sz w:val="24"/>
          <w:szCs w:val="24"/>
          <w:lang w:val="it-IT"/>
        </w:rPr>
        <w:t>Rapporto di filiazione e fattispecie risarcitorie</w:t>
      </w:r>
      <w:r w:rsidRPr="00792B12">
        <w:rPr>
          <w:rFonts w:ascii="Arial" w:hAnsi="Arial" w:cs="Arial"/>
          <w:sz w:val="24"/>
          <w:szCs w:val="24"/>
          <w:lang w:val="it-IT"/>
        </w:rPr>
        <w:t xml:space="preserve">, en: Id,  en </w:t>
      </w:r>
      <w:r w:rsidRPr="00792B12">
        <w:rPr>
          <w:rFonts w:ascii="Arial" w:hAnsi="Arial" w:cs="Arial"/>
          <w:i/>
          <w:sz w:val="24"/>
          <w:szCs w:val="24"/>
          <w:lang w:val="it-IT"/>
        </w:rPr>
        <w:t>La filiazione</w:t>
      </w:r>
      <w:r w:rsidRPr="00792B12">
        <w:rPr>
          <w:rFonts w:ascii="Arial" w:hAnsi="Arial" w:cs="Arial"/>
          <w:sz w:val="24"/>
          <w:szCs w:val="24"/>
          <w:lang w:val="it-IT"/>
        </w:rPr>
        <w:t>, G. Giapppichelli editore,  Turín, 2018.</w:t>
      </w:r>
    </w:p>
    <w:p w14:paraId="0013EB49"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Green, Richard, </w:t>
      </w:r>
      <w:r w:rsidRPr="00792B12">
        <w:rPr>
          <w:rFonts w:ascii="Arial" w:hAnsi="Arial" w:cs="Arial"/>
          <w:i/>
          <w:iCs/>
          <w:sz w:val="24"/>
          <w:szCs w:val="24"/>
          <w:lang w:val="it-IT"/>
        </w:rPr>
        <w:t>Il transessualismo: aspetti mitologici, storici ed etnologici</w:t>
      </w:r>
      <w:r w:rsidRPr="00792B12">
        <w:rPr>
          <w:rFonts w:ascii="Arial" w:hAnsi="Arial" w:cs="Arial"/>
          <w:sz w:val="24"/>
          <w:szCs w:val="24"/>
          <w:lang w:val="it-IT"/>
        </w:rPr>
        <w:t xml:space="preserve">, en: Benjamin, Harry, </w:t>
      </w:r>
      <w:r w:rsidRPr="00792B12">
        <w:rPr>
          <w:rFonts w:ascii="Arial" w:hAnsi="Arial" w:cs="Arial"/>
          <w:i/>
          <w:sz w:val="24"/>
          <w:szCs w:val="24"/>
          <w:lang w:val="it-IT"/>
        </w:rPr>
        <w:t>Il fenomeno transessuale</w:t>
      </w:r>
      <w:r w:rsidRPr="00792B12">
        <w:rPr>
          <w:rFonts w:ascii="Arial" w:hAnsi="Arial" w:cs="Arial"/>
          <w:sz w:val="24"/>
          <w:szCs w:val="24"/>
          <w:lang w:val="it-IT"/>
        </w:rPr>
        <w:t>, Casa editrice Astrolabio, Roma, 1968.</w:t>
      </w:r>
    </w:p>
    <w:p w14:paraId="17360432"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lang w:val="it-IT"/>
        </w:rPr>
        <w:t xml:space="preserve">Grossi, Paolo, </w:t>
      </w:r>
      <w:r w:rsidRPr="00792B12">
        <w:rPr>
          <w:rFonts w:ascii="Arial" w:hAnsi="Arial" w:cs="Arial"/>
          <w:i/>
          <w:sz w:val="24"/>
          <w:szCs w:val="24"/>
          <w:lang w:val="it-IT"/>
        </w:rPr>
        <w:t>Prima lezione di diritto</w:t>
      </w:r>
      <w:r w:rsidRPr="00792B12">
        <w:rPr>
          <w:rFonts w:ascii="Arial" w:hAnsi="Arial" w:cs="Arial"/>
          <w:sz w:val="24"/>
          <w:szCs w:val="24"/>
          <w:lang w:val="it-IT"/>
        </w:rPr>
        <w:t xml:space="preserve">, quindicesima edizione, editori Laterza, Roma-Bari, 2010. </w:t>
      </w:r>
      <w:r w:rsidRPr="00792B12">
        <w:rPr>
          <w:rFonts w:ascii="Arial" w:hAnsi="Arial" w:cs="Arial"/>
          <w:sz w:val="24"/>
          <w:szCs w:val="24"/>
        </w:rPr>
        <w:t xml:space="preserve">Ahora también en castellano, </w:t>
      </w:r>
      <w:r w:rsidRPr="00792B12">
        <w:rPr>
          <w:rFonts w:ascii="Arial" w:hAnsi="Arial" w:cs="Arial"/>
          <w:i/>
          <w:sz w:val="24"/>
          <w:szCs w:val="24"/>
        </w:rPr>
        <w:t>La primera lección del Derecho</w:t>
      </w:r>
      <w:r w:rsidRPr="00792B12">
        <w:rPr>
          <w:rFonts w:ascii="Arial" w:hAnsi="Arial" w:cs="Arial"/>
          <w:sz w:val="24"/>
          <w:szCs w:val="24"/>
        </w:rPr>
        <w:t>, traducción de Clara Álvarez Alonso, Marcial Pons, Madrid, 2006.</w:t>
      </w:r>
    </w:p>
    <w:p w14:paraId="0E4BC03E"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Jiménez Muñoz, Francisco Javier, </w:t>
      </w:r>
      <w:r w:rsidRPr="00792B12">
        <w:rPr>
          <w:rFonts w:ascii="Arial" w:hAnsi="Arial" w:cs="Arial"/>
          <w:i/>
          <w:sz w:val="24"/>
          <w:szCs w:val="24"/>
        </w:rPr>
        <w:t xml:space="preserve">Transexualidad e identidad de género en España, </w:t>
      </w:r>
      <w:r w:rsidRPr="00792B12">
        <w:rPr>
          <w:rFonts w:ascii="Arial" w:hAnsi="Arial" w:cs="Arial"/>
          <w:sz w:val="24"/>
          <w:szCs w:val="24"/>
        </w:rPr>
        <w:t xml:space="preserve">en </w:t>
      </w:r>
      <w:r w:rsidRPr="00792B12">
        <w:rPr>
          <w:rFonts w:ascii="Arial" w:hAnsi="Arial" w:cs="Arial"/>
          <w:i/>
          <w:sz w:val="24"/>
          <w:szCs w:val="24"/>
        </w:rPr>
        <w:t>Estudio de Derechos de las personas, familia, obligaciones y contratos</w:t>
      </w:r>
      <w:r w:rsidRPr="00792B12">
        <w:rPr>
          <w:rFonts w:ascii="Arial" w:hAnsi="Arial" w:cs="Arial"/>
          <w:sz w:val="24"/>
          <w:szCs w:val="24"/>
        </w:rPr>
        <w:t xml:space="preserve">, Ediciones </w:t>
      </w:r>
      <w:proofErr w:type="spellStart"/>
      <w:r w:rsidRPr="00792B12">
        <w:rPr>
          <w:rFonts w:ascii="Arial" w:hAnsi="Arial" w:cs="Arial"/>
          <w:sz w:val="24"/>
          <w:szCs w:val="24"/>
        </w:rPr>
        <w:t>Olejnik</w:t>
      </w:r>
      <w:proofErr w:type="spellEnd"/>
      <w:r w:rsidRPr="00792B12">
        <w:rPr>
          <w:rFonts w:ascii="Arial" w:hAnsi="Arial" w:cs="Arial"/>
          <w:sz w:val="24"/>
          <w:szCs w:val="24"/>
        </w:rPr>
        <w:t>, Argentina, 2017.</w:t>
      </w:r>
    </w:p>
    <w:p w14:paraId="1F906642" w14:textId="160AD523" w:rsidR="0096481E" w:rsidRPr="00DE408C"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Lorenzetti, Anna; Viggiani, Giamoco e Fiore, Patrizia (coordinadores), </w:t>
      </w:r>
      <w:r w:rsidRPr="00792B12">
        <w:rPr>
          <w:rFonts w:ascii="Arial" w:hAnsi="Arial" w:cs="Arial"/>
          <w:i/>
          <w:sz w:val="24"/>
          <w:szCs w:val="24"/>
          <w:lang w:val="it-IT"/>
        </w:rPr>
        <w:t xml:space="preserve">La condizione transessuale: profili giuridici, tutela antidiscriminatoria e buone </w:t>
      </w:r>
      <w:r w:rsidRPr="00792B12">
        <w:rPr>
          <w:rFonts w:ascii="Arial" w:hAnsi="Arial" w:cs="Arial"/>
          <w:iCs/>
          <w:sz w:val="24"/>
          <w:szCs w:val="24"/>
          <w:lang w:val="it-IT"/>
        </w:rPr>
        <w:t>pratiche, Quaderni</w:t>
      </w:r>
      <w:r w:rsidRPr="00792B12">
        <w:rPr>
          <w:rFonts w:ascii="Arial" w:hAnsi="Arial" w:cs="Arial"/>
          <w:sz w:val="24"/>
          <w:szCs w:val="24"/>
          <w:lang w:val="it-IT"/>
        </w:rPr>
        <w:t xml:space="preserve"> dei Diritti, Rete Lenford – Avvocatura per i diritti LGBTI, 2017</w:t>
      </w:r>
      <w:r w:rsidR="00DE408C">
        <w:rPr>
          <w:rFonts w:ascii="Arial" w:hAnsi="Arial" w:cs="Arial"/>
          <w:sz w:val="24"/>
          <w:szCs w:val="24"/>
          <w:lang w:val="it-IT"/>
        </w:rPr>
        <w:t>.</w:t>
      </w:r>
    </w:p>
    <w:p w14:paraId="01AFB25D"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lastRenderedPageBreak/>
        <w:t xml:space="preserve">Ligi, Franco, </w:t>
      </w:r>
      <w:r w:rsidRPr="00792B12">
        <w:rPr>
          <w:rFonts w:ascii="Arial" w:hAnsi="Arial" w:cs="Arial"/>
          <w:i/>
          <w:sz w:val="24"/>
          <w:szCs w:val="24"/>
          <w:lang w:val="it-IT"/>
        </w:rPr>
        <w:t>Contributo allo studio comparato dei diritti della personalità  negli ordinamenti: tedesco, americano, francesse e italiano</w:t>
      </w:r>
      <w:r w:rsidRPr="00792B12">
        <w:rPr>
          <w:rFonts w:ascii="Arial" w:hAnsi="Arial" w:cs="Arial"/>
          <w:sz w:val="24"/>
          <w:szCs w:val="24"/>
          <w:lang w:val="it-IT"/>
        </w:rPr>
        <w:t>, en: Annuario di Diritto Comparato e di Studi Legislativi, volumen XXXI, año XXXI, Edizione dell’Istituto Italiano di Studi Legislativi, Roma, 1956.</w:t>
      </w:r>
    </w:p>
    <w:p w14:paraId="4C5A4684"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Lomazzi, Chiara, </w:t>
      </w:r>
      <w:r w:rsidRPr="00792B12">
        <w:rPr>
          <w:rFonts w:ascii="Arial" w:hAnsi="Arial" w:cs="Arial"/>
          <w:i/>
          <w:sz w:val="24"/>
          <w:szCs w:val="24"/>
          <w:lang w:val="it-IT"/>
        </w:rPr>
        <w:t>L’impatto del transessualismo nelle politiche penitenziarie</w:t>
      </w:r>
      <w:r w:rsidRPr="00792B12">
        <w:rPr>
          <w:rFonts w:ascii="Arial" w:hAnsi="Arial" w:cs="Arial"/>
          <w:sz w:val="24"/>
          <w:szCs w:val="24"/>
          <w:lang w:val="it-IT"/>
        </w:rPr>
        <w:t xml:space="preserve">,  en: </w:t>
      </w:r>
      <w:r w:rsidRPr="00792B12">
        <w:rPr>
          <w:rFonts w:ascii="Arial" w:hAnsi="Arial" w:cs="Arial"/>
          <w:i/>
          <w:sz w:val="24"/>
          <w:szCs w:val="24"/>
          <w:lang w:val="it-IT"/>
        </w:rPr>
        <w:t>Rassegna penitenziaria e criminologica</w:t>
      </w:r>
      <w:r w:rsidRPr="00792B12">
        <w:rPr>
          <w:rFonts w:ascii="Arial" w:hAnsi="Arial" w:cs="Arial"/>
          <w:sz w:val="24"/>
          <w:szCs w:val="24"/>
          <w:lang w:val="it-IT"/>
        </w:rPr>
        <w:t>, n° 3, 2015.</w:t>
      </w:r>
    </w:p>
    <w:p w14:paraId="3E5020A7"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Long, Joelle, </w:t>
      </w:r>
      <w:r w:rsidRPr="00792B12">
        <w:rPr>
          <w:rFonts w:ascii="Arial" w:hAnsi="Arial" w:cs="Arial"/>
          <w:i/>
          <w:sz w:val="24"/>
          <w:szCs w:val="24"/>
          <w:lang w:val="it-IT"/>
        </w:rPr>
        <w:t>Essere genitori transessuali</w:t>
      </w:r>
      <w:r w:rsidRPr="00792B12">
        <w:rPr>
          <w:rFonts w:ascii="Arial" w:hAnsi="Arial" w:cs="Arial"/>
          <w:sz w:val="24"/>
          <w:szCs w:val="24"/>
          <w:lang w:val="it-IT"/>
        </w:rPr>
        <w:t>, en: La nuova giurisprudenza civile comentata, Anno XXIV, 2008.</w:t>
      </w:r>
    </w:p>
    <w:p w14:paraId="23018A53"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Loré, Cossimo y Martini, Paolo, </w:t>
      </w:r>
      <w:r w:rsidRPr="00792B12">
        <w:rPr>
          <w:rFonts w:ascii="Arial" w:hAnsi="Arial" w:cs="Arial"/>
          <w:i/>
          <w:sz w:val="24"/>
          <w:szCs w:val="24"/>
          <w:lang w:val="it-IT"/>
        </w:rPr>
        <w:t>Aspetti e problema medico – legali del transessualismo</w:t>
      </w:r>
      <w:r w:rsidRPr="00792B12">
        <w:rPr>
          <w:rFonts w:ascii="Arial" w:hAnsi="Arial" w:cs="Arial"/>
          <w:sz w:val="24"/>
          <w:szCs w:val="24"/>
          <w:lang w:val="it-IT"/>
        </w:rPr>
        <w:t>, Giuffrè Editore, Milán, 1984.</w:t>
      </w:r>
    </w:p>
    <w:p w14:paraId="0D245BF6"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shd w:val="clear" w:color="auto" w:fill="FFFFFF"/>
          <w:lang w:val="it-IT"/>
        </w:rPr>
      </w:pPr>
      <w:r w:rsidRPr="00792B12">
        <w:rPr>
          <w:rFonts w:ascii="Arial" w:hAnsi="Arial" w:cs="Arial"/>
          <w:sz w:val="24"/>
          <w:szCs w:val="24"/>
          <w:shd w:val="clear" w:color="auto" w:fill="FFFFFF"/>
          <w:lang w:val="it-IT"/>
        </w:rPr>
        <w:t xml:space="preserve">Lorenzetti, Anna,  </w:t>
      </w:r>
      <w:r w:rsidRPr="00792B12">
        <w:rPr>
          <w:rFonts w:ascii="Arial" w:hAnsi="Arial" w:cs="Arial"/>
          <w:i/>
          <w:sz w:val="24"/>
          <w:szCs w:val="24"/>
          <w:shd w:val="clear" w:color="auto" w:fill="FFFFFF"/>
          <w:lang w:val="it-IT"/>
        </w:rPr>
        <w:t>Diritti in transito: la condizione giuridica delle persone transessuali</w:t>
      </w:r>
      <w:r w:rsidRPr="00792B12">
        <w:rPr>
          <w:rFonts w:ascii="Arial" w:hAnsi="Arial" w:cs="Arial"/>
          <w:sz w:val="24"/>
          <w:szCs w:val="24"/>
          <w:shd w:val="clear" w:color="auto" w:fill="FFFFFF"/>
          <w:lang w:val="it-IT"/>
        </w:rPr>
        <w:t>, Milano, Franco Angeli, 2013.</w:t>
      </w:r>
    </w:p>
    <w:p w14:paraId="46E89C9F"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Lorenzetti, Anna,  </w:t>
      </w:r>
      <w:r w:rsidRPr="00792B12">
        <w:rPr>
          <w:rFonts w:ascii="Arial" w:hAnsi="Arial" w:cs="Arial"/>
          <w:i/>
          <w:sz w:val="24"/>
          <w:szCs w:val="24"/>
          <w:lang w:val="it-IT"/>
        </w:rPr>
        <w:t xml:space="preserve">Frontiere del corpo, frontiere del diritto: intersessualità e tutela della </w:t>
      </w:r>
      <w:r w:rsidRPr="00792B12">
        <w:rPr>
          <w:rFonts w:ascii="Arial" w:hAnsi="Arial" w:cs="Arial"/>
          <w:iCs/>
          <w:sz w:val="24"/>
          <w:szCs w:val="24"/>
          <w:lang w:val="it-IT"/>
        </w:rPr>
        <w:t>persona, en:</w:t>
      </w:r>
      <w:r w:rsidRPr="00792B12">
        <w:rPr>
          <w:rFonts w:ascii="Arial" w:hAnsi="Arial" w:cs="Arial"/>
          <w:sz w:val="24"/>
          <w:szCs w:val="24"/>
          <w:lang w:val="it-IT"/>
        </w:rPr>
        <w:t xml:space="preserve"> </w:t>
      </w:r>
      <w:r w:rsidRPr="00792B12">
        <w:rPr>
          <w:rFonts w:ascii="Arial" w:hAnsi="Arial" w:cs="Arial"/>
          <w:i/>
          <w:sz w:val="24"/>
          <w:szCs w:val="24"/>
          <w:lang w:val="it-IT"/>
        </w:rPr>
        <w:t>BioLaw Journal</w:t>
      </w:r>
      <w:r w:rsidRPr="00792B12">
        <w:rPr>
          <w:rFonts w:ascii="Arial" w:hAnsi="Arial" w:cs="Arial"/>
          <w:sz w:val="24"/>
          <w:szCs w:val="24"/>
          <w:lang w:val="it-IT"/>
        </w:rPr>
        <w:t xml:space="preserve"> – Rivista di BioDiritto, n. 2, 2015.</w:t>
      </w:r>
    </w:p>
    <w:p w14:paraId="64CD58B3"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Lorenzetti, Anna, </w:t>
      </w:r>
      <w:r w:rsidRPr="00792B12">
        <w:rPr>
          <w:rFonts w:ascii="Arial" w:hAnsi="Arial" w:cs="Arial"/>
          <w:i/>
          <w:sz w:val="24"/>
          <w:szCs w:val="24"/>
          <w:lang w:val="it-IT"/>
        </w:rPr>
        <w:t xml:space="preserve">Carcere e transessualità: la doppia reclusione delle persone transgeneri, </w:t>
      </w:r>
      <w:r w:rsidRPr="00792B12">
        <w:rPr>
          <w:rFonts w:ascii="Arial" w:hAnsi="Arial" w:cs="Arial"/>
          <w:iCs/>
          <w:sz w:val="24"/>
          <w:szCs w:val="24"/>
          <w:lang w:val="it-IT"/>
        </w:rPr>
        <w:t>e</w:t>
      </w:r>
      <w:r w:rsidRPr="00792B12">
        <w:rPr>
          <w:rFonts w:ascii="Arial" w:hAnsi="Arial" w:cs="Arial"/>
          <w:sz w:val="24"/>
          <w:szCs w:val="24"/>
          <w:lang w:val="it-IT"/>
        </w:rPr>
        <w:t>n:   GenIUS, Rivista di Studi Giuridici sull’orientamento sessuale e l’identità di genere, fascículo 1, 2017.</w:t>
      </w:r>
    </w:p>
    <w:p w14:paraId="34D0BC2C" w14:textId="77777777" w:rsidR="0096481E" w:rsidRPr="00C76011" w:rsidRDefault="0096481E" w:rsidP="0096481E">
      <w:pPr>
        <w:pStyle w:val="Prrafodelista"/>
        <w:numPr>
          <w:ilvl w:val="0"/>
          <w:numId w:val="17"/>
        </w:numPr>
        <w:spacing w:after="240" w:line="360" w:lineRule="auto"/>
        <w:jc w:val="both"/>
        <w:rPr>
          <w:rFonts w:ascii="Arial" w:eastAsia="Times New Roman" w:hAnsi="Arial" w:cs="Arial"/>
          <w:sz w:val="24"/>
          <w:szCs w:val="24"/>
          <w:lang w:val="it-IT" w:eastAsia="es-PE"/>
        </w:rPr>
      </w:pPr>
      <w:r w:rsidRPr="00792B12">
        <w:rPr>
          <w:rFonts w:ascii="Arial" w:eastAsia="Times New Roman" w:hAnsi="Arial" w:cs="Arial"/>
          <w:sz w:val="24"/>
          <w:szCs w:val="24"/>
          <w:lang w:val="it-IT" w:eastAsia="es-PE"/>
        </w:rPr>
        <w:t xml:space="preserve">Lorenzetti, Anna, </w:t>
      </w:r>
      <w:r w:rsidRPr="00792B12">
        <w:rPr>
          <w:rFonts w:ascii="Arial" w:eastAsia="Times New Roman" w:hAnsi="Arial" w:cs="Arial"/>
          <w:i/>
          <w:iCs/>
          <w:sz w:val="24"/>
          <w:szCs w:val="24"/>
          <w:lang w:val="it-IT" w:eastAsia="es-PE"/>
        </w:rPr>
        <w:t xml:space="preserve">Identità di genere e operazione di bilanciamento: modalità e limiti nella giurisprudenza delle corti nazionali e corti </w:t>
      </w:r>
      <w:r w:rsidRPr="00792B12">
        <w:rPr>
          <w:rFonts w:ascii="Arial" w:eastAsia="Times New Roman" w:hAnsi="Arial" w:cs="Arial"/>
          <w:sz w:val="24"/>
          <w:szCs w:val="24"/>
          <w:lang w:val="it-IT" w:eastAsia="es-PE"/>
        </w:rPr>
        <w:t>sovranazionali, en: Bocconi Legal Papers, Egea, N° 1, septiembre de 2013.</w:t>
      </w:r>
    </w:p>
    <w:p w14:paraId="46CFA21A"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Lorenzetti, Anna, </w:t>
      </w:r>
      <w:r w:rsidRPr="00792B12">
        <w:rPr>
          <w:rFonts w:ascii="Arial" w:hAnsi="Arial" w:cs="Arial"/>
          <w:i/>
          <w:sz w:val="24"/>
          <w:szCs w:val="24"/>
          <w:lang w:val="it-IT"/>
        </w:rPr>
        <w:t>Lost in transition: la depatologizzazione e la tutela costituzionale delle persone trans</w:t>
      </w:r>
      <w:r w:rsidRPr="00792B12">
        <w:rPr>
          <w:rFonts w:ascii="Arial" w:hAnsi="Arial" w:cs="Arial"/>
          <w:sz w:val="24"/>
          <w:szCs w:val="24"/>
          <w:lang w:val="it-IT"/>
        </w:rPr>
        <w:t xml:space="preserve">, en: C. Ballarin, R. Padovano (al cuidado de), </w:t>
      </w:r>
      <w:r w:rsidRPr="00792B12">
        <w:rPr>
          <w:rFonts w:ascii="Arial" w:hAnsi="Arial" w:cs="Arial"/>
          <w:i/>
          <w:sz w:val="24"/>
          <w:szCs w:val="24"/>
          <w:lang w:val="it-IT"/>
        </w:rPr>
        <w:t>Esquimesi in Amazzonia. Dialoghi attorno alla depatologizzazione della transessualit</w:t>
      </w:r>
      <w:r w:rsidRPr="00792B12">
        <w:rPr>
          <w:rFonts w:ascii="Arial" w:hAnsi="Arial" w:cs="Arial"/>
          <w:sz w:val="24"/>
          <w:szCs w:val="24"/>
          <w:lang w:val="it-IT"/>
        </w:rPr>
        <w:t xml:space="preserve">à, Mimesis, Milán, 2013. </w:t>
      </w:r>
    </w:p>
    <w:p w14:paraId="2BBD52FF" w14:textId="2A629442" w:rsidR="0096481E" w:rsidRPr="00352D8D"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Macioce, Francesco, </w:t>
      </w:r>
      <w:r w:rsidRPr="00792B12">
        <w:rPr>
          <w:rFonts w:ascii="Arial" w:hAnsi="Arial" w:cs="Arial"/>
          <w:i/>
          <w:sz w:val="24"/>
          <w:szCs w:val="24"/>
          <w:lang w:val="it-IT"/>
        </w:rPr>
        <w:t>Tutela civile della persona e identità personale</w:t>
      </w:r>
      <w:r w:rsidRPr="00792B12">
        <w:rPr>
          <w:rFonts w:ascii="Arial" w:hAnsi="Arial" w:cs="Arial"/>
          <w:sz w:val="24"/>
          <w:szCs w:val="24"/>
          <w:lang w:val="it-IT"/>
        </w:rPr>
        <w:t>, Cedam, Padua, 1984.</w:t>
      </w:r>
    </w:p>
    <w:p w14:paraId="1925DDB3"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Maestri, Gabriele, </w:t>
      </w:r>
      <w:r w:rsidRPr="00792B12">
        <w:rPr>
          <w:rFonts w:ascii="Arial" w:hAnsi="Arial" w:cs="Arial"/>
          <w:i/>
          <w:sz w:val="24"/>
          <w:szCs w:val="24"/>
          <w:lang w:val="it-IT"/>
        </w:rPr>
        <w:t>Cambio di sesso senza intervento sui genitali: dalla Cassazione «Con juicio, pero adelante»</w:t>
      </w:r>
      <w:r w:rsidRPr="00792B12">
        <w:rPr>
          <w:rFonts w:ascii="Arial" w:hAnsi="Arial" w:cs="Arial"/>
          <w:iCs/>
          <w:sz w:val="24"/>
          <w:szCs w:val="24"/>
          <w:lang w:val="it-IT"/>
        </w:rPr>
        <w:t xml:space="preserve">, </w:t>
      </w:r>
      <w:r w:rsidRPr="00792B12">
        <w:rPr>
          <w:rFonts w:ascii="Arial" w:hAnsi="Arial" w:cs="Arial"/>
          <w:sz w:val="24"/>
          <w:szCs w:val="24"/>
          <w:lang w:val="it-IT"/>
        </w:rPr>
        <w:t>en: BioLaw Journal, Rivista di BioDiritto, n. 3, 2015.</w:t>
      </w:r>
    </w:p>
    <w:p w14:paraId="5CB6E66E"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lastRenderedPageBreak/>
        <w:t xml:space="preserve">Marchese Alberto, </w:t>
      </w:r>
      <w:r w:rsidRPr="00792B12">
        <w:rPr>
          <w:rFonts w:ascii="Arial" w:hAnsi="Arial" w:cs="Arial"/>
          <w:i/>
          <w:sz w:val="24"/>
          <w:szCs w:val="24"/>
          <w:lang w:val="it-IT"/>
        </w:rPr>
        <w:t>Amleto, ovvero l’inquietudine di sentirsi diverso: una riflessione su transessualismo ed etica giuridica nel pensiero post-moderno, e</w:t>
      </w:r>
      <w:r w:rsidRPr="00792B12">
        <w:rPr>
          <w:rFonts w:ascii="Arial" w:hAnsi="Arial" w:cs="Arial"/>
          <w:sz w:val="24"/>
          <w:szCs w:val="24"/>
          <w:lang w:val="it-IT"/>
        </w:rPr>
        <w:t>n: Ordine internazionale e diritti umani, 2018.</w:t>
      </w:r>
    </w:p>
    <w:p w14:paraId="6FB2F1F5"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Money, John y Tucker, Patricia, </w:t>
      </w:r>
      <w:r w:rsidRPr="00792B12">
        <w:rPr>
          <w:rFonts w:ascii="Arial" w:hAnsi="Arial" w:cs="Arial"/>
          <w:i/>
          <w:iCs/>
          <w:sz w:val="24"/>
          <w:szCs w:val="24"/>
          <w:lang w:val="it-IT"/>
        </w:rPr>
        <w:t>Essere uomo, essere donna. Uno studio sull’identità</w:t>
      </w:r>
      <w:r w:rsidRPr="00792B12">
        <w:rPr>
          <w:rFonts w:ascii="Arial" w:hAnsi="Arial" w:cs="Arial"/>
          <w:sz w:val="24"/>
          <w:szCs w:val="24"/>
          <w:lang w:val="it-IT"/>
        </w:rPr>
        <w:t>, traducción de Maura Pizzorno, tercera edición, Feltrinelli editore, Milán, 1989.</w:t>
      </w:r>
    </w:p>
    <w:p w14:paraId="3EF948B4"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Morales Godo, Juan, </w:t>
      </w:r>
      <w:r w:rsidRPr="00792B12">
        <w:rPr>
          <w:rFonts w:ascii="Arial" w:hAnsi="Arial" w:cs="Arial"/>
          <w:i/>
          <w:sz w:val="24"/>
          <w:szCs w:val="24"/>
        </w:rPr>
        <w:t>El derecho a la vida privada y el conflicto con la libertad de información</w:t>
      </w:r>
      <w:r w:rsidRPr="00792B12">
        <w:rPr>
          <w:rFonts w:ascii="Arial" w:hAnsi="Arial" w:cs="Arial"/>
          <w:sz w:val="24"/>
          <w:szCs w:val="24"/>
        </w:rPr>
        <w:t>, Grijley, Lima, 1995.</w:t>
      </w:r>
    </w:p>
    <w:p w14:paraId="7C66EF3D"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Nivarra, Luca; Ricciuto, Vincenzo y Scognamiglio, Claudio, </w:t>
      </w:r>
      <w:r w:rsidRPr="00792B12">
        <w:rPr>
          <w:rFonts w:ascii="Arial" w:hAnsi="Arial" w:cs="Arial"/>
          <w:i/>
          <w:sz w:val="24"/>
          <w:szCs w:val="24"/>
          <w:lang w:val="it-IT"/>
        </w:rPr>
        <w:t>Diritto privato</w:t>
      </w:r>
      <w:r w:rsidRPr="00792B12">
        <w:rPr>
          <w:rFonts w:ascii="Arial" w:hAnsi="Arial" w:cs="Arial"/>
          <w:sz w:val="24"/>
          <w:szCs w:val="24"/>
          <w:lang w:val="it-IT"/>
        </w:rPr>
        <w:t>, quinta edición, G. Giappichelli editore, Turín, 2019.</w:t>
      </w:r>
    </w:p>
    <w:p w14:paraId="13F4ECCD" w14:textId="77777777" w:rsidR="0096481E"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Ondei, Emilio,  </w:t>
      </w:r>
      <w:r w:rsidRPr="00792B12">
        <w:rPr>
          <w:rFonts w:ascii="Arial" w:hAnsi="Arial" w:cs="Arial"/>
          <w:i/>
          <w:sz w:val="24"/>
          <w:szCs w:val="24"/>
          <w:lang w:val="it-IT"/>
        </w:rPr>
        <w:t>Le persone fisiche e i diritti della personalitá</w:t>
      </w:r>
      <w:r w:rsidRPr="00792B12">
        <w:rPr>
          <w:rFonts w:ascii="Arial" w:hAnsi="Arial" w:cs="Arial"/>
          <w:sz w:val="24"/>
          <w:szCs w:val="24"/>
          <w:lang w:val="it-IT"/>
        </w:rPr>
        <w:t>, Unione Tipografico-Editrice Torinese, Turín, 1965.</w:t>
      </w:r>
    </w:p>
    <w:p w14:paraId="362D2ED8" w14:textId="77777777" w:rsidR="0096481E" w:rsidRPr="007856FD" w:rsidRDefault="0096481E" w:rsidP="0096481E">
      <w:pPr>
        <w:pStyle w:val="Textonotapie"/>
        <w:numPr>
          <w:ilvl w:val="0"/>
          <w:numId w:val="17"/>
        </w:numPr>
        <w:spacing w:after="240" w:line="360" w:lineRule="auto"/>
        <w:jc w:val="both"/>
        <w:rPr>
          <w:rFonts w:ascii="Arial" w:hAnsi="Arial" w:cs="Arial"/>
          <w:sz w:val="24"/>
          <w:szCs w:val="24"/>
          <w:lang w:val="it-IT"/>
        </w:rPr>
      </w:pPr>
      <w:r w:rsidRPr="007856FD">
        <w:rPr>
          <w:rFonts w:ascii="Arial" w:hAnsi="Arial" w:cs="Arial"/>
          <w:sz w:val="24"/>
          <w:szCs w:val="24"/>
          <w:lang w:val="it-IT"/>
        </w:rPr>
        <w:t xml:space="preserve">Palazzini, Laura, </w:t>
      </w:r>
      <w:r w:rsidRPr="007856FD">
        <w:rPr>
          <w:rFonts w:ascii="Arial" w:hAnsi="Arial" w:cs="Arial"/>
          <w:i/>
          <w:sz w:val="24"/>
          <w:szCs w:val="24"/>
          <w:lang w:val="it-IT"/>
        </w:rPr>
        <w:t>Identità di genere come problema biogiuridico</w:t>
      </w:r>
      <w:r w:rsidRPr="007856FD">
        <w:rPr>
          <w:rFonts w:ascii="Arial" w:hAnsi="Arial" w:cs="Arial"/>
          <w:sz w:val="24"/>
          <w:szCs w:val="24"/>
          <w:lang w:val="it-IT"/>
        </w:rPr>
        <w:t xml:space="preserve">, en: AA.VV., </w:t>
      </w:r>
      <w:r w:rsidRPr="007856FD">
        <w:rPr>
          <w:rFonts w:ascii="Arial" w:hAnsi="Arial" w:cs="Arial"/>
          <w:i/>
          <w:sz w:val="24"/>
          <w:szCs w:val="24"/>
          <w:lang w:val="it-IT"/>
        </w:rPr>
        <w:t>Identità sessuale e identità di genere</w:t>
      </w:r>
      <w:r w:rsidRPr="007856FD">
        <w:rPr>
          <w:rFonts w:ascii="Arial" w:hAnsi="Arial" w:cs="Arial"/>
          <w:sz w:val="24"/>
          <w:szCs w:val="24"/>
          <w:lang w:val="it-IT"/>
        </w:rPr>
        <w:t>, Atti del Convegno nazionale dell’Unione giuristi cattolici italiani, Parlermo, 9-11 dicembre 2010, edición al cuidado de Francesco D’Agostino, Giuffrè Editore, Milán, 2012.</w:t>
      </w:r>
    </w:p>
    <w:p w14:paraId="7E6ADB0C"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Palazzani, Laura, </w:t>
      </w:r>
      <w:r w:rsidRPr="00792B12">
        <w:rPr>
          <w:rFonts w:ascii="Arial" w:hAnsi="Arial" w:cs="Arial"/>
          <w:i/>
          <w:iCs/>
          <w:sz w:val="24"/>
          <w:szCs w:val="24"/>
          <w:lang w:val="it-IT"/>
        </w:rPr>
        <w:t>Sex/gender: gli equivoci dell’uguaglianza</w:t>
      </w:r>
      <w:r w:rsidRPr="00792B12">
        <w:rPr>
          <w:rFonts w:ascii="Arial" w:hAnsi="Arial" w:cs="Arial"/>
          <w:sz w:val="24"/>
          <w:szCs w:val="24"/>
          <w:lang w:val="it-IT"/>
        </w:rPr>
        <w:t>, G. Giappichelli editore, Turín, 2011.</w:t>
      </w:r>
    </w:p>
    <w:p w14:paraId="64625F9B"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Palladino, Alfonso; De Mattia, Angelo y Galli, Guido, </w:t>
      </w:r>
      <w:r w:rsidRPr="00792B12">
        <w:rPr>
          <w:rFonts w:ascii="Arial" w:hAnsi="Arial" w:cs="Arial"/>
          <w:i/>
          <w:sz w:val="24"/>
          <w:szCs w:val="24"/>
          <w:lang w:val="it-IT"/>
        </w:rPr>
        <w:t>Il diritto alla riservatezza</w:t>
      </w:r>
      <w:r w:rsidRPr="00792B12">
        <w:rPr>
          <w:rFonts w:ascii="Arial" w:hAnsi="Arial" w:cs="Arial"/>
          <w:sz w:val="24"/>
          <w:szCs w:val="24"/>
          <w:lang w:val="it-IT"/>
        </w:rPr>
        <w:t>,  Giuffrè editore, Milán,  1963.</w:t>
      </w:r>
    </w:p>
    <w:p w14:paraId="2CFAAE14"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Paradiso, Massimo, </w:t>
      </w:r>
      <w:r w:rsidRPr="00792B12">
        <w:rPr>
          <w:rFonts w:ascii="Arial" w:hAnsi="Arial" w:cs="Arial"/>
          <w:i/>
          <w:sz w:val="24"/>
          <w:szCs w:val="24"/>
          <w:lang w:val="it-IT"/>
        </w:rPr>
        <w:t>Corso di Istituzioni di Diritto Privato</w:t>
      </w:r>
      <w:r w:rsidRPr="00792B12">
        <w:rPr>
          <w:rFonts w:ascii="Arial" w:hAnsi="Arial" w:cs="Arial"/>
          <w:sz w:val="24"/>
          <w:szCs w:val="24"/>
          <w:lang w:val="it-IT"/>
        </w:rPr>
        <w:t xml:space="preserve">, décima primera  edición, G.Giappichelli Editore, Turín, 2020. </w:t>
      </w:r>
    </w:p>
    <w:p w14:paraId="7BB0DA40" w14:textId="1BEC11D6" w:rsidR="0096481E" w:rsidRPr="00352D8D"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Patti, Salvatore, </w:t>
      </w:r>
      <w:r w:rsidRPr="00792B12">
        <w:rPr>
          <w:rFonts w:ascii="Arial" w:hAnsi="Arial" w:cs="Arial"/>
          <w:i/>
          <w:sz w:val="24"/>
          <w:szCs w:val="24"/>
          <w:lang w:val="it-IT"/>
        </w:rPr>
        <w:t>Aspetti oggettivi e soggettivi dell’Identità sessuale</w:t>
      </w:r>
      <w:r w:rsidRPr="00792B12">
        <w:rPr>
          <w:rFonts w:ascii="Arial" w:hAnsi="Arial" w:cs="Arial"/>
          <w:sz w:val="24"/>
          <w:szCs w:val="24"/>
          <w:lang w:val="it-IT"/>
        </w:rPr>
        <w:t xml:space="preserve">, en: Patti, Salvatore y Will, Michael R., </w:t>
      </w:r>
      <w:r w:rsidRPr="00792B12">
        <w:rPr>
          <w:rFonts w:ascii="Arial" w:hAnsi="Arial" w:cs="Arial"/>
          <w:i/>
          <w:sz w:val="24"/>
          <w:szCs w:val="24"/>
          <w:lang w:val="it-IT"/>
        </w:rPr>
        <w:t>Mutamento di sesso e tutela della persona. Saggi di diritto civile e comparato</w:t>
      </w:r>
      <w:r w:rsidRPr="00792B12">
        <w:rPr>
          <w:rFonts w:ascii="Arial" w:hAnsi="Arial" w:cs="Arial"/>
          <w:sz w:val="24"/>
          <w:szCs w:val="24"/>
          <w:lang w:val="it-IT"/>
        </w:rPr>
        <w:t>, Cedamn, Padua, 1986.</w:t>
      </w:r>
    </w:p>
    <w:p w14:paraId="4AB1BD63"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Patti, Salvatore, </w:t>
      </w:r>
      <w:r w:rsidRPr="00792B12">
        <w:rPr>
          <w:rFonts w:ascii="Arial" w:hAnsi="Arial" w:cs="Arial"/>
          <w:i/>
          <w:sz w:val="24"/>
          <w:szCs w:val="24"/>
          <w:lang w:val="it-IT"/>
        </w:rPr>
        <w:t xml:space="preserve">Il divorzio della persona transessuale in </w:t>
      </w:r>
      <w:r w:rsidRPr="00792B12">
        <w:rPr>
          <w:rFonts w:ascii="Arial" w:hAnsi="Arial" w:cs="Arial"/>
          <w:iCs/>
          <w:sz w:val="24"/>
          <w:szCs w:val="24"/>
          <w:lang w:val="it-IT"/>
        </w:rPr>
        <w:t>Europa, en:</w:t>
      </w:r>
      <w:r w:rsidRPr="00792B12">
        <w:rPr>
          <w:rFonts w:ascii="Arial" w:hAnsi="Arial" w:cs="Arial"/>
          <w:sz w:val="24"/>
          <w:szCs w:val="24"/>
          <w:lang w:val="it-IT"/>
        </w:rPr>
        <w:t xml:space="preserve">  Rivista Critica Diritto privato, Jovene editore, Nápoles, 2012.</w:t>
      </w:r>
    </w:p>
    <w:p w14:paraId="1FBB6DC9" w14:textId="77777777" w:rsidR="0096481E" w:rsidRPr="00C76011" w:rsidRDefault="0096481E" w:rsidP="0096481E">
      <w:pPr>
        <w:pStyle w:val="Prrafodelista"/>
        <w:numPr>
          <w:ilvl w:val="0"/>
          <w:numId w:val="17"/>
        </w:numPr>
        <w:spacing w:after="240" w:line="360" w:lineRule="auto"/>
        <w:jc w:val="both"/>
        <w:rPr>
          <w:rFonts w:ascii="Arial" w:eastAsia="Times New Roman" w:hAnsi="Arial" w:cs="Arial"/>
          <w:sz w:val="24"/>
          <w:szCs w:val="24"/>
          <w:lang w:val="it-IT" w:eastAsia="es-PE"/>
        </w:rPr>
      </w:pPr>
      <w:r w:rsidRPr="00792B12">
        <w:rPr>
          <w:rFonts w:ascii="Arial" w:eastAsia="Times New Roman" w:hAnsi="Arial" w:cs="Arial"/>
          <w:sz w:val="24"/>
          <w:szCs w:val="24"/>
          <w:lang w:val="it-IT" w:eastAsia="es-PE"/>
        </w:rPr>
        <w:lastRenderedPageBreak/>
        <w:t xml:space="preserve">Patti, Salvatore, </w:t>
      </w:r>
      <w:r w:rsidRPr="00792B12">
        <w:rPr>
          <w:rFonts w:ascii="Arial" w:eastAsia="Times New Roman" w:hAnsi="Arial" w:cs="Arial"/>
          <w:bCs/>
          <w:i/>
          <w:sz w:val="24"/>
          <w:szCs w:val="24"/>
          <w:lang w:val="it-IT" w:eastAsia="es-PE"/>
        </w:rPr>
        <w:t>Il transessualismo tra legge e giurisprudenza della Corte europea dei diritti dell'uomo (e delle Corti costituzionali)</w:t>
      </w:r>
      <w:r w:rsidRPr="00792B12">
        <w:rPr>
          <w:rFonts w:ascii="Arial" w:eastAsia="Times New Roman" w:hAnsi="Arial" w:cs="Arial"/>
          <w:sz w:val="24"/>
          <w:szCs w:val="24"/>
          <w:lang w:val="it-IT" w:eastAsia="es-PE"/>
        </w:rPr>
        <w:t xml:space="preserve">, en </w:t>
      </w:r>
      <w:r w:rsidRPr="00792B12">
        <w:rPr>
          <w:rFonts w:ascii="Arial" w:eastAsia="Times New Roman" w:hAnsi="Arial" w:cs="Arial"/>
          <w:i/>
          <w:iCs/>
          <w:sz w:val="24"/>
          <w:szCs w:val="24"/>
          <w:lang w:val="it-IT" w:eastAsia="es-PE"/>
        </w:rPr>
        <w:t xml:space="preserve">La Nuova giurisprudenza civile commentata, </w:t>
      </w:r>
      <w:r w:rsidRPr="00792B12">
        <w:rPr>
          <w:rFonts w:ascii="Arial" w:eastAsia="Times New Roman" w:hAnsi="Arial" w:cs="Arial"/>
          <w:sz w:val="24"/>
          <w:szCs w:val="24"/>
          <w:lang w:val="it-IT" w:eastAsia="es-PE"/>
        </w:rPr>
        <w:t>fascículo 1,</w:t>
      </w:r>
      <w:r w:rsidRPr="00792B12">
        <w:rPr>
          <w:rFonts w:ascii="Arial" w:eastAsia="Times New Roman" w:hAnsi="Arial" w:cs="Arial"/>
          <w:i/>
          <w:iCs/>
          <w:sz w:val="24"/>
          <w:szCs w:val="24"/>
          <w:lang w:val="it-IT" w:eastAsia="es-PE"/>
        </w:rPr>
        <w:t xml:space="preserve"> </w:t>
      </w:r>
      <w:r w:rsidRPr="00792B12">
        <w:rPr>
          <w:rFonts w:ascii="Arial" w:eastAsia="Times New Roman" w:hAnsi="Arial" w:cs="Arial"/>
          <w:bCs/>
          <w:sz w:val="24"/>
          <w:szCs w:val="24"/>
          <w:lang w:val="it-IT" w:eastAsia="es-PE"/>
        </w:rPr>
        <w:t>2016</w:t>
      </w:r>
      <w:r w:rsidRPr="00792B12">
        <w:rPr>
          <w:rFonts w:ascii="Arial" w:eastAsia="Times New Roman" w:hAnsi="Arial" w:cs="Arial"/>
          <w:sz w:val="24"/>
          <w:szCs w:val="24"/>
          <w:lang w:val="it-IT" w:eastAsia="es-PE"/>
        </w:rPr>
        <w:t>.</w:t>
      </w:r>
    </w:p>
    <w:p w14:paraId="746F844B"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Patti, Salvatore, </w:t>
      </w:r>
      <w:r w:rsidRPr="00792B12">
        <w:rPr>
          <w:rFonts w:ascii="Arial" w:hAnsi="Arial" w:cs="Arial"/>
          <w:i/>
          <w:sz w:val="24"/>
          <w:szCs w:val="24"/>
          <w:lang w:val="it-IT"/>
        </w:rPr>
        <w:t>Mutamento di sesso e  «costringimento al bisturi» il Tribunale di Roma e il contesto europeo</w:t>
      </w:r>
      <w:r w:rsidRPr="00792B12">
        <w:rPr>
          <w:rFonts w:ascii="Arial" w:hAnsi="Arial" w:cs="Arial"/>
          <w:sz w:val="24"/>
          <w:szCs w:val="24"/>
          <w:lang w:val="it-IT"/>
        </w:rPr>
        <w:t>, en: Le Nuove Leggi Civili Commentate, N° 1, año XXX, Cedam-Wolters Kluwer,  Milán, enero de 2015.</w:t>
      </w:r>
    </w:p>
    <w:p w14:paraId="75332E00"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Patti, Salvatore, </w:t>
      </w:r>
      <w:r w:rsidRPr="00792B12">
        <w:rPr>
          <w:rFonts w:ascii="Arial" w:hAnsi="Arial" w:cs="Arial"/>
          <w:i/>
          <w:sz w:val="24"/>
          <w:szCs w:val="24"/>
          <w:lang w:val="it-IT"/>
        </w:rPr>
        <w:t>Mutamento di sesso e «costringimento al bisturi». Il Tribunale di Roma e il contesto europeo</w:t>
      </w:r>
      <w:r w:rsidRPr="00792B12">
        <w:rPr>
          <w:rFonts w:ascii="Arial" w:hAnsi="Arial" w:cs="Arial"/>
          <w:sz w:val="24"/>
          <w:szCs w:val="24"/>
          <w:lang w:val="it-IT"/>
        </w:rPr>
        <w:t xml:space="preserve">, en: </w:t>
      </w:r>
      <w:r w:rsidRPr="00792B12">
        <w:rPr>
          <w:rFonts w:ascii="Arial" w:hAnsi="Arial" w:cs="Arial"/>
          <w:i/>
          <w:sz w:val="24"/>
          <w:szCs w:val="24"/>
          <w:lang w:val="it-IT"/>
        </w:rPr>
        <w:t>Le Nuove Leggi Civili Commentate</w:t>
      </w:r>
      <w:r w:rsidRPr="00792B12">
        <w:rPr>
          <w:rFonts w:ascii="Arial" w:hAnsi="Arial" w:cs="Arial"/>
          <w:sz w:val="24"/>
          <w:szCs w:val="24"/>
          <w:lang w:val="it-IT"/>
        </w:rPr>
        <w:t>, año XXX, N. 1, Cedam, Padua, enero de 2015.</w:t>
      </w:r>
    </w:p>
    <w:p w14:paraId="4778A079"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shd w:val="clear" w:color="auto" w:fill="FFFFFF"/>
          <w:lang w:val="it-IT"/>
        </w:rPr>
      </w:pPr>
      <w:r w:rsidRPr="00792B12">
        <w:rPr>
          <w:rFonts w:ascii="Arial" w:hAnsi="Arial" w:cs="Arial"/>
          <w:sz w:val="24"/>
          <w:szCs w:val="24"/>
          <w:shd w:val="clear" w:color="auto" w:fill="FFFFFF"/>
          <w:lang w:val="it-IT"/>
        </w:rPr>
        <w:t xml:space="preserve">Patti, Salvatore, </w:t>
      </w:r>
      <w:r w:rsidRPr="00792B12">
        <w:rPr>
          <w:rFonts w:ascii="Arial" w:hAnsi="Arial" w:cs="Arial"/>
          <w:i/>
          <w:sz w:val="24"/>
          <w:szCs w:val="24"/>
          <w:shd w:val="clear" w:color="auto" w:fill="FFFFFF"/>
          <w:lang w:val="it-IT"/>
        </w:rPr>
        <w:t>Transessualismo</w:t>
      </w:r>
      <w:r w:rsidRPr="00792B12">
        <w:rPr>
          <w:rFonts w:ascii="Arial" w:hAnsi="Arial" w:cs="Arial"/>
          <w:sz w:val="24"/>
          <w:szCs w:val="24"/>
          <w:shd w:val="clear" w:color="auto" w:fill="FFFFFF"/>
          <w:lang w:val="it-IT"/>
        </w:rPr>
        <w:t>, en: Digesto, IV edizione, volumen XIX, sezione civile, Utet, Turín, 1999.</w:t>
      </w:r>
    </w:p>
    <w:p w14:paraId="79B12024"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Patti, Salvatore, </w:t>
      </w:r>
      <w:r w:rsidRPr="00792B12">
        <w:rPr>
          <w:rFonts w:ascii="Arial" w:hAnsi="Arial" w:cs="Arial"/>
          <w:i/>
          <w:sz w:val="24"/>
          <w:szCs w:val="24"/>
          <w:lang w:val="it-IT"/>
        </w:rPr>
        <w:t>Trattamenti medico-chirurgici e autodeterminazione della persona transessuale. A proposito di Cass., 20.7.2015, n. 15138</w:t>
      </w:r>
      <w:r w:rsidRPr="00792B12">
        <w:rPr>
          <w:rFonts w:ascii="Arial" w:hAnsi="Arial" w:cs="Arial"/>
          <w:iCs/>
          <w:sz w:val="24"/>
          <w:szCs w:val="24"/>
          <w:lang w:val="it-IT"/>
        </w:rPr>
        <w:t>, en:</w:t>
      </w:r>
      <w:r w:rsidRPr="00792B12">
        <w:rPr>
          <w:rFonts w:ascii="Arial" w:hAnsi="Arial" w:cs="Arial"/>
          <w:i/>
          <w:sz w:val="24"/>
          <w:szCs w:val="24"/>
          <w:lang w:val="it-IT"/>
        </w:rPr>
        <w:t xml:space="preserve"> Le Nuove Leggi Civili Commentate</w:t>
      </w:r>
      <w:r w:rsidRPr="00792B12">
        <w:rPr>
          <w:rFonts w:ascii="Arial" w:hAnsi="Arial" w:cs="Arial"/>
          <w:sz w:val="24"/>
          <w:szCs w:val="24"/>
          <w:lang w:val="it-IT"/>
        </w:rPr>
        <w:t>, año XXX, N. 11, Cedam, Padua, noviembre de 2015.</w:t>
      </w:r>
    </w:p>
    <w:p w14:paraId="1B2AEB48"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Pelligrini, Rosella, Sessualità, en: Novissimo Digesto Italiano, Tomo XII, UTET, Turín, 1970.</w:t>
      </w:r>
    </w:p>
    <w:p w14:paraId="5890F9B4"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Perago, Carmela, </w:t>
      </w:r>
      <w:r w:rsidRPr="00792B12">
        <w:rPr>
          <w:rFonts w:ascii="Arial" w:hAnsi="Arial" w:cs="Arial"/>
          <w:i/>
          <w:sz w:val="24"/>
          <w:szCs w:val="24"/>
          <w:lang w:val="it-IT"/>
        </w:rPr>
        <w:t xml:space="preserve">Il procedimento di rettificazione di attribuzione di sesso e la tutela del diritto all'identità di </w:t>
      </w:r>
      <w:r w:rsidRPr="00792B12">
        <w:rPr>
          <w:rFonts w:ascii="Arial" w:hAnsi="Arial" w:cs="Arial"/>
          <w:iCs/>
          <w:sz w:val="24"/>
          <w:szCs w:val="24"/>
          <w:lang w:val="it-IT"/>
        </w:rPr>
        <w:t xml:space="preserve">genere, en; </w:t>
      </w:r>
      <w:r w:rsidRPr="00792B12">
        <w:rPr>
          <w:rFonts w:ascii="Arial" w:hAnsi="Arial" w:cs="Arial"/>
          <w:sz w:val="24"/>
          <w:szCs w:val="24"/>
          <w:lang w:val="it-IT"/>
        </w:rPr>
        <w:t xml:space="preserve"> </w:t>
      </w:r>
      <w:r w:rsidRPr="00792B12">
        <w:rPr>
          <w:rFonts w:ascii="Arial" w:hAnsi="Arial" w:cs="Arial"/>
          <w:i/>
          <w:sz w:val="24"/>
          <w:szCs w:val="24"/>
          <w:lang w:val="it-IT"/>
        </w:rPr>
        <w:t>Il Foro italiano</w:t>
      </w:r>
      <w:r w:rsidRPr="00792B12">
        <w:rPr>
          <w:rFonts w:ascii="Arial" w:hAnsi="Arial" w:cs="Arial"/>
          <w:sz w:val="24"/>
          <w:szCs w:val="24"/>
          <w:lang w:val="it-IT"/>
        </w:rPr>
        <w:t>, fasc. 1, pt. 5, Societá editrice «Foro Italiano», 2020.</w:t>
      </w:r>
    </w:p>
    <w:p w14:paraId="4CC85258"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Perlingieri, Pietro, </w:t>
      </w:r>
      <w:r w:rsidRPr="00792B12">
        <w:rPr>
          <w:rFonts w:ascii="Arial" w:hAnsi="Arial" w:cs="Arial"/>
          <w:i/>
          <w:sz w:val="24"/>
          <w:szCs w:val="24"/>
          <w:lang w:val="it-IT"/>
        </w:rPr>
        <w:t>Il diritto civile nella legalità costituzionale</w:t>
      </w:r>
      <w:r w:rsidRPr="00792B12">
        <w:rPr>
          <w:rFonts w:ascii="Arial" w:hAnsi="Arial" w:cs="Arial"/>
          <w:sz w:val="24"/>
          <w:szCs w:val="24"/>
          <w:lang w:val="it-IT"/>
        </w:rPr>
        <w:t>, segunda edición revisada e integrada, Edizioni Scientifiche Italiane, Nápoles, 1991.</w:t>
      </w:r>
    </w:p>
    <w:p w14:paraId="3C0BDFA6"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Perlingieri, Pietro, </w:t>
      </w:r>
      <w:r w:rsidRPr="00792B12">
        <w:rPr>
          <w:rFonts w:ascii="Arial" w:hAnsi="Arial" w:cs="Arial"/>
          <w:i/>
          <w:sz w:val="24"/>
          <w:szCs w:val="24"/>
          <w:lang w:val="it-IT"/>
        </w:rPr>
        <w:t>La personalità umana nell’ordinamento giuridico</w:t>
      </w:r>
      <w:r w:rsidRPr="00792B12">
        <w:rPr>
          <w:rFonts w:ascii="Arial" w:hAnsi="Arial" w:cs="Arial"/>
          <w:sz w:val="24"/>
          <w:szCs w:val="24"/>
          <w:lang w:val="it-IT"/>
        </w:rPr>
        <w:t>, reimpresión, Università degli Studi di Camerino- Edizioni Scientifiche Italiane, Nápoles, 1982.</w:t>
      </w:r>
    </w:p>
    <w:p w14:paraId="58640820" w14:textId="2889E046" w:rsidR="0096481E" w:rsidRPr="00352D8D"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Perlingieri, Pietro, </w:t>
      </w:r>
      <w:r w:rsidRPr="00792B12">
        <w:rPr>
          <w:rFonts w:ascii="Arial" w:hAnsi="Arial" w:cs="Arial"/>
          <w:i/>
          <w:sz w:val="24"/>
          <w:szCs w:val="24"/>
          <w:lang w:val="it-IT"/>
        </w:rPr>
        <w:t>Profili del diritto civile</w:t>
      </w:r>
      <w:r w:rsidRPr="00792B12">
        <w:rPr>
          <w:rFonts w:ascii="Arial" w:hAnsi="Arial" w:cs="Arial"/>
          <w:sz w:val="24"/>
          <w:szCs w:val="24"/>
          <w:lang w:val="it-IT"/>
        </w:rPr>
        <w:t>, tercera edición revisada y ampliada, Edizioni Scientifiche Italiane, Nápoles, 1994.</w:t>
      </w:r>
    </w:p>
    <w:p w14:paraId="109896AF"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Pino, Giorgio, </w:t>
      </w:r>
      <w:r w:rsidRPr="00792B12">
        <w:rPr>
          <w:rFonts w:ascii="Arial" w:hAnsi="Arial" w:cs="Arial"/>
          <w:i/>
          <w:sz w:val="24"/>
          <w:szCs w:val="24"/>
          <w:lang w:val="it-IT"/>
        </w:rPr>
        <w:t>Il diritto all’identitá personale. Interpretazione costituzionale e creativitá giurisprudenziale</w:t>
      </w:r>
      <w:r w:rsidRPr="00792B12">
        <w:rPr>
          <w:rFonts w:ascii="Arial" w:hAnsi="Arial" w:cs="Arial"/>
          <w:sz w:val="24"/>
          <w:szCs w:val="24"/>
          <w:lang w:val="it-IT"/>
        </w:rPr>
        <w:t>, Il Mulino, Bolonia, 2003.</w:t>
      </w:r>
    </w:p>
    <w:p w14:paraId="48D96FFF"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lastRenderedPageBreak/>
        <w:t xml:space="preserve">Pino, Giorgio, </w:t>
      </w:r>
      <w:r w:rsidRPr="00792B12">
        <w:rPr>
          <w:rFonts w:ascii="Arial" w:hAnsi="Arial" w:cs="Arial"/>
          <w:i/>
          <w:sz w:val="24"/>
          <w:szCs w:val="24"/>
          <w:lang w:val="it-IT"/>
        </w:rPr>
        <w:t>L‘identità personale</w:t>
      </w:r>
      <w:r w:rsidRPr="00792B12">
        <w:rPr>
          <w:rFonts w:ascii="Arial" w:hAnsi="Arial" w:cs="Arial"/>
          <w:sz w:val="24"/>
          <w:szCs w:val="24"/>
          <w:lang w:val="it-IT"/>
        </w:rPr>
        <w:t>, en: Trattato di Biodiritto, diretto da Stefano Rodotà e Paolo Zatti, Giuffrè editore, Milán,  2010.</w:t>
      </w:r>
    </w:p>
    <w:p w14:paraId="58AA5ADC"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en-US"/>
        </w:rPr>
      </w:pPr>
      <w:r w:rsidRPr="00792B12">
        <w:rPr>
          <w:rFonts w:ascii="Arial" w:hAnsi="Arial" w:cs="Arial"/>
          <w:sz w:val="24"/>
          <w:szCs w:val="24"/>
          <w:lang w:val="en-US"/>
        </w:rPr>
        <w:t xml:space="preserve">Pino, Giorgio, </w:t>
      </w:r>
      <w:r w:rsidRPr="00792B12">
        <w:rPr>
          <w:rFonts w:ascii="Arial" w:hAnsi="Arial" w:cs="Arial"/>
          <w:i/>
          <w:sz w:val="24"/>
          <w:szCs w:val="24"/>
          <w:lang w:val="en-US"/>
        </w:rPr>
        <w:t>The Right to Personal Identity in Italian Private Law: Constitutional Interpretation and Judge-Made Rights</w:t>
      </w:r>
      <w:r w:rsidRPr="00792B12">
        <w:rPr>
          <w:rFonts w:ascii="Arial" w:hAnsi="Arial" w:cs="Arial"/>
          <w:sz w:val="24"/>
          <w:szCs w:val="24"/>
          <w:lang w:val="en-US"/>
        </w:rPr>
        <w:t xml:space="preserve">, </w:t>
      </w:r>
      <w:proofErr w:type="spellStart"/>
      <w:r w:rsidRPr="00792B12">
        <w:rPr>
          <w:rFonts w:ascii="Arial" w:hAnsi="Arial" w:cs="Arial"/>
          <w:sz w:val="24"/>
          <w:szCs w:val="24"/>
          <w:lang w:val="en-US"/>
        </w:rPr>
        <w:t>en</w:t>
      </w:r>
      <w:proofErr w:type="spellEnd"/>
      <w:r w:rsidRPr="00792B12">
        <w:rPr>
          <w:rFonts w:ascii="Arial" w:hAnsi="Arial" w:cs="Arial"/>
          <w:sz w:val="24"/>
          <w:szCs w:val="24"/>
          <w:lang w:val="en-US"/>
        </w:rPr>
        <w:t xml:space="preserve">: The Harmonization of Private Law in Europe, </w:t>
      </w:r>
      <w:proofErr w:type="spellStart"/>
      <w:r w:rsidRPr="00792B12">
        <w:rPr>
          <w:rFonts w:ascii="Arial" w:hAnsi="Arial" w:cs="Arial"/>
          <w:sz w:val="24"/>
          <w:szCs w:val="24"/>
          <w:lang w:val="en-US"/>
        </w:rPr>
        <w:t>editado</w:t>
      </w:r>
      <w:proofErr w:type="spellEnd"/>
      <w:r w:rsidRPr="00792B12">
        <w:rPr>
          <w:rFonts w:ascii="Arial" w:hAnsi="Arial" w:cs="Arial"/>
          <w:sz w:val="24"/>
          <w:szCs w:val="24"/>
          <w:lang w:val="en-US"/>
        </w:rPr>
        <w:t xml:space="preserve"> </w:t>
      </w:r>
      <w:proofErr w:type="spellStart"/>
      <w:r w:rsidRPr="00792B12">
        <w:rPr>
          <w:rFonts w:ascii="Arial" w:hAnsi="Arial" w:cs="Arial"/>
          <w:sz w:val="24"/>
          <w:szCs w:val="24"/>
          <w:lang w:val="en-US"/>
        </w:rPr>
        <w:t>por</w:t>
      </w:r>
      <w:proofErr w:type="spellEnd"/>
      <w:r w:rsidRPr="00792B12">
        <w:rPr>
          <w:rFonts w:ascii="Arial" w:hAnsi="Arial" w:cs="Arial"/>
          <w:sz w:val="24"/>
          <w:szCs w:val="24"/>
          <w:lang w:val="en-US"/>
        </w:rPr>
        <w:t xml:space="preserve"> M. Van </w:t>
      </w:r>
      <w:proofErr w:type="spellStart"/>
      <w:r w:rsidRPr="00792B12">
        <w:rPr>
          <w:rFonts w:ascii="Arial" w:hAnsi="Arial" w:cs="Arial"/>
          <w:sz w:val="24"/>
          <w:szCs w:val="24"/>
          <w:lang w:val="en-US"/>
        </w:rPr>
        <w:t>Hoecke</w:t>
      </w:r>
      <w:proofErr w:type="spellEnd"/>
      <w:r w:rsidRPr="00792B12">
        <w:rPr>
          <w:rFonts w:ascii="Arial" w:hAnsi="Arial" w:cs="Arial"/>
          <w:sz w:val="24"/>
          <w:szCs w:val="24"/>
          <w:lang w:val="en-US"/>
        </w:rPr>
        <w:t xml:space="preserve"> y F. Ost, Hart Publishing, Oxford, 2000.</w:t>
      </w:r>
    </w:p>
    <w:p w14:paraId="1A6C7FDE"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Posteraro, Nicola, </w:t>
      </w:r>
      <w:r w:rsidRPr="00792B12">
        <w:rPr>
          <w:rFonts w:ascii="Arial" w:hAnsi="Arial" w:cs="Arial"/>
          <w:i/>
          <w:sz w:val="24"/>
          <w:szCs w:val="24"/>
          <w:lang w:val="it-IT"/>
        </w:rPr>
        <w:t xml:space="preserve">Il diritto alla salute delle persone transessuali e la rettificazione chirurgica del sesso biologico: problemi </w:t>
      </w:r>
      <w:r w:rsidRPr="00792B12">
        <w:rPr>
          <w:rFonts w:ascii="Arial" w:hAnsi="Arial" w:cs="Arial"/>
          <w:iCs/>
          <w:sz w:val="24"/>
          <w:szCs w:val="24"/>
          <w:lang w:val="it-IT"/>
        </w:rPr>
        <w:t>pratici, en:</w:t>
      </w:r>
      <w:r w:rsidRPr="00792B12">
        <w:rPr>
          <w:rFonts w:ascii="Arial" w:hAnsi="Arial" w:cs="Arial"/>
          <w:sz w:val="24"/>
          <w:szCs w:val="24"/>
          <w:lang w:val="it-IT"/>
        </w:rPr>
        <w:t xml:space="preserve"> Rivista Italiana di Medicina Legale, año XXXIX, fascículo 3, Giuffrè editore, Milán,  2017.</w:t>
      </w:r>
    </w:p>
    <w:p w14:paraId="4F72283C"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Posteraro, Nicola, </w:t>
      </w:r>
      <w:r w:rsidRPr="00792B12">
        <w:rPr>
          <w:rFonts w:ascii="Arial" w:hAnsi="Arial" w:cs="Arial"/>
          <w:i/>
          <w:sz w:val="24"/>
          <w:szCs w:val="24"/>
          <w:lang w:val="it-IT"/>
        </w:rPr>
        <w:t xml:space="preserve">Transessualismo, rettificazione anagrafica del sesso e necessità dell’intervento chirurgico sui caratteri sessuali primari: riflessioni sui problemi irrisolti alla luce della recente giurisprudenza </w:t>
      </w:r>
      <w:r w:rsidRPr="00792B12">
        <w:rPr>
          <w:rFonts w:ascii="Arial" w:hAnsi="Arial" w:cs="Arial"/>
          <w:iCs/>
          <w:sz w:val="24"/>
          <w:szCs w:val="24"/>
          <w:lang w:val="it-IT"/>
        </w:rPr>
        <w:t xml:space="preserve">nazionale, en: </w:t>
      </w:r>
      <w:r w:rsidRPr="00792B12">
        <w:rPr>
          <w:rFonts w:ascii="Arial" w:hAnsi="Arial" w:cs="Arial"/>
          <w:sz w:val="24"/>
          <w:szCs w:val="24"/>
          <w:lang w:val="it-IT"/>
        </w:rPr>
        <w:t xml:space="preserve"> Rivista Italiana di Medicina Legale, año XXXIX, fascículo 4, Giuffrè editore, Milán,  2017.</w:t>
      </w:r>
    </w:p>
    <w:p w14:paraId="697E75AA"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Reale, Carlo Maria, </w:t>
      </w:r>
      <w:r w:rsidRPr="00792B12">
        <w:rPr>
          <w:rFonts w:ascii="Arial" w:hAnsi="Arial" w:cs="Arial"/>
          <w:i/>
          <w:sz w:val="24"/>
          <w:szCs w:val="24"/>
          <w:lang w:val="it-IT"/>
        </w:rPr>
        <w:t>Corte costituzionale e transgenderismo: l'irriducibile varietà delle singole situazioni</w:t>
      </w:r>
      <w:r w:rsidRPr="00792B12">
        <w:rPr>
          <w:rFonts w:ascii="Arial" w:hAnsi="Arial" w:cs="Arial"/>
          <w:sz w:val="24"/>
          <w:szCs w:val="24"/>
          <w:lang w:val="it-IT"/>
        </w:rPr>
        <w:t xml:space="preserve">, en: </w:t>
      </w:r>
      <w:r w:rsidRPr="00792B12">
        <w:rPr>
          <w:rFonts w:ascii="Arial" w:hAnsi="Arial" w:cs="Arial"/>
          <w:i/>
          <w:sz w:val="24"/>
          <w:szCs w:val="24"/>
          <w:lang w:val="it-IT"/>
        </w:rPr>
        <w:t>BioLaw Journal - Rivista di BioDiritto</w:t>
      </w:r>
      <w:r w:rsidRPr="00792B12">
        <w:rPr>
          <w:rFonts w:ascii="Arial" w:hAnsi="Arial" w:cs="Arial"/>
          <w:sz w:val="24"/>
          <w:szCs w:val="24"/>
          <w:lang w:val="it-IT"/>
        </w:rPr>
        <w:t>, 2016.</w:t>
      </w:r>
    </w:p>
    <w:p w14:paraId="3374DBDE"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Rescigno, Pietro, </w:t>
      </w:r>
      <w:r w:rsidRPr="00792B12">
        <w:rPr>
          <w:rFonts w:ascii="Arial" w:hAnsi="Arial" w:cs="Arial"/>
          <w:i/>
          <w:sz w:val="24"/>
          <w:szCs w:val="24"/>
          <w:lang w:val="it-IT"/>
        </w:rPr>
        <w:t>Conclusioni</w:t>
      </w:r>
      <w:r w:rsidRPr="00792B12">
        <w:rPr>
          <w:rFonts w:ascii="Arial" w:hAnsi="Arial" w:cs="Arial"/>
          <w:sz w:val="24"/>
          <w:szCs w:val="24"/>
          <w:lang w:val="it-IT"/>
        </w:rPr>
        <w:t xml:space="preserve">, en Alpa, Guido; Bessone, Mario y Boneschi, Luca (directores), </w:t>
      </w:r>
      <w:r w:rsidRPr="00792B12">
        <w:rPr>
          <w:rFonts w:ascii="Arial" w:hAnsi="Arial" w:cs="Arial"/>
          <w:i/>
          <w:sz w:val="24"/>
          <w:szCs w:val="24"/>
          <w:lang w:val="it-IT"/>
        </w:rPr>
        <w:t>Il diritto all’identità personale</w:t>
      </w:r>
      <w:r w:rsidRPr="00792B12">
        <w:rPr>
          <w:rFonts w:ascii="Arial" w:hAnsi="Arial" w:cs="Arial"/>
          <w:sz w:val="24"/>
          <w:szCs w:val="24"/>
          <w:lang w:val="it-IT"/>
        </w:rPr>
        <w:t>, Cedam, Padua, 1981.</w:t>
      </w:r>
    </w:p>
    <w:p w14:paraId="252396B6"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Rescigno, Pietro, </w:t>
      </w:r>
      <w:r w:rsidRPr="00792B12">
        <w:rPr>
          <w:rFonts w:ascii="Arial" w:hAnsi="Arial" w:cs="Arial"/>
          <w:i/>
          <w:sz w:val="24"/>
          <w:szCs w:val="24"/>
          <w:lang w:val="it-IT"/>
        </w:rPr>
        <w:t>Manuale del diritto privato italiano</w:t>
      </w:r>
      <w:r w:rsidRPr="00792B12">
        <w:rPr>
          <w:rFonts w:ascii="Arial" w:hAnsi="Arial" w:cs="Arial"/>
          <w:sz w:val="24"/>
          <w:szCs w:val="24"/>
          <w:lang w:val="it-IT"/>
        </w:rPr>
        <w:t>, décima primera edición, segunda reimpresión con apéndice de actualización, Casa Editrice Dott. Eugenio Jovene, Nápoles, 1996.</w:t>
      </w:r>
    </w:p>
    <w:p w14:paraId="43924E42" w14:textId="4E439AA6" w:rsidR="0096481E" w:rsidRPr="00352D8D"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Resta, Giorgio,  </w:t>
      </w:r>
      <w:r w:rsidRPr="00792B12">
        <w:rPr>
          <w:rFonts w:ascii="Arial" w:hAnsi="Arial" w:cs="Arial"/>
          <w:i/>
          <w:iCs/>
          <w:sz w:val="24"/>
          <w:szCs w:val="24"/>
          <w:lang w:val="it-IT"/>
        </w:rPr>
        <w:t>Autonomia privata e diritti della personalità</w:t>
      </w:r>
      <w:r w:rsidRPr="00792B12">
        <w:rPr>
          <w:rFonts w:ascii="Arial" w:hAnsi="Arial" w:cs="Arial"/>
          <w:sz w:val="24"/>
          <w:szCs w:val="24"/>
          <w:lang w:val="it-IT"/>
        </w:rPr>
        <w:t>, Jovene editore, Nápoles, 2005.</w:t>
      </w:r>
    </w:p>
    <w:p w14:paraId="5ED10966"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Rivera, Ilaria, </w:t>
      </w:r>
      <w:r w:rsidRPr="00792B12">
        <w:rPr>
          <w:rFonts w:ascii="Arial" w:hAnsi="Arial" w:cs="Arial"/>
          <w:i/>
          <w:sz w:val="24"/>
          <w:szCs w:val="24"/>
          <w:lang w:val="it-IT"/>
        </w:rPr>
        <w:t xml:space="preserve">Le suggestioni del diritto all’autodeterminazione personale tra identità e diversità di genere. Note a margine di Corte Cost. N. 221 del </w:t>
      </w:r>
      <w:r w:rsidRPr="00792B12">
        <w:rPr>
          <w:rFonts w:ascii="Arial" w:hAnsi="Arial" w:cs="Arial"/>
          <w:iCs/>
          <w:sz w:val="24"/>
          <w:szCs w:val="24"/>
          <w:lang w:val="it-IT"/>
        </w:rPr>
        <w:t>2015, en</w:t>
      </w:r>
      <w:r w:rsidRPr="00792B12">
        <w:rPr>
          <w:rFonts w:ascii="Arial" w:hAnsi="Arial" w:cs="Arial"/>
          <w:sz w:val="24"/>
          <w:szCs w:val="24"/>
          <w:lang w:val="it-IT"/>
        </w:rPr>
        <w:t>: Consulta Online, periodo telematico, fascículo I, 2016.</w:t>
      </w:r>
    </w:p>
    <w:p w14:paraId="14627C94"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Rodotà, Stefano, </w:t>
      </w:r>
      <w:r w:rsidRPr="00792B12">
        <w:rPr>
          <w:rFonts w:ascii="Arial" w:hAnsi="Arial" w:cs="Arial"/>
          <w:i/>
          <w:sz w:val="24"/>
          <w:szCs w:val="24"/>
          <w:lang w:val="it-IT"/>
        </w:rPr>
        <w:t>Diritto d’amore</w:t>
      </w:r>
      <w:r w:rsidRPr="00792B12">
        <w:rPr>
          <w:rFonts w:ascii="Arial" w:hAnsi="Arial" w:cs="Arial"/>
          <w:sz w:val="24"/>
          <w:szCs w:val="24"/>
          <w:lang w:val="it-IT"/>
        </w:rPr>
        <w:t>, Editore Laterza, Bari, 2017.</w:t>
      </w:r>
    </w:p>
    <w:p w14:paraId="2151EA2C"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lastRenderedPageBreak/>
        <w:t xml:space="preserve">Roppo, Vincenzo, </w:t>
      </w:r>
      <w:r w:rsidRPr="00792B12">
        <w:rPr>
          <w:rFonts w:ascii="Arial" w:hAnsi="Arial" w:cs="Arial"/>
          <w:i/>
          <w:sz w:val="24"/>
          <w:szCs w:val="24"/>
          <w:lang w:val="it-IT"/>
        </w:rPr>
        <w:t xml:space="preserve"> Diritto della</w:t>
      </w:r>
      <w:r w:rsidRPr="00792B12">
        <w:rPr>
          <w:rFonts w:ascii="Arial" w:hAnsi="Arial" w:cs="Arial"/>
          <w:sz w:val="24"/>
          <w:szCs w:val="24"/>
          <w:lang w:val="it-IT"/>
        </w:rPr>
        <w:t xml:space="preserve"> </w:t>
      </w:r>
      <w:r w:rsidRPr="00792B12">
        <w:rPr>
          <w:rFonts w:ascii="Arial" w:hAnsi="Arial" w:cs="Arial"/>
          <w:i/>
          <w:sz w:val="24"/>
          <w:szCs w:val="24"/>
          <w:lang w:val="it-IT"/>
        </w:rPr>
        <w:t>personalità, diritto alla identità personale e sistema dell’informazione. Quale modello di politica del Diritto?</w:t>
      </w:r>
      <w:r w:rsidRPr="00792B12">
        <w:rPr>
          <w:rFonts w:ascii="Arial" w:hAnsi="Arial" w:cs="Arial"/>
          <w:sz w:val="24"/>
          <w:szCs w:val="24"/>
          <w:lang w:val="it-IT"/>
        </w:rPr>
        <w:t xml:space="preserve">,  en:  AA.VV.,  </w:t>
      </w:r>
      <w:r w:rsidRPr="00792B12">
        <w:rPr>
          <w:rFonts w:ascii="Arial" w:hAnsi="Arial" w:cs="Arial"/>
          <w:i/>
          <w:sz w:val="24"/>
          <w:szCs w:val="24"/>
          <w:lang w:val="it-IT"/>
        </w:rPr>
        <w:t>L’informazione e  i diritti della persona</w:t>
      </w:r>
      <w:r w:rsidRPr="00792B12">
        <w:rPr>
          <w:rFonts w:ascii="Arial" w:hAnsi="Arial" w:cs="Arial"/>
          <w:sz w:val="24"/>
          <w:szCs w:val="24"/>
          <w:lang w:val="it-IT"/>
        </w:rPr>
        <w:t>,  Jovene Editore,  Nápoles, 1983.</w:t>
      </w:r>
    </w:p>
    <w:p w14:paraId="5E915A7F"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Rospi, Mimma, </w:t>
      </w:r>
      <w:r w:rsidRPr="00792B12">
        <w:rPr>
          <w:rFonts w:ascii="Arial" w:hAnsi="Arial" w:cs="Arial"/>
          <w:i/>
          <w:sz w:val="24"/>
          <w:szCs w:val="24"/>
          <w:lang w:val="it-IT"/>
        </w:rPr>
        <w:t>Il transessualismo e il (venir meno del) “costringimento al bisturi”: una prova  di interpretazione costituzionalmente e convenzionalmente conforme</w:t>
      </w:r>
      <w:r w:rsidRPr="00792B12">
        <w:rPr>
          <w:rFonts w:ascii="Arial" w:hAnsi="Arial" w:cs="Arial"/>
          <w:sz w:val="24"/>
          <w:szCs w:val="24"/>
          <w:lang w:val="it-IT"/>
        </w:rPr>
        <w:t xml:space="preserve">, en: </w:t>
      </w:r>
      <w:r w:rsidRPr="00792B12">
        <w:rPr>
          <w:rFonts w:ascii="Arial" w:hAnsi="Arial" w:cs="Arial"/>
          <w:i/>
          <w:sz w:val="24"/>
          <w:szCs w:val="24"/>
          <w:lang w:val="it-IT"/>
        </w:rPr>
        <w:t>Federalismi. It</w:t>
      </w:r>
      <w:r w:rsidRPr="00792B12">
        <w:rPr>
          <w:rFonts w:ascii="Arial" w:hAnsi="Arial" w:cs="Arial"/>
          <w:sz w:val="24"/>
          <w:szCs w:val="24"/>
          <w:lang w:val="it-IT"/>
        </w:rPr>
        <w:t>. Rivista di diritto pubblico italiano, comunitario e comparato, n. 2, 2016.</w:t>
      </w:r>
    </w:p>
    <w:p w14:paraId="0949A30A"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Rubio-</w:t>
      </w:r>
      <w:proofErr w:type="spellStart"/>
      <w:r w:rsidRPr="00792B12">
        <w:rPr>
          <w:rFonts w:ascii="Arial" w:hAnsi="Arial" w:cs="Arial"/>
          <w:sz w:val="24"/>
          <w:szCs w:val="24"/>
        </w:rPr>
        <w:t>Marin</w:t>
      </w:r>
      <w:proofErr w:type="spellEnd"/>
      <w:r w:rsidRPr="00792B12">
        <w:rPr>
          <w:rFonts w:ascii="Arial" w:hAnsi="Arial" w:cs="Arial"/>
          <w:sz w:val="24"/>
          <w:szCs w:val="24"/>
        </w:rPr>
        <w:t xml:space="preserve">, Ruth y Stefano Osella, </w:t>
      </w:r>
      <w:r w:rsidRPr="00792B12">
        <w:rPr>
          <w:rFonts w:ascii="Arial" w:hAnsi="Arial" w:cs="Arial"/>
          <w:i/>
          <w:sz w:val="24"/>
          <w:szCs w:val="24"/>
        </w:rPr>
        <w:t>El nuevo derecho constitucional a la identidad de género: entre la libertad de elección, el incremento de categorías y la subjetividad y fluidez de sus contenidos. Un análisis desde el derecho comparado</w:t>
      </w:r>
      <w:r w:rsidRPr="00792B12">
        <w:rPr>
          <w:rFonts w:ascii="Arial" w:hAnsi="Arial" w:cs="Arial"/>
          <w:sz w:val="24"/>
          <w:szCs w:val="24"/>
        </w:rPr>
        <w:t xml:space="preserve">, en: Revista Española de Derecho Constitucional, </w:t>
      </w:r>
      <w:proofErr w:type="spellStart"/>
      <w:r w:rsidRPr="00792B12">
        <w:rPr>
          <w:rFonts w:ascii="Arial" w:hAnsi="Arial" w:cs="Arial"/>
          <w:sz w:val="24"/>
          <w:szCs w:val="24"/>
        </w:rPr>
        <w:t>n°</w:t>
      </w:r>
      <w:proofErr w:type="spellEnd"/>
      <w:r w:rsidRPr="00792B12">
        <w:rPr>
          <w:rFonts w:ascii="Arial" w:hAnsi="Arial" w:cs="Arial"/>
          <w:sz w:val="24"/>
          <w:szCs w:val="24"/>
        </w:rPr>
        <w:t xml:space="preserve"> 118, 2020.</w:t>
      </w:r>
    </w:p>
    <w:p w14:paraId="6900757F"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Rubio-Marin, Ruth y Stefano Osella, </w:t>
      </w:r>
      <w:r w:rsidRPr="00792B12">
        <w:rPr>
          <w:rFonts w:ascii="Arial" w:hAnsi="Arial" w:cs="Arial"/>
          <w:i/>
          <w:sz w:val="24"/>
          <w:szCs w:val="24"/>
          <w:lang w:val="it-IT"/>
        </w:rPr>
        <w:t>Le precondizioni per il riconoscimento dell’identità  sessuale</w:t>
      </w:r>
      <w:r w:rsidRPr="00792B12">
        <w:rPr>
          <w:rFonts w:ascii="Arial" w:hAnsi="Arial" w:cs="Arial"/>
          <w:iCs/>
          <w:sz w:val="24"/>
          <w:szCs w:val="24"/>
          <w:lang w:val="it-IT"/>
        </w:rPr>
        <w:t xml:space="preserve">, en: </w:t>
      </w:r>
      <w:r w:rsidRPr="00792B12">
        <w:rPr>
          <w:rFonts w:ascii="Arial" w:hAnsi="Arial" w:cs="Arial"/>
          <w:sz w:val="24"/>
          <w:szCs w:val="24"/>
          <w:lang w:val="it-IT"/>
        </w:rPr>
        <w:t>Quaderni costituzionali, fascículo 1, Il Mulino, marzo 2016.</w:t>
      </w:r>
    </w:p>
    <w:p w14:paraId="51A8722F"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Russo Tullia y Paolo Valerio, </w:t>
      </w:r>
      <w:r w:rsidRPr="00792B12">
        <w:rPr>
          <w:rFonts w:ascii="Arial" w:hAnsi="Arial" w:cs="Arial"/>
          <w:i/>
          <w:iCs/>
          <w:sz w:val="24"/>
          <w:szCs w:val="24"/>
          <w:lang w:val="it-IT"/>
        </w:rPr>
        <w:t>Transgenderismo e identità di genere: dai manuali nosografici ai contesti</w:t>
      </w:r>
      <w:r w:rsidRPr="00792B12">
        <w:rPr>
          <w:rFonts w:ascii="Arial" w:hAnsi="Arial" w:cs="Arial"/>
          <w:sz w:val="24"/>
          <w:szCs w:val="24"/>
          <w:lang w:val="it-IT"/>
        </w:rPr>
        <w:t>, en: Un focus sulle università italiane. Rivista Sperimentale di Freniatria, volumen CXCLIII (2), 2019.</w:t>
      </w:r>
    </w:p>
    <w:p w14:paraId="4631683D"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Saitto, Francesco, </w:t>
      </w:r>
      <w:r w:rsidRPr="00792B12">
        <w:rPr>
          <w:rFonts w:ascii="Arial" w:hAnsi="Arial" w:cs="Arial"/>
          <w:i/>
          <w:sz w:val="24"/>
          <w:szCs w:val="24"/>
          <w:lang w:val="it-IT"/>
        </w:rPr>
        <w:t>Finché “divorzio imposto” non vi separi. Famiglia, rettificazione di sesso e scioglimento ex lege del matrimonio</w:t>
      </w:r>
      <w:r w:rsidRPr="00792B12">
        <w:rPr>
          <w:rFonts w:ascii="Arial" w:hAnsi="Arial" w:cs="Arial"/>
          <w:sz w:val="24"/>
          <w:szCs w:val="24"/>
          <w:lang w:val="it-IT"/>
        </w:rPr>
        <w:t>, en  Omosessualità, eguaglianza, diritti, al cuidado de Angelo Schillaci,  Carocci editore, Roma, 2014.</w:t>
      </w:r>
    </w:p>
    <w:p w14:paraId="655C13A5" w14:textId="24A001FE" w:rsidR="0096481E" w:rsidRPr="00352D8D"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Saitto, Francesco, </w:t>
      </w:r>
      <w:r w:rsidRPr="00792B12">
        <w:rPr>
          <w:rFonts w:ascii="Arial" w:hAnsi="Arial" w:cs="Arial"/>
          <w:i/>
          <w:sz w:val="24"/>
          <w:szCs w:val="24"/>
          <w:lang w:val="it-IT"/>
        </w:rPr>
        <w:t>L’incostituzionalità del “divorzio imposto” tra rettiﬁcazione di sesso e tutela del “pregresso vissuto” della coppia</w:t>
      </w:r>
      <w:r w:rsidRPr="00792B12">
        <w:rPr>
          <w:rFonts w:ascii="Arial" w:hAnsi="Arial" w:cs="Arial"/>
          <w:iCs/>
          <w:sz w:val="24"/>
          <w:szCs w:val="24"/>
          <w:lang w:val="it-IT"/>
        </w:rPr>
        <w:t xml:space="preserve">, </w:t>
      </w:r>
      <w:r w:rsidRPr="00792B12">
        <w:rPr>
          <w:rFonts w:ascii="Arial" w:hAnsi="Arial" w:cs="Arial"/>
          <w:sz w:val="24"/>
          <w:szCs w:val="24"/>
          <w:lang w:val="it-IT"/>
        </w:rPr>
        <w:t>en: Giurisprudenza Costituzionale,  año LIX, fascículo 3, Giuffrè editore,  Milán, mayo-junio de 2014.</w:t>
      </w:r>
    </w:p>
    <w:p w14:paraId="186A7AC8"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Scalisi, Vincenzo, </w:t>
      </w:r>
      <w:r w:rsidRPr="00792B12">
        <w:rPr>
          <w:rFonts w:ascii="Arial" w:hAnsi="Arial" w:cs="Arial"/>
          <w:i/>
          <w:sz w:val="24"/>
          <w:szCs w:val="24"/>
          <w:lang w:val="it-IT"/>
        </w:rPr>
        <w:t>Lesione dell’identità personale e danno non patrimoniale</w:t>
      </w:r>
      <w:r w:rsidRPr="00792B12">
        <w:rPr>
          <w:rFonts w:ascii="Arial" w:hAnsi="Arial" w:cs="Arial"/>
          <w:sz w:val="24"/>
          <w:szCs w:val="24"/>
          <w:lang w:val="it-IT"/>
        </w:rPr>
        <w:t xml:space="preserve">, AA.VV., </w:t>
      </w:r>
      <w:r w:rsidRPr="00792B12">
        <w:rPr>
          <w:rFonts w:ascii="Arial" w:hAnsi="Arial" w:cs="Arial"/>
          <w:i/>
          <w:sz w:val="24"/>
          <w:szCs w:val="24"/>
          <w:lang w:val="it-IT"/>
        </w:rPr>
        <w:t>La lesione all’identità personale e il danno non patrimoniale</w:t>
      </w:r>
      <w:r w:rsidRPr="00792B12">
        <w:rPr>
          <w:rFonts w:ascii="Arial" w:hAnsi="Arial" w:cs="Arial"/>
          <w:sz w:val="24"/>
          <w:szCs w:val="24"/>
          <w:lang w:val="it-IT"/>
        </w:rPr>
        <w:t>, Giuffrè editore, Milán, 1985.</w:t>
      </w:r>
    </w:p>
    <w:p w14:paraId="47F51C54"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lastRenderedPageBreak/>
        <w:t xml:space="preserve">Schuster Alexander y Lorenzetti, Anna, </w:t>
      </w:r>
      <w:r w:rsidRPr="00792B12">
        <w:rPr>
          <w:rFonts w:ascii="Arial" w:hAnsi="Arial" w:cs="Arial"/>
          <w:i/>
          <w:sz w:val="24"/>
          <w:szCs w:val="24"/>
          <w:lang w:val="it-IT"/>
        </w:rPr>
        <w:t>Corte costituzionale e Corte europea dei diritti umani: l’astratto paradigma eterosessuale del matrimonio può prevalere sulla tutela concreta del matrimonio della persona trans</w:t>
      </w:r>
      <w:r w:rsidRPr="00792B12">
        <w:rPr>
          <w:rFonts w:ascii="Arial" w:hAnsi="Arial" w:cs="Arial"/>
          <w:iCs/>
          <w:sz w:val="24"/>
          <w:szCs w:val="24"/>
          <w:lang w:val="it-IT"/>
        </w:rPr>
        <w:t xml:space="preserve">, </w:t>
      </w:r>
      <w:r w:rsidRPr="00792B12">
        <w:rPr>
          <w:rFonts w:ascii="Arial" w:hAnsi="Arial" w:cs="Arial"/>
          <w:sz w:val="24"/>
          <w:szCs w:val="24"/>
          <w:lang w:val="it-IT"/>
        </w:rPr>
        <w:t>en: La Nuova giurisprudenza civile commentata, N. 12, año XXX, Cedam, Padua,  2014.</w:t>
      </w:r>
    </w:p>
    <w:p w14:paraId="214C9BE8"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Schuster Alexander,  </w:t>
      </w:r>
      <w:r w:rsidRPr="00792B12">
        <w:rPr>
          <w:rFonts w:ascii="Arial" w:hAnsi="Arial" w:cs="Arial"/>
          <w:i/>
          <w:sz w:val="24"/>
          <w:szCs w:val="24"/>
          <w:lang w:val="it-IT"/>
        </w:rPr>
        <w:t xml:space="preserve">Quid est matrimonium? Riattribuzione del genere anagrafico e </w:t>
      </w:r>
      <w:r w:rsidRPr="00792B12">
        <w:rPr>
          <w:rFonts w:ascii="Arial" w:hAnsi="Arial" w:cs="Arial"/>
          <w:i/>
          <w:iCs/>
          <w:sz w:val="24"/>
          <w:szCs w:val="24"/>
          <w:lang w:val="it-IT"/>
        </w:rPr>
        <w:t xml:space="preserve">divorzio, </w:t>
      </w:r>
      <w:r w:rsidRPr="00792B12">
        <w:rPr>
          <w:rFonts w:ascii="Arial" w:hAnsi="Arial" w:cs="Arial"/>
          <w:iCs/>
          <w:sz w:val="24"/>
          <w:szCs w:val="24"/>
          <w:lang w:val="it-IT"/>
        </w:rPr>
        <w:t>en:</w:t>
      </w:r>
      <w:r w:rsidRPr="00792B12">
        <w:rPr>
          <w:rFonts w:ascii="Arial" w:hAnsi="Arial" w:cs="Arial"/>
          <w:sz w:val="24"/>
          <w:szCs w:val="24"/>
          <w:lang w:val="it-IT"/>
        </w:rPr>
        <w:t xml:space="preserve"> La Nuova giurisprudenza civile commentata, año XXX, n.1, Cedam, Padua, 2014.</w:t>
      </w:r>
    </w:p>
    <w:p w14:paraId="1305E182"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Schuster Alexander, </w:t>
      </w:r>
      <w:r w:rsidRPr="00792B12">
        <w:rPr>
          <w:rFonts w:ascii="Arial" w:hAnsi="Arial" w:cs="Arial"/>
          <w:i/>
          <w:sz w:val="24"/>
          <w:szCs w:val="24"/>
          <w:lang w:val="it-IT"/>
        </w:rPr>
        <w:t xml:space="preserve">Identità di genere: tutela della persona o difesa dell'ordinamento? </w:t>
      </w:r>
      <w:r w:rsidRPr="00792B12">
        <w:rPr>
          <w:rFonts w:ascii="Arial" w:hAnsi="Arial" w:cs="Arial"/>
          <w:sz w:val="24"/>
          <w:szCs w:val="24"/>
          <w:lang w:val="it-IT"/>
        </w:rPr>
        <w:t>Nota a Trib. Roma 11 marzo 2011; Trib. Roma 22 marzo 2011; App. Bologna 18 maggio 2011</w:t>
      </w:r>
      <w:r w:rsidRPr="00792B12">
        <w:rPr>
          <w:rFonts w:ascii="Arial" w:hAnsi="Arial" w:cs="Arial"/>
          <w:i/>
          <w:sz w:val="24"/>
          <w:szCs w:val="24"/>
          <w:lang w:val="it-IT"/>
        </w:rPr>
        <w:t xml:space="preserve">, </w:t>
      </w:r>
      <w:r w:rsidRPr="00792B12">
        <w:rPr>
          <w:rFonts w:ascii="Arial" w:hAnsi="Arial" w:cs="Arial"/>
          <w:sz w:val="24"/>
          <w:szCs w:val="24"/>
          <w:lang w:val="it-IT"/>
        </w:rPr>
        <w:t>en: La Nuova giurisprudenza civile commentata, fasc. 3,  Cedam, Padua, 2012.</w:t>
      </w:r>
    </w:p>
    <w:p w14:paraId="63A903FA" w14:textId="77777777" w:rsidR="0096481E" w:rsidRPr="00C76011" w:rsidRDefault="0096481E" w:rsidP="0096481E">
      <w:pPr>
        <w:pStyle w:val="Prrafodelista"/>
        <w:numPr>
          <w:ilvl w:val="0"/>
          <w:numId w:val="17"/>
        </w:numPr>
        <w:spacing w:after="240" w:line="360" w:lineRule="auto"/>
        <w:jc w:val="both"/>
        <w:rPr>
          <w:rFonts w:ascii="Arial" w:eastAsia="Times New Roman" w:hAnsi="Arial" w:cs="Arial"/>
          <w:sz w:val="24"/>
          <w:szCs w:val="24"/>
          <w:lang w:val="it-IT" w:eastAsia="es-PE"/>
        </w:rPr>
      </w:pPr>
      <w:r w:rsidRPr="00792B12">
        <w:rPr>
          <w:rFonts w:ascii="Arial" w:eastAsia="Times New Roman" w:hAnsi="Arial" w:cs="Arial"/>
          <w:sz w:val="24"/>
          <w:szCs w:val="24"/>
          <w:lang w:val="it-IT" w:eastAsia="es-PE"/>
        </w:rPr>
        <w:t xml:space="preserve">Schuster, Alexander, </w:t>
      </w:r>
      <w:r w:rsidRPr="00792B12">
        <w:rPr>
          <w:rFonts w:ascii="Arial" w:eastAsia="Times New Roman" w:hAnsi="Arial" w:cs="Arial"/>
          <w:i/>
          <w:sz w:val="24"/>
          <w:szCs w:val="24"/>
          <w:lang w:val="it-IT" w:eastAsia="es-PE"/>
        </w:rPr>
        <w:t>La rettificazione di sesso: criticità persistenti</w:t>
      </w:r>
      <w:r w:rsidRPr="00792B12">
        <w:rPr>
          <w:rFonts w:ascii="Arial" w:eastAsia="Times New Roman" w:hAnsi="Arial" w:cs="Arial"/>
          <w:sz w:val="24"/>
          <w:szCs w:val="24"/>
          <w:lang w:val="it-IT" w:eastAsia="es-PE"/>
        </w:rPr>
        <w:t>, en: Forum di Quaderni Costituzionali Rassegna, 2017.</w:t>
      </w:r>
    </w:p>
    <w:p w14:paraId="660A8029"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proofErr w:type="spellStart"/>
      <w:r w:rsidRPr="00792B12">
        <w:rPr>
          <w:rFonts w:ascii="Arial" w:hAnsi="Arial" w:cs="Arial"/>
          <w:sz w:val="24"/>
          <w:szCs w:val="24"/>
        </w:rPr>
        <w:t>Siverino</w:t>
      </w:r>
      <w:proofErr w:type="spellEnd"/>
      <w:r w:rsidRPr="00792B12">
        <w:rPr>
          <w:rFonts w:ascii="Arial" w:hAnsi="Arial" w:cs="Arial"/>
          <w:sz w:val="24"/>
          <w:szCs w:val="24"/>
        </w:rPr>
        <w:t xml:space="preserve"> </w:t>
      </w:r>
      <w:proofErr w:type="spellStart"/>
      <w:r w:rsidRPr="00792B12">
        <w:rPr>
          <w:rFonts w:ascii="Arial" w:hAnsi="Arial" w:cs="Arial"/>
          <w:sz w:val="24"/>
          <w:szCs w:val="24"/>
        </w:rPr>
        <w:t>Bavio</w:t>
      </w:r>
      <w:proofErr w:type="spellEnd"/>
      <w:r w:rsidRPr="00792B12">
        <w:rPr>
          <w:rFonts w:ascii="Arial" w:hAnsi="Arial" w:cs="Arial"/>
          <w:sz w:val="24"/>
          <w:szCs w:val="24"/>
        </w:rPr>
        <w:t xml:space="preserve">, Paula, </w:t>
      </w:r>
      <w:r w:rsidRPr="00792B12">
        <w:rPr>
          <w:rFonts w:ascii="Arial" w:hAnsi="Arial" w:cs="Arial"/>
          <w:i/>
          <w:sz w:val="24"/>
          <w:szCs w:val="24"/>
        </w:rPr>
        <w:t>Diversidad sexual y derechos humanos</w:t>
      </w:r>
      <w:r w:rsidRPr="00792B12">
        <w:rPr>
          <w:rFonts w:ascii="Arial" w:hAnsi="Arial" w:cs="Arial"/>
          <w:sz w:val="24"/>
          <w:szCs w:val="24"/>
        </w:rPr>
        <w:t xml:space="preserve">. </w:t>
      </w:r>
      <w:r w:rsidRPr="00792B12">
        <w:rPr>
          <w:rFonts w:ascii="Arial" w:hAnsi="Arial" w:cs="Arial"/>
          <w:i/>
          <w:sz w:val="24"/>
          <w:szCs w:val="24"/>
        </w:rPr>
        <w:t>El reconocimiento de las personas sexualmente diversas como sujetos plenos de derecho</w:t>
      </w:r>
      <w:r w:rsidRPr="00792B12">
        <w:rPr>
          <w:rFonts w:ascii="Arial" w:hAnsi="Arial" w:cs="Arial"/>
          <w:iCs/>
          <w:sz w:val="24"/>
          <w:szCs w:val="24"/>
        </w:rPr>
        <w:t>, en:</w:t>
      </w:r>
      <w:r w:rsidRPr="00792B12">
        <w:rPr>
          <w:rFonts w:ascii="Arial" w:hAnsi="Arial" w:cs="Arial"/>
          <w:i/>
          <w:sz w:val="24"/>
          <w:szCs w:val="24"/>
        </w:rPr>
        <w:t xml:space="preserve"> </w:t>
      </w:r>
      <w:r w:rsidRPr="00792B12">
        <w:rPr>
          <w:rFonts w:ascii="Arial" w:hAnsi="Arial" w:cs="Arial"/>
          <w:sz w:val="24"/>
          <w:szCs w:val="24"/>
        </w:rPr>
        <w:t xml:space="preserve">Gaceta Constitucional &amp; Procesal Constitucional </w:t>
      </w:r>
      <w:proofErr w:type="spellStart"/>
      <w:r w:rsidRPr="00792B12">
        <w:rPr>
          <w:rFonts w:ascii="Arial" w:hAnsi="Arial" w:cs="Arial"/>
          <w:sz w:val="24"/>
          <w:szCs w:val="24"/>
        </w:rPr>
        <w:t>Nª</w:t>
      </w:r>
      <w:proofErr w:type="spellEnd"/>
      <w:r w:rsidRPr="00792B12">
        <w:rPr>
          <w:rFonts w:ascii="Arial" w:hAnsi="Arial" w:cs="Arial"/>
          <w:sz w:val="24"/>
          <w:szCs w:val="24"/>
        </w:rPr>
        <w:t xml:space="preserve"> 76, Actualidad Constitucional, </w:t>
      </w:r>
      <w:proofErr w:type="spellStart"/>
      <w:r w:rsidRPr="00792B12">
        <w:rPr>
          <w:rFonts w:ascii="Arial" w:hAnsi="Arial" w:cs="Arial"/>
          <w:sz w:val="24"/>
          <w:szCs w:val="24"/>
        </w:rPr>
        <w:t>Nº</w:t>
      </w:r>
      <w:proofErr w:type="spellEnd"/>
      <w:r w:rsidRPr="00792B12">
        <w:rPr>
          <w:rFonts w:ascii="Arial" w:hAnsi="Arial" w:cs="Arial"/>
          <w:sz w:val="24"/>
          <w:szCs w:val="24"/>
        </w:rPr>
        <w:t>. 19, 2014.</w:t>
      </w:r>
    </w:p>
    <w:p w14:paraId="3BE385C7"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proofErr w:type="spellStart"/>
      <w:r w:rsidRPr="00792B12">
        <w:rPr>
          <w:rFonts w:ascii="Arial" w:hAnsi="Arial" w:cs="Arial"/>
          <w:sz w:val="24"/>
          <w:szCs w:val="24"/>
        </w:rPr>
        <w:t>Siverino</w:t>
      </w:r>
      <w:proofErr w:type="spellEnd"/>
      <w:r w:rsidRPr="00792B12">
        <w:rPr>
          <w:rFonts w:ascii="Arial" w:hAnsi="Arial" w:cs="Arial"/>
          <w:sz w:val="24"/>
          <w:szCs w:val="24"/>
        </w:rPr>
        <w:t xml:space="preserve"> </w:t>
      </w:r>
      <w:proofErr w:type="spellStart"/>
      <w:r w:rsidRPr="00792B12">
        <w:rPr>
          <w:rFonts w:ascii="Arial" w:hAnsi="Arial" w:cs="Arial"/>
          <w:sz w:val="24"/>
          <w:szCs w:val="24"/>
        </w:rPr>
        <w:t>Bavio</w:t>
      </w:r>
      <w:proofErr w:type="spellEnd"/>
      <w:r w:rsidRPr="00792B12">
        <w:rPr>
          <w:rFonts w:ascii="Arial" w:hAnsi="Arial" w:cs="Arial"/>
          <w:sz w:val="24"/>
          <w:szCs w:val="24"/>
        </w:rPr>
        <w:t xml:space="preserve">, Paula, </w:t>
      </w:r>
      <w:r w:rsidRPr="00792B12">
        <w:rPr>
          <w:rFonts w:ascii="Arial" w:hAnsi="Arial" w:cs="Arial"/>
          <w:i/>
          <w:sz w:val="24"/>
          <w:szCs w:val="24"/>
        </w:rPr>
        <w:t>El Derecho ante la diversidad: la transexualidad y el derecho a la identidad sexual en la jurisprudencia argentina</w:t>
      </w:r>
      <w:r w:rsidRPr="00792B12">
        <w:rPr>
          <w:rFonts w:ascii="Arial" w:hAnsi="Arial" w:cs="Arial"/>
          <w:sz w:val="24"/>
          <w:szCs w:val="24"/>
        </w:rPr>
        <w:t xml:space="preserve">, en: Ius et veritas, </w:t>
      </w:r>
      <w:proofErr w:type="spellStart"/>
      <w:r w:rsidRPr="00792B12">
        <w:rPr>
          <w:rFonts w:ascii="Arial" w:hAnsi="Arial" w:cs="Arial"/>
          <w:sz w:val="24"/>
          <w:szCs w:val="24"/>
        </w:rPr>
        <w:t>Nº</w:t>
      </w:r>
      <w:proofErr w:type="spellEnd"/>
      <w:r w:rsidRPr="00792B12">
        <w:rPr>
          <w:rFonts w:ascii="Arial" w:hAnsi="Arial" w:cs="Arial"/>
          <w:sz w:val="24"/>
          <w:szCs w:val="24"/>
        </w:rPr>
        <w:t>. 41, 2010.</w:t>
      </w:r>
    </w:p>
    <w:p w14:paraId="228FF7D0"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Somma, Alessandro, </w:t>
      </w:r>
      <w:r w:rsidRPr="00792B12">
        <w:rPr>
          <w:rFonts w:ascii="Arial" w:hAnsi="Arial" w:cs="Arial"/>
          <w:i/>
          <w:sz w:val="24"/>
          <w:szCs w:val="24"/>
          <w:lang w:val="it-IT"/>
        </w:rPr>
        <w:t>I diritti della personalità  e il diritto generale della</w:t>
      </w:r>
      <w:r w:rsidRPr="00792B12">
        <w:rPr>
          <w:rFonts w:ascii="Arial" w:hAnsi="Arial" w:cs="Arial"/>
          <w:sz w:val="24"/>
          <w:szCs w:val="24"/>
          <w:lang w:val="it-IT"/>
        </w:rPr>
        <w:t xml:space="preserve"> </w:t>
      </w:r>
      <w:r w:rsidRPr="00792B12">
        <w:rPr>
          <w:rFonts w:ascii="Arial" w:hAnsi="Arial" w:cs="Arial"/>
          <w:i/>
          <w:sz w:val="24"/>
          <w:szCs w:val="24"/>
          <w:lang w:val="it-IT"/>
        </w:rPr>
        <w:t>personalità nell’ordinamento privatistico della Repubblica Federale Tedesca</w:t>
      </w:r>
      <w:r w:rsidRPr="00792B12">
        <w:rPr>
          <w:rFonts w:ascii="Arial" w:hAnsi="Arial" w:cs="Arial"/>
          <w:sz w:val="24"/>
          <w:szCs w:val="24"/>
          <w:lang w:val="it-IT"/>
        </w:rPr>
        <w:t xml:space="preserve">, en: </w:t>
      </w:r>
      <w:r w:rsidRPr="00792B12">
        <w:rPr>
          <w:rFonts w:ascii="Arial" w:hAnsi="Arial" w:cs="Arial"/>
          <w:i/>
          <w:sz w:val="24"/>
          <w:szCs w:val="24"/>
          <w:lang w:val="it-IT"/>
        </w:rPr>
        <w:t xml:space="preserve"> Rivista Trimestrale di Diritto e Procedura Civile</w:t>
      </w:r>
      <w:r w:rsidRPr="00792B12">
        <w:rPr>
          <w:rFonts w:ascii="Arial" w:hAnsi="Arial" w:cs="Arial"/>
          <w:sz w:val="24"/>
          <w:szCs w:val="24"/>
          <w:lang w:val="it-IT"/>
        </w:rPr>
        <w:t>, año L,  Giuffrè Editore, Milán, 1996.</w:t>
      </w:r>
    </w:p>
    <w:p w14:paraId="0822BC36"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Stanzione, Pasquale, </w:t>
      </w:r>
      <w:r w:rsidRPr="00792B12">
        <w:rPr>
          <w:rFonts w:ascii="Arial" w:hAnsi="Arial" w:cs="Arial"/>
          <w:i/>
          <w:sz w:val="24"/>
          <w:szCs w:val="24"/>
          <w:lang w:val="it-IT"/>
        </w:rPr>
        <w:t>Premessa ad uno studio giuridico del transessualismo</w:t>
      </w:r>
      <w:r w:rsidRPr="00792B12">
        <w:rPr>
          <w:rFonts w:ascii="Arial" w:hAnsi="Arial" w:cs="Arial"/>
          <w:sz w:val="24"/>
          <w:szCs w:val="24"/>
          <w:lang w:val="it-IT"/>
        </w:rPr>
        <w:t xml:space="preserve">, en: D’Addino Serravalle, Paola; Perlingieri, Pietro e Stanzione, Pasquale, </w:t>
      </w:r>
      <w:r w:rsidRPr="00792B12">
        <w:rPr>
          <w:rFonts w:ascii="Arial" w:hAnsi="Arial" w:cs="Arial"/>
          <w:i/>
          <w:sz w:val="24"/>
          <w:szCs w:val="24"/>
          <w:lang w:val="it-IT"/>
        </w:rPr>
        <w:t>Problemi giuridici del transessualismo</w:t>
      </w:r>
      <w:r w:rsidRPr="00792B12">
        <w:rPr>
          <w:rFonts w:ascii="Arial" w:hAnsi="Arial" w:cs="Arial"/>
          <w:sz w:val="24"/>
          <w:szCs w:val="24"/>
          <w:lang w:val="it-IT"/>
        </w:rPr>
        <w:t>, Università di Camerino, Scuola di perfezzioamento in diritto civile, lezioni raccolte da Pietro Perlingieri, E.S.I. Nápoles, 1981.</w:t>
      </w:r>
    </w:p>
    <w:p w14:paraId="379B0855"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lastRenderedPageBreak/>
        <w:t xml:space="preserve">Stanzione, Pasquale, </w:t>
      </w:r>
      <w:r w:rsidRPr="00792B12">
        <w:rPr>
          <w:rFonts w:ascii="Arial" w:hAnsi="Arial" w:cs="Arial"/>
          <w:i/>
          <w:sz w:val="24"/>
          <w:szCs w:val="24"/>
          <w:lang w:val="it-IT"/>
        </w:rPr>
        <w:t>Sesso e genere nell’identità della persona</w:t>
      </w:r>
      <w:r w:rsidRPr="00792B12">
        <w:rPr>
          <w:rFonts w:ascii="Arial" w:hAnsi="Arial" w:cs="Arial"/>
          <w:sz w:val="24"/>
          <w:szCs w:val="24"/>
          <w:lang w:val="it-IT"/>
        </w:rPr>
        <w:t xml:space="preserve">, en: </w:t>
      </w:r>
      <w:r w:rsidRPr="00792B12">
        <w:rPr>
          <w:rFonts w:ascii="Arial" w:hAnsi="Arial" w:cs="Arial"/>
          <w:i/>
          <w:sz w:val="24"/>
          <w:szCs w:val="24"/>
          <w:lang w:val="it-IT"/>
        </w:rPr>
        <w:t>Identità sessuale e identità di genere</w:t>
      </w:r>
      <w:r w:rsidRPr="00792B12">
        <w:rPr>
          <w:rFonts w:ascii="Arial" w:hAnsi="Arial" w:cs="Arial"/>
          <w:sz w:val="24"/>
          <w:szCs w:val="24"/>
          <w:lang w:val="it-IT"/>
        </w:rPr>
        <w:t>, al cuidado de Francesco D’Agostino, Giuffrè editore, 2012.</w:t>
      </w:r>
    </w:p>
    <w:p w14:paraId="519B7EDE"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proofErr w:type="spellStart"/>
      <w:r w:rsidRPr="00792B12">
        <w:rPr>
          <w:rFonts w:ascii="Arial" w:hAnsi="Arial" w:cs="Arial"/>
          <w:sz w:val="24"/>
          <w:szCs w:val="24"/>
        </w:rPr>
        <w:t>Stanzione</w:t>
      </w:r>
      <w:proofErr w:type="spellEnd"/>
      <w:r w:rsidRPr="00792B12">
        <w:rPr>
          <w:rFonts w:ascii="Arial" w:hAnsi="Arial" w:cs="Arial"/>
          <w:sz w:val="24"/>
          <w:szCs w:val="24"/>
        </w:rPr>
        <w:t xml:space="preserve">, Pasquale, </w:t>
      </w:r>
      <w:r w:rsidRPr="00792B12">
        <w:rPr>
          <w:rFonts w:ascii="Arial" w:hAnsi="Arial" w:cs="Arial"/>
          <w:i/>
          <w:sz w:val="24"/>
          <w:szCs w:val="24"/>
        </w:rPr>
        <w:t>Transexualismo y sensibilidad del jurista: una relectura actualizada de la ley (italiana) 164/1982</w:t>
      </w:r>
      <w:r w:rsidRPr="00792B12">
        <w:rPr>
          <w:rFonts w:ascii="Arial" w:hAnsi="Arial" w:cs="Arial"/>
          <w:sz w:val="24"/>
          <w:szCs w:val="24"/>
        </w:rPr>
        <w:t xml:space="preserve">, en: Observatorio de Derecho Civil, tomo IV: La persona, </w:t>
      </w:r>
      <w:proofErr w:type="spellStart"/>
      <w:r w:rsidRPr="00792B12">
        <w:rPr>
          <w:rFonts w:ascii="Arial" w:hAnsi="Arial" w:cs="Arial"/>
          <w:sz w:val="24"/>
          <w:szCs w:val="24"/>
        </w:rPr>
        <w:t>Motivensa</w:t>
      </w:r>
      <w:proofErr w:type="spellEnd"/>
      <w:r w:rsidRPr="00792B12">
        <w:rPr>
          <w:rFonts w:ascii="Arial" w:hAnsi="Arial" w:cs="Arial"/>
          <w:sz w:val="24"/>
          <w:szCs w:val="24"/>
        </w:rPr>
        <w:t xml:space="preserve"> editora Jurídica, Lima, 2010.</w:t>
      </w:r>
    </w:p>
    <w:p w14:paraId="555EEA42"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Trabucchi, Alberto, </w:t>
      </w:r>
      <w:r w:rsidRPr="00792B12">
        <w:rPr>
          <w:rFonts w:ascii="Arial" w:hAnsi="Arial" w:cs="Arial"/>
          <w:i/>
          <w:sz w:val="24"/>
          <w:szCs w:val="24"/>
          <w:lang w:val="it-IT"/>
        </w:rPr>
        <w:t>Istituzioni di Diritto Civile</w:t>
      </w:r>
      <w:r w:rsidRPr="00792B12">
        <w:rPr>
          <w:rFonts w:ascii="Arial" w:hAnsi="Arial" w:cs="Arial"/>
          <w:sz w:val="24"/>
          <w:szCs w:val="24"/>
          <w:lang w:val="it-IT"/>
        </w:rPr>
        <w:t>, cuadragésima octava edición, al cuidado de Giuseppe Trabucchi, Wolters Kluwer-Cedam, Vicenza, 2017.</w:t>
      </w:r>
    </w:p>
    <w:p w14:paraId="354DB720"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Trucco, Lara, </w:t>
      </w:r>
      <w:r w:rsidRPr="00792B12">
        <w:rPr>
          <w:rFonts w:ascii="Arial" w:hAnsi="Arial" w:cs="Arial"/>
          <w:i/>
          <w:sz w:val="24"/>
          <w:szCs w:val="24"/>
          <w:lang w:val="it-IT"/>
        </w:rPr>
        <w:t>Introduzione allo studio dell’identità individuale nell’ordinamento costituzionale italiano</w:t>
      </w:r>
      <w:r w:rsidRPr="00792B12">
        <w:rPr>
          <w:rFonts w:ascii="Arial" w:hAnsi="Arial" w:cs="Arial"/>
          <w:sz w:val="24"/>
          <w:szCs w:val="24"/>
          <w:lang w:val="it-IT"/>
        </w:rPr>
        <w:t>, G. Giappichelli editore, Turín, 2004.</w:t>
      </w:r>
    </w:p>
    <w:p w14:paraId="0177159B"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t xml:space="preserve">Vega Mere, Yuri, </w:t>
      </w:r>
      <w:r w:rsidRPr="00792B12">
        <w:rPr>
          <w:rFonts w:ascii="Arial" w:hAnsi="Arial" w:cs="Arial"/>
          <w:i/>
          <w:sz w:val="24"/>
          <w:szCs w:val="24"/>
        </w:rPr>
        <w:t>Personas naturales: nuevas propuestas</w:t>
      </w:r>
      <w:r w:rsidRPr="00792B12">
        <w:rPr>
          <w:rFonts w:ascii="Arial" w:hAnsi="Arial" w:cs="Arial"/>
          <w:sz w:val="24"/>
          <w:szCs w:val="24"/>
        </w:rPr>
        <w:t xml:space="preserve">, en: </w:t>
      </w:r>
      <w:r w:rsidRPr="00792B12">
        <w:rPr>
          <w:rFonts w:ascii="Arial" w:hAnsi="Arial" w:cs="Arial"/>
          <w:i/>
          <w:sz w:val="24"/>
          <w:szCs w:val="24"/>
        </w:rPr>
        <w:t>Diez años del Código Civil peruano: balance y perspectivas</w:t>
      </w:r>
      <w:r w:rsidRPr="00792B12">
        <w:rPr>
          <w:rFonts w:ascii="Arial" w:hAnsi="Arial" w:cs="Arial"/>
          <w:sz w:val="24"/>
          <w:szCs w:val="24"/>
        </w:rPr>
        <w:t>, Tomo I, Walter Gutiérrez Camacho editor, Lima, 1995.</w:t>
      </w:r>
    </w:p>
    <w:p w14:paraId="508479A7"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Veronesi, Paolo, </w:t>
      </w:r>
      <w:r w:rsidRPr="00792B12">
        <w:rPr>
          <w:rFonts w:ascii="Arial" w:hAnsi="Arial" w:cs="Arial"/>
          <w:i/>
          <w:sz w:val="24"/>
          <w:szCs w:val="24"/>
          <w:lang w:val="it-IT"/>
        </w:rPr>
        <w:t>Il corpo sbagliati:  i transessuali (e la sterilizzazione voluntaria)</w:t>
      </w:r>
      <w:r w:rsidRPr="00792B12">
        <w:rPr>
          <w:rFonts w:ascii="Arial" w:hAnsi="Arial" w:cs="Arial"/>
          <w:sz w:val="24"/>
          <w:szCs w:val="24"/>
          <w:lang w:val="it-IT"/>
        </w:rPr>
        <w:t xml:space="preserve">, en: Id., </w:t>
      </w:r>
      <w:r w:rsidRPr="00792B12">
        <w:rPr>
          <w:rFonts w:ascii="Arial" w:hAnsi="Arial" w:cs="Arial"/>
          <w:iCs/>
          <w:sz w:val="24"/>
          <w:szCs w:val="24"/>
          <w:lang w:val="it-IT"/>
        </w:rPr>
        <w:t xml:space="preserve"> </w:t>
      </w:r>
      <w:r w:rsidRPr="00792B12">
        <w:rPr>
          <w:rFonts w:ascii="Arial" w:hAnsi="Arial" w:cs="Arial"/>
          <w:i/>
          <w:sz w:val="24"/>
          <w:szCs w:val="24"/>
          <w:lang w:val="it-IT"/>
        </w:rPr>
        <w:t>Il corpo e la costituzione. Concretezza dei “casi” e astrattezza della norma</w:t>
      </w:r>
      <w:r w:rsidRPr="00792B12">
        <w:rPr>
          <w:rFonts w:ascii="Arial" w:hAnsi="Arial" w:cs="Arial"/>
          <w:sz w:val="24"/>
          <w:szCs w:val="24"/>
          <w:lang w:val="it-IT"/>
        </w:rPr>
        <w:t>, Giuffrè editore, Milán, 2007.</w:t>
      </w:r>
    </w:p>
    <w:p w14:paraId="053BEB2B"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Vesto, Aurora,  </w:t>
      </w:r>
      <w:r w:rsidRPr="00792B12">
        <w:rPr>
          <w:rFonts w:ascii="Arial" w:hAnsi="Arial" w:cs="Arial"/>
          <w:i/>
          <w:sz w:val="24"/>
          <w:szCs w:val="24"/>
          <w:lang w:val="it-IT"/>
        </w:rPr>
        <w:t xml:space="preserve">Favorire l’emersione dell’identità sessuale per tutelare la dignità umana nella sua </w:t>
      </w:r>
      <w:r w:rsidRPr="00792B12">
        <w:rPr>
          <w:rFonts w:ascii="Arial" w:hAnsi="Arial" w:cs="Arial"/>
          <w:iCs/>
          <w:sz w:val="24"/>
          <w:szCs w:val="24"/>
          <w:lang w:val="it-IT"/>
        </w:rPr>
        <w:t>unicità, en</w:t>
      </w:r>
      <w:r w:rsidRPr="00792B12">
        <w:rPr>
          <w:rFonts w:ascii="Arial" w:hAnsi="Arial" w:cs="Arial"/>
          <w:sz w:val="24"/>
          <w:szCs w:val="24"/>
          <w:lang w:val="it-IT"/>
        </w:rPr>
        <w:t>: Le Nuove Leggi Civili Commentate, n. 6, año XXXI, Cedam, Padua, 2015.</w:t>
      </w:r>
    </w:p>
    <w:p w14:paraId="66B973FC"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Vizzoni, Lavinia, </w:t>
      </w:r>
      <w:r w:rsidRPr="00792B12">
        <w:rPr>
          <w:rFonts w:ascii="Arial" w:hAnsi="Arial" w:cs="Arial"/>
          <w:i/>
          <w:sz w:val="24"/>
          <w:szCs w:val="24"/>
          <w:lang w:val="it-IT"/>
        </w:rPr>
        <w:t>Transessualismo e filiazione: quando la condizione transessuale riguarda il genitore o il figlio minore</w:t>
      </w:r>
      <w:r w:rsidRPr="00792B12">
        <w:rPr>
          <w:rFonts w:ascii="Arial" w:hAnsi="Arial" w:cs="Arial"/>
          <w:iCs/>
          <w:sz w:val="24"/>
          <w:szCs w:val="24"/>
          <w:lang w:val="it-IT"/>
        </w:rPr>
        <w:t>, en</w:t>
      </w:r>
      <w:r w:rsidRPr="00792B12">
        <w:rPr>
          <w:rFonts w:ascii="Arial" w:hAnsi="Arial" w:cs="Arial"/>
          <w:sz w:val="24"/>
          <w:szCs w:val="24"/>
          <w:lang w:val="it-IT"/>
        </w:rPr>
        <w:t xml:space="preserve">: Rivista </w:t>
      </w:r>
      <w:r w:rsidRPr="00792B12">
        <w:rPr>
          <w:rFonts w:ascii="Arial" w:hAnsi="Arial" w:cs="Arial"/>
          <w:i/>
          <w:sz w:val="24"/>
          <w:szCs w:val="24"/>
          <w:lang w:val="it-IT"/>
        </w:rPr>
        <w:t>Familia</w:t>
      </w:r>
      <w:r w:rsidRPr="00792B12">
        <w:rPr>
          <w:rFonts w:ascii="Arial" w:hAnsi="Arial" w:cs="Arial"/>
          <w:sz w:val="24"/>
          <w:szCs w:val="24"/>
          <w:lang w:val="it-IT"/>
        </w:rPr>
        <w:t>, Il diritto della famiglia e delle successioni in Europa, fascículo, n.6, 2016.</w:t>
      </w:r>
    </w:p>
    <w:p w14:paraId="73A3808E" w14:textId="77777777" w:rsidR="0096481E" w:rsidRPr="00C76011" w:rsidRDefault="0096481E" w:rsidP="0096481E">
      <w:pPr>
        <w:pStyle w:val="Textonotapie"/>
        <w:numPr>
          <w:ilvl w:val="0"/>
          <w:numId w:val="17"/>
        </w:numPr>
        <w:spacing w:after="240" w:line="360" w:lineRule="auto"/>
        <w:ind w:right="-1"/>
        <w:jc w:val="both"/>
        <w:rPr>
          <w:rFonts w:ascii="Arial" w:hAnsi="Arial" w:cs="Arial"/>
          <w:sz w:val="24"/>
          <w:szCs w:val="24"/>
          <w:lang w:val="en-US"/>
        </w:rPr>
      </w:pPr>
      <w:r w:rsidRPr="00792B12">
        <w:rPr>
          <w:rFonts w:ascii="Arial" w:hAnsi="Arial" w:cs="Arial"/>
          <w:sz w:val="24"/>
          <w:szCs w:val="24"/>
          <w:lang w:val="en-US"/>
        </w:rPr>
        <w:t xml:space="preserve">Warren, Samuel D. y Brandeis, Louis B., </w:t>
      </w:r>
      <w:r w:rsidRPr="00792B12">
        <w:rPr>
          <w:rFonts w:ascii="Arial" w:hAnsi="Arial" w:cs="Arial"/>
          <w:i/>
          <w:sz w:val="24"/>
          <w:szCs w:val="24"/>
          <w:lang w:val="en-US"/>
        </w:rPr>
        <w:t>The right of privacy</w:t>
      </w:r>
      <w:r w:rsidRPr="00792B12">
        <w:rPr>
          <w:rFonts w:ascii="Arial" w:hAnsi="Arial" w:cs="Arial"/>
          <w:sz w:val="24"/>
          <w:szCs w:val="24"/>
          <w:lang w:val="en-US"/>
        </w:rPr>
        <w:t>, Quid Pro Books, Nueva Orleans, 2015.</w:t>
      </w:r>
    </w:p>
    <w:p w14:paraId="6287CB02"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Winkler, Matteo, </w:t>
      </w:r>
      <w:r w:rsidRPr="00792B12">
        <w:rPr>
          <w:rFonts w:ascii="Arial" w:hAnsi="Arial" w:cs="Arial"/>
          <w:i/>
          <w:sz w:val="24"/>
          <w:szCs w:val="24"/>
          <w:lang w:val="it-IT"/>
        </w:rPr>
        <w:t>Cambio di sesso del coniuge e scioglimento del matrimonio: costruzione e implicazioni del diritto fondamentale all'identità di genere</w:t>
      </w:r>
      <w:r w:rsidRPr="00792B12">
        <w:rPr>
          <w:rFonts w:ascii="Arial" w:hAnsi="Arial" w:cs="Arial"/>
          <w:iCs/>
          <w:sz w:val="24"/>
          <w:szCs w:val="24"/>
          <w:lang w:val="it-IT"/>
        </w:rPr>
        <w:t xml:space="preserve">, </w:t>
      </w:r>
      <w:r w:rsidRPr="00792B12">
        <w:rPr>
          <w:rFonts w:ascii="Arial" w:hAnsi="Arial" w:cs="Arial"/>
          <w:sz w:val="24"/>
          <w:szCs w:val="24"/>
          <w:lang w:val="it-IT"/>
        </w:rPr>
        <w:t>en: Giurisprudenza di Merito, año XLIV, n. 3, Giuffrè editore,  Milán, marzo de 2012.</w:t>
      </w:r>
    </w:p>
    <w:p w14:paraId="0E83FCA6"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rPr>
      </w:pPr>
      <w:r w:rsidRPr="00792B12">
        <w:rPr>
          <w:rFonts w:ascii="Arial" w:hAnsi="Arial" w:cs="Arial"/>
          <w:sz w:val="24"/>
          <w:szCs w:val="24"/>
        </w:rPr>
        <w:lastRenderedPageBreak/>
        <w:t xml:space="preserve">Zavala de González, Matilde, </w:t>
      </w:r>
      <w:r w:rsidRPr="00792B12">
        <w:rPr>
          <w:rFonts w:ascii="Arial" w:hAnsi="Arial" w:cs="Arial"/>
          <w:i/>
          <w:sz w:val="24"/>
          <w:szCs w:val="24"/>
        </w:rPr>
        <w:t>Resarcimiento de daños</w:t>
      </w:r>
      <w:r w:rsidRPr="00792B12">
        <w:rPr>
          <w:rFonts w:ascii="Arial" w:hAnsi="Arial" w:cs="Arial"/>
          <w:sz w:val="24"/>
          <w:szCs w:val="24"/>
        </w:rPr>
        <w:t xml:space="preserve">, volumen 2 c: </w:t>
      </w:r>
      <w:r w:rsidRPr="00792B12">
        <w:rPr>
          <w:rFonts w:ascii="Arial" w:hAnsi="Arial" w:cs="Arial"/>
          <w:i/>
          <w:sz w:val="24"/>
          <w:szCs w:val="24"/>
        </w:rPr>
        <w:t>Daños a las personas (integridad espiritual y social)</w:t>
      </w:r>
      <w:r w:rsidRPr="00792B12">
        <w:rPr>
          <w:rFonts w:ascii="Arial" w:hAnsi="Arial" w:cs="Arial"/>
          <w:sz w:val="24"/>
          <w:szCs w:val="24"/>
        </w:rPr>
        <w:t xml:space="preserve">, Hammurabi – José Luis </w:t>
      </w:r>
      <w:proofErr w:type="spellStart"/>
      <w:r w:rsidRPr="00792B12">
        <w:rPr>
          <w:rFonts w:ascii="Arial" w:hAnsi="Arial" w:cs="Arial"/>
          <w:sz w:val="24"/>
          <w:szCs w:val="24"/>
        </w:rPr>
        <w:t>Depalma</w:t>
      </w:r>
      <w:proofErr w:type="spellEnd"/>
      <w:r w:rsidRPr="00792B12">
        <w:rPr>
          <w:rFonts w:ascii="Arial" w:hAnsi="Arial" w:cs="Arial"/>
          <w:sz w:val="24"/>
          <w:szCs w:val="24"/>
        </w:rPr>
        <w:t xml:space="preserve"> Editor, primera reimpresión, Buenos Aires, 1997.</w:t>
      </w:r>
    </w:p>
    <w:p w14:paraId="78801583"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Zeno-Zencovich, Vincenzo, </w:t>
      </w:r>
      <w:r w:rsidRPr="00792B12">
        <w:rPr>
          <w:rFonts w:ascii="Arial" w:hAnsi="Arial" w:cs="Arial"/>
          <w:i/>
          <w:sz w:val="24"/>
          <w:szCs w:val="24"/>
          <w:lang w:val="it-IT"/>
        </w:rPr>
        <w:t>Diritto di informazione e all'informazione</w:t>
      </w:r>
      <w:r w:rsidRPr="00792B12">
        <w:rPr>
          <w:rFonts w:ascii="Arial" w:hAnsi="Arial" w:cs="Arial"/>
          <w:sz w:val="24"/>
          <w:szCs w:val="24"/>
          <w:lang w:val="it-IT"/>
        </w:rPr>
        <w:t>, en: Enciclopedia Italiana, XXI Secolo, Norme e idee, Roma, 2009.</w:t>
      </w:r>
    </w:p>
    <w:p w14:paraId="64C63F0B"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Zeno-Zencovich, Vincenzo, </w:t>
      </w:r>
      <w:r w:rsidRPr="00792B12">
        <w:rPr>
          <w:rFonts w:ascii="Arial" w:hAnsi="Arial" w:cs="Arial"/>
          <w:i/>
          <w:sz w:val="24"/>
          <w:szCs w:val="24"/>
          <w:lang w:val="it-IT"/>
        </w:rPr>
        <w:t>I diritti della personalità</w:t>
      </w:r>
      <w:r w:rsidRPr="00792B12">
        <w:rPr>
          <w:rFonts w:ascii="Arial" w:hAnsi="Arial" w:cs="Arial"/>
          <w:sz w:val="24"/>
          <w:szCs w:val="24"/>
          <w:lang w:val="it-IT"/>
        </w:rPr>
        <w:t xml:space="preserve">, en: </w:t>
      </w:r>
      <w:r w:rsidRPr="00792B12">
        <w:rPr>
          <w:rFonts w:ascii="Arial" w:hAnsi="Arial" w:cs="Arial"/>
          <w:i/>
          <w:sz w:val="24"/>
          <w:szCs w:val="24"/>
          <w:lang w:val="it-IT"/>
        </w:rPr>
        <w:t>Diritto civile</w:t>
      </w:r>
      <w:r w:rsidRPr="00792B12">
        <w:rPr>
          <w:rFonts w:ascii="Arial" w:hAnsi="Arial" w:cs="Arial"/>
          <w:sz w:val="24"/>
          <w:szCs w:val="24"/>
          <w:lang w:val="it-IT"/>
        </w:rPr>
        <w:t xml:space="preserve">, dirigido por Nicoló Lipari y Pietro Rescigno, coordinado por Andrea Zoppini, volumen I: </w:t>
      </w:r>
      <w:r w:rsidRPr="00792B12">
        <w:rPr>
          <w:rFonts w:ascii="Arial" w:hAnsi="Arial" w:cs="Arial"/>
          <w:i/>
          <w:sz w:val="24"/>
          <w:szCs w:val="24"/>
          <w:lang w:val="it-IT"/>
        </w:rPr>
        <w:t>Fonti, soggetti, famiglia, Le fonti e i soggetti</w:t>
      </w:r>
      <w:r w:rsidRPr="00792B12">
        <w:rPr>
          <w:rFonts w:ascii="Arial" w:hAnsi="Arial" w:cs="Arial"/>
          <w:sz w:val="24"/>
          <w:szCs w:val="24"/>
          <w:lang w:val="it-IT"/>
        </w:rPr>
        <w:t>, Giuffrè editore, Milán, 2009.</w:t>
      </w:r>
    </w:p>
    <w:p w14:paraId="246D7DF6"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Zeno-Zencovich, Vincenzo, </w:t>
      </w:r>
      <w:r w:rsidRPr="00792B12">
        <w:rPr>
          <w:rFonts w:ascii="Arial" w:hAnsi="Arial" w:cs="Arial"/>
          <w:i/>
          <w:sz w:val="24"/>
          <w:szCs w:val="24"/>
          <w:lang w:val="it-IT"/>
        </w:rPr>
        <w:t>I diritti della personalità</w:t>
      </w:r>
      <w:r w:rsidRPr="00792B12">
        <w:rPr>
          <w:rFonts w:ascii="Arial" w:hAnsi="Arial" w:cs="Arial"/>
          <w:sz w:val="24"/>
          <w:szCs w:val="24"/>
          <w:lang w:val="it-IT"/>
        </w:rPr>
        <w:t>, en: Diritto Civile, volume I: Fonti, soggetti, famiiglia. I: Le fonti e i soggetti, al cuidado de Nicolò Lipari y Pietro Rescigno, coordinado por Andrea Zoppini, Giuffrè editore, Milán, 2009.</w:t>
      </w:r>
    </w:p>
    <w:p w14:paraId="17860E9A"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shd w:val="clear" w:color="auto" w:fill="FFFFFF"/>
          <w:lang w:val="it-IT"/>
        </w:rPr>
      </w:pPr>
      <w:r w:rsidRPr="00792B12">
        <w:rPr>
          <w:rFonts w:ascii="Arial" w:hAnsi="Arial" w:cs="Arial"/>
          <w:sz w:val="24"/>
          <w:szCs w:val="24"/>
          <w:shd w:val="clear" w:color="auto" w:fill="FFFFFF"/>
          <w:lang w:val="it-IT"/>
        </w:rPr>
        <w:t xml:space="preserve">Zeno-Zencovich, Vincenzo, </w:t>
      </w:r>
      <w:r w:rsidRPr="00792B12">
        <w:rPr>
          <w:rFonts w:ascii="Arial" w:hAnsi="Arial" w:cs="Arial"/>
          <w:i/>
          <w:sz w:val="24"/>
          <w:szCs w:val="24"/>
          <w:shd w:val="clear" w:color="auto" w:fill="FFFFFF"/>
          <w:lang w:val="it-IT"/>
        </w:rPr>
        <w:t>Identità personale</w:t>
      </w:r>
      <w:r w:rsidRPr="00792B12">
        <w:rPr>
          <w:rFonts w:ascii="Arial" w:hAnsi="Arial" w:cs="Arial"/>
          <w:sz w:val="24"/>
          <w:szCs w:val="24"/>
          <w:shd w:val="clear" w:color="auto" w:fill="FFFFFF"/>
          <w:lang w:val="it-IT"/>
        </w:rPr>
        <w:t>, en: Digesto, discipline privatistiche, sezione civile, IV edizione, volume IX, Utet, Turín, 1993.</w:t>
      </w:r>
    </w:p>
    <w:p w14:paraId="0CEAE152" w14:textId="77777777" w:rsidR="0096481E" w:rsidRPr="00C76011" w:rsidRDefault="0096481E" w:rsidP="0096481E">
      <w:pPr>
        <w:pStyle w:val="Prrafodelista"/>
        <w:numPr>
          <w:ilvl w:val="0"/>
          <w:numId w:val="17"/>
        </w:numPr>
        <w:spacing w:after="240" w:line="360" w:lineRule="auto"/>
        <w:jc w:val="both"/>
        <w:rPr>
          <w:rFonts w:ascii="Arial" w:hAnsi="Arial" w:cs="Arial"/>
          <w:sz w:val="24"/>
          <w:szCs w:val="24"/>
          <w:lang w:val="it-IT"/>
        </w:rPr>
      </w:pPr>
      <w:r w:rsidRPr="00792B12">
        <w:rPr>
          <w:rFonts w:ascii="Arial" w:hAnsi="Arial" w:cs="Arial"/>
          <w:sz w:val="24"/>
          <w:szCs w:val="24"/>
          <w:lang w:val="it-IT"/>
        </w:rPr>
        <w:t xml:space="preserve">Zeno-Zencovich, Vincenzo, </w:t>
      </w:r>
      <w:r w:rsidRPr="00792B12">
        <w:rPr>
          <w:rFonts w:ascii="Arial" w:hAnsi="Arial" w:cs="Arial"/>
          <w:i/>
          <w:sz w:val="24"/>
          <w:szCs w:val="24"/>
          <w:lang w:val="it-IT"/>
        </w:rPr>
        <w:t>Personalità (Diritti della)</w:t>
      </w:r>
      <w:r w:rsidRPr="00792B12">
        <w:rPr>
          <w:rFonts w:ascii="Arial" w:hAnsi="Arial" w:cs="Arial"/>
          <w:sz w:val="24"/>
          <w:szCs w:val="24"/>
          <w:lang w:val="it-IT"/>
        </w:rPr>
        <w:t>, en: Digesto, Discipline privatistiche, sezione civile, IV edizione, volumen XIII, Utet, Turín, 1996.</w:t>
      </w:r>
    </w:p>
    <w:p w14:paraId="29D2C32F" w14:textId="77777777" w:rsidR="0096481E" w:rsidRPr="00C76011" w:rsidRDefault="0096481E" w:rsidP="0096481E">
      <w:pPr>
        <w:pStyle w:val="Textonotapie"/>
        <w:numPr>
          <w:ilvl w:val="0"/>
          <w:numId w:val="17"/>
        </w:numPr>
        <w:spacing w:after="240" w:line="360" w:lineRule="auto"/>
        <w:ind w:right="-1"/>
        <w:jc w:val="both"/>
        <w:rPr>
          <w:rFonts w:ascii="Arial" w:hAnsi="Arial" w:cs="Arial"/>
          <w:sz w:val="24"/>
          <w:szCs w:val="24"/>
          <w:lang w:val="it-IT"/>
        </w:rPr>
      </w:pPr>
      <w:r w:rsidRPr="00792B12">
        <w:rPr>
          <w:rFonts w:ascii="Arial" w:hAnsi="Arial" w:cs="Arial"/>
          <w:sz w:val="24"/>
          <w:szCs w:val="24"/>
          <w:lang w:val="it-IT"/>
        </w:rPr>
        <w:t xml:space="preserve">Zeno-Zencovich, Vincenzo, </w:t>
      </w:r>
      <w:r w:rsidRPr="00792B12">
        <w:rPr>
          <w:rFonts w:ascii="Arial" w:hAnsi="Arial" w:cs="Arial"/>
          <w:i/>
          <w:sz w:val="24"/>
          <w:szCs w:val="24"/>
          <w:lang w:val="it-IT"/>
        </w:rPr>
        <w:t>Una svolta giurisprudenziale nella tutela della riservatezza</w:t>
      </w:r>
      <w:r w:rsidRPr="00792B12">
        <w:rPr>
          <w:rFonts w:ascii="Arial" w:hAnsi="Arial" w:cs="Arial"/>
          <w:sz w:val="24"/>
          <w:szCs w:val="24"/>
          <w:lang w:val="it-IT"/>
        </w:rPr>
        <w:t>, en: Il diritto alla informazione e della Informatica, Giuffrè editore, Milán, 1986.</w:t>
      </w:r>
    </w:p>
    <w:p w14:paraId="1596A4FD" w14:textId="77777777" w:rsidR="0096481E" w:rsidRPr="00C76011" w:rsidRDefault="0096481E" w:rsidP="0096481E">
      <w:pPr>
        <w:pStyle w:val="Textonotapie"/>
        <w:numPr>
          <w:ilvl w:val="0"/>
          <w:numId w:val="17"/>
        </w:numPr>
        <w:spacing w:after="240" w:line="360" w:lineRule="auto"/>
        <w:jc w:val="both"/>
        <w:rPr>
          <w:rFonts w:ascii="Arial" w:hAnsi="Arial" w:cs="Arial"/>
          <w:sz w:val="24"/>
          <w:szCs w:val="24"/>
          <w:lang w:val="en-US"/>
        </w:rPr>
      </w:pPr>
      <w:r w:rsidRPr="00792B12">
        <w:rPr>
          <w:rFonts w:ascii="Arial" w:hAnsi="Arial" w:cs="Arial"/>
          <w:sz w:val="24"/>
          <w:szCs w:val="24"/>
          <w:lang w:val="en-US"/>
        </w:rPr>
        <w:t>Zeno-</w:t>
      </w:r>
      <w:proofErr w:type="spellStart"/>
      <w:r w:rsidRPr="00792B12">
        <w:rPr>
          <w:rFonts w:ascii="Arial" w:hAnsi="Arial" w:cs="Arial"/>
          <w:sz w:val="24"/>
          <w:szCs w:val="24"/>
          <w:lang w:val="en-US"/>
        </w:rPr>
        <w:t>Zencovich</w:t>
      </w:r>
      <w:proofErr w:type="spellEnd"/>
      <w:r w:rsidRPr="00792B12">
        <w:rPr>
          <w:rFonts w:ascii="Arial" w:hAnsi="Arial" w:cs="Arial"/>
          <w:sz w:val="24"/>
          <w:szCs w:val="24"/>
          <w:lang w:val="en-US"/>
        </w:rPr>
        <w:t xml:space="preserve">, Vincenzo, </w:t>
      </w:r>
      <w:proofErr w:type="spellStart"/>
      <w:r w:rsidRPr="00792B12">
        <w:rPr>
          <w:rFonts w:ascii="Arial" w:hAnsi="Arial" w:cs="Arial"/>
          <w:sz w:val="24"/>
          <w:szCs w:val="24"/>
          <w:lang w:val="en-US"/>
        </w:rPr>
        <w:t>voz</w:t>
      </w:r>
      <w:proofErr w:type="spellEnd"/>
      <w:r w:rsidRPr="00792B12">
        <w:rPr>
          <w:rFonts w:ascii="Arial" w:hAnsi="Arial" w:cs="Arial"/>
          <w:sz w:val="24"/>
          <w:szCs w:val="24"/>
          <w:lang w:val="en-US"/>
        </w:rPr>
        <w:t xml:space="preserve"> </w:t>
      </w:r>
      <w:proofErr w:type="spellStart"/>
      <w:r w:rsidRPr="00792B12">
        <w:rPr>
          <w:rFonts w:ascii="Arial" w:hAnsi="Arial" w:cs="Arial"/>
          <w:i/>
          <w:sz w:val="24"/>
          <w:szCs w:val="24"/>
          <w:lang w:val="en-US"/>
        </w:rPr>
        <w:t>Informazione</w:t>
      </w:r>
      <w:proofErr w:type="spellEnd"/>
      <w:r w:rsidRPr="00792B12">
        <w:rPr>
          <w:rFonts w:ascii="Arial" w:hAnsi="Arial" w:cs="Arial"/>
          <w:i/>
          <w:sz w:val="24"/>
          <w:szCs w:val="24"/>
          <w:lang w:val="en-US"/>
        </w:rPr>
        <w:t xml:space="preserve"> (</w:t>
      </w:r>
      <w:proofErr w:type="spellStart"/>
      <w:r w:rsidRPr="00792B12">
        <w:rPr>
          <w:rFonts w:ascii="Arial" w:hAnsi="Arial" w:cs="Arial"/>
          <w:i/>
          <w:sz w:val="24"/>
          <w:szCs w:val="24"/>
          <w:lang w:val="en-US"/>
        </w:rPr>
        <w:t>Profili</w:t>
      </w:r>
      <w:proofErr w:type="spellEnd"/>
      <w:r w:rsidRPr="00792B12">
        <w:rPr>
          <w:rFonts w:ascii="Arial" w:hAnsi="Arial" w:cs="Arial"/>
          <w:i/>
          <w:sz w:val="24"/>
          <w:szCs w:val="24"/>
          <w:lang w:val="en-US"/>
        </w:rPr>
        <w:t xml:space="preserve"> </w:t>
      </w:r>
      <w:proofErr w:type="spellStart"/>
      <w:r w:rsidRPr="00792B12">
        <w:rPr>
          <w:rFonts w:ascii="Arial" w:hAnsi="Arial" w:cs="Arial"/>
          <w:i/>
          <w:sz w:val="24"/>
          <w:szCs w:val="24"/>
          <w:lang w:val="en-US"/>
        </w:rPr>
        <w:t>Civilistici</w:t>
      </w:r>
      <w:proofErr w:type="spellEnd"/>
      <w:r w:rsidRPr="00792B12">
        <w:rPr>
          <w:rFonts w:ascii="Arial" w:hAnsi="Arial" w:cs="Arial"/>
          <w:i/>
          <w:sz w:val="24"/>
          <w:szCs w:val="24"/>
          <w:lang w:val="en-US"/>
        </w:rPr>
        <w:t>)</w:t>
      </w:r>
      <w:r w:rsidRPr="00792B12">
        <w:rPr>
          <w:rFonts w:ascii="Arial" w:hAnsi="Arial" w:cs="Arial"/>
          <w:sz w:val="24"/>
          <w:szCs w:val="24"/>
          <w:lang w:val="en-US"/>
        </w:rPr>
        <w:t xml:space="preserve">, </w:t>
      </w:r>
      <w:proofErr w:type="spellStart"/>
      <w:r w:rsidRPr="00792B12">
        <w:rPr>
          <w:rFonts w:ascii="Arial" w:hAnsi="Arial" w:cs="Arial"/>
          <w:sz w:val="24"/>
          <w:szCs w:val="24"/>
          <w:lang w:val="en-US"/>
        </w:rPr>
        <w:t>en</w:t>
      </w:r>
      <w:proofErr w:type="spellEnd"/>
      <w:r w:rsidRPr="00792B12">
        <w:rPr>
          <w:rFonts w:ascii="Arial" w:hAnsi="Arial" w:cs="Arial"/>
          <w:sz w:val="24"/>
          <w:szCs w:val="24"/>
          <w:lang w:val="en-US"/>
        </w:rPr>
        <w:t xml:space="preserve">: </w:t>
      </w:r>
      <w:proofErr w:type="spellStart"/>
      <w:r w:rsidRPr="00792B12">
        <w:rPr>
          <w:rFonts w:ascii="Arial" w:hAnsi="Arial" w:cs="Arial"/>
          <w:sz w:val="24"/>
          <w:szCs w:val="24"/>
          <w:lang w:val="en-US"/>
        </w:rPr>
        <w:t>Digesto</w:t>
      </w:r>
      <w:proofErr w:type="spellEnd"/>
      <w:r w:rsidRPr="00792B12">
        <w:rPr>
          <w:rFonts w:ascii="Arial" w:hAnsi="Arial" w:cs="Arial"/>
          <w:sz w:val="24"/>
          <w:szCs w:val="24"/>
          <w:lang w:val="en-US"/>
        </w:rPr>
        <w:t xml:space="preserve">, IV </w:t>
      </w:r>
      <w:proofErr w:type="spellStart"/>
      <w:r w:rsidRPr="00792B12">
        <w:rPr>
          <w:rFonts w:ascii="Arial" w:hAnsi="Arial" w:cs="Arial"/>
          <w:sz w:val="24"/>
          <w:szCs w:val="24"/>
          <w:lang w:val="en-US"/>
        </w:rPr>
        <w:t>edición</w:t>
      </w:r>
      <w:proofErr w:type="spellEnd"/>
      <w:r w:rsidRPr="00792B12">
        <w:rPr>
          <w:rFonts w:ascii="Arial" w:hAnsi="Arial" w:cs="Arial"/>
          <w:sz w:val="24"/>
          <w:szCs w:val="24"/>
          <w:lang w:val="en-US"/>
        </w:rPr>
        <w:t xml:space="preserve">, </w:t>
      </w:r>
      <w:proofErr w:type="spellStart"/>
      <w:r w:rsidRPr="00792B12">
        <w:rPr>
          <w:rFonts w:ascii="Arial" w:hAnsi="Arial" w:cs="Arial"/>
          <w:sz w:val="24"/>
          <w:szCs w:val="24"/>
          <w:lang w:val="en-US"/>
        </w:rPr>
        <w:t>volumen</w:t>
      </w:r>
      <w:proofErr w:type="spellEnd"/>
      <w:r w:rsidRPr="00792B12">
        <w:rPr>
          <w:rFonts w:ascii="Arial" w:hAnsi="Arial" w:cs="Arial"/>
          <w:sz w:val="24"/>
          <w:szCs w:val="24"/>
          <w:lang w:val="en-US"/>
        </w:rPr>
        <w:t xml:space="preserve"> IX, </w:t>
      </w:r>
      <w:proofErr w:type="spellStart"/>
      <w:r w:rsidRPr="00792B12">
        <w:rPr>
          <w:rFonts w:ascii="Arial" w:hAnsi="Arial" w:cs="Arial"/>
          <w:sz w:val="24"/>
          <w:szCs w:val="24"/>
          <w:lang w:val="en-US"/>
        </w:rPr>
        <w:t>sección</w:t>
      </w:r>
      <w:proofErr w:type="spellEnd"/>
      <w:r w:rsidRPr="00792B12">
        <w:rPr>
          <w:rFonts w:ascii="Arial" w:hAnsi="Arial" w:cs="Arial"/>
          <w:sz w:val="24"/>
          <w:szCs w:val="24"/>
          <w:lang w:val="en-US"/>
        </w:rPr>
        <w:t xml:space="preserve"> Derecho Civil, </w:t>
      </w:r>
      <w:proofErr w:type="spellStart"/>
      <w:r w:rsidRPr="00792B12">
        <w:rPr>
          <w:rFonts w:ascii="Arial" w:hAnsi="Arial" w:cs="Arial"/>
          <w:sz w:val="24"/>
          <w:szCs w:val="24"/>
          <w:lang w:val="en-US"/>
        </w:rPr>
        <w:t>Utet</w:t>
      </w:r>
      <w:proofErr w:type="spellEnd"/>
      <w:r w:rsidRPr="00792B12">
        <w:rPr>
          <w:rFonts w:ascii="Arial" w:hAnsi="Arial" w:cs="Arial"/>
          <w:sz w:val="24"/>
          <w:szCs w:val="24"/>
          <w:lang w:val="en-US"/>
        </w:rPr>
        <w:t xml:space="preserve">, </w:t>
      </w:r>
      <w:proofErr w:type="spellStart"/>
      <w:r w:rsidRPr="00792B12">
        <w:rPr>
          <w:rFonts w:ascii="Arial" w:hAnsi="Arial" w:cs="Arial"/>
          <w:sz w:val="24"/>
          <w:szCs w:val="24"/>
          <w:lang w:val="en-US"/>
        </w:rPr>
        <w:t>Turín</w:t>
      </w:r>
      <w:proofErr w:type="spellEnd"/>
      <w:r w:rsidRPr="00792B12">
        <w:rPr>
          <w:rFonts w:ascii="Arial" w:hAnsi="Arial" w:cs="Arial"/>
          <w:sz w:val="24"/>
          <w:szCs w:val="24"/>
          <w:lang w:val="en-US"/>
        </w:rPr>
        <w:t xml:space="preserve">, 1993. </w:t>
      </w:r>
    </w:p>
    <w:p w14:paraId="4F443941" w14:textId="77777777" w:rsidR="0096481E" w:rsidRPr="00792B12" w:rsidRDefault="0096481E" w:rsidP="0096481E">
      <w:pPr>
        <w:pStyle w:val="Textonotapie"/>
        <w:numPr>
          <w:ilvl w:val="0"/>
          <w:numId w:val="17"/>
        </w:numPr>
        <w:spacing w:after="240" w:line="360" w:lineRule="auto"/>
        <w:jc w:val="both"/>
        <w:rPr>
          <w:rFonts w:ascii="Arial" w:hAnsi="Arial" w:cs="Arial"/>
          <w:sz w:val="24"/>
          <w:szCs w:val="24"/>
          <w:lang w:val="en-US"/>
        </w:rPr>
      </w:pPr>
      <w:r w:rsidRPr="00792B12">
        <w:rPr>
          <w:rFonts w:ascii="Arial" w:hAnsi="Arial" w:cs="Arial"/>
          <w:sz w:val="24"/>
          <w:szCs w:val="24"/>
          <w:lang w:val="en-US"/>
        </w:rPr>
        <w:t>Zeno-</w:t>
      </w:r>
      <w:proofErr w:type="spellStart"/>
      <w:r w:rsidRPr="00792B12">
        <w:rPr>
          <w:rFonts w:ascii="Arial" w:hAnsi="Arial" w:cs="Arial"/>
          <w:sz w:val="24"/>
          <w:szCs w:val="24"/>
          <w:lang w:val="en-US"/>
        </w:rPr>
        <w:t>Zencovich</w:t>
      </w:r>
      <w:proofErr w:type="spellEnd"/>
      <w:r w:rsidRPr="00792B12">
        <w:rPr>
          <w:rFonts w:ascii="Arial" w:hAnsi="Arial" w:cs="Arial"/>
          <w:sz w:val="24"/>
          <w:szCs w:val="24"/>
          <w:lang w:val="en-US"/>
        </w:rPr>
        <w:t xml:space="preserve">, Vincenzo, </w:t>
      </w:r>
      <w:proofErr w:type="spellStart"/>
      <w:r w:rsidRPr="00792B12">
        <w:rPr>
          <w:rFonts w:ascii="Arial" w:hAnsi="Arial" w:cs="Arial"/>
          <w:sz w:val="24"/>
          <w:szCs w:val="24"/>
          <w:lang w:val="en-US"/>
        </w:rPr>
        <w:t>voz</w:t>
      </w:r>
      <w:proofErr w:type="spellEnd"/>
      <w:r w:rsidRPr="00792B12">
        <w:rPr>
          <w:rFonts w:ascii="Arial" w:hAnsi="Arial" w:cs="Arial"/>
          <w:sz w:val="24"/>
          <w:szCs w:val="24"/>
          <w:lang w:val="en-US"/>
        </w:rPr>
        <w:t xml:space="preserve"> </w:t>
      </w:r>
      <w:proofErr w:type="spellStart"/>
      <w:r w:rsidRPr="00792B12">
        <w:rPr>
          <w:rFonts w:ascii="Arial" w:hAnsi="Arial" w:cs="Arial"/>
          <w:i/>
          <w:sz w:val="24"/>
          <w:szCs w:val="24"/>
          <w:lang w:val="en-US"/>
        </w:rPr>
        <w:t>Onore</w:t>
      </w:r>
      <w:proofErr w:type="spellEnd"/>
      <w:r w:rsidRPr="00792B12">
        <w:rPr>
          <w:rFonts w:ascii="Arial" w:hAnsi="Arial" w:cs="Arial"/>
          <w:i/>
          <w:sz w:val="24"/>
          <w:szCs w:val="24"/>
          <w:lang w:val="en-US"/>
        </w:rPr>
        <w:t xml:space="preserve"> e </w:t>
      </w:r>
      <w:proofErr w:type="spellStart"/>
      <w:r w:rsidRPr="00792B12">
        <w:rPr>
          <w:rFonts w:ascii="Arial" w:hAnsi="Arial" w:cs="Arial"/>
          <w:i/>
          <w:sz w:val="24"/>
          <w:szCs w:val="24"/>
          <w:lang w:val="en-US"/>
        </w:rPr>
        <w:t>reputazione</w:t>
      </w:r>
      <w:proofErr w:type="spellEnd"/>
      <w:r w:rsidRPr="00792B12">
        <w:rPr>
          <w:rFonts w:ascii="Arial" w:hAnsi="Arial" w:cs="Arial"/>
          <w:sz w:val="24"/>
          <w:szCs w:val="24"/>
          <w:lang w:val="en-US"/>
        </w:rPr>
        <w:t xml:space="preserve">, </w:t>
      </w:r>
      <w:proofErr w:type="spellStart"/>
      <w:r w:rsidRPr="00792B12">
        <w:rPr>
          <w:rFonts w:ascii="Arial" w:hAnsi="Arial" w:cs="Arial"/>
          <w:sz w:val="24"/>
          <w:szCs w:val="24"/>
          <w:lang w:val="en-US"/>
        </w:rPr>
        <w:t>en</w:t>
      </w:r>
      <w:proofErr w:type="spellEnd"/>
      <w:r w:rsidRPr="00792B12">
        <w:rPr>
          <w:rFonts w:ascii="Arial" w:hAnsi="Arial" w:cs="Arial"/>
          <w:sz w:val="24"/>
          <w:szCs w:val="24"/>
          <w:lang w:val="en-US"/>
        </w:rPr>
        <w:t xml:space="preserve">: </w:t>
      </w:r>
      <w:proofErr w:type="spellStart"/>
      <w:r w:rsidRPr="00792B12">
        <w:rPr>
          <w:rFonts w:ascii="Arial" w:hAnsi="Arial" w:cs="Arial"/>
          <w:sz w:val="24"/>
          <w:szCs w:val="24"/>
          <w:lang w:val="en-US"/>
        </w:rPr>
        <w:t>Digesto</w:t>
      </w:r>
      <w:proofErr w:type="spellEnd"/>
      <w:r w:rsidRPr="00792B12">
        <w:rPr>
          <w:rFonts w:ascii="Arial" w:hAnsi="Arial" w:cs="Arial"/>
          <w:sz w:val="24"/>
          <w:szCs w:val="24"/>
          <w:lang w:val="en-US"/>
        </w:rPr>
        <w:t xml:space="preserve">, IV </w:t>
      </w:r>
      <w:proofErr w:type="spellStart"/>
      <w:r w:rsidRPr="00792B12">
        <w:rPr>
          <w:rFonts w:ascii="Arial" w:hAnsi="Arial" w:cs="Arial"/>
          <w:sz w:val="24"/>
          <w:szCs w:val="24"/>
          <w:lang w:val="en-US"/>
        </w:rPr>
        <w:t>edición</w:t>
      </w:r>
      <w:proofErr w:type="spellEnd"/>
      <w:r w:rsidRPr="00792B12">
        <w:rPr>
          <w:rFonts w:ascii="Arial" w:hAnsi="Arial" w:cs="Arial"/>
          <w:sz w:val="24"/>
          <w:szCs w:val="24"/>
          <w:lang w:val="en-US"/>
        </w:rPr>
        <w:t xml:space="preserve">, </w:t>
      </w:r>
      <w:proofErr w:type="spellStart"/>
      <w:r w:rsidRPr="00792B12">
        <w:rPr>
          <w:rFonts w:ascii="Arial" w:hAnsi="Arial" w:cs="Arial"/>
          <w:sz w:val="24"/>
          <w:szCs w:val="24"/>
          <w:lang w:val="en-US"/>
        </w:rPr>
        <w:t>volumen</w:t>
      </w:r>
      <w:proofErr w:type="spellEnd"/>
      <w:r w:rsidRPr="00792B12">
        <w:rPr>
          <w:rFonts w:ascii="Arial" w:hAnsi="Arial" w:cs="Arial"/>
          <w:sz w:val="24"/>
          <w:szCs w:val="24"/>
          <w:lang w:val="en-US"/>
        </w:rPr>
        <w:t xml:space="preserve"> XIII, </w:t>
      </w:r>
      <w:proofErr w:type="spellStart"/>
      <w:r w:rsidRPr="00792B12">
        <w:rPr>
          <w:rFonts w:ascii="Arial" w:hAnsi="Arial" w:cs="Arial"/>
          <w:sz w:val="24"/>
          <w:szCs w:val="24"/>
          <w:lang w:val="en-US"/>
        </w:rPr>
        <w:t>sección</w:t>
      </w:r>
      <w:proofErr w:type="spellEnd"/>
      <w:r w:rsidRPr="00792B12">
        <w:rPr>
          <w:rFonts w:ascii="Arial" w:hAnsi="Arial" w:cs="Arial"/>
          <w:sz w:val="24"/>
          <w:szCs w:val="24"/>
          <w:lang w:val="en-US"/>
        </w:rPr>
        <w:t xml:space="preserve"> Derecho Civil, </w:t>
      </w:r>
      <w:proofErr w:type="spellStart"/>
      <w:r w:rsidRPr="00792B12">
        <w:rPr>
          <w:rFonts w:ascii="Arial" w:hAnsi="Arial" w:cs="Arial"/>
          <w:sz w:val="24"/>
          <w:szCs w:val="24"/>
          <w:lang w:val="en-US"/>
        </w:rPr>
        <w:t>Utet</w:t>
      </w:r>
      <w:proofErr w:type="spellEnd"/>
      <w:r w:rsidRPr="00792B12">
        <w:rPr>
          <w:rFonts w:ascii="Arial" w:hAnsi="Arial" w:cs="Arial"/>
          <w:sz w:val="24"/>
          <w:szCs w:val="24"/>
          <w:lang w:val="en-US"/>
        </w:rPr>
        <w:t xml:space="preserve">, </w:t>
      </w:r>
      <w:proofErr w:type="spellStart"/>
      <w:r w:rsidRPr="00792B12">
        <w:rPr>
          <w:rFonts w:ascii="Arial" w:hAnsi="Arial" w:cs="Arial"/>
          <w:sz w:val="24"/>
          <w:szCs w:val="24"/>
          <w:lang w:val="en-US"/>
        </w:rPr>
        <w:t>Turín</w:t>
      </w:r>
      <w:proofErr w:type="spellEnd"/>
      <w:r w:rsidRPr="00792B12">
        <w:rPr>
          <w:rFonts w:ascii="Arial" w:hAnsi="Arial" w:cs="Arial"/>
          <w:sz w:val="24"/>
          <w:szCs w:val="24"/>
          <w:lang w:val="en-US"/>
        </w:rPr>
        <w:t>, 1996.</w:t>
      </w:r>
    </w:p>
    <w:p w14:paraId="07554710" w14:textId="77777777" w:rsidR="0096481E" w:rsidRPr="000B3195" w:rsidRDefault="0096481E" w:rsidP="0096481E">
      <w:pPr>
        <w:rPr>
          <w:lang w:val="en-US"/>
        </w:rPr>
      </w:pPr>
    </w:p>
    <w:p w14:paraId="20879B00" w14:textId="77777777" w:rsidR="0096481E" w:rsidRPr="0096481E" w:rsidRDefault="0096481E" w:rsidP="00E13622">
      <w:pPr>
        <w:spacing w:after="240" w:line="360" w:lineRule="auto"/>
        <w:jc w:val="center"/>
        <w:rPr>
          <w:rFonts w:ascii="Arial" w:hAnsi="Arial" w:cs="Arial"/>
          <w:b/>
          <w:lang w:val="en-US"/>
        </w:rPr>
      </w:pPr>
    </w:p>
    <w:p w14:paraId="39B4B627" w14:textId="77777777" w:rsidR="00E13622" w:rsidRPr="0096481E" w:rsidRDefault="00E13622" w:rsidP="00E13622">
      <w:pPr>
        <w:spacing w:after="240" w:line="360" w:lineRule="auto"/>
        <w:jc w:val="center"/>
        <w:rPr>
          <w:rFonts w:ascii="Arial" w:hAnsi="Arial" w:cs="Arial"/>
          <w:b/>
        </w:rPr>
      </w:pPr>
    </w:p>
    <w:p w14:paraId="64BCC18B" w14:textId="77777777" w:rsidR="00E13622" w:rsidRPr="0096481E" w:rsidRDefault="00E13622" w:rsidP="00E13622">
      <w:pPr>
        <w:spacing w:after="240" w:line="360" w:lineRule="auto"/>
        <w:jc w:val="center"/>
        <w:rPr>
          <w:rFonts w:ascii="Arial" w:hAnsi="Arial" w:cs="Arial"/>
          <w:b/>
        </w:rPr>
      </w:pPr>
    </w:p>
    <w:p w14:paraId="3859E75C" w14:textId="77777777" w:rsidR="00E13622" w:rsidRPr="0096481E" w:rsidRDefault="00E13622" w:rsidP="00E13622">
      <w:pPr>
        <w:spacing w:after="240" w:line="360" w:lineRule="auto"/>
        <w:jc w:val="center"/>
        <w:rPr>
          <w:rFonts w:ascii="Arial" w:hAnsi="Arial" w:cs="Arial"/>
          <w:b/>
        </w:rPr>
      </w:pPr>
    </w:p>
    <w:p w14:paraId="6C0D838B" w14:textId="77777777" w:rsidR="00E13622" w:rsidRPr="0096481E" w:rsidRDefault="00E13622" w:rsidP="00E13622">
      <w:pPr>
        <w:spacing w:after="240" w:line="360" w:lineRule="auto"/>
        <w:jc w:val="center"/>
        <w:rPr>
          <w:rFonts w:ascii="Arial" w:hAnsi="Arial" w:cs="Arial"/>
          <w:b/>
        </w:rPr>
      </w:pPr>
    </w:p>
    <w:p w14:paraId="5D7C6481" w14:textId="77777777" w:rsidR="00E13622" w:rsidRPr="0096481E" w:rsidRDefault="00E13622" w:rsidP="00E13622">
      <w:pPr>
        <w:spacing w:after="240" w:line="360" w:lineRule="auto"/>
        <w:jc w:val="center"/>
        <w:rPr>
          <w:rFonts w:ascii="Arial" w:hAnsi="Arial" w:cs="Arial"/>
          <w:b/>
        </w:rPr>
      </w:pPr>
    </w:p>
    <w:p w14:paraId="08289031" w14:textId="77777777" w:rsidR="00E13622" w:rsidRPr="0096481E" w:rsidRDefault="00E13622" w:rsidP="00E13622">
      <w:pPr>
        <w:spacing w:after="240" w:line="360" w:lineRule="auto"/>
        <w:jc w:val="center"/>
        <w:rPr>
          <w:rFonts w:ascii="Arial" w:hAnsi="Arial" w:cs="Arial"/>
          <w:b/>
        </w:rPr>
      </w:pPr>
    </w:p>
    <w:p w14:paraId="17306DC9" w14:textId="77777777" w:rsidR="00E13622" w:rsidRPr="0096481E" w:rsidRDefault="00E13622" w:rsidP="00E13622">
      <w:pPr>
        <w:spacing w:after="240" w:line="360" w:lineRule="auto"/>
        <w:jc w:val="center"/>
        <w:rPr>
          <w:rFonts w:ascii="Arial" w:hAnsi="Arial" w:cs="Arial"/>
          <w:b/>
        </w:rPr>
      </w:pPr>
    </w:p>
    <w:p w14:paraId="37F08486" w14:textId="77777777" w:rsidR="00E13622" w:rsidRPr="0096481E" w:rsidRDefault="00E13622" w:rsidP="00E13622">
      <w:pPr>
        <w:spacing w:after="240" w:line="360" w:lineRule="auto"/>
        <w:jc w:val="center"/>
        <w:rPr>
          <w:rFonts w:ascii="Arial" w:hAnsi="Arial" w:cs="Arial"/>
          <w:b/>
        </w:rPr>
      </w:pPr>
    </w:p>
    <w:p w14:paraId="3868FCC1" w14:textId="77777777" w:rsidR="00B54CBE" w:rsidRDefault="00B54CBE"/>
    <w:sectPr w:rsidR="00B54CBE">
      <w:foot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F4BDFA7" w14:textId="77777777" w:rsidR="00D35197" w:rsidRDefault="00D35197" w:rsidP="0096481E">
      <w:pPr>
        <w:spacing w:after="0" w:line="240" w:lineRule="auto"/>
      </w:pPr>
      <w:r>
        <w:separator/>
      </w:r>
    </w:p>
  </w:endnote>
  <w:endnote w:type="continuationSeparator" w:id="0">
    <w:p w14:paraId="1D85ED57" w14:textId="77777777" w:rsidR="00D35197" w:rsidRDefault="00D35197" w:rsidP="009648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inion Pro">
    <w:altName w:val="Times New Roman"/>
    <w:panose1 w:val="00000000000000000000"/>
    <w:charset w:val="00"/>
    <w:family w:val="roman"/>
    <w:notTrueType/>
    <w:pitch w:val="variable"/>
    <w:sig w:usb0="60000287" w:usb1="00000001" w:usb2="00000000" w:usb3="00000000" w:csb0="0000019F" w:csb1="00000000"/>
  </w:font>
  <w:font w:name="Arial">
    <w:panose1 w:val="020B0604020202020204"/>
    <w:charset w:val="00"/>
    <w:family w:val="swiss"/>
    <w:pitch w:val="variable"/>
    <w:sig w:usb0="E0002EFF" w:usb1="C000785B" w:usb2="00000009" w:usb3="00000000" w:csb0="000001FF" w:csb1="00000000"/>
  </w:font>
  <w:font w:name="Titillium Web">
    <w:charset w:val="00"/>
    <w:family w:val="auto"/>
    <w:pitch w:val="variable"/>
    <w:sig w:usb0="00000007" w:usb1="00000001" w:usb2="00000000" w:usb3="00000000" w:csb0="00000093"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E3124C" w14:textId="77777777" w:rsidR="00963857" w:rsidRDefault="00963857">
    <w:pPr>
      <w:pStyle w:val="Piedepgina"/>
      <w:jc w:val="center"/>
      <w:rPr>
        <w:caps/>
        <w:color w:val="4472C4" w:themeColor="accent1"/>
      </w:rPr>
    </w:pPr>
    <w:r>
      <w:rPr>
        <w:caps/>
        <w:color w:val="4472C4" w:themeColor="accent1"/>
      </w:rPr>
      <w:fldChar w:fldCharType="begin"/>
    </w:r>
    <w:r>
      <w:rPr>
        <w:caps/>
        <w:color w:val="4472C4" w:themeColor="accent1"/>
      </w:rPr>
      <w:instrText>PAGE   \* MERGEFORMAT</w:instrText>
    </w:r>
    <w:r>
      <w:rPr>
        <w:caps/>
        <w:color w:val="4472C4" w:themeColor="accent1"/>
      </w:rPr>
      <w:fldChar w:fldCharType="separate"/>
    </w:r>
    <w:r>
      <w:rPr>
        <w:caps/>
        <w:color w:val="4472C4" w:themeColor="accent1"/>
        <w:lang w:val="es-ES"/>
      </w:rPr>
      <w:t>2</w:t>
    </w:r>
    <w:r>
      <w:rPr>
        <w:caps/>
        <w:color w:val="4472C4" w:themeColor="accent1"/>
      </w:rPr>
      <w:fldChar w:fldCharType="end"/>
    </w:r>
  </w:p>
  <w:p w14:paraId="7EF20C38" w14:textId="77777777" w:rsidR="00963857" w:rsidRDefault="0096385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786AB1" w14:textId="77777777" w:rsidR="00D35197" w:rsidRDefault="00D35197" w:rsidP="0096481E">
      <w:pPr>
        <w:spacing w:after="0" w:line="240" w:lineRule="auto"/>
      </w:pPr>
      <w:r>
        <w:separator/>
      </w:r>
    </w:p>
  </w:footnote>
  <w:footnote w:type="continuationSeparator" w:id="0">
    <w:p w14:paraId="6C7B0210" w14:textId="77777777" w:rsidR="00D35197" w:rsidRDefault="00D35197" w:rsidP="0096481E">
      <w:pPr>
        <w:spacing w:after="0" w:line="240" w:lineRule="auto"/>
      </w:pPr>
      <w:r>
        <w:continuationSeparator/>
      </w:r>
    </w:p>
  </w:footnote>
  <w:footnote w:id="1">
    <w:p w14:paraId="106370B4" w14:textId="77777777" w:rsidR="0096481E" w:rsidRPr="00A63ABC" w:rsidRDefault="0096481E" w:rsidP="0096481E">
      <w:pPr>
        <w:pStyle w:val="Textonotapie"/>
        <w:spacing w:line="276" w:lineRule="auto"/>
        <w:ind w:left="284" w:right="142"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Protección jurídica de la persona</w:t>
      </w:r>
      <w:r w:rsidRPr="00A63ABC">
        <w:rPr>
          <w:rFonts w:ascii="Arial" w:hAnsi="Arial" w:cs="Arial"/>
          <w:sz w:val="18"/>
          <w:szCs w:val="18"/>
          <w:lang w:val="es-PE"/>
        </w:rPr>
        <w:t>, Universidad de Lima, Lima, 1992, p. 28 y ss.</w:t>
      </w:r>
    </w:p>
    <w:p w14:paraId="51E756CC" w14:textId="77777777" w:rsidR="0096481E" w:rsidRPr="00A63ABC" w:rsidRDefault="0096481E" w:rsidP="0096481E">
      <w:pPr>
        <w:pStyle w:val="Textonotapie"/>
        <w:spacing w:line="276" w:lineRule="auto"/>
        <w:ind w:left="284" w:right="142" w:hanging="284"/>
        <w:jc w:val="both"/>
        <w:rPr>
          <w:rFonts w:ascii="Arial" w:hAnsi="Arial" w:cs="Arial"/>
          <w:sz w:val="18"/>
          <w:szCs w:val="18"/>
          <w:lang w:val="es-PE"/>
        </w:rPr>
      </w:pPr>
    </w:p>
  </w:footnote>
  <w:footnote w:id="2">
    <w:p w14:paraId="32F9ACCC"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Deslinde conceptual entre “daño a la persona”, “daño al proyecto de vida” y “daño moral”</w:t>
      </w:r>
      <w:r w:rsidRPr="00A63ABC">
        <w:rPr>
          <w:rFonts w:ascii="Arial" w:hAnsi="Arial" w:cs="Arial"/>
          <w:sz w:val="18"/>
          <w:szCs w:val="18"/>
          <w:lang w:val="es-PE"/>
        </w:rPr>
        <w:t xml:space="preserve">, en: </w:t>
      </w:r>
      <w:r w:rsidRPr="00A63ABC">
        <w:rPr>
          <w:rFonts w:ascii="Arial" w:hAnsi="Arial" w:cs="Arial"/>
          <w:i/>
          <w:sz w:val="18"/>
          <w:szCs w:val="18"/>
          <w:lang w:val="es-PE"/>
        </w:rPr>
        <w:t>Responsabilidad civil. Nuevas tendencias, unificación y reforma. Veinte años después</w:t>
      </w:r>
      <w:r w:rsidRPr="00A63ABC">
        <w:rPr>
          <w:rFonts w:ascii="Arial" w:hAnsi="Arial" w:cs="Arial"/>
          <w:sz w:val="18"/>
          <w:szCs w:val="18"/>
          <w:lang w:val="es-PE"/>
        </w:rPr>
        <w:t>, edición bajo la dirección de Juan Espinoza Espinoza, Palestra editores, Lima, 2005, p. 110 y ss.</w:t>
      </w:r>
    </w:p>
    <w:p w14:paraId="2F66DC09"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3">
    <w:p w14:paraId="18141B84"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Fernández Sessarego, Carlos, </w:t>
      </w:r>
      <w:r w:rsidRPr="00A63ABC">
        <w:rPr>
          <w:rFonts w:ascii="Arial" w:hAnsi="Arial" w:cs="Arial"/>
          <w:i/>
          <w:sz w:val="18"/>
          <w:szCs w:val="18"/>
          <w:lang w:val="it-IT"/>
        </w:rPr>
        <w:t>Un nuovo modo di fare diritto</w:t>
      </w:r>
      <w:r w:rsidRPr="00A63ABC">
        <w:rPr>
          <w:rFonts w:ascii="Arial" w:hAnsi="Arial" w:cs="Arial"/>
          <w:sz w:val="18"/>
          <w:szCs w:val="18"/>
          <w:lang w:val="it-IT"/>
        </w:rPr>
        <w:t xml:space="preserve">, en: AA.VV., </w:t>
      </w:r>
      <w:r w:rsidRPr="00A63ABC">
        <w:rPr>
          <w:rFonts w:ascii="Arial" w:hAnsi="Arial" w:cs="Arial"/>
          <w:i/>
          <w:sz w:val="18"/>
          <w:szCs w:val="18"/>
          <w:lang w:val="it-IT"/>
        </w:rPr>
        <w:t>Il diritto dei nuovi mondi, atti del Convegno promosso dall’Istituto di Diritto Privato delle Facoltà di Giurisprudenza</w:t>
      </w:r>
      <w:r w:rsidRPr="00A63ABC">
        <w:rPr>
          <w:rFonts w:ascii="Arial" w:hAnsi="Arial" w:cs="Arial"/>
          <w:sz w:val="18"/>
          <w:szCs w:val="18"/>
          <w:lang w:val="it-IT"/>
        </w:rPr>
        <w:t>, Genova, 5-7 novembre 1992, Cedam, Padua, 1994, p. 229.</w:t>
      </w:r>
    </w:p>
    <w:p w14:paraId="56704D0D"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4">
    <w:p w14:paraId="2D48CB1C"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Aproximación al escenario jurídico contemporáneo</w:t>
      </w:r>
      <w:r w:rsidRPr="00A63ABC">
        <w:rPr>
          <w:rFonts w:ascii="Arial" w:hAnsi="Arial" w:cs="Arial"/>
          <w:sz w:val="18"/>
          <w:szCs w:val="18"/>
          <w:lang w:val="es-PE"/>
        </w:rPr>
        <w:t xml:space="preserve">, en: </w:t>
      </w:r>
      <w:r w:rsidRPr="00A63ABC">
        <w:rPr>
          <w:rFonts w:ascii="Arial" w:hAnsi="Arial" w:cs="Arial"/>
          <w:i/>
          <w:sz w:val="18"/>
          <w:szCs w:val="18"/>
          <w:lang w:val="es-PE"/>
        </w:rPr>
        <w:t>El derecho a imaginar el Derecho. Análisis, reflexiones y comentarios</w:t>
      </w:r>
      <w:r w:rsidRPr="00A63ABC">
        <w:rPr>
          <w:rFonts w:ascii="Arial" w:hAnsi="Arial" w:cs="Arial"/>
          <w:sz w:val="18"/>
          <w:szCs w:val="18"/>
          <w:lang w:val="es-PE"/>
        </w:rPr>
        <w:t>, Idemsa, Lima, 2011, p. 49 y ss.</w:t>
      </w:r>
    </w:p>
    <w:p w14:paraId="5CA4AD6A"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5">
    <w:p w14:paraId="349D96D9"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Deslinde conceptual entre “daño a la persona”, “daño al proyecto de vida” y “daño moral”</w:t>
      </w:r>
      <w:r w:rsidRPr="00A63ABC">
        <w:rPr>
          <w:rFonts w:ascii="Arial" w:hAnsi="Arial" w:cs="Arial"/>
          <w:sz w:val="18"/>
          <w:szCs w:val="18"/>
          <w:lang w:val="es-PE"/>
        </w:rPr>
        <w:t>, en: Studi in Onore di Cesare Massimo Bianca, tomo IV, Giuffrè editore, Milán, 2006, p. 755.</w:t>
      </w:r>
    </w:p>
    <w:p w14:paraId="1CB0C66B"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6">
    <w:p w14:paraId="44B8CA91"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 Fernández Sessarego, Carlos</w:t>
      </w:r>
      <w:r w:rsidRPr="00A63ABC">
        <w:rPr>
          <w:rFonts w:ascii="Arial" w:hAnsi="Arial" w:cs="Arial"/>
          <w:i/>
          <w:sz w:val="18"/>
          <w:szCs w:val="18"/>
          <w:lang w:val="es-PE"/>
        </w:rPr>
        <w:t>, Derecho y persona</w:t>
      </w:r>
      <w:r w:rsidRPr="00A63ABC">
        <w:rPr>
          <w:rFonts w:ascii="Arial" w:hAnsi="Arial" w:cs="Arial"/>
          <w:sz w:val="18"/>
          <w:szCs w:val="18"/>
          <w:lang w:val="es-PE"/>
        </w:rPr>
        <w:t>, cuarta edición, Lima, Grijley, 2001, pág. 30.</w:t>
      </w:r>
    </w:p>
    <w:p w14:paraId="003FF266"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7">
    <w:p w14:paraId="3042DEBD"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Grossi, Paolo, </w:t>
      </w:r>
      <w:r w:rsidRPr="00A63ABC">
        <w:rPr>
          <w:rFonts w:ascii="Arial" w:hAnsi="Arial" w:cs="Arial"/>
          <w:i/>
          <w:sz w:val="18"/>
          <w:szCs w:val="18"/>
          <w:lang w:val="it-IT"/>
        </w:rPr>
        <w:t>Prima lezione di diritto</w:t>
      </w:r>
      <w:r w:rsidRPr="00A63ABC">
        <w:rPr>
          <w:rFonts w:ascii="Arial" w:hAnsi="Arial" w:cs="Arial"/>
          <w:sz w:val="18"/>
          <w:szCs w:val="18"/>
          <w:lang w:val="it-IT"/>
        </w:rPr>
        <w:t xml:space="preserve">, quindicesima edizione, editori Laterza, Roma-Bari, 2010, p. 15. </w:t>
      </w:r>
      <w:r w:rsidRPr="00A63ABC">
        <w:rPr>
          <w:rFonts w:ascii="Arial" w:hAnsi="Arial" w:cs="Arial"/>
          <w:sz w:val="18"/>
          <w:szCs w:val="18"/>
          <w:lang w:val="es-PE"/>
        </w:rPr>
        <w:t>Ahora también en castellano, La primera lección del Derecho, traducción de Clara Álvarez Alonso, Marcial Pons, Madrid, 2006, p. 25.</w:t>
      </w:r>
    </w:p>
    <w:p w14:paraId="1067CE88"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8">
    <w:p w14:paraId="796AFF69"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Zeno-Zencovich, Vincenzo, </w:t>
      </w:r>
      <w:r w:rsidRPr="00A63ABC">
        <w:rPr>
          <w:rFonts w:ascii="Arial" w:hAnsi="Arial" w:cs="Arial"/>
          <w:i/>
          <w:sz w:val="18"/>
          <w:szCs w:val="18"/>
          <w:lang w:val="it-IT"/>
        </w:rPr>
        <w:t>Identità personale</w:t>
      </w:r>
      <w:r w:rsidRPr="00A63ABC">
        <w:rPr>
          <w:rFonts w:ascii="Arial" w:hAnsi="Arial" w:cs="Arial"/>
          <w:sz w:val="18"/>
          <w:szCs w:val="18"/>
          <w:lang w:val="it-IT"/>
        </w:rPr>
        <w:t xml:space="preserve">, en: </w:t>
      </w:r>
      <w:r w:rsidRPr="00A63ABC">
        <w:rPr>
          <w:rFonts w:ascii="Arial" w:hAnsi="Arial" w:cs="Arial"/>
          <w:i/>
          <w:sz w:val="18"/>
          <w:szCs w:val="18"/>
          <w:lang w:val="it-IT"/>
        </w:rPr>
        <w:t>Digesto</w:t>
      </w:r>
      <w:r w:rsidRPr="00A63ABC">
        <w:rPr>
          <w:rFonts w:ascii="Arial" w:hAnsi="Arial" w:cs="Arial"/>
          <w:sz w:val="18"/>
          <w:szCs w:val="18"/>
          <w:lang w:val="it-IT"/>
        </w:rPr>
        <w:t>, Discipline privatistiche, sezione civile, IV edizione, volume IX, Utet, Turín, 1993, p. 3 y ss.</w:t>
      </w:r>
    </w:p>
    <w:p w14:paraId="18D54E57"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9">
    <w:p w14:paraId="4A2B285C"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Zeno-Zencovich, Vincenzo, </w:t>
      </w:r>
      <w:r w:rsidRPr="00A63ABC">
        <w:rPr>
          <w:rFonts w:ascii="Arial" w:hAnsi="Arial" w:cs="Arial"/>
          <w:i/>
          <w:sz w:val="18"/>
          <w:szCs w:val="18"/>
          <w:lang w:val="it-IT"/>
        </w:rPr>
        <w:t>Personalità (Diritti della)</w:t>
      </w:r>
      <w:r w:rsidRPr="00A63ABC">
        <w:rPr>
          <w:rFonts w:ascii="Arial" w:hAnsi="Arial" w:cs="Arial"/>
          <w:sz w:val="18"/>
          <w:szCs w:val="18"/>
          <w:lang w:val="it-IT"/>
        </w:rPr>
        <w:t xml:space="preserve">, en: </w:t>
      </w:r>
      <w:r w:rsidRPr="00A63ABC">
        <w:rPr>
          <w:rFonts w:ascii="Arial" w:hAnsi="Arial" w:cs="Arial"/>
          <w:i/>
          <w:sz w:val="18"/>
          <w:szCs w:val="18"/>
          <w:lang w:val="it-IT"/>
        </w:rPr>
        <w:t>Digesto</w:t>
      </w:r>
      <w:r w:rsidRPr="00A63ABC">
        <w:rPr>
          <w:rFonts w:ascii="Arial" w:hAnsi="Arial" w:cs="Arial"/>
          <w:sz w:val="18"/>
          <w:szCs w:val="18"/>
          <w:lang w:val="it-IT"/>
        </w:rPr>
        <w:t xml:space="preserve">, Discipline privatistiche, sezione civile, IV edizione, volumen  XIII, Utet, Turín, 1996, pág.  </w:t>
      </w:r>
      <w:r w:rsidRPr="00A63ABC">
        <w:rPr>
          <w:rFonts w:ascii="Arial" w:hAnsi="Arial" w:cs="Arial"/>
          <w:sz w:val="18"/>
          <w:szCs w:val="18"/>
          <w:lang w:val="es-PE"/>
        </w:rPr>
        <w:t>432 y ss.</w:t>
      </w:r>
    </w:p>
    <w:p w14:paraId="74B83992"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0">
    <w:p w14:paraId="5A85824F"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Derecho y persona</w:t>
      </w:r>
      <w:r w:rsidRPr="00A63ABC">
        <w:rPr>
          <w:rFonts w:ascii="Arial" w:hAnsi="Arial" w:cs="Arial"/>
          <w:sz w:val="18"/>
          <w:szCs w:val="18"/>
          <w:lang w:val="es-PE"/>
        </w:rPr>
        <w:t>, quinta edición actualizada y ampliada, Astrea, Buenos Aires, 2015, p. 124 y ss.</w:t>
      </w:r>
    </w:p>
    <w:p w14:paraId="4EE4FCAC"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1">
    <w:p w14:paraId="41BE2282"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Aproximación al escenario jurídico contemporáneo</w:t>
      </w:r>
      <w:r w:rsidRPr="00A63ABC">
        <w:rPr>
          <w:rFonts w:ascii="Arial" w:hAnsi="Arial" w:cs="Arial"/>
          <w:sz w:val="18"/>
          <w:szCs w:val="18"/>
          <w:lang w:val="es-PE"/>
        </w:rPr>
        <w:t xml:space="preserve">, en: </w:t>
      </w:r>
      <w:r w:rsidRPr="00A63ABC">
        <w:rPr>
          <w:rFonts w:ascii="Arial" w:hAnsi="Arial" w:cs="Arial"/>
          <w:i/>
          <w:sz w:val="18"/>
          <w:szCs w:val="18"/>
          <w:lang w:val="es-PE"/>
        </w:rPr>
        <w:t>El derecho a imaginar el Derecho. Análisis, reflexiones y comentario</w:t>
      </w:r>
      <w:r w:rsidRPr="00A63ABC">
        <w:rPr>
          <w:rFonts w:ascii="Arial" w:hAnsi="Arial" w:cs="Arial"/>
          <w:sz w:val="18"/>
          <w:szCs w:val="18"/>
          <w:lang w:val="es-PE"/>
        </w:rPr>
        <w:t>, Idemsa, Lima, 2011, pp. 55 y ss.</w:t>
      </w:r>
    </w:p>
  </w:footnote>
  <w:footnote w:id="12">
    <w:p w14:paraId="363EAEC4"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El derecho a la identidad personal</w:t>
      </w:r>
      <w:r w:rsidRPr="00A63ABC">
        <w:rPr>
          <w:rFonts w:ascii="Arial" w:hAnsi="Arial" w:cs="Arial"/>
          <w:sz w:val="18"/>
          <w:szCs w:val="18"/>
          <w:lang w:val="es-PE"/>
        </w:rPr>
        <w:t xml:space="preserve">, en: </w:t>
      </w:r>
      <w:r w:rsidRPr="00A63ABC">
        <w:rPr>
          <w:rFonts w:ascii="Arial" w:hAnsi="Arial" w:cs="Arial"/>
          <w:i/>
          <w:sz w:val="18"/>
          <w:szCs w:val="18"/>
          <w:lang w:val="es-PE"/>
        </w:rPr>
        <w:t>Nuevas tendencias en el derecho de las persona</w:t>
      </w:r>
      <w:r w:rsidRPr="00A63ABC">
        <w:rPr>
          <w:rFonts w:ascii="Arial" w:hAnsi="Arial" w:cs="Arial"/>
          <w:sz w:val="18"/>
          <w:szCs w:val="18"/>
          <w:lang w:val="es-PE"/>
        </w:rPr>
        <w:t>s, Universidad de Lima, Lima, 1990, p. 174.</w:t>
      </w:r>
    </w:p>
    <w:p w14:paraId="1DC3715E" w14:textId="77777777" w:rsidR="0096481E" w:rsidRPr="00A63ABC" w:rsidRDefault="0096481E" w:rsidP="0096481E">
      <w:pPr>
        <w:pStyle w:val="Textonotapie"/>
        <w:spacing w:line="276" w:lineRule="auto"/>
        <w:jc w:val="both"/>
        <w:rPr>
          <w:rFonts w:ascii="Arial" w:hAnsi="Arial" w:cs="Arial"/>
          <w:sz w:val="18"/>
          <w:szCs w:val="18"/>
          <w:lang w:val="es-PE"/>
        </w:rPr>
      </w:pPr>
    </w:p>
  </w:footnote>
  <w:footnote w:id="13">
    <w:p w14:paraId="6DE0E6A8"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Fernández</w:t>
      </w:r>
      <w:r w:rsidRPr="00A63ABC">
        <w:rPr>
          <w:rFonts w:ascii="Arial" w:hAnsi="Arial" w:cs="Arial"/>
          <w:b/>
          <w:sz w:val="18"/>
          <w:szCs w:val="18"/>
          <w:lang w:val="es-PE"/>
        </w:rPr>
        <w:t xml:space="preserve"> </w:t>
      </w:r>
      <w:r w:rsidRPr="00A63ABC">
        <w:rPr>
          <w:rFonts w:ascii="Arial" w:hAnsi="Arial" w:cs="Arial"/>
          <w:sz w:val="18"/>
          <w:szCs w:val="18"/>
          <w:lang w:val="es-PE"/>
        </w:rPr>
        <w:t xml:space="preserve">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segunda edición actualizada y ampliada, Instituto Pacífico, Lima, 2015, p. 40 y ss.</w:t>
      </w:r>
    </w:p>
    <w:p w14:paraId="67FDAE1E" w14:textId="77777777" w:rsidR="0096481E" w:rsidRPr="00A63ABC" w:rsidRDefault="0096481E" w:rsidP="0096481E">
      <w:pPr>
        <w:pStyle w:val="Textonotapie"/>
        <w:spacing w:line="276" w:lineRule="auto"/>
        <w:jc w:val="both"/>
        <w:rPr>
          <w:rFonts w:ascii="Arial" w:hAnsi="Arial" w:cs="Arial"/>
          <w:sz w:val="18"/>
          <w:szCs w:val="18"/>
          <w:lang w:val="es-PE"/>
        </w:rPr>
      </w:pPr>
    </w:p>
  </w:footnote>
  <w:footnote w:id="14">
    <w:p w14:paraId="0A0DB51B"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Uno de los más notables civilistas peruanos, el Prof. Yuri Vega Mere  señala que “</w:t>
      </w:r>
      <w:r w:rsidRPr="00A63ABC">
        <w:rPr>
          <w:rFonts w:ascii="Arial" w:hAnsi="Arial" w:cs="Arial"/>
          <w:i/>
          <w:sz w:val="18"/>
          <w:szCs w:val="18"/>
          <w:lang w:val="es-PE"/>
        </w:rPr>
        <w:t xml:space="preserve">el afán y la pasión que puso sobre este nuevo derecho Fernández Sessarego, desconocido hasta entonces en la doctrina latinoamericana, ha sido la razón por la cual la Constitución de </w:t>
      </w:r>
      <w:smartTag w:uri="urn:schemas-microsoft-com:office:smarttags" w:element="metricconverter">
        <w:smartTagPr>
          <w:attr w:name="ProductID" w:val="1993 ha"/>
        </w:smartTagPr>
        <w:r w:rsidRPr="00A63ABC">
          <w:rPr>
            <w:rFonts w:ascii="Arial" w:hAnsi="Arial" w:cs="Arial"/>
            <w:i/>
            <w:sz w:val="18"/>
            <w:szCs w:val="18"/>
            <w:lang w:val="es-PE"/>
          </w:rPr>
          <w:t>1993 ha</w:t>
        </w:r>
      </w:smartTag>
      <w:r w:rsidRPr="00A63ABC">
        <w:rPr>
          <w:rFonts w:ascii="Arial" w:hAnsi="Arial" w:cs="Arial"/>
          <w:i/>
          <w:sz w:val="18"/>
          <w:szCs w:val="18"/>
          <w:lang w:val="es-PE"/>
        </w:rPr>
        <w:t xml:space="preserve"> recogido expresamente este valor fundamental del ser humano, en el inciso 1 del artículo </w:t>
      </w:r>
      <w:smartTag w:uri="urn:schemas-microsoft-com:office:smarttags" w:element="metricconverter">
        <w:smartTagPr>
          <w:attr w:name="ProductID" w:val="2. A"/>
        </w:smartTagPr>
        <w:r w:rsidRPr="00A63ABC">
          <w:rPr>
            <w:rFonts w:ascii="Arial" w:hAnsi="Arial" w:cs="Arial"/>
            <w:i/>
            <w:sz w:val="18"/>
            <w:szCs w:val="18"/>
            <w:lang w:val="es-PE"/>
          </w:rPr>
          <w:t>2. A</w:t>
        </w:r>
      </w:smartTag>
      <w:r w:rsidRPr="00A63ABC">
        <w:rPr>
          <w:rFonts w:ascii="Arial" w:hAnsi="Arial" w:cs="Arial"/>
          <w:i/>
          <w:sz w:val="18"/>
          <w:szCs w:val="18"/>
          <w:lang w:val="es-PE"/>
        </w:rPr>
        <w:t xml:space="preserve"> él debemos la presencia de esta nueva situación jurídica subjetiva en nuestro ordenamiento, que es el primero que la acoge en su más amplia acepción</w:t>
      </w:r>
      <w:r w:rsidRPr="00A63ABC">
        <w:rPr>
          <w:rFonts w:ascii="Arial" w:hAnsi="Arial" w:cs="Arial"/>
          <w:sz w:val="18"/>
          <w:szCs w:val="18"/>
          <w:lang w:val="es-PE"/>
        </w:rPr>
        <w:t>...”. Vega Mere, Yuri,</w:t>
      </w:r>
      <w:r w:rsidRPr="00A63ABC">
        <w:rPr>
          <w:rFonts w:ascii="Arial" w:hAnsi="Arial" w:cs="Arial"/>
          <w:i/>
          <w:iCs/>
          <w:sz w:val="18"/>
          <w:szCs w:val="18"/>
          <w:lang w:val="es-PE"/>
        </w:rPr>
        <w:t xml:space="preserve"> Personas</w:t>
      </w:r>
      <w:r w:rsidRPr="00A63ABC">
        <w:rPr>
          <w:rFonts w:ascii="Arial" w:hAnsi="Arial" w:cs="Arial"/>
          <w:i/>
          <w:sz w:val="18"/>
          <w:szCs w:val="18"/>
          <w:lang w:val="es-PE"/>
        </w:rPr>
        <w:t xml:space="preserve"> naturales: nuevas propuestas</w:t>
      </w:r>
      <w:r w:rsidRPr="00A63ABC">
        <w:rPr>
          <w:rFonts w:ascii="Arial" w:hAnsi="Arial" w:cs="Arial"/>
          <w:sz w:val="18"/>
          <w:szCs w:val="18"/>
          <w:lang w:val="es-PE"/>
        </w:rPr>
        <w:t xml:space="preserve">, en: </w:t>
      </w:r>
      <w:r w:rsidRPr="00A63ABC">
        <w:rPr>
          <w:rFonts w:ascii="Arial" w:hAnsi="Arial" w:cs="Arial"/>
          <w:i/>
          <w:sz w:val="18"/>
          <w:szCs w:val="18"/>
          <w:lang w:val="es-PE"/>
        </w:rPr>
        <w:t>Diez años del Código Civil peruano: balance y perspectivas</w:t>
      </w:r>
      <w:r w:rsidRPr="00A63ABC">
        <w:rPr>
          <w:rFonts w:ascii="Arial" w:hAnsi="Arial" w:cs="Arial"/>
          <w:sz w:val="18"/>
          <w:szCs w:val="18"/>
          <w:lang w:val="es-PE"/>
        </w:rPr>
        <w:t>, Tomo I, Walter Gutiérrez Camacho editor, Lima, 1995, p.54.</w:t>
      </w:r>
    </w:p>
    <w:p w14:paraId="4AE9781E" w14:textId="77777777" w:rsidR="0096481E" w:rsidRPr="00A63ABC" w:rsidRDefault="0096481E" w:rsidP="0096481E">
      <w:pPr>
        <w:pStyle w:val="Textonotapie"/>
        <w:spacing w:line="276" w:lineRule="auto"/>
        <w:jc w:val="both"/>
        <w:rPr>
          <w:rFonts w:ascii="Arial" w:hAnsi="Arial" w:cs="Arial"/>
          <w:sz w:val="18"/>
          <w:szCs w:val="18"/>
          <w:lang w:val="es-PE"/>
        </w:rPr>
      </w:pPr>
    </w:p>
  </w:footnote>
  <w:footnote w:id="15">
    <w:p w14:paraId="79B1F049" w14:textId="77777777" w:rsidR="0096481E" w:rsidRPr="00A63ABC" w:rsidRDefault="0096481E" w:rsidP="0096481E">
      <w:pPr>
        <w:pStyle w:val="Textonotapie"/>
        <w:spacing w:line="276" w:lineRule="auto"/>
        <w:ind w:left="284" w:hanging="284"/>
        <w:jc w:val="both"/>
        <w:rPr>
          <w:rFonts w:ascii="Arial" w:hAnsi="Arial" w:cs="Arial"/>
          <w:i/>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El primer apartado del artículo 2º prescribe que: </w:t>
      </w:r>
      <w:r w:rsidRPr="00A63ABC">
        <w:rPr>
          <w:rFonts w:ascii="Arial" w:hAnsi="Arial" w:cs="Arial"/>
          <w:i/>
          <w:sz w:val="18"/>
          <w:szCs w:val="18"/>
          <w:lang w:val="es-PE"/>
        </w:rPr>
        <w:t>“Todos tienen derecho al libre desenvolvimiento de su personalidad siempre que no vulneren los derechos de otro ni atenten al orden constitucional ni a la ley moral”.</w:t>
      </w:r>
    </w:p>
    <w:p w14:paraId="3A5C151C" w14:textId="77777777" w:rsidR="0096481E" w:rsidRPr="00A63ABC" w:rsidRDefault="0096481E" w:rsidP="0096481E">
      <w:pPr>
        <w:pStyle w:val="Textonotapie"/>
        <w:spacing w:line="276" w:lineRule="auto"/>
        <w:jc w:val="both"/>
        <w:rPr>
          <w:rFonts w:ascii="Arial" w:hAnsi="Arial" w:cs="Arial"/>
          <w:sz w:val="18"/>
          <w:szCs w:val="18"/>
          <w:lang w:val="es-PE"/>
        </w:rPr>
      </w:pPr>
    </w:p>
  </w:footnote>
  <w:footnote w:id="16">
    <w:p w14:paraId="79A29EEC"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Los 25 años del Código Civil Peruano de 1984. Historia, ideología, aportes, comentarios críticos, propuestas de enmiendas</w:t>
      </w:r>
      <w:r w:rsidRPr="00A63ABC">
        <w:rPr>
          <w:rFonts w:ascii="Arial" w:hAnsi="Arial" w:cs="Arial"/>
          <w:sz w:val="18"/>
          <w:szCs w:val="18"/>
          <w:lang w:val="es-PE"/>
        </w:rPr>
        <w:t>, Motivensa editora jurídica, Lima, 2009, pág. 354.</w:t>
      </w:r>
    </w:p>
    <w:p w14:paraId="6EB7B613"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17">
    <w:p w14:paraId="18D0D7F0"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Sobre el tema de la identidad sexual, en relación con la problemática del transexualismo, véase a Patti, Salvatore, </w:t>
      </w:r>
      <w:r w:rsidRPr="00A63ABC">
        <w:rPr>
          <w:rFonts w:ascii="Arial" w:hAnsi="Arial" w:cs="Arial"/>
          <w:i/>
          <w:sz w:val="18"/>
          <w:szCs w:val="18"/>
          <w:lang w:val="es-PE"/>
        </w:rPr>
        <w:t>Transessualismo</w:t>
      </w:r>
      <w:r w:rsidRPr="00A63ABC">
        <w:rPr>
          <w:rFonts w:ascii="Arial" w:hAnsi="Arial" w:cs="Arial"/>
          <w:sz w:val="18"/>
          <w:szCs w:val="18"/>
          <w:lang w:val="es-PE"/>
        </w:rPr>
        <w:t xml:space="preserve">, en: Digesto, IV edizione, volumen XIX, sezione civile, Utet, Turín, 1999, pág. 416. Stanzione, Pasquale, </w:t>
      </w:r>
      <w:r w:rsidRPr="00A63ABC">
        <w:rPr>
          <w:rFonts w:ascii="Arial" w:hAnsi="Arial" w:cs="Arial"/>
          <w:i/>
          <w:sz w:val="18"/>
          <w:szCs w:val="18"/>
          <w:lang w:val="es-PE"/>
        </w:rPr>
        <w:t>Transexualismo y sensibilidad del jurista: una relectura actualizada de la ley (italiana) 164/1982</w:t>
      </w:r>
      <w:r w:rsidRPr="00A63ABC">
        <w:rPr>
          <w:rFonts w:ascii="Arial" w:hAnsi="Arial" w:cs="Arial"/>
          <w:sz w:val="18"/>
          <w:szCs w:val="18"/>
          <w:lang w:val="es-PE"/>
        </w:rPr>
        <w:t>, en: Observatorio de Derecho Civil, tomo IV: La persona, Motivensa editora Jurídica, Lima, 2010, pág. 213 y ss.</w:t>
      </w:r>
    </w:p>
  </w:footnote>
  <w:footnote w:id="18">
    <w:p w14:paraId="1EF8CE5B"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Sentencia se publicó en “</w:t>
      </w:r>
      <w:r w:rsidRPr="00A63ABC">
        <w:rPr>
          <w:rFonts w:ascii="Arial" w:hAnsi="Arial" w:cs="Arial"/>
          <w:i/>
          <w:sz w:val="18"/>
          <w:szCs w:val="18"/>
          <w:lang w:val="es-PE"/>
        </w:rPr>
        <w:t>Nuova Giurisprudenza Commentata</w:t>
      </w:r>
      <w:r w:rsidRPr="00A63ABC">
        <w:rPr>
          <w:rFonts w:ascii="Arial" w:hAnsi="Arial" w:cs="Arial"/>
          <w:sz w:val="18"/>
          <w:szCs w:val="18"/>
          <w:lang w:val="es-PE"/>
        </w:rPr>
        <w:t>”, 1987-II-467.</w:t>
      </w:r>
    </w:p>
  </w:footnote>
  <w:footnote w:id="19">
    <w:p w14:paraId="4A114D6D"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segunda edición actualizada y ampliada, Instituto Pacífico, Lima, 2015, p. 123.</w:t>
      </w:r>
    </w:p>
    <w:p w14:paraId="14D43CAC"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20">
    <w:p w14:paraId="2D283F71" w14:textId="77777777" w:rsidR="0096481E" w:rsidRPr="00A63ABC" w:rsidRDefault="0096481E" w:rsidP="0096481E">
      <w:pPr>
        <w:pStyle w:val="Textonotapie"/>
        <w:ind w:left="284" w:hanging="284"/>
        <w:jc w:val="both"/>
        <w:rPr>
          <w:rFonts w:ascii="Arial" w:hAnsi="Arial" w:cs="Arial"/>
          <w:sz w:val="18"/>
          <w:szCs w:val="18"/>
          <w:lang w:val="es-PE"/>
        </w:rPr>
      </w:pPr>
      <w:r w:rsidRPr="00A63ABC">
        <w:rPr>
          <w:rStyle w:val="Refdenotaalpie"/>
          <w:rFonts w:ascii="Arial" w:hAnsi="Arial" w:cs="Arial"/>
          <w:sz w:val="18"/>
          <w:szCs w:val="18"/>
        </w:rPr>
        <w:footnoteRef/>
      </w:r>
      <w:r w:rsidRPr="00A63ABC">
        <w:rPr>
          <w:rFonts w:ascii="Arial" w:hAnsi="Arial" w:cs="Arial"/>
          <w:sz w:val="18"/>
          <w:szCs w:val="18"/>
        </w:rPr>
        <w:t xml:space="preserve">  Fernández Sessarego, Carlos, </w:t>
      </w:r>
      <w:r w:rsidRPr="00A63ABC">
        <w:rPr>
          <w:rFonts w:ascii="Arial" w:hAnsi="Arial" w:cs="Arial"/>
          <w:i/>
          <w:sz w:val="18"/>
          <w:szCs w:val="18"/>
        </w:rPr>
        <w:t>El Derecho como libertad. La Teoría Tridimensional del Derecho</w:t>
      </w:r>
      <w:r w:rsidRPr="00A63ABC">
        <w:rPr>
          <w:rFonts w:ascii="Arial" w:hAnsi="Arial" w:cs="Arial"/>
          <w:sz w:val="18"/>
          <w:szCs w:val="18"/>
        </w:rPr>
        <w:t>, Motivensa editora jurídica, Lima, 2017, pp. 157-158.</w:t>
      </w:r>
    </w:p>
    <w:p w14:paraId="7C16AB49" w14:textId="77777777" w:rsidR="0096481E" w:rsidRPr="00A63ABC" w:rsidRDefault="0096481E" w:rsidP="0096481E">
      <w:pPr>
        <w:pStyle w:val="Textonotapie"/>
        <w:rPr>
          <w:rFonts w:ascii="Arial" w:hAnsi="Arial" w:cs="Arial"/>
          <w:sz w:val="18"/>
          <w:szCs w:val="18"/>
          <w:lang w:val="es-PE"/>
        </w:rPr>
      </w:pPr>
    </w:p>
  </w:footnote>
  <w:footnote w:id="21">
    <w:p w14:paraId="0CB61C8A"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Zeno-Zencovich, Vincenzo, voz </w:t>
      </w:r>
      <w:r w:rsidRPr="00A63ABC">
        <w:rPr>
          <w:rFonts w:ascii="Arial" w:hAnsi="Arial" w:cs="Arial"/>
          <w:i/>
          <w:sz w:val="18"/>
          <w:szCs w:val="18"/>
          <w:lang w:val="it-IT"/>
        </w:rPr>
        <w:t>Personalitá (diritti della)</w:t>
      </w:r>
      <w:r w:rsidRPr="00A63ABC">
        <w:rPr>
          <w:rFonts w:ascii="Arial" w:hAnsi="Arial" w:cs="Arial"/>
          <w:sz w:val="18"/>
          <w:szCs w:val="18"/>
          <w:lang w:val="it-IT"/>
        </w:rPr>
        <w:t>, en: Digesto delle discipline privatistiche, sezione civile, IV edizione, volumen XIII,  Utet, Turín, 1996, p. 435 y ss.</w:t>
      </w:r>
    </w:p>
    <w:p w14:paraId="417187EA"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22">
    <w:p w14:paraId="3B77F52C" w14:textId="77777777" w:rsidR="0096481E" w:rsidRPr="00A63ABC" w:rsidRDefault="0096481E" w:rsidP="0096481E">
      <w:pPr>
        <w:pStyle w:val="Textonotapie"/>
        <w:ind w:left="284" w:hanging="284"/>
        <w:jc w:val="both"/>
        <w:rPr>
          <w:rFonts w:ascii="Arial" w:hAnsi="Arial" w:cs="Arial"/>
          <w:sz w:val="18"/>
          <w:szCs w:val="18"/>
        </w:rPr>
      </w:pPr>
      <w:r w:rsidRPr="00A63ABC">
        <w:rPr>
          <w:rStyle w:val="Refdenotaalpie"/>
          <w:rFonts w:ascii="Arial" w:hAnsi="Arial" w:cs="Arial"/>
          <w:sz w:val="18"/>
          <w:szCs w:val="18"/>
        </w:rPr>
        <w:footnoteRef/>
      </w:r>
      <w:r w:rsidRPr="00A63ABC">
        <w:rPr>
          <w:rFonts w:ascii="Arial" w:hAnsi="Arial" w:cs="Arial"/>
          <w:sz w:val="18"/>
          <w:szCs w:val="18"/>
        </w:rPr>
        <w:t xml:space="preserve">  Fernández Sessarego, Carlos, </w:t>
      </w:r>
      <w:r w:rsidRPr="00A63ABC">
        <w:rPr>
          <w:rFonts w:ascii="Arial" w:hAnsi="Arial" w:cs="Arial"/>
          <w:i/>
          <w:iCs/>
          <w:sz w:val="18"/>
          <w:szCs w:val="18"/>
        </w:rPr>
        <w:t>Derecho</w:t>
      </w:r>
      <w:r w:rsidRPr="00A63ABC">
        <w:rPr>
          <w:rFonts w:ascii="Arial" w:hAnsi="Arial" w:cs="Arial"/>
          <w:i/>
          <w:sz w:val="18"/>
          <w:szCs w:val="18"/>
        </w:rPr>
        <w:t xml:space="preserve"> y persona</w:t>
      </w:r>
      <w:r w:rsidRPr="00A63ABC">
        <w:rPr>
          <w:rFonts w:ascii="Arial" w:hAnsi="Arial" w:cs="Arial"/>
          <w:sz w:val="18"/>
          <w:szCs w:val="18"/>
        </w:rPr>
        <w:t>, quinta edición actualizada y ampliada, Astrea, Buenos Aires, 2015, pp. 57 y ss.</w:t>
      </w:r>
    </w:p>
    <w:p w14:paraId="040578AC" w14:textId="77777777" w:rsidR="0096481E" w:rsidRPr="00A63ABC" w:rsidRDefault="0096481E" w:rsidP="0096481E">
      <w:pPr>
        <w:pStyle w:val="Textonotapie"/>
        <w:ind w:left="284" w:hanging="284"/>
        <w:jc w:val="both"/>
        <w:rPr>
          <w:rFonts w:ascii="Arial" w:hAnsi="Arial" w:cs="Arial"/>
          <w:sz w:val="18"/>
          <w:szCs w:val="18"/>
          <w:lang w:val="es-PE"/>
        </w:rPr>
      </w:pPr>
    </w:p>
  </w:footnote>
  <w:footnote w:id="23">
    <w:p w14:paraId="60F3103C"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Roppo, Vincenzo, </w:t>
      </w:r>
      <w:r w:rsidRPr="00A63ABC">
        <w:rPr>
          <w:rFonts w:ascii="Arial" w:hAnsi="Arial" w:cs="Arial"/>
          <w:i/>
          <w:sz w:val="18"/>
          <w:szCs w:val="18"/>
          <w:lang w:val="it-IT"/>
        </w:rPr>
        <w:t xml:space="preserve"> Diritto della</w:t>
      </w:r>
      <w:r w:rsidRPr="00A63ABC">
        <w:rPr>
          <w:rFonts w:ascii="Arial" w:hAnsi="Arial" w:cs="Arial"/>
          <w:sz w:val="18"/>
          <w:szCs w:val="18"/>
          <w:lang w:val="it-IT"/>
        </w:rPr>
        <w:t xml:space="preserve"> </w:t>
      </w:r>
      <w:r w:rsidRPr="00A63ABC">
        <w:rPr>
          <w:rFonts w:ascii="Arial" w:hAnsi="Arial" w:cs="Arial"/>
          <w:i/>
          <w:sz w:val="18"/>
          <w:szCs w:val="18"/>
          <w:lang w:val="it-IT"/>
        </w:rPr>
        <w:t>personalità, diritto alla identità personale e sistema dell’informazione. Quale modello di politica del Diritto?</w:t>
      </w:r>
      <w:r w:rsidRPr="00A63ABC">
        <w:rPr>
          <w:rFonts w:ascii="Arial" w:hAnsi="Arial" w:cs="Arial"/>
          <w:sz w:val="18"/>
          <w:szCs w:val="18"/>
          <w:lang w:val="it-IT"/>
        </w:rPr>
        <w:t xml:space="preserve">,  en:  AA.VV.,  </w:t>
      </w:r>
      <w:r w:rsidRPr="00A63ABC">
        <w:rPr>
          <w:rFonts w:ascii="Arial" w:hAnsi="Arial" w:cs="Arial"/>
          <w:i/>
          <w:sz w:val="18"/>
          <w:szCs w:val="18"/>
          <w:lang w:val="it-IT"/>
        </w:rPr>
        <w:t>L’informazione e  i diritti della persona</w:t>
      </w:r>
      <w:r w:rsidRPr="00A63ABC">
        <w:rPr>
          <w:rFonts w:ascii="Arial" w:hAnsi="Arial" w:cs="Arial"/>
          <w:sz w:val="18"/>
          <w:szCs w:val="18"/>
          <w:lang w:val="it-IT"/>
        </w:rPr>
        <w:t>,  Jovene Editore,  Nápoles, 1983, p. 29.</w:t>
      </w:r>
    </w:p>
    <w:p w14:paraId="67C2BF03" w14:textId="77777777" w:rsidR="0096481E" w:rsidRPr="00A63ABC" w:rsidRDefault="0096481E" w:rsidP="0096481E">
      <w:pPr>
        <w:pStyle w:val="Textonotapie"/>
        <w:rPr>
          <w:rFonts w:ascii="Arial" w:hAnsi="Arial" w:cs="Arial"/>
          <w:sz w:val="18"/>
          <w:szCs w:val="18"/>
          <w:lang w:val="it-IT"/>
        </w:rPr>
      </w:pPr>
    </w:p>
  </w:footnote>
  <w:footnote w:id="24">
    <w:p w14:paraId="3526C18A"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Zeno-Zencovich, Vincenzo, </w:t>
      </w:r>
      <w:r w:rsidRPr="00A63ABC">
        <w:rPr>
          <w:rFonts w:ascii="Arial" w:hAnsi="Arial" w:cs="Arial"/>
          <w:i/>
          <w:sz w:val="18"/>
          <w:szCs w:val="18"/>
          <w:lang w:val="it-IT"/>
        </w:rPr>
        <w:t>I diritti della personalità</w:t>
      </w:r>
      <w:r w:rsidRPr="00A63ABC">
        <w:rPr>
          <w:rFonts w:ascii="Arial" w:hAnsi="Arial" w:cs="Arial"/>
          <w:sz w:val="18"/>
          <w:szCs w:val="18"/>
          <w:lang w:val="it-IT"/>
        </w:rPr>
        <w:t xml:space="preserve">, en: </w:t>
      </w:r>
      <w:r w:rsidRPr="00A63ABC">
        <w:rPr>
          <w:rFonts w:ascii="Arial" w:hAnsi="Arial" w:cs="Arial"/>
          <w:i/>
          <w:sz w:val="18"/>
          <w:szCs w:val="18"/>
          <w:lang w:val="it-IT"/>
        </w:rPr>
        <w:t>Diritto civile</w:t>
      </w:r>
      <w:r w:rsidRPr="00A63ABC">
        <w:rPr>
          <w:rFonts w:ascii="Arial" w:hAnsi="Arial" w:cs="Arial"/>
          <w:sz w:val="18"/>
          <w:szCs w:val="18"/>
          <w:lang w:val="it-IT"/>
        </w:rPr>
        <w:t xml:space="preserve">, dirigido por Nicoló Lipari y Pietro Rescigno, coordinado por Andrea Zoppini, volumen I: </w:t>
      </w:r>
      <w:r w:rsidRPr="00A63ABC">
        <w:rPr>
          <w:rFonts w:ascii="Arial" w:hAnsi="Arial" w:cs="Arial"/>
          <w:i/>
          <w:sz w:val="18"/>
          <w:szCs w:val="18"/>
          <w:lang w:val="it-IT"/>
        </w:rPr>
        <w:t>Fonti, soggetti, famiglia, Le fonti e i soggetti</w:t>
      </w:r>
      <w:r w:rsidRPr="00A63ABC">
        <w:rPr>
          <w:rFonts w:ascii="Arial" w:hAnsi="Arial" w:cs="Arial"/>
          <w:sz w:val="18"/>
          <w:szCs w:val="18"/>
          <w:lang w:val="it-IT"/>
        </w:rPr>
        <w:t>, Giuffrè editore, Milán, 2009, p. 535 y ss.</w:t>
      </w:r>
    </w:p>
    <w:p w14:paraId="2ADB90BE"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25">
    <w:p w14:paraId="444C990C"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Perlingieri, Pietro, </w:t>
      </w:r>
      <w:r w:rsidRPr="00A63ABC">
        <w:rPr>
          <w:rFonts w:ascii="Arial" w:hAnsi="Arial" w:cs="Arial"/>
          <w:i/>
          <w:sz w:val="18"/>
          <w:szCs w:val="18"/>
          <w:lang w:val="it-IT"/>
        </w:rPr>
        <w:t>La personalità umana nell’ordinamento giuridico</w:t>
      </w:r>
      <w:r w:rsidRPr="00A63ABC">
        <w:rPr>
          <w:rFonts w:ascii="Arial" w:hAnsi="Arial" w:cs="Arial"/>
          <w:sz w:val="18"/>
          <w:szCs w:val="18"/>
          <w:lang w:val="it-IT"/>
        </w:rPr>
        <w:t>, reimpresión, Università degli Studi di Camerino- Edizioni Scientifiche Italiane, Nápoles, 1982, p. 272.</w:t>
      </w:r>
    </w:p>
    <w:p w14:paraId="49983AE6" w14:textId="77777777" w:rsidR="0096481E" w:rsidRPr="00A63ABC" w:rsidRDefault="0096481E" w:rsidP="0096481E">
      <w:pPr>
        <w:pStyle w:val="Textonotapie"/>
        <w:ind w:left="284" w:hanging="284"/>
        <w:jc w:val="both"/>
        <w:rPr>
          <w:rFonts w:ascii="Arial" w:hAnsi="Arial" w:cs="Arial"/>
          <w:sz w:val="18"/>
          <w:szCs w:val="18"/>
          <w:lang w:val="it-IT"/>
        </w:rPr>
      </w:pPr>
    </w:p>
  </w:footnote>
  <w:footnote w:id="26">
    <w:p w14:paraId="701865B7"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Alpa Guido y Resta, Giorgio, </w:t>
      </w:r>
      <w:r w:rsidRPr="00A63ABC">
        <w:rPr>
          <w:rFonts w:ascii="Arial" w:hAnsi="Arial" w:cs="Arial"/>
          <w:i/>
          <w:sz w:val="18"/>
          <w:szCs w:val="18"/>
          <w:lang w:val="it-IT"/>
        </w:rPr>
        <w:t>Le persone fisiche e i diritti della personalità</w:t>
      </w:r>
      <w:r w:rsidRPr="00A63ABC">
        <w:rPr>
          <w:rFonts w:ascii="Arial" w:hAnsi="Arial" w:cs="Arial"/>
          <w:sz w:val="18"/>
          <w:szCs w:val="18"/>
          <w:lang w:val="it-IT"/>
        </w:rPr>
        <w:t>, segunda edición, Utet Giuridica-Wolters Kluwer, Milán, 2019, pp. 191 y ss.</w:t>
      </w:r>
    </w:p>
    <w:p w14:paraId="7303075A" w14:textId="77777777" w:rsidR="0096481E" w:rsidRPr="00A63ABC" w:rsidRDefault="0096481E" w:rsidP="0096481E">
      <w:pPr>
        <w:pStyle w:val="Textonotapie"/>
        <w:ind w:left="284" w:hanging="284"/>
        <w:jc w:val="both"/>
        <w:rPr>
          <w:rFonts w:ascii="Arial" w:hAnsi="Arial" w:cs="Arial"/>
          <w:sz w:val="18"/>
          <w:szCs w:val="18"/>
          <w:lang w:val="it-IT"/>
        </w:rPr>
      </w:pPr>
    </w:p>
  </w:footnote>
  <w:footnote w:id="27">
    <w:p w14:paraId="563DFADC"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Alpa, Guido y Resta, Giorgio, </w:t>
      </w:r>
      <w:r w:rsidRPr="00A63ABC">
        <w:rPr>
          <w:rFonts w:ascii="Arial" w:hAnsi="Arial" w:cs="Arial"/>
          <w:i/>
          <w:sz w:val="18"/>
          <w:szCs w:val="18"/>
          <w:lang w:val="it-IT"/>
        </w:rPr>
        <w:t>Le persona fisiche e i diritti della personalità</w:t>
      </w:r>
      <w:r w:rsidRPr="00A63ABC">
        <w:rPr>
          <w:rFonts w:ascii="Arial" w:hAnsi="Arial" w:cs="Arial"/>
          <w:sz w:val="18"/>
          <w:szCs w:val="18"/>
          <w:lang w:val="it-IT"/>
        </w:rPr>
        <w:t>,  p. 215  y ss.</w:t>
      </w:r>
    </w:p>
    <w:p w14:paraId="22CDAACE" w14:textId="77777777" w:rsidR="0096481E" w:rsidRPr="00A63ABC" w:rsidRDefault="0096481E" w:rsidP="0096481E">
      <w:pPr>
        <w:pStyle w:val="Textonotapie"/>
        <w:jc w:val="both"/>
        <w:rPr>
          <w:rFonts w:ascii="Arial" w:hAnsi="Arial" w:cs="Arial"/>
          <w:sz w:val="18"/>
          <w:szCs w:val="18"/>
          <w:lang w:val="it-IT"/>
        </w:rPr>
      </w:pPr>
    </w:p>
  </w:footnote>
  <w:footnote w:id="28">
    <w:p w14:paraId="471E755B"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Dogliotti, Massimo, </w:t>
      </w:r>
      <w:r w:rsidRPr="00A63ABC">
        <w:rPr>
          <w:rFonts w:ascii="Arial" w:hAnsi="Arial" w:cs="Arial"/>
          <w:i/>
          <w:sz w:val="18"/>
          <w:szCs w:val="18"/>
          <w:lang w:val="it-IT"/>
        </w:rPr>
        <w:t>I. Le persone  fisiche</w:t>
      </w:r>
      <w:r w:rsidRPr="00A63ABC">
        <w:rPr>
          <w:rFonts w:ascii="Arial" w:hAnsi="Arial" w:cs="Arial"/>
          <w:sz w:val="18"/>
          <w:szCs w:val="18"/>
          <w:lang w:val="it-IT"/>
        </w:rPr>
        <w:t xml:space="preserve">, en: </w:t>
      </w:r>
      <w:r w:rsidRPr="00A63ABC">
        <w:rPr>
          <w:rFonts w:ascii="Arial" w:hAnsi="Arial" w:cs="Arial"/>
          <w:i/>
          <w:sz w:val="18"/>
          <w:szCs w:val="18"/>
          <w:lang w:val="it-IT"/>
        </w:rPr>
        <w:t>Trattato di Diritto Privato</w:t>
      </w:r>
      <w:r w:rsidRPr="00A63ABC">
        <w:rPr>
          <w:rFonts w:ascii="Arial" w:hAnsi="Arial" w:cs="Arial"/>
          <w:sz w:val="18"/>
          <w:szCs w:val="18"/>
          <w:lang w:val="it-IT"/>
        </w:rPr>
        <w:t>,  diretto da Pietro Rescigno, tomo primo 2. Persona e famiglia,  segunda edición, Utet, Turín, 1999, p. 177.</w:t>
      </w:r>
    </w:p>
    <w:p w14:paraId="7688F9B3" w14:textId="77777777" w:rsidR="0096481E" w:rsidRPr="00A63ABC" w:rsidRDefault="0096481E" w:rsidP="0096481E">
      <w:pPr>
        <w:pStyle w:val="Textonotapie"/>
        <w:jc w:val="both"/>
        <w:rPr>
          <w:rFonts w:ascii="Arial" w:hAnsi="Arial" w:cs="Arial"/>
          <w:sz w:val="18"/>
          <w:szCs w:val="18"/>
          <w:lang w:val="it-IT"/>
        </w:rPr>
      </w:pPr>
    </w:p>
  </w:footnote>
  <w:footnote w:id="29">
    <w:p w14:paraId="7FE03977"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Ondei, Emilio,  </w:t>
      </w:r>
      <w:r w:rsidRPr="00A63ABC">
        <w:rPr>
          <w:rFonts w:ascii="Arial" w:hAnsi="Arial" w:cs="Arial"/>
          <w:i/>
          <w:sz w:val="18"/>
          <w:szCs w:val="18"/>
          <w:lang w:val="it-IT"/>
        </w:rPr>
        <w:t>Le persone fisiche e i diritti della personalitá</w:t>
      </w:r>
      <w:r w:rsidRPr="00A63ABC">
        <w:rPr>
          <w:rFonts w:ascii="Arial" w:hAnsi="Arial" w:cs="Arial"/>
          <w:sz w:val="18"/>
          <w:szCs w:val="18"/>
          <w:lang w:val="it-IT"/>
        </w:rPr>
        <w:t>, Unione Tipografico-Editrice Torinese, Turín, 1965, p.348.</w:t>
      </w:r>
    </w:p>
    <w:p w14:paraId="58098ABB" w14:textId="77777777" w:rsidR="0096481E" w:rsidRPr="00A63ABC" w:rsidRDefault="0096481E" w:rsidP="0096481E">
      <w:pPr>
        <w:pStyle w:val="Textonotapie"/>
        <w:ind w:left="284" w:hanging="284"/>
        <w:jc w:val="both"/>
        <w:rPr>
          <w:rFonts w:ascii="Arial" w:hAnsi="Arial" w:cs="Arial"/>
          <w:sz w:val="18"/>
          <w:szCs w:val="18"/>
          <w:lang w:val="it-IT"/>
        </w:rPr>
      </w:pPr>
    </w:p>
  </w:footnote>
  <w:footnote w:id="30">
    <w:p w14:paraId="011C158F"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Perlingieri, Pietro, </w:t>
      </w:r>
      <w:r w:rsidRPr="00A63ABC">
        <w:rPr>
          <w:rFonts w:ascii="Arial" w:hAnsi="Arial" w:cs="Arial"/>
          <w:i/>
          <w:sz w:val="18"/>
          <w:szCs w:val="18"/>
          <w:lang w:val="it-IT"/>
        </w:rPr>
        <w:t>Profili del diritto civile</w:t>
      </w:r>
      <w:r w:rsidRPr="00A63ABC">
        <w:rPr>
          <w:rFonts w:ascii="Arial" w:hAnsi="Arial" w:cs="Arial"/>
          <w:sz w:val="18"/>
          <w:szCs w:val="18"/>
          <w:lang w:val="it-IT"/>
        </w:rPr>
        <w:t>, tercera edición revisada y ampliada, Edizioni Scientifiche Italiane, Nápoles, 1994, p. 162.</w:t>
      </w:r>
    </w:p>
    <w:p w14:paraId="2D73B876" w14:textId="77777777" w:rsidR="0096481E" w:rsidRPr="00A63ABC" w:rsidRDefault="0096481E" w:rsidP="0096481E">
      <w:pPr>
        <w:pStyle w:val="Textonotapie"/>
        <w:rPr>
          <w:rFonts w:ascii="Arial" w:hAnsi="Arial" w:cs="Arial"/>
          <w:sz w:val="18"/>
          <w:szCs w:val="18"/>
          <w:lang w:val="it-IT"/>
        </w:rPr>
      </w:pPr>
    </w:p>
  </w:footnote>
  <w:footnote w:id="31">
    <w:p w14:paraId="4B785278"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Perlingieri, Pietro, </w:t>
      </w:r>
      <w:r w:rsidRPr="00A63ABC">
        <w:rPr>
          <w:rFonts w:ascii="Arial" w:hAnsi="Arial" w:cs="Arial"/>
          <w:i/>
          <w:sz w:val="18"/>
          <w:szCs w:val="18"/>
          <w:lang w:val="it-IT"/>
        </w:rPr>
        <w:t>Il diritto civile nella legalità costituzionale</w:t>
      </w:r>
      <w:r w:rsidRPr="00A63ABC">
        <w:rPr>
          <w:rFonts w:ascii="Arial" w:hAnsi="Arial" w:cs="Arial"/>
          <w:sz w:val="18"/>
          <w:szCs w:val="18"/>
          <w:lang w:val="it-IT"/>
        </w:rPr>
        <w:t>, segunda edición revisada e integrada, Edizioni Scientifiche Italiane, Nápoles, 1991,  p. 392.</w:t>
      </w:r>
    </w:p>
    <w:p w14:paraId="6200B57F" w14:textId="77777777" w:rsidR="0096481E" w:rsidRPr="00A63ABC" w:rsidRDefault="0096481E" w:rsidP="0096481E">
      <w:pPr>
        <w:pStyle w:val="Textonotapie"/>
        <w:rPr>
          <w:rFonts w:ascii="Arial" w:hAnsi="Arial" w:cs="Arial"/>
          <w:sz w:val="18"/>
          <w:szCs w:val="18"/>
          <w:lang w:val="it-IT"/>
        </w:rPr>
      </w:pPr>
    </w:p>
  </w:footnote>
  <w:footnote w:id="32">
    <w:p w14:paraId="503FC0DF"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Alpa, Guido y Resta, Giorgio, </w:t>
      </w:r>
      <w:r w:rsidRPr="00A63ABC">
        <w:rPr>
          <w:rFonts w:ascii="Arial" w:hAnsi="Arial" w:cs="Arial"/>
          <w:i/>
          <w:sz w:val="18"/>
          <w:szCs w:val="18"/>
          <w:lang w:val="it-IT"/>
        </w:rPr>
        <w:t>Le persona fisiche e i diritti della personalità</w:t>
      </w:r>
      <w:r w:rsidRPr="00A63ABC">
        <w:rPr>
          <w:rFonts w:ascii="Arial" w:hAnsi="Arial" w:cs="Arial"/>
          <w:sz w:val="18"/>
          <w:szCs w:val="18"/>
          <w:lang w:val="it-IT"/>
        </w:rPr>
        <w:t>, p. 215  y ss.</w:t>
      </w:r>
    </w:p>
    <w:p w14:paraId="38D70EE4"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33">
    <w:p w14:paraId="2D631F8A"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Dogliotti, Massimo, </w:t>
      </w:r>
      <w:r w:rsidRPr="00A63ABC">
        <w:rPr>
          <w:rFonts w:ascii="Arial" w:hAnsi="Arial" w:cs="Arial"/>
          <w:i/>
          <w:sz w:val="18"/>
          <w:szCs w:val="18"/>
          <w:lang w:val="it-IT"/>
        </w:rPr>
        <w:t>I. Le persone fisiche</w:t>
      </w:r>
      <w:r w:rsidRPr="00A63ABC">
        <w:rPr>
          <w:rFonts w:ascii="Arial" w:hAnsi="Arial" w:cs="Arial"/>
          <w:sz w:val="18"/>
          <w:szCs w:val="18"/>
          <w:lang w:val="it-IT"/>
        </w:rPr>
        <w:t>, p. 177.</w:t>
      </w:r>
    </w:p>
    <w:p w14:paraId="4EBDBB63"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34">
    <w:p w14:paraId="5FCA9F07"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Palladino, Alfonso; De Mattia, Angelo y Galli, Guido, </w:t>
      </w:r>
      <w:r w:rsidRPr="00A63ABC">
        <w:rPr>
          <w:rFonts w:ascii="Arial" w:hAnsi="Arial" w:cs="Arial"/>
          <w:i/>
          <w:sz w:val="18"/>
          <w:szCs w:val="18"/>
          <w:lang w:val="it-IT"/>
        </w:rPr>
        <w:t>Il diritto alla riservatezza</w:t>
      </w:r>
      <w:r w:rsidRPr="00A63ABC">
        <w:rPr>
          <w:rFonts w:ascii="Arial" w:hAnsi="Arial" w:cs="Arial"/>
          <w:sz w:val="18"/>
          <w:szCs w:val="18"/>
          <w:lang w:val="it-IT"/>
        </w:rPr>
        <w:t>,  Giuffrè editore, Milán,  1963, p. 37.</w:t>
      </w:r>
    </w:p>
    <w:p w14:paraId="7B43B61E" w14:textId="77777777" w:rsidR="0096481E" w:rsidRPr="00A63ABC" w:rsidRDefault="0096481E" w:rsidP="0096481E">
      <w:pPr>
        <w:pStyle w:val="Textonotapie"/>
        <w:rPr>
          <w:rFonts w:ascii="Arial" w:hAnsi="Arial" w:cs="Arial"/>
          <w:sz w:val="18"/>
          <w:szCs w:val="18"/>
          <w:lang w:val="it-IT"/>
        </w:rPr>
      </w:pPr>
    </w:p>
  </w:footnote>
  <w:footnote w:id="35">
    <w:p w14:paraId="6FAE9049"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De Cupis, Adriano, </w:t>
      </w:r>
      <w:r w:rsidRPr="00A63ABC">
        <w:rPr>
          <w:rFonts w:ascii="Arial" w:hAnsi="Arial" w:cs="Arial"/>
          <w:i/>
          <w:sz w:val="18"/>
          <w:szCs w:val="18"/>
          <w:lang w:val="it-IT"/>
        </w:rPr>
        <w:t>I  diritti della personalità</w:t>
      </w:r>
      <w:r w:rsidRPr="00A63ABC">
        <w:rPr>
          <w:rFonts w:ascii="Arial" w:hAnsi="Arial" w:cs="Arial"/>
          <w:sz w:val="18"/>
          <w:szCs w:val="18"/>
          <w:lang w:val="it-IT"/>
        </w:rPr>
        <w:t>,  segunda edición revisada y actualizada, Giuffrè editore, Milán, 1982, p. 283.</w:t>
      </w:r>
    </w:p>
    <w:p w14:paraId="16E2363C" w14:textId="77777777" w:rsidR="0096481E" w:rsidRPr="00A63ABC" w:rsidRDefault="0096481E" w:rsidP="0096481E">
      <w:pPr>
        <w:pStyle w:val="Textonotapie"/>
        <w:rPr>
          <w:rFonts w:ascii="Arial" w:hAnsi="Arial" w:cs="Arial"/>
          <w:sz w:val="18"/>
          <w:szCs w:val="18"/>
          <w:lang w:val="it-IT"/>
        </w:rPr>
      </w:pPr>
    </w:p>
  </w:footnote>
  <w:footnote w:id="36">
    <w:p w14:paraId="7F475D0E" w14:textId="77777777" w:rsidR="0096481E" w:rsidRPr="00A63ABC" w:rsidRDefault="0096481E" w:rsidP="0096481E">
      <w:pPr>
        <w:pStyle w:val="Textonotapie"/>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Caterina, Raffaele, </w:t>
      </w:r>
      <w:r w:rsidRPr="00A63ABC">
        <w:rPr>
          <w:rFonts w:ascii="Arial" w:hAnsi="Arial" w:cs="Arial"/>
          <w:i/>
          <w:sz w:val="18"/>
          <w:szCs w:val="18"/>
          <w:lang w:val="it-IT"/>
        </w:rPr>
        <w:t>Le persone fisiche</w:t>
      </w:r>
      <w:r w:rsidRPr="00A63ABC">
        <w:rPr>
          <w:rFonts w:ascii="Arial" w:hAnsi="Arial" w:cs="Arial"/>
          <w:sz w:val="18"/>
          <w:szCs w:val="18"/>
          <w:lang w:val="it-IT"/>
        </w:rPr>
        <w:t xml:space="preserve">,  tercera edición, G. Giappichelli editore,  Turín, 2019,  p. 148. </w:t>
      </w:r>
    </w:p>
    <w:p w14:paraId="6FC9EA4E" w14:textId="77777777" w:rsidR="0096481E" w:rsidRPr="00A63ABC" w:rsidRDefault="0096481E" w:rsidP="0096481E">
      <w:pPr>
        <w:pStyle w:val="Textonotapie"/>
        <w:rPr>
          <w:rFonts w:ascii="Arial" w:hAnsi="Arial" w:cs="Arial"/>
          <w:sz w:val="18"/>
          <w:szCs w:val="18"/>
          <w:lang w:val="it-IT"/>
        </w:rPr>
      </w:pPr>
    </w:p>
  </w:footnote>
  <w:footnote w:id="37">
    <w:p w14:paraId="302E94DE"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Paradiso, Massimo, </w:t>
      </w:r>
      <w:r w:rsidRPr="00A63ABC">
        <w:rPr>
          <w:rFonts w:ascii="Arial" w:hAnsi="Arial" w:cs="Arial"/>
          <w:i/>
          <w:sz w:val="18"/>
          <w:szCs w:val="18"/>
          <w:lang w:val="it-IT"/>
        </w:rPr>
        <w:t>Corso di Istituzioni di Diritto Privato</w:t>
      </w:r>
      <w:r w:rsidRPr="00A63ABC">
        <w:rPr>
          <w:rFonts w:ascii="Arial" w:hAnsi="Arial" w:cs="Arial"/>
          <w:sz w:val="18"/>
          <w:szCs w:val="18"/>
          <w:lang w:val="it-IT"/>
        </w:rPr>
        <w:t xml:space="preserve">, décima primera  edición, G.Giappichelli Editore, Turín, 2020, p. 139. </w:t>
      </w:r>
    </w:p>
    <w:p w14:paraId="0611DD19" w14:textId="77777777" w:rsidR="0096481E" w:rsidRPr="00A63ABC" w:rsidRDefault="0096481E" w:rsidP="0096481E">
      <w:pPr>
        <w:pStyle w:val="Textonotapie"/>
        <w:ind w:left="284" w:hanging="284"/>
        <w:jc w:val="both"/>
        <w:rPr>
          <w:rFonts w:ascii="Arial" w:hAnsi="Arial" w:cs="Arial"/>
          <w:sz w:val="18"/>
          <w:szCs w:val="18"/>
          <w:lang w:val="it-IT"/>
        </w:rPr>
      </w:pPr>
    </w:p>
  </w:footnote>
  <w:footnote w:id="38">
    <w:p w14:paraId="765BB064"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Sobre el particular, Dogliotti, Massimo, </w:t>
      </w:r>
      <w:r w:rsidRPr="00A63ABC">
        <w:rPr>
          <w:rFonts w:ascii="Arial" w:hAnsi="Arial" w:cs="Arial"/>
          <w:i/>
          <w:sz w:val="18"/>
          <w:szCs w:val="18"/>
          <w:lang w:val="it-IT"/>
        </w:rPr>
        <w:t>I.</w:t>
      </w:r>
      <w:r w:rsidRPr="00A63ABC">
        <w:rPr>
          <w:rFonts w:ascii="Arial" w:hAnsi="Arial" w:cs="Arial"/>
          <w:sz w:val="18"/>
          <w:szCs w:val="18"/>
          <w:lang w:val="it-IT"/>
        </w:rPr>
        <w:t xml:space="preserve"> </w:t>
      </w:r>
      <w:r w:rsidRPr="00A63ABC">
        <w:rPr>
          <w:rFonts w:ascii="Arial" w:hAnsi="Arial" w:cs="Arial"/>
          <w:i/>
          <w:sz w:val="18"/>
          <w:szCs w:val="18"/>
          <w:lang w:val="it-IT"/>
        </w:rPr>
        <w:t>Le persone fisiche</w:t>
      </w:r>
      <w:r w:rsidRPr="00A63ABC">
        <w:rPr>
          <w:rFonts w:ascii="Arial" w:hAnsi="Arial" w:cs="Arial"/>
          <w:sz w:val="18"/>
          <w:szCs w:val="18"/>
          <w:lang w:val="it-IT"/>
        </w:rPr>
        <w:t>, p. 143.</w:t>
      </w:r>
    </w:p>
    <w:p w14:paraId="368AE1E4"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39">
    <w:p w14:paraId="0908C185"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n-US"/>
        </w:rPr>
        <w:t xml:space="preserve"> </w:t>
      </w:r>
      <w:r w:rsidRPr="00A63ABC">
        <w:rPr>
          <w:rFonts w:ascii="Arial" w:hAnsi="Arial" w:cs="Arial"/>
          <w:sz w:val="18"/>
          <w:szCs w:val="18"/>
          <w:lang w:val="en-US"/>
        </w:rPr>
        <w:tab/>
        <w:t xml:space="preserve">Warren, Samuel D. y Brandeis, Louis B., </w:t>
      </w:r>
      <w:r w:rsidRPr="00A63ABC">
        <w:rPr>
          <w:rFonts w:ascii="Arial" w:hAnsi="Arial" w:cs="Arial"/>
          <w:i/>
          <w:sz w:val="18"/>
          <w:szCs w:val="18"/>
          <w:lang w:val="en-US"/>
        </w:rPr>
        <w:t>The right of privacy</w:t>
      </w:r>
      <w:r w:rsidRPr="00A63ABC">
        <w:rPr>
          <w:rFonts w:ascii="Arial" w:hAnsi="Arial" w:cs="Arial"/>
          <w:sz w:val="18"/>
          <w:szCs w:val="18"/>
          <w:lang w:val="en-US"/>
        </w:rPr>
        <w:t xml:space="preserve">, en: Harvard Law Review, volumen IV, nº 5, 1890. </w:t>
      </w:r>
      <w:r w:rsidRPr="00A63ABC">
        <w:rPr>
          <w:rFonts w:ascii="Arial" w:hAnsi="Arial" w:cs="Arial"/>
          <w:sz w:val="18"/>
          <w:szCs w:val="18"/>
          <w:lang w:val="es-PE"/>
        </w:rPr>
        <w:t>Se ha utilizado la versión publicada por Quid Pro Books, Nueva Orleans, 2015, pp. 1 y ss.</w:t>
      </w:r>
    </w:p>
    <w:p w14:paraId="2FF4CF0E"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40">
    <w:p w14:paraId="5DB8075A"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No obstante, es necesario indicar que diez años antes de la aparición del famoso ensayo de Warren y Brandeis, es decir, en 1880, Joseph Kohler (9 de marzo de 1849 – 3 de agosto de 1919), un reconocido jurista alemán, hiciera alusión a “</w:t>
      </w:r>
      <w:r w:rsidRPr="00A63ABC">
        <w:rPr>
          <w:rFonts w:ascii="Arial" w:hAnsi="Arial" w:cs="Arial"/>
          <w:i/>
          <w:sz w:val="18"/>
          <w:szCs w:val="18"/>
          <w:lang w:val="es-PE"/>
        </w:rPr>
        <w:t>un derecho individual que protege el secreto de la vida íntima de la publicidad no autorizada</w:t>
      </w:r>
      <w:r w:rsidRPr="00A63ABC">
        <w:rPr>
          <w:rFonts w:ascii="Arial" w:hAnsi="Arial" w:cs="Arial"/>
          <w:sz w:val="18"/>
          <w:szCs w:val="18"/>
          <w:lang w:val="es-PE"/>
        </w:rPr>
        <w:t>”: Auletta, Tommaso A.,</w:t>
      </w:r>
      <w:r w:rsidRPr="00A63ABC">
        <w:rPr>
          <w:rFonts w:ascii="Arial" w:hAnsi="Arial" w:cs="Arial"/>
          <w:i/>
          <w:sz w:val="18"/>
          <w:szCs w:val="18"/>
          <w:lang w:val="es-PE"/>
        </w:rPr>
        <w:t xml:space="preserve"> Riservatezza e tutela della personalità</w:t>
      </w:r>
      <w:r w:rsidRPr="00A63ABC">
        <w:rPr>
          <w:rFonts w:ascii="Arial" w:hAnsi="Arial" w:cs="Arial"/>
          <w:sz w:val="18"/>
          <w:szCs w:val="18"/>
          <w:lang w:val="es-PE"/>
        </w:rPr>
        <w:t>, Giuffrè editore, Milán, 1978, p. 26.</w:t>
      </w:r>
    </w:p>
    <w:p w14:paraId="77FEFB88"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41">
    <w:p w14:paraId="0C048992"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Ferrara Santamaria, Massimo, </w:t>
      </w:r>
      <w:r w:rsidRPr="00A63ABC">
        <w:rPr>
          <w:rFonts w:ascii="Arial" w:hAnsi="Arial" w:cs="Arial"/>
          <w:i/>
          <w:sz w:val="18"/>
          <w:szCs w:val="18"/>
          <w:lang w:val="it-IT"/>
        </w:rPr>
        <w:t>Il diritto alla illesa intimità privata</w:t>
      </w:r>
      <w:r w:rsidRPr="00A63ABC">
        <w:rPr>
          <w:rFonts w:ascii="Arial" w:hAnsi="Arial" w:cs="Arial"/>
          <w:sz w:val="18"/>
          <w:szCs w:val="18"/>
          <w:lang w:val="it-IT"/>
        </w:rPr>
        <w:t xml:space="preserve">, en:  Rivista di Diritto Privato, volumen VII, primera parte, Cedam, Padua, 1937, p.  169. </w:t>
      </w:r>
    </w:p>
    <w:p w14:paraId="251E4E94" w14:textId="77777777" w:rsidR="0096481E" w:rsidRPr="00A63ABC" w:rsidRDefault="0096481E" w:rsidP="0096481E">
      <w:pPr>
        <w:pStyle w:val="Textonotapie"/>
        <w:ind w:left="284" w:hanging="284"/>
        <w:jc w:val="both"/>
        <w:rPr>
          <w:rFonts w:ascii="Arial" w:hAnsi="Arial" w:cs="Arial"/>
          <w:sz w:val="18"/>
          <w:szCs w:val="18"/>
          <w:lang w:val="it-IT"/>
        </w:rPr>
      </w:pPr>
    </w:p>
  </w:footnote>
  <w:footnote w:id="42">
    <w:p w14:paraId="16B94182"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Carnelutti, Francesco, </w:t>
      </w:r>
      <w:r w:rsidRPr="00A63ABC">
        <w:rPr>
          <w:rFonts w:ascii="Arial" w:hAnsi="Arial" w:cs="Arial"/>
          <w:i/>
          <w:sz w:val="18"/>
          <w:szCs w:val="18"/>
          <w:lang w:val="it-IT"/>
        </w:rPr>
        <w:t>Diritto alla vita privata (contributo alla teoria della libertà di stampa)</w:t>
      </w:r>
      <w:r w:rsidRPr="00A63ABC">
        <w:rPr>
          <w:rFonts w:ascii="Arial" w:hAnsi="Arial" w:cs="Arial"/>
          <w:sz w:val="18"/>
          <w:szCs w:val="18"/>
          <w:lang w:val="it-IT"/>
        </w:rPr>
        <w:t>, en:  Rivista Trimestrale di Diritto Pubblico, año V, Giuffrè Editore, Milán, 1955, pp. 5-6.</w:t>
      </w:r>
    </w:p>
    <w:p w14:paraId="5C12E57A" w14:textId="77777777" w:rsidR="0096481E" w:rsidRPr="00A63ABC" w:rsidRDefault="0096481E" w:rsidP="0096481E">
      <w:pPr>
        <w:pStyle w:val="Textonotapie"/>
        <w:ind w:left="284" w:hanging="284"/>
        <w:jc w:val="both"/>
        <w:rPr>
          <w:rFonts w:ascii="Arial" w:hAnsi="Arial" w:cs="Arial"/>
          <w:sz w:val="18"/>
          <w:szCs w:val="18"/>
          <w:lang w:val="it-IT"/>
        </w:rPr>
      </w:pPr>
    </w:p>
  </w:footnote>
  <w:footnote w:id="43">
    <w:p w14:paraId="5BFA5D93"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Di Majo Giaquinto, Adolfo,  </w:t>
      </w:r>
      <w:r w:rsidRPr="00A63ABC">
        <w:rPr>
          <w:rFonts w:ascii="Arial" w:hAnsi="Arial" w:cs="Arial"/>
          <w:i/>
          <w:sz w:val="18"/>
          <w:szCs w:val="18"/>
          <w:lang w:val="it-IT"/>
        </w:rPr>
        <w:t>Profili dei diritti della  personalità</w:t>
      </w:r>
      <w:r w:rsidRPr="00A63ABC">
        <w:rPr>
          <w:rFonts w:ascii="Arial" w:hAnsi="Arial" w:cs="Arial"/>
          <w:sz w:val="18"/>
          <w:szCs w:val="18"/>
          <w:lang w:val="it-IT"/>
        </w:rPr>
        <w:t xml:space="preserve">,  en: Rivista Trimestrale di Diritto e Procedura Civile, año XVI,  Giuffrè Editore, Milán, 1962, pp. 92-93. </w:t>
      </w:r>
    </w:p>
    <w:p w14:paraId="2EE4AB97" w14:textId="77777777" w:rsidR="0096481E" w:rsidRPr="00A63ABC" w:rsidRDefault="0096481E" w:rsidP="0096481E">
      <w:pPr>
        <w:pStyle w:val="Textonotapie"/>
        <w:rPr>
          <w:rFonts w:ascii="Arial" w:hAnsi="Arial" w:cs="Arial"/>
          <w:sz w:val="18"/>
          <w:szCs w:val="18"/>
          <w:lang w:val="it-IT"/>
        </w:rPr>
      </w:pPr>
    </w:p>
  </w:footnote>
  <w:footnote w:id="44">
    <w:p w14:paraId="15979BDF"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Bessone, Mario, </w:t>
      </w:r>
      <w:r w:rsidRPr="00A63ABC">
        <w:rPr>
          <w:rFonts w:ascii="Arial" w:hAnsi="Arial" w:cs="Arial"/>
          <w:i/>
          <w:sz w:val="18"/>
          <w:szCs w:val="18"/>
          <w:lang w:val="it-IT"/>
        </w:rPr>
        <w:t>Diritti dell personalità</w:t>
      </w:r>
      <w:r w:rsidRPr="00A63ABC">
        <w:rPr>
          <w:rFonts w:ascii="Arial" w:hAnsi="Arial" w:cs="Arial"/>
          <w:sz w:val="18"/>
          <w:szCs w:val="18"/>
          <w:lang w:val="it-IT"/>
        </w:rPr>
        <w:t xml:space="preserve">, </w:t>
      </w:r>
      <w:r w:rsidRPr="00A63ABC">
        <w:rPr>
          <w:rFonts w:ascii="Arial" w:hAnsi="Arial" w:cs="Arial"/>
          <w:i/>
          <w:sz w:val="18"/>
          <w:szCs w:val="18"/>
          <w:lang w:val="it-IT"/>
        </w:rPr>
        <w:t>segreto della vita privata e</w:t>
      </w:r>
      <w:r w:rsidRPr="00A63ABC">
        <w:rPr>
          <w:rFonts w:ascii="Arial" w:hAnsi="Arial" w:cs="Arial"/>
          <w:sz w:val="18"/>
          <w:szCs w:val="18"/>
          <w:lang w:val="it-IT"/>
        </w:rPr>
        <w:t xml:space="preserve"> droit à l’image, en:  Il diritto di famiglia e delle persone,  año VII, Giuffrè Editore, Milán, 1978, p.585.</w:t>
      </w:r>
    </w:p>
    <w:p w14:paraId="74436F95" w14:textId="77777777" w:rsidR="0096481E" w:rsidRPr="00A63ABC" w:rsidRDefault="0096481E" w:rsidP="0096481E">
      <w:pPr>
        <w:pStyle w:val="Textonotapie"/>
        <w:rPr>
          <w:rFonts w:ascii="Arial" w:hAnsi="Arial" w:cs="Arial"/>
          <w:sz w:val="18"/>
          <w:szCs w:val="18"/>
          <w:lang w:val="it-IT"/>
        </w:rPr>
      </w:pPr>
    </w:p>
  </w:footnote>
  <w:footnote w:id="45">
    <w:p w14:paraId="5A1CA276"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Ligi, Franco, </w:t>
      </w:r>
      <w:r w:rsidRPr="00A63ABC">
        <w:rPr>
          <w:rFonts w:ascii="Arial" w:hAnsi="Arial" w:cs="Arial"/>
          <w:i/>
          <w:sz w:val="18"/>
          <w:szCs w:val="18"/>
          <w:lang w:val="it-IT"/>
        </w:rPr>
        <w:t>Contributo allo studio comparato dei diritti della personalità  negli ordinamenti: tedesco, americano, francesse e italiano</w:t>
      </w:r>
      <w:r w:rsidRPr="00A63ABC">
        <w:rPr>
          <w:rFonts w:ascii="Arial" w:hAnsi="Arial" w:cs="Arial"/>
          <w:sz w:val="18"/>
          <w:szCs w:val="18"/>
          <w:lang w:val="it-IT"/>
        </w:rPr>
        <w:t>, en: Annuario di Diritto Comparato e di Studi Legislativi, volumen XXXI, año XXXI, Edizione dell’Istituto Italiano di Studi Legislativi, Roma, 1956, p. 171.</w:t>
      </w:r>
    </w:p>
    <w:p w14:paraId="1791621C" w14:textId="77777777" w:rsidR="0096481E" w:rsidRPr="00A63ABC" w:rsidRDefault="0096481E" w:rsidP="0096481E">
      <w:pPr>
        <w:pStyle w:val="Textonotapie"/>
        <w:ind w:left="284" w:hanging="284"/>
        <w:rPr>
          <w:rFonts w:ascii="Arial" w:hAnsi="Arial" w:cs="Arial"/>
          <w:sz w:val="18"/>
          <w:szCs w:val="18"/>
          <w:lang w:val="it-IT"/>
        </w:rPr>
      </w:pPr>
    </w:p>
  </w:footnote>
  <w:footnote w:id="46">
    <w:p w14:paraId="3F6D8C76"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Giampiccolo, Giorgio, </w:t>
      </w:r>
      <w:r w:rsidRPr="00A63ABC">
        <w:rPr>
          <w:rFonts w:ascii="Arial" w:hAnsi="Arial" w:cs="Arial"/>
          <w:i/>
          <w:sz w:val="18"/>
          <w:szCs w:val="18"/>
          <w:lang w:val="it-IT"/>
        </w:rPr>
        <w:t>La tutela giuridica della persona umana e il c.d. diritto alla riservatezza</w:t>
      </w:r>
      <w:r w:rsidRPr="00A63ABC">
        <w:rPr>
          <w:rFonts w:ascii="Arial" w:hAnsi="Arial" w:cs="Arial"/>
          <w:sz w:val="18"/>
          <w:szCs w:val="18"/>
          <w:lang w:val="it-IT"/>
        </w:rPr>
        <w:t xml:space="preserve">, en: Rivista  Trimestrale di Diritto e Procedura Civile, año XII, Giuffrè Editore, Milán, 1958, </w:t>
      </w:r>
      <w:r w:rsidRPr="00A63ABC">
        <w:rPr>
          <w:rFonts w:ascii="Arial" w:hAnsi="Arial" w:cs="Arial"/>
          <w:i/>
          <w:sz w:val="18"/>
          <w:szCs w:val="18"/>
          <w:lang w:val="it-IT"/>
        </w:rPr>
        <w:t xml:space="preserve"> </w:t>
      </w:r>
      <w:r w:rsidRPr="00A63ABC">
        <w:rPr>
          <w:rFonts w:ascii="Arial" w:hAnsi="Arial" w:cs="Arial"/>
          <w:sz w:val="18"/>
          <w:szCs w:val="18"/>
          <w:lang w:val="it-IT"/>
        </w:rPr>
        <w:t xml:space="preserve">p. 472. </w:t>
      </w:r>
    </w:p>
    <w:p w14:paraId="68B25EDC" w14:textId="77777777" w:rsidR="0096481E" w:rsidRPr="00A63ABC" w:rsidRDefault="0096481E" w:rsidP="0096481E">
      <w:pPr>
        <w:pStyle w:val="Textonotapie"/>
        <w:ind w:left="284" w:hanging="284"/>
        <w:jc w:val="both"/>
        <w:rPr>
          <w:rFonts w:ascii="Arial" w:hAnsi="Arial" w:cs="Arial"/>
          <w:sz w:val="18"/>
          <w:szCs w:val="18"/>
          <w:lang w:val="it-IT"/>
        </w:rPr>
      </w:pPr>
    </w:p>
  </w:footnote>
  <w:footnote w:id="47">
    <w:p w14:paraId="1DEE0F84"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De Cupis, Adriano, </w:t>
      </w:r>
      <w:r w:rsidRPr="00A63ABC">
        <w:rPr>
          <w:rFonts w:ascii="Arial" w:hAnsi="Arial" w:cs="Arial"/>
          <w:i/>
          <w:sz w:val="18"/>
          <w:szCs w:val="18"/>
          <w:lang w:val="it-IT"/>
        </w:rPr>
        <w:t>I diritti della personalità</w:t>
      </w:r>
      <w:r w:rsidRPr="00A63ABC">
        <w:rPr>
          <w:rFonts w:ascii="Arial" w:hAnsi="Arial" w:cs="Arial"/>
          <w:sz w:val="18"/>
          <w:szCs w:val="18"/>
          <w:lang w:val="it-IT"/>
        </w:rPr>
        <w:t xml:space="preserve">, segunda edición revisada y actualizada, Giuffrè editore, Milán, 1982, p. 336. </w:t>
      </w:r>
    </w:p>
    <w:p w14:paraId="50D5FC84" w14:textId="77777777" w:rsidR="0096481E" w:rsidRPr="00A63ABC" w:rsidRDefault="0096481E" w:rsidP="0096481E">
      <w:pPr>
        <w:pStyle w:val="Textonotapie"/>
        <w:ind w:left="284" w:hanging="284"/>
        <w:jc w:val="both"/>
        <w:rPr>
          <w:rFonts w:ascii="Arial" w:hAnsi="Arial" w:cs="Arial"/>
          <w:sz w:val="18"/>
          <w:szCs w:val="18"/>
          <w:lang w:val="it-IT"/>
        </w:rPr>
      </w:pPr>
    </w:p>
  </w:footnote>
  <w:footnote w:id="48">
    <w:p w14:paraId="3C452B52"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Giorganni, Michele, </w:t>
      </w:r>
      <w:r w:rsidRPr="00A63ABC">
        <w:rPr>
          <w:rFonts w:ascii="Arial" w:hAnsi="Arial" w:cs="Arial"/>
          <w:i/>
          <w:sz w:val="18"/>
          <w:szCs w:val="18"/>
          <w:lang w:val="it-IT"/>
        </w:rPr>
        <w:t>La tutela della riservatezza</w:t>
      </w:r>
      <w:r w:rsidRPr="00A63ABC">
        <w:rPr>
          <w:rFonts w:ascii="Arial" w:hAnsi="Arial" w:cs="Arial"/>
          <w:sz w:val="18"/>
          <w:szCs w:val="18"/>
          <w:lang w:val="it-IT"/>
        </w:rPr>
        <w:t xml:space="preserve">, en: </w:t>
      </w:r>
      <w:r w:rsidRPr="00A63ABC">
        <w:rPr>
          <w:rFonts w:ascii="Arial" w:hAnsi="Arial" w:cs="Arial"/>
          <w:i/>
          <w:sz w:val="18"/>
          <w:szCs w:val="18"/>
          <w:lang w:val="it-IT"/>
        </w:rPr>
        <w:t>Il diritto privato nella società moderna</w:t>
      </w:r>
      <w:r w:rsidRPr="00A63ABC">
        <w:rPr>
          <w:rFonts w:ascii="Arial" w:hAnsi="Arial" w:cs="Arial"/>
          <w:sz w:val="18"/>
          <w:szCs w:val="18"/>
          <w:lang w:val="it-IT"/>
        </w:rPr>
        <w:t>,  al cuidado de Stefano Rodotà, Società editrice Il Mulino, Bolonia, 1971, p. 139 y ss.</w:t>
      </w:r>
    </w:p>
    <w:p w14:paraId="449BBAB0" w14:textId="77777777" w:rsidR="0096481E" w:rsidRPr="00A63ABC" w:rsidRDefault="0096481E" w:rsidP="0096481E">
      <w:pPr>
        <w:pStyle w:val="Textonotapie"/>
        <w:ind w:left="284" w:hanging="284"/>
        <w:jc w:val="both"/>
        <w:rPr>
          <w:rFonts w:ascii="Arial" w:hAnsi="Arial" w:cs="Arial"/>
          <w:sz w:val="18"/>
          <w:szCs w:val="18"/>
          <w:lang w:val="it-IT"/>
        </w:rPr>
      </w:pPr>
    </w:p>
  </w:footnote>
  <w:footnote w:id="49">
    <w:p w14:paraId="2555B9DF"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Somma, Alessandro, </w:t>
      </w:r>
      <w:r w:rsidRPr="00A63ABC">
        <w:rPr>
          <w:rFonts w:ascii="Arial" w:hAnsi="Arial" w:cs="Arial"/>
          <w:i/>
          <w:sz w:val="18"/>
          <w:szCs w:val="18"/>
          <w:lang w:val="it-IT"/>
        </w:rPr>
        <w:t>I diritti della personalità  e il diritto generale della</w:t>
      </w:r>
      <w:r w:rsidRPr="00A63ABC">
        <w:rPr>
          <w:rFonts w:ascii="Arial" w:hAnsi="Arial" w:cs="Arial"/>
          <w:sz w:val="18"/>
          <w:szCs w:val="18"/>
          <w:lang w:val="it-IT"/>
        </w:rPr>
        <w:t xml:space="preserve"> </w:t>
      </w:r>
      <w:r w:rsidRPr="00A63ABC">
        <w:rPr>
          <w:rFonts w:ascii="Arial" w:hAnsi="Arial" w:cs="Arial"/>
          <w:i/>
          <w:sz w:val="18"/>
          <w:szCs w:val="18"/>
          <w:lang w:val="it-IT"/>
        </w:rPr>
        <w:t>personalità nell’ordinamento privatistico della Repubblica Federale Tedesca</w:t>
      </w:r>
      <w:r w:rsidRPr="00A63ABC">
        <w:rPr>
          <w:rFonts w:ascii="Arial" w:hAnsi="Arial" w:cs="Arial"/>
          <w:sz w:val="18"/>
          <w:szCs w:val="18"/>
          <w:lang w:val="it-IT"/>
        </w:rPr>
        <w:t xml:space="preserve">, en: </w:t>
      </w:r>
      <w:r w:rsidRPr="00A63ABC">
        <w:rPr>
          <w:rFonts w:ascii="Arial" w:hAnsi="Arial" w:cs="Arial"/>
          <w:i/>
          <w:sz w:val="18"/>
          <w:szCs w:val="18"/>
          <w:lang w:val="it-IT"/>
        </w:rPr>
        <w:t xml:space="preserve"> Rivista Trimestrale di Diritto e Procedura Civile</w:t>
      </w:r>
      <w:r w:rsidRPr="00A63ABC">
        <w:rPr>
          <w:rFonts w:ascii="Arial" w:hAnsi="Arial" w:cs="Arial"/>
          <w:sz w:val="18"/>
          <w:szCs w:val="18"/>
          <w:lang w:val="it-IT"/>
        </w:rPr>
        <w:t xml:space="preserve">, año L,  Giuffrè Editore, Milán, 1996, </w:t>
      </w:r>
      <w:r w:rsidRPr="00A63ABC">
        <w:rPr>
          <w:rFonts w:ascii="Arial" w:hAnsi="Arial" w:cs="Arial"/>
          <w:i/>
          <w:sz w:val="18"/>
          <w:szCs w:val="18"/>
          <w:lang w:val="it-IT"/>
        </w:rPr>
        <w:t xml:space="preserve"> </w:t>
      </w:r>
      <w:r w:rsidRPr="00A63ABC">
        <w:rPr>
          <w:rFonts w:ascii="Arial" w:hAnsi="Arial" w:cs="Arial"/>
          <w:sz w:val="18"/>
          <w:szCs w:val="18"/>
          <w:lang w:val="it-IT"/>
        </w:rPr>
        <w:t>p.  807.</w:t>
      </w:r>
    </w:p>
    <w:p w14:paraId="64C861DF" w14:textId="77777777" w:rsidR="0096481E" w:rsidRPr="00A63ABC" w:rsidRDefault="0096481E" w:rsidP="0096481E">
      <w:pPr>
        <w:pStyle w:val="Textonotapie"/>
        <w:rPr>
          <w:rFonts w:ascii="Arial" w:hAnsi="Arial" w:cs="Arial"/>
          <w:sz w:val="18"/>
          <w:szCs w:val="18"/>
          <w:lang w:val="it-IT"/>
        </w:rPr>
      </w:pPr>
    </w:p>
  </w:footnote>
  <w:footnote w:id="50">
    <w:p w14:paraId="765F9B40"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Rescigno, Pietro, </w:t>
      </w:r>
      <w:r w:rsidRPr="00A63ABC">
        <w:rPr>
          <w:rFonts w:ascii="Arial" w:hAnsi="Arial" w:cs="Arial"/>
          <w:i/>
          <w:sz w:val="18"/>
          <w:szCs w:val="18"/>
          <w:lang w:val="it-IT"/>
        </w:rPr>
        <w:t>Conclusioni</w:t>
      </w:r>
      <w:r w:rsidRPr="00A63ABC">
        <w:rPr>
          <w:rFonts w:ascii="Arial" w:hAnsi="Arial" w:cs="Arial"/>
          <w:sz w:val="18"/>
          <w:szCs w:val="18"/>
          <w:lang w:val="it-IT"/>
        </w:rPr>
        <w:t xml:space="preserve">, en Alpa, Guido; Bessone, Mario y Boneschi, Luca (directores), </w:t>
      </w:r>
      <w:r w:rsidRPr="00A63ABC">
        <w:rPr>
          <w:rFonts w:ascii="Arial" w:hAnsi="Arial" w:cs="Arial"/>
          <w:i/>
          <w:sz w:val="18"/>
          <w:szCs w:val="18"/>
          <w:lang w:val="it-IT"/>
        </w:rPr>
        <w:t>Il diritto all’identità personale</w:t>
      </w:r>
      <w:r w:rsidRPr="00A63ABC">
        <w:rPr>
          <w:rFonts w:ascii="Arial" w:hAnsi="Arial" w:cs="Arial"/>
          <w:sz w:val="18"/>
          <w:szCs w:val="18"/>
          <w:lang w:val="it-IT"/>
        </w:rPr>
        <w:t>, Cedam, Padua, 1981,  p. 188.</w:t>
      </w:r>
    </w:p>
    <w:p w14:paraId="4CD3CE06" w14:textId="77777777" w:rsidR="0096481E" w:rsidRPr="00A63ABC" w:rsidRDefault="0096481E" w:rsidP="0096481E">
      <w:pPr>
        <w:pStyle w:val="Textonotapie"/>
        <w:rPr>
          <w:rFonts w:ascii="Arial" w:hAnsi="Arial" w:cs="Arial"/>
          <w:sz w:val="18"/>
          <w:szCs w:val="18"/>
          <w:lang w:val="it-IT"/>
        </w:rPr>
      </w:pPr>
    </w:p>
  </w:footnote>
  <w:footnote w:id="51">
    <w:p w14:paraId="7493AC0B" w14:textId="77777777" w:rsidR="0096481E" w:rsidRPr="00A63ABC" w:rsidRDefault="0096481E" w:rsidP="0096481E">
      <w:pPr>
        <w:pStyle w:val="Textonotapie"/>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Macioce, Francesco, </w:t>
      </w:r>
      <w:r w:rsidRPr="00A63ABC">
        <w:rPr>
          <w:rFonts w:ascii="Arial" w:hAnsi="Arial" w:cs="Arial"/>
          <w:i/>
          <w:sz w:val="18"/>
          <w:szCs w:val="18"/>
          <w:lang w:val="it-IT"/>
        </w:rPr>
        <w:t>Tutela civile della persona e identità personale</w:t>
      </w:r>
      <w:r w:rsidRPr="00A63ABC">
        <w:rPr>
          <w:rFonts w:ascii="Arial" w:hAnsi="Arial" w:cs="Arial"/>
          <w:sz w:val="18"/>
          <w:szCs w:val="18"/>
          <w:lang w:val="it-IT"/>
        </w:rPr>
        <w:t>, Cedam, Padua, 1984, p. 25-26.</w:t>
      </w:r>
    </w:p>
    <w:p w14:paraId="603C2977" w14:textId="77777777" w:rsidR="0096481E" w:rsidRPr="00A63ABC" w:rsidRDefault="0096481E" w:rsidP="0096481E">
      <w:pPr>
        <w:pStyle w:val="Textonotapie"/>
        <w:rPr>
          <w:rFonts w:ascii="Arial" w:hAnsi="Arial" w:cs="Arial"/>
          <w:sz w:val="18"/>
          <w:szCs w:val="18"/>
          <w:lang w:val="it-IT"/>
        </w:rPr>
      </w:pPr>
    </w:p>
  </w:footnote>
  <w:footnote w:id="52">
    <w:p w14:paraId="7F0FA3A7"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Bianca, Cesare Massimo, </w:t>
      </w:r>
      <w:r w:rsidRPr="00A63ABC">
        <w:rPr>
          <w:rFonts w:ascii="Arial" w:hAnsi="Arial" w:cs="Arial"/>
          <w:i/>
          <w:sz w:val="18"/>
          <w:szCs w:val="18"/>
          <w:lang w:val="it-IT"/>
        </w:rPr>
        <w:t>Diritto Civile</w:t>
      </w:r>
      <w:r w:rsidRPr="00A63ABC">
        <w:rPr>
          <w:rFonts w:ascii="Arial" w:hAnsi="Arial" w:cs="Arial"/>
          <w:sz w:val="18"/>
          <w:szCs w:val="18"/>
          <w:lang w:val="it-IT"/>
        </w:rPr>
        <w:t xml:space="preserve">, I: </w:t>
      </w:r>
      <w:r w:rsidRPr="00A63ABC">
        <w:rPr>
          <w:rFonts w:ascii="Arial" w:hAnsi="Arial" w:cs="Arial"/>
          <w:i/>
          <w:sz w:val="18"/>
          <w:szCs w:val="18"/>
          <w:lang w:val="it-IT"/>
        </w:rPr>
        <w:t>La norma giuridica-i soggetti</w:t>
      </w:r>
      <w:r w:rsidRPr="00A63ABC">
        <w:rPr>
          <w:rFonts w:ascii="Arial" w:hAnsi="Arial" w:cs="Arial"/>
          <w:sz w:val="18"/>
          <w:szCs w:val="18"/>
          <w:lang w:val="it-IT"/>
        </w:rPr>
        <w:t>, segunda edición, Giuffrè editore, Milán, 2002, p. 176.</w:t>
      </w:r>
    </w:p>
    <w:p w14:paraId="16062D50" w14:textId="77777777" w:rsidR="0096481E" w:rsidRPr="00A63ABC" w:rsidRDefault="0096481E" w:rsidP="0096481E">
      <w:pPr>
        <w:pStyle w:val="Textonotapie"/>
        <w:ind w:left="284" w:hanging="284"/>
        <w:jc w:val="both"/>
        <w:rPr>
          <w:rFonts w:ascii="Arial" w:hAnsi="Arial" w:cs="Arial"/>
          <w:sz w:val="18"/>
          <w:szCs w:val="18"/>
          <w:lang w:val="it-IT"/>
        </w:rPr>
      </w:pPr>
    </w:p>
  </w:footnote>
  <w:footnote w:id="53">
    <w:p w14:paraId="0605226B"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De Vita, Anna, </w:t>
      </w:r>
      <w:r w:rsidRPr="00A63ABC">
        <w:rPr>
          <w:rFonts w:ascii="Arial" w:hAnsi="Arial" w:cs="Arial"/>
          <w:i/>
          <w:sz w:val="18"/>
          <w:szCs w:val="18"/>
          <w:lang w:val="it-IT"/>
        </w:rPr>
        <w:t>Commentario all’articolo 10 del codice civile</w:t>
      </w:r>
      <w:r w:rsidRPr="00A63ABC">
        <w:rPr>
          <w:rFonts w:ascii="Arial" w:hAnsi="Arial" w:cs="Arial"/>
          <w:sz w:val="18"/>
          <w:szCs w:val="18"/>
          <w:lang w:val="it-IT"/>
        </w:rPr>
        <w:t xml:space="preserve">, en: Pizzorusso, Alessandro; Romboli, Roberto; Breccia, Umberto y De Vita, Anna, </w:t>
      </w:r>
      <w:r w:rsidRPr="00A63ABC">
        <w:rPr>
          <w:rFonts w:ascii="Arial" w:hAnsi="Arial" w:cs="Arial"/>
          <w:i/>
          <w:sz w:val="18"/>
          <w:szCs w:val="18"/>
          <w:lang w:val="it-IT"/>
        </w:rPr>
        <w:t>Delle persone fisiche,  art. 1-10</w:t>
      </w:r>
      <w:r w:rsidRPr="00A63ABC">
        <w:rPr>
          <w:rFonts w:ascii="Arial" w:hAnsi="Arial" w:cs="Arial"/>
          <w:sz w:val="18"/>
          <w:szCs w:val="18"/>
          <w:lang w:val="it-IT"/>
        </w:rPr>
        <w:t xml:space="preserve">,  </w:t>
      </w:r>
      <w:r w:rsidRPr="00A63ABC">
        <w:rPr>
          <w:rFonts w:ascii="Arial" w:hAnsi="Arial" w:cs="Arial"/>
          <w:i/>
          <w:sz w:val="18"/>
          <w:szCs w:val="18"/>
          <w:lang w:val="it-IT"/>
        </w:rPr>
        <w:t>Commentario del codice civile</w:t>
      </w:r>
      <w:r w:rsidRPr="00A63ABC">
        <w:rPr>
          <w:rFonts w:ascii="Arial" w:hAnsi="Arial" w:cs="Arial"/>
          <w:sz w:val="18"/>
          <w:szCs w:val="18"/>
          <w:lang w:val="it-IT"/>
        </w:rPr>
        <w:t>, al cuidado de Francesco Galgano, Zanichelli editore, Bolonia, 1988, pp. 584-585.</w:t>
      </w:r>
    </w:p>
    <w:p w14:paraId="0E0619DF" w14:textId="77777777" w:rsidR="0096481E" w:rsidRPr="00A63ABC" w:rsidRDefault="0096481E" w:rsidP="0096481E">
      <w:pPr>
        <w:pStyle w:val="Textonotapie"/>
        <w:rPr>
          <w:rFonts w:ascii="Arial" w:hAnsi="Arial" w:cs="Arial"/>
          <w:sz w:val="18"/>
          <w:szCs w:val="18"/>
          <w:lang w:val="it-IT"/>
        </w:rPr>
      </w:pPr>
    </w:p>
  </w:footnote>
  <w:footnote w:id="54">
    <w:p w14:paraId="1B1B3FEE" w14:textId="77777777" w:rsidR="0096481E" w:rsidRPr="00A63ABC" w:rsidRDefault="0096481E" w:rsidP="0096481E">
      <w:pPr>
        <w:pStyle w:val="Textonotapie"/>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Fusaro, Arianna, </w:t>
      </w:r>
      <w:r w:rsidRPr="00A63ABC">
        <w:rPr>
          <w:rFonts w:ascii="Arial" w:hAnsi="Arial" w:cs="Arial"/>
          <w:i/>
          <w:sz w:val="18"/>
          <w:szCs w:val="18"/>
          <w:lang w:val="it-IT"/>
        </w:rPr>
        <w:t>I diritti della personalità dei soggetti collettivi</w:t>
      </w:r>
      <w:r w:rsidRPr="00A63ABC">
        <w:rPr>
          <w:rFonts w:ascii="Arial" w:hAnsi="Arial" w:cs="Arial"/>
          <w:sz w:val="18"/>
          <w:szCs w:val="18"/>
          <w:lang w:val="it-IT"/>
        </w:rPr>
        <w:t>, Cedam, Padua, 2002, p.188.</w:t>
      </w:r>
    </w:p>
    <w:p w14:paraId="7F703E9C" w14:textId="77777777" w:rsidR="0096481E" w:rsidRPr="00A63ABC" w:rsidRDefault="0096481E" w:rsidP="0096481E">
      <w:pPr>
        <w:pStyle w:val="Textonotapie"/>
        <w:rPr>
          <w:rFonts w:ascii="Arial" w:hAnsi="Arial" w:cs="Arial"/>
          <w:sz w:val="18"/>
          <w:szCs w:val="18"/>
          <w:lang w:val="it-IT"/>
        </w:rPr>
      </w:pPr>
    </w:p>
  </w:footnote>
  <w:footnote w:id="55">
    <w:p w14:paraId="101EECDF"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Nivarra, Luca; Ricciuto, Vincenzo y Scognamiglio, Claudio, </w:t>
      </w:r>
      <w:r w:rsidRPr="00A63ABC">
        <w:rPr>
          <w:rFonts w:ascii="Arial" w:hAnsi="Arial" w:cs="Arial"/>
          <w:i/>
          <w:sz w:val="18"/>
          <w:szCs w:val="18"/>
          <w:lang w:val="it-IT"/>
        </w:rPr>
        <w:t>Diritto privato</w:t>
      </w:r>
      <w:r w:rsidRPr="00A63ABC">
        <w:rPr>
          <w:rFonts w:ascii="Arial" w:hAnsi="Arial" w:cs="Arial"/>
          <w:sz w:val="18"/>
          <w:szCs w:val="18"/>
          <w:lang w:val="it-IT"/>
        </w:rPr>
        <w:t>, quinta edición, G. Giappichelli editore, Turín, 2019,  p. 169.</w:t>
      </w:r>
    </w:p>
  </w:footnote>
  <w:footnote w:id="56">
    <w:p w14:paraId="0D71E6C7"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Sobre la jurisprudencia italiana puede verse Bigliazzi Geri, Lina; Breccia, Umberto; Busnelli, Francesco Donato y Natoli, Ugo, </w:t>
      </w:r>
      <w:r w:rsidRPr="00A63ABC">
        <w:rPr>
          <w:rFonts w:ascii="Arial" w:hAnsi="Arial" w:cs="Arial"/>
          <w:i/>
          <w:sz w:val="18"/>
          <w:szCs w:val="18"/>
          <w:lang w:val="it-IT"/>
        </w:rPr>
        <w:t>Diritto Civile</w:t>
      </w:r>
      <w:r w:rsidRPr="00A63ABC">
        <w:rPr>
          <w:rFonts w:ascii="Arial" w:hAnsi="Arial" w:cs="Arial"/>
          <w:sz w:val="18"/>
          <w:szCs w:val="18"/>
          <w:lang w:val="it-IT"/>
        </w:rPr>
        <w:t>, 1, 1, Utet, Turín, 1986, p 174.</w:t>
      </w:r>
    </w:p>
    <w:p w14:paraId="65AF29DF"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57">
    <w:p w14:paraId="0BE63817"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Trabucchi, Alberto, </w:t>
      </w:r>
      <w:r w:rsidRPr="00A63ABC">
        <w:rPr>
          <w:rFonts w:ascii="Arial" w:hAnsi="Arial" w:cs="Arial"/>
          <w:i/>
          <w:sz w:val="18"/>
          <w:szCs w:val="18"/>
          <w:lang w:val="it-IT"/>
        </w:rPr>
        <w:t>Istituzioni di Diritto Civile</w:t>
      </w:r>
      <w:r w:rsidRPr="00A63ABC">
        <w:rPr>
          <w:rFonts w:ascii="Arial" w:hAnsi="Arial" w:cs="Arial"/>
          <w:sz w:val="18"/>
          <w:szCs w:val="18"/>
          <w:lang w:val="it-IT"/>
        </w:rPr>
        <w:t>, cuadragésima octava edición, al cuidado de Giuseppe Trabucchi, Wolters Kluwer-Cedam,  Vicenza, 2017, p.333.</w:t>
      </w:r>
    </w:p>
    <w:p w14:paraId="1A02894C" w14:textId="77777777" w:rsidR="0096481E" w:rsidRPr="00A63ABC" w:rsidRDefault="0096481E" w:rsidP="0096481E">
      <w:pPr>
        <w:pStyle w:val="Textonotapie"/>
        <w:ind w:left="284" w:hanging="284"/>
        <w:jc w:val="both"/>
        <w:rPr>
          <w:rFonts w:ascii="Arial" w:hAnsi="Arial" w:cs="Arial"/>
          <w:sz w:val="18"/>
          <w:szCs w:val="18"/>
          <w:lang w:val="it-IT"/>
        </w:rPr>
      </w:pPr>
    </w:p>
  </w:footnote>
  <w:footnote w:id="58">
    <w:p w14:paraId="6E59F243"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Dogliotti, Massimo, </w:t>
      </w:r>
      <w:r w:rsidRPr="00A63ABC">
        <w:rPr>
          <w:rFonts w:ascii="Arial" w:hAnsi="Arial" w:cs="Arial"/>
          <w:i/>
          <w:sz w:val="18"/>
          <w:szCs w:val="18"/>
          <w:lang w:val="it-IT"/>
        </w:rPr>
        <w:t>I.</w:t>
      </w:r>
      <w:r w:rsidRPr="00A63ABC">
        <w:rPr>
          <w:rFonts w:ascii="Arial" w:hAnsi="Arial" w:cs="Arial"/>
          <w:sz w:val="18"/>
          <w:szCs w:val="18"/>
          <w:lang w:val="it-IT"/>
        </w:rPr>
        <w:t xml:space="preserve"> </w:t>
      </w:r>
      <w:r w:rsidRPr="00A63ABC">
        <w:rPr>
          <w:rFonts w:ascii="Arial" w:hAnsi="Arial" w:cs="Arial"/>
          <w:i/>
          <w:sz w:val="18"/>
          <w:szCs w:val="18"/>
          <w:lang w:val="it-IT"/>
        </w:rPr>
        <w:t>Le persone fisiche</w:t>
      </w:r>
      <w:r w:rsidRPr="00A63ABC">
        <w:rPr>
          <w:rFonts w:ascii="Arial" w:hAnsi="Arial" w:cs="Arial"/>
          <w:sz w:val="18"/>
          <w:szCs w:val="18"/>
          <w:lang w:val="it-IT"/>
        </w:rPr>
        <w:t>, p. 206.</w:t>
      </w:r>
    </w:p>
    <w:p w14:paraId="0BAFE363" w14:textId="77777777" w:rsidR="0096481E" w:rsidRPr="00A63ABC" w:rsidRDefault="0096481E" w:rsidP="0096481E">
      <w:pPr>
        <w:pStyle w:val="Textonotapie"/>
        <w:ind w:left="284" w:hanging="284"/>
        <w:rPr>
          <w:rFonts w:ascii="Arial" w:hAnsi="Arial" w:cs="Arial"/>
          <w:sz w:val="18"/>
          <w:szCs w:val="18"/>
          <w:lang w:val="it-IT"/>
        </w:rPr>
      </w:pPr>
    </w:p>
  </w:footnote>
  <w:footnote w:id="59">
    <w:p w14:paraId="75B307EE"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Dogliotti, Massimo, </w:t>
      </w:r>
      <w:r w:rsidRPr="00A63ABC">
        <w:rPr>
          <w:rFonts w:ascii="Arial" w:hAnsi="Arial" w:cs="Arial"/>
          <w:i/>
          <w:sz w:val="18"/>
          <w:szCs w:val="18"/>
          <w:lang w:val="it-IT"/>
        </w:rPr>
        <w:t>I.</w:t>
      </w:r>
      <w:r w:rsidRPr="00A63ABC">
        <w:rPr>
          <w:rFonts w:ascii="Arial" w:hAnsi="Arial" w:cs="Arial"/>
          <w:sz w:val="18"/>
          <w:szCs w:val="18"/>
          <w:lang w:val="it-IT"/>
        </w:rPr>
        <w:t xml:space="preserve"> </w:t>
      </w:r>
      <w:r w:rsidRPr="00A63ABC">
        <w:rPr>
          <w:rFonts w:ascii="Arial" w:hAnsi="Arial" w:cs="Arial"/>
          <w:i/>
          <w:sz w:val="18"/>
          <w:szCs w:val="18"/>
          <w:lang w:val="it-IT"/>
        </w:rPr>
        <w:t>Le persone fisiche</w:t>
      </w:r>
      <w:r w:rsidRPr="00A63ABC">
        <w:rPr>
          <w:rFonts w:ascii="Arial" w:hAnsi="Arial" w:cs="Arial"/>
          <w:sz w:val="18"/>
          <w:szCs w:val="18"/>
          <w:lang w:val="it-IT"/>
        </w:rPr>
        <w:t>, p. 207.</w:t>
      </w:r>
    </w:p>
    <w:p w14:paraId="704433CA" w14:textId="77777777" w:rsidR="0096481E" w:rsidRPr="00A63ABC" w:rsidRDefault="0096481E" w:rsidP="0096481E">
      <w:pPr>
        <w:pStyle w:val="Textonotapie"/>
        <w:rPr>
          <w:rFonts w:ascii="Arial" w:hAnsi="Arial" w:cs="Arial"/>
          <w:sz w:val="18"/>
          <w:szCs w:val="18"/>
          <w:lang w:val="it-IT"/>
        </w:rPr>
      </w:pPr>
    </w:p>
  </w:footnote>
  <w:footnote w:id="60">
    <w:p w14:paraId="0383AFD1" w14:textId="77777777" w:rsidR="0096481E" w:rsidRPr="00A63ABC" w:rsidRDefault="0096481E" w:rsidP="0096481E">
      <w:pPr>
        <w:pStyle w:val="Textonotapie"/>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Dogliotti, Massimo, </w:t>
      </w:r>
      <w:r w:rsidRPr="00A63ABC">
        <w:rPr>
          <w:rFonts w:ascii="Arial" w:hAnsi="Arial" w:cs="Arial"/>
          <w:i/>
          <w:sz w:val="18"/>
          <w:szCs w:val="18"/>
          <w:lang w:val="it-IT"/>
        </w:rPr>
        <w:t>I. Le persone fisiche</w:t>
      </w:r>
      <w:r w:rsidRPr="00A63ABC">
        <w:rPr>
          <w:rFonts w:ascii="Arial" w:hAnsi="Arial" w:cs="Arial"/>
          <w:sz w:val="18"/>
          <w:szCs w:val="18"/>
          <w:lang w:val="it-IT"/>
        </w:rPr>
        <w:t>, p. 207.</w:t>
      </w:r>
    </w:p>
    <w:p w14:paraId="6DFC99E6" w14:textId="77777777" w:rsidR="0096481E" w:rsidRPr="00A63ABC" w:rsidRDefault="0096481E" w:rsidP="0096481E">
      <w:pPr>
        <w:pStyle w:val="Textonotapie"/>
        <w:ind w:left="284" w:hanging="284"/>
        <w:jc w:val="both"/>
        <w:rPr>
          <w:rFonts w:ascii="Arial" w:hAnsi="Arial" w:cs="Arial"/>
          <w:sz w:val="18"/>
          <w:szCs w:val="18"/>
          <w:lang w:val="it-IT"/>
        </w:rPr>
      </w:pPr>
    </w:p>
  </w:footnote>
  <w:footnote w:id="61">
    <w:p w14:paraId="0EA8F682"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Rescigno, Pietro, </w:t>
      </w:r>
      <w:r w:rsidRPr="00A63ABC">
        <w:rPr>
          <w:rFonts w:ascii="Arial" w:hAnsi="Arial" w:cs="Arial"/>
          <w:i/>
          <w:sz w:val="18"/>
          <w:szCs w:val="18"/>
          <w:lang w:val="it-IT"/>
        </w:rPr>
        <w:t>Manuale del diritto privato italiano</w:t>
      </w:r>
      <w:r w:rsidRPr="00A63ABC">
        <w:rPr>
          <w:rFonts w:ascii="Arial" w:hAnsi="Arial" w:cs="Arial"/>
          <w:sz w:val="18"/>
          <w:szCs w:val="18"/>
          <w:lang w:val="it-IT"/>
        </w:rPr>
        <w:t>, décima primera edición, segunda reimpresión con apéndice de actualización, Casa Editrice Dott. Eugenio Jovene, Nápoles, 1996,  p. 235.</w:t>
      </w:r>
    </w:p>
    <w:p w14:paraId="030586B6" w14:textId="77777777" w:rsidR="0096481E" w:rsidRPr="00A63ABC" w:rsidRDefault="0096481E" w:rsidP="0096481E">
      <w:pPr>
        <w:pStyle w:val="Textonotapie"/>
        <w:jc w:val="both"/>
        <w:rPr>
          <w:rFonts w:ascii="Arial" w:hAnsi="Arial" w:cs="Arial"/>
          <w:sz w:val="18"/>
          <w:szCs w:val="18"/>
          <w:lang w:val="it-IT"/>
        </w:rPr>
      </w:pPr>
    </w:p>
  </w:footnote>
  <w:footnote w:id="62">
    <w:p w14:paraId="060DB16A" w14:textId="77777777" w:rsidR="0096481E" w:rsidRPr="00A63ABC" w:rsidRDefault="0096481E" w:rsidP="0096481E">
      <w:pPr>
        <w:pStyle w:val="Textonotapie"/>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Rescigno, Pietro, </w:t>
      </w:r>
      <w:r w:rsidRPr="00A63ABC">
        <w:rPr>
          <w:rFonts w:ascii="Arial" w:hAnsi="Arial" w:cs="Arial"/>
          <w:i/>
          <w:sz w:val="18"/>
          <w:szCs w:val="18"/>
          <w:lang w:val="it-IT"/>
        </w:rPr>
        <w:t>Manuale del diritto privato italiano</w:t>
      </w:r>
      <w:r w:rsidRPr="00A63ABC">
        <w:rPr>
          <w:rFonts w:ascii="Arial" w:hAnsi="Arial" w:cs="Arial"/>
          <w:sz w:val="18"/>
          <w:szCs w:val="18"/>
          <w:lang w:val="it-IT"/>
        </w:rPr>
        <w:t>,  p. 236.</w:t>
      </w:r>
    </w:p>
    <w:p w14:paraId="565BD2F3" w14:textId="77777777" w:rsidR="0096481E" w:rsidRPr="00A63ABC" w:rsidRDefault="0096481E" w:rsidP="0096481E">
      <w:pPr>
        <w:pStyle w:val="Textonotapie"/>
        <w:rPr>
          <w:rFonts w:ascii="Arial" w:hAnsi="Arial" w:cs="Arial"/>
          <w:sz w:val="18"/>
          <w:szCs w:val="18"/>
          <w:lang w:val="it-IT"/>
        </w:rPr>
      </w:pPr>
    </w:p>
  </w:footnote>
  <w:footnote w:id="63">
    <w:p w14:paraId="1BB8A1E4" w14:textId="77777777" w:rsidR="0096481E" w:rsidRPr="00A63ABC" w:rsidRDefault="0096481E" w:rsidP="0096481E">
      <w:pPr>
        <w:pStyle w:val="Textonotapie"/>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Rescigno, Pietro, </w:t>
      </w:r>
      <w:r w:rsidRPr="00A63ABC">
        <w:rPr>
          <w:rFonts w:ascii="Arial" w:hAnsi="Arial" w:cs="Arial"/>
          <w:i/>
          <w:sz w:val="18"/>
          <w:szCs w:val="18"/>
          <w:lang w:val="it-IT"/>
        </w:rPr>
        <w:t>Manuale del diritto privato italiano</w:t>
      </w:r>
      <w:r w:rsidRPr="00A63ABC">
        <w:rPr>
          <w:rFonts w:ascii="Arial" w:hAnsi="Arial" w:cs="Arial"/>
          <w:sz w:val="18"/>
          <w:szCs w:val="18"/>
          <w:lang w:val="it-IT"/>
        </w:rPr>
        <w:t>,  p. 236.</w:t>
      </w:r>
    </w:p>
    <w:p w14:paraId="1527686B" w14:textId="77777777" w:rsidR="0096481E" w:rsidRPr="00A63ABC" w:rsidRDefault="0096481E" w:rsidP="0096481E">
      <w:pPr>
        <w:pStyle w:val="Textonotapie"/>
        <w:rPr>
          <w:rFonts w:ascii="Arial" w:hAnsi="Arial" w:cs="Arial"/>
          <w:sz w:val="18"/>
          <w:szCs w:val="18"/>
          <w:lang w:val="it-IT"/>
        </w:rPr>
      </w:pPr>
    </w:p>
  </w:footnote>
  <w:footnote w:id="64">
    <w:p w14:paraId="23DD9A61"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Morales Godo, Juan,</w:t>
      </w:r>
      <w:r w:rsidRPr="00A63ABC">
        <w:rPr>
          <w:rFonts w:ascii="Arial" w:hAnsi="Arial" w:cs="Arial"/>
          <w:i/>
          <w:sz w:val="18"/>
          <w:szCs w:val="18"/>
          <w:lang w:val="es-PE"/>
        </w:rPr>
        <w:t xml:space="preserve"> El derecho a la vida privada y el conflicto con la libertad de información</w:t>
      </w:r>
      <w:r w:rsidRPr="00A63ABC">
        <w:rPr>
          <w:rFonts w:ascii="Arial" w:hAnsi="Arial" w:cs="Arial"/>
          <w:sz w:val="18"/>
          <w:szCs w:val="18"/>
          <w:lang w:val="es-PE"/>
        </w:rPr>
        <w:t>, Grijley, Lima, 1995, pp. 104-105.</w:t>
      </w:r>
    </w:p>
    <w:p w14:paraId="077835FC"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65">
    <w:p w14:paraId="29BBC79C"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  Zeno-Zencovich, Vincenzo, </w:t>
      </w:r>
      <w:r w:rsidRPr="00A63ABC">
        <w:rPr>
          <w:rFonts w:ascii="Arial" w:hAnsi="Arial" w:cs="Arial"/>
          <w:i/>
          <w:sz w:val="18"/>
          <w:szCs w:val="18"/>
          <w:lang w:val="it-IT"/>
        </w:rPr>
        <w:t>Una svolta giurisprudenziale nella tutela della riservatezza</w:t>
      </w:r>
      <w:r w:rsidRPr="00A63ABC">
        <w:rPr>
          <w:rFonts w:ascii="Arial" w:hAnsi="Arial" w:cs="Arial"/>
          <w:sz w:val="18"/>
          <w:szCs w:val="18"/>
          <w:lang w:val="it-IT"/>
        </w:rPr>
        <w:t>, en: Il diritto alla informazione e della Informatica, Giuffrè editore, Milán, 1986, p. 933.</w:t>
      </w:r>
    </w:p>
    <w:p w14:paraId="23E574F4"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66">
    <w:p w14:paraId="34C480D8" w14:textId="77777777" w:rsidR="0096481E" w:rsidRPr="00A63ABC" w:rsidRDefault="0096481E" w:rsidP="0096481E">
      <w:pPr>
        <w:pStyle w:val="Textonotapie"/>
        <w:rPr>
          <w:rFonts w:ascii="Arial" w:hAnsi="Arial" w:cs="Arial"/>
          <w:sz w:val="18"/>
          <w:szCs w:val="18"/>
        </w:rPr>
      </w:pPr>
      <w:r w:rsidRPr="00A63ABC">
        <w:rPr>
          <w:rStyle w:val="Refdenotaalpie"/>
          <w:rFonts w:ascii="Arial"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 163 y ss.</w:t>
      </w:r>
    </w:p>
    <w:p w14:paraId="718FADE4" w14:textId="77777777" w:rsidR="0096481E" w:rsidRPr="00A63ABC" w:rsidRDefault="0096481E" w:rsidP="0096481E">
      <w:pPr>
        <w:pStyle w:val="Textonotapie"/>
        <w:rPr>
          <w:rFonts w:ascii="Arial" w:hAnsi="Arial" w:cs="Arial"/>
          <w:sz w:val="18"/>
          <w:szCs w:val="18"/>
        </w:rPr>
      </w:pPr>
    </w:p>
  </w:footnote>
  <w:footnote w:id="67">
    <w:p w14:paraId="300EF259" w14:textId="77777777" w:rsidR="0096481E" w:rsidRPr="00A63ABC" w:rsidRDefault="0096481E" w:rsidP="0096481E">
      <w:pPr>
        <w:pStyle w:val="Textonotapie"/>
        <w:ind w:left="426" w:hanging="426"/>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 xml:space="preserve">Derecho de las personas. Análisis de cada artículo del Libro Primero del Código Civil peruano de </w:t>
      </w:r>
      <w:r w:rsidRPr="00A63ABC">
        <w:rPr>
          <w:rFonts w:ascii="Arial" w:hAnsi="Arial" w:cs="Arial"/>
          <w:sz w:val="18"/>
          <w:szCs w:val="18"/>
          <w:lang w:val="es-PE"/>
        </w:rPr>
        <w:t>1984, décimo tercera edición ampliada y actualizada, Instituto Pacífico, Lima, 2016, p.204 y ss.</w:t>
      </w:r>
    </w:p>
    <w:p w14:paraId="4874172C" w14:textId="77777777" w:rsidR="0096481E" w:rsidRPr="00A63ABC" w:rsidRDefault="0096481E" w:rsidP="0096481E">
      <w:pPr>
        <w:pStyle w:val="Textonotapie"/>
        <w:ind w:left="426" w:hanging="426"/>
        <w:jc w:val="both"/>
        <w:rPr>
          <w:rFonts w:ascii="Arial" w:hAnsi="Arial" w:cs="Arial"/>
          <w:sz w:val="18"/>
          <w:szCs w:val="18"/>
          <w:lang w:val="es-PE"/>
        </w:rPr>
      </w:pPr>
    </w:p>
  </w:footnote>
  <w:footnote w:id="68">
    <w:p w14:paraId="28A9E0D5"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Perlingieri, Pietro, </w:t>
      </w:r>
      <w:r w:rsidRPr="00A63ABC">
        <w:rPr>
          <w:rFonts w:ascii="Arial" w:hAnsi="Arial" w:cs="Arial"/>
          <w:i/>
          <w:sz w:val="18"/>
          <w:szCs w:val="18"/>
          <w:lang w:val="it-IT"/>
        </w:rPr>
        <w:t>Il diritto civile nella legalitá costituzionale</w:t>
      </w:r>
      <w:r w:rsidRPr="00A63ABC">
        <w:rPr>
          <w:rFonts w:ascii="Arial" w:hAnsi="Arial" w:cs="Arial"/>
          <w:sz w:val="18"/>
          <w:szCs w:val="18"/>
          <w:lang w:val="it-IT"/>
        </w:rPr>
        <w:t xml:space="preserve">, segunda edición revisada e integrada, Edizioni Scientifichi Italiane, Nápoles, 1991, p. 389. </w:t>
      </w:r>
    </w:p>
    <w:p w14:paraId="182309CC" w14:textId="77777777" w:rsidR="0096481E" w:rsidRPr="00A63ABC" w:rsidRDefault="0096481E" w:rsidP="0096481E">
      <w:pPr>
        <w:pStyle w:val="Textonotapie"/>
        <w:jc w:val="both"/>
        <w:rPr>
          <w:rFonts w:ascii="Arial" w:hAnsi="Arial" w:cs="Arial"/>
          <w:sz w:val="18"/>
          <w:szCs w:val="18"/>
          <w:lang w:val="it-IT"/>
        </w:rPr>
      </w:pPr>
    </w:p>
  </w:footnote>
  <w:footnote w:id="69">
    <w:p w14:paraId="133B965A"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Dogliotti, Massimo, </w:t>
      </w:r>
      <w:r w:rsidRPr="00A63ABC">
        <w:rPr>
          <w:rFonts w:ascii="Arial" w:hAnsi="Arial" w:cs="Arial"/>
          <w:i/>
          <w:sz w:val="18"/>
          <w:szCs w:val="18"/>
          <w:lang w:val="it-IT"/>
        </w:rPr>
        <w:t>Le persone fisiche</w:t>
      </w:r>
      <w:r w:rsidRPr="00A63ABC">
        <w:rPr>
          <w:rFonts w:ascii="Arial" w:hAnsi="Arial" w:cs="Arial"/>
          <w:sz w:val="18"/>
          <w:szCs w:val="18"/>
          <w:lang w:val="it-IT"/>
        </w:rPr>
        <w:t>, p. 157.</w:t>
      </w:r>
    </w:p>
    <w:p w14:paraId="7003B9DB"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70">
    <w:p w14:paraId="59FE0B7B"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Fernández Sessarego, Carlos,</w:t>
      </w:r>
      <w:r w:rsidRPr="00A63ABC">
        <w:rPr>
          <w:rFonts w:ascii="Arial" w:hAnsi="Arial" w:cs="Arial"/>
          <w:i/>
          <w:sz w:val="18"/>
          <w:szCs w:val="18"/>
          <w:lang w:val="es-PE"/>
        </w:rPr>
        <w:t xml:space="preserve"> Derecho de las personas. Análisis de cada artículo del Libro Primero del Código Civil peruano de 1984</w:t>
      </w:r>
      <w:r w:rsidRPr="00A63ABC">
        <w:rPr>
          <w:rFonts w:ascii="Arial" w:hAnsi="Arial" w:cs="Arial"/>
          <w:sz w:val="18"/>
          <w:szCs w:val="18"/>
          <w:lang w:val="es-PE"/>
        </w:rPr>
        <w:t xml:space="preserve">, p. 204. </w:t>
      </w:r>
    </w:p>
    <w:p w14:paraId="020B5085" w14:textId="77777777" w:rsidR="0096481E" w:rsidRPr="00A63ABC" w:rsidRDefault="0096481E" w:rsidP="0096481E">
      <w:pPr>
        <w:pStyle w:val="Textonotapie"/>
        <w:spacing w:line="276" w:lineRule="auto"/>
        <w:ind w:right="-1"/>
        <w:jc w:val="both"/>
        <w:rPr>
          <w:rFonts w:ascii="Arial" w:hAnsi="Arial" w:cs="Arial"/>
          <w:sz w:val="18"/>
          <w:szCs w:val="18"/>
          <w:lang w:val="es-PE"/>
        </w:rPr>
      </w:pPr>
    </w:p>
  </w:footnote>
  <w:footnote w:id="71">
    <w:p w14:paraId="071CA1D6" w14:textId="77777777" w:rsidR="0096481E" w:rsidRPr="00A63ABC" w:rsidRDefault="0096481E" w:rsidP="0096481E">
      <w:pPr>
        <w:pStyle w:val="Textonotapie"/>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Rescigno, Pietro, </w:t>
      </w:r>
      <w:r w:rsidRPr="00A63ABC">
        <w:rPr>
          <w:rFonts w:ascii="Arial" w:hAnsi="Arial" w:cs="Arial"/>
          <w:i/>
          <w:sz w:val="18"/>
          <w:szCs w:val="18"/>
          <w:lang w:val="it-IT"/>
        </w:rPr>
        <w:t>Manuale del diritto privato italiano</w:t>
      </w:r>
      <w:r w:rsidRPr="00A63ABC">
        <w:rPr>
          <w:rFonts w:ascii="Arial" w:hAnsi="Arial" w:cs="Arial"/>
          <w:sz w:val="18"/>
          <w:szCs w:val="18"/>
          <w:lang w:val="it-IT"/>
        </w:rPr>
        <w:t>,  p. 235.</w:t>
      </w:r>
    </w:p>
    <w:p w14:paraId="707945F7" w14:textId="77777777" w:rsidR="0096481E" w:rsidRPr="00A63ABC" w:rsidRDefault="0096481E" w:rsidP="0096481E">
      <w:pPr>
        <w:pStyle w:val="Textonotapie"/>
        <w:rPr>
          <w:rFonts w:ascii="Arial" w:hAnsi="Arial" w:cs="Arial"/>
          <w:sz w:val="18"/>
          <w:szCs w:val="18"/>
          <w:lang w:val="it-IT"/>
        </w:rPr>
      </w:pPr>
    </w:p>
  </w:footnote>
  <w:footnote w:id="72">
    <w:p w14:paraId="777E008A" w14:textId="77777777"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hAnsi="Arial" w:cs="Arial"/>
          <w:sz w:val="18"/>
          <w:szCs w:val="18"/>
          <w:lang w:val="es-PE"/>
        </w:rPr>
        <w:footnoteRef/>
      </w:r>
      <w:r w:rsidRPr="00A63ABC">
        <w:rPr>
          <w:rFonts w:ascii="Arial" w:hAnsi="Arial" w:cs="Arial"/>
          <w:sz w:val="18"/>
          <w:szCs w:val="18"/>
          <w:lang w:val="es-PE"/>
        </w:rPr>
        <w:t xml:space="preserve">    Fernández Sessarego, Carlos,</w:t>
      </w:r>
      <w:r w:rsidRPr="00A63ABC">
        <w:rPr>
          <w:rFonts w:ascii="Arial" w:hAnsi="Arial" w:cs="Arial"/>
          <w:i/>
          <w:sz w:val="18"/>
          <w:szCs w:val="18"/>
          <w:lang w:val="es-PE"/>
        </w:rPr>
        <w:t xml:space="preserve"> Derecho a la identidad personal</w:t>
      </w:r>
      <w:r w:rsidRPr="00A63ABC">
        <w:rPr>
          <w:rFonts w:ascii="Arial" w:hAnsi="Arial" w:cs="Arial"/>
          <w:sz w:val="18"/>
          <w:szCs w:val="18"/>
          <w:lang w:val="es-PE"/>
        </w:rPr>
        <w:t xml:space="preserve">, p. 193. </w:t>
      </w:r>
    </w:p>
    <w:p w14:paraId="37E7ADBD" w14:textId="77777777" w:rsidR="0096481E" w:rsidRPr="00A63ABC" w:rsidRDefault="0096481E" w:rsidP="0096481E">
      <w:pPr>
        <w:pStyle w:val="Textonotapie"/>
        <w:jc w:val="both"/>
        <w:rPr>
          <w:rFonts w:ascii="Arial" w:hAnsi="Arial" w:cs="Arial"/>
          <w:sz w:val="18"/>
          <w:szCs w:val="18"/>
          <w:lang w:val="es-PE"/>
        </w:rPr>
      </w:pPr>
    </w:p>
  </w:footnote>
  <w:footnote w:id="73">
    <w:p w14:paraId="4E00EC06" w14:textId="77777777" w:rsidR="0096481E" w:rsidRPr="00A63ABC" w:rsidRDefault="0096481E" w:rsidP="0096481E">
      <w:pPr>
        <w:pStyle w:val="Textonotapie"/>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Dogliotti, Massimo, </w:t>
      </w:r>
      <w:r w:rsidRPr="00A63ABC">
        <w:rPr>
          <w:rFonts w:ascii="Arial" w:hAnsi="Arial" w:cs="Arial"/>
          <w:i/>
          <w:sz w:val="18"/>
          <w:szCs w:val="18"/>
          <w:lang w:val="it-IT"/>
        </w:rPr>
        <w:t>I. Le persone fisiche</w:t>
      </w:r>
      <w:r w:rsidRPr="00A63ABC">
        <w:rPr>
          <w:rFonts w:ascii="Arial" w:hAnsi="Arial" w:cs="Arial"/>
          <w:sz w:val="18"/>
          <w:szCs w:val="18"/>
          <w:lang w:val="it-IT"/>
        </w:rPr>
        <w:t>, p. 228.</w:t>
      </w:r>
    </w:p>
    <w:p w14:paraId="146B7D25" w14:textId="77777777" w:rsidR="0096481E" w:rsidRPr="00A63ABC" w:rsidRDefault="0096481E" w:rsidP="0096481E">
      <w:pPr>
        <w:pStyle w:val="Textonotapie"/>
        <w:jc w:val="both"/>
        <w:rPr>
          <w:rFonts w:ascii="Arial" w:hAnsi="Arial" w:cs="Arial"/>
          <w:sz w:val="18"/>
          <w:szCs w:val="18"/>
          <w:lang w:val="it-IT"/>
        </w:rPr>
      </w:pPr>
    </w:p>
  </w:footnote>
  <w:footnote w:id="74">
    <w:p w14:paraId="7AACBB8C" w14:textId="77777777" w:rsidR="0096481E" w:rsidRPr="00A63ABC" w:rsidRDefault="0096481E" w:rsidP="0096481E">
      <w:pPr>
        <w:pStyle w:val="Textonotapie"/>
        <w:ind w:left="284" w:hanging="284"/>
        <w:jc w:val="both"/>
        <w:rPr>
          <w:rFonts w:ascii="Arial" w:hAnsi="Arial" w:cs="Arial"/>
          <w:sz w:val="18"/>
          <w:szCs w:val="18"/>
          <w:lang w:val="es-PE"/>
        </w:rPr>
      </w:pPr>
      <w:r w:rsidRPr="00A63ABC">
        <w:rPr>
          <w:rStyle w:val="Refdenotaalpie"/>
          <w:rFonts w:ascii="Arial"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Código civil. IV: Exposición de motivos y comentarios</w:t>
      </w:r>
      <w:r w:rsidRPr="00A63ABC">
        <w:rPr>
          <w:rFonts w:ascii="Arial" w:hAnsi="Arial" w:cs="Arial"/>
          <w:sz w:val="18"/>
          <w:szCs w:val="18"/>
          <w:lang w:val="es-PE"/>
        </w:rPr>
        <w:t>, comisión encargada del estudio y revisión del código civil, compilada por Delia Revoredo de Debakey, Lima, 1985, p. 81.</w:t>
      </w:r>
    </w:p>
    <w:p w14:paraId="4FA3D229" w14:textId="77777777" w:rsidR="0096481E" w:rsidRPr="00A63ABC" w:rsidRDefault="0096481E" w:rsidP="0096481E">
      <w:pPr>
        <w:pStyle w:val="Textonotapie"/>
        <w:jc w:val="both"/>
        <w:rPr>
          <w:rFonts w:ascii="Arial" w:hAnsi="Arial" w:cs="Arial"/>
          <w:sz w:val="18"/>
          <w:szCs w:val="18"/>
          <w:lang w:val="es-PE"/>
        </w:rPr>
      </w:pPr>
    </w:p>
  </w:footnote>
  <w:footnote w:id="75">
    <w:p w14:paraId="5AC242BD" w14:textId="77777777" w:rsidR="0096481E" w:rsidRPr="00A63ABC" w:rsidRDefault="0096481E" w:rsidP="0096481E">
      <w:pPr>
        <w:pStyle w:val="Textonotapie"/>
        <w:rPr>
          <w:rFonts w:ascii="Arial" w:hAnsi="Arial" w:cs="Arial"/>
          <w:sz w:val="18"/>
          <w:szCs w:val="18"/>
          <w:lang w:val="es-PE"/>
        </w:rPr>
      </w:pPr>
      <w:r w:rsidRPr="00A63ABC">
        <w:rPr>
          <w:rStyle w:val="Refdenotaalpie"/>
          <w:rFonts w:ascii="Arial"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Código civil. IV: Exposición de motivos y comentarios</w:t>
      </w:r>
      <w:r w:rsidRPr="00A63ABC">
        <w:rPr>
          <w:rFonts w:ascii="Arial" w:hAnsi="Arial" w:cs="Arial"/>
          <w:sz w:val="18"/>
          <w:szCs w:val="18"/>
          <w:lang w:val="es-PE"/>
        </w:rPr>
        <w:t>, p. 80.</w:t>
      </w:r>
    </w:p>
    <w:p w14:paraId="69873050" w14:textId="77777777" w:rsidR="0096481E" w:rsidRPr="00A63ABC" w:rsidRDefault="0096481E" w:rsidP="0096481E">
      <w:pPr>
        <w:pStyle w:val="Textonotapie"/>
        <w:rPr>
          <w:rFonts w:ascii="Arial" w:hAnsi="Arial" w:cs="Arial"/>
          <w:sz w:val="18"/>
          <w:szCs w:val="18"/>
          <w:lang w:val="es-PE"/>
        </w:rPr>
      </w:pPr>
    </w:p>
  </w:footnote>
  <w:footnote w:id="76">
    <w:p w14:paraId="02555D3C"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Código civil. IV: Exposición de motivos y comentarios</w:t>
      </w:r>
      <w:r w:rsidRPr="00A63ABC">
        <w:rPr>
          <w:rFonts w:ascii="Arial" w:hAnsi="Arial" w:cs="Arial"/>
          <w:sz w:val="18"/>
          <w:szCs w:val="18"/>
          <w:lang w:val="es-PE"/>
        </w:rPr>
        <w:t>, p. 80.</w:t>
      </w:r>
    </w:p>
    <w:p w14:paraId="1FE6770E"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77">
    <w:p w14:paraId="677206AA"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De Cupis, Adriano, </w:t>
      </w:r>
      <w:r w:rsidRPr="00A63ABC">
        <w:rPr>
          <w:rFonts w:ascii="Arial" w:hAnsi="Arial" w:cs="Arial"/>
          <w:i/>
          <w:sz w:val="18"/>
          <w:szCs w:val="18"/>
          <w:lang w:val="it-IT"/>
        </w:rPr>
        <w:t>I diritti della personalità</w:t>
      </w:r>
      <w:r w:rsidRPr="00A63ABC">
        <w:rPr>
          <w:rFonts w:ascii="Arial" w:hAnsi="Arial" w:cs="Arial"/>
          <w:sz w:val="18"/>
          <w:szCs w:val="18"/>
          <w:lang w:val="it-IT"/>
        </w:rPr>
        <w:t>, p. 251.</w:t>
      </w:r>
    </w:p>
    <w:p w14:paraId="1C76898B"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78">
    <w:p w14:paraId="0A874E8D" w14:textId="77777777" w:rsidR="0096481E" w:rsidRPr="00A63ABC" w:rsidRDefault="0096481E" w:rsidP="0096481E">
      <w:pPr>
        <w:pStyle w:val="Textonotapie"/>
        <w:ind w:left="284" w:hanging="284"/>
        <w:jc w:val="both"/>
        <w:rPr>
          <w:rFonts w:ascii="Arial" w:hAnsi="Arial" w:cs="Arial"/>
          <w:sz w:val="18"/>
          <w:szCs w:val="18"/>
          <w:lang w:val="es-PE"/>
        </w:rPr>
      </w:pPr>
      <w:r w:rsidRPr="00A63ABC">
        <w:rPr>
          <w:rStyle w:val="Refdenotaalpie"/>
          <w:rFonts w:ascii="Arial" w:hAnsi="Arial" w:cs="Arial"/>
          <w:sz w:val="18"/>
          <w:szCs w:val="18"/>
        </w:rPr>
        <w:footnoteRef/>
      </w:r>
      <w:r w:rsidRPr="00A63ABC">
        <w:rPr>
          <w:rFonts w:ascii="Arial" w:hAnsi="Arial" w:cs="Arial"/>
          <w:sz w:val="18"/>
          <w:szCs w:val="18"/>
          <w:lang w:val="es-PE"/>
        </w:rPr>
        <w:t xml:space="preserve">   Zeno-Zencovich, Vincenzo, voz </w:t>
      </w:r>
      <w:r w:rsidRPr="00A63ABC">
        <w:rPr>
          <w:rFonts w:ascii="Arial" w:hAnsi="Arial" w:cs="Arial"/>
          <w:i/>
          <w:sz w:val="18"/>
          <w:szCs w:val="18"/>
          <w:lang w:val="es-PE"/>
        </w:rPr>
        <w:t>Onore e reputazione</w:t>
      </w:r>
      <w:r w:rsidRPr="00A63ABC">
        <w:rPr>
          <w:rFonts w:ascii="Arial" w:hAnsi="Arial" w:cs="Arial"/>
          <w:sz w:val="18"/>
          <w:szCs w:val="18"/>
          <w:lang w:val="es-PE"/>
        </w:rPr>
        <w:t>, en: Digesto, IV edición, volumen XIII, sección  Derecho Civil, Utet, Turín, 1996,  p. 91.</w:t>
      </w:r>
    </w:p>
    <w:p w14:paraId="03DD1B6B" w14:textId="77777777" w:rsidR="0096481E" w:rsidRPr="00A63ABC" w:rsidRDefault="0096481E" w:rsidP="0096481E">
      <w:pPr>
        <w:pStyle w:val="Textonotapie"/>
        <w:rPr>
          <w:rFonts w:ascii="Arial" w:hAnsi="Arial" w:cs="Arial"/>
          <w:sz w:val="18"/>
          <w:szCs w:val="18"/>
          <w:lang w:val="es-PE"/>
        </w:rPr>
      </w:pPr>
    </w:p>
  </w:footnote>
  <w:footnote w:id="79">
    <w:p w14:paraId="54718115" w14:textId="77777777" w:rsidR="0096481E" w:rsidRPr="00A63ABC" w:rsidRDefault="0096481E" w:rsidP="0096481E">
      <w:pPr>
        <w:pStyle w:val="Textonotapie"/>
        <w:ind w:left="284" w:hanging="284"/>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Zeno-Zencovich, Vincenzo,  voz </w:t>
      </w:r>
      <w:r w:rsidRPr="00A63ABC">
        <w:rPr>
          <w:rFonts w:ascii="Arial" w:hAnsi="Arial" w:cs="Arial"/>
          <w:i/>
          <w:sz w:val="18"/>
          <w:szCs w:val="18"/>
          <w:lang w:val="it-IT"/>
        </w:rPr>
        <w:t>Onore e reputazione</w:t>
      </w:r>
      <w:r w:rsidRPr="00A63ABC">
        <w:rPr>
          <w:rFonts w:ascii="Arial" w:hAnsi="Arial" w:cs="Arial"/>
          <w:sz w:val="18"/>
          <w:szCs w:val="18"/>
          <w:lang w:val="it-IT"/>
        </w:rPr>
        <w:t>,  p. 91.</w:t>
      </w:r>
    </w:p>
    <w:p w14:paraId="2171D8B9" w14:textId="77777777" w:rsidR="0096481E" w:rsidRPr="00A63ABC" w:rsidRDefault="0096481E" w:rsidP="0096481E">
      <w:pPr>
        <w:pStyle w:val="Textonotapie"/>
        <w:rPr>
          <w:rFonts w:ascii="Arial" w:hAnsi="Arial" w:cs="Arial"/>
          <w:sz w:val="18"/>
          <w:szCs w:val="18"/>
          <w:lang w:val="it-IT"/>
        </w:rPr>
      </w:pPr>
    </w:p>
  </w:footnote>
  <w:footnote w:id="80">
    <w:p w14:paraId="2793FFBC"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Zeno-Zencovich, Vincenzo, </w:t>
      </w:r>
      <w:r w:rsidRPr="00A63ABC">
        <w:rPr>
          <w:rFonts w:ascii="Arial" w:hAnsi="Arial" w:cs="Arial"/>
          <w:i/>
          <w:sz w:val="18"/>
          <w:szCs w:val="18"/>
          <w:lang w:val="it-IT"/>
        </w:rPr>
        <w:t>I diritti della</w:t>
      </w:r>
      <w:r w:rsidRPr="00A63ABC">
        <w:rPr>
          <w:rFonts w:ascii="Arial" w:hAnsi="Arial" w:cs="Arial"/>
          <w:sz w:val="18"/>
          <w:szCs w:val="18"/>
          <w:lang w:val="it-IT"/>
        </w:rPr>
        <w:t xml:space="preserve"> </w:t>
      </w:r>
      <w:r w:rsidRPr="00A63ABC">
        <w:rPr>
          <w:rFonts w:ascii="Arial" w:hAnsi="Arial" w:cs="Arial"/>
          <w:i/>
          <w:sz w:val="18"/>
          <w:szCs w:val="18"/>
          <w:lang w:val="it-IT"/>
        </w:rPr>
        <w:t>personalità</w:t>
      </w:r>
      <w:r w:rsidRPr="00A63ABC">
        <w:rPr>
          <w:rFonts w:ascii="Arial" w:hAnsi="Arial" w:cs="Arial"/>
          <w:sz w:val="18"/>
          <w:szCs w:val="18"/>
          <w:lang w:val="it-IT"/>
        </w:rPr>
        <w:t xml:space="preserve">,  en: </w:t>
      </w:r>
      <w:r w:rsidRPr="00A63ABC">
        <w:rPr>
          <w:rFonts w:ascii="Arial" w:hAnsi="Arial" w:cs="Arial"/>
          <w:i/>
          <w:sz w:val="18"/>
          <w:szCs w:val="18"/>
          <w:lang w:val="it-IT"/>
        </w:rPr>
        <w:t>Diritto Civile</w:t>
      </w:r>
      <w:r w:rsidRPr="00A63ABC">
        <w:rPr>
          <w:rFonts w:ascii="Arial" w:hAnsi="Arial" w:cs="Arial"/>
          <w:sz w:val="18"/>
          <w:szCs w:val="18"/>
          <w:lang w:val="it-IT"/>
        </w:rPr>
        <w:t xml:space="preserve">,  volume I: </w:t>
      </w:r>
      <w:r w:rsidRPr="00A63ABC">
        <w:rPr>
          <w:rFonts w:ascii="Arial" w:hAnsi="Arial" w:cs="Arial"/>
          <w:i/>
          <w:sz w:val="18"/>
          <w:szCs w:val="18"/>
          <w:lang w:val="it-IT"/>
        </w:rPr>
        <w:t>Fonti, soggetti, famiglia. I: Le fonti e i soggetti</w:t>
      </w:r>
      <w:r w:rsidRPr="00A63ABC">
        <w:rPr>
          <w:rFonts w:ascii="Arial" w:hAnsi="Arial" w:cs="Arial"/>
          <w:sz w:val="18"/>
          <w:szCs w:val="18"/>
          <w:lang w:val="it-IT"/>
        </w:rPr>
        <w:t xml:space="preserve">,  al cuidado de Nicolò Lipari  y Pietro Rescigno, coordinado por Andrea Zoppini, Giuffrè editore, Milán, 2009, p.535. </w:t>
      </w:r>
    </w:p>
    <w:p w14:paraId="73C6908E" w14:textId="77777777" w:rsidR="0096481E" w:rsidRPr="00A63ABC" w:rsidRDefault="0096481E" w:rsidP="0096481E">
      <w:pPr>
        <w:pStyle w:val="Textonotapie"/>
        <w:ind w:left="284" w:hanging="284"/>
        <w:jc w:val="both"/>
        <w:rPr>
          <w:rFonts w:ascii="Arial" w:hAnsi="Arial" w:cs="Arial"/>
          <w:sz w:val="18"/>
          <w:szCs w:val="18"/>
          <w:lang w:val="it-IT"/>
        </w:rPr>
      </w:pPr>
    </w:p>
  </w:footnote>
  <w:footnote w:id="81">
    <w:p w14:paraId="23A49FCF" w14:textId="77777777" w:rsidR="0096481E" w:rsidRPr="00A63ABC" w:rsidRDefault="0096481E" w:rsidP="0096481E">
      <w:pPr>
        <w:pStyle w:val="Textonotapie"/>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pp. 170 y ss.</w:t>
      </w:r>
    </w:p>
    <w:p w14:paraId="7D93845D" w14:textId="77777777" w:rsidR="0096481E" w:rsidRPr="00A63ABC" w:rsidRDefault="0096481E" w:rsidP="0096481E">
      <w:pPr>
        <w:pStyle w:val="Textonotapie"/>
        <w:rPr>
          <w:rFonts w:ascii="Arial" w:hAnsi="Arial" w:cs="Arial"/>
          <w:sz w:val="18"/>
          <w:szCs w:val="18"/>
          <w:lang w:val="es-PE"/>
        </w:rPr>
      </w:pPr>
    </w:p>
  </w:footnote>
  <w:footnote w:id="82">
    <w:p w14:paraId="1F49DE85" w14:textId="77777777" w:rsidR="0096481E" w:rsidRPr="00A63ABC" w:rsidRDefault="0096481E" w:rsidP="0096481E">
      <w:pPr>
        <w:pStyle w:val="Textonotapie"/>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Dogliotti, Massimo, </w:t>
      </w:r>
      <w:r w:rsidRPr="00A63ABC">
        <w:rPr>
          <w:rFonts w:ascii="Arial" w:hAnsi="Arial" w:cs="Arial"/>
          <w:i/>
          <w:sz w:val="18"/>
          <w:szCs w:val="18"/>
          <w:lang w:val="it-IT"/>
        </w:rPr>
        <w:t>I. Le persone fisiche</w:t>
      </w:r>
      <w:r w:rsidRPr="00A63ABC">
        <w:rPr>
          <w:rFonts w:ascii="Arial" w:hAnsi="Arial" w:cs="Arial"/>
          <w:sz w:val="18"/>
          <w:szCs w:val="18"/>
          <w:lang w:val="it-IT"/>
        </w:rPr>
        <w:t>, p. 196.</w:t>
      </w:r>
    </w:p>
    <w:p w14:paraId="6FEA5C2C" w14:textId="77777777" w:rsidR="0096481E" w:rsidRPr="00A63ABC" w:rsidRDefault="0096481E" w:rsidP="0096481E">
      <w:pPr>
        <w:pStyle w:val="Textonotapie"/>
        <w:jc w:val="both"/>
        <w:rPr>
          <w:rFonts w:ascii="Arial" w:hAnsi="Arial" w:cs="Arial"/>
          <w:sz w:val="18"/>
          <w:szCs w:val="18"/>
          <w:lang w:val="it-IT"/>
        </w:rPr>
      </w:pPr>
    </w:p>
  </w:footnote>
  <w:footnote w:id="83">
    <w:p w14:paraId="0CDEE53F" w14:textId="77777777" w:rsidR="0096481E" w:rsidRPr="00A63ABC" w:rsidRDefault="0096481E" w:rsidP="0096481E">
      <w:pPr>
        <w:pStyle w:val="Textonotapie"/>
        <w:jc w:val="both"/>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Dogliotti, Massimo, </w:t>
      </w:r>
      <w:r w:rsidRPr="00A63ABC">
        <w:rPr>
          <w:rFonts w:ascii="Arial" w:hAnsi="Arial" w:cs="Arial"/>
          <w:i/>
          <w:sz w:val="18"/>
          <w:szCs w:val="18"/>
          <w:lang w:val="it-IT"/>
        </w:rPr>
        <w:t>I. Le persone fisiche</w:t>
      </w:r>
      <w:r w:rsidRPr="00A63ABC">
        <w:rPr>
          <w:rFonts w:ascii="Arial" w:hAnsi="Arial" w:cs="Arial"/>
          <w:sz w:val="18"/>
          <w:szCs w:val="18"/>
          <w:lang w:val="it-IT"/>
        </w:rPr>
        <w:t>, p. 197.</w:t>
      </w:r>
    </w:p>
    <w:p w14:paraId="5E0D4CAB" w14:textId="77777777" w:rsidR="0096481E" w:rsidRPr="00A63ABC" w:rsidRDefault="0096481E" w:rsidP="0096481E">
      <w:pPr>
        <w:pStyle w:val="Textonotapie"/>
        <w:jc w:val="both"/>
        <w:rPr>
          <w:rFonts w:ascii="Arial" w:hAnsi="Arial" w:cs="Arial"/>
          <w:sz w:val="18"/>
          <w:szCs w:val="18"/>
          <w:lang w:val="it-IT"/>
        </w:rPr>
      </w:pPr>
    </w:p>
  </w:footnote>
  <w:footnote w:id="84">
    <w:p w14:paraId="3F433176" w14:textId="77777777" w:rsidR="0096481E" w:rsidRPr="00A63ABC" w:rsidRDefault="0096481E" w:rsidP="0096481E">
      <w:pPr>
        <w:pStyle w:val="Textonotapie"/>
        <w:rPr>
          <w:rFonts w:ascii="Arial" w:hAnsi="Arial" w:cs="Arial"/>
          <w:sz w:val="18"/>
          <w:szCs w:val="18"/>
          <w:lang w:val="it-IT"/>
        </w:rPr>
      </w:pPr>
      <w:r w:rsidRPr="00A63ABC">
        <w:rPr>
          <w:rStyle w:val="Refdenotaalpie"/>
          <w:rFonts w:ascii="Arial" w:hAnsi="Arial" w:cs="Arial"/>
          <w:sz w:val="18"/>
          <w:szCs w:val="18"/>
          <w:lang w:val="es-PE"/>
        </w:rPr>
        <w:footnoteRef/>
      </w:r>
      <w:r w:rsidRPr="00A63ABC">
        <w:rPr>
          <w:rFonts w:ascii="Arial" w:hAnsi="Arial" w:cs="Arial"/>
          <w:sz w:val="18"/>
          <w:szCs w:val="18"/>
          <w:lang w:val="it-IT"/>
        </w:rPr>
        <w:t xml:space="preserve"> Fusaro, Arianna, </w:t>
      </w:r>
      <w:r w:rsidRPr="00A63ABC">
        <w:rPr>
          <w:rFonts w:ascii="Arial" w:hAnsi="Arial" w:cs="Arial"/>
          <w:i/>
          <w:sz w:val="18"/>
          <w:szCs w:val="18"/>
          <w:lang w:val="it-IT"/>
        </w:rPr>
        <w:t>I diritti della personalità dei soggetti collettivi</w:t>
      </w:r>
      <w:r w:rsidRPr="00A63ABC">
        <w:rPr>
          <w:rFonts w:ascii="Arial" w:hAnsi="Arial" w:cs="Arial"/>
          <w:sz w:val="18"/>
          <w:szCs w:val="18"/>
          <w:lang w:val="it-IT"/>
        </w:rPr>
        <w:t>, p.50.</w:t>
      </w:r>
    </w:p>
    <w:p w14:paraId="0FCD4094" w14:textId="77777777" w:rsidR="0096481E" w:rsidRPr="00A63ABC" w:rsidRDefault="0096481E" w:rsidP="0096481E">
      <w:pPr>
        <w:pStyle w:val="Textonotapie"/>
        <w:rPr>
          <w:rFonts w:ascii="Arial" w:hAnsi="Arial" w:cs="Arial"/>
          <w:sz w:val="18"/>
          <w:szCs w:val="18"/>
          <w:lang w:val="it-IT"/>
        </w:rPr>
      </w:pPr>
    </w:p>
  </w:footnote>
  <w:footnote w:id="85">
    <w:p w14:paraId="503336E5" w14:textId="77777777" w:rsidR="0096481E" w:rsidRPr="00A63ABC" w:rsidRDefault="0096481E" w:rsidP="0096481E">
      <w:pPr>
        <w:pStyle w:val="Textonotapie"/>
        <w:ind w:left="142" w:hanging="142"/>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El derecho a la identidad personal</w:t>
      </w:r>
      <w:r w:rsidRPr="00A63ABC">
        <w:rPr>
          <w:rFonts w:ascii="Arial" w:hAnsi="Arial" w:cs="Arial"/>
          <w:sz w:val="18"/>
          <w:szCs w:val="18"/>
          <w:lang w:val="es-PE"/>
        </w:rPr>
        <w:t xml:space="preserve">, en. AA.VV., </w:t>
      </w:r>
      <w:r w:rsidRPr="00A63ABC">
        <w:rPr>
          <w:rFonts w:ascii="Arial" w:hAnsi="Arial" w:cs="Arial"/>
          <w:i/>
          <w:sz w:val="18"/>
          <w:szCs w:val="18"/>
          <w:lang w:val="es-PE"/>
        </w:rPr>
        <w:t>Tendencias actuales y perspectivas del derecho privado y el sistema jurídico latinoamericano</w:t>
      </w:r>
      <w:r w:rsidRPr="00A63ABC">
        <w:rPr>
          <w:rFonts w:ascii="Arial" w:hAnsi="Arial" w:cs="Arial"/>
          <w:sz w:val="18"/>
          <w:szCs w:val="18"/>
          <w:lang w:val="es-PE"/>
        </w:rPr>
        <w:t>, ponencias presentadas en el Congreso Internacional celebrado en Lima del 5 al 7 de setiembre de 1988, organizado por el Ilustre Colegio de Abogados de Lima y la Associazione di Studi Sociali Latinoamericani (ASSLA), Cultural Cuzco S.A. editores, Lima, 1990, p.93 y ss.</w:t>
      </w:r>
    </w:p>
    <w:p w14:paraId="57CDD3D2" w14:textId="77777777" w:rsidR="0096481E" w:rsidRPr="00A63ABC" w:rsidRDefault="0096481E" w:rsidP="0096481E">
      <w:pPr>
        <w:pStyle w:val="Textonotapie"/>
        <w:ind w:left="426" w:hanging="426"/>
        <w:jc w:val="both"/>
        <w:rPr>
          <w:rFonts w:ascii="Arial" w:hAnsi="Arial" w:cs="Arial"/>
          <w:sz w:val="18"/>
          <w:szCs w:val="18"/>
          <w:lang w:val="es-PE"/>
        </w:rPr>
      </w:pPr>
    </w:p>
  </w:footnote>
  <w:footnote w:id="86">
    <w:p w14:paraId="0E43F6F5"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Zeno-Zencovich, Vincenzo, </w:t>
      </w:r>
      <w:r w:rsidRPr="00A63ABC">
        <w:rPr>
          <w:rFonts w:ascii="Arial" w:hAnsi="Arial" w:cs="Arial"/>
          <w:i/>
          <w:sz w:val="18"/>
          <w:szCs w:val="18"/>
          <w:lang w:val="it-IT"/>
        </w:rPr>
        <w:t>Diritto di informazione e all'informazione</w:t>
      </w:r>
      <w:r w:rsidRPr="00A63ABC">
        <w:rPr>
          <w:rFonts w:ascii="Arial" w:hAnsi="Arial" w:cs="Arial"/>
          <w:sz w:val="18"/>
          <w:szCs w:val="18"/>
          <w:lang w:val="it-IT"/>
        </w:rPr>
        <w:t>, en: Enciclopedia Italiana, XXI Secolo, Norme e idee, Roma, 2009, pág. 302.</w:t>
      </w:r>
    </w:p>
    <w:p w14:paraId="6065DC69"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87">
    <w:p w14:paraId="3EC585F5" w14:textId="77777777" w:rsidR="0096481E" w:rsidRPr="00A63ABC" w:rsidRDefault="0096481E" w:rsidP="0096481E">
      <w:pPr>
        <w:pStyle w:val="Textonotapie"/>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Zeno-Zencovich, Vincenzo, voz  </w:t>
      </w:r>
      <w:r w:rsidRPr="00A63ABC">
        <w:rPr>
          <w:rFonts w:ascii="Arial" w:hAnsi="Arial" w:cs="Arial"/>
          <w:i/>
          <w:sz w:val="18"/>
          <w:szCs w:val="18"/>
          <w:lang w:val="it-IT"/>
        </w:rPr>
        <w:t>Informazione (Profili Civilistici)</w:t>
      </w:r>
      <w:r w:rsidRPr="00A63ABC">
        <w:rPr>
          <w:rFonts w:ascii="Arial" w:hAnsi="Arial" w:cs="Arial"/>
          <w:sz w:val="18"/>
          <w:szCs w:val="18"/>
          <w:lang w:val="it-IT"/>
        </w:rPr>
        <w:t xml:space="preserve">, en: Digesto, IV edición, volumen IX, sección Derecho Civil, Utet, Turín, 1993,  p. 2. </w:t>
      </w:r>
    </w:p>
    <w:p w14:paraId="3AB0CB5D" w14:textId="77777777" w:rsidR="0096481E" w:rsidRPr="00A63ABC" w:rsidRDefault="0096481E" w:rsidP="0096481E">
      <w:pPr>
        <w:pStyle w:val="Textonotapie"/>
        <w:rPr>
          <w:rFonts w:ascii="Arial" w:hAnsi="Arial" w:cs="Arial"/>
          <w:sz w:val="18"/>
          <w:szCs w:val="18"/>
          <w:lang w:val="it-IT"/>
        </w:rPr>
      </w:pPr>
    </w:p>
  </w:footnote>
  <w:footnote w:id="88">
    <w:p w14:paraId="2B7693F1" w14:textId="77777777" w:rsidR="0096481E" w:rsidRPr="00A63ABC" w:rsidRDefault="0096481E" w:rsidP="0096481E">
      <w:pPr>
        <w:pStyle w:val="Textonotapie"/>
        <w:ind w:left="284" w:hanging="284"/>
        <w:jc w:val="both"/>
        <w:rPr>
          <w:rFonts w:ascii="Arial" w:hAnsi="Arial" w:cs="Arial"/>
          <w:i/>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Scalisi, Vincenzo, </w:t>
      </w:r>
      <w:r w:rsidRPr="00A63ABC">
        <w:rPr>
          <w:rFonts w:ascii="Arial" w:hAnsi="Arial" w:cs="Arial"/>
          <w:i/>
          <w:sz w:val="18"/>
          <w:szCs w:val="18"/>
          <w:lang w:val="it-IT"/>
        </w:rPr>
        <w:t>Lesione dell’identità personale e danno non patrimoniale</w:t>
      </w:r>
      <w:r w:rsidRPr="00A63ABC">
        <w:rPr>
          <w:rFonts w:ascii="Arial" w:hAnsi="Arial" w:cs="Arial"/>
          <w:sz w:val="18"/>
          <w:szCs w:val="18"/>
          <w:lang w:val="it-IT"/>
        </w:rPr>
        <w:t xml:space="preserve">, AA.VV., </w:t>
      </w:r>
      <w:r w:rsidRPr="00A63ABC">
        <w:rPr>
          <w:rFonts w:ascii="Arial" w:hAnsi="Arial" w:cs="Arial"/>
          <w:i/>
          <w:sz w:val="18"/>
          <w:szCs w:val="18"/>
          <w:lang w:val="it-IT"/>
        </w:rPr>
        <w:t>La lesione all’identità personale e il danno non patrimoniale</w:t>
      </w:r>
      <w:r w:rsidRPr="00A63ABC">
        <w:rPr>
          <w:rFonts w:ascii="Arial" w:hAnsi="Arial" w:cs="Arial"/>
          <w:sz w:val="18"/>
          <w:szCs w:val="18"/>
          <w:lang w:val="it-IT"/>
        </w:rPr>
        <w:t>, Giuffrè editore, Milán, 1985, p. 129.</w:t>
      </w:r>
    </w:p>
    <w:p w14:paraId="7F164044" w14:textId="77777777" w:rsidR="0096481E" w:rsidRPr="00A63ABC" w:rsidRDefault="0096481E" w:rsidP="0096481E">
      <w:pPr>
        <w:pStyle w:val="Textonotapie"/>
        <w:rPr>
          <w:rFonts w:ascii="Arial" w:hAnsi="Arial" w:cs="Arial"/>
          <w:sz w:val="18"/>
          <w:szCs w:val="18"/>
          <w:lang w:val="it-IT"/>
        </w:rPr>
      </w:pPr>
    </w:p>
  </w:footnote>
  <w:footnote w:id="89">
    <w:p w14:paraId="13AC67FE"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Zeno-Zencovich, Vincenzo, </w:t>
      </w:r>
      <w:r w:rsidRPr="00A63ABC">
        <w:rPr>
          <w:rFonts w:ascii="Arial" w:hAnsi="Arial" w:cs="Arial"/>
          <w:i/>
          <w:sz w:val="18"/>
          <w:szCs w:val="18"/>
          <w:lang w:val="it-IT"/>
        </w:rPr>
        <w:t>Diritto di informazione e all'informazione</w:t>
      </w:r>
      <w:r w:rsidRPr="00A63ABC">
        <w:rPr>
          <w:rFonts w:ascii="Arial" w:hAnsi="Arial" w:cs="Arial"/>
          <w:sz w:val="18"/>
          <w:szCs w:val="18"/>
          <w:lang w:val="it-IT"/>
        </w:rPr>
        <w:t>, pág. 305.</w:t>
      </w:r>
    </w:p>
  </w:footnote>
  <w:footnote w:id="90">
    <w:p w14:paraId="581E3557"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Perlingieri, Pietro, </w:t>
      </w:r>
      <w:r w:rsidRPr="00A63ABC">
        <w:rPr>
          <w:rFonts w:ascii="Arial" w:hAnsi="Arial" w:cs="Arial"/>
          <w:i/>
          <w:sz w:val="18"/>
          <w:szCs w:val="18"/>
          <w:lang w:val="it-IT"/>
        </w:rPr>
        <w:t>Note introduttive ai problema giuridici del mutamento di sesso</w:t>
      </w:r>
      <w:r w:rsidRPr="00A63ABC">
        <w:rPr>
          <w:rFonts w:ascii="Arial" w:hAnsi="Arial" w:cs="Arial"/>
          <w:sz w:val="18"/>
          <w:szCs w:val="18"/>
          <w:lang w:val="it-IT"/>
        </w:rPr>
        <w:t xml:space="preserve">,  en:  D’Addino Serravalle, Paola; Perlingieri, Pietro y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xml:space="preserve">, E.S.I., Nápoles, 1981, p.38. </w:t>
      </w:r>
    </w:p>
    <w:p w14:paraId="19F1420B" w14:textId="77777777" w:rsidR="0096481E" w:rsidRPr="00A63ABC" w:rsidRDefault="0096481E" w:rsidP="0096481E">
      <w:pPr>
        <w:pStyle w:val="Textonotapie"/>
        <w:spacing w:line="276" w:lineRule="auto"/>
        <w:rPr>
          <w:rFonts w:ascii="Arial" w:hAnsi="Arial" w:cs="Arial"/>
          <w:sz w:val="18"/>
          <w:szCs w:val="18"/>
          <w:lang w:val="it-IT"/>
        </w:rPr>
      </w:pPr>
    </w:p>
  </w:footnote>
  <w:footnote w:id="91">
    <w:p w14:paraId="577F6800"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Bianca, Cesare Massimo, </w:t>
      </w:r>
      <w:r w:rsidRPr="00A63ABC">
        <w:rPr>
          <w:rFonts w:ascii="Arial" w:hAnsi="Arial" w:cs="Arial"/>
          <w:i/>
          <w:sz w:val="18"/>
          <w:szCs w:val="18"/>
          <w:lang w:val="it-IT"/>
        </w:rPr>
        <w:t>Diritto Civile, I: La norma giuridica-i soggetti</w:t>
      </w:r>
      <w:r w:rsidRPr="00A63ABC">
        <w:rPr>
          <w:rFonts w:ascii="Arial" w:hAnsi="Arial" w:cs="Arial"/>
          <w:sz w:val="18"/>
          <w:szCs w:val="18"/>
          <w:lang w:val="it-IT"/>
        </w:rPr>
        <w:t>, p. 199.</w:t>
      </w:r>
    </w:p>
    <w:p w14:paraId="4DC5B731" w14:textId="77777777" w:rsidR="0096481E" w:rsidRPr="00A63ABC" w:rsidRDefault="0096481E" w:rsidP="0096481E">
      <w:pPr>
        <w:pStyle w:val="Textonotapie"/>
        <w:spacing w:line="276" w:lineRule="auto"/>
        <w:rPr>
          <w:rFonts w:ascii="Arial" w:hAnsi="Arial" w:cs="Arial"/>
          <w:sz w:val="18"/>
          <w:szCs w:val="18"/>
          <w:lang w:val="it-IT"/>
        </w:rPr>
      </w:pPr>
    </w:p>
  </w:footnote>
  <w:footnote w:id="92">
    <w:p w14:paraId="3511C1EC"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Palazzani, Laura, </w:t>
      </w:r>
      <w:r w:rsidRPr="00A63ABC">
        <w:rPr>
          <w:rFonts w:ascii="Arial" w:hAnsi="Arial" w:cs="Arial"/>
          <w:i/>
          <w:sz w:val="18"/>
          <w:szCs w:val="18"/>
          <w:lang w:val="it-IT"/>
        </w:rPr>
        <w:t>Identità di genere come problema biogiuridico</w:t>
      </w:r>
      <w:r w:rsidRPr="00A63ABC">
        <w:rPr>
          <w:rFonts w:ascii="Arial" w:hAnsi="Arial" w:cs="Arial"/>
          <w:sz w:val="18"/>
          <w:szCs w:val="18"/>
          <w:lang w:val="it-IT"/>
        </w:rPr>
        <w:t xml:space="preserve">, en: AA.VV.,  </w:t>
      </w:r>
      <w:r w:rsidRPr="00A63ABC">
        <w:rPr>
          <w:rFonts w:ascii="Arial" w:hAnsi="Arial" w:cs="Arial"/>
          <w:i/>
          <w:sz w:val="18"/>
          <w:szCs w:val="18"/>
          <w:lang w:val="it-IT"/>
        </w:rPr>
        <w:t>Identità sessuale e identità di genere</w:t>
      </w:r>
      <w:r w:rsidRPr="00A63ABC">
        <w:rPr>
          <w:rFonts w:ascii="Arial" w:hAnsi="Arial" w:cs="Arial"/>
          <w:sz w:val="18"/>
          <w:szCs w:val="18"/>
          <w:lang w:val="it-IT"/>
        </w:rPr>
        <w:t>, atti del Convegno nazionale dell’ Unione Giuristi Cattolici Italiani, al cuidado de FrancescoD’Agostino,  Giuffrè Editore, Milán, 2012,   p. 15.</w:t>
      </w:r>
    </w:p>
    <w:p w14:paraId="05493C86" w14:textId="77777777" w:rsidR="0096481E" w:rsidRPr="00A63ABC" w:rsidRDefault="0096481E" w:rsidP="0096481E">
      <w:pPr>
        <w:pStyle w:val="Textonotapie"/>
        <w:spacing w:line="276" w:lineRule="auto"/>
        <w:rPr>
          <w:rFonts w:ascii="Arial" w:hAnsi="Arial" w:cs="Arial"/>
          <w:sz w:val="18"/>
          <w:szCs w:val="18"/>
          <w:lang w:val="it-IT"/>
        </w:rPr>
      </w:pPr>
    </w:p>
  </w:footnote>
  <w:footnote w:id="93">
    <w:p w14:paraId="65A3A696"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Rodotà, Stefano, </w:t>
      </w:r>
      <w:r w:rsidRPr="00A63ABC">
        <w:rPr>
          <w:rFonts w:ascii="Arial" w:hAnsi="Arial" w:cs="Arial"/>
          <w:i/>
          <w:sz w:val="18"/>
          <w:szCs w:val="18"/>
          <w:lang w:val="it-IT"/>
        </w:rPr>
        <w:t>Diritto d’amore</w:t>
      </w:r>
      <w:r w:rsidRPr="00A63ABC">
        <w:rPr>
          <w:rFonts w:ascii="Arial" w:hAnsi="Arial" w:cs="Arial"/>
          <w:sz w:val="18"/>
          <w:szCs w:val="18"/>
          <w:lang w:val="it-IT"/>
        </w:rPr>
        <w:t xml:space="preserve">, Editore Laterza, Bari, 2017,  p. 128. </w:t>
      </w:r>
    </w:p>
    <w:p w14:paraId="523AB463" w14:textId="77777777" w:rsidR="0096481E" w:rsidRPr="00A63ABC" w:rsidRDefault="0096481E" w:rsidP="0096481E">
      <w:pPr>
        <w:pStyle w:val="Textonotapie"/>
        <w:spacing w:line="276" w:lineRule="auto"/>
        <w:rPr>
          <w:rFonts w:ascii="Arial" w:hAnsi="Arial" w:cs="Arial"/>
          <w:sz w:val="18"/>
          <w:szCs w:val="18"/>
          <w:lang w:val="it-IT"/>
        </w:rPr>
      </w:pPr>
    </w:p>
  </w:footnote>
  <w:footnote w:id="94">
    <w:p w14:paraId="31272962"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 288 y ss.</w:t>
      </w:r>
    </w:p>
    <w:p w14:paraId="466B7243"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95">
    <w:p w14:paraId="230B5021" w14:textId="77777777" w:rsidR="0096481E" w:rsidRPr="00A63ABC" w:rsidRDefault="0096481E" w:rsidP="0096481E">
      <w:pPr>
        <w:pStyle w:val="Textonotapie"/>
        <w:spacing w:line="276" w:lineRule="auto"/>
        <w:ind w:left="284" w:hanging="284"/>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Problemática de la identidad sexual</w:t>
      </w:r>
      <w:r w:rsidRPr="00A63ABC">
        <w:rPr>
          <w:rFonts w:ascii="Arial" w:hAnsi="Arial" w:cs="Arial"/>
          <w:sz w:val="18"/>
          <w:szCs w:val="18"/>
          <w:lang w:val="es-PE"/>
        </w:rPr>
        <w:t xml:space="preserve">, en: Id, </w:t>
      </w:r>
      <w:r w:rsidRPr="00A63ABC">
        <w:rPr>
          <w:rFonts w:ascii="Arial" w:hAnsi="Arial" w:cs="Arial"/>
          <w:i/>
          <w:sz w:val="18"/>
          <w:szCs w:val="18"/>
          <w:lang w:val="es-PE"/>
        </w:rPr>
        <w:t>Nuevas tendencias en el derecho de las personas</w:t>
      </w:r>
      <w:r w:rsidRPr="00A63ABC">
        <w:rPr>
          <w:rFonts w:ascii="Arial" w:hAnsi="Arial" w:cs="Arial"/>
          <w:sz w:val="18"/>
          <w:szCs w:val="18"/>
          <w:lang w:val="es-PE"/>
        </w:rPr>
        <w:t>, Universidad de Lima, 1990, p. 201.</w:t>
      </w:r>
    </w:p>
    <w:p w14:paraId="040DC906" w14:textId="77777777" w:rsidR="0096481E" w:rsidRPr="00A63ABC" w:rsidRDefault="0096481E" w:rsidP="0096481E">
      <w:pPr>
        <w:pStyle w:val="Textonotapie"/>
        <w:spacing w:line="276" w:lineRule="auto"/>
        <w:rPr>
          <w:rFonts w:ascii="Arial" w:hAnsi="Arial" w:cs="Arial"/>
          <w:sz w:val="18"/>
          <w:szCs w:val="18"/>
          <w:lang w:val="es-PE"/>
        </w:rPr>
      </w:pPr>
    </w:p>
  </w:footnote>
  <w:footnote w:id="96">
    <w:p w14:paraId="1FE5A627"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Patti, Salvatore,  </w:t>
      </w:r>
      <w:r w:rsidRPr="00A63ABC">
        <w:rPr>
          <w:rFonts w:ascii="Arial" w:hAnsi="Arial" w:cs="Arial"/>
          <w:i/>
          <w:sz w:val="18"/>
          <w:szCs w:val="18"/>
          <w:lang w:val="it-IT"/>
        </w:rPr>
        <w:t>Aspetti oggettivi e soggettivi dell’Identità sessuale</w:t>
      </w:r>
      <w:r w:rsidRPr="00A63ABC">
        <w:rPr>
          <w:rFonts w:ascii="Arial" w:hAnsi="Arial" w:cs="Arial"/>
          <w:sz w:val="18"/>
          <w:szCs w:val="18"/>
          <w:lang w:val="it-IT"/>
        </w:rPr>
        <w:t xml:space="preserve">, en: Patti, Salvatore y Will, Michael R., </w:t>
      </w:r>
      <w:r w:rsidRPr="00A63ABC">
        <w:rPr>
          <w:rFonts w:ascii="Arial" w:hAnsi="Arial" w:cs="Arial"/>
          <w:i/>
          <w:sz w:val="18"/>
          <w:szCs w:val="18"/>
          <w:lang w:val="it-IT"/>
        </w:rPr>
        <w:t xml:space="preserve">Mutamento di  sesso e tutela della persona. Saggi di diritto civile e </w:t>
      </w:r>
      <w:r w:rsidRPr="00A63ABC">
        <w:rPr>
          <w:rFonts w:ascii="Arial" w:hAnsi="Arial" w:cs="Arial"/>
          <w:sz w:val="18"/>
          <w:szCs w:val="18"/>
          <w:lang w:val="it-IT"/>
        </w:rPr>
        <w:t>comparato, Cedamn, Padua, 1986, p.105.</w:t>
      </w:r>
    </w:p>
  </w:footnote>
  <w:footnote w:id="97">
    <w:p w14:paraId="4823D7C5"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Benjamin, Harry, </w:t>
      </w:r>
      <w:r w:rsidRPr="00A63ABC">
        <w:rPr>
          <w:rFonts w:ascii="Arial" w:hAnsi="Arial" w:cs="Arial"/>
          <w:i/>
          <w:sz w:val="18"/>
          <w:szCs w:val="18"/>
          <w:lang w:val="it-IT"/>
        </w:rPr>
        <w:t>Il fenomeno transessuale. Rapporto scientifico sul transessualismo e sui cambiamenti di sesso</w:t>
      </w:r>
      <w:r w:rsidRPr="00A63ABC">
        <w:rPr>
          <w:rFonts w:ascii="Arial" w:hAnsi="Arial" w:cs="Arial"/>
          <w:sz w:val="18"/>
          <w:szCs w:val="18"/>
          <w:lang w:val="it-IT"/>
        </w:rPr>
        <w:t>, traducción de Franco Pintore, Casa editrice Astrolabio, Roma, 1968, p. 13.</w:t>
      </w:r>
    </w:p>
    <w:p w14:paraId="221983D9"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98">
    <w:p w14:paraId="47E3E928"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rPr>
        <w:tab/>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Problemática de la identidad sexual</w:t>
      </w:r>
      <w:r w:rsidRPr="00A63ABC">
        <w:rPr>
          <w:rFonts w:ascii="Arial" w:hAnsi="Arial" w:cs="Arial"/>
          <w:sz w:val="18"/>
          <w:szCs w:val="18"/>
          <w:lang w:val="es-PE"/>
        </w:rPr>
        <w:t xml:space="preserve">, en: Id, </w:t>
      </w:r>
      <w:r w:rsidRPr="00A63ABC">
        <w:rPr>
          <w:rFonts w:ascii="Arial" w:hAnsi="Arial" w:cs="Arial"/>
          <w:i/>
          <w:sz w:val="18"/>
          <w:szCs w:val="18"/>
          <w:lang w:val="es-PE"/>
        </w:rPr>
        <w:t>Nuevas tendencias en el derecho de las personas</w:t>
      </w:r>
      <w:r w:rsidRPr="00A63ABC">
        <w:rPr>
          <w:rFonts w:ascii="Arial" w:hAnsi="Arial" w:cs="Arial"/>
          <w:sz w:val="18"/>
          <w:szCs w:val="18"/>
          <w:lang w:val="es-PE"/>
        </w:rPr>
        <w:t>, p. 202.</w:t>
      </w:r>
    </w:p>
    <w:p w14:paraId="0D748EC2" w14:textId="77777777" w:rsidR="0096481E" w:rsidRPr="00A63ABC" w:rsidRDefault="0096481E" w:rsidP="0096481E">
      <w:pPr>
        <w:pStyle w:val="Textonotapie"/>
        <w:spacing w:line="276" w:lineRule="auto"/>
        <w:rPr>
          <w:rFonts w:ascii="Arial" w:hAnsi="Arial" w:cs="Arial"/>
          <w:sz w:val="18"/>
          <w:szCs w:val="18"/>
          <w:lang w:val="es-PE"/>
        </w:rPr>
      </w:pPr>
    </w:p>
  </w:footnote>
  <w:footnote w:id="99">
    <w:p w14:paraId="4B95592E"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Problemática de la identidad sexual</w:t>
      </w:r>
      <w:r w:rsidRPr="00A63ABC">
        <w:rPr>
          <w:rFonts w:ascii="Arial" w:hAnsi="Arial" w:cs="Arial"/>
          <w:sz w:val="18"/>
          <w:szCs w:val="18"/>
          <w:lang w:val="es-PE"/>
        </w:rPr>
        <w:t xml:space="preserve">, en: Id, </w:t>
      </w:r>
      <w:r w:rsidRPr="00A63ABC">
        <w:rPr>
          <w:rFonts w:ascii="Arial" w:hAnsi="Arial" w:cs="Arial"/>
          <w:i/>
          <w:sz w:val="18"/>
          <w:szCs w:val="18"/>
          <w:lang w:val="es-PE"/>
        </w:rPr>
        <w:t>Nuevas tendencias en el derecho de las personas</w:t>
      </w:r>
      <w:r w:rsidRPr="00A63ABC">
        <w:rPr>
          <w:rFonts w:ascii="Arial" w:hAnsi="Arial" w:cs="Arial"/>
          <w:sz w:val="18"/>
          <w:szCs w:val="18"/>
          <w:lang w:val="es-PE"/>
        </w:rPr>
        <w:t>, p. 202.</w:t>
      </w:r>
    </w:p>
    <w:p w14:paraId="3B8B1619" w14:textId="77777777" w:rsidR="0096481E" w:rsidRPr="00A63ABC" w:rsidRDefault="0096481E" w:rsidP="0096481E">
      <w:pPr>
        <w:pStyle w:val="Textonotapie"/>
        <w:spacing w:line="276" w:lineRule="auto"/>
        <w:rPr>
          <w:rFonts w:ascii="Arial" w:hAnsi="Arial" w:cs="Arial"/>
          <w:sz w:val="18"/>
          <w:szCs w:val="18"/>
          <w:lang w:val="es-PE"/>
        </w:rPr>
      </w:pPr>
    </w:p>
  </w:footnote>
  <w:footnote w:id="100">
    <w:p w14:paraId="61DB957F"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Stanzione, Pasquale, </w:t>
      </w:r>
      <w:r w:rsidRPr="00A63ABC">
        <w:rPr>
          <w:rFonts w:ascii="Arial" w:hAnsi="Arial" w:cs="Arial"/>
          <w:i/>
          <w:sz w:val="18"/>
          <w:szCs w:val="18"/>
          <w:lang w:val="it-IT"/>
        </w:rPr>
        <w:t>Premessa ad uno studio giuridico del transessualismo</w:t>
      </w:r>
      <w:r w:rsidRPr="00A63ABC">
        <w:rPr>
          <w:rFonts w:ascii="Arial" w:hAnsi="Arial" w:cs="Arial"/>
          <w:sz w:val="18"/>
          <w:szCs w:val="18"/>
          <w:lang w:val="it-IT"/>
        </w:rPr>
        <w:t xml:space="preserve">, en:  D’Addino Serravalle, Paola; Perlingieri, Pietro e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p. 15.</w:t>
      </w:r>
    </w:p>
    <w:p w14:paraId="40030FDD" w14:textId="77777777" w:rsidR="0096481E" w:rsidRPr="00A63ABC" w:rsidRDefault="0096481E" w:rsidP="0096481E">
      <w:pPr>
        <w:pStyle w:val="Textonotapie"/>
        <w:spacing w:line="276" w:lineRule="auto"/>
        <w:rPr>
          <w:rFonts w:ascii="Arial" w:hAnsi="Arial" w:cs="Arial"/>
          <w:sz w:val="18"/>
          <w:szCs w:val="18"/>
          <w:lang w:val="it-IT"/>
        </w:rPr>
      </w:pPr>
    </w:p>
  </w:footnote>
  <w:footnote w:id="101">
    <w:p w14:paraId="50846C3F"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Problemática de la identidad sexual</w:t>
      </w:r>
      <w:r w:rsidRPr="00A63ABC">
        <w:rPr>
          <w:rFonts w:ascii="Arial" w:hAnsi="Arial" w:cs="Arial"/>
          <w:sz w:val="18"/>
          <w:szCs w:val="18"/>
          <w:lang w:val="es-PE"/>
        </w:rPr>
        <w:t xml:space="preserve">, en: Id, </w:t>
      </w:r>
      <w:r w:rsidRPr="00A63ABC">
        <w:rPr>
          <w:rFonts w:ascii="Arial" w:hAnsi="Arial" w:cs="Arial"/>
          <w:i/>
          <w:sz w:val="18"/>
          <w:szCs w:val="18"/>
          <w:lang w:val="es-PE"/>
        </w:rPr>
        <w:t>Nuevas tendencias en el derecho de las personas</w:t>
      </w:r>
      <w:r w:rsidRPr="00A63ABC">
        <w:rPr>
          <w:rFonts w:ascii="Arial" w:hAnsi="Arial" w:cs="Arial"/>
          <w:sz w:val="18"/>
          <w:szCs w:val="18"/>
          <w:lang w:val="es-PE"/>
        </w:rPr>
        <w:t>, p. 203.</w:t>
      </w:r>
    </w:p>
    <w:p w14:paraId="03399A5C" w14:textId="77777777" w:rsidR="0096481E" w:rsidRPr="00A63ABC" w:rsidRDefault="0096481E" w:rsidP="0096481E">
      <w:pPr>
        <w:pStyle w:val="Textonotapie"/>
        <w:spacing w:line="276" w:lineRule="auto"/>
        <w:rPr>
          <w:rFonts w:ascii="Arial" w:hAnsi="Arial" w:cs="Arial"/>
          <w:sz w:val="18"/>
          <w:szCs w:val="18"/>
          <w:lang w:val="es-PE"/>
        </w:rPr>
      </w:pPr>
    </w:p>
  </w:footnote>
  <w:footnote w:id="102">
    <w:p w14:paraId="53E37D5C"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Pelligrini, Rosella, </w:t>
      </w:r>
      <w:r w:rsidRPr="00A63ABC">
        <w:rPr>
          <w:rFonts w:ascii="Arial" w:hAnsi="Arial" w:cs="Arial"/>
          <w:i/>
          <w:sz w:val="18"/>
          <w:szCs w:val="18"/>
          <w:lang w:val="it-IT"/>
        </w:rPr>
        <w:t>Sessualità</w:t>
      </w:r>
      <w:r w:rsidRPr="00A63ABC">
        <w:rPr>
          <w:rFonts w:ascii="Arial" w:hAnsi="Arial" w:cs="Arial"/>
          <w:sz w:val="18"/>
          <w:szCs w:val="18"/>
          <w:lang w:val="it-IT"/>
        </w:rPr>
        <w:t xml:space="preserve">, en: </w:t>
      </w:r>
      <w:r w:rsidRPr="00A63ABC">
        <w:rPr>
          <w:rFonts w:ascii="Arial" w:hAnsi="Arial" w:cs="Arial"/>
          <w:i/>
          <w:sz w:val="18"/>
          <w:szCs w:val="18"/>
          <w:lang w:val="it-IT"/>
        </w:rPr>
        <w:t>Novissimo Digesto Italiano</w:t>
      </w:r>
      <w:r w:rsidRPr="00A63ABC">
        <w:rPr>
          <w:rFonts w:ascii="Arial" w:hAnsi="Arial" w:cs="Arial"/>
          <w:sz w:val="18"/>
          <w:szCs w:val="18"/>
          <w:lang w:val="it-IT"/>
        </w:rPr>
        <w:t>, Tomo XII, UTET, Turín, 1970, p.234.</w:t>
      </w:r>
    </w:p>
    <w:p w14:paraId="594D0645"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103">
    <w:p w14:paraId="7AF6595C"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Pelligrini, Rosella, </w:t>
      </w:r>
      <w:r w:rsidRPr="00A63ABC">
        <w:rPr>
          <w:rFonts w:ascii="Arial" w:hAnsi="Arial" w:cs="Arial"/>
          <w:i/>
          <w:sz w:val="18"/>
          <w:szCs w:val="18"/>
          <w:lang w:val="es-PE"/>
        </w:rPr>
        <w:t>Sessualità</w:t>
      </w:r>
      <w:r w:rsidRPr="00A63ABC">
        <w:rPr>
          <w:rFonts w:ascii="Arial" w:hAnsi="Arial" w:cs="Arial"/>
          <w:sz w:val="18"/>
          <w:szCs w:val="18"/>
          <w:lang w:val="es-PE"/>
        </w:rPr>
        <w:t>, p. 234.</w:t>
      </w:r>
    </w:p>
    <w:p w14:paraId="57CF0586"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04">
    <w:p w14:paraId="3C13BD1F"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Nuevas reflexiones sobre la adecuación sexual y el consiguiente cambio de nombre</w:t>
      </w:r>
      <w:r w:rsidRPr="00A63ABC">
        <w:rPr>
          <w:rFonts w:ascii="Arial" w:hAnsi="Arial" w:cs="Arial"/>
          <w:sz w:val="18"/>
          <w:szCs w:val="18"/>
          <w:lang w:val="es-PE"/>
        </w:rPr>
        <w:t xml:space="preserve">, en: Fernández Sessarego, Carlos; Cifuentes, Sandro; Zannoni, Eduardo A. y Bossert, Gustavo, </w:t>
      </w:r>
      <w:r w:rsidRPr="00A63ABC">
        <w:rPr>
          <w:rFonts w:ascii="Arial" w:hAnsi="Arial" w:cs="Arial"/>
          <w:i/>
          <w:sz w:val="18"/>
          <w:szCs w:val="18"/>
          <w:lang w:val="es-PE"/>
        </w:rPr>
        <w:t>Derecho civil de nuestro tiempo</w:t>
      </w:r>
      <w:r w:rsidRPr="00A63ABC">
        <w:rPr>
          <w:rFonts w:ascii="Arial" w:hAnsi="Arial" w:cs="Arial"/>
          <w:sz w:val="18"/>
          <w:szCs w:val="18"/>
          <w:lang w:val="es-PE"/>
        </w:rPr>
        <w:t>, Gaceta Jurídica Editores y Universidad de Lima, Lima, 1995,  en: pp.8-9.</w:t>
      </w:r>
    </w:p>
    <w:p w14:paraId="5C4B2720"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05">
    <w:p w14:paraId="4A28E0CC"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Problemática de la identidad sexual</w:t>
      </w:r>
      <w:r w:rsidRPr="00A63ABC">
        <w:rPr>
          <w:rFonts w:ascii="Arial" w:hAnsi="Arial" w:cs="Arial"/>
          <w:sz w:val="18"/>
          <w:szCs w:val="18"/>
          <w:lang w:val="es-PE"/>
        </w:rPr>
        <w:t xml:space="preserve">, en: Id, </w:t>
      </w:r>
      <w:r w:rsidRPr="00A63ABC">
        <w:rPr>
          <w:rFonts w:ascii="Arial" w:hAnsi="Arial" w:cs="Arial"/>
          <w:i/>
          <w:sz w:val="18"/>
          <w:szCs w:val="18"/>
          <w:lang w:val="es-PE"/>
        </w:rPr>
        <w:t>Nuevas tendencias en el derecho de las personas</w:t>
      </w:r>
      <w:r w:rsidRPr="00A63ABC">
        <w:rPr>
          <w:rFonts w:ascii="Arial" w:hAnsi="Arial" w:cs="Arial"/>
          <w:sz w:val="18"/>
          <w:szCs w:val="18"/>
          <w:lang w:val="es-PE"/>
        </w:rPr>
        <w:t>, p. 205.</w:t>
      </w:r>
    </w:p>
    <w:p w14:paraId="1D44DAB6" w14:textId="77777777" w:rsidR="0096481E" w:rsidRPr="00A63ABC" w:rsidRDefault="0096481E" w:rsidP="0096481E">
      <w:pPr>
        <w:pStyle w:val="Textonotapie"/>
        <w:spacing w:line="276" w:lineRule="auto"/>
        <w:ind w:left="284" w:hanging="284"/>
        <w:rPr>
          <w:rFonts w:ascii="Arial" w:hAnsi="Arial" w:cs="Arial"/>
          <w:sz w:val="18"/>
          <w:szCs w:val="18"/>
          <w:lang w:val="es-PE"/>
        </w:rPr>
      </w:pPr>
    </w:p>
  </w:footnote>
  <w:footnote w:id="106">
    <w:p w14:paraId="75874178"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rPr>
        <w:tab/>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Problemática de la identidad sexual</w:t>
      </w:r>
      <w:r w:rsidRPr="00A63ABC">
        <w:rPr>
          <w:rFonts w:ascii="Arial" w:hAnsi="Arial" w:cs="Arial"/>
          <w:sz w:val="18"/>
          <w:szCs w:val="18"/>
          <w:lang w:val="es-PE"/>
        </w:rPr>
        <w:t xml:space="preserve">, en: Id, </w:t>
      </w:r>
      <w:r w:rsidRPr="00A63ABC">
        <w:rPr>
          <w:rFonts w:ascii="Arial" w:hAnsi="Arial" w:cs="Arial"/>
          <w:i/>
          <w:sz w:val="18"/>
          <w:szCs w:val="18"/>
          <w:lang w:val="es-PE"/>
        </w:rPr>
        <w:t>Nuevas tendencias en el derecho de las personas</w:t>
      </w:r>
      <w:r w:rsidRPr="00A63ABC">
        <w:rPr>
          <w:rFonts w:ascii="Arial" w:hAnsi="Arial" w:cs="Arial"/>
          <w:sz w:val="18"/>
          <w:szCs w:val="18"/>
          <w:lang w:val="es-PE"/>
        </w:rPr>
        <w:t>, p. 205.</w:t>
      </w:r>
    </w:p>
    <w:p w14:paraId="60E79220"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07">
    <w:p w14:paraId="2EDDC771"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Problemática de la identidad sexual</w:t>
      </w:r>
      <w:r w:rsidRPr="00A63ABC">
        <w:rPr>
          <w:rFonts w:ascii="Arial" w:hAnsi="Arial" w:cs="Arial"/>
          <w:sz w:val="18"/>
          <w:szCs w:val="18"/>
          <w:lang w:val="es-PE"/>
        </w:rPr>
        <w:t xml:space="preserve">, en: Id, </w:t>
      </w:r>
      <w:r w:rsidRPr="00A63ABC">
        <w:rPr>
          <w:rFonts w:ascii="Arial" w:hAnsi="Arial" w:cs="Arial"/>
          <w:i/>
          <w:sz w:val="18"/>
          <w:szCs w:val="18"/>
          <w:lang w:val="es-PE"/>
        </w:rPr>
        <w:t>Nuevas tendencias en el derecho de las personas</w:t>
      </w:r>
      <w:r w:rsidRPr="00A63ABC">
        <w:rPr>
          <w:rFonts w:ascii="Arial" w:hAnsi="Arial" w:cs="Arial"/>
          <w:sz w:val="18"/>
          <w:szCs w:val="18"/>
          <w:lang w:val="es-PE"/>
        </w:rPr>
        <w:t>, p. 206.</w:t>
      </w:r>
    </w:p>
    <w:p w14:paraId="0D391085"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08">
    <w:p w14:paraId="613B8951"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Perlingieri, Pietro, </w:t>
      </w:r>
      <w:r w:rsidRPr="00A63ABC">
        <w:rPr>
          <w:rFonts w:ascii="Arial" w:hAnsi="Arial" w:cs="Arial"/>
          <w:i/>
          <w:sz w:val="18"/>
          <w:szCs w:val="18"/>
          <w:lang w:val="it-IT"/>
        </w:rPr>
        <w:t>Note introduttive ai problema giuridici del mutamento di sesso</w:t>
      </w:r>
      <w:r w:rsidRPr="00A63ABC">
        <w:rPr>
          <w:rFonts w:ascii="Arial" w:hAnsi="Arial" w:cs="Arial"/>
          <w:sz w:val="18"/>
          <w:szCs w:val="18"/>
          <w:lang w:val="it-IT"/>
        </w:rPr>
        <w:t xml:space="preserve">,  en:  D’Addino Serravalle, Paola; Perlingieri, Pietro y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p.38.</w:t>
      </w:r>
    </w:p>
    <w:p w14:paraId="440FE1CF" w14:textId="77777777" w:rsidR="0096481E" w:rsidRPr="00A63ABC" w:rsidRDefault="0096481E" w:rsidP="0096481E">
      <w:pPr>
        <w:pStyle w:val="Textonotapie"/>
        <w:spacing w:line="276" w:lineRule="auto"/>
        <w:rPr>
          <w:rFonts w:ascii="Arial" w:hAnsi="Arial" w:cs="Arial"/>
          <w:sz w:val="18"/>
          <w:szCs w:val="18"/>
          <w:lang w:val="it-IT"/>
        </w:rPr>
      </w:pPr>
    </w:p>
  </w:footnote>
  <w:footnote w:id="109">
    <w:p w14:paraId="3056A5EE"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Problemática de la identidad sexual</w:t>
      </w:r>
      <w:r w:rsidRPr="00A63ABC">
        <w:rPr>
          <w:rFonts w:ascii="Arial" w:hAnsi="Arial" w:cs="Arial"/>
          <w:sz w:val="18"/>
          <w:szCs w:val="18"/>
          <w:lang w:val="es-PE"/>
        </w:rPr>
        <w:t xml:space="preserve">, en: Id, </w:t>
      </w:r>
      <w:r w:rsidRPr="00A63ABC">
        <w:rPr>
          <w:rFonts w:ascii="Arial" w:hAnsi="Arial" w:cs="Arial"/>
          <w:i/>
          <w:sz w:val="18"/>
          <w:szCs w:val="18"/>
          <w:lang w:val="es-PE"/>
        </w:rPr>
        <w:t>Nuevas tendencias en el derecho de las personas</w:t>
      </w:r>
      <w:r w:rsidRPr="00A63ABC">
        <w:rPr>
          <w:rFonts w:ascii="Arial" w:hAnsi="Arial" w:cs="Arial"/>
          <w:sz w:val="18"/>
          <w:szCs w:val="18"/>
          <w:lang w:val="es-PE"/>
        </w:rPr>
        <w:t>, p. 203.</w:t>
      </w:r>
    </w:p>
    <w:p w14:paraId="07286C3D"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10">
    <w:p w14:paraId="34CD0C4B"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Perlingieri, Pietro, </w:t>
      </w:r>
      <w:r w:rsidRPr="00A63ABC">
        <w:rPr>
          <w:rFonts w:ascii="Arial" w:hAnsi="Arial" w:cs="Arial"/>
          <w:i/>
          <w:sz w:val="18"/>
          <w:szCs w:val="18"/>
          <w:lang w:val="it-IT"/>
        </w:rPr>
        <w:t>Note introduttive ai problema giuridici del mutamento di sesso</w:t>
      </w:r>
      <w:r w:rsidRPr="00A63ABC">
        <w:rPr>
          <w:rFonts w:ascii="Arial" w:hAnsi="Arial" w:cs="Arial"/>
          <w:sz w:val="18"/>
          <w:szCs w:val="18"/>
          <w:lang w:val="it-IT"/>
        </w:rPr>
        <w:t xml:space="preserve">,  en:  D’Addino Serravalle, Paola; Perlingieri, Pietro y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p.38</w:t>
      </w:r>
    </w:p>
  </w:footnote>
  <w:footnote w:id="111">
    <w:p w14:paraId="395D7290"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 xml:space="preserve">Nuevas reflexiones sobre la adecuación sexual y el consiguiente cambio de </w:t>
      </w:r>
      <w:r w:rsidRPr="00A63ABC">
        <w:rPr>
          <w:rFonts w:ascii="Arial" w:hAnsi="Arial" w:cs="Arial"/>
          <w:sz w:val="18"/>
          <w:szCs w:val="18"/>
          <w:lang w:val="es-PE"/>
        </w:rPr>
        <w:t xml:space="preserve">nombre, en: Fernández Sessarego, Carlos; Cifuentes, Sandro, Zannoni, Eduardo A. y Bossert, </w:t>
      </w:r>
      <w:r w:rsidRPr="00A63ABC">
        <w:rPr>
          <w:rFonts w:ascii="Arial" w:hAnsi="Arial" w:cs="Arial"/>
          <w:i/>
          <w:sz w:val="18"/>
          <w:szCs w:val="18"/>
          <w:lang w:val="es-PE"/>
        </w:rPr>
        <w:t xml:space="preserve">Derecho civil de nuestro </w:t>
      </w:r>
      <w:r w:rsidRPr="00A63ABC">
        <w:rPr>
          <w:rFonts w:ascii="Arial" w:hAnsi="Arial" w:cs="Arial"/>
          <w:sz w:val="18"/>
          <w:szCs w:val="18"/>
          <w:lang w:val="es-PE"/>
        </w:rPr>
        <w:t>tiempo, Universidad de Lima-Gaceta Jurídica Editores, Lima, 1995, p. 11 y ss.</w:t>
      </w:r>
    </w:p>
    <w:p w14:paraId="5100C592" w14:textId="77777777" w:rsidR="0096481E" w:rsidRPr="00A63ABC" w:rsidRDefault="0096481E" w:rsidP="0096481E">
      <w:pPr>
        <w:pStyle w:val="Textonotapie"/>
        <w:spacing w:line="276" w:lineRule="auto"/>
        <w:rPr>
          <w:rFonts w:ascii="Arial" w:hAnsi="Arial" w:cs="Arial"/>
          <w:sz w:val="18"/>
          <w:szCs w:val="18"/>
          <w:lang w:val="es-PE"/>
        </w:rPr>
      </w:pPr>
    </w:p>
  </w:footnote>
  <w:footnote w:id="112">
    <w:p w14:paraId="25A841EA"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285 y ss.</w:t>
      </w:r>
    </w:p>
    <w:p w14:paraId="42F5799C"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13">
    <w:p w14:paraId="5E473A13"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Benjamin, Harry, </w:t>
      </w:r>
      <w:r w:rsidRPr="00A63ABC">
        <w:rPr>
          <w:rFonts w:ascii="Arial" w:hAnsi="Arial" w:cs="Arial"/>
          <w:i/>
          <w:sz w:val="18"/>
          <w:szCs w:val="18"/>
          <w:lang w:val="es-PE"/>
        </w:rPr>
        <w:t>Il fenómeno transessuale</w:t>
      </w:r>
      <w:r w:rsidRPr="00A63ABC">
        <w:rPr>
          <w:rFonts w:ascii="Arial" w:hAnsi="Arial" w:cs="Arial"/>
          <w:sz w:val="18"/>
          <w:szCs w:val="18"/>
          <w:lang w:val="es-PE"/>
        </w:rPr>
        <w:t>, traducción de Franco Pintore, Casa Editrice Astrolabio, Roma, 1968, p.13.</w:t>
      </w:r>
    </w:p>
    <w:p w14:paraId="6D8BD406" w14:textId="77777777" w:rsidR="0096481E" w:rsidRPr="00A63ABC" w:rsidRDefault="0096481E" w:rsidP="0096481E">
      <w:pPr>
        <w:pStyle w:val="Textonotapie"/>
        <w:spacing w:line="276" w:lineRule="auto"/>
        <w:jc w:val="both"/>
        <w:rPr>
          <w:rFonts w:ascii="Arial" w:hAnsi="Arial" w:cs="Arial"/>
          <w:sz w:val="18"/>
          <w:szCs w:val="18"/>
          <w:lang w:val="es-PE"/>
        </w:rPr>
      </w:pPr>
    </w:p>
  </w:footnote>
  <w:footnote w:id="114">
    <w:p w14:paraId="2851E451"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Problemática de la identidad sexual</w:t>
      </w:r>
      <w:r w:rsidRPr="00A63ABC">
        <w:rPr>
          <w:rFonts w:ascii="Arial" w:hAnsi="Arial" w:cs="Arial"/>
          <w:sz w:val="18"/>
          <w:szCs w:val="18"/>
          <w:lang w:val="es-PE"/>
        </w:rPr>
        <w:t>, en:</w:t>
      </w:r>
      <w:r w:rsidRPr="00A63ABC">
        <w:rPr>
          <w:rFonts w:ascii="Arial" w:hAnsi="Arial" w:cs="Arial"/>
          <w:i/>
          <w:sz w:val="18"/>
          <w:szCs w:val="18"/>
          <w:lang w:val="es-PE"/>
        </w:rPr>
        <w:t xml:space="preserve"> Nuevas Tendencias en el derecho de la persona</w:t>
      </w:r>
      <w:r w:rsidRPr="00A63ABC">
        <w:rPr>
          <w:rFonts w:ascii="Arial" w:hAnsi="Arial" w:cs="Arial"/>
          <w:sz w:val="18"/>
          <w:szCs w:val="18"/>
          <w:lang w:val="es-PE"/>
        </w:rPr>
        <w:t xml:space="preserve">, Universidad de Lima, Lima, 1990, p.221. </w:t>
      </w:r>
    </w:p>
    <w:p w14:paraId="68B0ADE6" w14:textId="77777777" w:rsidR="0096481E" w:rsidRPr="00A63ABC" w:rsidRDefault="0096481E" w:rsidP="0096481E">
      <w:pPr>
        <w:pStyle w:val="Textonotapie"/>
        <w:spacing w:line="276" w:lineRule="auto"/>
        <w:rPr>
          <w:rFonts w:ascii="Arial" w:hAnsi="Arial" w:cs="Arial"/>
          <w:sz w:val="18"/>
          <w:szCs w:val="18"/>
          <w:lang w:val="es-PE"/>
        </w:rPr>
      </w:pPr>
    </w:p>
  </w:footnote>
  <w:footnote w:id="115">
    <w:p w14:paraId="5D0C2C6A"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302.</w:t>
      </w:r>
    </w:p>
    <w:p w14:paraId="3710D2DF"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116">
    <w:p w14:paraId="1B76923A"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Palazzini, Laura, </w:t>
      </w:r>
      <w:r w:rsidRPr="00A63ABC">
        <w:rPr>
          <w:rFonts w:ascii="Arial" w:hAnsi="Arial" w:cs="Arial"/>
          <w:i/>
          <w:sz w:val="18"/>
          <w:szCs w:val="18"/>
          <w:lang w:val="it-IT"/>
        </w:rPr>
        <w:t>Identità di genere come problema biogiuridico</w:t>
      </w:r>
      <w:r w:rsidRPr="00A63ABC">
        <w:rPr>
          <w:rFonts w:ascii="Arial" w:hAnsi="Arial" w:cs="Arial"/>
          <w:sz w:val="18"/>
          <w:szCs w:val="18"/>
          <w:lang w:val="it-IT"/>
        </w:rPr>
        <w:t xml:space="preserve">,  en: AA.VV., </w:t>
      </w:r>
      <w:r w:rsidRPr="00A63ABC">
        <w:rPr>
          <w:rFonts w:ascii="Arial" w:hAnsi="Arial" w:cs="Arial"/>
          <w:i/>
          <w:sz w:val="18"/>
          <w:szCs w:val="18"/>
          <w:lang w:val="it-IT"/>
        </w:rPr>
        <w:t>Identità  sessuale e identità di genere</w:t>
      </w:r>
      <w:r w:rsidRPr="00A63ABC">
        <w:rPr>
          <w:rFonts w:ascii="Arial" w:hAnsi="Arial" w:cs="Arial"/>
          <w:sz w:val="18"/>
          <w:szCs w:val="18"/>
          <w:lang w:val="it-IT"/>
        </w:rPr>
        <w:t>,  Atti del Convegno nazionale dell’Unione giuristi cattolici italiani, Parlermo, 9-11 dicembre 2010, edición al cuidado de Francesco D’Agostino, Giuffré Editore, Milán, 2012, p. 22.</w:t>
      </w:r>
    </w:p>
    <w:p w14:paraId="2ED46D0D" w14:textId="77777777" w:rsidR="0096481E" w:rsidRPr="00A63ABC" w:rsidRDefault="0096481E" w:rsidP="0096481E">
      <w:pPr>
        <w:pStyle w:val="Textonotapie"/>
        <w:spacing w:line="276" w:lineRule="auto"/>
        <w:ind w:left="284" w:hanging="284"/>
        <w:rPr>
          <w:rFonts w:ascii="Arial" w:hAnsi="Arial" w:cs="Arial"/>
          <w:sz w:val="18"/>
          <w:szCs w:val="18"/>
          <w:lang w:val="it-IT"/>
        </w:rPr>
      </w:pPr>
    </w:p>
  </w:footnote>
  <w:footnote w:id="117">
    <w:p w14:paraId="2668451F"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Stanzione, Pasquale, </w:t>
      </w:r>
      <w:r w:rsidRPr="00A63ABC">
        <w:rPr>
          <w:rFonts w:ascii="Arial" w:hAnsi="Arial" w:cs="Arial"/>
          <w:i/>
          <w:sz w:val="18"/>
          <w:szCs w:val="18"/>
          <w:lang w:val="it-IT"/>
        </w:rPr>
        <w:t>Premessa ad uno studio giuridico del transessualismo</w:t>
      </w:r>
      <w:r w:rsidRPr="00A63ABC">
        <w:rPr>
          <w:rFonts w:ascii="Arial" w:hAnsi="Arial" w:cs="Arial"/>
          <w:sz w:val="18"/>
          <w:szCs w:val="18"/>
          <w:lang w:val="it-IT"/>
        </w:rPr>
        <w:t xml:space="preserve">, en: D’Addino Serravalle, Paola; Perlingieri, Pietro y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Università di Camerino, Scuola di perfezzioamento in diritto civile, lezioni raccolte da Pietro Perlingieri, E.S.I. Nápoles, 1981, p. 22.</w:t>
      </w:r>
    </w:p>
    <w:p w14:paraId="09306EFC"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18">
    <w:p w14:paraId="221E8048"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Stanzione, Pasquale,  </w:t>
      </w:r>
      <w:r w:rsidRPr="00A63ABC">
        <w:rPr>
          <w:rFonts w:ascii="Arial" w:hAnsi="Arial" w:cs="Arial"/>
          <w:i/>
          <w:sz w:val="18"/>
          <w:szCs w:val="18"/>
          <w:lang w:val="it-IT"/>
        </w:rPr>
        <w:t>Sesso e genere nell’identità della persona</w:t>
      </w:r>
      <w:r w:rsidRPr="00A63ABC">
        <w:rPr>
          <w:rFonts w:ascii="Arial" w:hAnsi="Arial" w:cs="Arial"/>
          <w:sz w:val="18"/>
          <w:szCs w:val="18"/>
          <w:lang w:val="it-IT"/>
        </w:rPr>
        <w:t xml:space="preserve">, en: D’Addino Serravalle, Paola; Perlingieri, Pietro y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p.33.</w:t>
      </w:r>
    </w:p>
    <w:p w14:paraId="072C0F9E" w14:textId="77777777" w:rsidR="0096481E" w:rsidRPr="00A63ABC" w:rsidRDefault="0096481E" w:rsidP="0096481E">
      <w:pPr>
        <w:pStyle w:val="Textonotapie"/>
        <w:spacing w:line="276" w:lineRule="auto"/>
        <w:ind w:left="284" w:hanging="284"/>
        <w:rPr>
          <w:rFonts w:ascii="Arial" w:hAnsi="Arial" w:cs="Arial"/>
          <w:sz w:val="18"/>
          <w:szCs w:val="18"/>
          <w:lang w:val="it-IT"/>
        </w:rPr>
      </w:pPr>
    </w:p>
  </w:footnote>
  <w:footnote w:id="119">
    <w:p w14:paraId="405FE27C"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Green, Richard, </w:t>
      </w:r>
      <w:r w:rsidRPr="00A63ABC">
        <w:rPr>
          <w:rFonts w:ascii="Arial" w:hAnsi="Arial" w:cs="Arial"/>
          <w:i/>
          <w:sz w:val="18"/>
          <w:szCs w:val="18"/>
          <w:lang w:val="it-IT"/>
        </w:rPr>
        <w:t>Il transessualismo: aspetti mitologici, storici ed etnologici</w:t>
      </w:r>
      <w:r w:rsidRPr="00A63ABC">
        <w:rPr>
          <w:rFonts w:ascii="Arial" w:hAnsi="Arial" w:cs="Arial"/>
          <w:sz w:val="18"/>
          <w:szCs w:val="18"/>
          <w:lang w:val="it-IT"/>
        </w:rPr>
        <w:t xml:space="preserve">, en: Benjamin, Harry, </w:t>
      </w:r>
      <w:r w:rsidRPr="00A63ABC">
        <w:rPr>
          <w:rFonts w:ascii="Arial" w:hAnsi="Arial" w:cs="Arial"/>
          <w:i/>
          <w:sz w:val="18"/>
          <w:szCs w:val="18"/>
          <w:lang w:val="it-IT"/>
        </w:rPr>
        <w:t>Il fenomeno transessuale</w:t>
      </w:r>
      <w:r w:rsidRPr="00A63ABC">
        <w:rPr>
          <w:rFonts w:ascii="Arial" w:hAnsi="Arial" w:cs="Arial"/>
          <w:sz w:val="18"/>
          <w:szCs w:val="18"/>
          <w:lang w:val="it-IT"/>
        </w:rPr>
        <w:t>, p.183 y ss.</w:t>
      </w:r>
    </w:p>
    <w:p w14:paraId="398090D4"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20">
    <w:p w14:paraId="1440F06E"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Stanzione, Pasquale, </w:t>
      </w:r>
      <w:r w:rsidRPr="00A63ABC">
        <w:rPr>
          <w:rFonts w:ascii="Arial" w:hAnsi="Arial" w:cs="Arial"/>
          <w:i/>
          <w:sz w:val="18"/>
          <w:szCs w:val="18"/>
          <w:lang w:val="it-IT"/>
        </w:rPr>
        <w:t>Premessa ad uno studio giuridico del transessualismo</w:t>
      </w:r>
      <w:r w:rsidRPr="00A63ABC">
        <w:rPr>
          <w:rFonts w:ascii="Arial" w:hAnsi="Arial" w:cs="Arial"/>
          <w:sz w:val="18"/>
          <w:szCs w:val="18"/>
          <w:lang w:val="it-IT"/>
        </w:rPr>
        <w:t xml:space="preserve">, en:  D’Addino Serravalle, Paola; Perlingieri, Pietro y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pp. 20-21.</w:t>
      </w:r>
    </w:p>
    <w:p w14:paraId="1A547684" w14:textId="77777777" w:rsidR="0096481E" w:rsidRPr="00A63ABC" w:rsidRDefault="0096481E" w:rsidP="0096481E">
      <w:pPr>
        <w:pStyle w:val="Textonotapie"/>
        <w:spacing w:line="276" w:lineRule="auto"/>
        <w:ind w:left="284" w:hanging="284"/>
        <w:rPr>
          <w:rFonts w:ascii="Arial" w:hAnsi="Arial" w:cs="Arial"/>
          <w:sz w:val="18"/>
          <w:szCs w:val="18"/>
          <w:lang w:val="it-IT"/>
        </w:rPr>
      </w:pPr>
    </w:p>
  </w:footnote>
  <w:footnote w:id="121">
    <w:p w14:paraId="35537587"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Benjamin, Harry, </w:t>
      </w:r>
      <w:r w:rsidRPr="00A63ABC">
        <w:rPr>
          <w:rFonts w:ascii="Arial" w:hAnsi="Arial" w:cs="Arial"/>
          <w:i/>
          <w:sz w:val="18"/>
          <w:szCs w:val="18"/>
          <w:lang w:val="it-IT"/>
        </w:rPr>
        <w:t>Il fenomeno transessuale</w:t>
      </w:r>
      <w:r w:rsidRPr="00A63ABC">
        <w:rPr>
          <w:rFonts w:ascii="Arial" w:hAnsi="Arial" w:cs="Arial"/>
          <w:sz w:val="18"/>
          <w:szCs w:val="18"/>
          <w:lang w:val="it-IT"/>
        </w:rPr>
        <w:t>, p.24 y ss.</w:t>
      </w:r>
    </w:p>
    <w:p w14:paraId="5DD09222" w14:textId="77777777" w:rsidR="0096481E" w:rsidRPr="00A63ABC" w:rsidRDefault="0096481E" w:rsidP="0096481E">
      <w:pPr>
        <w:pStyle w:val="Textonotapie"/>
        <w:spacing w:line="276" w:lineRule="auto"/>
        <w:rPr>
          <w:rFonts w:ascii="Arial" w:hAnsi="Arial" w:cs="Arial"/>
          <w:sz w:val="18"/>
          <w:szCs w:val="18"/>
          <w:lang w:val="it-IT"/>
        </w:rPr>
      </w:pPr>
    </w:p>
  </w:footnote>
  <w:footnote w:id="122">
    <w:p w14:paraId="2583173E"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Stanzione, Pasquale</w:t>
      </w:r>
      <w:r w:rsidRPr="00A63ABC">
        <w:rPr>
          <w:rFonts w:ascii="Arial" w:hAnsi="Arial" w:cs="Arial"/>
          <w:i/>
          <w:sz w:val="18"/>
          <w:szCs w:val="18"/>
          <w:lang w:val="it-IT"/>
        </w:rPr>
        <w:t>, Premessa ad uno studio giuridico del transessualismo</w:t>
      </w:r>
      <w:r w:rsidRPr="00A63ABC">
        <w:rPr>
          <w:rFonts w:ascii="Arial" w:hAnsi="Arial" w:cs="Arial"/>
          <w:sz w:val="18"/>
          <w:szCs w:val="18"/>
          <w:lang w:val="it-IT"/>
        </w:rPr>
        <w:t>, pág. 24.</w:t>
      </w:r>
    </w:p>
    <w:p w14:paraId="311F66CA"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123">
    <w:p w14:paraId="1CB70EE1"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318.</w:t>
      </w:r>
    </w:p>
    <w:p w14:paraId="35C289C2"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124">
    <w:p w14:paraId="032B9DEA"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Perlingieri, Pietro, </w:t>
      </w:r>
      <w:r w:rsidRPr="00A63ABC">
        <w:rPr>
          <w:rFonts w:ascii="Arial" w:hAnsi="Arial" w:cs="Arial"/>
          <w:i/>
          <w:sz w:val="18"/>
          <w:szCs w:val="18"/>
          <w:lang w:val="it-IT"/>
        </w:rPr>
        <w:t>Note introduttive aii problema giuridici del mutamento di sesso</w:t>
      </w:r>
      <w:r w:rsidRPr="00A63ABC">
        <w:rPr>
          <w:rFonts w:ascii="Arial" w:hAnsi="Arial" w:cs="Arial"/>
          <w:sz w:val="18"/>
          <w:szCs w:val="18"/>
          <w:lang w:val="it-IT"/>
        </w:rPr>
        <w:t xml:space="preserve">, en:  D’Addino Serravalle, Paola; Perlingieri, Pietro y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p.42.</w:t>
      </w:r>
    </w:p>
    <w:p w14:paraId="3B55C398" w14:textId="77777777" w:rsidR="0096481E" w:rsidRPr="00A63ABC" w:rsidRDefault="0096481E" w:rsidP="0096481E">
      <w:pPr>
        <w:pStyle w:val="Textonotapie"/>
        <w:spacing w:line="276" w:lineRule="auto"/>
        <w:ind w:left="142" w:hanging="142"/>
        <w:jc w:val="both"/>
        <w:rPr>
          <w:rFonts w:ascii="Arial" w:hAnsi="Arial" w:cs="Arial"/>
          <w:sz w:val="18"/>
          <w:szCs w:val="18"/>
          <w:lang w:val="it-IT"/>
        </w:rPr>
      </w:pPr>
    </w:p>
  </w:footnote>
  <w:footnote w:id="125">
    <w:p w14:paraId="643D70CA"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272.</w:t>
      </w:r>
    </w:p>
    <w:p w14:paraId="241CECAC" w14:textId="77777777" w:rsidR="0096481E" w:rsidRPr="00A63ABC" w:rsidRDefault="0096481E" w:rsidP="0096481E">
      <w:pPr>
        <w:pStyle w:val="Textonotapie"/>
        <w:spacing w:line="276" w:lineRule="auto"/>
        <w:rPr>
          <w:rFonts w:ascii="Arial" w:hAnsi="Arial" w:cs="Arial"/>
          <w:sz w:val="18"/>
          <w:szCs w:val="18"/>
          <w:lang w:val="es-PE"/>
        </w:rPr>
      </w:pPr>
    </w:p>
  </w:footnote>
  <w:footnote w:id="126">
    <w:p w14:paraId="04B03C8F"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Stanzione, Pasquale, </w:t>
      </w:r>
      <w:r w:rsidRPr="00A63ABC">
        <w:rPr>
          <w:rFonts w:ascii="Arial" w:hAnsi="Arial" w:cs="Arial"/>
          <w:i/>
          <w:sz w:val="18"/>
          <w:szCs w:val="18"/>
          <w:lang w:val="it-IT"/>
        </w:rPr>
        <w:t>Premessa ad uno studio giuridico del transessualismo</w:t>
      </w:r>
      <w:r w:rsidRPr="00A63ABC">
        <w:rPr>
          <w:rFonts w:ascii="Arial" w:hAnsi="Arial" w:cs="Arial"/>
          <w:sz w:val="18"/>
          <w:szCs w:val="18"/>
          <w:lang w:val="it-IT"/>
        </w:rPr>
        <w:t>, pág. 24.</w:t>
      </w:r>
    </w:p>
    <w:p w14:paraId="780FE4A8"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127">
    <w:p w14:paraId="14C3EF67"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271 y ss.</w:t>
      </w:r>
    </w:p>
  </w:footnote>
  <w:footnote w:id="128">
    <w:p w14:paraId="3BC40B53"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Stanzione, Pasquale, </w:t>
      </w:r>
      <w:r w:rsidRPr="00A63ABC">
        <w:rPr>
          <w:rFonts w:ascii="Arial" w:hAnsi="Arial" w:cs="Arial"/>
          <w:i/>
          <w:sz w:val="18"/>
          <w:szCs w:val="18"/>
          <w:lang w:val="it-IT"/>
        </w:rPr>
        <w:t>Premessa ad uno studio giuridico del transessualismo</w:t>
      </w:r>
      <w:r w:rsidRPr="00A63ABC">
        <w:rPr>
          <w:rFonts w:ascii="Arial" w:hAnsi="Arial" w:cs="Arial"/>
          <w:sz w:val="18"/>
          <w:szCs w:val="18"/>
          <w:lang w:val="it-IT"/>
        </w:rPr>
        <w:t xml:space="preserve">, en: D’Addino Serravalle, Paola; Perlingieri, Pietro e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p.18.</w:t>
      </w:r>
    </w:p>
    <w:p w14:paraId="6AF33EE0"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129">
    <w:p w14:paraId="10BFFB68"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Patti, Salvatore, </w:t>
      </w:r>
      <w:r w:rsidRPr="00A63ABC">
        <w:rPr>
          <w:rFonts w:ascii="Arial" w:hAnsi="Arial" w:cs="Arial"/>
          <w:i/>
          <w:sz w:val="18"/>
          <w:szCs w:val="18"/>
          <w:lang w:val="it-IT"/>
        </w:rPr>
        <w:t>Aspetti oggetivi e soggetivi dell´identitá sessuale</w:t>
      </w:r>
      <w:r w:rsidRPr="00A63ABC">
        <w:rPr>
          <w:rFonts w:ascii="Arial" w:hAnsi="Arial" w:cs="Arial"/>
          <w:sz w:val="18"/>
          <w:szCs w:val="18"/>
          <w:lang w:val="it-IT"/>
        </w:rPr>
        <w:t>, en: Rivista Critica di Diritto Privato,  Jovene editore, Nápoles, junio de 1984, pág. 342.</w:t>
      </w:r>
    </w:p>
    <w:p w14:paraId="301C8B24"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130">
    <w:p w14:paraId="5212AD0F"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La expresión “</w:t>
      </w:r>
      <w:r w:rsidRPr="00A63ABC">
        <w:rPr>
          <w:rFonts w:ascii="Arial" w:hAnsi="Arial" w:cs="Arial"/>
          <w:i/>
          <w:sz w:val="18"/>
          <w:szCs w:val="18"/>
          <w:lang w:val="es-PE"/>
        </w:rPr>
        <w:t>isosexualismo</w:t>
      </w:r>
      <w:r w:rsidRPr="00A63ABC">
        <w:rPr>
          <w:rFonts w:ascii="Arial" w:hAnsi="Arial" w:cs="Arial"/>
          <w:sz w:val="18"/>
          <w:szCs w:val="18"/>
          <w:lang w:val="es-PE"/>
        </w:rPr>
        <w:t>” se usa para comprender en él los casos de homosexualismo y lesbianismo.</w:t>
      </w:r>
    </w:p>
    <w:p w14:paraId="3185EF24"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131">
    <w:p w14:paraId="7A3417FC"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Benjamin, Harry, </w:t>
      </w:r>
      <w:r w:rsidRPr="00A63ABC">
        <w:rPr>
          <w:rFonts w:ascii="Arial" w:hAnsi="Arial" w:cs="Arial"/>
          <w:i/>
          <w:sz w:val="18"/>
          <w:szCs w:val="18"/>
          <w:lang w:val="it-IT"/>
        </w:rPr>
        <w:t>Il fenomeno transessuale</w:t>
      </w:r>
      <w:r w:rsidRPr="00A63ABC">
        <w:rPr>
          <w:rFonts w:ascii="Arial" w:hAnsi="Arial" w:cs="Arial"/>
          <w:sz w:val="18"/>
          <w:szCs w:val="18"/>
          <w:lang w:val="it-IT"/>
        </w:rPr>
        <w:t>, p. 58.</w:t>
      </w:r>
    </w:p>
    <w:p w14:paraId="3B890B91" w14:textId="77777777" w:rsidR="0096481E" w:rsidRPr="00A63ABC" w:rsidRDefault="0096481E" w:rsidP="0096481E">
      <w:pPr>
        <w:pStyle w:val="Textonotapie"/>
        <w:spacing w:line="276" w:lineRule="auto"/>
        <w:rPr>
          <w:rFonts w:ascii="Arial" w:hAnsi="Arial" w:cs="Arial"/>
          <w:sz w:val="18"/>
          <w:szCs w:val="18"/>
          <w:lang w:val="it-IT"/>
        </w:rPr>
      </w:pPr>
    </w:p>
  </w:footnote>
  <w:footnote w:id="132">
    <w:p w14:paraId="138D9E9B"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 xml:space="preserve">Nuevas reflexiones sobre la adecuación sexual y el consiguiente cambio de </w:t>
      </w:r>
      <w:r w:rsidRPr="00A63ABC">
        <w:rPr>
          <w:rFonts w:ascii="Arial" w:hAnsi="Arial" w:cs="Arial"/>
          <w:sz w:val="18"/>
          <w:szCs w:val="18"/>
          <w:lang w:val="es-PE"/>
        </w:rPr>
        <w:t xml:space="preserve">nombre, en: Fernández Sessarego, Carlos; Cifuentes, Sandro, Zannoni, Eduardo A. y Bossert, </w:t>
      </w:r>
      <w:r w:rsidRPr="00A63ABC">
        <w:rPr>
          <w:rFonts w:ascii="Arial" w:hAnsi="Arial" w:cs="Arial"/>
          <w:i/>
          <w:sz w:val="18"/>
          <w:szCs w:val="18"/>
          <w:lang w:val="es-PE"/>
        </w:rPr>
        <w:t xml:space="preserve">Derecho civil de nuestro </w:t>
      </w:r>
      <w:r w:rsidRPr="00A63ABC">
        <w:rPr>
          <w:rFonts w:ascii="Arial" w:hAnsi="Arial" w:cs="Arial"/>
          <w:sz w:val="18"/>
          <w:szCs w:val="18"/>
          <w:lang w:val="es-PE"/>
        </w:rPr>
        <w:t>tiempo, p. 11.</w:t>
      </w:r>
    </w:p>
    <w:p w14:paraId="3B0A6D7C" w14:textId="77777777" w:rsidR="0096481E" w:rsidRPr="00A63ABC" w:rsidRDefault="0096481E" w:rsidP="0096481E">
      <w:pPr>
        <w:pStyle w:val="Textonotapie"/>
        <w:spacing w:line="276" w:lineRule="auto"/>
        <w:jc w:val="both"/>
        <w:rPr>
          <w:rFonts w:ascii="Arial" w:hAnsi="Arial" w:cs="Arial"/>
          <w:sz w:val="18"/>
          <w:szCs w:val="18"/>
          <w:lang w:val="es-PE"/>
        </w:rPr>
      </w:pPr>
    </w:p>
  </w:footnote>
  <w:footnote w:id="133">
    <w:p w14:paraId="1A170B56"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w:t>
      </w:r>
      <w:r w:rsidRPr="00A63ABC">
        <w:rPr>
          <w:rFonts w:ascii="Arial" w:hAnsi="Arial" w:cs="Arial"/>
          <w:i/>
          <w:sz w:val="18"/>
          <w:szCs w:val="18"/>
          <w:lang w:val="es-PE"/>
        </w:rPr>
        <w:t xml:space="preserve"> Derecho a la identidad personal</w:t>
      </w:r>
      <w:r w:rsidRPr="00A63ABC">
        <w:rPr>
          <w:rFonts w:ascii="Arial" w:hAnsi="Arial" w:cs="Arial"/>
          <w:sz w:val="18"/>
          <w:szCs w:val="18"/>
          <w:lang w:val="es-PE"/>
        </w:rPr>
        <w:t xml:space="preserve">, p. 272. </w:t>
      </w:r>
    </w:p>
  </w:footnote>
  <w:footnote w:id="134">
    <w:p w14:paraId="011A9B31"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Stanzione, Pasquale, </w:t>
      </w:r>
      <w:r w:rsidRPr="00A63ABC">
        <w:rPr>
          <w:rFonts w:ascii="Arial" w:hAnsi="Arial" w:cs="Arial"/>
          <w:i/>
          <w:sz w:val="18"/>
          <w:szCs w:val="18"/>
          <w:lang w:val="it-IT"/>
        </w:rPr>
        <w:t>Premessa ad uno studio giuridico del transessualismo</w:t>
      </w:r>
      <w:r w:rsidRPr="00A63ABC">
        <w:rPr>
          <w:rFonts w:ascii="Arial" w:hAnsi="Arial" w:cs="Arial"/>
          <w:sz w:val="18"/>
          <w:szCs w:val="18"/>
          <w:lang w:val="it-IT"/>
        </w:rPr>
        <w:t xml:space="preserve">, en: D’Addino Serravalle, Paola; Perlingieri, Pietro e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p.34.</w:t>
      </w:r>
    </w:p>
    <w:p w14:paraId="74C05C12"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35">
    <w:p w14:paraId="1299245E"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 xml:space="preserve">Nuevas reflexiones sobre la adecuación sexual y el consiguiente cambio de </w:t>
      </w:r>
      <w:r w:rsidRPr="00A63ABC">
        <w:rPr>
          <w:rFonts w:ascii="Arial" w:hAnsi="Arial" w:cs="Arial"/>
          <w:sz w:val="18"/>
          <w:szCs w:val="18"/>
          <w:lang w:val="es-PE"/>
        </w:rPr>
        <w:t xml:space="preserve">nombre, en: Fernández Sessarego, Carlos; Cifuentes, Sandro, Zannoni, Eduardo A. y Bossert, </w:t>
      </w:r>
      <w:r w:rsidRPr="00A63ABC">
        <w:rPr>
          <w:rFonts w:ascii="Arial" w:hAnsi="Arial" w:cs="Arial"/>
          <w:i/>
          <w:sz w:val="18"/>
          <w:szCs w:val="18"/>
          <w:lang w:val="es-PE"/>
        </w:rPr>
        <w:t xml:space="preserve">Derecho civil de nuestro </w:t>
      </w:r>
      <w:r w:rsidRPr="00A63ABC">
        <w:rPr>
          <w:rFonts w:ascii="Arial" w:hAnsi="Arial" w:cs="Arial"/>
          <w:sz w:val="18"/>
          <w:szCs w:val="18"/>
          <w:lang w:val="es-PE"/>
        </w:rPr>
        <w:t>tiempo, p. 20 y ss.</w:t>
      </w:r>
    </w:p>
    <w:p w14:paraId="1814D28A"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36">
    <w:p w14:paraId="71DDA7EF"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693.</w:t>
      </w:r>
    </w:p>
    <w:p w14:paraId="5F8077AE"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37">
    <w:p w14:paraId="5E7C31CA"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Stanzione, Pasquale, </w:t>
      </w:r>
      <w:r w:rsidRPr="00A63ABC">
        <w:rPr>
          <w:rFonts w:ascii="Arial" w:hAnsi="Arial" w:cs="Arial"/>
          <w:i/>
          <w:sz w:val="18"/>
          <w:szCs w:val="18"/>
          <w:lang w:val="it-IT"/>
        </w:rPr>
        <w:t>Premessa ad uno studio giuridico del transessualismo</w:t>
      </w:r>
      <w:r w:rsidRPr="00A63ABC">
        <w:rPr>
          <w:rFonts w:ascii="Arial" w:hAnsi="Arial" w:cs="Arial"/>
          <w:sz w:val="18"/>
          <w:szCs w:val="18"/>
          <w:lang w:val="it-IT"/>
        </w:rPr>
        <w:t xml:space="preserve">, en: D’Addino Serravalle, Paola; Perlingieri, Pietro y Stanzione, Pasquale, </w:t>
      </w:r>
      <w:r w:rsidRPr="00A63ABC">
        <w:rPr>
          <w:rFonts w:ascii="Arial" w:hAnsi="Arial" w:cs="Arial"/>
          <w:i/>
          <w:sz w:val="18"/>
          <w:szCs w:val="18"/>
          <w:lang w:val="it-IT"/>
        </w:rPr>
        <w:t>Problemi giuridici del transessualismo</w:t>
      </w:r>
      <w:r w:rsidRPr="00A63ABC">
        <w:rPr>
          <w:rFonts w:ascii="Arial" w:hAnsi="Arial" w:cs="Arial"/>
          <w:sz w:val="18"/>
          <w:szCs w:val="18"/>
          <w:lang w:val="it-IT"/>
        </w:rPr>
        <w:t>, p.34.</w:t>
      </w:r>
    </w:p>
    <w:p w14:paraId="5D8EFB95"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38">
    <w:p w14:paraId="51565DDE"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694.</w:t>
      </w:r>
    </w:p>
    <w:p w14:paraId="795BE636" w14:textId="77777777" w:rsidR="0096481E" w:rsidRPr="00A63ABC" w:rsidRDefault="0096481E" w:rsidP="0096481E">
      <w:pPr>
        <w:pStyle w:val="Textonotapie"/>
        <w:spacing w:line="276" w:lineRule="auto"/>
        <w:ind w:left="284" w:hanging="284"/>
        <w:rPr>
          <w:rFonts w:ascii="Arial" w:hAnsi="Arial" w:cs="Arial"/>
          <w:sz w:val="18"/>
          <w:szCs w:val="18"/>
          <w:lang w:val="es-PE"/>
        </w:rPr>
      </w:pPr>
    </w:p>
  </w:footnote>
  <w:footnote w:id="139">
    <w:p w14:paraId="559B9A48" w14:textId="77777777" w:rsidR="0096481E" w:rsidRPr="00A63ABC" w:rsidRDefault="0096481E" w:rsidP="0096481E">
      <w:pPr>
        <w:pStyle w:val="Textonotapie"/>
        <w:spacing w:line="276" w:lineRule="auto"/>
        <w:ind w:left="284" w:hanging="284"/>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694.</w:t>
      </w:r>
    </w:p>
    <w:p w14:paraId="4D7A8EF4" w14:textId="77777777" w:rsidR="0096481E" w:rsidRPr="00A63ABC" w:rsidRDefault="0096481E" w:rsidP="0096481E">
      <w:pPr>
        <w:pStyle w:val="Textonotapie"/>
        <w:spacing w:line="276" w:lineRule="auto"/>
        <w:rPr>
          <w:rFonts w:ascii="Arial" w:hAnsi="Arial" w:cs="Arial"/>
          <w:sz w:val="18"/>
          <w:szCs w:val="18"/>
          <w:lang w:val="es-PE"/>
        </w:rPr>
      </w:pPr>
    </w:p>
  </w:footnote>
  <w:footnote w:id="140">
    <w:p w14:paraId="71CAF576" w14:textId="77777777" w:rsidR="0096481E" w:rsidRPr="00A63ABC" w:rsidRDefault="0096481E" w:rsidP="0096481E">
      <w:pPr>
        <w:pStyle w:val="Textonotapie"/>
        <w:spacing w:line="276" w:lineRule="auto"/>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695.</w:t>
      </w:r>
    </w:p>
    <w:p w14:paraId="1237B35F" w14:textId="77777777" w:rsidR="0096481E" w:rsidRPr="00A63ABC" w:rsidRDefault="0096481E" w:rsidP="0096481E">
      <w:pPr>
        <w:pStyle w:val="Textonotapie"/>
        <w:spacing w:line="276" w:lineRule="auto"/>
        <w:rPr>
          <w:rFonts w:ascii="Arial" w:hAnsi="Arial" w:cs="Arial"/>
          <w:sz w:val="18"/>
          <w:szCs w:val="18"/>
          <w:lang w:val="es-PE"/>
        </w:rPr>
      </w:pPr>
    </w:p>
  </w:footnote>
  <w:footnote w:id="141">
    <w:p w14:paraId="7DE8EE98" w14:textId="77777777" w:rsidR="0096481E" w:rsidRPr="00A63ABC" w:rsidRDefault="0096481E" w:rsidP="0096481E">
      <w:pPr>
        <w:pStyle w:val="Textonotapie"/>
        <w:spacing w:line="276" w:lineRule="auto"/>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695.</w:t>
      </w:r>
    </w:p>
    <w:p w14:paraId="6C162810" w14:textId="77777777" w:rsidR="0096481E" w:rsidRPr="00A63ABC" w:rsidRDefault="0096481E" w:rsidP="0096481E">
      <w:pPr>
        <w:pStyle w:val="Textonotapie"/>
        <w:spacing w:line="276" w:lineRule="auto"/>
        <w:rPr>
          <w:rFonts w:ascii="Arial" w:hAnsi="Arial" w:cs="Arial"/>
          <w:sz w:val="18"/>
          <w:szCs w:val="18"/>
          <w:lang w:val="es-PE"/>
        </w:rPr>
      </w:pPr>
    </w:p>
  </w:footnote>
  <w:footnote w:id="142">
    <w:p w14:paraId="290BEEEA"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Zavala de González, Matilde, </w:t>
      </w:r>
      <w:r w:rsidRPr="00A63ABC">
        <w:rPr>
          <w:rFonts w:ascii="Arial" w:hAnsi="Arial" w:cs="Arial"/>
          <w:i/>
          <w:sz w:val="18"/>
          <w:szCs w:val="18"/>
          <w:lang w:val="es-PE"/>
        </w:rPr>
        <w:t>Resarcimiento de daños</w:t>
      </w:r>
      <w:r w:rsidRPr="00A63ABC">
        <w:rPr>
          <w:rFonts w:ascii="Arial" w:hAnsi="Arial" w:cs="Arial"/>
          <w:sz w:val="18"/>
          <w:szCs w:val="18"/>
          <w:lang w:val="es-PE"/>
        </w:rPr>
        <w:t xml:space="preserve">, volumen 2 c: </w:t>
      </w:r>
      <w:r w:rsidRPr="00A63ABC">
        <w:rPr>
          <w:rFonts w:ascii="Arial" w:hAnsi="Arial" w:cs="Arial"/>
          <w:i/>
          <w:sz w:val="18"/>
          <w:szCs w:val="18"/>
          <w:lang w:val="es-PE"/>
        </w:rPr>
        <w:t>Daños a las persona (integridad espiritual y social)</w:t>
      </w:r>
      <w:r w:rsidRPr="00A63ABC">
        <w:rPr>
          <w:rFonts w:ascii="Arial" w:hAnsi="Arial" w:cs="Arial"/>
          <w:sz w:val="18"/>
          <w:szCs w:val="18"/>
          <w:lang w:val="es-PE"/>
        </w:rPr>
        <w:t>, Hammurabi – José Luis Depalma Editor, primera reimpresión, Buenos Aires, 1997, p. 292.</w:t>
      </w:r>
    </w:p>
    <w:p w14:paraId="49D95FA6"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43">
    <w:p w14:paraId="33373893"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Patti, Salvatore, </w:t>
      </w:r>
      <w:r w:rsidRPr="00A63ABC">
        <w:rPr>
          <w:rFonts w:ascii="Arial" w:hAnsi="Arial" w:cs="Arial"/>
          <w:i/>
          <w:sz w:val="18"/>
          <w:szCs w:val="18"/>
          <w:lang w:val="it-IT"/>
        </w:rPr>
        <w:t xml:space="preserve"> Aspetti oggettivi e soggettivi dell’identità sessuale</w:t>
      </w:r>
      <w:r w:rsidRPr="00A63ABC">
        <w:rPr>
          <w:rFonts w:ascii="Arial" w:hAnsi="Arial" w:cs="Arial"/>
          <w:sz w:val="18"/>
          <w:szCs w:val="18"/>
          <w:lang w:val="it-IT"/>
        </w:rPr>
        <w:t xml:space="preserve">, en: Patti, Salvatore y Will, Michael R., </w:t>
      </w:r>
      <w:r w:rsidRPr="00A63ABC">
        <w:rPr>
          <w:rFonts w:ascii="Arial" w:hAnsi="Arial" w:cs="Arial"/>
          <w:i/>
          <w:sz w:val="18"/>
          <w:szCs w:val="18"/>
          <w:lang w:val="it-IT"/>
        </w:rPr>
        <w:t xml:space="preserve">Mutamento di sesso e tutela della persona. Saggi di diritto cvile e </w:t>
      </w:r>
      <w:r w:rsidRPr="00A63ABC">
        <w:rPr>
          <w:rFonts w:ascii="Arial" w:hAnsi="Arial" w:cs="Arial"/>
          <w:sz w:val="18"/>
          <w:szCs w:val="18"/>
          <w:lang w:val="it-IT"/>
        </w:rPr>
        <w:t>comparato, Giuffrè editore, Milán, 1986,  104.</w:t>
      </w:r>
    </w:p>
    <w:p w14:paraId="68822E00" w14:textId="77777777" w:rsidR="0096481E" w:rsidRPr="00A63ABC" w:rsidRDefault="0096481E" w:rsidP="0096481E">
      <w:pPr>
        <w:pStyle w:val="Textonotapie"/>
        <w:spacing w:line="276" w:lineRule="auto"/>
        <w:jc w:val="both"/>
        <w:rPr>
          <w:rFonts w:ascii="Arial" w:hAnsi="Arial" w:cs="Arial"/>
          <w:sz w:val="18"/>
          <w:szCs w:val="18"/>
          <w:lang w:val="it-IT"/>
        </w:rPr>
      </w:pPr>
    </w:p>
  </w:footnote>
  <w:footnote w:id="144">
    <w:p w14:paraId="652BA498"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Fernández Sessarego, Carlos, </w:t>
      </w:r>
      <w:r w:rsidRPr="00A63ABC">
        <w:rPr>
          <w:rFonts w:ascii="Arial" w:hAnsi="Arial" w:cs="Arial"/>
          <w:i/>
          <w:sz w:val="18"/>
          <w:szCs w:val="18"/>
          <w:lang w:val="it-IT"/>
        </w:rPr>
        <w:t>Derecho a la identidad personal</w:t>
      </w:r>
      <w:r w:rsidRPr="00A63ABC">
        <w:rPr>
          <w:rFonts w:ascii="Arial" w:hAnsi="Arial" w:cs="Arial"/>
          <w:sz w:val="18"/>
          <w:szCs w:val="18"/>
          <w:lang w:val="it-IT"/>
        </w:rPr>
        <w:t>, pág. 696.</w:t>
      </w:r>
    </w:p>
  </w:footnote>
  <w:footnote w:id="145">
    <w:p w14:paraId="565638F4" w14:textId="77777777" w:rsidR="0096481E" w:rsidRPr="00A63ABC" w:rsidRDefault="0096481E" w:rsidP="0096481E">
      <w:pPr>
        <w:autoSpaceDE w:val="0"/>
        <w:autoSpaceDN w:val="0"/>
        <w:adjustRightInd w:val="0"/>
        <w:spacing w:after="0"/>
        <w:ind w:left="284" w:hanging="284"/>
        <w:jc w:val="both"/>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Alpa, Guido y Resta, Giorgio, </w:t>
      </w:r>
      <w:r w:rsidRPr="00A63ABC">
        <w:rPr>
          <w:rFonts w:ascii="Arial" w:hAnsi="Arial" w:cs="Arial"/>
          <w:i/>
          <w:sz w:val="18"/>
          <w:szCs w:val="18"/>
          <w:lang w:val="it-IT"/>
        </w:rPr>
        <w:t>Le persone fisiche e i diritti della personalità</w:t>
      </w:r>
      <w:r w:rsidRPr="00A63ABC">
        <w:rPr>
          <w:rFonts w:ascii="Arial" w:hAnsi="Arial" w:cs="Arial"/>
          <w:sz w:val="18"/>
          <w:szCs w:val="18"/>
          <w:lang w:val="it-IT"/>
        </w:rPr>
        <w:t>, segunda edición, Utet Giuridica, Milán, 2019, pág. 168 y ss.</w:t>
      </w:r>
    </w:p>
    <w:p w14:paraId="44D3CB65" w14:textId="77777777" w:rsidR="0096481E" w:rsidRPr="00A63ABC" w:rsidRDefault="0096481E" w:rsidP="0096481E">
      <w:pPr>
        <w:autoSpaceDE w:val="0"/>
        <w:autoSpaceDN w:val="0"/>
        <w:adjustRightInd w:val="0"/>
        <w:spacing w:after="0"/>
        <w:ind w:left="284" w:hanging="284"/>
        <w:jc w:val="both"/>
        <w:rPr>
          <w:rFonts w:ascii="Arial" w:hAnsi="Arial" w:cs="Arial"/>
          <w:sz w:val="18"/>
          <w:szCs w:val="18"/>
          <w:lang w:val="it-IT"/>
        </w:rPr>
      </w:pPr>
    </w:p>
  </w:footnote>
  <w:footnote w:id="146">
    <w:p w14:paraId="0C2ECAF8" w14:textId="77777777" w:rsidR="0096481E" w:rsidRPr="00A63ABC" w:rsidRDefault="0096481E" w:rsidP="0096481E">
      <w:pPr>
        <w:pStyle w:val="Default"/>
        <w:spacing w:line="276" w:lineRule="auto"/>
        <w:ind w:left="284" w:hanging="284"/>
        <w:jc w:val="both"/>
        <w:rPr>
          <w:sz w:val="18"/>
          <w:szCs w:val="18"/>
        </w:rPr>
      </w:pPr>
      <w:r w:rsidRPr="00A63ABC">
        <w:rPr>
          <w:rStyle w:val="Refdenotaalpie"/>
          <w:sz w:val="18"/>
          <w:szCs w:val="18"/>
        </w:rPr>
        <w:footnoteRef/>
      </w:r>
      <w:r w:rsidRPr="00A63ABC">
        <w:rPr>
          <w:sz w:val="18"/>
          <w:szCs w:val="18"/>
        </w:rPr>
        <w:t xml:space="preserve"> Busnelli, Francesco Donato, </w:t>
      </w:r>
      <w:r w:rsidRPr="00A63ABC">
        <w:rPr>
          <w:i/>
          <w:sz w:val="18"/>
          <w:szCs w:val="18"/>
        </w:rPr>
        <w:t>Il diritto delle persone</w:t>
      </w:r>
      <w:r w:rsidRPr="00A63ABC">
        <w:rPr>
          <w:sz w:val="18"/>
          <w:szCs w:val="18"/>
        </w:rPr>
        <w:t>, en: Id., Persona e famiglia, Pacini Editore, Pisa, 2017, p. 15.</w:t>
      </w:r>
    </w:p>
    <w:p w14:paraId="7A2D476F" w14:textId="77777777" w:rsidR="0096481E" w:rsidRPr="00A63ABC" w:rsidRDefault="0096481E" w:rsidP="0096481E">
      <w:pPr>
        <w:pStyle w:val="Textonotapie"/>
        <w:spacing w:line="276" w:lineRule="auto"/>
        <w:rPr>
          <w:rFonts w:ascii="Arial" w:hAnsi="Arial" w:cs="Arial"/>
          <w:sz w:val="18"/>
          <w:szCs w:val="18"/>
          <w:lang w:val="it-IT"/>
        </w:rPr>
      </w:pPr>
    </w:p>
  </w:footnote>
  <w:footnote w:id="147">
    <w:p w14:paraId="361A6822"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De Giorgi, Maria Vita y Farnetti, Marcello, </w:t>
      </w:r>
      <w:r w:rsidRPr="00A63ABC">
        <w:rPr>
          <w:rFonts w:ascii="Arial" w:hAnsi="Arial" w:cs="Arial"/>
          <w:i/>
          <w:sz w:val="18"/>
          <w:szCs w:val="18"/>
          <w:lang w:val="it-IT"/>
        </w:rPr>
        <w:t>Commentario al Titolo I:Delle Persone Fisiche</w:t>
      </w:r>
      <w:r w:rsidRPr="00A63ABC">
        <w:rPr>
          <w:rFonts w:ascii="Arial" w:hAnsi="Arial" w:cs="Arial"/>
          <w:sz w:val="18"/>
          <w:szCs w:val="18"/>
          <w:lang w:val="it-IT"/>
        </w:rPr>
        <w:t xml:space="preserve">, en: </w:t>
      </w:r>
      <w:r w:rsidRPr="00A63ABC">
        <w:rPr>
          <w:rFonts w:ascii="Arial" w:hAnsi="Arial" w:cs="Arial"/>
          <w:i/>
          <w:sz w:val="18"/>
          <w:szCs w:val="18"/>
          <w:lang w:val="it-IT"/>
        </w:rPr>
        <w:t>Commentario Breve al Codice Civile</w:t>
      </w:r>
      <w:r w:rsidRPr="00A63ABC">
        <w:rPr>
          <w:rFonts w:ascii="Arial" w:hAnsi="Arial" w:cs="Arial"/>
          <w:sz w:val="18"/>
          <w:szCs w:val="18"/>
          <w:lang w:val="it-IT"/>
        </w:rPr>
        <w:t>, dirigido por Giorgio Cian y Alberto Trabucchi, sexta edición al cuidado de Giorgio Cian, Cedam, Padua, 2002,  p.174.</w:t>
      </w:r>
    </w:p>
    <w:p w14:paraId="2E19AF1A" w14:textId="77777777" w:rsidR="0096481E" w:rsidRPr="00A63ABC" w:rsidRDefault="0096481E" w:rsidP="0096481E">
      <w:pPr>
        <w:pStyle w:val="Textonotapie"/>
        <w:spacing w:line="276" w:lineRule="auto"/>
        <w:rPr>
          <w:rFonts w:ascii="Arial" w:hAnsi="Arial" w:cs="Arial"/>
          <w:sz w:val="18"/>
          <w:szCs w:val="18"/>
          <w:lang w:val="it-IT"/>
        </w:rPr>
      </w:pPr>
    </w:p>
  </w:footnote>
  <w:footnote w:id="148">
    <w:p w14:paraId="2A5F4E9D" w14:textId="77777777" w:rsidR="0096481E" w:rsidRPr="00A63ABC" w:rsidRDefault="0096481E" w:rsidP="0096481E">
      <w:pPr>
        <w:pStyle w:val="Default"/>
        <w:spacing w:line="276" w:lineRule="auto"/>
        <w:ind w:left="284" w:hanging="284"/>
        <w:jc w:val="both"/>
        <w:rPr>
          <w:sz w:val="18"/>
          <w:szCs w:val="18"/>
        </w:rPr>
      </w:pPr>
      <w:r w:rsidRPr="00A63ABC">
        <w:rPr>
          <w:rStyle w:val="Refdenotaalpie"/>
          <w:sz w:val="18"/>
          <w:szCs w:val="18"/>
          <w:lang w:val="es-PE"/>
        </w:rPr>
        <w:footnoteRef/>
      </w:r>
      <w:r w:rsidRPr="00A63ABC">
        <w:rPr>
          <w:sz w:val="18"/>
          <w:szCs w:val="18"/>
        </w:rPr>
        <w:t xml:space="preserve"> </w:t>
      </w:r>
      <w:r w:rsidRPr="00A63ABC">
        <w:rPr>
          <w:sz w:val="18"/>
          <w:szCs w:val="18"/>
        </w:rPr>
        <w:tab/>
        <w:t xml:space="preserve">Resta, Giorgio,  </w:t>
      </w:r>
      <w:r w:rsidRPr="00A63ABC">
        <w:rPr>
          <w:i/>
          <w:sz w:val="18"/>
          <w:szCs w:val="18"/>
        </w:rPr>
        <w:t>Autonomia privata e diritti della personalità</w:t>
      </w:r>
      <w:r w:rsidRPr="00A63ABC">
        <w:rPr>
          <w:sz w:val="18"/>
          <w:szCs w:val="18"/>
        </w:rPr>
        <w:t>, Jovene editore, Nápoles, 2005, pág. 18 y ss.</w:t>
      </w:r>
    </w:p>
    <w:p w14:paraId="2557B288"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49">
    <w:p w14:paraId="3068C88D"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Paradiso, Massimo, </w:t>
      </w:r>
      <w:r w:rsidRPr="00A63ABC">
        <w:rPr>
          <w:rFonts w:ascii="Arial" w:hAnsi="Arial" w:cs="Arial"/>
          <w:i/>
          <w:sz w:val="18"/>
          <w:szCs w:val="18"/>
          <w:lang w:val="it-IT"/>
        </w:rPr>
        <w:t>Corso di istituzioni di diritto privato</w:t>
      </w:r>
      <w:r w:rsidRPr="00A63ABC">
        <w:rPr>
          <w:rFonts w:ascii="Arial" w:hAnsi="Arial" w:cs="Arial"/>
          <w:sz w:val="18"/>
          <w:szCs w:val="18"/>
          <w:lang w:val="it-IT"/>
        </w:rPr>
        <w:t>, décima edición, G.Giappichelli, Turín, 2018, pág. 130.</w:t>
      </w:r>
    </w:p>
    <w:p w14:paraId="3EE28517" w14:textId="77777777" w:rsidR="0096481E" w:rsidRPr="00A63ABC" w:rsidRDefault="0096481E" w:rsidP="0096481E">
      <w:pPr>
        <w:pStyle w:val="Textonotapie"/>
        <w:spacing w:line="276" w:lineRule="auto"/>
        <w:rPr>
          <w:rFonts w:ascii="Arial" w:hAnsi="Arial" w:cs="Arial"/>
          <w:sz w:val="18"/>
          <w:szCs w:val="18"/>
          <w:lang w:val="it-IT"/>
        </w:rPr>
      </w:pPr>
    </w:p>
  </w:footnote>
  <w:footnote w:id="150">
    <w:p w14:paraId="1318A238"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Zeno- Zencovich, Vincenzo, </w:t>
      </w:r>
      <w:r w:rsidRPr="00A63ABC">
        <w:rPr>
          <w:rFonts w:ascii="Arial" w:hAnsi="Arial" w:cs="Arial"/>
          <w:i/>
          <w:sz w:val="18"/>
          <w:szCs w:val="18"/>
          <w:lang w:val="it-IT"/>
        </w:rPr>
        <w:t>I diritti della personalità</w:t>
      </w:r>
      <w:r w:rsidRPr="00A63ABC">
        <w:rPr>
          <w:rFonts w:ascii="Arial" w:hAnsi="Arial" w:cs="Arial"/>
          <w:sz w:val="18"/>
          <w:szCs w:val="18"/>
          <w:lang w:val="it-IT"/>
        </w:rPr>
        <w:t>, en: Diritto civile, dirigido por Nicolò Lipari y Pietro Rescigno, coordinado por Andrea Zoppini, Volumen I: Fonti, soggetti, famiglia. I, Le fonti e i soggetti, Giuffrè editore, Milán, 2009, pág. 530 y ss.</w:t>
      </w:r>
    </w:p>
    <w:p w14:paraId="3313F02C"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51">
    <w:p w14:paraId="1EF199CF"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Fernández Sessarego, Carlos, </w:t>
      </w:r>
      <w:r w:rsidRPr="00A63ABC">
        <w:rPr>
          <w:rFonts w:ascii="Arial" w:hAnsi="Arial" w:cs="Arial"/>
          <w:i/>
          <w:sz w:val="18"/>
          <w:szCs w:val="18"/>
        </w:rPr>
        <w:t>Derecho a la identidad personal</w:t>
      </w:r>
      <w:r w:rsidRPr="00A63ABC">
        <w:rPr>
          <w:rFonts w:ascii="Arial" w:hAnsi="Arial" w:cs="Arial"/>
          <w:sz w:val="18"/>
          <w:szCs w:val="18"/>
        </w:rPr>
        <w:t>, segunda edición actualizada y ampliada, Instituto Pacífico, Lima, 2015, p. 70 y ss.</w:t>
      </w:r>
    </w:p>
    <w:p w14:paraId="35A65B2A" w14:textId="77777777" w:rsidR="0096481E" w:rsidRPr="00A63ABC" w:rsidRDefault="0096481E" w:rsidP="0096481E">
      <w:pPr>
        <w:pStyle w:val="Textonotapie"/>
        <w:spacing w:line="276" w:lineRule="auto"/>
        <w:rPr>
          <w:rFonts w:ascii="Arial" w:hAnsi="Arial" w:cs="Arial"/>
          <w:sz w:val="18"/>
          <w:szCs w:val="18"/>
          <w:lang w:val="es-PE"/>
        </w:rPr>
      </w:pPr>
    </w:p>
  </w:footnote>
  <w:footnote w:id="152">
    <w:p w14:paraId="4A04203E"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De Cupis, Adriano, </w:t>
      </w:r>
      <w:r w:rsidRPr="00A63ABC">
        <w:rPr>
          <w:rFonts w:ascii="Arial" w:hAnsi="Arial" w:cs="Arial"/>
          <w:i/>
          <w:sz w:val="18"/>
          <w:szCs w:val="18"/>
          <w:lang w:val="it-IT"/>
        </w:rPr>
        <w:t>I diritti della personalità,</w:t>
      </w:r>
      <w:r w:rsidRPr="00A63ABC">
        <w:rPr>
          <w:rFonts w:ascii="Arial" w:hAnsi="Arial" w:cs="Arial"/>
          <w:sz w:val="18"/>
          <w:szCs w:val="18"/>
          <w:lang w:val="it-IT"/>
        </w:rPr>
        <w:t xml:space="preserve"> segunda edición revisada y actualizada, Giuffrè editore, Milán, 1982, p.399.</w:t>
      </w:r>
    </w:p>
    <w:p w14:paraId="1B55B707" w14:textId="77777777" w:rsidR="0096481E" w:rsidRPr="00A63ABC" w:rsidRDefault="0096481E" w:rsidP="0096481E">
      <w:pPr>
        <w:pStyle w:val="Textonotapie"/>
        <w:spacing w:line="276" w:lineRule="auto"/>
        <w:rPr>
          <w:rFonts w:ascii="Arial" w:hAnsi="Arial" w:cs="Arial"/>
          <w:sz w:val="18"/>
          <w:szCs w:val="18"/>
          <w:lang w:val="it-IT"/>
        </w:rPr>
      </w:pPr>
    </w:p>
  </w:footnote>
  <w:footnote w:id="153">
    <w:p w14:paraId="425B4C7A"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Finocchiaro, Giusella, </w:t>
      </w:r>
      <w:r w:rsidRPr="00A63ABC">
        <w:rPr>
          <w:rFonts w:ascii="Arial" w:hAnsi="Arial" w:cs="Arial"/>
          <w:i/>
          <w:sz w:val="18"/>
          <w:szCs w:val="18"/>
          <w:lang w:val="it-IT"/>
        </w:rPr>
        <w:t>Identità personale (diritto della)</w:t>
      </w:r>
      <w:r w:rsidRPr="00A63ABC">
        <w:rPr>
          <w:rFonts w:ascii="Arial" w:hAnsi="Arial" w:cs="Arial"/>
          <w:sz w:val="18"/>
          <w:szCs w:val="18"/>
          <w:lang w:val="it-IT"/>
        </w:rPr>
        <w:t>, en: Digesto delle discipline privatistiche, sezione civile, aggiornamento, con la collaborazione di Antonio Iannarelli – Eva Rook Basile – Rodolfo Sacco – Angelo Scala, Utet, Turín, 2011, pág. 722.</w:t>
      </w:r>
    </w:p>
    <w:p w14:paraId="4391C25B"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54">
    <w:p w14:paraId="49D9F553"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71.</w:t>
      </w:r>
    </w:p>
    <w:p w14:paraId="49A549F1"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p>
  </w:footnote>
  <w:footnote w:id="155">
    <w:p w14:paraId="651285C1"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Resta, Giorgio, </w:t>
      </w:r>
      <w:r w:rsidRPr="00A63ABC">
        <w:rPr>
          <w:rFonts w:ascii="Arial" w:hAnsi="Arial" w:cs="Arial"/>
          <w:i/>
          <w:sz w:val="18"/>
          <w:szCs w:val="18"/>
          <w:lang w:val="it-IT"/>
        </w:rPr>
        <w:t>Il diritto all’identità personale ieri e oggi. Informazione, mercato, dati personali</w:t>
      </w:r>
      <w:r w:rsidRPr="00A63ABC">
        <w:rPr>
          <w:rFonts w:ascii="Arial" w:hAnsi="Arial" w:cs="Arial"/>
          <w:sz w:val="18"/>
          <w:szCs w:val="18"/>
          <w:lang w:val="it-IT"/>
        </w:rPr>
        <w:t>, en: Libera circolazione e protezione dei dati personali, al cuidado de R. Panetta, tomo I, Giuffrè editore, Milán, 2006, pág. 297.</w:t>
      </w:r>
    </w:p>
    <w:p w14:paraId="12A229D6"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56">
    <w:p w14:paraId="722BBFB8" w14:textId="77777777" w:rsidR="0096481E" w:rsidRPr="00A63ABC" w:rsidRDefault="0096481E" w:rsidP="0096481E">
      <w:pPr>
        <w:pStyle w:val="Textonotapie"/>
        <w:spacing w:line="276" w:lineRule="auto"/>
        <w:rPr>
          <w:rFonts w:ascii="Arial" w:hAnsi="Arial" w:cs="Arial"/>
          <w:sz w:val="18"/>
          <w:szCs w:val="18"/>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71.</w:t>
      </w:r>
    </w:p>
    <w:p w14:paraId="1366F2E7" w14:textId="77777777" w:rsidR="0096481E" w:rsidRPr="00A63ABC" w:rsidRDefault="0096481E" w:rsidP="0096481E">
      <w:pPr>
        <w:pStyle w:val="Textonotapie"/>
        <w:spacing w:line="276" w:lineRule="auto"/>
        <w:rPr>
          <w:rFonts w:ascii="Arial" w:hAnsi="Arial" w:cs="Arial"/>
          <w:sz w:val="18"/>
          <w:szCs w:val="18"/>
          <w:lang w:val="es-PE"/>
        </w:rPr>
      </w:pPr>
    </w:p>
  </w:footnote>
  <w:footnote w:id="157">
    <w:p w14:paraId="6F814189" w14:textId="77777777" w:rsidR="0096481E" w:rsidRPr="00A63ABC" w:rsidRDefault="0096481E" w:rsidP="0096481E">
      <w:pPr>
        <w:pStyle w:val="Textonotapie"/>
        <w:spacing w:line="276" w:lineRule="auto"/>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PE"/>
        </w:rPr>
        <w:t xml:space="preserve">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pág. 71-72.</w:t>
      </w:r>
    </w:p>
    <w:p w14:paraId="4CBC18C2" w14:textId="77777777" w:rsidR="0096481E" w:rsidRPr="00A63ABC" w:rsidRDefault="0096481E" w:rsidP="0096481E">
      <w:pPr>
        <w:pStyle w:val="Textonotapie"/>
        <w:spacing w:line="276" w:lineRule="auto"/>
        <w:rPr>
          <w:rFonts w:ascii="Arial" w:hAnsi="Arial" w:cs="Arial"/>
          <w:sz w:val="18"/>
          <w:szCs w:val="18"/>
          <w:lang w:val="es-PE"/>
        </w:rPr>
      </w:pPr>
    </w:p>
  </w:footnote>
  <w:footnote w:id="158">
    <w:p w14:paraId="670EAB35"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Pino, Giorgio, </w:t>
      </w:r>
      <w:r w:rsidRPr="00A63ABC">
        <w:rPr>
          <w:rFonts w:ascii="Arial" w:hAnsi="Arial" w:cs="Arial"/>
          <w:i/>
          <w:sz w:val="18"/>
          <w:szCs w:val="18"/>
          <w:lang w:val="it-IT"/>
        </w:rPr>
        <w:t>Il diritto all’identitá personale. Interpretazione costituzionale e creativitá giurisprudenziale</w:t>
      </w:r>
      <w:r w:rsidRPr="00A63ABC">
        <w:rPr>
          <w:rFonts w:ascii="Arial" w:hAnsi="Arial" w:cs="Arial"/>
          <w:sz w:val="18"/>
          <w:szCs w:val="18"/>
          <w:lang w:val="it-IT"/>
        </w:rPr>
        <w:t>, Il Mulino, Bolonia, 2003, p. 66.</w:t>
      </w:r>
    </w:p>
    <w:p w14:paraId="38CAFD33" w14:textId="77777777" w:rsidR="0096481E" w:rsidRPr="00A63ABC" w:rsidRDefault="0096481E" w:rsidP="0096481E">
      <w:pPr>
        <w:pStyle w:val="Textonotapie"/>
        <w:spacing w:line="276" w:lineRule="auto"/>
        <w:rPr>
          <w:rFonts w:ascii="Arial" w:hAnsi="Arial" w:cs="Arial"/>
          <w:sz w:val="18"/>
          <w:szCs w:val="18"/>
          <w:lang w:val="it-IT"/>
        </w:rPr>
      </w:pPr>
    </w:p>
  </w:footnote>
  <w:footnote w:id="159">
    <w:p w14:paraId="5E606B69"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La referida sentencia se publicó en “Il Foro Italiano”, 1964-I, pág. 432.</w:t>
      </w:r>
    </w:p>
    <w:p w14:paraId="34058BD6"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160">
    <w:p w14:paraId="53D271C6"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La citada sentencia se publicó en “Il Foro Italiano”, 1972-Y-432.</w:t>
      </w:r>
    </w:p>
    <w:p w14:paraId="4B639B63"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161">
    <w:p w14:paraId="474CF25E"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Zeno-Zencovich, Vincenzo, </w:t>
      </w:r>
      <w:r w:rsidRPr="00A63ABC">
        <w:rPr>
          <w:rFonts w:ascii="Arial" w:hAnsi="Arial" w:cs="Arial"/>
          <w:i/>
          <w:sz w:val="18"/>
          <w:szCs w:val="18"/>
          <w:lang w:val="it-IT"/>
        </w:rPr>
        <w:t>I diritti della personalità</w:t>
      </w:r>
      <w:r w:rsidRPr="00A63ABC">
        <w:rPr>
          <w:rFonts w:ascii="Arial" w:hAnsi="Arial" w:cs="Arial"/>
          <w:sz w:val="18"/>
          <w:szCs w:val="18"/>
          <w:lang w:val="it-IT"/>
        </w:rPr>
        <w:t>, en: Diritto civile, dirigido por Nicolò Lipari y Pietro Rescigno, coordinado por Andrea Zoppini, Volumen I: Fonti, soggetti, famiglia. I, Le fonti e i soggetti, pág. 530 y ss.</w:t>
      </w:r>
    </w:p>
    <w:p w14:paraId="6DFACBF9"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62">
    <w:p w14:paraId="497008C4" w14:textId="77777777" w:rsidR="0096481E" w:rsidRPr="00A63ABC" w:rsidRDefault="0096481E" w:rsidP="0096481E">
      <w:pPr>
        <w:pStyle w:val="Prrafobsico"/>
        <w:spacing w:line="276" w:lineRule="auto"/>
        <w:ind w:left="284" w:right="-1" w:hanging="284"/>
        <w:jc w:val="both"/>
        <w:rPr>
          <w:rFonts w:ascii="Arial" w:hAnsi="Arial" w:cs="Arial"/>
          <w:spacing w:val="15"/>
          <w:sz w:val="18"/>
          <w:szCs w:val="18"/>
          <w:lang w:val="it-IT"/>
        </w:rPr>
      </w:pPr>
      <w:r w:rsidRPr="00A63ABC">
        <w:rPr>
          <w:rFonts w:ascii="Arial" w:hAnsi="Arial" w:cs="Arial"/>
          <w:sz w:val="18"/>
          <w:szCs w:val="18"/>
          <w:vertAlign w:val="superscript"/>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r>
      <w:r w:rsidRPr="00A63ABC">
        <w:rPr>
          <w:rFonts w:ascii="Arial" w:hAnsi="Arial" w:cs="Arial"/>
          <w:spacing w:val="15"/>
          <w:sz w:val="18"/>
          <w:szCs w:val="18"/>
          <w:lang w:val="it-IT"/>
        </w:rPr>
        <w:t xml:space="preserve">Alpa, Guido, </w:t>
      </w:r>
      <w:r w:rsidRPr="00A63ABC">
        <w:rPr>
          <w:rFonts w:ascii="Arial" w:hAnsi="Arial" w:cs="Arial"/>
          <w:i/>
          <w:spacing w:val="15"/>
          <w:sz w:val="18"/>
          <w:szCs w:val="18"/>
          <w:lang w:val="it-IT"/>
        </w:rPr>
        <w:t>La Responsabilità civile, Parte Generale</w:t>
      </w:r>
      <w:r w:rsidRPr="00A63ABC">
        <w:rPr>
          <w:rFonts w:ascii="Arial" w:hAnsi="Arial" w:cs="Arial"/>
          <w:spacing w:val="15"/>
          <w:sz w:val="18"/>
          <w:szCs w:val="18"/>
          <w:lang w:val="it-IT"/>
        </w:rPr>
        <w:t xml:space="preserve">, Nuova giurisprudenza di Diritto civile e commerciale, fundada por Walter Bigiavi, dirigida por G. Alpa – U. Breccia – G. Bonilini - M. Confortini – A. Iannarelli – M.Sesta – G. Cottino – O. Cagnasso, Utet, Turín. 2010, pág. 501. </w:t>
      </w:r>
    </w:p>
    <w:p w14:paraId="6A0D2409" w14:textId="77777777" w:rsidR="0096481E" w:rsidRPr="00A63ABC" w:rsidRDefault="0096481E" w:rsidP="0096481E">
      <w:pPr>
        <w:pStyle w:val="Prrafobsico"/>
        <w:spacing w:line="276" w:lineRule="auto"/>
        <w:ind w:left="284" w:right="-1" w:hanging="284"/>
        <w:jc w:val="both"/>
        <w:rPr>
          <w:rFonts w:ascii="Arial" w:hAnsi="Arial" w:cs="Arial"/>
          <w:sz w:val="18"/>
          <w:szCs w:val="18"/>
          <w:lang w:val="it-IT"/>
        </w:rPr>
      </w:pPr>
    </w:p>
  </w:footnote>
  <w:footnote w:id="163">
    <w:p w14:paraId="152C6F7F"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Dogliotti, Massimo, I. </w:t>
      </w:r>
      <w:r w:rsidRPr="00A63ABC">
        <w:rPr>
          <w:rFonts w:ascii="Arial" w:hAnsi="Arial" w:cs="Arial"/>
          <w:i/>
          <w:sz w:val="18"/>
          <w:szCs w:val="18"/>
          <w:lang w:val="it-IT"/>
        </w:rPr>
        <w:t>Le persone fisiche</w:t>
      </w:r>
      <w:r w:rsidRPr="00A63ABC">
        <w:rPr>
          <w:rFonts w:ascii="Arial" w:hAnsi="Arial" w:cs="Arial"/>
          <w:sz w:val="18"/>
          <w:szCs w:val="18"/>
          <w:lang w:val="it-IT"/>
        </w:rPr>
        <w:t>, en: Trattato di Diritto Privato, dirigido por Pietro Rescigno, primera edición, Utet, Turín, 1982, p. 148.</w:t>
      </w:r>
    </w:p>
    <w:p w14:paraId="64BE2923"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64">
    <w:p w14:paraId="6E3D00EC" w14:textId="77777777" w:rsidR="0096481E" w:rsidRPr="00A63ABC" w:rsidRDefault="0096481E" w:rsidP="0096481E">
      <w:pPr>
        <w:pStyle w:val="Textonotapie"/>
        <w:spacing w:line="276" w:lineRule="auto"/>
        <w:ind w:left="284" w:hanging="284"/>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Pino, Giorgio, </w:t>
      </w:r>
      <w:r w:rsidRPr="00A63ABC">
        <w:rPr>
          <w:rFonts w:ascii="Arial" w:hAnsi="Arial" w:cs="Arial"/>
          <w:i/>
          <w:sz w:val="18"/>
          <w:szCs w:val="18"/>
          <w:lang w:val="it-IT"/>
        </w:rPr>
        <w:t>Il diritto all’identitá personale. Interpretazione costituzionale e creativitá giurisprudenziale</w:t>
      </w:r>
      <w:r w:rsidRPr="00A63ABC">
        <w:rPr>
          <w:rFonts w:ascii="Arial" w:hAnsi="Arial" w:cs="Arial"/>
          <w:sz w:val="18"/>
          <w:szCs w:val="18"/>
          <w:lang w:val="it-IT"/>
        </w:rPr>
        <w:t>, p. 67.</w:t>
      </w:r>
    </w:p>
    <w:p w14:paraId="35595C70" w14:textId="77777777" w:rsidR="0096481E" w:rsidRPr="00A63ABC" w:rsidRDefault="0096481E" w:rsidP="0096481E">
      <w:pPr>
        <w:pStyle w:val="Textonotapie"/>
        <w:spacing w:line="276" w:lineRule="auto"/>
        <w:ind w:left="284" w:hanging="284"/>
        <w:rPr>
          <w:rFonts w:ascii="Arial" w:hAnsi="Arial" w:cs="Arial"/>
          <w:sz w:val="18"/>
          <w:szCs w:val="18"/>
          <w:lang w:val="it-IT"/>
        </w:rPr>
      </w:pPr>
    </w:p>
  </w:footnote>
  <w:footnote w:id="165">
    <w:p w14:paraId="403C1485" w14:textId="77777777" w:rsidR="0096481E" w:rsidRPr="00A63ABC" w:rsidRDefault="0096481E" w:rsidP="0096481E">
      <w:pPr>
        <w:pStyle w:val="Textonotapie"/>
        <w:spacing w:line="276" w:lineRule="auto"/>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Fernández Sessarego, Carlos, </w:t>
      </w:r>
      <w:r w:rsidRPr="00A63ABC">
        <w:rPr>
          <w:rFonts w:ascii="Arial" w:hAnsi="Arial" w:cs="Arial"/>
          <w:i/>
          <w:sz w:val="18"/>
          <w:szCs w:val="18"/>
        </w:rPr>
        <w:t>Derecho a la identidad personal</w:t>
      </w:r>
      <w:r w:rsidRPr="00A63ABC">
        <w:rPr>
          <w:rFonts w:ascii="Arial" w:hAnsi="Arial" w:cs="Arial"/>
          <w:sz w:val="18"/>
          <w:szCs w:val="18"/>
        </w:rPr>
        <w:t>, pág. 73-74.</w:t>
      </w:r>
    </w:p>
  </w:footnote>
  <w:footnote w:id="166">
    <w:p w14:paraId="5BEC185E" w14:textId="77777777" w:rsidR="0096481E" w:rsidRPr="00A63ABC" w:rsidRDefault="0096481E" w:rsidP="0096481E">
      <w:pPr>
        <w:pStyle w:val="Textonotapie"/>
        <w:spacing w:line="276" w:lineRule="auto"/>
        <w:rPr>
          <w:rFonts w:ascii="Arial" w:hAnsi="Arial" w:cs="Arial"/>
          <w:sz w:val="18"/>
          <w:szCs w:val="18"/>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Fernández Sessarego, Carlos, </w:t>
      </w:r>
      <w:r w:rsidRPr="00A63ABC">
        <w:rPr>
          <w:rFonts w:ascii="Arial" w:hAnsi="Arial" w:cs="Arial"/>
          <w:i/>
          <w:sz w:val="18"/>
          <w:szCs w:val="18"/>
        </w:rPr>
        <w:t>Derecho a la identidad personal</w:t>
      </w:r>
      <w:r w:rsidRPr="00A63ABC">
        <w:rPr>
          <w:rFonts w:ascii="Arial" w:hAnsi="Arial" w:cs="Arial"/>
          <w:sz w:val="18"/>
          <w:szCs w:val="18"/>
        </w:rPr>
        <w:t>, pág. 78 y ss.</w:t>
      </w:r>
    </w:p>
    <w:p w14:paraId="0B6FB720" w14:textId="77777777" w:rsidR="0096481E" w:rsidRPr="00A63ABC" w:rsidRDefault="0096481E" w:rsidP="0096481E">
      <w:pPr>
        <w:pStyle w:val="Textonotapie"/>
        <w:spacing w:line="276" w:lineRule="auto"/>
        <w:rPr>
          <w:rFonts w:ascii="Arial" w:hAnsi="Arial" w:cs="Arial"/>
          <w:sz w:val="18"/>
          <w:szCs w:val="18"/>
          <w:lang w:val="es-PE"/>
        </w:rPr>
      </w:pPr>
    </w:p>
  </w:footnote>
  <w:footnote w:id="167">
    <w:p w14:paraId="57D10C75" w14:textId="77777777" w:rsidR="0096481E" w:rsidRPr="00A63ABC" w:rsidRDefault="0096481E" w:rsidP="0096481E">
      <w:pPr>
        <w:pStyle w:val="Textonotapie"/>
        <w:spacing w:line="276" w:lineRule="auto"/>
        <w:ind w:left="284" w:hanging="284"/>
        <w:jc w:val="both"/>
        <w:rPr>
          <w:rFonts w:ascii="Arial" w:hAnsi="Arial" w:cs="Arial"/>
          <w:i/>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Pino, Giorgio, </w:t>
      </w:r>
      <w:r w:rsidRPr="00A63ABC">
        <w:rPr>
          <w:rFonts w:ascii="Arial" w:hAnsi="Arial" w:cs="Arial"/>
          <w:i/>
          <w:sz w:val="18"/>
          <w:szCs w:val="18"/>
          <w:lang w:val="it-IT"/>
        </w:rPr>
        <w:t>Il diritto all’identità personale. Interpretazione costituzionale e creatività giurisprudenziale</w:t>
      </w:r>
      <w:r w:rsidRPr="00A63ABC">
        <w:rPr>
          <w:rFonts w:ascii="Arial" w:hAnsi="Arial" w:cs="Arial"/>
          <w:sz w:val="18"/>
          <w:szCs w:val="18"/>
          <w:lang w:val="it-IT"/>
        </w:rPr>
        <w:t>, Il Mulino, Bolonia, 2003, pág. 69.</w:t>
      </w:r>
    </w:p>
    <w:p w14:paraId="09D7C970"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68">
    <w:p w14:paraId="36577480"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La citada sentencia se publicó en “</w:t>
      </w:r>
      <w:r w:rsidRPr="00A63ABC">
        <w:rPr>
          <w:rFonts w:ascii="Arial" w:hAnsi="Arial" w:cs="Arial"/>
          <w:i/>
          <w:sz w:val="18"/>
          <w:szCs w:val="18"/>
          <w:lang w:val="it-IT"/>
        </w:rPr>
        <w:t>Il Foro Italiano</w:t>
      </w:r>
      <w:r w:rsidRPr="00A63ABC">
        <w:rPr>
          <w:rFonts w:ascii="Arial" w:hAnsi="Arial" w:cs="Arial"/>
          <w:sz w:val="18"/>
          <w:szCs w:val="18"/>
          <w:lang w:val="it-IT"/>
        </w:rPr>
        <w:t>” 1980-I- 2048.</w:t>
      </w:r>
    </w:p>
    <w:p w14:paraId="541D2FC9" w14:textId="77777777" w:rsidR="0096481E" w:rsidRPr="00A63ABC" w:rsidRDefault="0096481E" w:rsidP="0096481E">
      <w:pPr>
        <w:pStyle w:val="Textonotapie"/>
        <w:spacing w:line="276" w:lineRule="auto"/>
        <w:ind w:left="284" w:right="-1" w:hanging="284"/>
        <w:jc w:val="both"/>
        <w:rPr>
          <w:rFonts w:ascii="Arial" w:hAnsi="Arial" w:cs="Arial"/>
          <w:sz w:val="18"/>
          <w:szCs w:val="18"/>
          <w:lang w:val="it-IT"/>
        </w:rPr>
      </w:pPr>
    </w:p>
  </w:footnote>
  <w:footnote w:id="169">
    <w:p w14:paraId="7EBF1153"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Zeno- Zencovich, Vincenzo, </w:t>
      </w:r>
      <w:r w:rsidRPr="00A63ABC">
        <w:rPr>
          <w:rFonts w:ascii="Arial" w:hAnsi="Arial" w:cs="Arial"/>
          <w:i/>
          <w:sz w:val="18"/>
          <w:szCs w:val="18"/>
          <w:lang w:val="it-IT"/>
        </w:rPr>
        <w:t>I diritti della personalità</w:t>
      </w:r>
      <w:r w:rsidRPr="00A63ABC">
        <w:rPr>
          <w:rFonts w:ascii="Arial" w:hAnsi="Arial" w:cs="Arial"/>
          <w:sz w:val="18"/>
          <w:szCs w:val="18"/>
          <w:lang w:val="it-IT"/>
        </w:rPr>
        <w:t>, en: Diritto civile, dirigido por Nicolò Lipari y Pietro Rescigno, coordinado por Andrea Zoppini, Volumen I: Fonti, soggetti, famiglia. I, Le fonti e i soggetti, pág. 531.</w:t>
      </w:r>
    </w:p>
    <w:p w14:paraId="03089F28"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70">
    <w:p w14:paraId="7CCE7AB3"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Pino, Giorgio, </w:t>
      </w:r>
      <w:r w:rsidRPr="00A63ABC">
        <w:rPr>
          <w:rFonts w:ascii="Arial" w:hAnsi="Arial" w:cs="Arial"/>
          <w:i/>
          <w:sz w:val="18"/>
          <w:szCs w:val="18"/>
          <w:lang w:val="it-IT"/>
        </w:rPr>
        <w:t>Il diritto all’identità personale. Interpretazione costituzionale e creatività giurisprudenziale</w:t>
      </w:r>
      <w:r w:rsidRPr="00A63ABC">
        <w:rPr>
          <w:rFonts w:ascii="Arial" w:hAnsi="Arial" w:cs="Arial"/>
          <w:sz w:val="18"/>
          <w:szCs w:val="18"/>
          <w:lang w:val="it-IT"/>
        </w:rPr>
        <w:t>, pág. 74.</w:t>
      </w:r>
    </w:p>
    <w:p w14:paraId="18461593" w14:textId="77777777" w:rsidR="0096481E" w:rsidRPr="00A63ABC" w:rsidRDefault="0096481E" w:rsidP="0096481E">
      <w:pPr>
        <w:pStyle w:val="Textonotapie"/>
        <w:spacing w:line="276" w:lineRule="auto"/>
        <w:rPr>
          <w:rFonts w:ascii="Arial" w:hAnsi="Arial" w:cs="Arial"/>
          <w:sz w:val="18"/>
          <w:szCs w:val="18"/>
          <w:lang w:val="it-IT"/>
        </w:rPr>
      </w:pPr>
    </w:p>
  </w:footnote>
  <w:footnote w:id="171">
    <w:p w14:paraId="53B66C36"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Loré, Cossimo y Martini, Paolo</w:t>
      </w:r>
      <w:r w:rsidRPr="00A63ABC">
        <w:rPr>
          <w:rFonts w:ascii="Arial" w:hAnsi="Arial" w:cs="Arial"/>
          <w:i/>
          <w:sz w:val="18"/>
          <w:szCs w:val="18"/>
          <w:lang w:val="it-IT"/>
        </w:rPr>
        <w:t>, Aspetti e problema medico – legali del transessualismo</w:t>
      </w:r>
      <w:r w:rsidRPr="00A63ABC">
        <w:rPr>
          <w:rFonts w:ascii="Arial" w:hAnsi="Arial" w:cs="Arial"/>
          <w:sz w:val="18"/>
          <w:szCs w:val="18"/>
          <w:lang w:val="it-IT"/>
        </w:rPr>
        <w:t>, Giuffrè Editore, Milán, 1984, p. 74.</w:t>
      </w:r>
    </w:p>
    <w:p w14:paraId="18623C38"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72">
    <w:p w14:paraId="0BACF9B4" w14:textId="77777777" w:rsidR="0096481E" w:rsidRPr="00A63ABC" w:rsidRDefault="0096481E" w:rsidP="0096481E">
      <w:pPr>
        <w:pStyle w:val="Textonotapie"/>
        <w:spacing w:line="276" w:lineRule="auto"/>
        <w:ind w:left="284" w:hanging="284"/>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Patti, Salvatore y Will, Michael R., </w:t>
      </w:r>
      <w:r w:rsidRPr="00A63ABC">
        <w:rPr>
          <w:rFonts w:ascii="Arial" w:hAnsi="Arial" w:cs="Arial"/>
          <w:i/>
          <w:sz w:val="18"/>
          <w:szCs w:val="18"/>
          <w:lang w:val="it-IT"/>
        </w:rPr>
        <w:t>Mutamento di sesso e tutela della persona. Saggi di diritto civile e comparato</w:t>
      </w:r>
      <w:r w:rsidRPr="00A63ABC">
        <w:rPr>
          <w:rFonts w:ascii="Arial" w:hAnsi="Arial" w:cs="Arial"/>
          <w:sz w:val="18"/>
          <w:szCs w:val="18"/>
          <w:lang w:val="it-IT"/>
        </w:rPr>
        <w:t xml:space="preserve">, Cedamn, Padua, 1986, p. 17. </w:t>
      </w:r>
    </w:p>
    <w:p w14:paraId="05F41B34" w14:textId="77777777" w:rsidR="0096481E" w:rsidRPr="00A63ABC" w:rsidRDefault="0096481E" w:rsidP="0096481E">
      <w:pPr>
        <w:pStyle w:val="Textonotapie"/>
        <w:spacing w:line="276" w:lineRule="auto"/>
        <w:rPr>
          <w:rFonts w:ascii="Arial" w:hAnsi="Arial" w:cs="Arial"/>
          <w:sz w:val="18"/>
          <w:szCs w:val="18"/>
          <w:lang w:val="it-IT"/>
        </w:rPr>
      </w:pPr>
    </w:p>
  </w:footnote>
  <w:footnote w:id="173">
    <w:p w14:paraId="00C43ED6" w14:textId="77777777" w:rsidR="0096481E" w:rsidRPr="00A63ABC" w:rsidRDefault="0096481E" w:rsidP="0096481E">
      <w:pPr>
        <w:pStyle w:val="Textonotapie"/>
        <w:spacing w:line="276" w:lineRule="auto"/>
        <w:ind w:left="284" w:hanging="284"/>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Patti, Salvatore y Will, Michael R., </w:t>
      </w:r>
      <w:r w:rsidRPr="00A63ABC">
        <w:rPr>
          <w:rFonts w:ascii="Arial" w:hAnsi="Arial" w:cs="Arial"/>
          <w:i/>
          <w:sz w:val="18"/>
          <w:szCs w:val="18"/>
          <w:lang w:val="it-IT"/>
        </w:rPr>
        <w:t>Mutamento di sesso e tutela della persona. Saggi di diritto civile e comparato</w:t>
      </w:r>
      <w:r w:rsidRPr="00A63ABC">
        <w:rPr>
          <w:rFonts w:ascii="Arial" w:hAnsi="Arial" w:cs="Arial"/>
          <w:sz w:val="18"/>
          <w:szCs w:val="18"/>
          <w:lang w:val="it-IT"/>
        </w:rPr>
        <w:t>, p. 19.</w:t>
      </w:r>
    </w:p>
    <w:p w14:paraId="03AB39EA" w14:textId="77777777" w:rsidR="0096481E" w:rsidRPr="00A63ABC" w:rsidRDefault="0096481E" w:rsidP="0096481E">
      <w:pPr>
        <w:pStyle w:val="Textonotapie"/>
        <w:spacing w:line="276" w:lineRule="auto"/>
        <w:rPr>
          <w:rFonts w:ascii="Arial" w:hAnsi="Arial" w:cs="Arial"/>
          <w:sz w:val="18"/>
          <w:szCs w:val="18"/>
          <w:lang w:val="it-IT"/>
        </w:rPr>
      </w:pPr>
    </w:p>
  </w:footnote>
  <w:footnote w:id="174">
    <w:p w14:paraId="5AD972E4" w14:textId="77777777" w:rsidR="0096481E" w:rsidRPr="00A63ABC" w:rsidRDefault="0096481E" w:rsidP="0096481E">
      <w:pPr>
        <w:pStyle w:val="Textonotapie"/>
        <w:spacing w:line="276" w:lineRule="auto"/>
        <w:ind w:left="284" w:hanging="284"/>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Patti, Salvatore y Will, Michael R., </w:t>
      </w:r>
      <w:r w:rsidRPr="00A63ABC">
        <w:rPr>
          <w:rFonts w:ascii="Arial" w:hAnsi="Arial" w:cs="Arial"/>
          <w:i/>
          <w:sz w:val="18"/>
          <w:szCs w:val="18"/>
          <w:lang w:val="it-IT"/>
        </w:rPr>
        <w:t>Mutamento di sesso e tutela della persona. Saggi di diritto civile e comparato</w:t>
      </w:r>
      <w:r w:rsidRPr="00A63ABC">
        <w:rPr>
          <w:rFonts w:ascii="Arial" w:hAnsi="Arial" w:cs="Arial"/>
          <w:sz w:val="18"/>
          <w:szCs w:val="18"/>
          <w:lang w:val="it-IT"/>
        </w:rPr>
        <w:t>, p.20.</w:t>
      </w:r>
    </w:p>
    <w:p w14:paraId="63197298" w14:textId="77777777" w:rsidR="0096481E" w:rsidRPr="00A63ABC" w:rsidRDefault="0096481E" w:rsidP="0096481E">
      <w:pPr>
        <w:pStyle w:val="Textonotapie"/>
        <w:spacing w:line="276" w:lineRule="auto"/>
        <w:rPr>
          <w:rFonts w:ascii="Arial" w:hAnsi="Arial" w:cs="Arial"/>
          <w:sz w:val="18"/>
          <w:szCs w:val="18"/>
          <w:lang w:val="it-IT"/>
        </w:rPr>
      </w:pPr>
    </w:p>
  </w:footnote>
  <w:footnote w:id="175">
    <w:p w14:paraId="624E2308" w14:textId="77777777" w:rsidR="0096481E" w:rsidRPr="00A63ABC" w:rsidRDefault="0096481E" w:rsidP="0096481E">
      <w:pPr>
        <w:pStyle w:val="Textonotapie"/>
        <w:spacing w:line="276" w:lineRule="auto"/>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Ibídem, p. 20.</w:t>
      </w:r>
    </w:p>
    <w:p w14:paraId="6AA2E6BC" w14:textId="77777777" w:rsidR="0096481E" w:rsidRPr="00A63ABC" w:rsidRDefault="0096481E" w:rsidP="0096481E">
      <w:pPr>
        <w:pStyle w:val="Textonotapie"/>
        <w:spacing w:line="276" w:lineRule="auto"/>
        <w:rPr>
          <w:rFonts w:ascii="Arial" w:hAnsi="Arial" w:cs="Arial"/>
          <w:sz w:val="18"/>
          <w:szCs w:val="18"/>
          <w:lang w:val="it-IT"/>
        </w:rPr>
      </w:pPr>
    </w:p>
  </w:footnote>
  <w:footnote w:id="176">
    <w:p w14:paraId="067AABAB" w14:textId="77777777" w:rsidR="0096481E" w:rsidRPr="00A63ABC" w:rsidRDefault="0096481E" w:rsidP="0096481E">
      <w:pPr>
        <w:pStyle w:val="Textonotapie"/>
        <w:spacing w:line="276" w:lineRule="auto"/>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Ibídem, p. 21.</w:t>
      </w:r>
    </w:p>
    <w:p w14:paraId="2B186BC8" w14:textId="77777777" w:rsidR="0096481E" w:rsidRPr="00A63ABC" w:rsidRDefault="0096481E" w:rsidP="0096481E">
      <w:pPr>
        <w:pStyle w:val="Textonotapie"/>
        <w:spacing w:line="276" w:lineRule="auto"/>
        <w:rPr>
          <w:rFonts w:ascii="Arial" w:hAnsi="Arial" w:cs="Arial"/>
          <w:sz w:val="18"/>
          <w:szCs w:val="18"/>
          <w:lang w:val="it-IT"/>
        </w:rPr>
      </w:pPr>
    </w:p>
  </w:footnote>
  <w:footnote w:id="177">
    <w:p w14:paraId="62EB9505" w14:textId="77777777" w:rsidR="0096481E" w:rsidRPr="00A63ABC" w:rsidRDefault="0096481E" w:rsidP="0096481E">
      <w:pPr>
        <w:pStyle w:val="Textonotapie"/>
        <w:spacing w:line="276" w:lineRule="auto"/>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Loré, Cossimo y Martini, Paolo</w:t>
      </w:r>
      <w:r w:rsidRPr="00A63ABC">
        <w:rPr>
          <w:rFonts w:ascii="Arial" w:hAnsi="Arial" w:cs="Arial"/>
          <w:i/>
          <w:sz w:val="18"/>
          <w:szCs w:val="18"/>
          <w:lang w:val="it-IT"/>
        </w:rPr>
        <w:t>, Aspetti e problema medico – legali del transessualismo</w:t>
      </w:r>
      <w:r w:rsidRPr="00A63ABC">
        <w:rPr>
          <w:rFonts w:ascii="Arial" w:hAnsi="Arial" w:cs="Arial"/>
          <w:sz w:val="18"/>
          <w:szCs w:val="18"/>
          <w:lang w:val="it-IT"/>
        </w:rPr>
        <w:t>, p. 74.</w:t>
      </w:r>
    </w:p>
    <w:p w14:paraId="02C0D7F5" w14:textId="77777777" w:rsidR="0096481E" w:rsidRPr="00A63ABC" w:rsidRDefault="0096481E" w:rsidP="0096481E">
      <w:pPr>
        <w:pStyle w:val="Textonotapie"/>
        <w:spacing w:line="276" w:lineRule="auto"/>
        <w:rPr>
          <w:rFonts w:ascii="Arial" w:hAnsi="Arial" w:cs="Arial"/>
          <w:sz w:val="18"/>
          <w:szCs w:val="18"/>
          <w:lang w:val="it-IT"/>
        </w:rPr>
      </w:pPr>
    </w:p>
  </w:footnote>
  <w:footnote w:id="178">
    <w:p w14:paraId="3B297E23"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Gallo, Paolo, </w:t>
      </w:r>
      <w:r w:rsidRPr="00A63ABC">
        <w:rPr>
          <w:rFonts w:ascii="Arial" w:hAnsi="Arial" w:cs="Arial"/>
          <w:i/>
          <w:sz w:val="18"/>
          <w:szCs w:val="18"/>
          <w:lang w:val="it-IT"/>
        </w:rPr>
        <w:t>Diritto privato</w:t>
      </w:r>
      <w:r w:rsidRPr="00A63ABC">
        <w:rPr>
          <w:rFonts w:ascii="Arial" w:hAnsi="Arial" w:cs="Arial"/>
          <w:sz w:val="18"/>
          <w:szCs w:val="18"/>
          <w:lang w:val="it-IT"/>
        </w:rPr>
        <w:t>, quarta edizione, G.Giappichelli editore, Turín, 2006, pág. 131.</w:t>
      </w:r>
    </w:p>
    <w:p w14:paraId="41D8DE08"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79">
    <w:p w14:paraId="37CAB72B"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La sentencia se publicó en “</w:t>
      </w:r>
      <w:r w:rsidRPr="00A63ABC">
        <w:rPr>
          <w:rFonts w:ascii="Arial" w:hAnsi="Arial" w:cs="Arial"/>
          <w:i/>
          <w:sz w:val="18"/>
          <w:szCs w:val="18"/>
          <w:lang w:val="es-PE"/>
        </w:rPr>
        <w:t>Giurisprudenza italiana</w:t>
      </w:r>
      <w:r w:rsidRPr="00A63ABC">
        <w:rPr>
          <w:rFonts w:ascii="Arial" w:hAnsi="Arial" w:cs="Arial"/>
          <w:sz w:val="18"/>
          <w:szCs w:val="18"/>
          <w:lang w:val="es-PE"/>
        </w:rPr>
        <w:t>”, 1981-2, pág. 373 y ss.</w:t>
      </w:r>
    </w:p>
  </w:footnote>
  <w:footnote w:id="180">
    <w:p w14:paraId="76E1B36D" w14:textId="77777777" w:rsidR="0096481E" w:rsidRPr="00A63ABC" w:rsidRDefault="0096481E" w:rsidP="0096481E">
      <w:pPr>
        <w:pStyle w:val="Textonotapie"/>
        <w:spacing w:line="276" w:lineRule="auto"/>
        <w:ind w:left="426" w:hanging="426"/>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Pino, Giorgio</w:t>
      </w:r>
      <w:r w:rsidRPr="00A63ABC">
        <w:rPr>
          <w:rFonts w:ascii="Arial" w:hAnsi="Arial" w:cs="Arial"/>
          <w:i/>
          <w:sz w:val="18"/>
          <w:szCs w:val="18"/>
          <w:lang w:val="it-IT"/>
        </w:rPr>
        <w:t>, Il diritto all’identità personale. Interpretazione costituzionale e creatività  giurisprudenziale</w:t>
      </w:r>
      <w:r w:rsidRPr="00A63ABC">
        <w:rPr>
          <w:rFonts w:ascii="Arial" w:hAnsi="Arial" w:cs="Arial"/>
          <w:sz w:val="18"/>
          <w:szCs w:val="18"/>
          <w:lang w:val="it-IT"/>
        </w:rPr>
        <w:t>, pág. 79.</w:t>
      </w:r>
    </w:p>
  </w:footnote>
  <w:footnote w:id="181">
    <w:p w14:paraId="4BAD4F63" w14:textId="77777777" w:rsidR="0096481E" w:rsidRPr="00A63ABC" w:rsidRDefault="0096481E" w:rsidP="0096481E">
      <w:pPr>
        <w:pStyle w:val="Textonotapie"/>
        <w:spacing w:line="276" w:lineRule="auto"/>
        <w:ind w:left="284" w:hanging="284"/>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rPr>
        <w:t xml:space="preserve"> </w:t>
      </w:r>
      <w:r w:rsidRPr="00A63ABC">
        <w:rPr>
          <w:rFonts w:ascii="Arial" w:hAnsi="Arial" w:cs="Arial"/>
          <w:sz w:val="18"/>
          <w:szCs w:val="18"/>
        </w:rPr>
        <w:tab/>
        <w:t xml:space="preserve">Fernández Sessarego, Carlos, </w:t>
      </w:r>
      <w:r w:rsidRPr="00A63ABC">
        <w:rPr>
          <w:rFonts w:ascii="Arial" w:hAnsi="Arial" w:cs="Arial"/>
          <w:i/>
          <w:sz w:val="18"/>
          <w:szCs w:val="18"/>
        </w:rPr>
        <w:t>Derecho a la identidad personal</w:t>
      </w:r>
      <w:r w:rsidRPr="00A63ABC">
        <w:rPr>
          <w:rFonts w:ascii="Arial" w:hAnsi="Arial" w:cs="Arial"/>
          <w:sz w:val="18"/>
          <w:szCs w:val="18"/>
        </w:rPr>
        <w:t>, pág. 101 y ss.</w:t>
      </w:r>
    </w:p>
    <w:p w14:paraId="52CB6D4B" w14:textId="77777777" w:rsidR="0096481E" w:rsidRPr="00A63ABC" w:rsidRDefault="0096481E" w:rsidP="0096481E">
      <w:pPr>
        <w:pStyle w:val="Textonotapie"/>
        <w:spacing w:line="276" w:lineRule="auto"/>
        <w:rPr>
          <w:rFonts w:ascii="Arial" w:hAnsi="Arial" w:cs="Arial"/>
          <w:sz w:val="18"/>
          <w:szCs w:val="18"/>
          <w:lang w:val="es-PE"/>
        </w:rPr>
      </w:pPr>
    </w:p>
  </w:footnote>
  <w:footnote w:id="182">
    <w:p w14:paraId="612CB867"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n-US"/>
        </w:rPr>
        <w:t xml:space="preserve"> </w:t>
      </w:r>
      <w:r w:rsidRPr="00A63ABC">
        <w:rPr>
          <w:rFonts w:ascii="Arial" w:hAnsi="Arial" w:cs="Arial"/>
          <w:sz w:val="18"/>
          <w:szCs w:val="18"/>
          <w:lang w:val="en-US"/>
        </w:rPr>
        <w:tab/>
        <w:t xml:space="preserve">Pino, Giorgio, </w:t>
      </w:r>
      <w:r w:rsidRPr="00A63ABC">
        <w:rPr>
          <w:rFonts w:ascii="Arial" w:hAnsi="Arial" w:cs="Arial"/>
          <w:i/>
          <w:sz w:val="18"/>
          <w:szCs w:val="18"/>
          <w:lang w:val="en-US"/>
        </w:rPr>
        <w:t>The Right to Personal Identity in Italian Private Law: Constitutional Interpretation and Judge-Made Rights</w:t>
      </w:r>
      <w:r w:rsidRPr="00A63ABC">
        <w:rPr>
          <w:rFonts w:ascii="Arial" w:hAnsi="Arial" w:cs="Arial"/>
          <w:sz w:val="18"/>
          <w:szCs w:val="18"/>
          <w:lang w:val="en-US"/>
        </w:rPr>
        <w:t xml:space="preserve">, en: The Harmonization of Private Law in Europe, editado por M. Van Hoecke y F. Ost, Hart Publishing, Oxford, 2000, pág.  </w:t>
      </w:r>
      <w:r w:rsidRPr="00A63ABC">
        <w:rPr>
          <w:rFonts w:ascii="Arial" w:hAnsi="Arial" w:cs="Arial"/>
          <w:sz w:val="18"/>
          <w:szCs w:val="18"/>
          <w:lang w:val="it-IT"/>
        </w:rPr>
        <w:t>236.</w:t>
      </w:r>
    </w:p>
    <w:p w14:paraId="0BAB1F50"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83">
    <w:p w14:paraId="3EDCF603"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Trucco, Lara, </w:t>
      </w:r>
      <w:r w:rsidRPr="00A63ABC">
        <w:rPr>
          <w:rFonts w:ascii="Arial" w:hAnsi="Arial" w:cs="Arial"/>
          <w:i/>
          <w:sz w:val="18"/>
          <w:szCs w:val="18"/>
          <w:lang w:val="it-IT"/>
        </w:rPr>
        <w:t xml:space="preserve">Introduzione allo studio dell’identità individuale nell’ordinamento costituzionale </w:t>
      </w:r>
      <w:r w:rsidRPr="00A63ABC">
        <w:rPr>
          <w:rFonts w:ascii="Arial" w:hAnsi="Arial" w:cs="Arial"/>
          <w:sz w:val="18"/>
          <w:szCs w:val="18"/>
          <w:lang w:val="it-IT"/>
        </w:rPr>
        <w:t>italiano, G. Giappichelli editore, Turín, 2004, p.135.</w:t>
      </w:r>
    </w:p>
    <w:p w14:paraId="3DD6A28A" w14:textId="77777777" w:rsidR="0096481E" w:rsidRPr="00A63ABC" w:rsidRDefault="0096481E" w:rsidP="0096481E">
      <w:pPr>
        <w:pStyle w:val="Textonotapie"/>
        <w:spacing w:line="276" w:lineRule="auto"/>
        <w:ind w:left="284" w:hanging="284"/>
        <w:jc w:val="both"/>
        <w:rPr>
          <w:rFonts w:ascii="Arial" w:hAnsi="Arial" w:cs="Arial"/>
          <w:sz w:val="18"/>
          <w:szCs w:val="18"/>
          <w:lang w:val="it-IT"/>
        </w:rPr>
      </w:pPr>
    </w:p>
  </w:footnote>
  <w:footnote w:id="184">
    <w:p w14:paraId="6E264C9D" w14:textId="77777777" w:rsidR="0096481E" w:rsidRPr="00A63ABC" w:rsidRDefault="0096481E" w:rsidP="0096481E">
      <w:pPr>
        <w:pStyle w:val="Textonotapie"/>
        <w:spacing w:line="276" w:lineRule="auto"/>
        <w:ind w:left="284" w:hanging="284"/>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r>
      <w:bookmarkStart w:id="0" w:name="_Hlk75476399"/>
      <w:r w:rsidRPr="00A63ABC">
        <w:rPr>
          <w:rFonts w:ascii="Arial" w:hAnsi="Arial" w:cs="Arial"/>
          <w:sz w:val="18"/>
          <w:szCs w:val="18"/>
          <w:lang w:val="it-IT"/>
        </w:rPr>
        <w:t xml:space="preserve">Alpa, Guido y Resta, Giorgio, </w:t>
      </w:r>
      <w:r w:rsidRPr="00A63ABC">
        <w:rPr>
          <w:rFonts w:ascii="Arial" w:hAnsi="Arial" w:cs="Arial"/>
          <w:i/>
          <w:sz w:val="18"/>
          <w:szCs w:val="18"/>
          <w:lang w:val="it-IT"/>
        </w:rPr>
        <w:t>Le persona fisiche e i diritti della personalità</w:t>
      </w:r>
      <w:r w:rsidRPr="00A63ABC">
        <w:rPr>
          <w:rFonts w:ascii="Arial" w:hAnsi="Arial" w:cs="Arial"/>
          <w:sz w:val="18"/>
          <w:szCs w:val="18"/>
          <w:lang w:val="it-IT"/>
        </w:rPr>
        <w:t>, p. 343.</w:t>
      </w:r>
      <w:bookmarkEnd w:id="0"/>
    </w:p>
    <w:p w14:paraId="4E5623FC" w14:textId="77777777" w:rsidR="0096481E" w:rsidRPr="00A63ABC" w:rsidRDefault="0096481E" w:rsidP="0096481E">
      <w:pPr>
        <w:pStyle w:val="Textonotapie"/>
        <w:spacing w:line="276" w:lineRule="auto"/>
        <w:rPr>
          <w:rFonts w:ascii="Arial" w:hAnsi="Arial" w:cs="Arial"/>
          <w:sz w:val="18"/>
          <w:szCs w:val="18"/>
          <w:lang w:val="it-IT"/>
        </w:rPr>
      </w:pPr>
    </w:p>
  </w:footnote>
  <w:footnote w:id="185">
    <w:p w14:paraId="59AF6B9D" w14:textId="77777777" w:rsidR="0096481E" w:rsidRPr="00A63ABC" w:rsidRDefault="0096481E" w:rsidP="0096481E">
      <w:pPr>
        <w:pStyle w:val="Textonotapie"/>
        <w:spacing w:line="276" w:lineRule="auto"/>
        <w:ind w:left="284" w:hanging="284"/>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Patti, Salvatore, </w:t>
      </w:r>
      <w:r w:rsidRPr="00A63ABC">
        <w:rPr>
          <w:rFonts w:ascii="Arial" w:hAnsi="Arial" w:cs="Arial"/>
          <w:i/>
          <w:sz w:val="18"/>
          <w:szCs w:val="18"/>
          <w:lang w:val="it-IT"/>
        </w:rPr>
        <w:t xml:space="preserve">Mutamento di sesso e  «costringimento al bisturi» il Tribunale di Roma e il contesto </w:t>
      </w:r>
      <w:r w:rsidRPr="00A63ABC">
        <w:rPr>
          <w:rFonts w:ascii="Arial" w:hAnsi="Arial" w:cs="Arial"/>
          <w:sz w:val="18"/>
          <w:szCs w:val="18"/>
          <w:lang w:val="it-IT"/>
        </w:rPr>
        <w:t>europeo, en: Le Nuove Leggi Civili Commentate, N° 1, año XXX, Cedam-Wolters Kluwer,  Milán, enero de 2015. p.45.</w:t>
      </w:r>
    </w:p>
  </w:footnote>
  <w:footnote w:id="186">
    <w:p w14:paraId="39C0438C" w14:textId="77777777" w:rsidR="0096481E" w:rsidRPr="00A63ABC" w:rsidRDefault="0096481E" w:rsidP="0096481E">
      <w:pPr>
        <w:pStyle w:val="Textonotapie"/>
        <w:spacing w:line="276" w:lineRule="auto"/>
        <w:ind w:left="426" w:hanging="426"/>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Bartolini, Francesca, </w:t>
      </w:r>
      <w:r w:rsidRPr="00A63ABC">
        <w:rPr>
          <w:rFonts w:ascii="Arial" w:hAnsi="Arial" w:cs="Arial"/>
          <w:i/>
          <w:sz w:val="18"/>
          <w:szCs w:val="18"/>
          <w:lang w:val="it-IT"/>
        </w:rPr>
        <w:t>Rettificazione del sesso e intervento chirurgico: la soluzione in un’interpretazione “costituzionalmente orientata”</w:t>
      </w:r>
      <w:r w:rsidRPr="00A63ABC">
        <w:rPr>
          <w:rFonts w:ascii="Arial" w:hAnsi="Arial" w:cs="Arial"/>
          <w:sz w:val="18"/>
          <w:szCs w:val="18"/>
          <w:lang w:val="it-IT"/>
        </w:rPr>
        <w:t xml:space="preserve">, en:  Il Corriere Giuridico,  N° 11, 2015,  IPSOA-Wolters Kluwer, Milán, 2015, p. 1355. </w:t>
      </w:r>
    </w:p>
  </w:footnote>
  <w:footnote w:id="187">
    <w:p w14:paraId="1FEC1FB6" w14:textId="77777777" w:rsidR="0096481E" w:rsidRPr="00A63ABC" w:rsidRDefault="0096481E" w:rsidP="0096481E">
      <w:pPr>
        <w:pStyle w:val="Textonotapie"/>
        <w:spacing w:line="276" w:lineRule="auto"/>
        <w:ind w:left="426" w:hanging="426"/>
        <w:jc w:val="both"/>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Posteraro, Nicola, </w:t>
      </w:r>
      <w:r w:rsidRPr="00A63ABC">
        <w:rPr>
          <w:rFonts w:ascii="Arial" w:hAnsi="Arial" w:cs="Arial"/>
          <w:i/>
          <w:sz w:val="18"/>
          <w:szCs w:val="18"/>
          <w:lang w:val="it-IT"/>
        </w:rPr>
        <w:t>Transessualismo, rettificazione anagrafica del sesso e necessità dell’intervento chirurgico sui caratteri sessuali primari: riflessioni sui problemi irrisolti alla luce della recente giurisprudenza nazionale</w:t>
      </w:r>
      <w:r w:rsidRPr="00A63ABC">
        <w:rPr>
          <w:rFonts w:ascii="Arial" w:hAnsi="Arial" w:cs="Arial"/>
          <w:sz w:val="18"/>
          <w:szCs w:val="18"/>
          <w:lang w:val="it-IT"/>
        </w:rPr>
        <w:t>,  en: Rivista Italiana di Medicina Legale, año XXXIX, fascículo 4, Giuffrè editore, Milán, 2017, p.1360.</w:t>
      </w:r>
    </w:p>
    <w:p w14:paraId="40895864" w14:textId="77777777" w:rsidR="0096481E" w:rsidRPr="00A63ABC" w:rsidRDefault="0096481E" w:rsidP="0096481E">
      <w:pPr>
        <w:pStyle w:val="Textonotapie"/>
        <w:spacing w:line="276" w:lineRule="auto"/>
        <w:ind w:left="426" w:hanging="426"/>
        <w:jc w:val="both"/>
        <w:rPr>
          <w:rFonts w:ascii="Arial" w:hAnsi="Arial" w:cs="Arial"/>
          <w:sz w:val="18"/>
          <w:szCs w:val="18"/>
          <w:lang w:val="it-IT"/>
        </w:rPr>
      </w:pPr>
    </w:p>
  </w:footnote>
  <w:footnote w:id="188">
    <w:p w14:paraId="7010D4E8" w14:textId="77777777" w:rsidR="0096481E" w:rsidRPr="00A63ABC" w:rsidRDefault="0096481E" w:rsidP="0096481E">
      <w:pPr>
        <w:pStyle w:val="Textonotapie"/>
        <w:spacing w:line="276" w:lineRule="auto"/>
        <w:ind w:left="426" w:hanging="426"/>
        <w:rPr>
          <w:rFonts w:ascii="Arial" w:hAnsi="Arial" w:cs="Arial"/>
          <w:sz w:val="18"/>
          <w:szCs w:val="18"/>
          <w:lang w:val="it-IT"/>
        </w:rPr>
      </w:pPr>
      <w:r w:rsidRPr="00A63ABC">
        <w:rPr>
          <w:rStyle w:val="Refdenotaalpie"/>
          <w:rFonts w:ascii="Arial" w:eastAsia="Calibri" w:hAnsi="Arial" w:cs="Arial"/>
          <w:sz w:val="18"/>
          <w:szCs w:val="18"/>
        </w:rPr>
        <w:footnoteRef/>
      </w:r>
      <w:r w:rsidRPr="00A63ABC">
        <w:rPr>
          <w:rFonts w:ascii="Arial" w:hAnsi="Arial" w:cs="Arial"/>
          <w:sz w:val="18"/>
          <w:szCs w:val="18"/>
          <w:lang w:val="it-IT"/>
        </w:rPr>
        <w:t xml:space="preserve"> </w:t>
      </w:r>
      <w:r w:rsidRPr="00A63ABC">
        <w:rPr>
          <w:rFonts w:ascii="Arial" w:hAnsi="Arial" w:cs="Arial"/>
          <w:sz w:val="18"/>
          <w:szCs w:val="18"/>
          <w:lang w:val="it-IT"/>
        </w:rPr>
        <w:tab/>
        <w:t xml:space="preserve">Patti, Salvatore,  </w:t>
      </w:r>
      <w:r w:rsidRPr="00A63ABC">
        <w:rPr>
          <w:rFonts w:ascii="Arial" w:hAnsi="Arial" w:cs="Arial"/>
          <w:i/>
          <w:sz w:val="18"/>
          <w:szCs w:val="18"/>
          <w:lang w:val="it-IT"/>
        </w:rPr>
        <w:t xml:space="preserve">Trattamenti medico-chirurgici e autodeterminazione della persona trasessuale. A proposito di Cass., 20.7.2015. n. </w:t>
      </w:r>
      <w:r w:rsidRPr="00A63ABC">
        <w:rPr>
          <w:rFonts w:ascii="Arial" w:hAnsi="Arial" w:cs="Arial"/>
          <w:sz w:val="18"/>
          <w:szCs w:val="18"/>
          <w:lang w:val="it-IT"/>
        </w:rPr>
        <w:t xml:space="preserve">15138, en: Le Nuove Leggi Civili Commentate, N° 11, año XXXI, Cedam-Wolters Kluwer,  Milán, noviembre de 2015,  p.649. </w:t>
      </w:r>
    </w:p>
  </w:footnote>
  <w:footnote w:id="189">
    <w:p w14:paraId="50C4CDA7" w14:textId="77777777" w:rsidR="0096481E" w:rsidRPr="00A63ABC" w:rsidRDefault="0096481E" w:rsidP="0096481E">
      <w:pPr>
        <w:pStyle w:val="Textonotapie"/>
        <w:jc w:val="both"/>
        <w:rPr>
          <w:rFonts w:ascii="Arial" w:hAnsi="Arial" w:cs="Arial"/>
          <w:sz w:val="18"/>
          <w:szCs w:val="18"/>
          <w:lang w:val="es-ES"/>
        </w:rPr>
      </w:pPr>
      <w:r w:rsidRPr="00A63ABC">
        <w:rPr>
          <w:rStyle w:val="Refdenotaalpie"/>
          <w:rFonts w:ascii="Arial"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ES"/>
        </w:rPr>
        <w:t>Constitución italiana. - Artículo 2:</w:t>
      </w:r>
    </w:p>
    <w:p w14:paraId="291265CC" w14:textId="77777777" w:rsidR="0096481E" w:rsidRPr="00A63ABC" w:rsidRDefault="0096481E" w:rsidP="0096481E">
      <w:pPr>
        <w:pStyle w:val="Textonotapie"/>
        <w:ind w:left="284"/>
        <w:jc w:val="both"/>
        <w:rPr>
          <w:rFonts w:ascii="Arial" w:hAnsi="Arial" w:cs="Arial"/>
          <w:i/>
          <w:iCs/>
          <w:sz w:val="18"/>
          <w:szCs w:val="18"/>
          <w:lang w:val="es-ES"/>
        </w:rPr>
      </w:pPr>
      <w:r w:rsidRPr="00A63ABC">
        <w:rPr>
          <w:rFonts w:ascii="Arial" w:hAnsi="Arial" w:cs="Arial"/>
          <w:i/>
          <w:iCs/>
          <w:sz w:val="18"/>
          <w:szCs w:val="18"/>
          <w:lang w:val="es-ES"/>
        </w:rPr>
        <w:t>La república reconoce y garantiza los derechos inviolables del hombre, ora como individuo, ora en el seno de las formaciones sociales donde aquel desarrolla su personalidad, y exige el cumplimiento de los deberes inexcusables de solidaridad política, económica y social.</w:t>
      </w:r>
    </w:p>
  </w:footnote>
  <w:footnote w:id="190">
    <w:p w14:paraId="41D80CB0" w14:textId="77777777" w:rsidR="0096481E" w:rsidRPr="00A63ABC" w:rsidRDefault="0096481E" w:rsidP="0096481E">
      <w:pPr>
        <w:pStyle w:val="Textonotapie"/>
        <w:rPr>
          <w:rFonts w:ascii="Arial" w:hAnsi="Arial" w:cs="Arial"/>
          <w:sz w:val="18"/>
          <w:szCs w:val="18"/>
        </w:rPr>
      </w:pPr>
    </w:p>
    <w:p w14:paraId="186BA404" w14:textId="77777777" w:rsidR="0096481E" w:rsidRPr="00A63ABC" w:rsidRDefault="0096481E" w:rsidP="0096481E">
      <w:pPr>
        <w:pStyle w:val="Textonotapie"/>
        <w:rPr>
          <w:rFonts w:ascii="Arial" w:hAnsi="Arial" w:cs="Arial"/>
          <w:sz w:val="18"/>
          <w:szCs w:val="18"/>
          <w:lang w:val="es-ES"/>
        </w:rPr>
      </w:pPr>
      <w:r w:rsidRPr="00A63ABC">
        <w:rPr>
          <w:rStyle w:val="Refdenotaalpie"/>
          <w:rFonts w:ascii="Arial"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ES"/>
        </w:rPr>
        <w:t>Constitución italiana. - Artículo 117:</w:t>
      </w:r>
    </w:p>
    <w:p w14:paraId="747FEC64" w14:textId="77777777" w:rsidR="0096481E" w:rsidRPr="00A63ABC" w:rsidRDefault="0096481E" w:rsidP="0096481E">
      <w:pPr>
        <w:pStyle w:val="Textonotapie"/>
        <w:ind w:left="284"/>
        <w:jc w:val="both"/>
        <w:rPr>
          <w:rFonts w:ascii="Arial" w:hAnsi="Arial" w:cs="Arial"/>
          <w:i/>
          <w:iCs/>
          <w:sz w:val="18"/>
          <w:szCs w:val="18"/>
          <w:lang w:val="es-ES"/>
        </w:rPr>
      </w:pPr>
      <w:r w:rsidRPr="00A63ABC">
        <w:rPr>
          <w:rFonts w:ascii="Arial" w:hAnsi="Arial" w:cs="Arial"/>
          <w:i/>
          <w:iCs/>
          <w:sz w:val="18"/>
          <w:szCs w:val="18"/>
          <w:lang w:val="es-ES"/>
        </w:rPr>
        <w:t>La Región dictará para las materias que a continuación se enuncian normas legislativas dentro de los límites de los principios fundamentales establecidos por las leyes del Estado, con tal que las normas mismas no se opongan al interés nacional ni al de otras Regiones.</w:t>
      </w:r>
    </w:p>
    <w:p w14:paraId="6A9CA858" w14:textId="77777777" w:rsidR="0096481E" w:rsidRPr="00A63ABC" w:rsidRDefault="0096481E" w:rsidP="0096481E">
      <w:pPr>
        <w:pStyle w:val="Textonotapie"/>
        <w:ind w:left="284"/>
        <w:jc w:val="both"/>
        <w:rPr>
          <w:rFonts w:ascii="Arial" w:hAnsi="Arial" w:cs="Arial"/>
          <w:i/>
          <w:iCs/>
          <w:sz w:val="18"/>
          <w:szCs w:val="18"/>
          <w:lang w:val="es-ES"/>
        </w:rPr>
      </w:pPr>
    </w:p>
  </w:footnote>
  <w:footnote w:id="191">
    <w:p w14:paraId="16F32717" w14:textId="77777777" w:rsidR="0096481E" w:rsidRPr="00A63ABC" w:rsidRDefault="0096481E" w:rsidP="0096481E">
      <w:pPr>
        <w:pStyle w:val="Textonotapie"/>
        <w:ind w:left="284" w:hanging="284"/>
        <w:jc w:val="both"/>
        <w:rPr>
          <w:rFonts w:ascii="Arial" w:hAnsi="Arial" w:cs="Arial"/>
          <w:sz w:val="18"/>
          <w:szCs w:val="18"/>
        </w:rPr>
      </w:pPr>
      <w:r w:rsidRPr="00A63ABC">
        <w:rPr>
          <w:rStyle w:val="Refdenotaalpie"/>
          <w:rFonts w:ascii="Arial" w:hAnsi="Arial" w:cs="Arial"/>
          <w:sz w:val="18"/>
          <w:szCs w:val="18"/>
        </w:rPr>
        <w:footnoteRef/>
      </w:r>
      <w:r w:rsidRPr="00A63ABC">
        <w:rPr>
          <w:rFonts w:ascii="Arial" w:hAnsi="Arial" w:cs="Arial"/>
          <w:sz w:val="18"/>
          <w:szCs w:val="18"/>
        </w:rPr>
        <w:t xml:space="preserve"> Artículo 2.- Derecho a la vida</w:t>
      </w:r>
    </w:p>
    <w:p w14:paraId="092F5F25" w14:textId="77777777" w:rsidR="0096481E" w:rsidRPr="00A63ABC" w:rsidRDefault="0096481E" w:rsidP="0096481E">
      <w:pPr>
        <w:pStyle w:val="Textonotapie"/>
        <w:numPr>
          <w:ilvl w:val="0"/>
          <w:numId w:val="18"/>
        </w:numPr>
        <w:jc w:val="both"/>
        <w:rPr>
          <w:rFonts w:ascii="Arial" w:hAnsi="Arial" w:cs="Arial"/>
          <w:i/>
          <w:iCs/>
          <w:sz w:val="18"/>
          <w:szCs w:val="18"/>
        </w:rPr>
      </w:pPr>
      <w:r w:rsidRPr="00A63ABC">
        <w:rPr>
          <w:rFonts w:ascii="Arial" w:hAnsi="Arial" w:cs="Arial"/>
          <w:i/>
          <w:iCs/>
          <w:sz w:val="18"/>
          <w:szCs w:val="18"/>
        </w:rPr>
        <w:t>El derecho de toda persona a la vida está protegido por la ley. Nadie podrá ser privado de su vida intencionadamente, salvo en ejecución de una condena que imponga la pena capital dictada por un Tribunal al reo de un delito para el que la ley establece esa pena.</w:t>
      </w:r>
    </w:p>
    <w:p w14:paraId="7961D459" w14:textId="77777777" w:rsidR="0096481E" w:rsidRPr="00A63ABC" w:rsidRDefault="0096481E" w:rsidP="0096481E">
      <w:pPr>
        <w:pStyle w:val="Textonotapie"/>
        <w:ind w:left="644"/>
        <w:jc w:val="both"/>
        <w:rPr>
          <w:rFonts w:ascii="Arial" w:hAnsi="Arial" w:cs="Arial"/>
          <w:i/>
          <w:iCs/>
          <w:sz w:val="18"/>
          <w:szCs w:val="18"/>
        </w:rPr>
      </w:pPr>
    </w:p>
    <w:p w14:paraId="391C463B" w14:textId="77777777" w:rsidR="0096481E" w:rsidRPr="00A63ABC" w:rsidRDefault="0096481E" w:rsidP="0096481E">
      <w:pPr>
        <w:pStyle w:val="Textonotapie"/>
        <w:ind w:left="426" w:hanging="142"/>
        <w:jc w:val="both"/>
        <w:rPr>
          <w:rFonts w:ascii="Arial" w:hAnsi="Arial" w:cs="Arial"/>
          <w:i/>
          <w:iCs/>
          <w:sz w:val="18"/>
          <w:szCs w:val="18"/>
        </w:rPr>
      </w:pPr>
      <w:r w:rsidRPr="00A63ABC">
        <w:rPr>
          <w:rFonts w:ascii="Arial" w:hAnsi="Arial" w:cs="Arial"/>
          <w:i/>
          <w:iCs/>
          <w:sz w:val="18"/>
          <w:szCs w:val="18"/>
        </w:rPr>
        <w:t xml:space="preserve"> 2. La muerte no se considerará como infligida en infracción del presente artículo cuando se produzca como consecuencia de un recurso a la fuerza que sea absolutamente necesario: </w:t>
      </w:r>
    </w:p>
    <w:p w14:paraId="0CBF0E7E" w14:textId="77777777" w:rsidR="0096481E" w:rsidRPr="00A63ABC" w:rsidRDefault="0096481E" w:rsidP="0096481E">
      <w:pPr>
        <w:pStyle w:val="Textonotapie"/>
        <w:ind w:left="709" w:hanging="142"/>
        <w:jc w:val="both"/>
        <w:rPr>
          <w:rFonts w:ascii="Arial" w:hAnsi="Arial" w:cs="Arial"/>
          <w:i/>
          <w:iCs/>
          <w:sz w:val="18"/>
          <w:szCs w:val="18"/>
        </w:rPr>
      </w:pPr>
      <w:r w:rsidRPr="00A63ABC">
        <w:rPr>
          <w:rFonts w:ascii="Arial" w:hAnsi="Arial" w:cs="Arial"/>
          <w:i/>
          <w:iCs/>
          <w:sz w:val="18"/>
          <w:szCs w:val="18"/>
        </w:rPr>
        <w:t xml:space="preserve">a) en defensa de una persona contra una agresión ilegítima; </w:t>
      </w:r>
    </w:p>
    <w:p w14:paraId="189BAF13" w14:textId="77777777" w:rsidR="0096481E" w:rsidRPr="00A63ABC" w:rsidRDefault="0096481E" w:rsidP="0096481E">
      <w:pPr>
        <w:pStyle w:val="Textonotapie"/>
        <w:ind w:left="709" w:hanging="142"/>
        <w:jc w:val="both"/>
        <w:rPr>
          <w:rFonts w:ascii="Arial" w:hAnsi="Arial" w:cs="Arial"/>
          <w:i/>
          <w:iCs/>
          <w:sz w:val="18"/>
          <w:szCs w:val="18"/>
        </w:rPr>
      </w:pPr>
      <w:r w:rsidRPr="00A63ABC">
        <w:rPr>
          <w:rFonts w:ascii="Arial" w:hAnsi="Arial" w:cs="Arial"/>
          <w:i/>
          <w:iCs/>
          <w:sz w:val="18"/>
          <w:szCs w:val="18"/>
        </w:rPr>
        <w:t xml:space="preserve">b) para detener a una persona conforme a derecho o para impedir la evasión de un preso o detenido legalmente; </w:t>
      </w:r>
    </w:p>
    <w:p w14:paraId="27982154" w14:textId="77777777" w:rsidR="0096481E" w:rsidRPr="00A63ABC" w:rsidRDefault="0096481E" w:rsidP="0096481E">
      <w:pPr>
        <w:pStyle w:val="Textonotapie"/>
        <w:ind w:left="709" w:hanging="142"/>
        <w:jc w:val="both"/>
        <w:rPr>
          <w:rFonts w:ascii="Arial" w:hAnsi="Arial" w:cs="Arial"/>
          <w:i/>
          <w:iCs/>
          <w:sz w:val="18"/>
          <w:szCs w:val="18"/>
        </w:rPr>
      </w:pPr>
      <w:r w:rsidRPr="00A63ABC">
        <w:rPr>
          <w:rFonts w:ascii="Arial" w:hAnsi="Arial" w:cs="Arial"/>
          <w:i/>
          <w:iCs/>
          <w:sz w:val="18"/>
          <w:szCs w:val="18"/>
        </w:rPr>
        <w:t>c) para reprimir, de acuerdo con la ley, una revuelta o insurrección.</w:t>
      </w:r>
    </w:p>
    <w:p w14:paraId="12435A8D" w14:textId="77777777" w:rsidR="0096481E" w:rsidRPr="00A63ABC" w:rsidRDefault="0096481E" w:rsidP="0096481E">
      <w:pPr>
        <w:pStyle w:val="Textonotapie"/>
        <w:ind w:left="709" w:hanging="142"/>
        <w:jc w:val="both"/>
        <w:rPr>
          <w:rFonts w:ascii="Arial" w:hAnsi="Arial" w:cs="Arial"/>
          <w:sz w:val="18"/>
          <w:szCs w:val="18"/>
          <w:lang w:val="es-ES"/>
        </w:rPr>
      </w:pPr>
    </w:p>
  </w:footnote>
  <w:footnote w:id="192">
    <w:p w14:paraId="3CF58E31" w14:textId="77777777" w:rsidR="0096481E" w:rsidRPr="00A63ABC" w:rsidRDefault="0096481E" w:rsidP="0096481E">
      <w:pPr>
        <w:pStyle w:val="Textonotapie"/>
        <w:jc w:val="both"/>
        <w:rPr>
          <w:rFonts w:ascii="Arial" w:hAnsi="Arial" w:cs="Arial"/>
          <w:sz w:val="18"/>
          <w:szCs w:val="18"/>
          <w:lang w:val="es-ES"/>
        </w:rPr>
      </w:pPr>
      <w:r w:rsidRPr="00A63ABC">
        <w:rPr>
          <w:rStyle w:val="Refdenotaalpie"/>
          <w:rFonts w:ascii="Arial"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ES"/>
        </w:rPr>
        <w:t>Constitución italiana. - Artículo 3:</w:t>
      </w:r>
    </w:p>
    <w:p w14:paraId="335CC5C5" w14:textId="77777777" w:rsidR="0096481E" w:rsidRPr="00A63ABC" w:rsidRDefault="0096481E" w:rsidP="0096481E">
      <w:pPr>
        <w:pStyle w:val="Textonotapie"/>
        <w:jc w:val="both"/>
        <w:rPr>
          <w:rFonts w:ascii="Arial" w:hAnsi="Arial" w:cs="Arial"/>
          <w:sz w:val="18"/>
          <w:szCs w:val="18"/>
          <w:lang w:val="es-ES"/>
        </w:rPr>
      </w:pPr>
    </w:p>
    <w:p w14:paraId="091BD37D" w14:textId="77777777" w:rsidR="0096481E" w:rsidRPr="00A63ABC" w:rsidRDefault="0096481E" w:rsidP="0096481E">
      <w:pPr>
        <w:pStyle w:val="Textonotapie"/>
        <w:ind w:left="284"/>
        <w:jc w:val="both"/>
        <w:rPr>
          <w:rFonts w:ascii="Arial" w:hAnsi="Arial" w:cs="Arial"/>
          <w:i/>
          <w:iCs/>
          <w:sz w:val="18"/>
          <w:szCs w:val="18"/>
          <w:lang w:val="es-ES"/>
        </w:rPr>
      </w:pPr>
      <w:r w:rsidRPr="00A63ABC">
        <w:rPr>
          <w:rFonts w:ascii="Arial" w:hAnsi="Arial" w:cs="Arial"/>
          <w:i/>
          <w:iCs/>
          <w:sz w:val="18"/>
          <w:szCs w:val="18"/>
          <w:lang w:val="es-ES"/>
        </w:rPr>
        <w:t>Todos los ciudadanos tendrán la misma dignidad social y serán iguales ante la ley, sin distinción de sexo, raza, lengua, religión, opiniones políticas ni circunstancias personas y sociales.</w:t>
      </w:r>
    </w:p>
    <w:p w14:paraId="0B8D0960" w14:textId="77777777" w:rsidR="0096481E" w:rsidRPr="00A63ABC" w:rsidRDefault="0096481E" w:rsidP="0096481E">
      <w:pPr>
        <w:pStyle w:val="Textonotapie"/>
        <w:ind w:left="284"/>
        <w:jc w:val="both"/>
        <w:rPr>
          <w:rFonts w:ascii="Arial" w:hAnsi="Arial" w:cs="Arial"/>
          <w:sz w:val="18"/>
          <w:szCs w:val="18"/>
          <w:lang w:val="es-ES"/>
        </w:rPr>
      </w:pPr>
      <w:r w:rsidRPr="00A63ABC">
        <w:rPr>
          <w:rFonts w:ascii="Arial" w:hAnsi="Arial" w:cs="Arial"/>
          <w:i/>
          <w:iCs/>
          <w:sz w:val="18"/>
          <w:szCs w:val="18"/>
          <w:lang w:val="es-ES"/>
        </w:rPr>
        <w:t>Constituye obligación de la Republica suprimir los obstáculos de orden económico y social que, limitando de hecho la libertad y la igualdad de los ciudadanos, impiden el pleno desarrollo de la persona humana y la participación efectiva de todos los trabajadores en la organización política, económica y social del país</w:t>
      </w:r>
      <w:r w:rsidRPr="00A63ABC">
        <w:rPr>
          <w:rFonts w:ascii="Arial" w:hAnsi="Arial" w:cs="Arial"/>
          <w:sz w:val="18"/>
          <w:szCs w:val="18"/>
          <w:lang w:val="es-ES"/>
        </w:rPr>
        <w:t>.</w:t>
      </w:r>
    </w:p>
    <w:p w14:paraId="3CAD6CBC" w14:textId="77777777" w:rsidR="0096481E" w:rsidRPr="00A63ABC" w:rsidRDefault="0096481E" w:rsidP="0096481E">
      <w:pPr>
        <w:pStyle w:val="Textonotapie"/>
        <w:ind w:left="284"/>
        <w:jc w:val="both"/>
        <w:rPr>
          <w:rFonts w:ascii="Arial" w:hAnsi="Arial" w:cs="Arial"/>
          <w:sz w:val="18"/>
          <w:szCs w:val="18"/>
          <w:lang w:val="es-ES"/>
        </w:rPr>
      </w:pPr>
    </w:p>
  </w:footnote>
  <w:footnote w:id="193">
    <w:p w14:paraId="64313F5D" w14:textId="77777777" w:rsidR="0096481E" w:rsidRPr="00A63ABC" w:rsidRDefault="0096481E" w:rsidP="0096481E">
      <w:pPr>
        <w:pStyle w:val="Textonotapie"/>
        <w:rPr>
          <w:rFonts w:ascii="Arial" w:hAnsi="Arial" w:cs="Arial"/>
          <w:sz w:val="18"/>
          <w:szCs w:val="18"/>
          <w:lang w:val="es-ES"/>
        </w:rPr>
      </w:pPr>
      <w:r w:rsidRPr="00A63ABC">
        <w:rPr>
          <w:rStyle w:val="Refdenotaalpie"/>
          <w:rFonts w:ascii="Arial" w:hAnsi="Arial" w:cs="Arial"/>
          <w:sz w:val="18"/>
          <w:szCs w:val="18"/>
        </w:rPr>
        <w:footnoteRef/>
      </w:r>
      <w:r w:rsidRPr="00A63ABC">
        <w:rPr>
          <w:rFonts w:ascii="Arial" w:hAnsi="Arial" w:cs="Arial"/>
          <w:sz w:val="18"/>
          <w:szCs w:val="18"/>
        </w:rPr>
        <w:t xml:space="preserve"> </w:t>
      </w:r>
      <w:r w:rsidRPr="00A63ABC">
        <w:rPr>
          <w:rFonts w:ascii="Arial" w:hAnsi="Arial" w:cs="Arial"/>
          <w:sz w:val="18"/>
          <w:szCs w:val="18"/>
          <w:lang w:val="es-ES"/>
        </w:rPr>
        <w:t>Constitución italiana. - Artículo 32:</w:t>
      </w:r>
    </w:p>
    <w:p w14:paraId="5058AF2C" w14:textId="77777777" w:rsidR="0096481E" w:rsidRPr="00A63ABC" w:rsidRDefault="0096481E" w:rsidP="0096481E">
      <w:pPr>
        <w:pStyle w:val="Textonotapie"/>
        <w:ind w:left="284"/>
        <w:jc w:val="both"/>
        <w:rPr>
          <w:rFonts w:ascii="Arial" w:hAnsi="Arial" w:cs="Arial"/>
          <w:i/>
          <w:iCs/>
          <w:sz w:val="18"/>
          <w:szCs w:val="18"/>
          <w:lang w:val="es-ES"/>
        </w:rPr>
      </w:pPr>
    </w:p>
    <w:p w14:paraId="75450366" w14:textId="77777777" w:rsidR="0096481E" w:rsidRPr="00A63ABC" w:rsidRDefault="0096481E" w:rsidP="0096481E">
      <w:pPr>
        <w:pStyle w:val="Textonotapie"/>
        <w:ind w:left="284"/>
        <w:jc w:val="both"/>
        <w:rPr>
          <w:rFonts w:ascii="Arial" w:hAnsi="Arial" w:cs="Arial"/>
          <w:i/>
          <w:iCs/>
          <w:sz w:val="18"/>
          <w:szCs w:val="18"/>
          <w:lang w:val="es-ES"/>
        </w:rPr>
      </w:pPr>
      <w:r w:rsidRPr="00A63ABC">
        <w:rPr>
          <w:rFonts w:ascii="Arial" w:hAnsi="Arial" w:cs="Arial"/>
          <w:i/>
          <w:iCs/>
          <w:sz w:val="18"/>
          <w:szCs w:val="18"/>
          <w:lang w:val="es-ES"/>
        </w:rPr>
        <w:t>La Republica protegerá la salud como derecho fundamental del individuo e interés básico de la colectividad y garantizará asistencia gratuita a los indigentes.</w:t>
      </w:r>
    </w:p>
    <w:p w14:paraId="73A046C7" w14:textId="77777777" w:rsidR="0096481E" w:rsidRPr="00A63ABC" w:rsidRDefault="0096481E" w:rsidP="0096481E">
      <w:pPr>
        <w:pStyle w:val="Textonotapie"/>
        <w:ind w:left="284"/>
        <w:jc w:val="both"/>
        <w:rPr>
          <w:rFonts w:ascii="Arial" w:hAnsi="Arial" w:cs="Arial"/>
          <w:sz w:val="18"/>
          <w:szCs w:val="18"/>
          <w:lang w:val="es-ES"/>
        </w:rPr>
      </w:pPr>
      <w:r w:rsidRPr="00A63ABC">
        <w:rPr>
          <w:rFonts w:ascii="Arial" w:hAnsi="Arial" w:cs="Arial"/>
          <w:i/>
          <w:iCs/>
          <w:sz w:val="18"/>
          <w:szCs w:val="18"/>
          <w:lang w:val="es-ES"/>
        </w:rPr>
        <w:t>Nadie podrá ser obligado a sufrir un tratamiento sanitario determinado, a no ser por disposición de una ley. La ley no podrá en ningún caso violar los límites impuestos por el respeto a la persona humana</w:t>
      </w:r>
      <w:r w:rsidRPr="00A63ABC">
        <w:rPr>
          <w:rFonts w:ascii="Arial" w:hAnsi="Arial" w:cs="Arial"/>
          <w:sz w:val="18"/>
          <w:szCs w:val="18"/>
          <w:lang w:val="es-ES"/>
        </w:rPr>
        <w:t>.</w:t>
      </w:r>
    </w:p>
    <w:p w14:paraId="66C841B1" w14:textId="77777777" w:rsidR="0096481E" w:rsidRPr="00A63ABC" w:rsidRDefault="0096481E" w:rsidP="0096481E">
      <w:pPr>
        <w:pStyle w:val="Textonotapie"/>
        <w:ind w:left="284"/>
        <w:jc w:val="both"/>
        <w:rPr>
          <w:rFonts w:ascii="Arial" w:hAnsi="Arial" w:cs="Arial"/>
          <w:sz w:val="18"/>
          <w:szCs w:val="18"/>
          <w:lang w:val="es-ES"/>
        </w:rPr>
      </w:pPr>
    </w:p>
  </w:footnote>
  <w:footnote w:id="194">
    <w:p w14:paraId="2B8D17D1" w14:textId="77777777" w:rsidR="0096481E" w:rsidRPr="00A63ABC" w:rsidRDefault="0096481E" w:rsidP="0096481E">
      <w:pPr>
        <w:pStyle w:val="Textonotapie"/>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Alpa, Guido y Resta, Giorgio, </w:t>
      </w:r>
      <w:r w:rsidRPr="00A63ABC">
        <w:rPr>
          <w:rFonts w:ascii="Arial" w:hAnsi="Arial" w:cs="Arial"/>
          <w:i/>
          <w:sz w:val="18"/>
          <w:szCs w:val="18"/>
          <w:lang w:val="it-IT"/>
        </w:rPr>
        <w:t>Le persona fisiche e i diritti della personalità</w:t>
      </w:r>
      <w:r w:rsidRPr="00A63ABC">
        <w:rPr>
          <w:rFonts w:ascii="Arial" w:hAnsi="Arial" w:cs="Arial"/>
          <w:sz w:val="18"/>
          <w:szCs w:val="18"/>
          <w:lang w:val="it-IT"/>
        </w:rPr>
        <w:t>, p. 343.</w:t>
      </w:r>
    </w:p>
    <w:p w14:paraId="5ED771B5" w14:textId="77777777" w:rsidR="0096481E" w:rsidRPr="00A63ABC" w:rsidRDefault="0096481E" w:rsidP="0096481E">
      <w:pPr>
        <w:pStyle w:val="Textonotapie"/>
        <w:rPr>
          <w:rFonts w:ascii="Arial" w:hAnsi="Arial" w:cs="Arial"/>
          <w:sz w:val="18"/>
          <w:szCs w:val="18"/>
          <w:lang w:val="it-IT"/>
        </w:rPr>
      </w:pPr>
    </w:p>
  </w:footnote>
  <w:footnote w:id="195">
    <w:p w14:paraId="0A322338" w14:textId="77777777" w:rsidR="0096481E" w:rsidRPr="00A63ABC" w:rsidRDefault="0096481E" w:rsidP="0096481E">
      <w:pPr>
        <w:pStyle w:val="Textonotapie"/>
        <w:rPr>
          <w:rFonts w:ascii="Arial" w:hAnsi="Arial" w:cs="Arial"/>
          <w:sz w:val="18"/>
          <w:szCs w:val="18"/>
          <w:lang w:val="it-IT"/>
        </w:rPr>
      </w:pPr>
      <w:r w:rsidRPr="00A63ABC">
        <w:rPr>
          <w:rStyle w:val="Refdenotaalpie"/>
          <w:rFonts w:ascii="Arial" w:hAnsi="Arial" w:cs="Arial"/>
          <w:sz w:val="18"/>
          <w:szCs w:val="18"/>
        </w:rPr>
        <w:footnoteRef/>
      </w:r>
      <w:r w:rsidRPr="00A63ABC">
        <w:rPr>
          <w:rFonts w:ascii="Arial" w:hAnsi="Arial" w:cs="Arial"/>
          <w:sz w:val="18"/>
          <w:szCs w:val="18"/>
          <w:lang w:val="it-IT"/>
        </w:rPr>
        <w:t xml:space="preserve"> Alpa, Guido y Resta, Giorgio, </w:t>
      </w:r>
      <w:r w:rsidRPr="00A63ABC">
        <w:rPr>
          <w:rFonts w:ascii="Arial" w:hAnsi="Arial" w:cs="Arial"/>
          <w:i/>
          <w:sz w:val="18"/>
          <w:szCs w:val="18"/>
          <w:lang w:val="it-IT"/>
        </w:rPr>
        <w:t>Le persona fisiche e i diritti della personalità</w:t>
      </w:r>
      <w:r w:rsidRPr="00A63ABC">
        <w:rPr>
          <w:rFonts w:ascii="Arial" w:hAnsi="Arial" w:cs="Arial"/>
          <w:sz w:val="18"/>
          <w:szCs w:val="18"/>
          <w:lang w:val="it-IT"/>
        </w:rPr>
        <w:t>, p. 344.</w:t>
      </w:r>
    </w:p>
  </w:footnote>
  <w:footnote w:id="196">
    <w:p w14:paraId="407DD57D" w14:textId="77777777" w:rsidR="0096481E" w:rsidRPr="00A63ABC" w:rsidRDefault="0096481E" w:rsidP="0096481E">
      <w:pPr>
        <w:pStyle w:val="Textonotapie"/>
        <w:spacing w:after="240"/>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El volumen “</w:t>
      </w:r>
      <w:r w:rsidRPr="00A63ABC">
        <w:rPr>
          <w:rFonts w:ascii="Arial" w:hAnsi="Arial" w:cs="Arial"/>
          <w:i/>
          <w:sz w:val="18"/>
          <w:szCs w:val="18"/>
          <w:lang w:val="es-PE"/>
        </w:rPr>
        <w:t>Tendencias actuales del Derecho Privado y el sistema jurídico latinoamericano</w:t>
      </w:r>
      <w:r w:rsidRPr="00A63ABC">
        <w:rPr>
          <w:rFonts w:ascii="Arial" w:hAnsi="Arial" w:cs="Arial"/>
          <w:sz w:val="18"/>
          <w:szCs w:val="18"/>
          <w:lang w:val="es-PE"/>
        </w:rPr>
        <w:t>”, se publicó en Lima, por la editorial Cultural Cuzco, en 1990.</w:t>
      </w:r>
    </w:p>
  </w:footnote>
  <w:footnote w:id="197">
    <w:p w14:paraId="3673F474" w14:textId="77777777" w:rsidR="0096481E" w:rsidRPr="00A63ABC" w:rsidRDefault="0096481E" w:rsidP="0096481E">
      <w:pPr>
        <w:pStyle w:val="Textonotapie"/>
        <w:spacing w:after="240"/>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El derecho a la identidad personal</w:t>
      </w:r>
      <w:r w:rsidRPr="00A63ABC">
        <w:rPr>
          <w:rFonts w:ascii="Arial" w:hAnsi="Arial" w:cs="Arial"/>
          <w:sz w:val="18"/>
          <w:szCs w:val="18"/>
          <w:lang w:val="es-PE"/>
        </w:rPr>
        <w:t>, en: La Ley, Buenos Aires, publicado en entregas los días, 5, 8, 12, 14 y 19 de junio de 1990.</w:t>
      </w:r>
    </w:p>
  </w:footnote>
  <w:footnote w:id="198">
    <w:p w14:paraId="1975CA07" w14:textId="77777777" w:rsidR="0096481E" w:rsidRPr="00A63ABC" w:rsidRDefault="0096481E" w:rsidP="0096481E">
      <w:pPr>
        <w:pStyle w:val="Textonotapie"/>
        <w:spacing w:after="240"/>
        <w:ind w:left="284"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w:t>
      </w:r>
      <w:r w:rsidRPr="00A63ABC">
        <w:rPr>
          <w:rFonts w:ascii="Arial" w:hAnsi="Arial" w:cs="Arial"/>
          <w:sz w:val="18"/>
          <w:szCs w:val="18"/>
          <w:lang w:val="es-PE"/>
        </w:rPr>
        <w:tab/>
        <w:t xml:space="preserve">Fernández Sessarego, Carlos, </w:t>
      </w:r>
      <w:r w:rsidRPr="00A63ABC">
        <w:rPr>
          <w:rFonts w:ascii="Arial" w:hAnsi="Arial" w:cs="Arial"/>
          <w:i/>
          <w:sz w:val="18"/>
          <w:szCs w:val="18"/>
          <w:lang w:val="es-PE"/>
        </w:rPr>
        <w:t>El derecho a la identidad personal</w:t>
      </w:r>
      <w:r w:rsidRPr="00A63ABC">
        <w:rPr>
          <w:rFonts w:ascii="Arial" w:hAnsi="Arial" w:cs="Arial"/>
          <w:sz w:val="18"/>
          <w:szCs w:val="18"/>
          <w:lang w:val="es-PE"/>
        </w:rPr>
        <w:t>, en: Revista de Derecho y Ciencias Políticas, segunda época, Universidad Nacional Mayor de San Marcos, vol. 47, años 1997-1998.</w:t>
      </w:r>
    </w:p>
  </w:footnote>
  <w:footnote w:id="199">
    <w:p w14:paraId="56D437BF" w14:textId="77777777" w:rsidR="0096481E" w:rsidRPr="00A63ABC" w:rsidRDefault="0096481E" w:rsidP="0096481E">
      <w:pPr>
        <w:pStyle w:val="Textonotapie"/>
        <w:spacing w:after="240"/>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ab/>
        <w:t xml:space="preserve">Cifuentes, Santos, </w:t>
      </w:r>
      <w:r w:rsidRPr="00A63ABC">
        <w:rPr>
          <w:rFonts w:ascii="Arial" w:hAnsi="Arial" w:cs="Arial"/>
          <w:i/>
          <w:sz w:val="18"/>
          <w:szCs w:val="18"/>
          <w:lang w:val="es-PE"/>
        </w:rPr>
        <w:t>El derecho a la identidad y la influencia en la Argentina de la obra Dr. Carlos Fernández Sessarego</w:t>
      </w:r>
      <w:r w:rsidRPr="00A63ABC">
        <w:rPr>
          <w:rFonts w:ascii="Arial" w:hAnsi="Arial" w:cs="Arial"/>
          <w:sz w:val="18"/>
          <w:szCs w:val="18"/>
          <w:lang w:val="es-PE"/>
        </w:rPr>
        <w:t xml:space="preserve">, en: </w:t>
      </w:r>
      <w:r w:rsidRPr="00A63ABC">
        <w:rPr>
          <w:rFonts w:ascii="Arial" w:hAnsi="Arial" w:cs="Arial"/>
          <w:i/>
          <w:sz w:val="18"/>
          <w:szCs w:val="18"/>
          <w:lang w:val="es-PE"/>
        </w:rPr>
        <w:t>Persona, Derecho y Libertad. Nuevas perspectivas. Escritos en homenaje al prof. Carlos Fernández Sessarego</w:t>
      </w:r>
      <w:r w:rsidRPr="00A63ABC">
        <w:rPr>
          <w:rFonts w:ascii="Arial" w:hAnsi="Arial" w:cs="Arial"/>
          <w:sz w:val="18"/>
          <w:szCs w:val="18"/>
          <w:lang w:val="es-PE"/>
        </w:rPr>
        <w:t xml:space="preserve">, Motivensa editora jurídica, Lima, 2009, pág. 145 y ss. </w:t>
      </w:r>
    </w:p>
  </w:footnote>
  <w:footnote w:id="200">
    <w:p w14:paraId="266B85FC"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El artículo 98 de la ley 26.497 establece la gratuidad del trámite de inscripción de los recién nacidos y la obtención de la primera copia de la partida de nacimiento.</w:t>
      </w:r>
    </w:p>
    <w:p w14:paraId="05FFE819"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201">
    <w:p w14:paraId="4577A880"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El RENIEC (Registro Nacional de Identificación y Estado Civil) fue creado en julio de 1995 con la finalidad de unificar las distintas organizaciones que se encargaban de acreditar identidad civil, siendo, hasta entonces, las municipalidades las encargadas de mantener los registros civiles respectivos.</w:t>
      </w:r>
    </w:p>
    <w:p w14:paraId="1A8810CB"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202">
    <w:p w14:paraId="70F8EA80" w14:textId="363A9A6C" w:rsidR="0096481E" w:rsidRPr="00A63ABC" w:rsidRDefault="0096481E" w:rsidP="0096481E">
      <w:pPr>
        <w:pStyle w:val="Textonotapie"/>
        <w:spacing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Mediante Resolución Jefatural 692-2004 de fecha 22/10/04 se creó la Comisión de Alto Nivel encargada de elaborar este Plan, el cual fue </w:t>
      </w:r>
      <w:r w:rsidR="0014606F" w:rsidRPr="00A63ABC">
        <w:rPr>
          <w:rFonts w:ascii="Arial" w:hAnsi="Arial" w:cs="Arial"/>
          <w:sz w:val="18"/>
          <w:szCs w:val="18"/>
          <w:lang w:val="es-PE"/>
        </w:rPr>
        <w:t>aprobado el</w:t>
      </w:r>
      <w:r w:rsidRPr="00A63ABC">
        <w:rPr>
          <w:rFonts w:ascii="Arial" w:hAnsi="Arial" w:cs="Arial"/>
          <w:sz w:val="18"/>
          <w:szCs w:val="18"/>
          <w:lang w:val="es-PE"/>
        </w:rPr>
        <w:t xml:space="preserve"> 11 de julio de 2005 mediante Resolución Jefatural N° 772-2005 y se lo llamó “Documentando a las personas indocumentadas”.  RENIEC estima que de 2003 al año 2007 se habrían repartido unos tres millones de DNI de manera gratuita y un millón en forma subvencionada. Véase: </w:t>
      </w:r>
      <w:hyperlink r:id="rId1" w:history="1">
        <w:r w:rsidRPr="00A63ABC">
          <w:rPr>
            <w:rStyle w:val="Hipervnculo"/>
            <w:rFonts w:ascii="Arial" w:hAnsi="Arial" w:cs="Arial"/>
            <w:sz w:val="18"/>
            <w:szCs w:val="18"/>
            <w:lang w:val="es-PE"/>
          </w:rPr>
          <w:t>http://www.reniec.gob.pe/portal/Principal.jsp</w:t>
        </w:r>
      </w:hyperlink>
    </w:p>
    <w:p w14:paraId="18491787" w14:textId="77777777" w:rsidR="0096481E" w:rsidRPr="00A63ABC" w:rsidRDefault="0096481E" w:rsidP="0096481E">
      <w:pPr>
        <w:pStyle w:val="Textonotapie"/>
        <w:spacing w:line="276" w:lineRule="auto"/>
        <w:ind w:left="284" w:right="-1" w:hanging="284"/>
        <w:jc w:val="both"/>
        <w:rPr>
          <w:rFonts w:ascii="Arial" w:hAnsi="Arial" w:cs="Arial"/>
          <w:sz w:val="18"/>
          <w:szCs w:val="18"/>
          <w:lang w:val="es-PE"/>
        </w:rPr>
      </w:pPr>
    </w:p>
  </w:footnote>
  <w:footnote w:id="203">
    <w:p w14:paraId="47186697" w14:textId="77777777" w:rsidR="0096481E" w:rsidRPr="00A63ABC" w:rsidRDefault="0096481E" w:rsidP="0096481E">
      <w:pPr>
        <w:ind w:left="284" w:right="-1" w:hanging="284"/>
        <w:jc w:val="both"/>
        <w:rPr>
          <w:rFonts w:ascii="Arial" w:hAnsi="Arial" w:cs="Arial"/>
          <w:sz w:val="18"/>
          <w:szCs w:val="18"/>
        </w:rPr>
      </w:pPr>
      <w:r w:rsidRPr="00A63ABC">
        <w:rPr>
          <w:rStyle w:val="Refdenotaalpie"/>
          <w:rFonts w:ascii="Arial" w:hAnsi="Arial" w:cs="Arial"/>
          <w:sz w:val="18"/>
          <w:szCs w:val="18"/>
        </w:rPr>
        <w:footnoteRef/>
      </w:r>
      <w:r w:rsidRPr="00A63ABC">
        <w:rPr>
          <w:rFonts w:ascii="Arial" w:hAnsi="Arial" w:cs="Arial"/>
          <w:sz w:val="18"/>
          <w:szCs w:val="18"/>
        </w:rPr>
        <w:t xml:space="preserve">  Caso ““Horna Quevedo c. Vílchez Villalobos s/ filiación extramatrimonial”, sentencia de Corte del 13/8/06.</w:t>
      </w:r>
    </w:p>
  </w:footnote>
  <w:footnote w:id="204">
    <w:p w14:paraId="0E2492D0" w14:textId="77777777" w:rsidR="0096481E" w:rsidRPr="00A63ABC" w:rsidRDefault="0096481E" w:rsidP="0096481E">
      <w:pPr>
        <w:ind w:left="284" w:right="-1" w:hanging="284"/>
        <w:jc w:val="both"/>
        <w:rPr>
          <w:rFonts w:ascii="Arial" w:hAnsi="Arial" w:cs="Arial"/>
          <w:sz w:val="18"/>
          <w:szCs w:val="18"/>
        </w:rPr>
      </w:pPr>
      <w:r w:rsidRPr="00A63ABC">
        <w:rPr>
          <w:rStyle w:val="Refdenotaalpie"/>
          <w:rFonts w:ascii="Arial" w:hAnsi="Arial" w:cs="Arial"/>
          <w:sz w:val="18"/>
          <w:szCs w:val="18"/>
        </w:rPr>
        <w:footnoteRef/>
      </w:r>
      <w:r w:rsidRPr="00A63ABC">
        <w:rPr>
          <w:rFonts w:ascii="Arial" w:hAnsi="Arial" w:cs="Arial"/>
          <w:sz w:val="18"/>
          <w:szCs w:val="18"/>
        </w:rPr>
        <w:t xml:space="preserve"> Respecto del derecho a la libertad, la norma cuestionada determina en su artículo 1 que “quien tenga legítimo interés en obtener una declaración de paternidad puede pedir a un Juez de Paz Letrado que expida resolución declarando la filiación demandada. Si el emplazado no formula oposición dentro del plazo de diez días de haber notificado válidamente, el mandato se convertirá en declaración judicial de paternidad”, mientras que en el artículo 2 se  establece que</w:t>
      </w:r>
      <w:r w:rsidRPr="00A63ABC">
        <w:rPr>
          <w:rFonts w:ascii="Arial" w:hAnsi="Arial" w:cs="Arial"/>
          <w:b/>
          <w:sz w:val="18"/>
          <w:szCs w:val="18"/>
        </w:rPr>
        <w:t xml:space="preserve"> </w:t>
      </w:r>
      <w:r w:rsidRPr="00A63ABC">
        <w:rPr>
          <w:rFonts w:ascii="Arial" w:hAnsi="Arial" w:cs="Arial"/>
          <w:sz w:val="18"/>
          <w:szCs w:val="18"/>
        </w:rPr>
        <w:t>“la oposición suspende el mandato si el emplazado se obliga a realizarse la prueba biológica de ADN, dentro de los diez días siguientes (...) Si transcurridos diez días de vencido el plazo, el oponente no cumpliera con la realización de la prueba por causa injustificada, la oposición será declarada improcedente y el mandato se convertirá en declaración judicial de paternidad”. Por otra parte, se evalúa si no hay una violación la debido proceso, al admitirse la presentación de una demanda de filiación, sin la exigencia de ofrecer medio probatorio alguno que pruebe lo afirmado, siendo que el Juez debe emitir una resolución declarando la filiación demandada sin que se haya pasado por una etapa probatoria, generando entre las partes desigualdad de condiciones al momento de recurrir al órgano Jurisdiccional.</w:t>
      </w:r>
    </w:p>
  </w:footnote>
  <w:footnote w:id="205">
    <w:p w14:paraId="2C20F4E1" w14:textId="77777777" w:rsidR="0096481E" w:rsidRPr="00A63ABC" w:rsidRDefault="0096481E" w:rsidP="0096481E">
      <w:pPr>
        <w:pStyle w:val="Sangra3detindependiente"/>
        <w:spacing w:after="0" w:line="276" w:lineRule="auto"/>
        <w:ind w:left="284" w:right="-1" w:hanging="284"/>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Agrega a continuación “(...) nuestro Código Civil vigente, concedió tal acción en los supuestos previstos en su artículo 402 del Código Civil, el que ha sido ampliado, precisamente por la Ley 28457, para incluir como inciso 6, cuando se acredite el vínculo parental con prueba genética o científica, como consecuencia del aporte de la ciencia a la probanza de la paternidad, siendo la más utilizada la prueba denominada del ADN.”</w:t>
      </w:r>
    </w:p>
  </w:footnote>
  <w:footnote w:id="206">
    <w:p w14:paraId="075F21E0" w14:textId="77777777"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xml:space="preserve">, segunda edición actualizada y ampliada, p. 450. </w:t>
      </w:r>
    </w:p>
  </w:footnote>
  <w:footnote w:id="207">
    <w:p w14:paraId="67A34273" w14:textId="77777777"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Se reproducen el texto de la sentencia que nos noticia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xml:space="preserve">, segunda edición actualizada y ampliada, Instituto Pacífico, Lima, 2015, p.  372. </w:t>
      </w:r>
    </w:p>
    <w:p w14:paraId="7D3918D4" w14:textId="77777777" w:rsidR="0096481E" w:rsidRPr="00A63ABC" w:rsidRDefault="0096481E" w:rsidP="0096481E">
      <w:pPr>
        <w:pStyle w:val="Textonotapie"/>
        <w:jc w:val="both"/>
        <w:rPr>
          <w:rFonts w:ascii="Arial" w:hAnsi="Arial" w:cs="Arial"/>
          <w:sz w:val="18"/>
          <w:szCs w:val="18"/>
          <w:lang w:val="es-PE"/>
        </w:rPr>
      </w:pPr>
    </w:p>
  </w:footnote>
  <w:footnote w:id="208">
    <w:p w14:paraId="127A822B" w14:textId="77777777"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segunda edición actualizada y ampliada, p.  373.</w:t>
      </w:r>
    </w:p>
    <w:p w14:paraId="00E0568F" w14:textId="77777777" w:rsidR="0096481E" w:rsidRPr="00A63ABC" w:rsidRDefault="0096481E" w:rsidP="0096481E">
      <w:pPr>
        <w:pStyle w:val="Textonotapie"/>
        <w:jc w:val="both"/>
        <w:rPr>
          <w:rFonts w:ascii="Arial" w:hAnsi="Arial" w:cs="Arial"/>
          <w:sz w:val="18"/>
          <w:szCs w:val="18"/>
          <w:lang w:val="es-PE"/>
        </w:rPr>
      </w:pPr>
    </w:p>
  </w:footnote>
  <w:footnote w:id="209">
    <w:p w14:paraId="3965627F" w14:textId="77777777"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segunda edición actualizada y ampliada, p.  373.</w:t>
      </w:r>
    </w:p>
  </w:footnote>
  <w:footnote w:id="210">
    <w:p w14:paraId="018084F9" w14:textId="77777777"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lang w:val="es-PE"/>
        </w:rPr>
        <w:t xml:space="preserve"> Perú. Corte Superior de Justicia de Lima. Sentencia del Tercer Juzgado Constitucional Transitorio de Lima, en Proceso de amparo, de fecha 30 de julio de 2020.</w:t>
      </w:r>
    </w:p>
  </w:footnote>
  <w:footnote w:id="211">
    <w:p w14:paraId="3A79F370" w14:textId="0EC8D10B"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eastAsia="Calibri" w:hAnsi="Arial" w:cs="Arial"/>
          <w:sz w:val="18"/>
          <w:szCs w:val="18"/>
        </w:rPr>
        <w:footnoteRef/>
      </w:r>
      <w:r w:rsidRPr="00A63ABC">
        <w:rPr>
          <w:rFonts w:ascii="Arial" w:hAnsi="Arial" w:cs="Arial"/>
          <w:sz w:val="18"/>
          <w:szCs w:val="18"/>
          <w:lang w:val="es-PE"/>
        </w:rPr>
        <w:t xml:space="preserve"> Registro Nacional de Identificación y Estado Civil</w:t>
      </w:r>
      <w:r w:rsidR="00DE408C">
        <w:rPr>
          <w:rFonts w:ascii="Arial" w:hAnsi="Arial" w:cs="Arial"/>
          <w:sz w:val="18"/>
          <w:szCs w:val="18"/>
          <w:lang w:val="es-PE"/>
        </w:rPr>
        <w:t xml:space="preserve"> </w:t>
      </w:r>
      <w:r w:rsidRPr="00A63ABC">
        <w:rPr>
          <w:rFonts w:ascii="Arial" w:hAnsi="Arial" w:cs="Arial"/>
          <w:sz w:val="18"/>
          <w:szCs w:val="18"/>
          <w:lang w:val="es-PE"/>
        </w:rPr>
        <w:t>actúa como parte demandada en los procesos de cambio de la mención del sexo en los registros.</w:t>
      </w:r>
    </w:p>
  </w:footnote>
  <w:footnote w:id="212">
    <w:p w14:paraId="737CE541" w14:textId="77777777"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segunda edición actualizada y ampliada, p. 394 y ss.</w:t>
      </w:r>
    </w:p>
    <w:p w14:paraId="1973E48E" w14:textId="77777777" w:rsidR="0096481E" w:rsidRPr="00A63ABC" w:rsidRDefault="0096481E" w:rsidP="0096481E">
      <w:pPr>
        <w:pStyle w:val="Textonotapie"/>
        <w:jc w:val="both"/>
        <w:rPr>
          <w:rFonts w:ascii="Arial" w:hAnsi="Arial" w:cs="Arial"/>
          <w:sz w:val="18"/>
          <w:szCs w:val="18"/>
          <w:lang w:val="es-PE"/>
        </w:rPr>
      </w:pPr>
    </w:p>
  </w:footnote>
  <w:footnote w:id="213">
    <w:p w14:paraId="0E13CB78" w14:textId="77777777"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La referida propuesta se encuentra como Apéndice I del libro </w:t>
      </w:r>
      <w:r w:rsidRPr="00A63ABC">
        <w:rPr>
          <w:rFonts w:ascii="Arial" w:hAnsi="Arial" w:cs="Arial"/>
          <w:i/>
          <w:sz w:val="18"/>
          <w:szCs w:val="18"/>
          <w:lang w:val="es-PE"/>
        </w:rPr>
        <w:t>Derecho Civil de Nuestro Tiempo</w:t>
      </w:r>
      <w:r w:rsidRPr="00A63ABC">
        <w:rPr>
          <w:rFonts w:ascii="Arial" w:hAnsi="Arial" w:cs="Arial"/>
          <w:sz w:val="18"/>
          <w:szCs w:val="18"/>
          <w:lang w:val="es-PE"/>
        </w:rPr>
        <w:t xml:space="preserve"> de Carlos Fernández Sessarego, Santos Sifuentes, Eduardo A. Zannoni y Gustavo Bossert, Gaceta Jurídica, 1995, p. 123-124.</w:t>
      </w:r>
    </w:p>
  </w:footnote>
  <w:footnote w:id="214">
    <w:p w14:paraId="287170B2" w14:textId="77777777" w:rsidR="0096481E" w:rsidRPr="00A63ABC" w:rsidRDefault="0096481E" w:rsidP="0096481E">
      <w:pPr>
        <w:pStyle w:val="Textonotapie"/>
        <w:jc w:val="both"/>
        <w:rPr>
          <w:rFonts w:ascii="Arial" w:hAnsi="Arial" w:cs="Arial"/>
          <w:sz w:val="18"/>
          <w:szCs w:val="18"/>
          <w:lang w:val="es-PE"/>
        </w:rPr>
      </w:pPr>
      <w:r w:rsidRPr="00A63ABC">
        <w:rPr>
          <w:rStyle w:val="Refdenotaalpie"/>
          <w:rFonts w:ascii="Arial" w:eastAsia="Calibri" w:hAnsi="Arial" w:cs="Arial"/>
          <w:sz w:val="18"/>
          <w:szCs w:val="18"/>
          <w:lang w:val="es-PE"/>
        </w:rPr>
        <w:footnoteRef/>
      </w:r>
      <w:r w:rsidRPr="00A63ABC">
        <w:rPr>
          <w:rFonts w:ascii="Arial" w:hAnsi="Arial" w:cs="Arial"/>
          <w:sz w:val="18"/>
          <w:szCs w:val="18"/>
          <w:lang w:val="es-PE"/>
        </w:rPr>
        <w:t xml:space="preserve"> Fernández Sessarego, Carlos, </w:t>
      </w:r>
      <w:r w:rsidRPr="00A63ABC">
        <w:rPr>
          <w:rFonts w:ascii="Arial" w:hAnsi="Arial" w:cs="Arial"/>
          <w:i/>
          <w:sz w:val="18"/>
          <w:szCs w:val="18"/>
          <w:lang w:val="es-PE"/>
        </w:rPr>
        <w:t>Derecho a la identidad personal</w:t>
      </w:r>
      <w:r w:rsidRPr="00A63ABC">
        <w:rPr>
          <w:rFonts w:ascii="Arial" w:hAnsi="Arial" w:cs="Arial"/>
          <w:sz w:val="18"/>
          <w:szCs w:val="18"/>
          <w:lang w:val="es-PE"/>
        </w:rPr>
        <w:t>, segunda edición actualizada y ampliada, p. 397.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64BC6"/>
    <w:multiLevelType w:val="hybridMultilevel"/>
    <w:tmpl w:val="6FAEF69E"/>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 w15:restartNumberingAfterBreak="0">
    <w:nsid w:val="049D2327"/>
    <w:multiLevelType w:val="multilevel"/>
    <w:tmpl w:val="2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5493AD9"/>
    <w:multiLevelType w:val="hybridMultilevel"/>
    <w:tmpl w:val="B0FC1F32"/>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15:restartNumberingAfterBreak="0">
    <w:nsid w:val="19EA4BAA"/>
    <w:multiLevelType w:val="hybridMultilevel"/>
    <w:tmpl w:val="E744B9A6"/>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4" w15:restartNumberingAfterBreak="0">
    <w:nsid w:val="241C6E4B"/>
    <w:multiLevelType w:val="hybridMultilevel"/>
    <w:tmpl w:val="1C146FEA"/>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5" w15:restartNumberingAfterBreak="0">
    <w:nsid w:val="26CE7537"/>
    <w:multiLevelType w:val="multilevel"/>
    <w:tmpl w:val="A46C4A4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29821E18"/>
    <w:multiLevelType w:val="hybridMultilevel"/>
    <w:tmpl w:val="EEB2E5F4"/>
    <w:lvl w:ilvl="0" w:tplc="064CFF7C">
      <w:start w:val="1"/>
      <w:numFmt w:val="upperRoman"/>
      <w:lvlText w:val="%1."/>
      <w:lvlJc w:val="left"/>
      <w:pPr>
        <w:ind w:left="1080" w:hanging="72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7" w15:restartNumberingAfterBreak="0">
    <w:nsid w:val="2B7604E8"/>
    <w:multiLevelType w:val="hybridMultilevel"/>
    <w:tmpl w:val="DCAA19CC"/>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33004BD6"/>
    <w:multiLevelType w:val="hybridMultilevel"/>
    <w:tmpl w:val="45FAD39A"/>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9" w15:restartNumberingAfterBreak="0">
    <w:nsid w:val="3C5B220C"/>
    <w:multiLevelType w:val="hybridMultilevel"/>
    <w:tmpl w:val="D9A62F52"/>
    <w:lvl w:ilvl="0" w:tplc="280A0001">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0" w15:restartNumberingAfterBreak="0">
    <w:nsid w:val="42FE4149"/>
    <w:multiLevelType w:val="hybridMultilevel"/>
    <w:tmpl w:val="8E909E4A"/>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1" w15:restartNumberingAfterBreak="0">
    <w:nsid w:val="459226A0"/>
    <w:multiLevelType w:val="hybridMultilevel"/>
    <w:tmpl w:val="0ADE4BF0"/>
    <w:lvl w:ilvl="0" w:tplc="280A0005">
      <w:start w:val="1"/>
      <w:numFmt w:val="bullet"/>
      <w:lvlText w:val=""/>
      <w:lvlJc w:val="left"/>
      <w:pPr>
        <w:ind w:left="1440" w:hanging="360"/>
      </w:pPr>
      <w:rPr>
        <w:rFonts w:ascii="Wingdings" w:hAnsi="Wingdings" w:hint="default"/>
      </w:rPr>
    </w:lvl>
    <w:lvl w:ilvl="1" w:tplc="280A0003" w:tentative="1">
      <w:start w:val="1"/>
      <w:numFmt w:val="bullet"/>
      <w:lvlText w:val="o"/>
      <w:lvlJc w:val="left"/>
      <w:pPr>
        <w:ind w:left="2160" w:hanging="360"/>
      </w:pPr>
      <w:rPr>
        <w:rFonts w:ascii="Courier New" w:hAnsi="Courier New" w:cs="Courier New" w:hint="default"/>
      </w:rPr>
    </w:lvl>
    <w:lvl w:ilvl="2" w:tplc="280A0005" w:tentative="1">
      <w:start w:val="1"/>
      <w:numFmt w:val="bullet"/>
      <w:lvlText w:val=""/>
      <w:lvlJc w:val="left"/>
      <w:pPr>
        <w:ind w:left="2880" w:hanging="360"/>
      </w:pPr>
      <w:rPr>
        <w:rFonts w:ascii="Wingdings" w:hAnsi="Wingdings" w:hint="default"/>
      </w:rPr>
    </w:lvl>
    <w:lvl w:ilvl="3" w:tplc="280A0001" w:tentative="1">
      <w:start w:val="1"/>
      <w:numFmt w:val="bullet"/>
      <w:lvlText w:val=""/>
      <w:lvlJc w:val="left"/>
      <w:pPr>
        <w:ind w:left="3600" w:hanging="360"/>
      </w:pPr>
      <w:rPr>
        <w:rFonts w:ascii="Symbol" w:hAnsi="Symbol" w:hint="default"/>
      </w:rPr>
    </w:lvl>
    <w:lvl w:ilvl="4" w:tplc="280A0003" w:tentative="1">
      <w:start w:val="1"/>
      <w:numFmt w:val="bullet"/>
      <w:lvlText w:val="o"/>
      <w:lvlJc w:val="left"/>
      <w:pPr>
        <w:ind w:left="4320" w:hanging="360"/>
      </w:pPr>
      <w:rPr>
        <w:rFonts w:ascii="Courier New" w:hAnsi="Courier New" w:cs="Courier New" w:hint="default"/>
      </w:rPr>
    </w:lvl>
    <w:lvl w:ilvl="5" w:tplc="280A0005" w:tentative="1">
      <w:start w:val="1"/>
      <w:numFmt w:val="bullet"/>
      <w:lvlText w:val=""/>
      <w:lvlJc w:val="left"/>
      <w:pPr>
        <w:ind w:left="5040" w:hanging="360"/>
      </w:pPr>
      <w:rPr>
        <w:rFonts w:ascii="Wingdings" w:hAnsi="Wingdings" w:hint="default"/>
      </w:rPr>
    </w:lvl>
    <w:lvl w:ilvl="6" w:tplc="280A0001" w:tentative="1">
      <w:start w:val="1"/>
      <w:numFmt w:val="bullet"/>
      <w:lvlText w:val=""/>
      <w:lvlJc w:val="left"/>
      <w:pPr>
        <w:ind w:left="5760" w:hanging="360"/>
      </w:pPr>
      <w:rPr>
        <w:rFonts w:ascii="Symbol" w:hAnsi="Symbol" w:hint="default"/>
      </w:rPr>
    </w:lvl>
    <w:lvl w:ilvl="7" w:tplc="280A0003" w:tentative="1">
      <w:start w:val="1"/>
      <w:numFmt w:val="bullet"/>
      <w:lvlText w:val="o"/>
      <w:lvlJc w:val="left"/>
      <w:pPr>
        <w:ind w:left="6480" w:hanging="360"/>
      </w:pPr>
      <w:rPr>
        <w:rFonts w:ascii="Courier New" w:hAnsi="Courier New" w:cs="Courier New" w:hint="default"/>
      </w:rPr>
    </w:lvl>
    <w:lvl w:ilvl="8" w:tplc="280A0005" w:tentative="1">
      <w:start w:val="1"/>
      <w:numFmt w:val="bullet"/>
      <w:lvlText w:val=""/>
      <w:lvlJc w:val="left"/>
      <w:pPr>
        <w:ind w:left="7200" w:hanging="360"/>
      </w:pPr>
      <w:rPr>
        <w:rFonts w:ascii="Wingdings" w:hAnsi="Wingdings" w:hint="default"/>
      </w:rPr>
    </w:lvl>
  </w:abstractNum>
  <w:abstractNum w:abstractNumId="12" w15:restartNumberingAfterBreak="0">
    <w:nsid w:val="476E0765"/>
    <w:multiLevelType w:val="hybridMultilevel"/>
    <w:tmpl w:val="C6DC9998"/>
    <w:lvl w:ilvl="0" w:tplc="FC2E19F0">
      <w:start w:val="1"/>
      <w:numFmt w:val="bullet"/>
      <w:lvlText w:val=""/>
      <w:lvlJc w:val="left"/>
      <w:pPr>
        <w:ind w:left="720" w:hanging="360"/>
      </w:pPr>
      <w:rPr>
        <w:rFonts w:ascii="Symbol" w:hAnsi="Symbo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3" w15:restartNumberingAfterBreak="0">
    <w:nsid w:val="4C7D13B8"/>
    <w:multiLevelType w:val="hybridMultilevel"/>
    <w:tmpl w:val="4C9AFF66"/>
    <w:lvl w:ilvl="0" w:tplc="280A0005">
      <w:start w:val="1"/>
      <w:numFmt w:val="bullet"/>
      <w:lvlText w:val=""/>
      <w:lvlJc w:val="left"/>
      <w:pPr>
        <w:ind w:left="720" w:hanging="360"/>
      </w:pPr>
      <w:rPr>
        <w:rFonts w:ascii="Wingdings" w:hAnsi="Wingdings"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4" w15:restartNumberingAfterBreak="0">
    <w:nsid w:val="6D9A7198"/>
    <w:multiLevelType w:val="multilevel"/>
    <w:tmpl w:val="28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709A23C7"/>
    <w:multiLevelType w:val="hybridMultilevel"/>
    <w:tmpl w:val="95F20848"/>
    <w:lvl w:ilvl="0" w:tplc="280A0017">
      <w:start w:val="1"/>
      <w:numFmt w:val="lowerLetter"/>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6" w15:restartNumberingAfterBreak="0">
    <w:nsid w:val="72114935"/>
    <w:multiLevelType w:val="multilevel"/>
    <w:tmpl w:val="A46C4A46"/>
    <w:lvl w:ilvl="0">
      <w:start w:val="1"/>
      <w:numFmt w:val="decimal"/>
      <w:lvlText w:val="%1."/>
      <w:lvlJc w:val="left"/>
      <w:pPr>
        <w:ind w:left="360" w:hanging="360"/>
      </w:pPr>
      <w:rPr>
        <w:b/>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7C2454B4"/>
    <w:multiLevelType w:val="hybridMultilevel"/>
    <w:tmpl w:val="30987FE6"/>
    <w:lvl w:ilvl="0" w:tplc="6C7A17B8">
      <w:start w:val="1"/>
      <w:numFmt w:val="decimal"/>
      <w:lvlText w:val="%1."/>
      <w:lvlJc w:val="left"/>
      <w:pPr>
        <w:ind w:left="644" w:hanging="360"/>
      </w:pPr>
      <w:rPr>
        <w:rFonts w:hint="default"/>
      </w:rPr>
    </w:lvl>
    <w:lvl w:ilvl="1" w:tplc="280A0019" w:tentative="1">
      <w:start w:val="1"/>
      <w:numFmt w:val="lowerLetter"/>
      <w:lvlText w:val="%2."/>
      <w:lvlJc w:val="left"/>
      <w:pPr>
        <w:ind w:left="1364" w:hanging="360"/>
      </w:pPr>
    </w:lvl>
    <w:lvl w:ilvl="2" w:tplc="280A001B" w:tentative="1">
      <w:start w:val="1"/>
      <w:numFmt w:val="lowerRoman"/>
      <w:lvlText w:val="%3."/>
      <w:lvlJc w:val="right"/>
      <w:pPr>
        <w:ind w:left="2084" w:hanging="180"/>
      </w:pPr>
    </w:lvl>
    <w:lvl w:ilvl="3" w:tplc="280A000F" w:tentative="1">
      <w:start w:val="1"/>
      <w:numFmt w:val="decimal"/>
      <w:lvlText w:val="%4."/>
      <w:lvlJc w:val="left"/>
      <w:pPr>
        <w:ind w:left="2804" w:hanging="360"/>
      </w:pPr>
    </w:lvl>
    <w:lvl w:ilvl="4" w:tplc="280A0019" w:tentative="1">
      <w:start w:val="1"/>
      <w:numFmt w:val="lowerLetter"/>
      <w:lvlText w:val="%5."/>
      <w:lvlJc w:val="left"/>
      <w:pPr>
        <w:ind w:left="3524" w:hanging="360"/>
      </w:pPr>
    </w:lvl>
    <w:lvl w:ilvl="5" w:tplc="280A001B" w:tentative="1">
      <w:start w:val="1"/>
      <w:numFmt w:val="lowerRoman"/>
      <w:lvlText w:val="%6."/>
      <w:lvlJc w:val="right"/>
      <w:pPr>
        <w:ind w:left="4244" w:hanging="180"/>
      </w:pPr>
    </w:lvl>
    <w:lvl w:ilvl="6" w:tplc="280A000F" w:tentative="1">
      <w:start w:val="1"/>
      <w:numFmt w:val="decimal"/>
      <w:lvlText w:val="%7."/>
      <w:lvlJc w:val="left"/>
      <w:pPr>
        <w:ind w:left="4964" w:hanging="360"/>
      </w:pPr>
    </w:lvl>
    <w:lvl w:ilvl="7" w:tplc="280A0019" w:tentative="1">
      <w:start w:val="1"/>
      <w:numFmt w:val="lowerLetter"/>
      <w:lvlText w:val="%8."/>
      <w:lvlJc w:val="left"/>
      <w:pPr>
        <w:ind w:left="5684" w:hanging="360"/>
      </w:pPr>
    </w:lvl>
    <w:lvl w:ilvl="8" w:tplc="280A001B" w:tentative="1">
      <w:start w:val="1"/>
      <w:numFmt w:val="lowerRoman"/>
      <w:lvlText w:val="%9."/>
      <w:lvlJc w:val="right"/>
      <w:pPr>
        <w:ind w:left="6404" w:hanging="180"/>
      </w:pPr>
    </w:lvl>
  </w:abstractNum>
  <w:num w:numId="1" w16cid:durableId="586965556">
    <w:abstractNumId w:val="4"/>
  </w:num>
  <w:num w:numId="2" w16cid:durableId="1118186357">
    <w:abstractNumId w:val="14"/>
  </w:num>
  <w:num w:numId="3" w16cid:durableId="1667900293">
    <w:abstractNumId w:val="1"/>
  </w:num>
  <w:num w:numId="4" w16cid:durableId="1515804980">
    <w:abstractNumId w:val="16"/>
  </w:num>
  <w:num w:numId="5" w16cid:durableId="2016228185">
    <w:abstractNumId w:val="5"/>
  </w:num>
  <w:num w:numId="6" w16cid:durableId="318271057">
    <w:abstractNumId w:val="2"/>
  </w:num>
  <w:num w:numId="7" w16cid:durableId="1901135676">
    <w:abstractNumId w:val="13"/>
  </w:num>
  <w:num w:numId="8" w16cid:durableId="1114667261">
    <w:abstractNumId w:val="11"/>
  </w:num>
  <w:num w:numId="9" w16cid:durableId="1365836027">
    <w:abstractNumId w:val="10"/>
  </w:num>
  <w:num w:numId="10" w16cid:durableId="1547836438">
    <w:abstractNumId w:val="7"/>
  </w:num>
  <w:num w:numId="11" w16cid:durableId="578096740">
    <w:abstractNumId w:val="3"/>
  </w:num>
  <w:num w:numId="12" w16cid:durableId="1294024787">
    <w:abstractNumId w:val="8"/>
  </w:num>
  <w:num w:numId="13" w16cid:durableId="1648165984">
    <w:abstractNumId w:val="0"/>
  </w:num>
  <w:num w:numId="14" w16cid:durableId="231358272">
    <w:abstractNumId w:val="6"/>
  </w:num>
  <w:num w:numId="15" w16cid:durableId="1249777599">
    <w:abstractNumId w:val="12"/>
  </w:num>
  <w:num w:numId="16" w16cid:durableId="954023677">
    <w:abstractNumId w:val="15"/>
  </w:num>
  <w:num w:numId="17" w16cid:durableId="832112435">
    <w:abstractNumId w:val="9"/>
  </w:num>
  <w:num w:numId="18" w16cid:durableId="1774469870">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13622"/>
    <w:rsid w:val="00040107"/>
    <w:rsid w:val="00070ECB"/>
    <w:rsid w:val="0014606F"/>
    <w:rsid w:val="001B2B15"/>
    <w:rsid w:val="00352D8D"/>
    <w:rsid w:val="004141BF"/>
    <w:rsid w:val="00521C9F"/>
    <w:rsid w:val="006614AA"/>
    <w:rsid w:val="0070300A"/>
    <w:rsid w:val="00793286"/>
    <w:rsid w:val="008C432F"/>
    <w:rsid w:val="00963857"/>
    <w:rsid w:val="0096481E"/>
    <w:rsid w:val="009764CC"/>
    <w:rsid w:val="00A66C9B"/>
    <w:rsid w:val="00A706D1"/>
    <w:rsid w:val="00A85D1F"/>
    <w:rsid w:val="00AE0130"/>
    <w:rsid w:val="00B54CBE"/>
    <w:rsid w:val="00D27E1C"/>
    <w:rsid w:val="00D32B58"/>
    <w:rsid w:val="00D35197"/>
    <w:rsid w:val="00DE408C"/>
    <w:rsid w:val="00E13622"/>
    <w:rsid w:val="00E4398D"/>
    <w:rsid w:val="00E93EB6"/>
    <w:rsid w:val="00F4527E"/>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martTagType w:namespaceuri="urn:schemas-microsoft-com:office:smarttags" w:name="metricconverter"/>
  <w:shapeDefaults>
    <o:shapedefaults v:ext="edit" spidmax="1026"/>
    <o:shapelayout v:ext="edit">
      <o:idmap v:ext="edit" data="1"/>
    </o:shapelayout>
  </w:shapeDefaults>
  <w:decimalSymbol w:val=","/>
  <w:listSeparator w:val=";"/>
  <w14:docId w14:val="7C46D89F"/>
  <w15:chartTrackingRefBased/>
  <w15:docId w15:val="{B4069644-431A-484E-9AF5-477A2F2F70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P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13622"/>
    <w:pPr>
      <w:spacing w:after="200" w:line="276" w:lineRule="auto"/>
    </w:pPr>
    <w:rPr>
      <w:rFonts w:ascii="Calibri" w:eastAsia="Calibri" w:hAnsi="Calibri" w:cs="Times New Roman"/>
    </w:rPr>
  </w:style>
  <w:style w:type="paragraph" w:styleId="Ttulo1">
    <w:name w:val="heading 1"/>
    <w:basedOn w:val="Normal"/>
    <w:next w:val="Normal"/>
    <w:link w:val="Ttulo1Car"/>
    <w:uiPriority w:val="9"/>
    <w:qFormat/>
    <w:rsid w:val="0096481E"/>
    <w:pPr>
      <w:keepNext/>
      <w:spacing w:before="240" w:after="60" w:line="240" w:lineRule="auto"/>
      <w:outlineLvl w:val="0"/>
    </w:pPr>
    <w:rPr>
      <w:rFonts w:ascii="Cambria" w:eastAsia="Times New Roman" w:hAnsi="Cambria"/>
      <w:b/>
      <w:bCs/>
      <w:kern w:val="32"/>
      <w:sz w:val="32"/>
      <w:szCs w:val="32"/>
      <w:lang w:val="es-ES" w:eastAsia="es-ES"/>
    </w:rPr>
  </w:style>
  <w:style w:type="paragraph" w:styleId="Ttulo2">
    <w:name w:val="heading 2"/>
    <w:basedOn w:val="Normal"/>
    <w:next w:val="Normal"/>
    <w:link w:val="Ttulo2Car"/>
    <w:uiPriority w:val="9"/>
    <w:qFormat/>
    <w:rsid w:val="0096481E"/>
    <w:pPr>
      <w:keepNext/>
      <w:spacing w:before="240" w:after="60" w:line="240" w:lineRule="auto"/>
      <w:outlineLvl w:val="1"/>
    </w:pPr>
    <w:rPr>
      <w:rFonts w:ascii="Cambria" w:eastAsia="Times New Roman" w:hAnsi="Cambria"/>
      <w:b/>
      <w:bCs/>
      <w:i/>
      <w:iCs/>
      <w:sz w:val="28"/>
      <w:szCs w:val="2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6481E"/>
    <w:rPr>
      <w:rFonts w:ascii="Cambria" w:eastAsia="Times New Roman" w:hAnsi="Cambria" w:cs="Times New Roman"/>
      <w:b/>
      <w:bCs/>
      <w:kern w:val="32"/>
      <w:sz w:val="32"/>
      <w:szCs w:val="32"/>
      <w:lang w:val="es-ES" w:eastAsia="es-ES"/>
    </w:rPr>
  </w:style>
  <w:style w:type="character" w:customStyle="1" w:styleId="Ttulo2Car">
    <w:name w:val="Título 2 Car"/>
    <w:basedOn w:val="Fuentedeprrafopredeter"/>
    <w:link w:val="Ttulo2"/>
    <w:uiPriority w:val="9"/>
    <w:rsid w:val="0096481E"/>
    <w:rPr>
      <w:rFonts w:ascii="Cambria" w:eastAsia="Times New Roman" w:hAnsi="Cambria" w:cs="Times New Roman"/>
      <w:b/>
      <w:bCs/>
      <w:i/>
      <w:iCs/>
      <w:sz w:val="28"/>
      <w:szCs w:val="28"/>
      <w:lang w:val="es-ES" w:eastAsia="es-ES"/>
    </w:rPr>
  </w:style>
  <w:style w:type="paragraph" w:styleId="Textonotapie">
    <w:name w:val="footnote text"/>
    <w:aliases w:val=" Car,Car,FN,FOOTNOTES Car Car,FOOTNOTES,FOOTNOTES Car,Footnote Text Char Car Car, Car Car Car Car,Car Car Car Car Car Car Car,Car Car Car Car Car Car,Footnote Text Char Char Char Char Char,Footnote Text Char Char Char Char,fn Char,Car2,fn"/>
    <w:basedOn w:val="Normal"/>
    <w:link w:val="TextonotapieCar"/>
    <w:uiPriority w:val="99"/>
    <w:qFormat/>
    <w:rsid w:val="0096481E"/>
    <w:pPr>
      <w:overflowPunct w:val="0"/>
      <w:autoSpaceDE w:val="0"/>
      <w:autoSpaceDN w:val="0"/>
      <w:adjustRightInd w:val="0"/>
      <w:spacing w:after="0" w:line="240" w:lineRule="auto"/>
      <w:textAlignment w:val="baseline"/>
    </w:pPr>
    <w:rPr>
      <w:rFonts w:ascii="Times New Roman" w:eastAsia="Times New Roman" w:hAnsi="Times New Roman"/>
      <w:sz w:val="20"/>
      <w:szCs w:val="20"/>
      <w:lang w:val="es-ES_tradnl" w:eastAsia="x-none"/>
    </w:rPr>
  </w:style>
  <w:style w:type="character" w:customStyle="1" w:styleId="TextonotapieCar">
    <w:name w:val="Texto nota pie Car"/>
    <w:aliases w:val=" Car Car,Car Car,FN Car,FOOTNOTES Car Car Car,FOOTNOTES Car1,FOOTNOTES Car Car1,Footnote Text Char Car Car Car, Car Car Car Car Car,Car Car Car Car Car Car Car Car,Car Car Car Car Car Car Car1,Footnote Text Char Char Char Char Car"/>
    <w:basedOn w:val="Fuentedeprrafopredeter"/>
    <w:link w:val="Textonotapie"/>
    <w:uiPriority w:val="99"/>
    <w:rsid w:val="0096481E"/>
    <w:rPr>
      <w:rFonts w:ascii="Times New Roman" w:eastAsia="Times New Roman" w:hAnsi="Times New Roman" w:cs="Times New Roman"/>
      <w:sz w:val="20"/>
      <w:szCs w:val="20"/>
      <w:lang w:val="es-ES_tradnl" w:eastAsia="x-none"/>
    </w:rPr>
  </w:style>
  <w:style w:type="character" w:styleId="Refdenotaalpie">
    <w:name w:val="footnote reference"/>
    <w:aliases w:val="FC,Ref,de nota al pie,Texto de nota al pie,Appel note de bas de page,Footnotes refss,Footnote number,referencia nota al pie,BVI fnr,f,4_G,16 Point,Superscript 6 Point,Texto nota al pie,Footnote Reference Char3"/>
    <w:uiPriority w:val="99"/>
    <w:rsid w:val="0096481E"/>
    <w:rPr>
      <w:vertAlign w:val="superscript"/>
    </w:rPr>
  </w:style>
  <w:style w:type="paragraph" w:styleId="Prrafodelista">
    <w:name w:val="List Paragraph"/>
    <w:basedOn w:val="Normal"/>
    <w:uiPriority w:val="34"/>
    <w:qFormat/>
    <w:rsid w:val="0096481E"/>
    <w:pPr>
      <w:ind w:left="720"/>
      <w:contextualSpacing/>
    </w:pPr>
  </w:style>
  <w:style w:type="paragraph" w:styleId="Textodeglobo">
    <w:name w:val="Balloon Text"/>
    <w:basedOn w:val="Normal"/>
    <w:link w:val="TextodegloboCar"/>
    <w:uiPriority w:val="99"/>
    <w:semiHidden/>
    <w:unhideWhenUsed/>
    <w:rsid w:val="0096481E"/>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6481E"/>
    <w:rPr>
      <w:rFonts w:ascii="Tahoma" w:eastAsia="Calibri" w:hAnsi="Tahoma" w:cs="Tahoma"/>
      <w:sz w:val="16"/>
      <w:szCs w:val="16"/>
    </w:rPr>
  </w:style>
  <w:style w:type="paragraph" w:styleId="Sinespaciado">
    <w:name w:val="No Spacing"/>
    <w:uiPriority w:val="1"/>
    <w:qFormat/>
    <w:rsid w:val="0096481E"/>
    <w:pPr>
      <w:spacing w:after="0" w:line="240" w:lineRule="auto"/>
    </w:pPr>
    <w:rPr>
      <w:rFonts w:ascii="Calibri" w:eastAsia="Calibri" w:hAnsi="Calibri" w:cs="Times New Roman"/>
      <w:lang w:val="it-IT"/>
    </w:rPr>
  </w:style>
  <w:style w:type="paragraph" w:styleId="Piedepgina">
    <w:name w:val="footer"/>
    <w:basedOn w:val="Normal"/>
    <w:link w:val="PiedepginaCar"/>
    <w:uiPriority w:val="99"/>
    <w:unhideWhenUsed/>
    <w:rsid w:val="0096481E"/>
    <w:pPr>
      <w:tabs>
        <w:tab w:val="center" w:pos="4252"/>
        <w:tab w:val="right" w:pos="8504"/>
      </w:tabs>
    </w:pPr>
  </w:style>
  <w:style w:type="character" w:customStyle="1" w:styleId="PiedepginaCar">
    <w:name w:val="Pie de página Car"/>
    <w:basedOn w:val="Fuentedeprrafopredeter"/>
    <w:link w:val="Piedepgina"/>
    <w:uiPriority w:val="99"/>
    <w:rsid w:val="0096481E"/>
    <w:rPr>
      <w:rFonts w:ascii="Calibri" w:eastAsia="Calibri" w:hAnsi="Calibri" w:cs="Times New Roman"/>
    </w:rPr>
  </w:style>
  <w:style w:type="paragraph" w:customStyle="1" w:styleId="Prrafobsico">
    <w:name w:val="[Párrafo básico]"/>
    <w:basedOn w:val="Normal"/>
    <w:uiPriority w:val="99"/>
    <w:rsid w:val="0096481E"/>
    <w:pPr>
      <w:autoSpaceDE w:val="0"/>
      <w:autoSpaceDN w:val="0"/>
      <w:adjustRightInd w:val="0"/>
      <w:spacing w:after="0" w:line="288" w:lineRule="auto"/>
      <w:textAlignment w:val="center"/>
    </w:pPr>
    <w:rPr>
      <w:rFonts w:ascii="Minion Pro" w:hAnsi="Minion Pro" w:cs="Minion Pro"/>
      <w:color w:val="000000"/>
      <w:sz w:val="24"/>
      <w:szCs w:val="24"/>
      <w:lang w:val="es-ES_tradnl"/>
    </w:rPr>
  </w:style>
  <w:style w:type="paragraph" w:customStyle="1" w:styleId="Default">
    <w:name w:val="Default"/>
    <w:rsid w:val="0096481E"/>
    <w:pPr>
      <w:autoSpaceDE w:val="0"/>
      <w:autoSpaceDN w:val="0"/>
      <w:adjustRightInd w:val="0"/>
      <w:spacing w:after="0" w:line="240" w:lineRule="auto"/>
    </w:pPr>
    <w:rPr>
      <w:rFonts w:ascii="Arial" w:eastAsia="Calibri" w:hAnsi="Arial" w:cs="Arial"/>
      <w:color w:val="000000"/>
      <w:sz w:val="24"/>
      <w:szCs w:val="24"/>
      <w:lang w:val="it-IT" w:eastAsia="it-IT"/>
    </w:rPr>
  </w:style>
  <w:style w:type="paragraph" w:customStyle="1" w:styleId="Textodebloque1">
    <w:name w:val="Texto de bloque1"/>
    <w:basedOn w:val="Normal"/>
    <w:rsid w:val="0096481E"/>
    <w:pPr>
      <w:overflowPunct w:val="0"/>
      <w:autoSpaceDE w:val="0"/>
      <w:autoSpaceDN w:val="0"/>
      <w:adjustRightInd w:val="0"/>
      <w:spacing w:after="0" w:line="480" w:lineRule="atLeast"/>
      <w:ind w:left="-709" w:right="684" w:firstLine="1277"/>
      <w:jc w:val="both"/>
      <w:textAlignment w:val="baseline"/>
    </w:pPr>
    <w:rPr>
      <w:rFonts w:ascii="Times New Roman" w:eastAsia="Times New Roman" w:hAnsi="Times New Roman"/>
      <w:noProof/>
      <w:sz w:val="24"/>
      <w:szCs w:val="20"/>
      <w:lang w:val="es-ES" w:eastAsia="es-ES"/>
      <w14:shadow w14:blurRad="50800" w14:dist="38100" w14:dir="2700000" w14:sx="100000" w14:sy="100000" w14:kx="0" w14:ky="0" w14:algn="tl">
        <w14:srgbClr w14:val="000000">
          <w14:alpha w14:val="60000"/>
        </w14:srgbClr>
      </w14:shadow>
    </w:rPr>
  </w:style>
  <w:style w:type="paragraph" w:styleId="Sangra3detindependiente">
    <w:name w:val="Body Text Indent 3"/>
    <w:basedOn w:val="Normal"/>
    <w:link w:val="Sangra3detindependienteCar"/>
    <w:uiPriority w:val="99"/>
    <w:semiHidden/>
    <w:unhideWhenUsed/>
    <w:rsid w:val="0096481E"/>
    <w:pPr>
      <w:spacing w:after="120" w:line="240" w:lineRule="auto"/>
      <w:ind w:left="283"/>
    </w:pPr>
    <w:rPr>
      <w:rFonts w:ascii="Times New Roman" w:eastAsia="Times New Roman" w:hAnsi="Times New Roman"/>
      <w:sz w:val="16"/>
      <w:szCs w:val="16"/>
      <w:lang w:val="es-ES" w:eastAsia="es-ES"/>
    </w:rPr>
  </w:style>
  <w:style w:type="character" w:customStyle="1" w:styleId="Sangra3detindependienteCar">
    <w:name w:val="Sangría 3 de t. independiente Car"/>
    <w:basedOn w:val="Fuentedeprrafopredeter"/>
    <w:link w:val="Sangra3detindependiente"/>
    <w:uiPriority w:val="99"/>
    <w:semiHidden/>
    <w:rsid w:val="0096481E"/>
    <w:rPr>
      <w:rFonts w:ascii="Times New Roman" w:eastAsia="Times New Roman" w:hAnsi="Times New Roman" w:cs="Times New Roman"/>
      <w:sz w:val="16"/>
      <w:szCs w:val="16"/>
      <w:lang w:val="es-ES" w:eastAsia="es-ES"/>
    </w:rPr>
  </w:style>
  <w:style w:type="character" w:styleId="Hipervnculo">
    <w:name w:val="Hyperlink"/>
    <w:uiPriority w:val="99"/>
    <w:unhideWhenUsed/>
    <w:rsid w:val="0096481E"/>
    <w:rPr>
      <w:color w:val="0000FF"/>
      <w:u w:val="single"/>
    </w:rPr>
  </w:style>
  <w:style w:type="character" w:styleId="nfasis">
    <w:name w:val="Emphasis"/>
    <w:uiPriority w:val="20"/>
    <w:qFormat/>
    <w:rsid w:val="0096481E"/>
    <w:rPr>
      <w:i/>
      <w:iCs/>
    </w:rPr>
  </w:style>
  <w:style w:type="paragraph" w:styleId="NormalWeb">
    <w:name w:val="Normal (Web)"/>
    <w:basedOn w:val="Normal"/>
    <w:uiPriority w:val="99"/>
    <w:semiHidden/>
    <w:unhideWhenUsed/>
    <w:rsid w:val="0096481E"/>
    <w:pPr>
      <w:spacing w:before="100" w:beforeAutospacing="1" w:after="100" w:afterAutospacing="1" w:line="240" w:lineRule="auto"/>
    </w:pPr>
    <w:rPr>
      <w:rFonts w:ascii="Times New Roman" w:eastAsia="Times New Roman" w:hAnsi="Times New Roman"/>
      <w:sz w:val="24"/>
      <w:szCs w:val="24"/>
      <w:lang w:eastAsia="es-PE"/>
    </w:rPr>
  </w:style>
  <w:style w:type="character" w:styleId="Textoennegrita">
    <w:name w:val="Strong"/>
    <w:basedOn w:val="Fuentedeprrafopredeter"/>
    <w:uiPriority w:val="22"/>
    <w:qFormat/>
    <w:rsid w:val="0096481E"/>
    <w:rPr>
      <w:b/>
      <w:bCs/>
    </w:rPr>
  </w:style>
  <w:style w:type="paragraph" w:styleId="Encabezado">
    <w:name w:val="header"/>
    <w:basedOn w:val="Normal"/>
    <w:link w:val="EncabezadoCar"/>
    <w:uiPriority w:val="99"/>
    <w:unhideWhenUsed/>
    <w:rsid w:val="00963857"/>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963857"/>
    <w:rPr>
      <w:rFonts w:ascii="Calibri" w:eastAsia="Calibri" w:hAnsi="Calibri"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reniec.gob.pe/portal/Principal.jsp"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134</Pages>
  <Words>40731</Words>
  <Characters>224022</Characters>
  <Application>Microsoft Office Word</Application>
  <DocSecurity>0</DocSecurity>
  <Lines>1866</Lines>
  <Paragraphs>528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264225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Carlos Antonio Agurto Gonzáles</dc:creator>
  <cp:keywords/>
  <dc:description/>
  <cp:lastModifiedBy>Carlos Antonio Agurto Gonzáles</cp:lastModifiedBy>
  <cp:revision>2</cp:revision>
  <cp:lastPrinted>2022-06-15T13:19:00Z</cp:lastPrinted>
  <dcterms:created xsi:type="dcterms:W3CDTF">2022-06-22T04:11:00Z</dcterms:created>
  <dcterms:modified xsi:type="dcterms:W3CDTF">2022-06-22T04:11:00Z</dcterms:modified>
</cp:coreProperties>
</file>